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E6C" w:rsidRPr="00D407BD" w:rsidRDefault="00860E6C" w:rsidP="00860E6C">
      <w:pPr>
        <w:pStyle w:val="Title"/>
        <w:rPr>
          <w:rFonts w:ascii="Times New Roman" w:hAnsi="Times New Roman"/>
          <w:sz w:val="24"/>
          <w:szCs w:val="24"/>
          <w:lang w:val="en-AU"/>
        </w:rPr>
      </w:pPr>
      <w:r w:rsidRPr="00D407BD">
        <w:rPr>
          <w:rFonts w:ascii="Times New Roman" w:hAnsi="Times New Roman"/>
          <w:sz w:val="24"/>
          <w:szCs w:val="24"/>
          <w:lang w:val="en-AU"/>
        </w:rPr>
        <w:t>Product Information</w:t>
      </w:r>
    </w:p>
    <w:p w:rsidR="00860E6C" w:rsidRPr="00D407BD" w:rsidRDefault="00860E6C" w:rsidP="00860E6C">
      <w:pPr>
        <w:jc w:val="center"/>
        <w:rPr>
          <w:b/>
          <w:snapToGrid w:val="0"/>
          <w:szCs w:val="24"/>
        </w:rPr>
      </w:pPr>
    </w:p>
    <w:p w:rsidR="00860E6C" w:rsidRPr="00F509F7" w:rsidRDefault="00E410F0" w:rsidP="00860E6C">
      <w:pPr>
        <w:pStyle w:val="Subtitle"/>
        <w:rPr>
          <w:rFonts w:ascii="Times New Roman" w:hAnsi="Times New Roman"/>
          <w:b/>
          <w:szCs w:val="24"/>
        </w:rPr>
      </w:pPr>
      <w:proofErr w:type="spellStart"/>
      <w:r w:rsidRPr="00F509F7">
        <w:rPr>
          <w:rFonts w:ascii="Times New Roman" w:hAnsi="Times New Roman"/>
          <w:b/>
          <w:szCs w:val="24"/>
        </w:rPr>
        <w:t>T</w:t>
      </w:r>
      <w:r w:rsidR="00D24D7D" w:rsidRPr="00F509F7">
        <w:rPr>
          <w:rFonts w:ascii="Times New Roman" w:hAnsi="Times New Roman"/>
          <w:b/>
          <w:szCs w:val="24"/>
        </w:rPr>
        <w:t>ruvada</w:t>
      </w:r>
      <w:proofErr w:type="spellEnd"/>
      <w:r w:rsidR="00952CAE" w:rsidRPr="00F509F7">
        <w:rPr>
          <w:rFonts w:ascii="Times New Roman" w:hAnsi="Times New Roman"/>
          <w:b/>
          <w:szCs w:val="24"/>
          <w:vertAlign w:val="superscript"/>
        </w:rPr>
        <w:t>®</w:t>
      </w:r>
      <w:r w:rsidR="00FF3CB3" w:rsidRPr="00F509F7">
        <w:rPr>
          <w:rFonts w:ascii="Times New Roman" w:hAnsi="Times New Roman"/>
          <w:b/>
          <w:szCs w:val="24"/>
        </w:rPr>
        <w:t xml:space="preserve"> (</w:t>
      </w:r>
      <w:proofErr w:type="spellStart"/>
      <w:r w:rsidR="00FF3CB3" w:rsidRPr="00F509F7">
        <w:rPr>
          <w:rFonts w:ascii="Times New Roman" w:hAnsi="Times New Roman"/>
          <w:b/>
          <w:szCs w:val="24"/>
        </w:rPr>
        <w:t>t</w:t>
      </w:r>
      <w:r w:rsidR="00860E6C" w:rsidRPr="00F509F7">
        <w:rPr>
          <w:rFonts w:ascii="Times New Roman" w:hAnsi="Times New Roman"/>
          <w:b/>
          <w:szCs w:val="24"/>
        </w:rPr>
        <w:t>enofovir</w:t>
      </w:r>
      <w:proofErr w:type="spellEnd"/>
      <w:r w:rsidR="00860E6C" w:rsidRPr="00F509F7">
        <w:rPr>
          <w:rFonts w:ascii="Times New Roman" w:hAnsi="Times New Roman"/>
          <w:b/>
          <w:szCs w:val="24"/>
        </w:rPr>
        <w:t xml:space="preserve"> </w:t>
      </w:r>
      <w:proofErr w:type="spellStart"/>
      <w:r w:rsidR="00860E6C" w:rsidRPr="00F509F7">
        <w:rPr>
          <w:rFonts w:ascii="Times New Roman" w:hAnsi="Times New Roman"/>
          <w:b/>
          <w:szCs w:val="24"/>
        </w:rPr>
        <w:t>disoproxil</w:t>
      </w:r>
      <w:proofErr w:type="spellEnd"/>
      <w:r w:rsidR="00860E6C" w:rsidRPr="00F509F7">
        <w:rPr>
          <w:rFonts w:ascii="Times New Roman" w:hAnsi="Times New Roman"/>
          <w:b/>
          <w:szCs w:val="24"/>
        </w:rPr>
        <w:t xml:space="preserve"> fumarate and </w:t>
      </w:r>
      <w:proofErr w:type="spellStart"/>
      <w:r w:rsidR="00860E6C" w:rsidRPr="00F509F7">
        <w:rPr>
          <w:rFonts w:ascii="Times New Roman" w:hAnsi="Times New Roman"/>
          <w:b/>
          <w:szCs w:val="24"/>
        </w:rPr>
        <w:t>emtricitabine</w:t>
      </w:r>
      <w:proofErr w:type="spellEnd"/>
      <w:r w:rsidR="00860E6C" w:rsidRPr="00F509F7">
        <w:rPr>
          <w:rFonts w:ascii="Times New Roman" w:hAnsi="Times New Roman"/>
          <w:b/>
          <w:szCs w:val="24"/>
        </w:rPr>
        <w:t xml:space="preserve">) </w:t>
      </w:r>
      <w:r w:rsidR="003016D8" w:rsidRPr="00F509F7">
        <w:rPr>
          <w:rFonts w:ascii="Times New Roman" w:hAnsi="Times New Roman"/>
          <w:b/>
          <w:szCs w:val="24"/>
        </w:rPr>
        <w:t>t</w:t>
      </w:r>
      <w:r w:rsidR="00C755B1" w:rsidRPr="00F509F7">
        <w:rPr>
          <w:rFonts w:ascii="Times New Roman" w:hAnsi="Times New Roman"/>
          <w:b/>
          <w:szCs w:val="24"/>
        </w:rPr>
        <w:t>ablets</w:t>
      </w:r>
    </w:p>
    <w:p w:rsidR="00860E6C" w:rsidRPr="00F509F7" w:rsidRDefault="00E7636B" w:rsidP="00E7636B">
      <w:pPr>
        <w:pStyle w:val="Heading3"/>
        <w:jc w:val="both"/>
        <w:rPr>
          <w:rFonts w:ascii="Times New Roman" w:hAnsi="Times New Roman"/>
          <w:bCs/>
          <w:i w:val="0"/>
          <w:sz w:val="24"/>
          <w:szCs w:val="24"/>
        </w:rPr>
      </w:pPr>
      <w:r w:rsidRPr="00F509F7">
        <w:rPr>
          <w:rFonts w:ascii="Times New Roman" w:hAnsi="Times New Roman"/>
          <w:bCs/>
          <w:i w:val="0"/>
          <w:sz w:val="24"/>
          <w:szCs w:val="24"/>
        </w:rPr>
        <w:t xml:space="preserve">NAME OF THE </w:t>
      </w:r>
      <w:r w:rsidR="00DC7153" w:rsidRPr="00F509F7">
        <w:rPr>
          <w:rFonts w:ascii="Times New Roman" w:hAnsi="Times New Roman"/>
          <w:bCs/>
          <w:i w:val="0"/>
          <w:sz w:val="24"/>
          <w:szCs w:val="24"/>
        </w:rPr>
        <w:t>MEDICINE</w:t>
      </w:r>
    </w:p>
    <w:p w:rsidR="00860E6C" w:rsidRPr="00D407BD" w:rsidRDefault="00860E6C" w:rsidP="00E7636B">
      <w:pPr>
        <w:rPr>
          <w:b/>
          <w:color w:val="000000"/>
          <w:szCs w:val="24"/>
        </w:rPr>
      </w:pPr>
    </w:p>
    <w:p w:rsidR="00860E6C" w:rsidRPr="00D407BD" w:rsidRDefault="00E410F0" w:rsidP="00E7636B">
      <w:pPr>
        <w:rPr>
          <w:szCs w:val="24"/>
        </w:rPr>
      </w:pPr>
      <w:proofErr w:type="gramStart"/>
      <w:r w:rsidRPr="00D407BD">
        <w:rPr>
          <w:szCs w:val="24"/>
        </w:rPr>
        <w:t>TRUVADA</w:t>
      </w:r>
      <w:r w:rsidR="009A6559" w:rsidRPr="00D407BD">
        <w:rPr>
          <w:szCs w:val="24"/>
        </w:rPr>
        <w:t xml:space="preserve"> 300</w:t>
      </w:r>
      <w:r w:rsidR="00DA0CC0" w:rsidRPr="00D407BD">
        <w:rPr>
          <w:szCs w:val="24"/>
        </w:rPr>
        <w:t xml:space="preserve"> </w:t>
      </w:r>
      <w:r w:rsidR="009A6559" w:rsidRPr="00D407BD">
        <w:rPr>
          <w:szCs w:val="24"/>
        </w:rPr>
        <w:t>mg</w:t>
      </w:r>
      <w:r w:rsidR="00FF3CB3" w:rsidRPr="00D407BD">
        <w:rPr>
          <w:szCs w:val="24"/>
        </w:rPr>
        <w:t xml:space="preserve"> </w:t>
      </w:r>
      <w:proofErr w:type="spellStart"/>
      <w:r w:rsidR="00FF3CB3" w:rsidRPr="00D407BD">
        <w:rPr>
          <w:szCs w:val="24"/>
        </w:rPr>
        <w:t>tenofovir</w:t>
      </w:r>
      <w:proofErr w:type="spellEnd"/>
      <w:r w:rsidR="00FF3CB3" w:rsidRPr="00D407BD">
        <w:rPr>
          <w:szCs w:val="24"/>
        </w:rPr>
        <w:t xml:space="preserve"> </w:t>
      </w:r>
      <w:proofErr w:type="spellStart"/>
      <w:r w:rsidR="00FF3CB3" w:rsidRPr="00D407BD">
        <w:rPr>
          <w:szCs w:val="24"/>
        </w:rPr>
        <w:t>disoproxil</w:t>
      </w:r>
      <w:proofErr w:type="spellEnd"/>
      <w:r w:rsidR="00FF3CB3" w:rsidRPr="00D407BD">
        <w:rPr>
          <w:szCs w:val="24"/>
        </w:rPr>
        <w:t xml:space="preserve"> fumarate</w:t>
      </w:r>
      <w:r w:rsidR="009A6559" w:rsidRPr="00D407BD">
        <w:rPr>
          <w:szCs w:val="24"/>
        </w:rPr>
        <w:t>/200</w:t>
      </w:r>
      <w:r w:rsidR="00DA0CC0" w:rsidRPr="00D407BD">
        <w:rPr>
          <w:szCs w:val="24"/>
        </w:rPr>
        <w:t xml:space="preserve"> </w:t>
      </w:r>
      <w:r w:rsidR="009A6559" w:rsidRPr="00D407BD">
        <w:rPr>
          <w:szCs w:val="24"/>
        </w:rPr>
        <w:t xml:space="preserve">mg </w:t>
      </w:r>
      <w:proofErr w:type="spellStart"/>
      <w:r w:rsidR="00FF3CB3" w:rsidRPr="00D407BD">
        <w:rPr>
          <w:szCs w:val="24"/>
        </w:rPr>
        <w:t>emtricitabine</w:t>
      </w:r>
      <w:proofErr w:type="spellEnd"/>
      <w:r w:rsidR="00FF3CB3" w:rsidRPr="00D407BD">
        <w:rPr>
          <w:szCs w:val="24"/>
        </w:rPr>
        <w:t xml:space="preserve"> </w:t>
      </w:r>
      <w:r w:rsidR="009A6559" w:rsidRPr="00D407BD">
        <w:rPr>
          <w:szCs w:val="24"/>
        </w:rPr>
        <w:t>tablets</w:t>
      </w:r>
      <w:r w:rsidR="00C3388F" w:rsidRPr="00D407BD">
        <w:rPr>
          <w:szCs w:val="24"/>
        </w:rPr>
        <w:t>.</w:t>
      </w:r>
      <w:proofErr w:type="gramEnd"/>
    </w:p>
    <w:p w:rsidR="009A6559" w:rsidRPr="00D407BD" w:rsidRDefault="009A6559" w:rsidP="00E7636B">
      <w:pPr>
        <w:rPr>
          <w:color w:val="000000"/>
          <w:szCs w:val="24"/>
        </w:rPr>
      </w:pPr>
      <w:r w:rsidRPr="00D407BD">
        <w:rPr>
          <w:szCs w:val="24"/>
        </w:rPr>
        <w:t xml:space="preserve">The active substances in </w:t>
      </w:r>
      <w:r w:rsidR="00E410F0" w:rsidRPr="00D407BD">
        <w:rPr>
          <w:szCs w:val="24"/>
        </w:rPr>
        <w:t>TRUVADA</w:t>
      </w:r>
      <w:r w:rsidRPr="00D407BD">
        <w:rPr>
          <w:szCs w:val="24"/>
        </w:rPr>
        <w:t xml:space="preserve"> tablets are </w:t>
      </w:r>
      <w:proofErr w:type="spellStart"/>
      <w:r w:rsidRPr="00D407BD">
        <w:rPr>
          <w:szCs w:val="24"/>
        </w:rPr>
        <w:t>t</w:t>
      </w:r>
      <w:r w:rsidRPr="00D407BD">
        <w:rPr>
          <w:color w:val="000000"/>
          <w:szCs w:val="24"/>
        </w:rPr>
        <w:t>enofovir</w:t>
      </w:r>
      <w:proofErr w:type="spellEnd"/>
      <w:r w:rsidRPr="00D407BD">
        <w:rPr>
          <w:color w:val="000000"/>
          <w:szCs w:val="24"/>
        </w:rPr>
        <w:t xml:space="preserve"> </w:t>
      </w:r>
      <w:proofErr w:type="spellStart"/>
      <w:r w:rsidRPr="00D407BD">
        <w:rPr>
          <w:color w:val="000000"/>
          <w:szCs w:val="24"/>
        </w:rPr>
        <w:t>disoproxil</w:t>
      </w:r>
      <w:proofErr w:type="spellEnd"/>
      <w:r w:rsidRPr="00D407BD">
        <w:rPr>
          <w:color w:val="000000"/>
          <w:szCs w:val="24"/>
        </w:rPr>
        <w:t xml:space="preserve"> fumarate and </w:t>
      </w:r>
      <w:proofErr w:type="spellStart"/>
      <w:r w:rsidRPr="00D407BD">
        <w:rPr>
          <w:color w:val="000000"/>
          <w:szCs w:val="24"/>
        </w:rPr>
        <w:t>emtricitabine</w:t>
      </w:r>
      <w:proofErr w:type="spellEnd"/>
      <w:r w:rsidRPr="00D407BD">
        <w:rPr>
          <w:color w:val="000000"/>
          <w:szCs w:val="24"/>
        </w:rPr>
        <w:t>.</w:t>
      </w:r>
    </w:p>
    <w:p w:rsidR="00E7636B" w:rsidRPr="00D407BD" w:rsidRDefault="00E7636B" w:rsidP="00E7636B">
      <w:pPr>
        <w:rPr>
          <w:b/>
          <w:szCs w:val="24"/>
        </w:rPr>
      </w:pPr>
    </w:p>
    <w:p w:rsidR="0012393B" w:rsidRPr="00D407BD" w:rsidRDefault="0012393B" w:rsidP="00E7636B">
      <w:pPr>
        <w:rPr>
          <w:szCs w:val="24"/>
        </w:rPr>
      </w:pPr>
      <w:proofErr w:type="spellStart"/>
      <w:r w:rsidRPr="00D407BD">
        <w:rPr>
          <w:b/>
          <w:szCs w:val="24"/>
        </w:rPr>
        <w:t>Tenofovir</w:t>
      </w:r>
      <w:proofErr w:type="spellEnd"/>
      <w:r w:rsidRPr="00D407BD">
        <w:rPr>
          <w:b/>
          <w:szCs w:val="24"/>
        </w:rPr>
        <w:t xml:space="preserve"> </w:t>
      </w:r>
      <w:proofErr w:type="spellStart"/>
      <w:r w:rsidRPr="00D407BD">
        <w:rPr>
          <w:b/>
          <w:szCs w:val="24"/>
        </w:rPr>
        <w:t>disoproxil</w:t>
      </w:r>
      <w:proofErr w:type="spellEnd"/>
      <w:r w:rsidRPr="00D407BD">
        <w:rPr>
          <w:b/>
          <w:szCs w:val="24"/>
        </w:rPr>
        <w:t xml:space="preserve"> fumarate</w:t>
      </w:r>
      <w:r w:rsidRPr="00D407BD">
        <w:rPr>
          <w:szCs w:val="24"/>
        </w:rPr>
        <w:t xml:space="preserve">: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is a </w:t>
      </w:r>
      <w:proofErr w:type="spellStart"/>
      <w:r w:rsidRPr="00D407BD">
        <w:rPr>
          <w:szCs w:val="24"/>
        </w:rPr>
        <w:t>fumaric</w:t>
      </w:r>
      <w:proofErr w:type="spellEnd"/>
      <w:r w:rsidRPr="00D407BD">
        <w:rPr>
          <w:szCs w:val="24"/>
        </w:rPr>
        <w:t xml:space="preserve"> acid salt of the </w:t>
      </w:r>
      <w:proofErr w:type="spellStart"/>
      <w:r w:rsidRPr="00D407BD">
        <w:rPr>
          <w:i/>
          <w:szCs w:val="24"/>
        </w:rPr>
        <w:t>bis</w:t>
      </w:r>
      <w:r w:rsidRPr="00D407BD">
        <w:rPr>
          <w:szCs w:val="24"/>
        </w:rPr>
        <w:t>-isopropoxycarbonyloxymethyl</w:t>
      </w:r>
      <w:proofErr w:type="spellEnd"/>
      <w:r w:rsidRPr="00D407BD">
        <w:rPr>
          <w:szCs w:val="24"/>
        </w:rPr>
        <w:t xml:space="preserve"> ester derivative of </w:t>
      </w:r>
      <w:proofErr w:type="spellStart"/>
      <w:r w:rsidRPr="00D407BD">
        <w:rPr>
          <w:szCs w:val="24"/>
        </w:rPr>
        <w:t>tenofovir</w:t>
      </w:r>
      <w:proofErr w:type="spellEnd"/>
      <w:r w:rsidRPr="00D407BD">
        <w:rPr>
          <w:szCs w:val="24"/>
        </w:rPr>
        <w:t xml:space="preserve">. The chemical name of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is 9-[(</w:t>
      </w:r>
      <w:r w:rsidRPr="00D407BD">
        <w:rPr>
          <w:i/>
          <w:szCs w:val="24"/>
        </w:rPr>
        <w:t>R</w:t>
      </w:r>
      <w:r w:rsidRPr="00D407BD">
        <w:rPr>
          <w:szCs w:val="24"/>
        </w:rPr>
        <w:t>)-2 [[</w:t>
      </w:r>
      <w:proofErr w:type="spellStart"/>
      <w:proofErr w:type="gramStart"/>
      <w:r w:rsidRPr="00D407BD">
        <w:rPr>
          <w:szCs w:val="24"/>
        </w:rPr>
        <w:t>bis</w:t>
      </w:r>
      <w:proofErr w:type="spellEnd"/>
      <w:r w:rsidRPr="00D407BD">
        <w:rPr>
          <w:szCs w:val="24"/>
        </w:rPr>
        <w:t>[</w:t>
      </w:r>
      <w:proofErr w:type="gramEnd"/>
      <w:r w:rsidRPr="00D407BD">
        <w:rPr>
          <w:szCs w:val="24"/>
        </w:rPr>
        <w:t>[(</w:t>
      </w:r>
      <w:proofErr w:type="spellStart"/>
      <w:r w:rsidRPr="00D407BD">
        <w:rPr>
          <w:szCs w:val="24"/>
        </w:rPr>
        <w:t>isopropoxycarbonyl</w:t>
      </w:r>
      <w:proofErr w:type="spellEnd"/>
      <w:r w:rsidRPr="00D407BD">
        <w:rPr>
          <w:szCs w:val="24"/>
        </w:rPr>
        <w:t xml:space="preserve">)oxy] </w:t>
      </w:r>
      <w:proofErr w:type="spellStart"/>
      <w:r w:rsidRPr="00D407BD">
        <w:rPr>
          <w:szCs w:val="24"/>
        </w:rPr>
        <w:t>methoxy</w:t>
      </w:r>
      <w:proofErr w:type="spellEnd"/>
      <w:r w:rsidRPr="00D407BD">
        <w:rPr>
          <w:szCs w:val="24"/>
        </w:rPr>
        <w:t>]</w:t>
      </w:r>
      <w:proofErr w:type="spellStart"/>
      <w:r w:rsidRPr="00D407BD">
        <w:rPr>
          <w:szCs w:val="24"/>
        </w:rPr>
        <w:t>phosphinyl</w:t>
      </w:r>
      <w:proofErr w:type="spellEnd"/>
      <w:r w:rsidRPr="00D407BD">
        <w:rPr>
          <w:szCs w:val="24"/>
        </w:rPr>
        <w:t>]</w:t>
      </w:r>
      <w:r w:rsidR="00D407BD">
        <w:rPr>
          <w:szCs w:val="24"/>
        </w:rPr>
        <w:t xml:space="preserve"> </w:t>
      </w:r>
      <w:proofErr w:type="spellStart"/>
      <w:r w:rsidRPr="00D407BD">
        <w:rPr>
          <w:szCs w:val="24"/>
        </w:rPr>
        <w:t>methoxy</w:t>
      </w:r>
      <w:proofErr w:type="spellEnd"/>
      <w:r w:rsidRPr="00D407BD">
        <w:rPr>
          <w:szCs w:val="24"/>
        </w:rPr>
        <w:t>]propyl]adenine fumarate (1:1).  It has a molecular formula of C</w:t>
      </w:r>
      <w:r w:rsidRPr="00D407BD">
        <w:rPr>
          <w:szCs w:val="24"/>
          <w:vertAlign w:val="subscript"/>
        </w:rPr>
        <w:t>19</w:t>
      </w:r>
      <w:r w:rsidRPr="00D407BD">
        <w:rPr>
          <w:szCs w:val="24"/>
        </w:rPr>
        <w:t>H</w:t>
      </w:r>
      <w:r w:rsidRPr="00D407BD">
        <w:rPr>
          <w:szCs w:val="24"/>
          <w:vertAlign w:val="subscript"/>
        </w:rPr>
        <w:t>30</w:t>
      </w:r>
      <w:r w:rsidRPr="00D407BD">
        <w:rPr>
          <w:szCs w:val="24"/>
        </w:rPr>
        <w:t>N</w:t>
      </w:r>
      <w:r w:rsidRPr="00D407BD">
        <w:rPr>
          <w:szCs w:val="24"/>
          <w:vertAlign w:val="subscript"/>
        </w:rPr>
        <w:t>5</w:t>
      </w:r>
      <w:r w:rsidRPr="00D407BD">
        <w:rPr>
          <w:szCs w:val="24"/>
        </w:rPr>
        <w:t>O</w:t>
      </w:r>
      <w:r w:rsidRPr="00D407BD">
        <w:rPr>
          <w:szCs w:val="24"/>
          <w:vertAlign w:val="subscript"/>
        </w:rPr>
        <w:t>10</w:t>
      </w:r>
      <w:r w:rsidRPr="00D407BD">
        <w:rPr>
          <w:szCs w:val="24"/>
        </w:rPr>
        <w:t xml:space="preserve">P </w:t>
      </w:r>
      <w:r w:rsidRPr="00D407BD">
        <w:rPr>
          <w:szCs w:val="24"/>
        </w:rPr>
        <w:sym w:font="Symbol" w:char="00B7"/>
      </w:r>
      <w:r w:rsidRPr="00D407BD">
        <w:rPr>
          <w:szCs w:val="24"/>
        </w:rPr>
        <w:t xml:space="preserve"> C</w:t>
      </w:r>
      <w:r w:rsidRPr="00D407BD">
        <w:rPr>
          <w:szCs w:val="24"/>
          <w:vertAlign w:val="subscript"/>
        </w:rPr>
        <w:t>4</w:t>
      </w:r>
      <w:r w:rsidRPr="00D407BD">
        <w:rPr>
          <w:szCs w:val="24"/>
        </w:rPr>
        <w:t>H</w:t>
      </w:r>
      <w:r w:rsidRPr="00D407BD">
        <w:rPr>
          <w:szCs w:val="24"/>
          <w:vertAlign w:val="subscript"/>
        </w:rPr>
        <w:t>4</w:t>
      </w:r>
      <w:r w:rsidRPr="00D407BD">
        <w:rPr>
          <w:szCs w:val="24"/>
        </w:rPr>
        <w:t>O</w:t>
      </w:r>
      <w:r w:rsidRPr="00D407BD">
        <w:rPr>
          <w:szCs w:val="24"/>
          <w:vertAlign w:val="subscript"/>
        </w:rPr>
        <w:t>4</w:t>
      </w:r>
      <w:r w:rsidRPr="00D407BD">
        <w:rPr>
          <w:szCs w:val="24"/>
        </w:rPr>
        <w:t xml:space="preserve"> and a molecular weight of 635.52.  It has the following structural formula:</w:t>
      </w:r>
    </w:p>
    <w:p w:rsidR="0012393B" w:rsidRPr="00E7636B" w:rsidRDefault="0012393B" w:rsidP="0012393B">
      <w:pPr>
        <w:rPr>
          <w:szCs w:val="24"/>
        </w:rPr>
      </w:pPr>
    </w:p>
    <w:p w:rsidR="0012393B" w:rsidRPr="00E7636B" w:rsidRDefault="0012393B" w:rsidP="0012393B">
      <w:pPr>
        <w:rPr>
          <w:szCs w:val="24"/>
        </w:rPr>
      </w:pPr>
      <w:r w:rsidRPr="00E7636B">
        <w:rPr>
          <w:szCs w:val="24"/>
        </w:rPr>
        <w:object w:dxaOrig="5618" w:dyaOrig="2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55pt;height:148.75pt" o:ole="" fillcolor="window">
            <v:imagedata r:id="rId9" o:title=""/>
          </v:shape>
          <o:OLEObject Type="Embed" ProgID="Word.Picture.8" ShapeID="_x0000_i1025" DrawAspect="Content" ObjectID="_1540904713" r:id="rId10"/>
        </w:object>
      </w:r>
    </w:p>
    <w:p w:rsidR="00A1627E" w:rsidRPr="0064484A" w:rsidRDefault="00A1627E" w:rsidP="00A1627E">
      <w:pPr>
        <w:rPr>
          <w:sz w:val="22"/>
          <w:szCs w:val="22"/>
        </w:rPr>
      </w:pPr>
    </w:p>
    <w:p w:rsidR="00A1627E" w:rsidRPr="00D407BD" w:rsidRDefault="00A1627E" w:rsidP="00A1627E">
      <w:pPr>
        <w:rPr>
          <w:szCs w:val="24"/>
        </w:rPr>
      </w:pPr>
      <w:r w:rsidRPr="00D407BD">
        <w:rPr>
          <w:szCs w:val="24"/>
        </w:rPr>
        <w:t>CAS registry number: 202138-50-9</w:t>
      </w:r>
    </w:p>
    <w:p w:rsidR="0012393B" w:rsidRPr="00D407BD" w:rsidRDefault="0012393B" w:rsidP="00E7636B">
      <w:pPr>
        <w:rPr>
          <w:szCs w:val="24"/>
        </w:rPr>
      </w:pPr>
    </w:p>
    <w:p w:rsidR="00C3388F" w:rsidRPr="00D407BD" w:rsidRDefault="00A02BBA" w:rsidP="00E7636B">
      <w:pPr>
        <w:rPr>
          <w:szCs w:val="24"/>
        </w:rPr>
      </w:pPr>
      <w:proofErr w:type="spellStart"/>
      <w:r w:rsidRPr="00D407BD">
        <w:rPr>
          <w:b/>
          <w:szCs w:val="24"/>
        </w:rPr>
        <w:t>Emtricitabine</w:t>
      </w:r>
      <w:proofErr w:type="spellEnd"/>
      <w:r w:rsidRPr="00D407BD">
        <w:rPr>
          <w:b/>
          <w:szCs w:val="24"/>
        </w:rPr>
        <w:t xml:space="preserve">: </w:t>
      </w:r>
      <w:r w:rsidRPr="00D407BD">
        <w:rPr>
          <w:szCs w:val="24"/>
        </w:rPr>
        <w:t xml:space="preserve">The chemical name of </w:t>
      </w:r>
      <w:proofErr w:type="spellStart"/>
      <w:r w:rsidRPr="00D407BD">
        <w:rPr>
          <w:szCs w:val="24"/>
        </w:rPr>
        <w:t>emtricitabine</w:t>
      </w:r>
      <w:proofErr w:type="spellEnd"/>
      <w:r w:rsidRPr="00D407BD">
        <w:rPr>
          <w:szCs w:val="24"/>
        </w:rPr>
        <w:t xml:space="preserve"> is 5-fluoro-1-(2</w:t>
      </w:r>
      <w:r w:rsidRPr="00D407BD">
        <w:rPr>
          <w:i/>
          <w:szCs w:val="24"/>
        </w:rPr>
        <w:t>R</w:t>
      </w:r>
      <w:proofErr w:type="gramStart"/>
      <w:r w:rsidRPr="00D407BD">
        <w:rPr>
          <w:szCs w:val="24"/>
        </w:rPr>
        <w:t>,5</w:t>
      </w:r>
      <w:r w:rsidRPr="00D407BD">
        <w:rPr>
          <w:i/>
          <w:szCs w:val="24"/>
        </w:rPr>
        <w:t>S</w:t>
      </w:r>
      <w:proofErr w:type="gramEnd"/>
      <w:r w:rsidRPr="00D407BD">
        <w:rPr>
          <w:szCs w:val="24"/>
        </w:rPr>
        <w:t xml:space="preserve">)-[2-(hydroxymethyl)-1,3-oxathiolan-5-yl]cytosine. </w:t>
      </w:r>
      <w:proofErr w:type="spellStart"/>
      <w:r w:rsidRPr="00D407BD">
        <w:rPr>
          <w:szCs w:val="24"/>
        </w:rPr>
        <w:t>Emtricitabine</w:t>
      </w:r>
      <w:proofErr w:type="spellEnd"/>
      <w:r w:rsidRPr="00D407BD">
        <w:rPr>
          <w:szCs w:val="24"/>
        </w:rPr>
        <w:t xml:space="preserve"> is the (-) enantiomer of a </w:t>
      </w:r>
      <w:proofErr w:type="spellStart"/>
      <w:r w:rsidRPr="00D407BD">
        <w:rPr>
          <w:szCs w:val="24"/>
        </w:rPr>
        <w:t>thio</w:t>
      </w:r>
      <w:proofErr w:type="spellEnd"/>
      <w:r w:rsidRPr="00D407BD">
        <w:rPr>
          <w:szCs w:val="24"/>
        </w:rPr>
        <w:t xml:space="preserve"> analog of cytidine, </w:t>
      </w:r>
      <w:proofErr w:type="gramStart"/>
      <w:r w:rsidRPr="00D407BD">
        <w:rPr>
          <w:szCs w:val="24"/>
        </w:rPr>
        <w:t>which</w:t>
      </w:r>
      <w:proofErr w:type="gramEnd"/>
      <w:r w:rsidRPr="00D407BD">
        <w:rPr>
          <w:szCs w:val="24"/>
        </w:rPr>
        <w:t xml:space="preserve"> differs from other cytidine analogs in that it has a fluorine in the 5-position.</w:t>
      </w:r>
    </w:p>
    <w:p w:rsidR="00AC300B" w:rsidRPr="00D407BD" w:rsidRDefault="00A02BBA" w:rsidP="00E7636B">
      <w:pPr>
        <w:rPr>
          <w:szCs w:val="24"/>
        </w:rPr>
      </w:pPr>
      <w:r w:rsidRPr="00D407BD">
        <w:rPr>
          <w:szCs w:val="24"/>
        </w:rPr>
        <w:br/>
        <w:t>It has a molecular formula of C</w:t>
      </w:r>
      <w:r w:rsidRPr="00D407BD">
        <w:rPr>
          <w:szCs w:val="24"/>
          <w:vertAlign w:val="subscript"/>
        </w:rPr>
        <w:t>8</w:t>
      </w:r>
      <w:r w:rsidRPr="00D407BD">
        <w:rPr>
          <w:szCs w:val="24"/>
        </w:rPr>
        <w:t>H</w:t>
      </w:r>
      <w:r w:rsidRPr="00D407BD">
        <w:rPr>
          <w:szCs w:val="24"/>
          <w:vertAlign w:val="subscript"/>
        </w:rPr>
        <w:t>10</w:t>
      </w:r>
      <w:r w:rsidRPr="00D407BD">
        <w:rPr>
          <w:szCs w:val="24"/>
        </w:rPr>
        <w:t>FN</w:t>
      </w:r>
      <w:r w:rsidRPr="00D407BD">
        <w:rPr>
          <w:szCs w:val="24"/>
          <w:vertAlign w:val="subscript"/>
        </w:rPr>
        <w:t>3</w:t>
      </w:r>
      <w:r w:rsidRPr="00D407BD">
        <w:rPr>
          <w:szCs w:val="24"/>
        </w:rPr>
        <w:t>O</w:t>
      </w:r>
      <w:r w:rsidRPr="00D407BD">
        <w:rPr>
          <w:szCs w:val="24"/>
          <w:vertAlign w:val="subscript"/>
        </w:rPr>
        <w:t>3</w:t>
      </w:r>
      <w:r w:rsidRPr="00D407BD">
        <w:rPr>
          <w:szCs w:val="24"/>
        </w:rPr>
        <w:t>S and a molecular weight of 247.24. It has the following structural formula:</w:t>
      </w:r>
    </w:p>
    <w:p w:rsidR="00A02BBA" w:rsidRPr="00E7636B" w:rsidRDefault="00A02BBA" w:rsidP="00A02BBA">
      <w:pPr>
        <w:spacing w:before="120" w:after="120"/>
        <w:rPr>
          <w:szCs w:val="24"/>
        </w:rPr>
      </w:pPr>
      <w:r w:rsidRPr="00E7636B">
        <w:rPr>
          <w:szCs w:val="24"/>
        </w:rPr>
        <w:br/>
      </w:r>
      <w:r w:rsidR="00CD5907">
        <w:rPr>
          <w:noProof/>
          <w:szCs w:val="24"/>
          <w:lang w:val="en-AU"/>
        </w:rPr>
        <w:drawing>
          <wp:inline distT="0" distB="0" distL="0" distR="0">
            <wp:extent cx="1992630" cy="88011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2630" cy="880110"/>
                    </a:xfrm>
                    <a:prstGeom prst="rect">
                      <a:avLst/>
                    </a:prstGeom>
                    <a:noFill/>
                    <a:ln>
                      <a:noFill/>
                    </a:ln>
                  </pic:spPr>
                </pic:pic>
              </a:graphicData>
            </a:graphic>
          </wp:inline>
        </w:drawing>
      </w:r>
    </w:p>
    <w:p w:rsidR="00A1627E" w:rsidRPr="00D407BD" w:rsidRDefault="00A1627E" w:rsidP="00A1627E">
      <w:pPr>
        <w:rPr>
          <w:szCs w:val="24"/>
        </w:rPr>
      </w:pPr>
      <w:r w:rsidRPr="00D407BD">
        <w:rPr>
          <w:szCs w:val="24"/>
        </w:rPr>
        <w:t>CAS registry number: 143491-57-0</w:t>
      </w:r>
    </w:p>
    <w:p w:rsidR="00667224" w:rsidRDefault="00667224" w:rsidP="00E7636B">
      <w:pPr>
        <w:rPr>
          <w:szCs w:val="24"/>
        </w:rPr>
      </w:pPr>
    </w:p>
    <w:p w:rsidR="00DC7153" w:rsidRPr="00F509F7" w:rsidRDefault="00DC7153" w:rsidP="00DC7153">
      <w:pPr>
        <w:pStyle w:val="Heading3"/>
        <w:jc w:val="both"/>
        <w:rPr>
          <w:rFonts w:ascii="Times New Roman" w:hAnsi="Times New Roman"/>
          <w:bCs/>
          <w:i w:val="0"/>
          <w:sz w:val="24"/>
          <w:szCs w:val="24"/>
        </w:rPr>
      </w:pPr>
      <w:r w:rsidRPr="00F509F7">
        <w:rPr>
          <w:rFonts w:ascii="Times New Roman" w:hAnsi="Times New Roman"/>
          <w:bCs/>
          <w:i w:val="0"/>
          <w:sz w:val="24"/>
          <w:szCs w:val="24"/>
        </w:rPr>
        <w:lastRenderedPageBreak/>
        <w:t>DESCRIPTION</w:t>
      </w:r>
    </w:p>
    <w:p w:rsidR="00DC7153" w:rsidRPr="00D407BD" w:rsidRDefault="00DC7153" w:rsidP="00E7636B">
      <w:pPr>
        <w:rPr>
          <w:szCs w:val="24"/>
        </w:rPr>
      </w:pPr>
    </w:p>
    <w:p w:rsidR="00DC7153" w:rsidRPr="00D407BD" w:rsidRDefault="00DC7153" w:rsidP="00DC7153">
      <w:pPr>
        <w:rPr>
          <w:b/>
          <w:szCs w:val="24"/>
        </w:rPr>
      </w:pP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is a white to off-white crystalline powder with a solubility of 13.4 mg/mL in water at 25 </w:t>
      </w:r>
      <w:r w:rsidRPr="00D407BD">
        <w:rPr>
          <w:szCs w:val="24"/>
        </w:rPr>
        <w:sym w:font="Symbol" w:char="00B0"/>
      </w:r>
      <w:r w:rsidRPr="00D407BD">
        <w:rPr>
          <w:szCs w:val="24"/>
        </w:rPr>
        <w:t>C.  The partition coefficient (</w:t>
      </w:r>
      <w:r w:rsidRPr="00D407BD">
        <w:rPr>
          <w:i/>
          <w:szCs w:val="24"/>
        </w:rPr>
        <w:t>log p</w:t>
      </w:r>
      <w:r w:rsidRPr="00D407BD">
        <w:rPr>
          <w:szCs w:val="24"/>
        </w:rPr>
        <w:t xml:space="preserve">) for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is 1.25 and the </w:t>
      </w:r>
      <w:proofErr w:type="spellStart"/>
      <w:r w:rsidRPr="00D407BD">
        <w:rPr>
          <w:szCs w:val="24"/>
        </w:rPr>
        <w:t>pKa</w:t>
      </w:r>
      <w:proofErr w:type="spellEnd"/>
      <w:r w:rsidRPr="00D407BD">
        <w:rPr>
          <w:szCs w:val="24"/>
        </w:rPr>
        <w:t xml:space="preserve"> is 3.75.</w:t>
      </w:r>
    </w:p>
    <w:p w:rsidR="00DC7153" w:rsidRPr="00D407BD" w:rsidRDefault="00DC7153" w:rsidP="00E7636B">
      <w:pPr>
        <w:rPr>
          <w:szCs w:val="24"/>
        </w:rPr>
      </w:pPr>
    </w:p>
    <w:p w:rsidR="00E7636B" w:rsidRPr="00D407BD" w:rsidRDefault="00A02BBA" w:rsidP="00E7636B">
      <w:pPr>
        <w:rPr>
          <w:szCs w:val="24"/>
        </w:rPr>
      </w:pPr>
      <w:proofErr w:type="spellStart"/>
      <w:r w:rsidRPr="00D407BD">
        <w:rPr>
          <w:szCs w:val="24"/>
        </w:rPr>
        <w:t>Emtricitabine</w:t>
      </w:r>
      <w:proofErr w:type="spellEnd"/>
      <w:r w:rsidRPr="00D407BD">
        <w:rPr>
          <w:szCs w:val="24"/>
        </w:rPr>
        <w:t xml:space="preserve"> is a white to off-white crystalline powder with a solubility of approximately 112 mg/mL in water at 25</w:t>
      </w:r>
      <w:r w:rsidRPr="00D407BD">
        <w:rPr>
          <w:szCs w:val="24"/>
          <w:vertAlign w:val="superscript"/>
        </w:rPr>
        <w:t>o</w:t>
      </w:r>
      <w:r w:rsidR="001E2D12" w:rsidRPr="00D407BD">
        <w:rPr>
          <w:szCs w:val="24"/>
          <w:vertAlign w:val="superscript"/>
        </w:rPr>
        <w:t xml:space="preserve"> </w:t>
      </w:r>
      <w:r w:rsidRPr="00D407BD">
        <w:rPr>
          <w:szCs w:val="24"/>
        </w:rPr>
        <w:t>C.  The partition coefficient (</w:t>
      </w:r>
      <w:r w:rsidRPr="00D407BD">
        <w:rPr>
          <w:i/>
          <w:szCs w:val="24"/>
        </w:rPr>
        <w:t>log</w:t>
      </w:r>
      <w:r w:rsidRPr="00D407BD">
        <w:rPr>
          <w:i/>
          <w:szCs w:val="24"/>
          <w:vertAlign w:val="superscript"/>
        </w:rPr>
        <w:t xml:space="preserve"> </w:t>
      </w:r>
      <w:r w:rsidRPr="00D407BD">
        <w:rPr>
          <w:i/>
          <w:szCs w:val="24"/>
        </w:rPr>
        <w:t>p</w:t>
      </w:r>
      <w:r w:rsidRPr="00D407BD">
        <w:rPr>
          <w:szCs w:val="24"/>
        </w:rPr>
        <w:t xml:space="preserve">) for </w:t>
      </w:r>
      <w:proofErr w:type="spellStart"/>
      <w:r w:rsidRPr="00D407BD">
        <w:rPr>
          <w:szCs w:val="24"/>
        </w:rPr>
        <w:t>emtricitabine</w:t>
      </w:r>
      <w:proofErr w:type="spellEnd"/>
      <w:r w:rsidRPr="00D407BD">
        <w:rPr>
          <w:szCs w:val="24"/>
        </w:rPr>
        <w:t xml:space="preserve"> is -0.43 and the </w:t>
      </w:r>
      <w:proofErr w:type="spellStart"/>
      <w:r w:rsidRPr="00D407BD">
        <w:rPr>
          <w:szCs w:val="24"/>
        </w:rPr>
        <w:t>pKa</w:t>
      </w:r>
      <w:proofErr w:type="spellEnd"/>
      <w:r w:rsidRPr="00D407BD">
        <w:rPr>
          <w:szCs w:val="24"/>
        </w:rPr>
        <w:t xml:space="preserve"> </w:t>
      </w:r>
      <w:proofErr w:type="gramStart"/>
      <w:r w:rsidRPr="00D407BD">
        <w:rPr>
          <w:szCs w:val="24"/>
        </w:rPr>
        <w:t>is</w:t>
      </w:r>
      <w:proofErr w:type="gramEnd"/>
      <w:r w:rsidRPr="00D407BD">
        <w:rPr>
          <w:szCs w:val="24"/>
        </w:rPr>
        <w:t xml:space="preserve"> 2.65.</w:t>
      </w:r>
    </w:p>
    <w:p w:rsidR="00A02BBA" w:rsidRPr="00D407BD" w:rsidRDefault="00A02BBA" w:rsidP="00E7636B">
      <w:pPr>
        <w:rPr>
          <w:b/>
          <w:szCs w:val="24"/>
        </w:rPr>
      </w:pPr>
    </w:p>
    <w:p w:rsidR="00B6496F" w:rsidRPr="00D407BD" w:rsidRDefault="00E410F0" w:rsidP="00E7636B">
      <w:pPr>
        <w:rPr>
          <w:color w:val="000000"/>
          <w:szCs w:val="24"/>
          <w:u w:val="single"/>
        </w:rPr>
      </w:pPr>
      <w:r w:rsidRPr="00D407BD">
        <w:rPr>
          <w:szCs w:val="24"/>
        </w:rPr>
        <w:t>TRUVADA</w:t>
      </w:r>
      <w:r w:rsidR="00B3538D" w:rsidRPr="00D407BD">
        <w:rPr>
          <w:color w:val="000000"/>
          <w:szCs w:val="24"/>
        </w:rPr>
        <w:t xml:space="preserve"> tablets contain the following ingredients as </w:t>
      </w:r>
      <w:r w:rsidR="00B3538D" w:rsidRPr="00D407BD">
        <w:rPr>
          <w:color w:val="000000"/>
          <w:szCs w:val="24"/>
          <w:u w:val="single"/>
        </w:rPr>
        <w:t>excipients</w:t>
      </w:r>
      <w:r w:rsidR="0026191B" w:rsidRPr="00D407BD">
        <w:rPr>
          <w:color w:val="000000"/>
          <w:szCs w:val="24"/>
          <w:u w:val="single"/>
        </w:rPr>
        <w:t xml:space="preserve">: </w:t>
      </w:r>
    </w:p>
    <w:p w:rsidR="00B6496F" w:rsidRPr="00D407BD" w:rsidRDefault="00B6496F" w:rsidP="00E7636B">
      <w:pPr>
        <w:rPr>
          <w:color w:val="000000"/>
          <w:szCs w:val="24"/>
        </w:rPr>
      </w:pPr>
      <w:r w:rsidRPr="00D407BD">
        <w:rPr>
          <w:i/>
          <w:color w:val="000000"/>
          <w:szCs w:val="24"/>
        </w:rPr>
        <w:t>Core:</w:t>
      </w:r>
      <w:r w:rsidRPr="00D407BD">
        <w:rPr>
          <w:color w:val="000000"/>
          <w:szCs w:val="24"/>
        </w:rPr>
        <w:t xml:space="preserve"> </w:t>
      </w:r>
      <w:proofErr w:type="spellStart"/>
      <w:r w:rsidR="0026191B" w:rsidRPr="00D407BD">
        <w:rPr>
          <w:color w:val="000000"/>
          <w:szCs w:val="24"/>
        </w:rPr>
        <w:t>croscarmellose</w:t>
      </w:r>
      <w:proofErr w:type="spellEnd"/>
      <w:r w:rsidR="0026191B" w:rsidRPr="00D407BD">
        <w:rPr>
          <w:color w:val="000000"/>
          <w:szCs w:val="24"/>
        </w:rPr>
        <w:t xml:space="preserve"> sodium, lactose, magnesium stearate (E572), microcrystalline cellulose (E460) and </w:t>
      </w:r>
      <w:proofErr w:type="spellStart"/>
      <w:r w:rsidR="0026191B" w:rsidRPr="00D407BD">
        <w:rPr>
          <w:color w:val="000000"/>
          <w:szCs w:val="24"/>
        </w:rPr>
        <w:t>pregelatinised</w:t>
      </w:r>
      <w:proofErr w:type="spellEnd"/>
      <w:r w:rsidR="0026191B" w:rsidRPr="00D407BD">
        <w:rPr>
          <w:color w:val="000000"/>
          <w:szCs w:val="24"/>
        </w:rPr>
        <w:t xml:space="preserve"> </w:t>
      </w:r>
      <w:r w:rsidR="00321E8F" w:rsidRPr="00D407BD">
        <w:rPr>
          <w:color w:val="000000"/>
          <w:szCs w:val="24"/>
        </w:rPr>
        <w:t xml:space="preserve">maize </w:t>
      </w:r>
      <w:r w:rsidR="0026191B" w:rsidRPr="00D407BD">
        <w:rPr>
          <w:color w:val="000000"/>
          <w:szCs w:val="24"/>
        </w:rPr>
        <w:t>starch</w:t>
      </w:r>
      <w:r w:rsidR="005869E7" w:rsidRPr="00D407BD">
        <w:rPr>
          <w:color w:val="000000"/>
          <w:szCs w:val="24"/>
        </w:rPr>
        <w:t>.</w:t>
      </w:r>
      <w:r w:rsidR="00A1627E" w:rsidRPr="00D407BD">
        <w:rPr>
          <w:color w:val="000000"/>
          <w:szCs w:val="24"/>
        </w:rPr>
        <w:t xml:space="preserve">  </w:t>
      </w:r>
      <w:r w:rsidRPr="00D407BD">
        <w:rPr>
          <w:i/>
          <w:color w:val="000000"/>
          <w:szCs w:val="24"/>
        </w:rPr>
        <w:t>Coating:</w:t>
      </w:r>
      <w:r w:rsidR="00B5510F" w:rsidRPr="00D407BD">
        <w:rPr>
          <w:color w:val="000000"/>
          <w:szCs w:val="24"/>
        </w:rPr>
        <w:t xml:space="preserve"> </w:t>
      </w:r>
      <w:r w:rsidR="00B5510F" w:rsidRPr="00D407BD">
        <w:rPr>
          <w:bCs/>
          <w:iCs/>
          <w:szCs w:val="24"/>
        </w:rPr>
        <w:t>glycerol triacetate</w:t>
      </w:r>
      <w:r w:rsidR="0026191B" w:rsidRPr="00D407BD">
        <w:rPr>
          <w:color w:val="000000"/>
          <w:szCs w:val="24"/>
        </w:rPr>
        <w:t xml:space="preserve">, </w:t>
      </w:r>
      <w:proofErr w:type="spellStart"/>
      <w:r w:rsidR="0026191B" w:rsidRPr="00D407BD">
        <w:rPr>
          <w:color w:val="000000"/>
          <w:szCs w:val="24"/>
        </w:rPr>
        <w:t>hypromellose</w:t>
      </w:r>
      <w:proofErr w:type="spellEnd"/>
      <w:r w:rsidR="0026191B" w:rsidRPr="00D407BD">
        <w:rPr>
          <w:color w:val="000000"/>
          <w:szCs w:val="24"/>
        </w:rPr>
        <w:t xml:space="preserve"> (E464), indigo carmine </w:t>
      </w:r>
      <w:proofErr w:type="spellStart"/>
      <w:r w:rsidR="0026191B" w:rsidRPr="00D407BD">
        <w:rPr>
          <w:color w:val="000000"/>
          <w:szCs w:val="24"/>
        </w:rPr>
        <w:t>aluminium</w:t>
      </w:r>
      <w:proofErr w:type="spellEnd"/>
      <w:r w:rsidR="0026191B" w:rsidRPr="00D407BD">
        <w:rPr>
          <w:color w:val="000000"/>
          <w:szCs w:val="24"/>
        </w:rPr>
        <w:t xml:space="preserve"> lake (E132), lactose, titanium dioxide (E171)</w:t>
      </w:r>
      <w:r w:rsidR="00071704" w:rsidRPr="00D407BD">
        <w:rPr>
          <w:color w:val="000000"/>
          <w:szCs w:val="24"/>
        </w:rPr>
        <w:t>.</w:t>
      </w:r>
    </w:p>
    <w:p w:rsidR="00A1627E" w:rsidRPr="00D407BD" w:rsidRDefault="00A1627E" w:rsidP="00E7636B">
      <w:pPr>
        <w:rPr>
          <w:color w:val="000000"/>
          <w:szCs w:val="24"/>
        </w:rPr>
      </w:pPr>
    </w:p>
    <w:p w:rsidR="00071704" w:rsidRPr="00D407BD" w:rsidRDefault="00071704" w:rsidP="00E7636B">
      <w:pPr>
        <w:rPr>
          <w:szCs w:val="24"/>
        </w:rPr>
      </w:pPr>
      <w:r w:rsidRPr="00D407BD">
        <w:rPr>
          <w:color w:val="000000"/>
          <w:szCs w:val="24"/>
        </w:rPr>
        <w:t xml:space="preserve">Each </w:t>
      </w:r>
      <w:r w:rsidR="00E410F0" w:rsidRPr="00D407BD">
        <w:rPr>
          <w:szCs w:val="24"/>
        </w:rPr>
        <w:t>TRUVADA</w:t>
      </w:r>
      <w:r w:rsidRPr="00D407BD">
        <w:rPr>
          <w:color w:val="000000"/>
          <w:szCs w:val="24"/>
        </w:rPr>
        <w:t xml:space="preserve"> tablet is </w:t>
      </w:r>
      <w:r w:rsidRPr="00D407BD">
        <w:rPr>
          <w:snapToGrid w:val="0"/>
          <w:szCs w:val="24"/>
        </w:rPr>
        <w:t xml:space="preserve">capsule-shaped and blue in </w:t>
      </w:r>
      <w:proofErr w:type="spellStart"/>
      <w:r w:rsidRPr="00D407BD">
        <w:rPr>
          <w:snapToGrid w:val="0"/>
          <w:szCs w:val="24"/>
        </w:rPr>
        <w:t>colour</w:t>
      </w:r>
      <w:proofErr w:type="spellEnd"/>
      <w:r w:rsidRPr="00D407BD">
        <w:rPr>
          <w:snapToGrid w:val="0"/>
          <w:szCs w:val="24"/>
        </w:rPr>
        <w:t xml:space="preserve">.  Each tablet is </w:t>
      </w:r>
      <w:r w:rsidR="00086D89" w:rsidRPr="00D407BD">
        <w:rPr>
          <w:snapToGrid w:val="0"/>
          <w:szCs w:val="24"/>
        </w:rPr>
        <w:t>debossed</w:t>
      </w:r>
      <w:r w:rsidRPr="00D407BD">
        <w:rPr>
          <w:snapToGrid w:val="0"/>
          <w:szCs w:val="24"/>
        </w:rPr>
        <w:t xml:space="preserve"> on one side with the word “GILEAD” and on the other side with “701”.  </w:t>
      </w:r>
      <w:r w:rsidR="00086D89" w:rsidRPr="00D407BD">
        <w:rPr>
          <w:szCs w:val="24"/>
        </w:rPr>
        <w:t xml:space="preserve">The tablets </w:t>
      </w:r>
      <w:r w:rsidRPr="00D407BD">
        <w:rPr>
          <w:snapToGrid w:val="0"/>
          <w:szCs w:val="24"/>
        </w:rPr>
        <w:t xml:space="preserve">are supplied in bottles </w:t>
      </w:r>
      <w:r w:rsidR="00086D89" w:rsidRPr="00D407BD">
        <w:rPr>
          <w:snapToGrid w:val="0"/>
          <w:szCs w:val="24"/>
        </w:rPr>
        <w:t xml:space="preserve">with </w:t>
      </w:r>
      <w:r w:rsidR="00972089" w:rsidRPr="00D407BD">
        <w:rPr>
          <w:snapToGrid w:val="0"/>
          <w:szCs w:val="24"/>
        </w:rPr>
        <w:t xml:space="preserve">screw cap </w:t>
      </w:r>
      <w:r w:rsidR="00086D89" w:rsidRPr="00D407BD">
        <w:rPr>
          <w:snapToGrid w:val="0"/>
          <w:szCs w:val="24"/>
        </w:rPr>
        <w:t>closures.</w:t>
      </w:r>
    </w:p>
    <w:p w:rsidR="007F553A" w:rsidRPr="00F509F7" w:rsidRDefault="00E7636B" w:rsidP="00E7636B">
      <w:pPr>
        <w:pStyle w:val="Heading3"/>
        <w:jc w:val="both"/>
        <w:rPr>
          <w:rFonts w:ascii="Times New Roman" w:hAnsi="Times New Roman"/>
          <w:bCs/>
          <w:i w:val="0"/>
          <w:sz w:val="24"/>
          <w:szCs w:val="24"/>
        </w:rPr>
      </w:pPr>
      <w:r w:rsidRPr="00F509F7">
        <w:rPr>
          <w:rFonts w:ascii="Times New Roman" w:hAnsi="Times New Roman"/>
          <w:bCs/>
          <w:i w:val="0"/>
          <w:sz w:val="24"/>
          <w:szCs w:val="24"/>
        </w:rPr>
        <w:t>PHARMACOLOGY</w:t>
      </w:r>
    </w:p>
    <w:p w:rsidR="00A1627E" w:rsidRPr="00D407BD" w:rsidRDefault="00A1627E" w:rsidP="00A1627E">
      <w:pPr>
        <w:rPr>
          <w:szCs w:val="24"/>
        </w:rPr>
      </w:pPr>
    </w:p>
    <w:p w:rsidR="00881B32" w:rsidRPr="00D407BD" w:rsidRDefault="00881B32" w:rsidP="00E7636B">
      <w:pPr>
        <w:rPr>
          <w:color w:val="000000"/>
          <w:szCs w:val="24"/>
        </w:rPr>
      </w:pP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and </w:t>
      </w:r>
      <w:proofErr w:type="spellStart"/>
      <w:r w:rsidRPr="00D407BD">
        <w:rPr>
          <w:szCs w:val="24"/>
        </w:rPr>
        <w:t>emtricitabine</w:t>
      </w:r>
      <w:proofErr w:type="spellEnd"/>
      <w:r w:rsidRPr="00D407BD">
        <w:rPr>
          <w:szCs w:val="24"/>
        </w:rPr>
        <w:t xml:space="preserve"> belong to the n</w:t>
      </w:r>
      <w:r w:rsidRPr="00D407BD">
        <w:rPr>
          <w:color w:val="000000"/>
          <w:szCs w:val="24"/>
        </w:rPr>
        <w:t xml:space="preserve">ucleoside and nucleotide reverse transcriptase inhibitors </w:t>
      </w:r>
      <w:proofErr w:type="spellStart"/>
      <w:r w:rsidRPr="00D407BD">
        <w:rPr>
          <w:color w:val="000000"/>
          <w:szCs w:val="24"/>
        </w:rPr>
        <w:t>pharmacotherapeutic</w:t>
      </w:r>
      <w:proofErr w:type="spellEnd"/>
      <w:r w:rsidRPr="00D407BD">
        <w:rPr>
          <w:color w:val="000000"/>
          <w:szCs w:val="24"/>
        </w:rPr>
        <w:t xml:space="preserve"> group (ATC code: J05AF30).</w:t>
      </w:r>
    </w:p>
    <w:p w:rsidR="00A1627E" w:rsidRPr="00D407BD" w:rsidRDefault="00A1627E" w:rsidP="00E7636B">
      <w:pPr>
        <w:rPr>
          <w:color w:val="000000"/>
          <w:szCs w:val="24"/>
        </w:rPr>
      </w:pPr>
    </w:p>
    <w:p w:rsidR="00646D89" w:rsidRPr="00D407BD" w:rsidRDefault="00646D89" w:rsidP="00E7636B">
      <w:pPr>
        <w:rPr>
          <w:szCs w:val="24"/>
        </w:rPr>
      </w:pPr>
      <w:proofErr w:type="spellStart"/>
      <w:r w:rsidRPr="00D407BD">
        <w:rPr>
          <w:b/>
          <w:i/>
          <w:szCs w:val="24"/>
        </w:rPr>
        <w:t>Tenofovir</w:t>
      </w:r>
      <w:proofErr w:type="spellEnd"/>
      <w:r w:rsidRPr="00D407BD">
        <w:rPr>
          <w:b/>
          <w:i/>
          <w:szCs w:val="24"/>
        </w:rPr>
        <w:t xml:space="preserve"> </w:t>
      </w:r>
      <w:proofErr w:type="spellStart"/>
      <w:r w:rsidRPr="00D407BD">
        <w:rPr>
          <w:b/>
          <w:i/>
          <w:szCs w:val="24"/>
        </w:rPr>
        <w:t>disoproxil</w:t>
      </w:r>
      <w:proofErr w:type="spellEnd"/>
      <w:r w:rsidRPr="00D407BD">
        <w:rPr>
          <w:b/>
          <w:i/>
          <w:szCs w:val="24"/>
        </w:rPr>
        <w:t xml:space="preserve"> fumarate</w:t>
      </w:r>
      <w:r w:rsidRPr="00D407BD">
        <w:rPr>
          <w:szCs w:val="24"/>
        </w:rPr>
        <w:t xml:space="preserve">: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is an acyclic nucleoside phosphonate </w:t>
      </w:r>
      <w:proofErr w:type="spellStart"/>
      <w:r w:rsidRPr="00D407BD">
        <w:rPr>
          <w:szCs w:val="24"/>
        </w:rPr>
        <w:t>diester</w:t>
      </w:r>
      <w:proofErr w:type="spellEnd"/>
      <w:r w:rsidRPr="00D407BD">
        <w:rPr>
          <w:szCs w:val="24"/>
        </w:rPr>
        <w:t xml:space="preserve"> analog of adenosine monophosphate.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requires initial </w:t>
      </w:r>
      <w:proofErr w:type="spellStart"/>
      <w:r w:rsidRPr="00D407BD">
        <w:rPr>
          <w:szCs w:val="24"/>
        </w:rPr>
        <w:t>diester</w:t>
      </w:r>
      <w:proofErr w:type="spellEnd"/>
      <w:r w:rsidRPr="00D407BD">
        <w:rPr>
          <w:szCs w:val="24"/>
        </w:rPr>
        <w:t xml:space="preserve"> hydrolysis for conversion to </w:t>
      </w:r>
      <w:proofErr w:type="spellStart"/>
      <w:r w:rsidRPr="00D407BD">
        <w:rPr>
          <w:szCs w:val="24"/>
        </w:rPr>
        <w:t>tenofovir</w:t>
      </w:r>
      <w:proofErr w:type="spellEnd"/>
      <w:r w:rsidRPr="00D407BD">
        <w:rPr>
          <w:szCs w:val="24"/>
        </w:rPr>
        <w:t xml:space="preserve"> and subsequent </w:t>
      </w:r>
      <w:proofErr w:type="spellStart"/>
      <w:r w:rsidRPr="00D407BD">
        <w:rPr>
          <w:szCs w:val="24"/>
        </w:rPr>
        <w:t>phosphorylations</w:t>
      </w:r>
      <w:proofErr w:type="spellEnd"/>
      <w:r w:rsidRPr="00D407BD">
        <w:rPr>
          <w:szCs w:val="24"/>
        </w:rPr>
        <w:t xml:space="preserve"> by cellular enzymes to form </w:t>
      </w:r>
      <w:proofErr w:type="spellStart"/>
      <w:r w:rsidRPr="00D407BD">
        <w:rPr>
          <w:szCs w:val="24"/>
        </w:rPr>
        <w:t>tenofovir</w:t>
      </w:r>
      <w:proofErr w:type="spellEnd"/>
      <w:r w:rsidRPr="00D407BD">
        <w:rPr>
          <w:szCs w:val="24"/>
        </w:rPr>
        <w:t xml:space="preserve"> diphosphate.  </w:t>
      </w:r>
      <w:proofErr w:type="spellStart"/>
      <w:r w:rsidRPr="00D407BD">
        <w:rPr>
          <w:szCs w:val="24"/>
        </w:rPr>
        <w:t>Tenofovir</w:t>
      </w:r>
      <w:proofErr w:type="spellEnd"/>
      <w:r w:rsidRPr="00D407BD">
        <w:rPr>
          <w:szCs w:val="24"/>
        </w:rPr>
        <w:t xml:space="preserve"> diphosphate inhibits the activity of HIV-1 reverse transcriptase by competing with the natural substrate deoxyadenosine 5′-triphosphate and, after incorporation into DNA, by DNA chain termination.  </w:t>
      </w:r>
      <w:proofErr w:type="spellStart"/>
      <w:r w:rsidRPr="00D407BD">
        <w:rPr>
          <w:szCs w:val="24"/>
        </w:rPr>
        <w:t>Tenofovir</w:t>
      </w:r>
      <w:proofErr w:type="spellEnd"/>
      <w:r w:rsidRPr="00D407BD">
        <w:rPr>
          <w:szCs w:val="24"/>
        </w:rPr>
        <w:t xml:space="preserve"> diphosphate is a weak inhibitor of mammalian DNA </w:t>
      </w:r>
      <w:proofErr w:type="gramStart"/>
      <w:r w:rsidRPr="00D407BD">
        <w:rPr>
          <w:szCs w:val="24"/>
        </w:rPr>
        <w:t xml:space="preserve">polymerases </w:t>
      </w:r>
      <w:proofErr w:type="gramEnd"/>
      <w:r w:rsidRPr="00D407BD">
        <w:rPr>
          <w:szCs w:val="24"/>
        </w:rPr>
        <w:sym w:font="Symbol" w:char="0061"/>
      </w:r>
      <w:r w:rsidRPr="00D407BD">
        <w:rPr>
          <w:szCs w:val="24"/>
        </w:rPr>
        <w:t xml:space="preserve">, </w:t>
      </w:r>
      <w:r w:rsidRPr="00D407BD">
        <w:rPr>
          <w:szCs w:val="24"/>
        </w:rPr>
        <w:sym w:font="Symbol" w:char="0062"/>
      </w:r>
      <w:r w:rsidRPr="00D407BD">
        <w:rPr>
          <w:szCs w:val="24"/>
        </w:rPr>
        <w:t xml:space="preserve">, and mitochondrial DNA polymerase </w:t>
      </w:r>
      <w:r w:rsidRPr="00D407BD">
        <w:rPr>
          <w:szCs w:val="24"/>
        </w:rPr>
        <w:sym w:font="Symbol" w:char="0067"/>
      </w:r>
      <w:r w:rsidRPr="00D407BD">
        <w:rPr>
          <w:szCs w:val="24"/>
        </w:rPr>
        <w:t>.</w:t>
      </w:r>
    </w:p>
    <w:p w:rsidR="00A1627E" w:rsidRPr="00D407BD" w:rsidRDefault="00A1627E" w:rsidP="00E7636B">
      <w:pPr>
        <w:rPr>
          <w:szCs w:val="24"/>
        </w:rPr>
      </w:pPr>
    </w:p>
    <w:p w:rsidR="00C3388F" w:rsidRPr="00D407BD" w:rsidRDefault="00646D89" w:rsidP="00E7636B">
      <w:pPr>
        <w:rPr>
          <w:szCs w:val="24"/>
        </w:rPr>
      </w:pPr>
      <w:proofErr w:type="spellStart"/>
      <w:r w:rsidRPr="00D407BD">
        <w:rPr>
          <w:b/>
          <w:i/>
          <w:szCs w:val="24"/>
        </w:rPr>
        <w:t>Emtricitabine</w:t>
      </w:r>
      <w:proofErr w:type="spellEnd"/>
      <w:r w:rsidRPr="00D407BD">
        <w:rPr>
          <w:szCs w:val="24"/>
        </w:rPr>
        <w:t xml:space="preserve">: </w:t>
      </w:r>
      <w:proofErr w:type="spellStart"/>
      <w:r w:rsidRPr="00D407BD">
        <w:rPr>
          <w:szCs w:val="24"/>
        </w:rPr>
        <w:t>Emtricitabine</w:t>
      </w:r>
      <w:proofErr w:type="spellEnd"/>
      <w:r w:rsidRPr="00D407BD">
        <w:rPr>
          <w:szCs w:val="24"/>
        </w:rPr>
        <w:t>, a synthetic nucleoside analog of cyt</w:t>
      </w:r>
      <w:r w:rsidR="00DC7153" w:rsidRPr="00D407BD">
        <w:rPr>
          <w:szCs w:val="24"/>
        </w:rPr>
        <w:t>id</w:t>
      </w:r>
      <w:r w:rsidRPr="00D407BD">
        <w:rPr>
          <w:szCs w:val="24"/>
        </w:rPr>
        <w:t xml:space="preserve">ine, is phosphorylated by cellular enzymes to form </w:t>
      </w:r>
      <w:proofErr w:type="spellStart"/>
      <w:r w:rsidRPr="00D407BD">
        <w:rPr>
          <w:szCs w:val="24"/>
        </w:rPr>
        <w:t>emtricitabine</w:t>
      </w:r>
      <w:proofErr w:type="spellEnd"/>
      <w:r w:rsidRPr="00D407BD">
        <w:rPr>
          <w:szCs w:val="24"/>
        </w:rPr>
        <w:t xml:space="preserve"> 5'-triphosphate. </w:t>
      </w:r>
      <w:proofErr w:type="spellStart"/>
      <w:r w:rsidRPr="00D407BD">
        <w:rPr>
          <w:szCs w:val="24"/>
        </w:rPr>
        <w:t>Emtricitabine</w:t>
      </w:r>
      <w:proofErr w:type="spellEnd"/>
      <w:r w:rsidRPr="00D407BD">
        <w:rPr>
          <w:szCs w:val="24"/>
        </w:rPr>
        <w:t xml:space="preserve"> 5'-triphosphate inhibits the activity of the HIV-1 reverse transcriptase by competing with the natural substrate deoxycytidine 5'-triphosphate by being incorporated into nascent viral DNA which results in chain termination. </w:t>
      </w:r>
      <w:r w:rsidRPr="00D407BD">
        <w:rPr>
          <w:vanish/>
          <w:szCs w:val="24"/>
        </w:rPr>
        <w:t xml:space="preserve"> </w:t>
      </w:r>
      <w:proofErr w:type="spellStart"/>
      <w:r w:rsidRPr="00D407BD">
        <w:rPr>
          <w:szCs w:val="24"/>
        </w:rPr>
        <w:t>Emtricitabine</w:t>
      </w:r>
      <w:proofErr w:type="spellEnd"/>
      <w:r w:rsidRPr="00D407BD">
        <w:rPr>
          <w:szCs w:val="24"/>
        </w:rPr>
        <w:t xml:space="preserve"> 5′-triphosphate is a weak inhibitor of mammalian DNA </w:t>
      </w:r>
      <w:proofErr w:type="gramStart"/>
      <w:r w:rsidRPr="00D407BD">
        <w:rPr>
          <w:szCs w:val="24"/>
        </w:rPr>
        <w:t xml:space="preserve">polymerase </w:t>
      </w:r>
      <w:proofErr w:type="gramEnd"/>
      <w:r w:rsidRPr="00D407BD">
        <w:rPr>
          <w:szCs w:val="24"/>
        </w:rPr>
        <w:sym w:font="Symbol" w:char="0061"/>
      </w:r>
      <w:r w:rsidRPr="00D407BD">
        <w:rPr>
          <w:szCs w:val="24"/>
        </w:rPr>
        <w:t xml:space="preserve">, </w:t>
      </w:r>
      <w:r w:rsidRPr="00D407BD">
        <w:rPr>
          <w:szCs w:val="24"/>
        </w:rPr>
        <w:sym w:font="Symbol" w:char="0062"/>
      </w:r>
      <w:r w:rsidRPr="00D407BD">
        <w:rPr>
          <w:szCs w:val="24"/>
        </w:rPr>
        <w:t xml:space="preserve">, </w:t>
      </w:r>
      <w:r w:rsidRPr="00D407BD">
        <w:rPr>
          <w:szCs w:val="24"/>
        </w:rPr>
        <w:sym w:font="Symbol" w:char="0065"/>
      </w:r>
      <w:r w:rsidRPr="00D407BD">
        <w:rPr>
          <w:szCs w:val="24"/>
        </w:rPr>
        <w:t xml:space="preserve"> and mitochondrial DNA polymerase </w:t>
      </w:r>
      <w:r w:rsidRPr="00D407BD">
        <w:rPr>
          <w:szCs w:val="24"/>
        </w:rPr>
        <w:sym w:font="Symbol" w:char="0067"/>
      </w:r>
      <w:r w:rsidRPr="00D407BD">
        <w:rPr>
          <w:szCs w:val="24"/>
        </w:rPr>
        <w:t>.</w:t>
      </w:r>
    </w:p>
    <w:p w:rsidR="00646D89" w:rsidRPr="00D407BD" w:rsidRDefault="00646D89" w:rsidP="00E7636B">
      <w:pPr>
        <w:rPr>
          <w:b/>
          <w:color w:val="000000"/>
          <w:szCs w:val="24"/>
        </w:rPr>
      </w:pPr>
    </w:p>
    <w:p w:rsidR="006B1855" w:rsidRPr="00D407BD" w:rsidRDefault="00A767FD" w:rsidP="00E7636B">
      <w:pPr>
        <w:autoSpaceDE w:val="0"/>
        <w:autoSpaceDN w:val="0"/>
        <w:adjustRightInd w:val="0"/>
        <w:rPr>
          <w:i/>
          <w:szCs w:val="24"/>
        </w:rPr>
      </w:pPr>
      <w:r w:rsidRPr="00D407BD">
        <w:rPr>
          <w:b/>
          <w:i/>
          <w:szCs w:val="24"/>
        </w:rPr>
        <w:t>Antiviral activity in vitro</w:t>
      </w:r>
      <w:r w:rsidRPr="00D407BD">
        <w:rPr>
          <w:i/>
          <w:szCs w:val="24"/>
        </w:rPr>
        <w:t xml:space="preserve">: </w:t>
      </w:r>
    </w:p>
    <w:p w:rsidR="00C3388F" w:rsidRPr="00D407BD" w:rsidRDefault="00C3388F" w:rsidP="00E7636B">
      <w:pPr>
        <w:autoSpaceDE w:val="0"/>
        <w:autoSpaceDN w:val="0"/>
        <w:adjustRightInd w:val="0"/>
        <w:rPr>
          <w:szCs w:val="24"/>
        </w:rPr>
      </w:pPr>
    </w:p>
    <w:p w:rsidR="00A1627E" w:rsidRPr="00F94460" w:rsidRDefault="003B6292" w:rsidP="00F94460">
      <w:pPr>
        <w:pStyle w:val="Text10"/>
      </w:pPr>
      <w:proofErr w:type="spellStart"/>
      <w:r w:rsidRPr="00D407BD">
        <w:rPr>
          <w:b/>
          <w:i/>
          <w:szCs w:val="24"/>
        </w:rPr>
        <w:t>Tenofovir</w:t>
      </w:r>
      <w:proofErr w:type="spellEnd"/>
      <w:r w:rsidRPr="00D407BD">
        <w:rPr>
          <w:b/>
          <w:i/>
          <w:szCs w:val="24"/>
        </w:rPr>
        <w:t xml:space="preserve"> </w:t>
      </w:r>
      <w:proofErr w:type="spellStart"/>
      <w:r w:rsidRPr="00D407BD">
        <w:rPr>
          <w:b/>
          <w:i/>
          <w:szCs w:val="24"/>
        </w:rPr>
        <w:t>disoproxil</w:t>
      </w:r>
      <w:proofErr w:type="spellEnd"/>
      <w:r w:rsidRPr="00D407BD">
        <w:rPr>
          <w:b/>
          <w:i/>
          <w:szCs w:val="24"/>
        </w:rPr>
        <w:t xml:space="preserve"> fumarate </w:t>
      </w:r>
      <w:r w:rsidR="00433E0A" w:rsidRPr="00D407BD">
        <w:rPr>
          <w:b/>
          <w:i/>
          <w:szCs w:val="24"/>
        </w:rPr>
        <w:t>p</w:t>
      </w:r>
      <w:r w:rsidRPr="00D407BD">
        <w:rPr>
          <w:b/>
          <w:i/>
          <w:szCs w:val="24"/>
        </w:rPr>
        <w:t xml:space="preserve">lus </w:t>
      </w:r>
      <w:proofErr w:type="spellStart"/>
      <w:r w:rsidRPr="00D407BD">
        <w:rPr>
          <w:b/>
          <w:i/>
          <w:szCs w:val="24"/>
        </w:rPr>
        <w:t>Emtricitabine</w:t>
      </w:r>
      <w:proofErr w:type="spellEnd"/>
      <w:r w:rsidRPr="00D407BD">
        <w:rPr>
          <w:b/>
          <w:i/>
          <w:szCs w:val="24"/>
        </w:rPr>
        <w:t>:</w:t>
      </w:r>
      <w:r w:rsidRPr="00D407BD">
        <w:rPr>
          <w:szCs w:val="24"/>
        </w:rPr>
        <w:t xml:space="preserve"> In combination studies evaluating the in vitro antiviral activity of </w:t>
      </w:r>
      <w:proofErr w:type="spellStart"/>
      <w:r w:rsidRPr="00D407BD">
        <w:rPr>
          <w:szCs w:val="24"/>
        </w:rPr>
        <w:t>tenofovir</w:t>
      </w:r>
      <w:proofErr w:type="spellEnd"/>
      <w:r w:rsidRPr="00D407BD">
        <w:rPr>
          <w:szCs w:val="24"/>
        </w:rPr>
        <w:t xml:space="preserve"> and </w:t>
      </w:r>
      <w:proofErr w:type="spellStart"/>
      <w:r w:rsidRPr="00D407BD">
        <w:rPr>
          <w:szCs w:val="24"/>
        </w:rPr>
        <w:t>emtricitabine</w:t>
      </w:r>
      <w:proofErr w:type="spellEnd"/>
      <w:r w:rsidRPr="00D407BD">
        <w:rPr>
          <w:szCs w:val="24"/>
        </w:rPr>
        <w:t xml:space="preserve"> together, synergistic antiviral effects were observed.</w:t>
      </w:r>
      <w:r w:rsidR="00F94460" w:rsidRPr="00F94460">
        <w:t xml:space="preserve"> </w:t>
      </w:r>
      <w:r w:rsidR="00F94460" w:rsidRPr="006820EC">
        <w:t xml:space="preserve">Additive to synergistic effects were observed in combination studies with protease </w:t>
      </w:r>
      <w:r w:rsidR="00F94460" w:rsidRPr="006820EC">
        <w:lastRenderedPageBreak/>
        <w:t xml:space="preserve">inhibitors, </w:t>
      </w:r>
      <w:r w:rsidR="00F94460" w:rsidRPr="009825FD">
        <w:rPr>
          <w:sz w:val="23"/>
          <w:szCs w:val="23"/>
        </w:rPr>
        <w:t>integrase strand transfer inhibitors,</w:t>
      </w:r>
      <w:r w:rsidR="00F94460">
        <w:rPr>
          <w:color w:val="FF0000"/>
          <w:sz w:val="23"/>
          <w:szCs w:val="23"/>
        </w:rPr>
        <w:t xml:space="preserve"> </w:t>
      </w:r>
      <w:r w:rsidR="00F94460" w:rsidRPr="006820EC">
        <w:t>and with nucleoside and non-nucleoside analogue inhibitors of HIV</w:t>
      </w:r>
      <w:r w:rsidR="00F94460" w:rsidRPr="006820EC">
        <w:noBreakHyphen/>
        <w:t>1 reverse transcriptase.</w:t>
      </w:r>
    </w:p>
    <w:p w:rsidR="00A1627E" w:rsidRPr="00D407BD" w:rsidRDefault="003B6292" w:rsidP="00E7636B">
      <w:pPr>
        <w:rPr>
          <w:szCs w:val="24"/>
        </w:rPr>
      </w:pPr>
      <w:proofErr w:type="spellStart"/>
      <w:r w:rsidRPr="00D407BD">
        <w:rPr>
          <w:b/>
          <w:i/>
          <w:szCs w:val="24"/>
        </w:rPr>
        <w:t>Tenofovir</w:t>
      </w:r>
      <w:proofErr w:type="spellEnd"/>
      <w:r w:rsidRPr="00D407BD">
        <w:rPr>
          <w:b/>
          <w:i/>
          <w:szCs w:val="24"/>
        </w:rPr>
        <w:t xml:space="preserve"> </w:t>
      </w:r>
      <w:proofErr w:type="spellStart"/>
      <w:r w:rsidRPr="00D407BD">
        <w:rPr>
          <w:b/>
          <w:i/>
          <w:szCs w:val="24"/>
        </w:rPr>
        <w:t>disoproxil</w:t>
      </w:r>
      <w:proofErr w:type="spellEnd"/>
      <w:r w:rsidRPr="00D407BD">
        <w:rPr>
          <w:b/>
          <w:i/>
          <w:szCs w:val="24"/>
        </w:rPr>
        <w:t xml:space="preserve"> fumarate: </w:t>
      </w:r>
      <w:r w:rsidRPr="00D407BD">
        <w:rPr>
          <w:szCs w:val="24"/>
        </w:rPr>
        <w:t xml:space="preserve">The in vitro antiviral activity of </w:t>
      </w:r>
      <w:proofErr w:type="spellStart"/>
      <w:r w:rsidRPr="00D407BD">
        <w:rPr>
          <w:szCs w:val="24"/>
        </w:rPr>
        <w:t>tenofovir</w:t>
      </w:r>
      <w:proofErr w:type="spellEnd"/>
      <w:r w:rsidRPr="00D407BD">
        <w:rPr>
          <w:szCs w:val="24"/>
        </w:rPr>
        <w:t xml:space="preserve"> against laboratory and clinical isolates of HIV-1 was assessed in </w:t>
      </w:r>
      <w:proofErr w:type="spellStart"/>
      <w:r w:rsidRPr="00D407BD">
        <w:rPr>
          <w:szCs w:val="24"/>
        </w:rPr>
        <w:t>lymphoblastoid</w:t>
      </w:r>
      <w:proofErr w:type="spellEnd"/>
      <w:r w:rsidRPr="00D407BD">
        <w:rPr>
          <w:szCs w:val="24"/>
        </w:rPr>
        <w:t xml:space="preserve"> cell lines, primary monocyte/macrophage cells and peripheral blood lymphocytes.  The IC</w:t>
      </w:r>
      <w:r w:rsidRPr="00D407BD">
        <w:rPr>
          <w:szCs w:val="24"/>
          <w:vertAlign w:val="subscript"/>
        </w:rPr>
        <w:t>50</w:t>
      </w:r>
      <w:r w:rsidRPr="00D407BD">
        <w:rPr>
          <w:szCs w:val="24"/>
        </w:rPr>
        <w:t xml:space="preserve"> (50% inhibitory concentration) values for </w:t>
      </w:r>
      <w:proofErr w:type="spellStart"/>
      <w:r w:rsidRPr="00D407BD">
        <w:rPr>
          <w:szCs w:val="24"/>
        </w:rPr>
        <w:t>tenofovir</w:t>
      </w:r>
      <w:proofErr w:type="spellEnd"/>
      <w:r w:rsidRPr="00D407BD">
        <w:rPr>
          <w:szCs w:val="24"/>
        </w:rPr>
        <w:t xml:space="preserve"> were in the range of 0.04</w:t>
      </w:r>
      <w:r w:rsidRPr="00D407BD">
        <w:rPr>
          <w:szCs w:val="24"/>
        </w:rPr>
        <w:sym w:font="Symbol" w:char="002D"/>
      </w:r>
      <w:r w:rsidRPr="00D407BD">
        <w:rPr>
          <w:szCs w:val="24"/>
        </w:rPr>
        <w:t xml:space="preserve">8.5 µM.  In drug combination studies of </w:t>
      </w:r>
      <w:proofErr w:type="spellStart"/>
      <w:r w:rsidRPr="00D407BD">
        <w:rPr>
          <w:szCs w:val="24"/>
        </w:rPr>
        <w:t>tenofovir</w:t>
      </w:r>
      <w:proofErr w:type="spellEnd"/>
      <w:r w:rsidRPr="00D407BD">
        <w:rPr>
          <w:szCs w:val="24"/>
        </w:rPr>
        <w:t xml:space="preserve"> with nucleoside reverse transcriptase inhibitors (</w:t>
      </w:r>
      <w:proofErr w:type="spellStart"/>
      <w:r w:rsidRPr="00D407BD">
        <w:rPr>
          <w:szCs w:val="24"/>
        </w:rPr>
        <w:t>abacavir</w:t>
      </w:r>
      <w:proofErr w:type="spellEnd"/>
      <w:r w:rsidRPr="00D407BD">
        <w:rPr>
          <w:szCs w:val="24"/>
        </w:rPr>
        <w:t xml:space="preserve">, </w:t>
      </w:r>
      <w:proofErr w:type="spellStart"/>
      <w:r w:rsidRPr="00D407BD">
        <w:rPr>
          <w:szCs w:val="24"/>
        </w:rPr>
        <w:t>didanosine</w:t>
      </w:r>
      <w:proofErr w:type="spellEnd"/>
      <w:r w:rsidRPr="00D407BD">
        <w:rPr>
          <w:szCs w:val="24"/>
        </w:rPr>
        <w:t>, lamivudine</w:t>
      </w:r>
      <w:r w:rsidR="001B577E" w:rsidRPr="00D407BD">
        <w:rPr>
          <w:szCs w:val="24"/>
        </w:rPr>
        <w:t xml:space="preserve"> (3TC)</w:t>
      </w:r>
      <w:r w:rsidRPr="00D407BD">
        <w:rPr>
          <w:szCs w:val="24"/>
        </w:rPr>
        <w:t xml:space="preserve">, </w:t>
      </w:r>
      <w:proofErr w:type="spellStart"/>
      <w:r w:rsidRPr="00D407BD">
        <w:rPr>
          <w:szCs w:val="24"/>
        </w:rPr>
        <w:t>stavudine</w:t>
      </w:r>
      <w:proofErr w:type="spellEnd"/>
      <w:r w:rsidR="002665B4" w:rsidRPr="00D407BD">
        <w:rPr>
          <w:szCs w:val="24"/>
        </w:rPr>
        <w:t xml:space="preserve"> (d4T)</w:t>
      </w:r>
      <w:r w:rsidRPr="00D407BD">
        <w:rPr>
          <w:szCs w:val="24"/>
        </w:rPr>
        <w:t xml:space="preserve">, </w:t>
      </w:r>
      <w:proofErr w:type="spellStart"/>
      <w:r w:rsidRPr="00D407BD">
        <w:rPr>
          <w:szCs w:val="24"/>
        </w:rPr>
        <w:t>zalcitabine</w:t>
      </w:r>
      <w:proofErr w:type="spellEnd"/>
      <w:r w:rsidRPr="00D407BD">
        <w:rPr>
          <w:szCs w:val="24"/>
        </w:rPr>
        <w:t>, zidovudine</w:t>
      </w:r>
      <w:r w:rsidR="00302FD8" w:rsidRPr="00D407BD">
        <w:rPr>
          <w:szCs w:val="24"/>
        </w:rPr>
        <w:t xml:space="preserve"> (AZT)</w:t>
      </w:r>
      <w:r w:rsidRPr="00D407BD">
        <w:rPr>
          <w:szCs w:val="24"/>
        </w:rPr>
        <w:t>), non-nucleoside reverse transcriptase inhibitors (</w:t>
      </w:r>
      <w:proofErr w:type="spellStart"/>
      <w:r w:rsidRPr="00D407BD">
        <w:rPr>
          <w:szCs w:val="24"/>
        </w:rPr>
        <w:t>delavirdine</w:t>
      </w:r>
      <w:proofErr w:type="spellEnd"/>
      <w:r w:rsidRPr="00D407BD">
        <w:rPr>
          <w:szCs w:val="24"/>
        </w:rPr>
        <w:t xml:space="preserve">, </w:t>
      </w:r>
      <w:proofErr w:type="spellStart"/>
      <w:r w:rsidRPr="00D407BD">
        <w:rPr>
          <w:szCs w:val="24"/>
        </w:rPr>
        <w:t>efavirenz</w:t>
      </w:r>
      <w:proofErr w:type="spellEnd"/>
      <w:r w:rsidRPr="00D407BD">
        <w:rPr>
          <w:szCs w:val="24"/>
        </w:rPr>
        <w:t xml:space="preserve">, </w:t>
      </w:r>
      <w:proofErr w:type="spellStart"/>
      <w:r w:rsidRPr="00D407BD">
        <w:rPr>
          <w:szCs w:val="24"/>
        </w:rPr>
        <w:t>nevirapine</w:t>
      </w:r>
      <w:proofErr w:type="spellEnd"/>
      <w:r w:rsidRPr="00D407BD">
        <w:rPr>
          <w:szCs w:val="24"/>
        </w:rPr>
        <w:t>), and protease inhibitors (</w:t>
      </w:r>
      <w:proofErr w:type="spellStart"/>
      <w:r w:rsidRPr="00D407BD">
        <w:rPr>
          <w:szCs w:val="24"/>
        </w:rPr>
        <w:t>amprenavir</w:t>
      </w:r>
      <w:proofErr w:type="spellEnd"/>
      <w:r w:rsidRPr="00D407BD">
        <w:rPr>
          <w:szCs w:val="24"/>
        </w:rPr>
        <w:t xml:space="preserve">, </w:t>
      </w:r>
      <w:proofErr w:type="spellStart"/>
      <w:r w:rsidRPr="00D407BD">
        <w:rPr>
          <w:szCs w:val="24"/>
        </w:rPr>
        <w:t>indinavir</w:t>
      </w:r>
      <w:proofErr w:type="spellEnd"/>
      <w:r w:rsidRPr="00D407BD">
        <w:rPr>
          <w:szCs w:val="24"/>
        </w:rPr>
        <w:t xml:space="preserve">, nelfinavir, ritonavir, </w:t>
      </w:r>
      <w:proofErr w:type="spellStart"/>
      <w:r w:rsidRPr="00D407BD">
        <w:rPr>
          <w:szCs w:val="24"/>
        </w:rPr>
        <w:t>saquinavir</w:t>
      </w:r>
      <w:proofErr w:type="spellEnd"/>
      <w:r w:rsidRPr="00D407BD">
        <w:rPr>
          <w:szCs w:val="24"/>
        </w:rPr>
        <w:t xml:space="preserve">), additive to synergistic effects were observed.  </w:t>
      </w:r>
      <w:proofErr w:type="spellStart"/>
      <w:r w:rsidRPr="00D407BD">
        <w:rPr>
          <w:szCs w:val="24"/>
        </w:rPr>
        <w:t>Tenofovir</w:t>
      </w:r>
      <w:proofErr w:type="spellEnd"/>
      <w:r w:rsidRPr="00D407BD">
        <w:rPr>
          <w:szCs w:val="24"/>
        </w:rPr>
        <w:t xml:space="preserve"> displayed antiviral activity in vitro against HIV-1 clades A, B, C, D, E, F, G and O (IC</w:t>
      </w:r>
      <w:r w:rsidRPr="00D407BD">
        <w:rPr>
          <w:szCs w:val="24"/>
          <w:vertAlign w:val="subscript"/>
        </w:rPr>
        <w:t>50</w:t>
      </w:r>
      <w:r w:rsidRPr="00D407BD">
        <w:rPr>
          <w:szCs w:val="24"/>
        </w:rPr>
        <w:t xml:space="preserve"> values ranged from 0.5</w:t>
      </w:r>
      <w:r w:rsidRPr="00D407BD">
        <w:rPr>
          <w:szCs w:val="24"/>
        </w:rPr>
        <w:sym w:font="Symbol" w:char="002D"/>
      </w:r>
      <w:r w:rsidRPr="00D407BD">
        <w:rPr>
          <w:szCs w:val="24"/>
        </w:rPr>
        <w:t>2.2 µM).</w:t>
      </w:r>
      <w:r w:rsidR="005B37FE" w:rsidRPr="00D407BD">
        <w:rPr>
          <w:szCs w:val="24"/>
        </w:rPr>
        <w:t xml:space="preserve">  In addition, </w:t>
      </w:r>
      <w:proofErr w:type="spellStart"/>
      <w:r w:rsidR="005B37FE" w:rsidRPr="00D407BD">
        <w:rPr>
          <w:szCs w:val="24"/>
        </w:rPr>
        <w:t>tenofovir</w:t>
      </w:r>
      <w:proofErr w:type="spellEnd"/>
      <w:r w:rsidR="005B37FE" w:rsidRPr="00D407BD">
        <w:rPr>
          <w:szCs w:val="24"/>
        </w:rPr>
        <w:t xml:space="preserve"> has also been shown to be active in vitro</w:t>
      </w:r>
      <w:r w:rsidR="00A1627E" w:rsidRPr="00D407BD">
        <w:rPr>
          <w:szCs w:val="24"/>
        </w:rPr>
        <w:t xml:space="preserve"> </w:t>
      </w:r>
      <w:r w:rsidR="005B37FE" w:rsidRPr="00D407BD">
        <w:rPr>
          <w:szCs w:val="24"/>
        </w:rPr>
        <w:t>against HIV</w:t>
      </w:r>
      <w:r w:rsidR="005B37FE" w:rsidRPr="00D407BD">
        <w:rPr>
          <w:szCs w:val="24"/>
        </w:rPr>
        <w:noBreakHyphen/>
        <w:t>2, with similar potency as observed against HIV</w:t>
      </w:r>
      <w:r w:rsidR="005B37FE" w:rsidRPr="00D407BD">
        <w:rPr>
          <w:szCs w:val="24"/>
        </w:rPr>
        <w:noBreakHyphen/>
        <w:t>1.</w:t>
      </w:r>
    </w:p>
    <w:p w:rsidR="003B6292" w:rsidRDefault="003B6292" w:rsidP="00E7636B">
      <w:pPr>
        <w:rPr>
          <w:snapToGrid w:val="0"/>
          <w:szCs w:val="24"/>
        </w:rPr>
      </w:pPr>
      <w:r w:rsidRPr="00D407BD">
        <w:rPr>
          <w:szCs w:val="24"/>
        </w:rPr>
        <w:br/>
      </w:r>
      <w:proofErr w:type="spellStart"/>
      <w:r w:rsidRPr="00D407BD">
        <w:rPr>
          <w:b/>
          <w:i/>
          <w:szCs w:val="24"/>
        </w:rPr>
        <w:t>Emtricitabine</w:t>
      </w:r>
      <w:proofErr w:type="spellEnd"/>
      <w:r w:rsidRPr="00D407BD">
        <w:rPr>
          <w:b/>
          <w:i/>
          <w:szCs w:val="24"/>
        </w:rPr>
        <w:t>:</w:t>
      </w:r>
      <w:r w:rsidRPr="00D407BD">
        <w:rPr>
          <w:szCs w:val="24"/>
        </w:rPr>
        <w:t xml:space="preserve"> The in vitro</w:t>
      </w:r>
      <w:r w:rsidRPr="00D407BD">
        <w:rPr>
          <w:i/>
          <w:szCs w:val="24"/>
        </w:rPr>
        <w:t xml:space="preserve"> </w:t>
      </w:r>
      <w:r w:rsidRPr="00D407BD">
        <w:rPr>
          <w:szCs w:val="24"/>
        </w:rPr>
        <w:t xml:space="preserve">antiviral activity of </w:t>
      </w:r>
      <w:proofErr w:type="spellStart"/>
      <w:r w:rsidRPr="00D407BD">
        <w:rPr>
          <w:szCs w:val="24"/>
        </w:rPr>
        <w:t>emtricitabine</w:t>
      </w:r>
      <w:proofErr w:type="spellEnd"/>
      <w:r w:rsidRPr="00D407BD">
        <w:rPr>
          <w:szCs w:val="24"/>
        </w:rPr>
        <w:t xml:space="preserve"> against laboratory and clinical isolates of HIV was assessed in </w:t>
      </w:r>
      <w:proofErr w:type="spellStart"/>
      <w:r w:rsidRPr="00D407BD">
        <w:rPr>
          <w:szCs w:val="24"/>
        </w:rPr>
        <w:t>lymphoblastoid</w:t>
      </w:r>
      <w:proofErr w:type="spellEnd"/>
      <w:r w:rsidRPr="00D407BD">
        <w:rPr>
          <w:szCs w:val="24"/>
        </w:rPr>
        <w:t xml:space="preserve"> cell lines, the MAGI-CCR5 cell line, and peripheral blood mononuclear cells. The IC</w:t>
      </w:r>
      <w:r w:rsidRPr="00D407BD">
        <w:rPr>
          <w:szCs w:val="24"/>
          <w:vertAlign w:val="subscript"/>
        </w:rPr>
        <w:t>50</w:t>
      </w:r>
      <w:r w:rsidRPr="00D407BD">
        <w:rPr>
          <w:szCs w:val="24"/>
        </w:rPr>
        <w:t xml:space="preserve"> value for </w:t>
      </w:r>
      <w:proofErr w:type="spellStart"/>
      <w:r w:rsidRPr="00D407BD">
        <w:rPr>
          <w:szCs w:val="24"/>
        </w:rPr>
        <w:t>emtricitabine</w:t>
      </w:r>
      <w:proofErr w:type="spellEnd"/>
      <w:r w:rsidRPr="00D407BD">
        <w:rPr>
          <w:szCs w:val="24"/>
        </w:rPr>
        <w:t xml:space="preserve"> was in the range of 0.0013</w:t>
      </w:r>
      <w:r w:rsidRPr="00D407BD">
        <w:rPr>
          <w:szCs w:val="24"/>
        </w:rPr>
        <w:sym w:font="Symbol" w:char="002D"/>
      </w:r>
      <w:r w:rsidRPr="00D407BD">
        <w:rPr>
          <w:szCs w:val="24"/>
        </w:rPr>
        <w:t>0.64 µM (0.0003</w:t>
      </w:r>
      <w:r w:rsidRPr="00D407BD">
        <w:rPr>
          <w:szCs w:val="24"/>
        </w:rPr>
        <w:sym w:font="Symbol" w:char="002D"/>
      </w:r>
      <w:r w:rsidRPr="00D407BD">
        <w:rPr>
          <w:szCs w:val="24"/>
        </w:rPr>
        <w:t xml:space="preserve">0.158 µg/mL). In drug combination studies of </w:t>
      </w:r>
      <w:proofErr w:type="spellStart"/>
      <w:r w:rsidRPr="00D407BD">
        <w:rPr>
          <w:szCs w:val="24"/>
        </w:rPr>
        <w:t>emtricitabine</w:t>
      </w:r>
      <w:proofErr w:type="spellEnd"/>
      <w:r w:rsidRPr="00D407BD">
        <w:rPr>
          <w:szCs w:val="24"/>
        </w:rPr>
        <w:t xml:space="preserve"> with nucleoside reverse transcriptase inhibitors (</w:t>
      </w:r>
      <w:proofErr w:type="spellStart"/>
      <w:r w:rsidRPr="00D407BD">
        <w:rPr>
          <w:szCs w:val="24"/>
        </w:rPr>
        <w:t>abacavir</w:t>
      </w:r>
      <w:proofErr w:type="spellEnd"/>
      <w:r w:rsidRPr="00D407BD">
        <w:rPr>
          <w:szCs w:val="24"/>
        </w:rPr>
        <w:t xml:space="preserve">, </w:t>
      </w:r>
      <w:r w:rsidR="00767354" w:rsidRPr="00D407BD">
        <w:rPr>
          <w:szCs w:val="24"/>
        </w:rPr>
        <w:t>3TC</w:t>
      </w:r>
      <w:r w:rsidRPr="00D407BD">
        <w:rPr>
          <w:szCs w:val="24"/>
        </w:rPr>
        <w:t xml:space="preserve">, </w:t>
      </w:r>
      <w:r w:rsidR="00767354" w:rsidRPr="00D407BD">
        <w:rPr>
          <w:szCs w:val="24"/>
        </w:rPr>
        <w:t>d4T</w:t>
      </w:r>
      <w:r w:rsidRPr="00D407BD">
        <w:rPr>
          <w:szCs w:val="24"/>
        </w:rPr>
        <w:t xml:space="preserve">, </w:t>
      </w:r>
      <w:proofErr w:type="spellStart"/>
      <w:r w:rsidRPr="00D407BD">
        <w:rPr>
          <w:szCs w:val="24"/>
        </w:rPr>
        <w:t>zalcitabine</w:t>
      </w:r>
      <w:proofErr w:type="spellEnd"/>
      <w:r w:rsidRPr="00D407BD">
        <w:rPr>
          <w:szCs w:val="24"/>
        </w:rPr>
        <w:t xml:space="preserve">, </w:t>
      </w:r>
      <w:r w:rsidR="00767354" w:rsidRPr="00D407BD">
        <w:rPr>
          <w:szCs w:val="24"/>
        </w:rPr>
        <w:t>AZT</w:t>
      </w:r>
      <w:r w:rsidRPr="00D407BD">
        <w:rPr>
          <w:szCs w:val="24"/>
        </w:rPr>
        <w:t>), non-nucleoside reverse transcriptase inhibitors (</w:t>
      </w:r>
      <w:proofErr w:type="spellStart"/>
      <w:r w:rsidRPr="00D407BD">
        <w:rPr>
          <w:szCs w:val="24"/>
        </w:rPr>
        <w:t>delavirdine</w:t>
      </w:r>
      <w:proofErr w:type="spellEnd"/>
      <w:r w:rsidRPr="00D407BD">
        <w:rPr>
          <w:szCs w:val="24"/>
        </w:rPr>
        <w:t xml:space="preserve">, </w:t>
      </w:r>
      <w:proofErr w:type="spellStart"/>
      <w:r w:rsidRPr="00D407BD">
        <w:rPr>
          <w:szCs w:val="24"/>
        </w:rPr>
        <w:t>efavirenz</w:t>
      </w:r>
      <w:proofErr w:type="spellEnd"/>
      <w:r w:rsidRPr="00D407BD">
        <w:rPr>
          <w:szCs w:val="24"/>
        </w:rPr>
        <w:t xml:space="preserve">, </w:t>
      </w:r>
      <w:proofErr w:type="spellStart"/>
      <w:r w:rsidRPr="00D407BD">
        <w:rPr>
          <w:szCs w:val="24"/>
        </w:rPr>
        <w:t>nevirapine</w:t>
      </w:r>
      <w:proofErr w:type="spellEnd"/>
      <w:r w:rsidRPr="00D407BD">
        <w:rPr>
          <w:szCs w:val="24"/>
        </w:rPr>
        <w:t>), and protease inhibitors (</w:t>
      </w:r>
      <w:proofErr w:type="spellStart"/>
      <w:r w:rsidRPr="00D407BD">
        <w:rPr>
          <w:szCs w:val="24"/>
        </w:rPr>
        <w:t>amprenavir</w:t>
      </w:r>
      <w:proofErr w:type="spellEnd"/>
      <w:r w:rsidRPr="00D407BD">
        <w:rPr>
          <w:szCs w:val="24"/>
        </w:rPr>
        <w:t xml:space="preserve">, nelfinavir, ritonavir, </w:t>
      </w:r>
      <w:proofErr w:type="spellStart"/>
      <w:r w:rsidRPr="00D407BD">
        <w:rPr>
          <w:szCs w:val="24"/>
        </w:rPr>
        <w:t>saquinavir</w:t>
      </w:r>
      <w:proofErr w:type="spellEnd"/>
      <w:r w:rsidRPr="00D407BD">
        <w:rPr>
          <w:szCs w:val="24"/>
        </w:rPr>
        <w:t xml:space="preserve">), additive to synergistic effects were observed. </w:t>
      </w:r>
      <w:r w:rsidRPr="00D407BD">
        <w:rPr>
          <w:snapToGrid w:val="0"/>
          <w:szCs w:val="24"/>
        </w:rPr>
        <w:t xml:space="preserve"> </w:t>
      </w:r>
      <w:proofErr w:type="spellStart"/>
      <w:r w:rsidRPr="00D407BD">
        <w:rPr>
          <w:snapToGrid w:val="0"/>
          <w:szCs w:val="24"/>
        </w:rPr>
        <w:t>Emtricitabine</w:t>
      </w:r>
      <w:proofErr w:type="spellEnd"/>
      <w:r w:rsidRPr="00D407BD">
        <w:rPr>
          <w:snapToGrid w:val="0"/>
          <w:szCs w:val="24"/>
        </w:rPr>
        <w:t xml:space="preserve"> displayed antiviral activity in vitro against HIV-1 clades A, C, D, E, F, and G (IC</w:t>
      </w:r>
      <w:r w:rsidRPr="00D407BD">
        <w:rPr>
          <w:snapToGrid w:val="0"/>
          <w:szCs w:val="24"/>
          <w:vertAlign w:val="subscript"/>
        </w:rPr>
        <w:t>50</w:t>
      </w:r>
      <w:r w:rsidRPr="00D407BD">
        <w:rPr>
          <w:snapToGrid w:val="0"/>
          <w:szCs w:val="24"/>
        </w:rPr>
        <w:t xml:space="preserve"> values ranged from 0.007</w:t>
      </w:r>
      <w:r w:rsidRPr="00D407BD">
        <w:rPr>
          <w:snapToGrid w:val="0"/>
          <w:szCs w:val="24"/>
        </w:rPr>
        <w:sym w:font="Symbol" w:char="002D"/>
      </w:r>
      <w:r w:rsidRPr="00D407BD">
        <w:rPr>
          <w:snapToGrid w:val="0"/>
          <w:szCs w:val="24"/>
        </w:rPr>
        <w:t xml:space="preserve">0.075 </w:t>
      </w:r>
      <w:r w:rsidRPr="00D407BD">
        <w:rPr>
          <w:snapToGrid w:val="0"/>
          <w:szCs w:val="24"/>
        </w:rPr>
        <w:sym w:font="Symbol" w:char="006D"/>
      </w:r>
      <w:r w:rsidRPr="00D407BD">
        <w:rPr>
          <w:snapToGrid w:val="0"/>
          <w:szCs w:val="24"/>
        </w:rPr>
        <w:t>M) and showed strain specific activity against HIV-2 (IC</w:t>
      </w:r>
      <w:r w:rsidRPr="00D407BD">
        <w:rPr>
          <w:snapToGrid w:val="0"/>
          <w:szCs w:val="24"/>
          <w:vertAlign w:val="subscript"/>
        </w:rPr>
        <w:t>50</w:t>
      </w:r>
      <w:r w:rsidRPr="00D407BD">
        <w:rPr>
          <w:snapToGrid w:val="0"/>
          <w:szCs w:val="24"/>
        </w:rPr>
        <w:t xml:space="preserve"> values ranged from 0.007</w:t>
      </w:r>
      <w:r w:rsidRPr="00D407BD">
        <w:rPr>
          <w:snapToGrid w:val="0"/>
          <w:szCs w:val="24"/>
        </w:rPr>
        <w:sym w:font="Symbol" w:char="002D"/>
      </w:r>
      <w:r w:rsidRPr="00D407BD">
        <w:rPr>
          <w:snapToGrid w:val="0"/>
          <w:szCs w:val="24"/>
        </w:rPr>
        <w:t xml:space="preserve">1.5 </w:t>
      </w:r>
      <w:r w:rsidRPr="00D407BD">
        <w:rPr>
          <w:snapToGrid w:val="0"/>
          <w:szCs w:val="24"/>
        </w:rPr>
        <w:sym w:font="Symbol" w:char="006D"/>
      </w:r>
      <w:r w:rsidRPr="00D407BD">
        <w:rPr>
          <w:snapToGrid w:val="0"/>
          <w:szCs w:val="24"/>
        </w:rPr>
        <w:t>M).</w:t>
      </w:r>
    </w:p>
    <w:p w:rsidR="000B704A" w:rsidRDefault="000B704A" w:rsidP="00E7636B">
      <w:pPr>
        <w:rPr>
          <w:snapToGrid w:val="0"/>
          <w:szCs w:val="24"/>
        </w:rPr>
      </w:pPr>
    </w:p>
    <w:p w:rsidR="00CE411D" w:rsidRPr="007A05B9" w:rsidRDefault="00CE411D" w:rsidP="00CE411D">
      <w:pPr>
        <w:pStyle w:val="Text10"/>
        <w:rPr>
          <w:i/>
        </w:rPr>
      </w:pPr>
      <w:r w:rsidRPr="007A05B9">
        <w:rPr>
          <w:i/>
        </w:rPr>
        <w:t>Prophylactic Activity in a Nonhuman Primate Model of HIV Transmission</w:t>
      </w:r>
    </w:p>
    <w:p w:rsidR="00CE411D" w:rsidRPr="001E73C3" w:rsidRDefault="00CE411D" w:rsidP="001E73C3">
      <w:pPr>
        <w:pStyle w:val="Text10"/>
      </w:pPr>
      <w:proofErr w:type="spellStart"/>
      <w:r w:rsidRPr="008E09DE">
        <w:rPr>
          <w:i/>
        </w:rPr>
        <w:t>Emtricitabine</w:t>
      </w:r>
      <w:proofErr w:type="spellEnd"/>
      <w:r w:rsidRPr="008E09DE">
        <w:rPr>
          <w:i/>
        </w:rPr>
        <w:t xml:space="preserve"> and </w:t>
      </w:r>
      <w:proofErr w:type="spellStart"/>
      <w:r w:rsidRPr="008E09DE">
        <w:rPr>
          <w:i/>
        </w:rPr>
        <w:t>Tenofovir</w:t>
      </w:r>
      <w:proofErr w:type="spellEnd"/>
      <w:r w:rsidRPr="008E09DE">
        <w:rPr>
          <w:i/>
        </w:rPr>
        <w:t xml:space="preserve"> </w:t>
      </w:r>
      <w:proofErr w:type="spellStart"/>
      <w:r w:rsidRPr="008E09DE">
        <w:rPr>
          <w:i/>
        </w:rPr>
        <w:t>Disoproxil</w:t>
      </w:r>
      <w:proofErr w:type="spellEnd"/>
      <w:r w:rsidRPr="008E09DE">
        <w:rPr>
          <w:i/>
        </w:rPr>
        <w:t xml:space="preserve"> Fumarate: </w:t>
      </w:r>
      <w:r w:rsidRPr="008E09DE">
        <w:t xml:space="preserve">The prophylactic activity of the combination of daily oral </w:t>
      </w:r>
      <w:proofErr w:type="spellStart"/>
      <w:r w:rsidRPr="008E09DE">
        <w:t>emtricitabine</w:t>
      </w:r>
      <w:proofErr w:type="spellEnd"/>
      <w:r w:rsidRPr="008E09DE">
        <w:t xml:space="preserve"> and </w:t>
      </w:r>
      <w:proofErr w:type="spellStart"/>
      <w:r w:rsidRPr="008E09DE">
        <w:t>tenofovir</w:t>
      </w:r>
      <w:proofErr w:type="spellEnd"/>
      <w:r w:rsidRPr="008E09DE">
        <w:t xml:space="preserve"> </w:t>
      </w:r>
      <w:proofErr w:type="spellStart"/>
      <w:r w:rsidRPr="008E09DE">
        <w:t>disoproxil</w:t>
      </w:r>
      <w:proofErr w:type="spellEnd"/>
      <w:r w:rsidRPr="008E09DE">
        <w:t xml:space="preserve"> fumarate was evaluated in a controlled study of macaques inoculated once weekly for 14 weeks with SIV/HIV-1 chimeric virus (SHIV) applied to the rectal surface. Of the 18 control animals, 17 became infected after a median of 2 weeks. In contrast, 4 of the 6 animals treated daily with oral </w:t>
      </w:r>
      <w:proofErr w:type="spellStart"/>
      <w:r w:rsidR="001E73C3" w:rsidRPr="008E09DE">
        <w:t>emtricitabine</w:t>
      </w:r>
      <w:proofErr w:type="spellEnd"/>
      <w:r w:rsidR="001E73C3" w:rsidRPr="008E09DE">
        <w:t xml:space="preserve"> and </w:t>
      </w:r>
      <w:proofErr w:type="spellStart"/>
      <w:r w:rsidR="001E73C3" w:rsidRPr="008E09DE">
        <w:t>tenofovir</w:t>
      </w:r>
      <w:proofErr w:type="spellEnd"/>
      <w:r w:rsidR="001E73C3" w:rsidRPr="008E09DE">
        <w:t xml:space="preserve"> </w:t>
      </w:r>
      <w:proofErr w:type="spellStart"/>
      <w:r w:rsidR="001E73C3" w:rsidRPr="008E09DE">
        <w:t>disoproxil</w:t>
      </w:r>
      <w:proofErr w:type="spellEnd"/>
      <w:r w:rsidR="001E73C3" w:rsidRPr="008E09DE">
        <w:t xml:space="preserve"> fumarate </w:t>
      </w:r>
      <w:r w:rsidRPr="008E09DE">
        <w:t>remained uninfected and the two infections that did occur were significantly delayed until 9 and 12 weeks and exhibited reduced viremia. An M184I-expressing FTC-resistant variant emerged in 1 of the 2 macaques after 3 weeks of continued drug exposure.</w:t>
      </w:r>
    </w:p>
    <w:p w:rsidR="00A1627E" w:rsidRPr="00D407BD" w:rsidRDefault="00A1627E" w:rsidP="00E7636B">
      <w:pPr>
        <w:rPr>
          <w:szCs w:val="24"/>
        </w:rPr>
      </w:pPr>
    </w:p>
    <w:p w:rsidR="00B6610F" w:rsidRPr="00D407BD" w:rsidRDefault="0080493A" w:rsidP="00E7636B">
      <w:pPr>
        <w:pStyle w:val="text"/>
        <w:spacing w:before="0" w:after="0" w:line="240" w:lineRule="auto"/>
        <w:rPr>
          <w:b/>
          <w:i/>
          <w:szCs w:val="24"/>
          <w:lang w:val="en-AU"/>
        </w:rPr>
      </w:pPr>
      <w:r w:rsidRPr="00D407BD">
        <w:rPr>
          <w:b/>
          <w:i/>
          <w:szCs w:val="24"/>
          <w:lang w:val="en-AU"/>
        </w:rPr>
        <w:t xml:space="preserve">Anti-Hepatitis B Virus Activity </w:t>
      </w:r>
      <w:proofErr w:type="gramStart"/>
      <w:r w:rsidRPr="00D407BD">
        <w:rPr>
          <w:b/>
          <w:i/>
          <w:szCs w:val="24"/>
          <w:lang w:val="en-AU"/>
        </w:rPr>
        <w:t>In</w:t>
      </w:r>
      <w:proofErr w:type="gramEnd"/>
      <w:r w:rsidRPr="00D407BD">
        <w:rPr>
          <w:b/>
          <w:i/>
          <w:szCs w:val="24"/>
          <w:lang w:val="en-AU"/>
        </w:rPr>
        <w:t xml:space="preserve"> Vitro</w:t>
      </w:r>
      <w:r w:rsidR="00B6610F" w:rsidRPr="00D407BD">
        <w:rPr>
          <w:b/>
          <w:i/>
          <w:szCs w:val="24"/>
          <w:lang w:val="en-AU"/>
        </w:rPr>
        <w:t>:</w:t>
      </w:r>
    </w:p>
    <w:p w:rsidR="00C3388F" w:rsidRPr="00D407BD" w:rsidRDefault="00C3388F" w:rsidP="00E7636B">
      <w:pPr>
        <w:pStyle w:val="text"/>
        <w:spacing w:before="0" w:after="0" w:line="240" w:lineRule="auto"/>
        <w:rPr>
          <w:b/>
          <w:i/>
          <w:szCs w:val="24"/>
          <w:lang w:val="en-AU"/>
        </w:rPr>
      </w:pPr>
    </w:p>
    <w:p w:rsidR="0080493A" w:rsidRPr="00D407BD" w:rsidRDefault="00B6610F" w:rsidP="00E7636B">
      <w:pPr>
        <w:pStyle w:val="text"/>
        <w:spacing w:before="0" w:after="0" w:line="240" w:lineRule="auto"/>
        <w:rPr>
          <w:color w:val="000000"/>
          <w:szCs w:val="24"/>
          <w:lang w:val="en-AU"/>
        </w:rPr>
      </w:pPr>
      <w:proofErr w:type="spellStart"/>
      <w:r w:rsidRPr="00D407BD">
        <w:rPr>
          <w:b/>
          <w:color w:val="000000"/>
          <w:szCs w:val="24"/>
        </w:rPr>
        <w:t>Tenofovir</w:t>
      </w:r>
      <w:proofErr w:type="spellEnd"/>
      <w:r w:rsidRPr="00D407BD">
        <w:rPr>
          <w:b/>
          <w:color w:val="000000"/>
          <w:szCs w:val="24"/>
        </w:rPr>
        <w:t xml:space="preserve"> </w:t>
      </w:r>
      <w:proofErr w:type="spellStart"/>
      <w:r w:rsidRPr="00D407BD">
        <w:rPr>
          <w:b/>
          <w:color w:val="000000"/>
          <w:szCs w:val="24"/>
        </w:rPr>
        <w:t>disoproxil</w:t>
      </w:r>
      <w:proofErr w:type="spellEnd"/>
      <w:r w:rsidRPr="00D407BD">
        <w:rPr>
          <w:b/>
          <w:color w:val="000000"/>
          <w:szCs w:val="24"/>
        </w:rPr>
        <w:t xml:space="preserve"> fumarate:</w:t>
      </w:r>
      <w:r w:rsidR="0080493A" w:rsidRPr="00D407BD">
        <w:rPr>
          <w:szCs w:val="24"/>
          <w:lang w:val="en-AU"/>
        </w:rPr>
        <w:t xml:space="preserve">  </w:t>
      </w:r>
      <w:proofErr w:type="spellStart"/>
      <w:r w:rsidR="0080493A" w:rsidRPr="00D407BD">
        <w:rPr>
          <w:szCs w:val="24"/>
          <w:lang w:val="en-AU"/>
        </w:rPr>
        <w:t>Tenofovir</w:t>
      </w:r>
      <w:proofErr w:type="spellEnd"/>
      <w:r w:rsidR="0080493A" w:rsidRPr="00D407BD">
        <w:rPr>
          <w:szCs w:val="24"/>
          <w:lang w:val="en-AU"/>
        </w:rPr>
        <w:t xml:space="preserve"> inhibits HBV production in HepG2 2.2.15 with </w:t>
      </w:r>
      <w:r w:rsidR="00021C2B" w:rsidRPr="00D407BD">
        <w:rPr>
          <w:szCs w:val="24"/>
          <w:lang w:val="en-AU"/>
        </w:rPr>
        <w:t xml:space="preserve">an </w:t>
      </w:r>
      <w:r w:rsidR="0080493A" w:rsidRPr="00D407BD">
        <w:rPr>
          <w:szCs w:val="24"/>
          <w:lang w:val="en-AU"/>
        </w:rPr>
        <w:t>IC</w:t>
      </w:r>
      <w:r w:rsidR="0080493A" w:rsidRPr="00D407BD">
        <w:rPr>
          <w:szCs w:val="24"/>
          <w:vertAlign w:val="subscript"/>
          <w:lang w:val="en-AU"/>
        </w:rPr>
        <w:t>50</w:t>
      </w:r>
      <w:r w:rsidR="0080493A" w:rsidRPr="00D407BD">
        <w:rPr>
          <w:szCs w:val="24"/>
          <w:lang w:val="en-AU"/>
        </w:rPr>
        <w:t xml:space="preserve">value of 1.1µM.  </w:t>
      </w:r>
    </w:p>
    <w:p w:rsidR="006B1855" w:rsidRPr="00D407BD" w:rsidRDefault="006B1855" w:rsidP="00E7636B">
      <w:pPr>
        <w:autoSpaceDE w:val="0"/>
        <w:autoSpaceDN w:val="0"/>
        <w:adjustRightInd w:val="0"/>
        <w:rPr>
          <w:b/>
          <w:color w:val="000000"/>
          <w:szCs w:val="24"/>
        </w:rPr>
      </w:pPr>
    </w:p>
    <w:p w:rsidR="0080493A" w:rsidRPr="00D407BD" w:rsidRDefault="001A207F" w:rsidP="00E7636B">
      <w:pPr>
        <w:rPr>
          <w:szCs w:val="24"/>
        </w:rPr>
      </w:pPr>
      <w:proofErr w:type="spellStart"/>
      <w:r w:rsidRPr="00D407BD">
        <w:rPr>
          <w:b/>
          <w:szCs w:val="24"/>
        </w:rPr>
        <w:t>Emtricitabine</w:t>
      </w:r>
      <w:proofErr w:type="spellEnd"/>
      <w:r w:rsidRPr="00D407BD">
        <w:rPr>
          <w:b/>
          <w:szCs w:val="24"/>
        </w:rPr>
        <w:t>:</w:t>
      </w:r>
      <w:r w:rsidR="00177D42" w:rsidRPr="00D407BD">
        <w:rPr>
          <w:b/>
          <w:szCs w:val="24"/>
        </w:rPr>
        <w:t xml:space="preserve">  </w:t>
      </w:r>
      <w:proofErr w:type="spellStart"/>
      <w:r w:rsidR="00A03A62" w:rsidRPr="00D407BD">
        <w:rPr>
          <w:szCs w:val="24"/>
        </w:rPr>
        <w:t>Emtricitabine</w:t>
      </w:r>
      <w:proofErr w:type="spellEnd"/>
      <w:r w:rsidR="00A03A62" w:rsidRPr="00D407BD">
        <w:rPr>
          <w:szCs w:val="24"/>
        </w:rPr>
        <w:t xml:space="preserve"> inhibits HBV production against laboratory strains of HBV with IC</w:t>
      </w:r>
      <w:r w:rsidR="00A03A62" w:rsidRPr="00D407BD">
        <w:rPr>
          <w:szCs w:val="24"/>
          <w:vertAlign w:val="subscript"/>
        </w:rPr>
        <w:t>50</w:t>
      </w:r>
      <w:r w:rsidR="00A03A62" w:rsidRPr="00D407BD">
        <w:rPr>
          <w:szCs w:val="24"/>
        </w:rPr>
        <w:t xml:space="preserve"> values in the range of 0.01 to 0.04 µM.</w:t>
      </w:r>
    </w:p>
    <w:p w:rsidR="00B5510F" w:rsidRPr="00D407BD" w:rsidRDefault="00B5510F" w:rsidP="00E7636B">
      <w:pPr>
        <w:rPr>
          <w:b/>
          <w:color w:val="000000"/>
          <w:szCs w:val="24"/>
        </w:rPr>
      </w:pPr>
    </w:p>
    <w:p w:rsidR="001F291B" w:rsidRPr="00D407BD" w:rsidRDefault="001F291B" w:rsidP="00E7636B">
      <w:pPr>
        <w:rPr>
          <w:b/>
          <w:i/>
          <w:szCs w:val="24"/>
        </w:rPr>
      </w:pPr>
      <w:r w:rsidRPr="00D407BD">
        <w:rPr>
          <w:b/>
          <w:i/>
          <w:szCs w:val="24"/>
        </w:rPr>
        <w:t xml:space="preserve">Drug Resistance: </w:t>
      </w:r>
    </w:p>
    <w:p w:rsidR="00C3388F" w:rsidRPr="00D407BD" w:rsidRDefault="00C3388F" w:rsidP="00E7636B">
      <w:pPr>
        <w:rPr>
          <w:b/>
          <w:i/>
          <w:szCs w:val="24"/>
        </w:rPr>
      </w:pPr>
    </w:p>
    <w:p w:rsidR="00A1627E" w:rsidRPr="00D407BD" w:rsidRDefault="001F291B" w:rsidP="00E7636B">
      <w:pPr>
        <w:rPr>
          <w:szCs w:val="24"/>
        </w:rPr>
      </w:pPr>
      <w:proofErr w:type="spellStart"/>
      <w:r w:rsidRPr="00D407BD">
        <w:rPr>
          <w:b/>
          <w:i/>
          <w:szCs w:val="24"/>
        </w:rPr>
        <w:t>Tenofovir</w:t>
      </w:r>
      <w:proofErr w:type="spellEnd"/>
      <w:r w:rsidRPr="00D407BD">
        <w:rPr>
          <w:b/>
          <w:i/>
          <w:szCs w:val="24"/>
        </w:rPr>
        <w:t xml:space="preserve"> </w:t>
      </w:r>
      <w:proofErr w:type="spellStart"/>
      <w:r w:rsidRPr="00D407BD">
        <w:rPr>
          <w:b/>
          <w:i/>
          <w:szCs w:val="24"/>
        </w:rPr>
        <w:t>disoproxil</w:t>
      </w:r>
      <w:proofErr w:type="spellEnd"/>
      <w:r w:rsidRPr="00D407BD">
        <w:rPr>
          <w:b/>
          <w:i/>
          <w:szCs w:val="24"/>
        </w:rPr>
        <w:t xml:space="preserve"> fumarate:</w:t>
      </w:r>
      <w:r w:rsidRPr="00D407BD">
        <w:rPr>
          <w:szCs w:val="24"/>
        </w:rPr>
        <w:t xml:space="preserve"> HIV-1 isolates with reduced susceptibility to </w:t>
      </w:r>
      <w:proofErr w:type="spellStart"/>
      <w:r w:rsidRPr="00D407BD">
        <w:rPr>
          <w:szCs w:val="24"/>
        </w:rPr>
        <w:t>tenofovir</w:t>
      </w:r>
      <w:proofErr w:type="spellEnd"/>
      <w:r w:rsidRPr="00D407BD">
        <w:rPr>
          <w:szCs w:val="24"/>
        </w:rPr>
        <w:t xml:space="preserve"> have been selected in vitro.  These viruses expressed a K65R mutation in reverse transcriptase and showed a 2</w:t>
      </w:r>
      <w:r w:rsidRPr="00D407BD">
        <w:rPr>
          <w:szCs w:val="24"/>
        </w:rPr>
        <w:sym w:font="Symbol" w:char="002D"/>
      </w:r>
      <w:r w:rsidRPr="00D407BD">
        <w:rPr>
          <w:szCs w:val="24"/>
        </w:rPr>
        <w:t xml:space="preserve">4 fold reduction in susceptibility to </w:t>
      </w:r>
      <w:proofErr w:type="spellStart"/>
      <w:r w:rsidRPr="00D407BD">
        <w:rPr>
          <w:szCs w:val="24"/>
        </w:rPr>
        <w:t>tenofovir</w:t>
      </w:r>
      <w:proofErr w:type="spellEnd"/>
      <w:r w:rsidRPr="00D407BD">
        <w:rPr>
          <w:szCs w:val="24"/>
        </w:rPr>
        <w:t>.</w:t>
      </w:r>
      <w:r w:rsidR="00CD6C22">
        <w:rPr>
          <w:szCs w:val="24"/>
        </w:rPr>
        <w:t xml:space="preserve"> In addition, a K70E substitution in HIV-1 reverse transcriptase has been selected by </w:t>
      </w:r>
      <w:proofErr w:type="spellStart"/>
      <w:r w:rsidR="00CD6C22">
        <w:rPr>
          <w:szCs w:val="24"/>
        </w:rPr>
        <w:t>tenofovir</w:t>
      </w:r>
      <w:proofErr w:type="spellEnd"/>
      <w:r w:rsidR="00CD6C22">
        <w:rPr>
          <w:szCs w:val="24"/>
        </w:rPr>
        <w:t xml:space="preserve"> and results in low-level reduced susceptibility to </w:t>
      </w:r>
      <w:proofErr w:type="spellStart"/>
      <w:r w:rsidR="00CD6C22">
        <w:rPr>
          <w:szCs w:val="24"/>
        </w:rPr>
        <w:t>abacavir</w:t>
      </w:r>
      <w:proofErr w:type="spellEnd"/>
      <w:r w:rsidR="00CD6C22">
        <w:rPr>
          <w:szCs w:val="24"/>
        </w:rPr>
        <w:t xml:space="preserve">, </w:t>
      </w:r>
      <w:proofErr w:type="spellStart"/>
      <w:r w:rsidR="00CD6C22">
        <w:rPr>
          <w:szCs w:val="24"/>
        </w:rPr>
        <w:t>emtricitabine</w:t>
      </w:r>
      <w:proofErr w:type="spellEnd"/>
      <w:r w:rsidR="00CD6C22">
        <w:rPr>
          <w:szCs w:val="24"/>
        </w:rPr>
        <w:t xml:space="preserve">, </w:t>
      </w:r>
      <w:proofErr w:type="spellStart"/>
      <w:r w:rsidR="00CD6C22">
        <w:rPr>
          <w:szCs w:val="24"/>
        </w:rPr>
        <w:t>tenofovir</w:t>
      </w:r>
      <w:proofErr w:type="spellEnd"/>
      <w:r w:rsidR="00CD6C22">
        <w:rPr>
          <w:szCs w:val="24"/>
        </w:rPr>
        <w:t xml:space="preserve"> and lamivudine.</w:t>
      </w:r>
    </w:p>
    <w:p w:rsidR="001F291B" w:rsidRPr="00D407BD" w:rsidRDefault="001F291B" w:rsidP="00E7636B">
      <w:pPr>
        <w:rPr>
          <w:szCs w:val="24"/>
        </w:rPr>
      </w:pPr>
    </w:p>
    <w:p w:rsidR="00DF22EF" w:rsidRPr="00D26D54" w:rsidRDefault="00DF22EF" w:rsidP="00D26D54">
      <w:pPr>
        <w:pStyle w:val="Default"/>
        <w:jc w:val="both"/>
        <w:rPr>
          <w:sz w:val="23"/>
          <w:szCs w:val="23"/>
        </w:rPr>
      </w:pPr>
      <w:proofErr w:type="spellStart"/>
      <w:r w:rsidRPr="00D407BD">
        <w:t>Tenofovir</w:t>
      </w:r>
      <w:proofErr w:type="spellEnd"/>
      <w:r w:rsidRPr="00D407BD">
        <w:t xml:space="preserve">-resistant isolates of HIV-1 have also been recovered from some patients treated with </w:t>
      </w:r>
      <w:proofErr w:type="spellStart"/>
      <w:r w:rsidRPr="00D407BD">
        <w:t>tenofovir</w:t>
      </w:r>
      <w:proofErr w:type="spellEnd"/>
      <w:r w:rsidRPr="00D407BD">
        <w:t xml:space="preserve"> </w:t>
      </w:r>
      <w:proofErr w:type="spellStart"/>
      <w:r w:rsidRPr="00D407BD">
        <w:t>disoproxil</w:t>
      </w:r>
      <w:proofErr w:type="spellEnd"/>
      <w:r w:rsidRPr="00D407BD">
        <w:t xml:space="preserve"> fumarate in combination with other antiretroviral agents. In treatment-naïve patients treated with </w:t>
      </w:r>
      <w:proofErr w:type="spellStart"/>
      <w:r w:rsidRPr="00D407BD">
        <w:t>tenofovir</w:t>
      </w:r>
      <w:proofErr w:type="spellEnd"/>
      <w:r w:rsidRPr="00D407BD">
        <w:t xml:space="preserve"> </w:t>
      </w:r>
      <w:proofErr w:type="spellStart"/>
      <w:r w:rsidRPr="00D407BD">
        <w:t>disoproxil</w:t>
      </w:r>
      <w:proofErr w:type="spellEnd"/>
      <w:r w:rsidRPr="00D407BD">
        <w:t xml:space="preserve"> fumarate + lamivudine + </w:t>
      </w:r>
      <w:proofErr w:type="spellStart"/>
      <w:r w:rsidRPr="00D407BD">
        <w:t>efavirenz</w:t>
      </w:r>
      <w:proofErr w:type="spellEnd"/>
      <w:r w:rsidRPr="00D407BD">
        <w:t xml:space="preserve"> through 144 weeks, viral isolates from 8/47 (17%) patients with </w:t>
      </w:r>
      <w:proofErr w:type="spellStart"/>
      <w:r w:rsidRPr="00D407BD">
        <w:t>virologic</w:t>
      </w:r>
      <w:proofErr w:type="spellEnd"/>
      <w:r w:rsidRPr="00D407BD">
        <w:t xml:space="preserve"> failure showed reduced susceptibility to </w:t>
      </w:r>
      <w:proofErr w:type="spellStart"/>
      <w:r w:rsidRPr="00D407BD">
        <w:t>tenofovir</w:t>
      </w:r>
      <w:proofErr w:type="spellEnd"/>
      <w:r w:rsidRPr="00D407BD">
        <w:t xml:space="preserve">.  </w:t>
      </w:r>
      <w:r w:rsidR="00D41DBE" w:rsidRPr="00D407BD">
        <w:t xml:space="preserve">In treatment-naïve patients treated with </w:t>
      </w:r>
      <w:proofErr w:type="spellStart"/>
      <w:r w:rsidR="00433E0A" w:rsidRPr="00D407BD">
        <w:t>emtricitabine</w:t>
      </w:r>
      <w:proofErr w:type="spellEnd"/>
      <w:r w:rsidR="00433E0A" w:rsidRPr="00D407BD">
        <w:t xml:space="preserve"> (</w:t>
      </w:r>
      <w:r w:rsidR="00D41DBE" w:rsidRPr="00D407BD">
        <w:t>EMTRIVA</w:t>
      </w:r>
      <w:r w:rsidR="00433E0A" w:rsidRPr="00D407BD">
        <w:rPr>
          <w:vertAlign w:val="superscript"/>
        </w:rPr>
        <w:t>®</w:t>
      </w:r>
      <w:r w:rsidR="00433E0A" w:rsidRPr="00D407BD">
        <w:t>)</w:t>
      </w:r>
      <w:r w:rsidR="00D41DBE" w:rsidRPr="00D407BD">
        <w:t xml:space="preserve"> + </w:t>
      </w:r>
      <w:proofErr w:type="spellStart"/>
      <w:r w:rsidR="00433E0A" w:rsidRPr="00D407BD">
        <w:t>tenofovir</w:t>
      </w:r>
      <w:proofErr w:type="spellEnd"/>
      <w:r w:rsidR="00433E0A" w:rsidRPr="00D407BD">
        <w:t xml:space="preserve"> </w:t>
      </w:r>
      <w:proofErr w:type="spellStart"/>
      <w:r w:rsidR="00433E0A" w:rsidRPr="00D407BD">
        <w:t>disoproxil</w:t>
      </w:r>
      <w:proofErr w:type="spellEnd"/>
      <w:r w:rsidR="00433E0A" w:rsidRPr="00D407BD">
        <w:t xml:space="preserve"> fumarate (</w:t>
      </w:r>
      <w:r w:rsidR="00D41DBE" w:rsidRPr="00D407BD">
        <w:t>VIREAD</w:t>
      </w:r>
      <w:r w:rsidR="00433E0A" w:rsidRPr="00D407BD">
        <w:rPr>
          <w:vertAlign w:val="superscript"/>
        </w:rPr>
        <w:t>®</w:t>
      </w:r>
      <w:r w:rsidR="00433E0A" w:rsidRPr="00D407BD">
        <w:t>)</w:t>
      </w:r>
      <w:r w:rsidR="00D41DBE" w:rsidRPr="00D407BD">
        <w:t xml:space="preserve"> + </w:t>
      </w:r>
      <w:proofErr w:type="spellStart"/>
      <w:r w:rsidR="00D41DBE" w:rsidRPr="00D407BD">
        <w:t>efavirenz</w:t>
      </w:r>
      <w:proofErr w:type="spellEnd"/>
      <w:r w:rsidR="00BB253E" w:rsidRPr="00D407BD">
        <w:t xml:space="preserve"> through </w:t>
      </w:r>
      <w:r w:rsidR="00767354" w:rsidRPr="00D407BD">
        <w:t>144</w:t>
      </w:r>
      <w:r w:rsidR="00BB253E" w:rsidRPr="00D407BD">
        <w:t xml:space="preserve"> weeks</w:t>
      </w:r>
      <w:r w:rsidR="00D41DBE" w:rsidRPr="00D407BD">
        <w:t xml:space="preserve">, none of the HIV isolates from </w:t>
      </w:r>
      <w:r w:rsidR="00767354" w:rsidRPr="00D407BD">
        <w:t>19</w:t>
      </w:r>
      <w:r w:rsidR="00D41DBE" w:rsidRPr="00D407BD">
        <w:t xml:space="preserve"> patients analy</w:t>
      </w:r>
      <w:r w:rsidR="00086D13">
        <w:t>s</w:t>
      </w:r>
      <w:r w:rsidR="00D41DBE" w:rsidRPr="00D407BD">
        <w:t xml:space="preserve">ed for resistance showed reduced susceptibility to </w:t>
      </w:r>
      <w:proofErr w:type="spellStart"/>
      <w:r w:rsidR="00D41DBE" w:rsidRPr="00D407BD">
        <w:t>tenofovir</w:t>
      </w:r>
      <w:proofErr w:type="spellEnd"/>
      <w:r w:rsidR="00D41DBE" w:rsidRPr="00D407BD">
        <w:t xml:space="preserve"> or the presence of the K65R mutatio</w:t>
      </w:r>
      <w:r w:rsidR="00D41DBE" w:rsidRPr="00D26D54">
        <w:rPr>
          <w:color w:val="auto"/>
        </w:rPr>
        <w:t>n.</w:t>
      </w:r>
      <w:r w:rsidR="00D26D54" w:rsidRPr="00D26D54">
        <w:rPr>
          <w:color w:val="auto"/>
          <w:sz w:val="23"/>
          <w:szCs w:val="23"/>
        </w:rPr>
        <w:t xml:space="preserve"> </w:t>
      </w:r>
      <w:r w:rsidRPr="00D407BD">
        <w:t xml:space="preserve">In treatment-experienced patients, 14/304 (4.6%) of the </w:t>
      </w:r>
      <w:proofErr w:type="spellStart"/>
      <w:r w:rsidRPr="00D407BD">
        <w:t>tenofovir</w:t>
      </w:r>
      <w:proofErr w:type="spellEnd"/>
      <w:r w:rsidRPr="00D407BD">
        <w:t xml:space="preserve"> </w:t>
      </w:r>
      <w:proofErr w:type="spellStart"/>
      <w:r w:rsidRPr="00D407BD">
        <w:t>disoproxil</w:t>
      </w:r>
      <w:proofErr w:type="spellEnd"/>
      <w:r w:rsidRPr="00D407BD">
        <w:t xml:space="preserve"> fumarate-treated patients with </w:t>
      </w:r>
      <w:proofErr w:type="spellStart"/>
      <w:r w:rsidRPr="00D407BD">
        <w:t>virologic</w:t>
      </w:r>
      <w:proofErr w:type="spellEnd"/>
      <w:r w:rsidRPr="00D407BD">
        <w:t xml:space="preserve"> failure showed reduced susceptibility to </w:t>
      </w:r>
      <w:proofErr w:type="spellStart"/>
      <w:r w:rsidRPr="00D407BD">
        <w:t>tenofovir</w:t>
      </w:r>
      <w:proofErr w:type="spellEnd"/>
      <w:r w:rsidRPr="00D407BD">
        <w:t>. Genotypic analysis of the resistant isolates showed the K65R mutation in the HIV-1 reverse transcriptase gene.</w:t>
      </w:r>
    </w:p>
    <w:p w:rsidR="00DF22EF" w:rsidRPr="00D407BD" w:rsidRDefault="00DF22EF" w:rsidP="00E7636B">
      <w:pPr>
        <w:rPr>
          <w:szCs w:val="24"/>
        </w:rPr>
      </w:pPr>
    </w:p>
    <w:p w:rsidR="001F291B" w:rsidRPr="00D407BD" w:rsidRDefault="001F291B" w:rsidP="00D41DBE">
      <w:pPr>
        <w:rPr>
          <w:szCs w:val="24"/>
        </w:rPr>
      </w:pPr>
      <w:proofErr w:type="spellStart"/>
      <w:r w:rsidRPr="00D407BD">
        <w:rPr>
          <w:b/>
          <w:i/>
          <w:szCs w:val="24"/>
        </w:rPr>
        <w:t>Emtricitabine</w:t>
      </w:r>
      <w:proofErr w:type="spellEnd"/>
      <w:r w:rsidRPr="00D407BD">
        <w:rPr>
          <w:b/>
          <w:i/>
          <w:szCs w:val="24"/>
        </w:rPr>
        <w:t>:</w:t>
      </w:r>
      <w:r w:rsidRPr="00D407BD">
        <w:rPr>
          <w:szCs w:val="24"/>
        </w:rPr>
        <w:t xml:space="preserve"> </w:t>
      </w:r>
      <w:proofErr w:type="spellStart"/>
      <w:r w:rsidRPr="00D407BD">
        <w:rPr>
          <w:szCs w:val="24"/>
        </w:rPr>
        <w:t>Emtricitabine</w:t>
      </w:r>
      <w:proofErr w:type="spellEnd"/>
      <w:r w:rsidRPr="00D407BD">
        <w:rPr>
          <w:szCs w:val="24"/>
        </w:rPr>
        <w:t xml:space="preserve">-resistant isolates of HIV have been selected in vitro.  Genotypic analysis of these isolates showed that the reduced susceptibility to </w:t>
      </w:r>
      <w:proofErr w:type="spellStart"/>
      <w:r w:rsidRPr="00D407BD">
        <w:rPr>
          <w:szCs w:val="24"/>
        </w:rPr>
        <w:t>emtricitabine</w:t>
      </w:r>
      <w:proofErr w:type="spellEnd"/>
      <w:r w:rsidRPr="00D407BD">
        <w:rPr>
          <w:szCs w:val="24"/>
        </w:rPr>
        <w:t xml:space="preserve"> was associated with a mutation in the HIV reverse transcriptase gene at codon 184 which resulted in an amino acid substitution of methionine by valine or isoleucine (M184V/I).</w:t>
      </w:r>
      <w:r w:rsidR="00D41DBE" w:rsidRPr="00D407BD">
        <w:rPr>
          <w:szCs w:val="24"/>
        </w:rPr>
        <w:t xml:space="preserve"> </w:t>
      </w:r>
    </w:p>
    <w:p w:rsidR="00C3388F" w:rsidRPr="00D407BD" w:rsidRDefault="00C3388F" w:rsidP="00E7636B">
      <w:pPr>
        <w:rPr>
          <w:b/>
          <w:szCs w:val="24"/>
        </w:rPr>
      </w:pPr>
    </w:p>
    <w:p w:rsidR="001F291B" w:rsidRDefault="001F291B" w:rsidP="00E7636B">
      <w:pPr>
        <w:rPr>
          <w:szCs w:val="24"/>
        </w:rPr>
      </w:pPr>
      <w:proofErr w:type="spellStart"/>
      <w:r w:rsidRPr="00D407BD">
        <w:rPr>
          <w:szCs w:val="24"/>
        </w:rPr>
        <w:t>Emtricitabine</w:t>
      </w:r>
      <w:proofErr w:type="spellEnd"/>
      <w:r w:rsidRPr="00D407BD">
        <w:rPr>
          <w:szCs w:val="24"/>
        </w:rPr>
        <w:t xml:space="preserve">-resistant isolates of HIV have been recovered from some patients treated with </w:t>
      </w:r>
      <w:proofErr w:type="spellStart"/>
      <w:r w:rsidRPr="00D407BD">
        <w:rPr>
          <w:szCs w:val="24"/>
        </w:rPr>
        <w:t>emtricitabine</w:t>
      </w:r>
      <w:proofErr w:type="spellEnd"/>
      <w:r w:rsidRPr="00D407BD">
        <w:rPr>
          <w:szCs w:val="24"/>
        </w:rPr>
        <w:t xml:space="preserve"> alone or in combination with other antiretroviral agents. In a clinical study, viral isolates from 37.5% of treatment-naïve patients with </w:t>
      </w:r>
      <w:proofErr w:type="spellStart"/>
      <w:r w:rsidRPr="00D407BD">
        <w:rPr>
          <w:szCs w:val="24"/>
        </w:rPr>
        <w:t>virologic</w:t>
      </w:r>
      <w:proofErr w:type="spellEnd"/>
      <w:r w:rsidRPr="00D407BD">
        <w:rPr>
          <w:szCs w:val="24"/>
        </w:rPr>
        <w:t xml:space="preserve"> failure showed reduced susceptibility to </w:t>
      </w:r>
      <w:proofErr w:type="spellStart"/>
      <w:r w:rsidRPr="00D407BD">
        <w:rPr>
          <w:szCs w:val="24"/>
        </w:rPr>
        <w:t>emtricitabine</w:t>
      </w:r>
      <w:proofErr w:type="spellEnd"/>
      <w:r w:rsidRPr="00D407BD">
        <w:rPr>
          <w:szCs w:val="24"/>
        </w:rPr>
        <w:t xml:space="preserve">.  Genotypic analysis of these isolates showed that the resistance was due to </w:t>
      </w:r>
      <w:proofErr w:type="gramStart"/>
      <w:r w:rsidRPr="00D407BD">
        <w:rPr>
          <w:szCs w:val="24"/>
        </w:rPr>
        <w:t>M184V/I</w:t>
      </w:r>
      <w:proofErr w:type="gramEnd"/>
      <w:r w:rsidRPr="00D407BD">
        <w:rPr>
          <w:szCs w:val="24"/>
        </w:rPr>
        <w:t xml:space="preserve"> mutations in the HIV reverse transcriptase gene.</w:t>
      </w:r>
      <w:r w:rsidR="00433E0A" w:rsidRPr="00D407BD">
        <w:rPr>
          <w:szCs w:val="24"/>
        </w:rPr>
        <w:t xml:space="preserve">  In a second study in treatment-naïve patients, genotyping of viral isolates from 2/12 (17%) patients showed development of the M184V/I mutation.</w:t>
      </w:r>
    </w:p>
    <w:p w:rsidR="007467AA" w:rsidRDefault="007467AA" w:rsidP="00E7636B">
      <w:pPr>
        <w:rPr>
          <w:szCs w:val="24"/>
        </w:rPr>
      </w:pPr>
    </w:p>
    <w:p w:rsidR="007467AA" w:rsidRPr="007467AA" w:rsidRDefault="007467AA" w:rsidP="007467AA">
      <w:pPr>
        <w:pStyle w:val="Text10"/>
        <w:rPr>
          <w:szCs w:val="24"/>
        </w:rPr>
      </w:pPr>
      <w:proofErr w:type="spellStart"/>
      <w:r w:rsidRPr="007467AA">
        <w:rPr>
          <w:szCs w:val="24"/>
        </w:rPr>
        <w:t>iPrEx</w:t>
      </w:r>
      <w:proofErr w:type="spellEnd"/>
      <w:r w:rsidRPr="007467AA">
        <w:rPr>
          <w:szCs w:val="24"/>
        </w:rPr>
        <w:t xml:space="preserve"> Trial: In a clinical study of HIV-1 seronegative subjects</w:t>
      </w:r>
      <w:r>
        <w:rPr>
          <w:szCs w:val="24"/>
        </w:rPr>
        <w:t xml:space="preserve"> (see CLINICAL TRIALS)</w:t>
      </w:r>
      <w:r w:rsidRPr="007467AA">
        <w:rPr>
          <w:szCs w:val="24"/>
        </w:rPr>
        <w:t xml:space="preserve">, no amino acid substitutions associated with resistance to </w:t>
      </w:r>
      <w:proofErr w:type="spellStart"/>
      <w:r w:rsidRPr="007467AA">
        <w:rPr>
          <w:szCs w:val="24"/>
        </w:rPr>
        <w:t>emtricitabine</w:t>
      </w:r>
      <w:proofErr w:type="spellEnd"/>
      <w:r w:rsidRPr="007467AA">
        <w:rPr>
          <w:szCs w:val="24"/>
        </w:rPr>
        <w:t xml:space="preserve"> or </w:t>
      </w:r>
      <w:proofErr w:type="spellStart"/>
      <w:r w:rsidRPr="007467AA">
        <w:rPr>
          <w:szCs w:val="24"/>
        </w:rPr>
        <w:t>tenofovir</w:t>
      </w:r>
      <w:proofErr w:type="spellEnd"/>
      <w:r w:rsidRPr="007467AA">
        <w:rPr>
          <w:szCs w:val="24"/>
        </w:rPr>
        <w:t xml:space="preserve"> were detected at the time of seroconversion among 48 subjects in the TRUVADA group and 83 subjects in the placebo group who became infected with HIV-1 during the trial. Ten subjects were observed to be HIV-1 infected at time of enrollment. The M184V/I substitutions associated with resistance to </w:t>
      </w:r>
      <w:proofErr w:type="spellStart"/>
      <w:r w:rsidRPr="007467AA">
        <w:rPr>
          <w:szCs w:val="24"/>
        </w:rPr>
        <w:t>emtricitabine</w:t>
      </w:r>
      <w:proofErr w:type="spellEnd"/>
      <w:r w:rsidRPr="007467AA">
        <w:rPr>
          <w:szCs w:val="24"/>
        </w:rPr>
        <w:t xml:space="preserve"> were observed in 3 of the 10 subjects (2 of 2 in the TRUVADA group and 1 of 8 in the placebo group). One of the two subjects in the TRUVADA group harbored wild type virus at enrollment and developed the M184V substitution 4 weeks after enrollment. The other subject had indeterminate resistance at enrollment but was found to have the M184I substitution 4 weeks after enrollment. </w:t>
      </w:r>
    </w:p>
    <w:p w:rsidR="007467AA" w:rsidRPr="007467AA" w:rsidRDefault="007467AA" w:rsidP="007467AA">
      <w:pPr>
        <w:spacing w:before="120"/>
        <w:rPr>
          <w:szCs w:val="24"/>
        </w:rPr>
      </w:pPr>
      <w:r w:rsidRPr="007467AA">
        <w:rPr>
          <w:szCs w:val="24"/>
        </w:rPr>
        <w:lastRenderedPageBreak/>
        <w:t xml:space="preserve">Partners </w:t>
      </w:r>
      <w:proofErr w:type="spellStart"/>
      <w:r w:rsidRPr="007467AA">
        <w:rPr>
          <w:szCs w:val="24"/>
        </w:rPr>
        <w:t>PrEP</w:t>
      </w:r>
      <w:proofErr w:type="spellEnd"/>
      <w:r w:rsidRPr="007467AA">
        <w:rPr>
          <w:szCs w:val="24"/>
        </w:rPr>
        <w:t xml:space="preserve"> Trial: In a clinical study of HIV-1 seronegative subjects </w:t>
      </w:r>
      <w:r>
        <w:rPr>
          <w:szCs w:val="24"/>
        </w:rPr>
        <w:t>(see CLINICAL TRIALS)</w:t>
      </w:r>
      <w:r w:rsidRPr="007467AA">
        <w:rPr>
          <w:i/>
          <w:szCs w:val="24"/>
        </w:rPr>
        <w:t xml:space="preserve">, </w:t>
      </w:r>
      <w:r w:rsidRPr="007467AA">
        <w:rPr>
          <w:szCs w:val="24"/>
        </w:rPr>
        <w:t xml:space="preserve">no variants expressing amino acid substitutions associated with resistance to </w:t>
      </w:r>
      <w:proofErr w:type="spellStart"/>
      <w:r w:rsidRPr="007467AA">
        <w:rPr>
          <w:szCs w:val="24"/>
        </w:rPr>
        <w:t>emtricitabine</w:t>
      </w:r>
      <w:proofErr w:type="spellEnd"/>
      <w:r w:rsidRPr="007467AA">
        <w:rPr>
          <w:szCs w:val="24"/>
        </w:rPr>
        <w:t xml:space="preserve"> or </w:t>
      </w:r>
      <w:proofErr w:type="spellStart"/>
      <w:r w:rsidRPr="007467AA">
        <w:rPr>
          <w:szCs w:val="24"/>
        </w:rPr>
        <w:t>tenofovir</w:t>
      </w:r>
      <w:proofErr w:type="spellEnd"/>
      <w:r w:rsidRPr="007467AA">
        <w:rPr>
          <w:szCs w:val="24"/>
        </w:rPr>
        <w:t xml:space="preserve"> were detected at the time of seroconversion among 12 subjects in the TRUVADA group, 15 subjects in the VIREAD group, and 51 subjects in the placebo group. Fourteen subjects were observed to be HIV-1 infected at the time of enrollment (3 in the TRUVADA group, 5 in the VIREAD group, and 6 in the placebo group). One of the three subjects in the TRUVADA group who was infected with wild type virus at enrollment selected an M184V expressing virus by week 12. Two of the five subjects in the VIREAD group had </w:t>
      </w:r>
      <w:proofErr w:type="spellStart"/>
      <w:r w:rsidRPr="007467AA">
        <w:rPr>
          <w:szCs w:val="24"/>
        </w:rPr>
        <w:t>tenofovir</w:t>
      </w:r>
      <w:proofErr w:type="spellEnd"/>
      <w:r w:rsidRPr="007467AA">
        <w:rPr>
          <w:szCs w:val="24"/>
        </w:rPr>
        <w:t xml:space="preserve">-resistant viruses at the time of seroconversion; one subject infected with wild type virus at enrollment developed a K65R substitution by week 16, while the second subject had virus expressing the combination of D67N and K70R substitutions upon seroconversion at week 60, although baseline virus was not genotyped and it is unclear if the resistance emerged or was transmitted. Following enrollment, 4 subjects (2 in the VIREAD group, 1 in the TRUVADA group, and 1 in the placebo group) had virus expressing K103N or V106A substitutions, which confer high-level resistance to NNRTIs but have not been associated with </w:t>
      </w:r>
      <w:proofErr w:type="spellStart"/>
      <w:r w:rsidRPr="007467AA">
        <w:rPr>
          <w:szCs w:val="24"/>
        </w:rPr>
        <w:t>tenofovir</w:t>
      </w:r>
      <w:proofErr w:type="spellEnd"/>
      <w:r w:rsidRPr="007467AA">
        <w:rPr>
          <w:szCs w:val="24"/>
        </w:rPr>
        <w:t xml:space="preserve"> or </w:t>
      </w:r>
      <w:proofErr w:type="spellStart"/>
      <w:r w:rsidRPr="007467AA">
        <w:rPr>
          <w:szCs w:val="24"/>
        </w:rPr>
        <w:t>emtricitabine</w:t>
      </w:r>
      <w:proofErr w:type="spellEnd"/>
      <w:r w:rsidRPr="007467AA">
        <w:rPr>
          <w:szCs w:val="24"/>
        </w:rPr>
        <w:t xml:space="preserve"> and may have been present in the infecting virus.</w:t>
      </w:r>
    </w:p>
    <w:p w:rsidR="00A1627E" w:rsidRPr="00D407BD" w:rsidRDefault="00A1627E" w:rsidP="00E7636B">
      <w:pPr>
        <w:rPr>
          <w:szCs w:val="24"/>
        </w:rPr>
      </w:pPr>
    </w:p>
    <w:p w:rsidR="001F291B" w:rsidRPr="00D407BD" w:rsidRDefault="001F291B" w:rsidP="00E7636B">
      <w:pPr>
        <w:rPr>
          <w:szCs w:val="24"/>
        </w:rPr>
      </w:pPr>
      <w:r w:rsidRPr="00D407BD">
        <w:rPr>
          <w:b/>
          <w:i/>
          <w:szCs w:val="24"/>
        </w:rPr>
        <w:t>Cross-resistance:</w:t>
      </w:r>
      <w:r w:rsidRPr="00D407BD">
        <w:rPr>
          <w:szCs w:val="24"/>
        </w:rPr>
        <w:t xml:space="preserve">  Cross-resistance among certain reverse transcriptase inhibitors has been </w:t>
      </w:r>
      <w:proofErr w:type="spellStart"/>
      <w:r w:rsidRPr="00D407BD">
        <w:rPr>
          <w:szCs w:val="24"/>
        </w:rPr>
        <w:t>recogni</w:t>
      </w:r>
      <w:r w:rsidR="00086D13">
        <w:rPr>
          <w:szCs w:val="24"/>
        </w:rPr>
        <w:t>s</w:t>
      </w:r>
      <w:r w:rsidRPr="00D407BD">
        <w:rPr>
          <w:szCs w:val="24"/>
        </w:rPr>
        <w:t>ed</w:t>
      </w:r>
      <w:proofErr w:type="spellEnd"/>
      <w:r w:rsidRPr="00D407BD">
        <w:rPr>
          <w:szCs w:val="24"/>
        </w:rPr>
        <w:t xml:space="preserve">. </w:t>
      </w:r>
    </w:p>
    <w:p w:rsidR="00A1627E" w:rsidRPr="00D407BD" w:rsidRDefault="00A1627E" w:rsidP="00E7636B">
      <w:pPr>
        <w:rPr>
          <w:szCs w:val="24"/>
        </w:rPr>
      </w:pPr>
    </w:p>
    <w:p w:rsidR="001F291B" w:rsidRPr="00D407BD" w:rsidRDefault="001F291B" w:rsidP="00554F32">
      <w:pPr>
        <w:rPr>
          <w:szCs w:val="24"/>
        </w:rPr>
      </w:pPr>
      <w:proofErr w:type="spellStart"/>
      <w:r w:rsidRPr="00D407BD">
        <w:rPr>
          <w:b/>
          <w:i/>
          <w:szCs w:val="24"/>
        </w:rPr>
        <w:t>Tenofovir</w:t>
      </w:r>
      <w:proofErr w:type="spellEnd"/>
      <w:r w:rsidRPr="00D407BD">
        <w:rPr>
          <w:b/>
          <w:i/>
          <w:szCs w:val="24"/>
        </w:rPr>
        <w:t xml:space="preserve"> </w:t>
      </w:r>
      <w:proofErr w:type="spellStart"/>
      <w:r w:rsidRPr="00D407BD">
        <w:rPr>
          <w:b/>
          <w:i/>
          <w:szCs w:val="24"/>
        </w:rPr>
        <w:t>Disoproxil</w:t>
      </w:r>
      <w:proofErr w:type="spellEnd"/>
      <w:r w:rsidRPr="00D407BD">
        <w:rPr>
          <w:b/>
          <w:i/>
          <w:szCs w:val="24"/>
        </w:rPr>
        <w:t xml:space="preserve"> Fumarate: </w:t>
      </w:r>
      <w:r w:rsidRPr="00D407BD">
        <w:rPr>
          <w:szCs w:val="24"/>
        </w:rPr>
        <w:t xml:space="preserve">The K65R </w:t>
      </w:r>
      <w:r w:rsidR="00F94460">
        <w:rPr>
          <w:szCs w:val="24"/>
        </w:rPr>
        <w:t xml:space="preserve">and K70E </w:t>
      </w:r>
      <w:r w:rsidR="00C74BA8">
        <w:rPr>
          <w:szCs w:val="24"/>
        </w:rPr>
        <w:t>substitutions can also be selected by</w:t>
      </w:r>
      <w:r w:rsidRPr="00D407BD">
        <w:rPr>
          <w:szCs w:val="24"/>
        </w:rPr>
        <w:t xml:space="preserve"> </w:t>
      </w:r>
      <w:proofErr w:type="spellStart"/>
      <w:r w:rsidRPr="00D407BD">
        <w:rPr>
          <w:szCs w:val="24"/>
        </w:rPr>
        <w:t>abacavir</w:t>
      </w:r>
      <w:proofErr w:type="spellEnd"/>
      <w:r w:rsidRPr="00D407BD">
        <w:rPr>
          <w:szCs w:val="24"/>
        </w:rPr>
        <w:t xml:space="preserve">, </w:t>
      </w:r>
      <w:r w:rsidR="00F0121E">
        <w:rPr>
          <w:szCs w:val="24"/>
        </w:rPr>
        <w:t xml:space="preserve">or </w:t>
      </w:r>
      <w:proofErr w:type="spellStart"/>
      <w:r w:rsidRPr="00D407BD">
        <w:rPr>
          <w:szCs w:val="24"/>
        </w:rPr>
        <w:t>didanosine</w:t>
      </w:r>
      <w:proofErr w:type="spellEnd"/>
      <w:r w:rsidRPr="00D407BD">
        <w:rPr>
          <w:szCs w:val="24"/>
        </w:rPr>
        <w:t xml:space="preserve">, </w:t>
      </w:r>
      <w:r w:rsidR="00C74BA8">
        <w:rPr>
          <w:szCs w:val="24"/>
        </w:rPr>
        <w:t xml:space="preserve">and result in </w:t>
      </w:r>
      <w:r w:rsidRPr="00D407BD">
        <w:rPr>
          <w:szCs w:val="24"/>
        </w:rPr>
        <w:t>reduced susceptibility to</w:t>
      </w:r>
      <w:r w:rsidR="00C74BA8">
        <w:rPr>
          <w:szCs w:val="24"/>
        </w:rPr>
        <w:t xml:space="preserve">, these agents plus </w:t>
      </w:r>
      <w:proofErr w:type="spellStart"/>
      <w:r w:rsidR="00C74BA8">
        <w:rPr>
          <w:szCs w:val="24"/>
        </w:rPr>
        <w:t>abacavir</w:t>
      </w:r>
      <w:proofErr w:type="spellEnd"/>
      <w:r w:rsidR="00C74BA8">
        <w:rPr>
          <w:szCs w:val="24"/>
        </w:rPr>
        <w:t xml:space="preserve">, </w:t>
      </w:r>
      <w:proofErr w:type="spellStart"/>
      <w:r w:rsidR="00C74BA8">
        <w:rPr>
          <w:szCs w:val="24"/>
        </w:rPr>
        <w:t>didanosine</w:t>
      </w:r>
      <w:proofErr w:type="spellEnd"/>
      <w:r w:rsidR="00C74BA8">
        <w:rPr>
          <w:szCs w:val="24"/>
        </w:rPr>
        <w:t>,</w:t>
      </w:r>
      <w:r w:rsidRPr="00D407BD">
        <w:rPr>
          <w:szCs w:val="24"/>
        </w:rPr>
        <w:t xml:space="preserve"> </w:t>
      </w:r>
      <w:proofErr w:type="spellStart"/>
      <w:r w:rsidRPr="00D407BD">
        <w:rPr>
          <w:szCs w:val="24"/>
        </w:rPr>
        <w:t>emtricitabine</w:t>
      </w:r>
      <w:proofErr w:type="spellEnd"/>
      <w:r w:rsidR="00C74BA8">
        <w:rPr>
          <w:szCs w:val="24"/>
        </w:rPr>
        <w:t xml:space="preserve">, </w:t>
      </w:r>
      <w:proofErr w:type="spellStart"/>
      <w:r w:rsidR="00C74BA8">
        <w:rPr>
          <w:szCs w:val="24"/>
        </w:rPr>
        <w:t>tenofovir</w:t>
      </w:r>
      <w:proofErr w:type="spellEnd"/>
      <w:r w:rsidRPr="00D407BD">
        <w:rPr>
          <w:szCs w:val="24"/>
        </w:rPr>
        <w:t xml:space="preserve"> and lamivudine. </w:t>
      </w:r>
      <w:r w:rsidR="00A00B7A" w:rsidRPr="00D407BD">
        <w:rPr>
          <w:szCs w:val="24"/>
        </w:rPr>
        <w:t>Patients with HIV</w:t>
      </w:r>
      <w:r w:rsidR="00A00B7A" w:rsidRPr="00D407BD">
        <w:rPr>
          <w:szCs w:val="24"/>
        </w:rPr>
        <w:noBreakHyphen/>
        <w:t xml:space="preserve">1 expressing three or more thymidine analogue associated mutations (TAMs) that included either the M41L or L210W reverse transcriptase mutation showed reduced susceptibility to </w:t>
      </w:r>
      <w:proofErr w:type="spellStart"/>
      <w:r w:rsidR="00A00B7A" w:rsidRPr="00D407BD">
        <w:rPr>
          <w:szCs w:val="24"/>
        </w:rPr>
        <w:t>tenofovir</w:t>
      </w:r>
      <w:proofErr w:type="spellEnd"/>
      <w:r w:rsidR="00A00B7A" w:rsidRPr="00D407BD">
        <w:rPr>
          <w:szCs w:val="24"/>
        </w:rPr>
        <w:t xml:space="preserve"> </w:t>
      </w:r>
      <w:proofErr w:type="spellStart"/>
      <w:r w:rsidR="00A00B7A" w:rsidRPr="00D407BD">
        <w:rPr>
          <w:szCs w:val="24"/>
        </w:rPr>
        <w:t>disoproxil</w:t>
      </w:r>
      <w:proofErr w:type="spellEnd"/>
      <w:r w:rsidR="00A00B7A" w:rsidRPr="00D407BD">
        <w:rPr>
          <w:szCs w:val="24"/>
        </w:rPr>
        <w:t xml:space="preserve"> fumarate.</w:t>
      </w:r>
      <w:r w:rsidR="00554F32" w:rsidRPr="00D407BD">
        <w:rPr>
          <w:szCs w:val="24"/>
        </w:rPr>
        <w:t xml:space="preserve"> </w:t>
      </w:r>
      <w:r w:rsidRPr="00D407BD">
        <w:rPr>
          <w:szCs w:val="24"/>
        </w:rPr>
        <w:t xml:space="preserve"> </w:t>
      </w:r>
      <w:proofErr w:type="spellStart"/>
      <w:r w:rsidRPr="00D407BD">
        <w:rPr>
          <w:szCs w:val="24"/>
        </w:rPr>
        <w:t>Multinucleoside</w:t>
      </w:r>
      <w:proofErr w:type="spellEnd"/>
      <w:r w:rsidRPr="00D407BD">
        <w:rPr>
          <w:szCs w:val="24"/>
        </w:rPr>
        <w:t xml:space="preserve"> resistant HIV-1 with a T69S double insertion mutation in the reverse transcriptase showed reduced susceptibility to </w:t>
      </w:r>
      <w:proofErr w:type="spellStart"/>
      <w:r w:rsidRPr="00D407BD">
        <w:rPr>
          <w:szCs w:val="24"/>
        </w:rPr>
        <w:t>tenofovir</w:t>
      </w:r>
      <w:proofErr w:type="spellEnd"/>
      <w:r w:rsidRPr="00D407BD">
        <w:rPr>
          <w:szCs w:val="24"/>
        </w:rPr>
        <w:t>.</w:t>
      </w:r>
    </w:p>
    <w:p w:rsidR="00A1627E" w:rsidRPr="00D407BD" w:rsidRDefault="00A1627E" w:rsidP="00E7636B">
      <w:pPr>
        <w:rPr>
          <w:strike/>
          <w:szCs w:val="24"/>
        </w:rPr>
      </w:pPr>
    </w:p>
    <w:p w:rsidR="001F291B" w:rsidRPr="00D407BD" w:rsidRDefault="001F291B" w:rsidP="002665B4">
      <w:pPr>
        <w:tabs>
          <w:tab w:val="left" w:pos="5529"/>
        </w:tabs>
        <w:rPr>
          <w:szCs w:val="24"/>
        </w:rPr>
      </w:pPr>
      <w:proofErr w:type="spellStart"/>
      <w:r w:rsidRPr="00D407BD">
        <w:rPr>
          <w:b/>
          <w:i/>
          <w:szCs w:val="24"/>
        </w:rPr>
        <w:t>Emtricitabine</w:t>
      </w:r>
      <w:proofErr w:type="spellEnd"/>
      <w:r w:rsidRPr="00D407BD">
        <w:rPr>
          <w:b/>
          <w:i/>
          <w:szCs w:val="24"/>
        </w:rPr>
        <w:t>:</w:t>
      </w:r>
      <w:r w:rsidRPr="00D407BD">
        <w:rPr>
          <w:szCs w:val="24"/>
        </w:rPr>
        <w:t xml:space="preserve"> </w:t>
      </w:r>
      <w:proofErr w:type="spellStart"/>
      <w:r w:rsidRPr="00D407BD">
        <w:rPr>
          <w:szCs w:val="24"/>
        </w:rPr>
        <w:t>Emtricitabine</w:t>
      </w:r>
      <w:proofErr w:type="spellEnd"/>
      <w:r w:rsidRPr="00D407BD">
        <w:rPr>
          <w:szCs w:val="24"/>
        </w:rPr>
        <w:t xml:space="preserve">-resistant isolates (M184V/I) were cross-resistant to lamivudine and </w:t>
      </w:r>
      <w:proofErr w:type="spellStart"/>
      <w:r w:rsidRPr="00D407BD">
        <w:rPr>
          <w:szCs w:val="24"/>
        </w:rPr>
        <w:t>zalcitabine</w:t>
      </w:r>
      <w:proofErr w:type="spellEnd"/>
      <w:r w:rsidRPr="00D407BD">
        <w:rPr>
          <w:szCs w:val="24"/>
        </w:rPr>
        <w:t xml:space="preserve"> but retained sensitivity to </w:t>
      </w:r>
      <w:proofErr w:type="spellStart"/>
      <w:r w:rsidRPr="00D407BD">
        <w:rPr>
          <w:szCs w:val="24"/>
        </w:rPr>
        <w:t>abacavir</w:t>
      </w:r>
      <w:proofErr w:type="spellEnd"/>
      <w:r w:rsidRPr="00D407BD">
        <w:rPr>
          <w:szCs w:val="24"/>
        </w:rPr>
        <w:t xml:space="preserve">, </w:t>
      </w:r>
      <w:proofErr w:type="spellStart"/>
      <w:r w:rsidRPr="00D407BD">
        <w:rPr>
          <w:szCs w:val="24"/>
        </w:rPr>
        <w:t>didanosine</w:t>
      </w:r>
      <w:proofErr w:type="spellEnd"/>
      <w:r w:rsidRPr="00D407BD">
        <w:rPr>
          <w:szCs w:val="24"/>
        </w:rPr>
        <w:t xml:space="preserve">, </w:t>
      </w:r>
      <w:r w:rsidR="002665B4" w:rsidRPr="00D407BD">
        <w:rPr>
          <w:szCs w:val="24"/>
        </w:rPr>
        <w:t>d4T</w:t>
      </w:r>
      <w:r w:rsidRPr="00D407BD">
        <w:rPr>
          <w:szCs w:val="24"/>
        </w:rPr>
        <w:t xml:space="preserve">, </w:t>
      </w:r>
      <w:proofErr w:type="spellStart"/>
      <w:r w:rsidRPr="00D407BD">
        <w:rPr>
          <w:szCs w:val="24"/>
        </w:rPr>
        <w:t>tenofovir</w:t>
      </w:r>
      <w:proofErr w:type="spellEnd"/>
      <w:r w:rsidRPr="00D407BD">
        <w:rPr>
          <w:szCs w:val="24"/>
        </w:rPr>
        <w:t>, zidovudine, and NNRTIs (</w:t>
      </w:r>
      <w:proofErr w:type="spellStart"/>
      <w:r w:rsidRPr="00D407BD">
        <w:rPr>
          <w:szCs w:val="24"/>
        </w:rPr>
        <w:t>delavirdine</w:t>
      </w:r>
      <w:proofErr w:type="spellEnd"/>
      <w:r w:rsidRPr="00D407BD">
        <w:rPr>
          <w:szCs w:val="24"/>
        </w:rPr>
        <w:t xml:space="preserve">, </w:t>
      </w:r>
      <w:proofErr w:type="spellStart"/>
      <w:r w:rsidRPr="00D407BD">
        <w:rPr>
          <w:szCs w:val="24"/>
        </w:rPr>
        <w:t>efavirenz</w:t>
      </w:r>
      <w:proofErr w:type="spellEnd"/>
      <w:r w:rsidRPr="00D407BD">
        <w:rPr>
          <w:szCs w:val="24"/>
        </w:rPr>
        <w:t xml:space="preserve">, and </w:t>
      </w:r>
      <w:proofErr w:type="spellStart"/>
      <w:r w:rsidRPr="00D407BD">
        <w:rPr>
          <w:szCs w:val="24"/>
        </w:rPr>
        <w:t>nevirapine</w:t>
      </w:r>
      <w:proofErr w:type="spellEnd"/>
      <w:r w:rsidRPr="00D407BD">
        <w:rPr>
          <w:szCs w:val="24"/>
        </w:rPr>
        <w:t xml:space="preserve">).  HIV-1 isolates containing the K65R mutation, selected in vivo by </w:t>
      </w:r>
      <w:proofErr w:type="spellStart"/>
      <w:r w:rsidRPr="00D407BD">
        <w:rPr>
          <w:szCs w:val="24"/>
        </w:rPr>
        <w:t>abacavir</w:t>
      </w:r>
      <w:proofErr w:type="spellEnd"/>
      <w:r w:rsidRPr="00D407BD">
        <w:rPr>
          <w:szCs w:val="24"/>
        </w:rPr>
        <w:t xml:space="preserve">, </w:t>
      </w:r>
      <w:proofErr w:type="spellStart"/>
      <w:r w:rsidRPr="00D407BD">
        <w:rPr>
          <w:szCs w:val="24"/>
        </w:rPr>
        <w:t>didanosine</w:t>
      </w:r>
      <w:proofErr w:type="spellEnd"/>
      <w:r w:rsidRPr="00D407BD">
        <w:rPr>
          <w:szCs w:val="24"/>
        </w:rPr>
        <w:t xml:space="preserve">, </w:t>
      </w:r>
      <w:proofErr w:type="spellStart"/>
      <w:r w:rsidRPr="00D407BD">
        <w:rPr>
          <w:szCs w:val="24"/>
        </w:rPr>
        <w:t>tenofovir</w:t>
      </w:r>
      <w:proofErr w:type="spellEnd"/>
      <w:r w:rsidRPr="00D407BD">
        <w:rPr>
          <w:szCs w:val="24"/>
        </w:rPr>
        <w:t xml:space="preserve">, and </w:t>
      </w:r>
      <w:proofErr w:type="spellStart"/>
      <w:r w:rsidRPr="00D407BD">
        <w:rPr>
          <w:szCs w:val="24"/>
        </w:rPr>
        <w:t>zalcitabine</w:t>
      </w:r>
      <w:proofErr w:type="spellEnd"/>
      <w:r w:rsidRPr="00D407BD">
        <w:rPr>
          <w:szCs w:val="24"/>
        </w:rPr>
        <w:t xml:space="preserve">, demonstrated reduced susceptibility to inhibition by </w:t>
      </w:r>
      <w:proofErr w:type="spellStart"/>
      <w:r w:rsidRPr="00D407BD">
        <w:rPr>
          <w:szCs w:val="24"/>
        </w:rPr>
        <w:t>emtricitabine</w:t>
      </w:r>
      <w:proofErr w:type="spellEnd"/>
      <w:r w:rsidRPr="00D407BD">
        <w:rPr>
          <w:szCs w:val="24"/>
        </w:rPr>
        <w:t xml:space="preserve">.  Viruses </w:t>
      </w:r>
      <w:proofErr w:type="spellStart"/>
      <w:r w:rsidRPr="00D407BD">
        <w:rPr>
          <w:szCs w:val="24"/>
        </w:rPr>
        <w:t>harbo</w:t>
      </w:r>
      <w:r w:rsidR="00AD4ABA" w:rsidRPr="00D407BD">
        <w:rPr>
          <w:szCs w:val="24"/>
        </w:rPr>
        <w:t>u</w:t>
      </w:r>
      <w:r w:rsidRPr="00D407BD">
        <w:rPr>
          <w:szCs w:val="24"/>
        </w:rPr>
        <w:t>ring</w:t>
      </w:r>
      <w:proofErr w:type="spellEnd"/>
      <w:r w:rsidRPr="00D407BD">
        <w:rPr>
          <w:szCs w:val="24"/>
        </w:rPr>
        <w:t xml:space="preserve"> mutations conferring reduced susceptibility to </w:t>
      </w:r>
      <w:r w:rsidR="002665B4" w:rsidRPr="00D407BD">
        <w:rPr>
          <w:szCs w:val="24"/>
        </w:rPr>
        <w:t>d4T</w:t>
      </w:r>
      <w:r w:rsidRPr="00D407BD">
        <w:rPr>
          <w:szCs w:val="24"/>
        </w:rPr>
        <w:t xml:space="preserve"> and zidovudine (M41L, D67N, K70R, L210W, T215Y/F, </w:t>
      </w:r>
      <w:proofErr w:type="gramStart"/>
      <w:r w:rsidRPr="00D407BD">
        <w:rPr>
          <w:szCs w:val="24"/>
        </w:rPr>
        <w:t>K219Q</w:t>
      </w:r>
      <w:proofErr w:type="gramEnd"/>
      <w:r w:rsidRPr="00D407BD">
        <w:rPr>
          <w:szCs w:val="24"/>
        </w:rPr>
        <w:t xml:space="preserve">/E) or </w:t>
      </w:r>
      <w:proofErr w:type="spellStart"/>
      <w:r w:rsidRPr="00D407BD">
        <w:rPr>
          <w:szCs w:val="24"/>
        </w:rPr>
        <w:t>didanosine</w:t>
      </w:r>
      <w:proofErr w:type="spellEnd"/>
      <w:r w:rsidRPr="00D407BD">
        <w:rPr>
          <w:szCs w:val="24"/>
        </w:rPr>
        <w:t xml:space="preserve"> (L74V) remained sensitive to </w:t>
      </w:r>
      <w:proofErr w:type="spellStart"/>
      <w:r w:rsidRPr="00D407BD">
        <w:rPr>
          <w:szCs w:val="24"/>
        </w:rPr>
        <w:t>emtricitabine</w:t>
      </w:r>
      <w:proofErr w:type="spellEnd"/>
      <w:r w:rsidRPr="00D407BD">
        <w:rPr>
          <w:szCs w:val="24"/>
        </w:rPr>
        <w:t xml:space="preserve">.  HIV-1 containing the K103N mutation associated with resistance to NNRTIs was susceptible to </w:t>
      </w:r>
      <w:proofErr w:type="spellStart"/>
      <w:r w:rsidRPr="00D407BD">
        <w:rPr>
          <w:szCs w:val="24"/>
        </w:rPr>
        <w:t>emtricitabine</w:t>
      </w:r>
      <w:proofErr w:type="spellEnd"/>
      <w:r w:rsidRPr="00D407BD">
        <w:rPr>
          <w:szCs w:val="24"/>
        </w:rPr>
        <w:t>.</w:t>
      </w:r>
    </w:p>
    <w:p w:rsidR="00C55548" w:rsidRPr="00D407BD" w:rsidRDefault="00C55548" w:rsidP="0003333A">
      <w:pPr>
        <w:rPr>
          <w:rFonts w:eastAsia="Batang"/>
          <w:szCs w:val="24"/>
        </w:rPr>
      </w:pPr>
    </w:p>
    <w:p w:rsidR="00B7441E" w:rsidRPr="00D407BD" w:rsidRDefault="00B26477" w:rsidP="0003333A">
      <w:pPr>
        <w:tabs>
          <w:tab w:val="left" w:pos="1890"/>
        </w:tabs>
        <w:rPr>
          <w:b/>
          <w:szCs w:val="24"/>
        </w:rPr>
      </w:pPr>
      <w:r w:rsidRPr="00D407BD">
        <w:rPr>
          <w:b/>
          <w:szCs w:val="24"/>
        </w:rPr>
        <w:t>Pharmacokinetics</w:t>
      </w:r>
    </w:p>
    <w:p w:rsidR="0003333A" w:rsidRPr="00D407BD" w:rsidRDefault="0003333A" w:rsidP="0003333A">
      <w:pPr>
        <w:pStyle w:val="Footer"/>
        <w:tabs>
          <w:tab w:val="left" w:pos="720"/>
        </w:tabs>
        <w:rPr>
          <w:b/>
          <w:szCs w:val="24"/>
        </w:rPr>
      </w:pPr>
    </w:p>
    <w:p w:rsidR="003F77BA" w:rsidRPr="00D407BD" w:rsidRDefault="003F77BA" w:rsidP="0003333A">
      <w:pPr>
        <w:pStyle w:val="Footer"/>
        <w:tabs>
          <w:tab w:val="left" w:pos="720"/>
        </w:tabs>
        <w:rPr>
          <w:szCs w:val="24"/>
        </w:rPr>
      </w:pPr>
      <w:r w:rsidRPr="00D407BD">
        <w:rPr>
          <w:b/>
          <w:szCs w:val="24"/>
        </w:rPr>
        <w:t>Pharmacokinetics in Adults:</w:t>
      </w:r>
      <w:r w:rsidRPr="00D407BD">
        <w:rPr>
          <w:b/>
          <w:i/>
          <w:szCs w:val="24"/>
        </w:rPr>
        <w:t xml:space="preserve"> </w:t>
      </w:r>
      <w:r w:rsidRPr="00D407BD">
        <w:rPr>
          <w:b/>
          <w:szCs w:val="24"/>
        </w:rPr>
        <w:t>TR</w:t>
      </w:r>
      <w:r w:rsidR="009B3404" w:rsidRPr="00D407BD">
        <w:rPr>
          <w:b/>
          <w:szCs w:val="24"/>
        </w:rPr>
        <w:t>UVADA</w:t>
      </w:r>
      <w:r w:rsidRPr="00D407BD">
        <w:rPr>
          <w:b/>
          <w:szCs w:val="24"/>
        </w:rPr>
        <w:t xml:space="preserve">: </w:t>
      </w:r>
      <w:r w:rsidRPr="00D407BD">
        <w:rPr>
          <w:szCs w:val="24"/>
        </w:rPr>
        <w:t>One TR</w:t>
      </w:r>
      <w:r w:rsidR="004C0D25" w:rsidRPr="00D407BD">
        <w:rPr>
          <w:szCs w:val="24"/>
        </w:rPr>
        <w:t>UVADA</w:t>
      </w:r>
      <w:r w:rsidRPr="00D407BD">
        <w:rPr>
          <w:szCs w:val="24"/>
        </w:rPr>
        <w:t xml:space="preserve"> Tablet was bioequivalent to one VIREAD Tablet (300 mg) plus one EMTRIVA Capsule (200 mg) following single-dose administration to fasting healthy subjects (N=39). </w:t>
      </w:r>
    </w:p>
    <w:p w:rsidR="0003333A" w:rsidRPr="00D407BD" w:rsidRDefault="0003333A" w:rsidP="0003333A">
      <w:pPr>
        <w:pStyle w:val="Footer"/>
        <w:tabs>
          <w:tab w:val="left" w:pos="720"/>
        </w:tabs>
        <w:rPr>
          <w:b/>
          <w:i/>
          <w:szCs w:val="24"/>
        </w:rPr>
      </w:pPr>
    </w:p>
    <w:p w:rsidR="003F77BA" w:rsidRPr="00D407BD" w:rsidRDefault="003F77BA" w:rsidP="0003333A">
      <w:pPr>
        <w:pStyle w:val="Footer"/>
        <w:tabs>
          <w:tab w:val="left" w:pos="720"/>
        </w:tabs>
        <w:rPr>
          <w:szCs w:val="24"/>
        </w:rPr>
      </w:pPr>
      <w:proofErr w:type="spellStart"/>
      <w:r w:rsidRPr="00D407BD">
        <w:rPr>
          <w:b/>
          <w:i/>
          <w:szCs w:val="24"/>
        </w:rPr>
        <w:t>Tenofovir</w:t>
      </w:r>
      <w:proofErr w:type="spellEnd"/>
      <w:r w:rsidRPr="00D407BD">
        <w:rPr>
          <w:b/>
          <w:i/>
          <w:szCs w:val="24"/>
        </w:rPr>
        <w:t xml:space="preserve"> </w:t>
      </w:r>
      <w:proofErr w:type="spellStart"/>
      <w:r w:rsidRPr="00D407BD">
        <w:rPr>
          <w:b/>
          <w:i/>
          <w:szCs w:val="24"/>
        </w:rPr>
        <w:t>disoproxil</w:t>
      </w:r>
      <w:proofErr w:type="spellEnd"/>
      <w:r w:rsidRPr="00D407BD">
        <w:rPr>
          <w:b/>
          <w:i/>
          <w:szCs w:val="24"/>
        </w:rPr>
        <w:t xml:space="preserve"> fumarate:</w:t>
      </w:r>
      <w:r w:rsidRPr="00D407BD">
        <w:rPr>
          <w:szCs w:val="24"/>
        </w:rPr>
        <w:t xml:space="preserve"> The pharmacokinetic properties of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are </w:t>
      </w:r>
      <w:proofErr w:type="spellStart"/>
      <w:r w:rsidRPr="00D407BD">
        <w:rPr>
          <w:szCs w:val="24"/>
        </w:rPr>
        <w:t>summari</w:t>
      </w:r>
      <w:r w:rsidR="00086D13">
        <w:rPr>
          <w:szCs w:val="24"/>
        </w:rPr>
        <w:t>s</w:t>
      </w:r>
      <w:r w:rsidRPr="00D407BD">
        <w:rPr>
          <w:szCs w:val="24"/>
        </w:rPr>
        <w:t>ed</w:t>
      </w:r>
      <w:proofErr w:type="spellEnd"/>
      <w:r w:rsidRPr="00D407BD">
        <w:rPr>
          <w:szCs w:val="24"/>
        </w:rPr>
        <w:t xml:space="preserve"> in</w:t>
      </w:r>
      <w:r w:rsidR="00DA5725" w:rsidRPr="00D407BD">
        <w:rPr>
          <w:szCs w:val="24"/>
        </w:rPr>
        <w:t xml:space="preserve"> Table 1</w:t>
      </w:r>
      <w:r w:rsidRPr="00D407BD">
        <w:rPr>
          <w:szCs w:val="24"/>
        </w:rPr>
        <w:t xml:space="preserve">.  Following oral administration of VIREAD, maximum </w:t>
      </w:r>
      <w:proofErr w:type="spellStart"/>
      <w:r w:rsidRPr="00D407BD">
        <w:rPr>
          <w:szCs w:val="24"/>
        </w:rPr>
        <w:t>tenofovir</w:t>
      </w:r>
      <w:proofErr w:type="spellEnd"/>
      <w:r w:rsidRPr="00D407BD">
        <w:rPr>
          <w:szCs w:val="24"/>
        </w:rPr>
        <w:t xml:space="preserve"> </w:t>
      </w:r>
      <w:r w:rsidRPr="00D407BD">
        <w:rPr>
          <w:szCs w:val="24"/>
        </w:rPr>
        <w:lastRenderedPageBreak/>
        <w:t xml:space="preserve">serum concentrations are achieved in 1.0 </w:t>
      </w:r>
      <w:r w:rsidRPr="00D407BD">
        <w:rPr>
          <w:szCs w:val="24"/>
        </w:rPr>
        <w:sym w:font="Symbol" w:char="00B1"/>
      </w:r>
      <w:r w:rsidRPr="00D407BD">
        <w:rPr>
          <w:szCs w:val="24"/>
        </w:rPr>
        <w:t xml:space="preserve"> 0.4 hour.  In vitro binding of </w:t>
      </w:r>
      <w:proofErr w:type="spellStart"/>
      <w:r w:rsidRPr="00D407BD">
        <w:rPr>
          <w:szCs w:val="24"/>
        </w:rPr>
        <w:t>tenofovir</w:t>
      </w:r>
      <w:proofErr w:type="spellEnd"/>
      <w:r w:rsidRPr="00D407BD">
        <w:rPr>
          <w:szCs w:val="24"/>
        </w:rPr>
        <w:t xml:space="preserve"> to human plasma proteins is &lt;0.7% and is independent of concentration over the range of 0.01-25 </w:t>
      </w:r>
      <w:proofErr w:type="spellStart"/>
      <w:r w:rsidRPr="00D407BD">
        <w:rPr>
          <w:szCs w:val="24"/>
        </w:rPr>
        <w:t>μg</w:t>
      </w:r>
      <w:proofErr w:type="spellEnd"/>
      <w:r w:rsidRPr="00D407BD">
        <w:rPr>
          <w:szCs w:val="24"/>
        </w:rPr>
        <w:t>/</w:t>
      </w:r>
      <w:proofErr w:type="spellStart"/>
      <w:r w:rsidRPr="00D407BD">
        <w:rPr>
          <w:szCs w:val="24"/>
        </w:rPr>
        <w:t>mL.</w:t>
      </w:r>
      <w:proofErr w:type="spellEnd"/>
      <w:r w:rsidRPr="00D407BD">
        <w:rPr>
          <w:szCs w:val="24"/>
        </w:rPr>
        <w:t xml:space="preserve">  Approximately 70</w:t>
      </w:r>
      <w:r w:rsidRPr="00D407BD">
        <w:rPr>
          <w:szCs w:val="24"/>
        </w:rPr>
        <w:sym w:font="Symbol" w:char="002D"/>
      </w:r>
      <w:r w:rsidRPr="00D407BD">
        <w:rPr>
          <w:szCs w:val="24"/>
        </w:rPr>
        <w:t xml:space="preserve">80% of the intravenous dose of </w:t>
      </w:r>
      <w:proofErr w:type="spellStart"/>
      <w:r w:rsidRPr="00D407BD">
        <w:rPr>
          <w:szCs w:val="24"/>
        </w:rPr>
        <w:t>tenofovir</w:t>
      </w:r>
      <w:proofErr w:type="spellEnd"/>
      <w:r w:rsidRPr="00D407BD">
        <w:rPr>
          <w:szCs w:val="24"/>
        </w:rPr>
        <w:t xml:space="preserve"> is recovered as unchanged drug in the urine.  </w:t>
      </w:r>
      <w:proofErr w:type="spellStart"/>
      <w:r w:rsidRPr="00D407BD">
        <w:rPr>
          <w:szCs w:val="24"/>
        </w:rPr>
        <w:t>Tenofovir</w:t>
      </w:r>
      <w:proofErr w:type="spellEnd"/>
      <w:r w:rsidRPr="00D407BD">
        <w:rPr>
          <w:szCs w:val="24"/>
        </w:rPr>
        <w:t xml:space="preserve"> is eliminated by a combination of glomerular filtration and active tubular secretion.  Following a single oral dose of VIREAD, the terminal elimination half-life of </w:t>
      </w:r>
      <w:proofErr w:type="spellStart"/>
      <w:r w:rsidRPr="00D407BD">
        <w:rPr>
          <w:szCs w:val="24"/>
        </w:rPr>
        <w:t>tenofovir</w:t>
      </w:r>
      <w:proofErr w:type="spellEnd"/>
      <w:r w:rsidRPr="00D407BD">
        <w:rPr>
          <w:szCs w:val="24"/>
        </w:rPr>
        <w:t xml:space="preserve"> is approximately 17 hours. </w:t>
      </w:r>
    </w:p>
    <w:p w:rsidR="0003333A" w:rsidRPr="00D407BD" w:rsidRDefault="0003333A" w:rsidP="0003333A">
      <w:pPr>
        <w:pStyle w:val="Footer"/>
        <w:tabs>
          <w:tab w:val="left" w:pos="720"/>
        </w:tabs>
        <w:rPr>
          <w:szCs w:val="24"/>
        </w:rPr>
      </w:pPr>
    </w:p>
    <w:p w:rsidR="003F77BA" w:rsidRPr="00D407BD" w:rsidRDefault="003F77BA" w:rsidP="0003333A">
      <w:pPr>
        <w:pStyle w:val="Footer"/>
        <w:tabs>
          <w:tab w:val="left" w:pos="720"/>
        </w:tabs>
        <w:rPr>
          <w:szCs w:val="24"/>
        </w:rPr>
      </w:pPr>
      <w:proofErr w:type="spellStart"/>
      <w:r w:rsidRPr="00D407BD">
        <w:rPr>
          <w:b/>
          <w:i/>
          <w:szCs w:val="24"/>
          <w:lang w:val="en-GB"/>
        </w:rPr>
        <w:t>Emtricitabine</w:t>
      </w:r>
      <w:proofErr w:type="spellEnd"/>
      <w:r w:rsidRPr="00D407BD">
        <w:rPr>
          <w:b/>
          <w:szCs w:val="24"/>
          <w:lang w:val="en-GB"/>
        </w:rPr>
        <w:t xml:space="preserve">: </w:t>
      </w:r>
      <w:r w:rsidRPr="00D407BD">
        <w:rPr>
          <w:szCs w:val="24"/>
        </w:rPr>
        <w:t xml:space="preserve">The pharmacokinetic properties of </w:t>
      </w:r>
      <w:proofErr w:type="spellStart"/>
      <w:r w:rsidRPr="00D407BD">
        <w:rPr>
          <w:szCs w:val="24"/>
        </w:rPr>
        <w:t>emtricitabine</w:t>
      </w:r>
      <w:proofErr w:type="spellEnd"/>
      <w:r w:rsidRPr="00D407BD">
        <w:rPr>
          <w:szCs w:val="24"/>
        </w:rPr>
        <w:t xml:space="preserve"> are </w:t>
      </w:r>
      <w:proofErr w:type="spellStart"/>
      <w:r w:rsidRPr="00D407BD">
        <w:rPr>
          <w:szCs w:val="24"/>
        </w:rPr>
        <w:t>summari</w:t>
      </w:r>
      <w:r w:rsidR="002D4A56">
        <w:rPr>
          <w:szCs w:val="24"/>
        </w:rPr>
        <w:t>s</w:t>
      </w:r>
      <w:r w:rsidRPr="00D407BD">
        <w:rPr>
          <w:szCs w:val="24"/>
        </w:rPr>
        <w:t>ed</w:t>
      </w:r>
      <w:proofErr w:type="spellEnd"/>
      <w:r w:rsidRPr="00D407BD">
        <w:rPr>
          <w:szCs w:val="24"/>
        </w:rPr>
        <w:t xml:space="preserve"> in</w:t>
      </w:r>
      <w:r w:rsidR="00DA5725" w:rsidRPr="00D407BD">
        <w:rPr>
          <w:szCs w:val="24"/>
        </w:rPr>
        <w:t xml:space="preserve"> Table 1</w:t>
      </w:r>
      <w:r w:rsidRPr="00D407BD">
        <w:rPr>
          <w:szCs w:val="24"/>
        </w:rPr>
        <w:t xml:space="preserve">.  Following oral administration of EMTRIVA, </w:t>
      </w:r>
      <w:proofErr w:type="spellStart"/>
      <w:r w:rsidRPr="00D407BD">
        <w:rPr>
          <w:szCs w:val="24"/>
        </w:rPr>
        <w:t>emtricitabine</w:t>
      </w:r>
      <w:proofErr w:type="spellEnd"/>
      <w:r w:rsidRPr="00D407BD">
        <w:rPr>
          <w:szCs w:val="24"/>
        </w:rPr>
        <w:t xml:space="preserve"> is rapidly absorbed with peak plasma concentrations occurring at 1</w:t>
      </w:r>
      <w:r w:rsidRPr="00D407BD">
        <w:rPr>
          <w:szCs w:val="24"/>
        </w:rPr>
        <w:sym w:font="Symbol" w:char="002D"/>
      </w:r>
      <w:r w:rsidRPr="00D407BD">
        <w:rPr>
          <w:szCs w:val="24"/>
        </w:rPr>
        <w:t xml:space="preserve">2 hours post-dose.  In vitro binding of </w:t>
      </w:r>
      <w:proofErr w:type="spellStart"/>
      <w:r w:rsidRPr="00D407BD">
        <w:rPr>
          <w:szCs w:val="24"/>
        </w:rPr>
        <w:t>emtricitabine</w:t>
      </w:r>
      <w:proofErr w:type="spellEnd"/>
      <w:r w:rsidRPr="00D407BD">
        <w:rPr>
          <w:szCs w:val="24"/>
        </w:rPr>
        <w:t xml:space="preserve"> to human plasma proteins is &lt;4% and is independent of concentration over the range of 0.02</w:t>
      </w:r>
      <w:r w:rsidRPr="00D407BD">
        <w:rPr>
          <w:szCs w:val="24"/>
        </w:rPr>
        <w:sym w:font="Symbol" w:char="002D"/>
      </w:r>
      <w:r w:rsidRPr="00D407BD">
        <w:rPr>
          <w:szCs w:val="24"/>
        </w:rPr>
        <w:t xml:space="preserve">200 </w:t>
      </w:r>
      <w:proofErr w:type="spellStart"/>
      <w:r w:rsidRPr="00D407BD">
        <w:rPr>
          <w:szCs w:val="24"/>
        </w:rPr>
        <w:t>μg</w:t>
      </w:r>
      <w:proofErr w:type="spellEnd"/>
      <w:r w:rsidRPr="00D407BD">
        <w:rPr>
          <w:szCs w:val="24"/>
        </w:rPr>
        <w:t>/</w:t>
      </w:r>
      <w:proofErr w:type="spellStart"/>
      <w:r w:rsidRPr="00D407BD">
        <w:rPr>
          <w:szCs w:val="24"/>
        </w:rPr>
        <w:t>mL.</w:t>
      </w:r>
      <w:proofErr w:type="spellEnd"/>
      <w:r w:rsidRPr="00D407BD">
        <w:rPr>
          <w:szCs w:val="24"/>
        </w:rPr>
        <w:t xml:space="preserve">  Following administration of </w:t>
      </w:r>
      <w:proofErr w:type="spellStart"/>
      <w:r w:rsidRPr="00D407BD">
        <w:rPr>
          <w:szCs w:val="24"/>
        </w:rPr>
        <w:t>radiolabelled</w:t>
      </w:r>
      <w:proofErr w:type="spellEnd"/>
      <w:r w:rsidRPr="00D407BD">
        <w:rPr>
          <w:szCs w:val="24"/>
        </w:rPr>
        <w:t xml:space="preserve"> </w:t>
      </w:r>
      <w:proofErr w:type="spellStart"/>
      <w:r w:rsidRPr="00D407BD">
        <w:rPr>
          <w:szCs w:val="24"/>
        </w:rPr>
        <w:t>emtricitabine</w:t>
      </w:r>
      <w:proofErr w:type="spellEnd"/>
      <w:r w:rsidRPr="00D407BD">
        <w:rPr>
          <w:szCs w:val="24"/>
        </w:rPr>
        <w:t xml:space="preserve"> approximately 86% is recovered in the urine and 13% is recovered as metabolites. The metabolites of </w:t>
      </w:r>
      <w:proofErr w:type="spellStart"/>
      <w:r w:rsidRPr="00D407BD">
        <w:rPr>
          <w:szCs w:val="24"/>
        </w:rPr>
        <w:t>emtricitabine</w:t>
      </w:r>
      <w:proofErr w:type="spellEnd"/>
      <w:r w:rsidRPr="00D407BD">
        <w:rPr>
          <w:szCs w:val="24"/>
        </w:rPr>
        <w:t xml:space="preserve"> include 3′</w:t>
      </w:r>
      <w:r w:rsidRPr="00D407BD">
        <w:rPr>
          <w:szCs w:val="24"/>
        </w:rPr>
        <w:noBreakHyphen/>
        <w:t xml:space="preserve">sulfoxide </w:t>
      </w:r>
      <w:proofErr w:type="spellStart"/>
      <w:r w:rsidRPr="00D407BD">
        <w:rPr>
          <w:szCs w:val="24"/>
        </w:rPr>
        <w:t>diastereomers</w:t>
      </w:r>
      <w:proofErr w:type="spellEnd"/>
      <w:r w:rsidRPr="00D407BD">
        <w:rPr>
          <w:szCs w:val="24"/>
        </w:rPr>
        <w:t xml:space="preserve"> and their glucuronic acid conjugate.  </w:t>
      </w:r>
      <w:proofErr w:type="spellStart"/>
      <w:r w:rsidRPr="00D407BD">
        <w:rPr>
          <w:szCs w:val="24"/>
        </w:rPr>
        <w:t>Emtricitabine</w:t>
      </w:r>
      <w:proofErr w:type="spellEnd"/>
      <w:r w:rsidRPr="00D407BD">
        <w:rPr>
          <w:szCs w:val="24"/>
        </w:rPr>
        <w:t xml:space="preserve"> is eliminated by a combination of glomerular filtration and active tubular secretion. Following a single oral dose of EMTRIVA, the plasma </w:t>
      </w:r>
      <w:proofErr w:type="spellStart"/>
      <w:r w:rsidRPr="00D407BD">
        <w:rPr>
          <w:szCs w:val="24"/>
        </w:rPr>
        <w:t>emtricitabine</w:t>
      </w:r>
      <w:proofErr w:type="spellEnd"/>
      <w:r w:rsidRPr="00D407BD">
        <w:rPr>
          <w:szCs w:val="24"/>
        </w:rPr>
        <w:t xml:space="preserve"> half-life is approximately 10 hours. </w:t>
      </w:r>
    </w:p>
    <w:p w:rsidR="00C85409" w:rsidRPr="00D407BD" w:rsidRDefault="00C85409" w:rsidP="0003333A">
      <w:pPr>
        <w:tabs>
          <w:tab w:val="left" w:pos="1260"/>
        </w:tabs>
        <w:ind w:left="1259" w:hanging="1259"/>
        <w:rPr>
          <w:b/>
          <w:szCs w:val="24"/>
        </w:rPr>
      </w:pPr>
    </w:p>
    <w:p w:rsidR="003F77BA" w:rsidRPr="0003333A" w:rsidRDefault="00AE0118" w:rsidP="00F509F7">
      <w:pPr>
        <w:pStyle w:val="Caption"/>
        <w:ind w:left="1418" w:hanging="1418"/>
      </w:pPr>
      <w:bookmarkStart w:id="0" w:name="_Ref159391801"/>
      <w:proofErr w:type="gramStart"/>
      <w:r>
        <w:t xml:space="preserve">Table </w:t>
      </w:r>
      <w:r>
        <w:fldChar w:fldCharType="begin"/>
      </w:r>
      <w:r>
        <w:instrText xml:space="preserve"> SEQ Table \* ARABIC </w:instrText>
      </w:r>
      <w:r>
        <w:fldChar w:fldCharType="separate"/>
      </w:r>
      <w:r w:rsidR="00440D32">
        <w:rPr>
          <w:noProof/>
        </w:rPr>
        <w:t>1</w:t>
      </w:r>
      <w:r>
        <w:fldChar w:fldCharType="end"/>
      </w:r>
      <w:bookmarkEnd w:id="0"/>
      <w:r w:rsidR="003F77BA" w:rsidRPr="0003333A">
        <w:t>.</w:t>
      </w:r>
      <w:proofErr w:type="gramEnd"/>
      <w:r w:rsidR="003F77BA" w:rsidRPr="0003333A">
        <w:t xml:space="preserve"> </w:t>
      </w:r>
      <w:r w:rsidR="003F77BA" w:rsidRPr="0003333A">
        <w:tab/>
        <w:t xml:space="preserve">Single Dose Pharmacokinetic Parameters for </w:t>
      </w:r>
      <w:proofErr w:type="spellStart"/>
      <w:r w:rsidR="003F77BA" w:rsidRPr="0003333A">
        <w:t>Tenofovir</w:t>
      </w:r>
      <w:proofErr w:type="spellEnd"/>
      <w:r w:rsidR="003F77BA" w:rsidRPr="0003333A">
        <w:t xml:space="preserve"> and </w:t>
      </w:r>
      <w:proofErr w:type="spellStart"/>
      <w:r w:rsidR="003F77BA" w:rsidRPr="0003333A">
        <w:t>Emtricitabine</w:t>
      </w:r>
      <w:proofErr w:type="spellEnd"/>
      <w:r w:rsidR="003F77BA" w:rsidRPr="0003333A">
        <w:t xml:space="preserve"> in Adults</w:t>
      </w:r>
      <w:r w:rsidR="003F77BA" w:rsidRPr="0003333A">
        <w:rPr>
          <w:vertAlign w:val="superscript"/>
        </w:rPr>
        <w:t>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610"/>
        <w:gridCol w:w="2520"/>
      </w:tblGrid>
      <w:tr w:rsidR="003F77BA" w:rsidRPr="00E7636B">
        <w:tc>
          <w:tcPr>
            <w:tcW w:w="3870" w:type="dxa"/>
            <w:tcBorders>
              <w:top w:val="single" w:sz="4" w:space="0" w:color="auto"/>
              <w:left w:val="single" w:sz="4" w:space="0" w:color="auto"/>
              <w:bottom w:val="single" w:sz="4" w:space="0" w:color="auto"/>
              <w:right w:val="single" w:sz="4" w:space="0" w:color="auto"/>
            </w:tcBorders>
            <w:shd w:val="clear" w:color="auto" w:fill="auto"/>
          </w:tcPr>
          <w:p w:rsidR="003F77BA" w:rsidRPr="008C3E6C" w:rsidRDefault="003F77BA" w:rsidP="009B254B">
            <w:pPr>
              <w:rPr>
                <w:sz w:val="22"/>
                <w:szCs w:val="22"/>
              </w:rPr>
            </w:pPr>
          </w:p>
          <w:p w:rsidR="003F77BA" w:rsidRPr="008C3E6C" w:rsidRDefault="003F77BA" w:rsidP="009B254B">
            <w:pPr>
              <w:rPr>
                <w:sz w:val="22"/>
                <w:szCs w:val="22"/>
              </w:rPr>
            </w:pPr>
          </w:p>
          <w:p w:rsidR="003F77BA" w:rsidRPr="008C3E6C" w:rsidRDefault="003F77BA" w:rsidP="009B254B">
            <w:pPr>
              <w:rPr>
                <w:sz w:val="22"/>
                <w:szCs w:val="22"/>
              </w:rPr>
            </w:pPr>
            <w:r w:rsidRPr="008C3E6C">
              <w:rPr>
                <w:sz w:val="22"/>
                <w:szCs w:val="22"/>
              </w:rPr>
              <w:t>Fasted Oral Bioavailability (%)</w:t>
            </w:r>
            <w:r w:rsidRPr="008C3E6C">
              <w:rPr>
                <w:sz w:val="22"/>
                <w:szCs w:val="22"/>
              </w:rPr>
              <w:br/>
            </w:r>
          </w:p>
          <w:p w:rsidR="003F77BA" w:rsidRPr="008C3E6C" w:rsidRDefault="003F77BA" w:rsidP="009B254B">
            <w:pPr>
              <w:rPr>
                <w:sz w:val="22"/>
                <w:szCs w:val="22"/>
              </w:rPr>
            </w:pPr>
            <w:r w:rsidRPr="008C3E6C">
              <w:rPr>
                <w:sz w:val="22"/>
                <w:szCs w:val="22"/>
              </w:rPr>
              <w:t xml:space="preserve">Plasma Terminal Elimination </w:t>
            </w:r>
            <w:r w:rsidRPr="008C3E6C">
              <w:rPr>
                <w:sz w:val="22"/>
                <w:szCs w:val="22"/>
              </w:rPr>
              <w:br/>
              <w:t>Half-Life (</w:t>
            </w:r>
            <w:proofErr w:type="spellStart"/>
            <w:r w:rsidRPr="008C3E6C">
              <w:rPr>
                <w:sz w:val="22"/>
                <w:szCs w:val="22"/>
              </w:rPr>
              <w:t>hr</w:t>
            </w:r>
            <w:proofErr w:type="spellEnd"/>
            <w:r w:rsidRPr="008C3E6C">
              <w:rPr>
                <w:sz w:val="22"/>
                <w:szCs w:val="22"/>
              </w:rPr>
              <w:t>)</w:t>
            </w:r>
          </w:p>
          <w:p w:rsidR="003F77BA" w:rsidRPr="008C3E6C" w:rsidRDefault="003F77BA" w:rsidP="009B254B">
            <w:pPr>
              <w:rPr>
                <w:sz w:val="22"/>
                <w:szCs w:val="22"/>
              </w:rPr>
            </w:pPr>
          </w:p>
          <w:p w:rsidR="003F77BA" w:rsidRPr="008C3E6C" w:rsidRDefault="003F77BA" w:rsidP="009B254B">
            <w:pPr>
              <w:rPr>
                <w:sz w:val="22"/>
                <w:szCs w:val="22"/>
              </w:rPr>
            </w:pPr>
            <w:proofErr w:type="spellStart"/>
            <w:r w:rsidRPr="008C3E6C">
              <w:rPr>
                <w:sz w:val="22"/>
                <w:szCs w:val="22"/>
              </w:rPr>
              <w:t>Cmax</w:t>
            </w:r>
            <w:proofErr w:type="spellEnd"/>
            <w:r w:rsidRPr="008C3E6C">
              <w:rPr>
                <w:sz w:val="22"/>
                <w:szCs w:val="22"/>
              </w:rPr>
              <w:t xml:space="preserve"> (µg/mL)</w:t>
            </w:r>
          </w:p>
          <w:p w:rsidR="003F77BA" w:rsidRPr="008C3E6C" w:rsidRDefault="003F77BA" w:rsidP="009B254B">
            <w:pPr>
              <w:rPr>
                <w:sz w:val="22"/>
                <w:szCs w:val="22"/>
              </w:rPr>
            </w:pPr>
          </w:p>
          <w:p w:rsidR="003F77BA" w:rsidRPr="008C3E6C" w:rsidRDefault="003F77BA" w:rsidP="009B254B">
            <w:pPr>
              <w:rPr>
                <w:sz w:val="22"/>
                <w:szCs w:val="22"/>
              </w:rPr>
            </w:pPr>
            <w:r w:rsidRPr="008C3E6C">
              <w:rPr>
                <w:sz w:val="22"/>
                <w:szCs w:val="22"/>
              </w:rPr>
              <w:t>AUC (µg*</w:t>
            </w:r>
            <w:proofErr w:type="spellStart"/>
            <w:r w:rsidRPr="008C3E6C">
              <w:rPr>
                <w:sz w:val="22"/>
                <w:szCs w:val="22"/>
              </w:rPr>
              <w:t>hr</w:t>
            </w:r>
            <w:proofErr w:type="spellEnd"/>
            <w:r w:rsidRPr="008C3E6C">
              <w:rPr>
                <w:sz w:val="22"/>
                <w:szCs w:val="22"/>
              </w:rPr>
              <w:t>/mL)</w:t>
            </w:r>
          </w:p>
          <w:p w:rsidR="003F77BA" w:rsidRPr="008C3E6C" w:rsidRDefault="003F77BA" w:rsidP="009B254B">
            <w:pPr>
              <w:rPr>
                <w:sz w:val="22"/>
                <w:szCs w:val="22"/>
              </w:rPr>
            </w:pPr>
          </w:p>
          <w:p w:rsidR="003F77BA" w:rsidRPr="008C3E6C" w:rsidRDefault="003F77BA" w:rsidP="009B254B">
            <w:pPr>
              <w:rPr>
                <w:sz w:val="22"/>
                <w:szCs w:val="22"/>
                <w:lang w:val="fr-FR"/>
              </w:rPr>
            </w:pPr>
            <w:r w:rsidRPr="008C3E6C">
              <w:rPr>
                <w:sz w:val="22"/>
                <w:szCs w:val="22"/>
                <w:lang w:val="fr-FR"/>
              </w:rPr>
              <w:t>CL/F (</w:t>
            </w:r>
            <w:proofErr w:type="spellStart"/>
            <w:r w:rsidRPr="008C3E6C">
              <w:rPr>
                <w:sz w:val="22"/>
                <w:szCs w:val="22"/>
                <w:lang w:val="fr-FR"/>
              </w:rPr>
              <w:t>mL</w:t>
            </w:r>
            <w:proofErr w:type="spellEnd"/>
            <w:r w:rsidRPr="008C3E6C">
              <w:rPr>
                <w:sz w:val="22"/>
                <w:szCs w:val="22"/>
                <w:lang w:val="fr-FR"/>
              </w:rPr>
              <w:t>/min)</w:t>
            </w:r>
          </w:p>
          <w:p w:rsidR="003F77BA" w:rsidRPr="008C3E6C" w:rsidRDefault="003F77BA" w:rsidP="009B254B">
            <w:pPr>
              <w:rPr>
                <w:sz w:val="22"/>
                <w:szCs w:val="22"/>
                <w:lang w:val="fr-FR"/>
              </w:rPr>
            </w:pPr>
          </w:p>
          <w:p w:rsidR="003F77BA" w:rsidRPr="008C3E6C" w:rsidRDefault="003F77BA" w:rsidP="009B254B">
            <w:pPr>
              <w:rPr>
                <w:sz w:val="22"/>
                <w:szCs w:val="22"/>
                <w:lang w:val="fr-FR"/>
              </w:rPr>
            </w:pPr>
            <w:proofErr w:type="spellStart"/>
            <w:r w:rsidRPr="008C3E6C">
              <w:rPr>
                <w:sz w:val="22"/>
                <w:szCs w:val="22"/>
                <w:lang w:val="fr-FR"/>
              </w:rPr>
              <w:t>CLrenal</w:t>
            </w:r>
            <w:proofErr w:type="spellEnd"/>
            <w:r w:rsidRPr="008C3E6C">
              <w:rPr>
                <w:sz w:val="22"/>
                <w:szCs w:val="22"/>
                <w:lang w:val="fr-FR"/>
              </w:rPr>
              <w:t xml:space="preserve"> (</w:t>
            </w:r>
            <w:proofErr w:type="spellStart"/>
            <w:r w:rsidRPr="008C3E6C">
              <w:rPr>
                <w:sz w:val="22"/>
                <w:szCs w:val="22"/>
                <w:lang w:val="fr-FR"/>
              </w:rPr>
              <w:t>mL</w:t>
            </w:r>
            <w:proofErr w:type="spellEnd"/>
            <w:r w:rsidRPr="008C3E6C">
              <w:rPr>
                <w:sz w:val="22"/>
                <w:szCs w:val="22"/>
                <w:lang w:val="fr-FR"/>
              </w:rPr>
              <w:t>/min)</w:t>
            </w:r>
          </w:p>
          <w:p w:rsidR="003F77BA" w:rsidRPr="008C3E6C" w:rsidRDefault="003F77BA" w:rsidP="009B254B">
            <w:pPr>
              <w:rPr>
                <w:sz w:val="22"/>
                <w:szCs w:val="22"/>
                <w:lang w:val="fr-FR"/>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3F77BA" w:rsidRPr="008C3E6C" w:rsidRDefault="003F77BA" w:rsidP="009B254B">
            <w:pPr>
              <w:jc w:val="center"/>
              <w:rPr>
                <w:sz w:val="22"/>
                <w:szCs w:val="22"/>
                <w:u w:val="single"/>
              </w:rPr>
            </w:pPr>
            <w:proofErr w:type="spellStart"/>
            <w:r w:rsidRPr="008C3E6C">
              <w:rPr>
                <w:sz w:val="22"/>
                <w:szCs w:val="22"/>
                <w:u w:val="single"/>
              </w:rPr>
              <w:t>Tenofovir</w:t>
            </w:r>
            <w:proofErr w:type="spellEnd"/>
          </w:p>
          <w:p w:rsidR="003F77BA" w:rsidRPr="008C3E6C" w:rsidRDefault="003F77BA" w:rsidP="009B254B">
            <w:pPr>
              <w:ind w:left="882"/>
              <w:rPr>
                <w:sz w:val="22"/>
                <w:szCs w:val="22"/>
              </w:rPr>
            </w:pPr>
          </w:p>
          <w:p w:rsidR="003F77BA" w:rsidRPr="008C3E6C" w:rsidRDefault="003F77BA" w:rsidP="009B254B">
            <w:pPr>
              <w:ind w:left="1062"/>
              <w:rPr>
                <w:sz w:val="22"/>
                <w:szCs w:val="22"/>
              </w:rPr>
            </w:pPr>
            <w:r w:rsidRPr="008C3E6C">
              <w:rPr>
                <w:sz w:val="22"/>
                <w:szCs w:val="22"/>
              </w:rPr>
              <w:t>25</w:t>
            </w:r>
          </w:p>
          <w:p w:rsidR="003F77BA" w:rsidRPr="008C3E6C" w:rsidRDefault="003F77BA" w:rsidP="009B254B">
            <w:pPr>
              <w:ind w:left="1062"/>
              <w:rPr>
                <w:sz w:val="22"/>
                <w:szCs w:val="22"/>
              </w:rPr>
            </w:pPr>
          </w:p>
          <w:p w:rsidR="003F77BA" w:rsidRPr="008C3E6C" w:rsidRDefault="003F77BA" w:rsidP="009B254B">
            <w:pPr>
              <w:ind w:left="1062"/>
              <w:rPr>
                <w:sz w:val="22"/>
                <w:szCs w:val="22"/>
              </w:rPr>
            </w:pPr>
            <w:r w:rsidRPr="008C3E6C">
              <w:rPr>
                <w:sz w:val="22"/>
                <w:szCs w:val="22"/>
              </w:rPr>
              <w:t>17</w:t>
            </w:r>
          </w:p>
          <w:p w:rsidR="003F77BA" w:rsidRPr="008C3E6C" w:rsidRDefault="003F77BA" w:rsidP="009B254B">
            <w:pPr>
              <w:ind w:left="1062"/>
              <w:rPr>
                <w:sz w:val="22"/>
                <w:szCs w:val="22"/>
              </w:rPr>
            </w:pPr>
          </w:p>
          <w:p w:rsidR="003F77BA" w:rsidRPr="008C3E6C" w:rsidRDefault="003F77BA" w:rsidP="009B254B">
            <w:pPr>
              <w:ind w:left="1062"/>
              <w:rPr>
                <w:sz w:val="22"/>
                <w:szCs w:val="22"/>
              </w:rPr>
            </w:pPr>
          </w:p>
          <w:p w:rsidR="003F77BA" w:rsidRPr="008C3E6C" w:rsidRDefault="003F77BA" w:rsidP="009B254B">
            <w:pPr>
              <w:ind w:left="1062"/>
              <w:rPr>
                <w:sz w:val="22"/>
                <w:szCs w:val="22"/>
              </w:rPr>
            </w:pPr>
            <w:r w:rsidRPr="008C3E6C">
              <w:rPr>
                <w:sz w:val="22"/>
                <w:szCs w:val="22"/>
              </w:rPr>
              <w:t xml:space="preserve">0.30 </w:t>
            </w:r>
            <w:r w:rsidRPr="008C3E6C">
              <w:rPr>
                <w:sz w:val="22"/>
                <w:szCs w:val="22"/>
              </w:rPr>
              <w:sym w:font="Symbol" w:char="00B1"/>
            </w:r>
            <w:r w:rsidRPr="008C3E6C">
              <w:rPr>
                <w:sz w:val="22"/>
                <w:szCs w:val="22"/>
              </w:rPr>
              <w:t xml:space="preserve"> 0.09</w:t>
            </w:r>
          </w:p>
          <w:p w:rsidR="003F77BA" w:rsidRPr="008C3E6C" w:rsidRDefault="003F77BA" w:rsidP="009B254B">
            <w:pPr>
              <w:ind w:left="1062"/>
              <w:rPr>
                <w:sz w:val="22"/>
                <w:szCs w:val="22"/>
              </w:rPr>
            </w:pPr>
          </w:p>
          <w:p w:rsidR="003F77BA" w:rsidRPr="008C3E6C" w:rsidRDefault="003F77BA" w:rsidP="009B254B">
            <w:pPr>
              <w:ind w:left="1062"/>
              <w:rPr>
                <w:sz w:val="22"/>
                <w:szCs w:val="22"/>
              </w:rPr>
            </w:pPr>
            <w:r w:rsidRPr="008C3E6C">
              <w:rPr>
                <w:sz w:val="22"/>
                <w:szCs w:val="22"/>
              </w:rPr>
              <w:t xml:space="preserve">2.29 </w:t>
            </w:r>
            <w:r w:rsidRPr="008C3E6C">
              <w:rPr>
                <w:sz w:val="22"/>
                <w:szCs w:val="22"/>
              </w:rPr>
              <w:sym w:font="Symbol" w:char="00B1"/>
            </w:r>
            <w:r w:rsidRPr="008C3E6C">
              <w:rPr>
                <w:sz w:val="22"/>
                <w:szCs w:val="22"/>
              </w:rPr>
              <w:t xml:space="preserve"> 0.69</w:t>
            </w:r>
          </w:p>
          <w:p w:rsidR="003F77BA" w:rsidRPr="008C3E6C" w:rsidRDefault="003F77BA" w:rsidP="009B254B">
            <w:pPr>
              <w:ind w:left="1062"/>
              <w:rPr>
                <w:sz w:val="22"/>
                <w:szCs w:val="22"/>
              </w:rPr>
            </w:pPr>
          </w:p>
          <w:p w:rsidR="003F77BA" w:rsidRPr="008C3E6C" w:rsidRDefault="003F77BA" w:rsidP="009B254B">
            <w:pPr>
              <w:ind w:left="1062"/>
              <w:rPr>
                <w:sz w:val="22"/>
                <w:szCs w:val="22"/>
              </w:rPr>
            </w:pPr>
            <w:r w:rsidRPr="008C3E6C">
              <w:rPr>
                <w:sz w:val="22"/>
                <w:szCs w:val="22"/>
              </w:rPr>
              <w:t xml:space="preserve">1043 </w:t>
            </w:r>
            <w:r w:rsidRPr="008C3E6C">
              <w:rPr>
                <w:sz w:val="22"/>
                <w:szCs w:val="22"/>
              </w:rPr>
              <w:sym w:font="Symbol" w:char="00B1"/>
            </w:r>
            <w:r w:rsidRPr="008C3E6C">
              <w:rPr>
                <w:sz w:val="22"/>
                <w:szCs w:val="22"/>
              </w:rPr>
              <w:t xml:space="preserve"> 115</w:t>
            </w:r>
          </w:p>
          <w:p w:rsidR="003F77BA" w:rsidRPr="008C3E6C" w:rsidRDefault="003F77BA" w:rsidP="009B254B">
            <w:pPr>
              <w:ind w:left="1062"/>
              <w:rPr>
                <w:sz w:val="22"/>
                <w:szCs w:val="22"/>
              </w:rPr>
            </w:pPr>
          </w:p>
          <w:p w:rsidR="003F77BA" w:rsidRPr="008C3E6C" w:rsidRDefault="003F77BA" w:rsidP="009B254B">
            <w:pPr>
              <w:ind w:left="1062"/>
              <w:rPr>
                <w:sz w:val="22"/>
                <w:szCs w:val="22"/>
              </w:rPr>
            </w:pPr>
            <w:r w:rsidRPr="008C3E6C">
              <w:rPr>
                <w:sz w:val="22"/>
                <w:szCs w:val="22"/>
              </w:rPr>
              <w:t xml:space="preserve">  243 </w:t>
            </w:r>
            <w:r w:rsidRPr="008C3E6C">
              <w:rPr>
                <w:sz w:val="22"/>
                <w:szCs w:val="22"/>
              </w:rPr>
              <w:sym w:font="Symbol" w:char="00B1"/>
            </w:r>
            <w:r w:rsidRPr="008C3E6C">
              <w:rPr>
                <w:sz w:val="22"/>
                <w:szCs w:val="22"/>
              </w:rPr>
              <w:t xml:space="preserve"> 33</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F77BA" w:rsidRPr="008C3E6C" w:rsidRDefault="003F77BA" w:rsidP="009B254B">
            <w:pPr>
              <w:jc w:val="center"/>
              <w:rPr>
                <w:sz w:val="22"/>
                <w:szCs w:val="22"/>
                <w:u w:val="single"/>
              </w:rPr>
            </w:pPr>
            <w:proofErr w:type="spellStart"/>
            <w:r w:rsidRPr="008C3E6C">
              <w:rPr>
                <w:sz w:val="22"/>
                <w:szCs w:val="22"/>
                <w:u w:val="single"/>
              </w:rPr>
              <w:t>Emtricitabine</w:t>
            </w:r>
            <w:proofErr w:type="spellEnd"/>
          </w:p>
          <w:p w:rsidR="003F77BA" w:rsidRPr="008C3E6C" w:rsidRDefault="003F77BA" w:rsidP="009B254B">
            <w:pPr>
              <w:ind w:left="963"/>
              <w:rPr>
                <w:sz w:val="22"/>
                <w:szCs w:val="22"/>
              </w:rPr>
            </w:pPr>
          </w:p>
          <w:p w:rsidR="003F77BA" w:rsidRPr="008C3E6C" w:rsidRDefault="003F77BA" w:rsidP="009B254B">
            <w:pPr>
              <w:ind w:left="963"/>
              <w:rPr>
                <w:sz w:val="22"/>
                <w:szCs w:val="22"/>
              </w:rPr>
            </w:pPr>
            <w:r w:rsidRPr="008C3E6C">
              <w:rPr>
                <w:sz w:val="22"/>
                <w:szCs w:val="22"/>
              </w:rPr>
              <w:t>93</w:t>
            </w:r>
          </w:p>
          <w:p w:rsidR="003F77BA" w:rsidRPr="008C3E6C" w:rsidRDefault="003F77BA" w:rsidP="009B254B">
            <w:pPr>
              <w:ind w:left="963"/>
              <w:rPr>
                <w:sz w:val="22"/>
                <w:szCs w:val="22"/>
              </w:rPr>
            </w:pPr>
          </w:p>
          <w:p w:rsidR="003F77BA" w:rsidRPr="008C3E6C" w:rsidRDefault="003F77BA" w:rsidP="009B254B">
            <w:pPr>
              <w:ind w:left="963"/>
              <w:rPr>
                <w:sz w:val="22"/>
                <w:szCs w:val="22"/>
              </w:rPr>
            </w:pPr>
            <w:r w:rsidRPr="008C3E6C">
              <w:rPr>
                <w:sz w:val="22"/>
                <w:szCs w:val="22"/>
              </w:rPr>
              <w:t>10</w:t>
            </w:r>
          </w:p>
          <w:p w:rsidR="003F77BA" w:rsidRPr="008C3E6C" w:rsidRDefault="003F77BA" w:rsidP="009B254B">
            <w:pPr>
              <w:ind w:left="963"/>
              <w:rPr>
                <w:sz w:val="22"/>
                <w:szCs w:val="22"/>
              </w:rPr>
            </w:pPr>
          </w:p>
          <w:p w:rsidR="003F77BA" w:rsidRPr="008C3E6C" w:rsidRDefault="003F77BA" w:rsidP="009B254B">
            <w:pPr>
              <w:ind w:left="963"/>
              <w:rPr>
                <w:sz w:val="22"/>
                <w:szCs w:val="22"/>
              </w:rPr>
            </w:pPr>
          </w:p>
          <w:p w:rsidR="003F77BA" w:rsidRPr="008C3E6C" w:rsidRDefault="003F77BA" w:rsidP="009B254B">
            <w:pPr>
              <w:ind w:left="963"/>
              <w:rPr>
                <w:sz w:val="22"/>
                <w:szCs w:val="22"/>
              </w:rPr>
            </w:pPr>
            <w:r w:rsidRPr="008C3E6C">
              <w:rPr>
                <w:sz w:val="22"/>
                <w:szCs w:val="22"/>
              </w:rPr>
              <w:t xml:space="preserve">1.8 </w:t>
            </w:r>
            <w:r w:rsidRPr="008C3E6C">
              <w:rPr>
                <w:sz w:val="22"/>
                <w:szCs w:val="22"/>
              </w:rPr>
              <w:sym w:font="Symbol" w:char="00B1"/>
            </w:r>
            <w:r w:rsidRPr="008C3E6C">
              <w:rPr>
                <w:sz w:val="22"/>
                <w:szCs w:val="22"/>
              </w:rPr>
              <w:t xml:space="preserve"> 0.7</w:t>
            </w:r>
            <w:r w:rsidRPr="008C3E6C">
              <w:rPr>
                <w:sz w:val="22"/>
                <w:szCs w:val="22"/>
                <w:vertAlign w:val="superscript"/>
              </w:rPr>
              <w:t>2</w:t>
            </w:r>
          </w:p>
          <w:p w:rsidR="003F77BA" w:rsidRPr="008C3E6C" w:rsidRDefault="003F77BA" w:rsidP="009B254B">
            <w:pPr>
              <w:ind w:left="963"/>
              <w:rPr>
                <w:sz w:val="22"/>
                <w:szCs w:val="22"/>
              </w:rPr>
            </w:pPr>
          </w:p>
          <w:p w:rsidR="003F77BA" w:rsidRPr="008C3E6C" w:rsidRDefault="003F77BA" w:rsidP="009B254B">
            <w:pPr>
              <w:ind w:left="963"/>
              <w:rPr>
                <w:sz w:val="22"/>
                <w:szCs w:val="22"/>
              </w:rPr>
            </w:pPr>
            <w:r w:rsidRPr="008C3E6C">
              <w:rPr>
                <w:sz w:val="22"/>
                <w:szCs w:val="22"/>
              </w:rPr>
              <w:t xml:space="preserve">10.0 </w:t>
            </w:r>
            <w:r w:rsidRPr="008C3E6C">
              <w:rPr>
                <w:sz w:val="22"/>
                <w:szCs w:val="22"/>
              </w:rPr>
              <w:sym w:font="Symbol" w:char="00B1"/>
            </w:r>
            <w:r w:rsidRPr="008C3E6C">
              <w:rPr>
                <w:sz w:val="22"/>
                <w:szCs w:val="22"/>
              </w:rPr>
              <w:t xml:space="preserve"> 3.1</w:t>
            </w:r>
            <w:r w:rsidRPr="008C3E6C">
              <w:rPr>
                <w:sz w:val="22"/>
                <w:szCs w:val="22"/>
                <w:vertAlign w:val="superscript"/>
              </w:rPr>
              <w:t>2</w:t>
            </w:r>
          </w:p>
          <w:p w:rsidR="003F77BA" w:rsidRPr="008C3E6C" w:rsidRDefault="003F77BA" w:rsidP="009B254B">
            <w:pPr>
              <w:ind w:left="963"/>
              <w:rPr>
                <w:sz w:val="22"/>
                <w:szCs w:val="22"/>
              </w:rPr>
            </w:pPr>
          </w:p>
          <w:p w:rsidR="003F77BA" w:rsidRPr="008C3E6C" w:rsidRDefault="003F77BA" w:rsidP="009B254B">
            <w:pPr>
              <w:ind w:left="963"/>
              <w:rPr>
                <w:sz w:val="22"/>
                <w:szCs w:val="22"/>
              </w:rPr>
            </w:pPr>
            <w:r w:rsidRPr="008C3E6C">
              <w:rPr>
                <w:sz w:val="22"/>
                <w:szCs w:val="22"/>
              </w:rPr>
              <w:t xml:space="preserve">302 </w:t>
            </w:r>
            <w:r w:rsidRPr="008C3E6C">
              <w:rPr>
                <w:sz w:val="22"/>
                <w:szCs w:val="22"/>
              </w:rPr>
              <w:sym w:font="Symbol" w:char="00B1"/>
            </w:r>
            <w:r w:rsidRPr="008C3E6C">
              <w:rPr>
                <w:sz w:val="22"/>
                <w:szCs w:val="22"/>
              </w:rPr>
              <w:t xml:space="preserve"> 94</w:t>
            </w:r>
          </w:p>
          <w:p w:rsidR="003F77BA" w:rsidRPr="008C3E6C" w:rsidRDefault="003F77BA" w:rsidP="009B254B">
            <w:pPr>
              <w:ind w:left="963"/>
              <w:rPr>
                <w:sz w:val="22"/>
                <w:szCs w:val="22"/>
              </w:rPr>
            </w:pPr>
          </w:p>
          <w:p w:rsidR="003F77BA" w:rsidRPr="008C3E6C" w:rsidRDefault="003F77BA" w:rsidP="009B254B">
            <w:pPr>
              <w:ind w:left="963"/>
              <w:rPr>
                <w:sz w:val="22"/>
                <w:szCs w:val="22"/>
              </w:rPr>
            </w:pPr>
            <w:r w:rsidRPr="008C3E6C">
              <w:rPr>
                <w:sz w:val="22"/>
                <w:szCs w:val="22"/>
              </w:rPr>
              <w:t xml:space="preserve">213 </w:t>
            </w:r>
            <w:r w:rsidRPr="008C3E6C">
              <w:rPr>
                <w:sz w:val="22"/>
                <w:szCs w:val="22"/>
              </w:rPr>
              <w:sym w:font="Symbol" w:char="00B1"/>
            </w:r>
            <w:r w:rsidRPr="008C3E6C">
              <w:rPr>
                <w:sz w:val="22"/>
                <w:szCs w:val="22"/>
              </w:rPr>
              <w:t xml:space="preserve"> 89</w:t>
            </w:r>
          </w:p>
        </w:tc>
      </w:tr>
    </w:tbl>
    <w:p w:rsidR="003F77BA" w:rsidRPr="008030D0" w:rsidRDefault="003F77BA" w:rsidP="003F77BA">
      <w:pPr>
        <w:pStyle w:val="BodyText3"/>
        <w:numPr>
          <w:ilvl w:val="0"/>
          <w:numId w:val="18"/>
        </w:numPr>
        <w:jc w:val="left"/>
        <w:rPr>
          <w:rFonts w:ascii="Times New Roman" w:hAnsi="Times New Roman"/>
          <w:color w:val="auto"/>
          <w:sz w:val="20"/>
        </w:rPr>
      </w:pPr>
      <w:r w:rsidRPr="008030D0">
        <w:rPr>
          <w:rFonts w:ascii="Times New Roman" w:hAnsi="Times New Roman"/>
          <w:color w:val="auto"/>
          <w:sz w:val="20"/>
        </w:rPr>
        <w:t>Data presented as mean values.</w:t>
      </w:r>
    </w:p>
    <w:p w:rsidR="003F77BA" w:rsidRPr="008030D0" w:rsidRDefault="003F77BA" w:rsidP="003F77BA">
      <w:pPr>
        <w:pStyle w:val="BodyText3"/>
        <w:numPr>
          <w:ilvl w:val="0"/>
          <w:numId w:val="18"/>
        </w:numPr>
        <w:jc w:val="left"/>
        <w:rPr>
          <w:rFonts w:ascii="Times New Roman" w:hAnsi="Times New Roman"/>
          <w:color w:val="auto"/>
          <w:sz w:val="20"/>
        </w:rPr>
      </w:pPr>
      <w:r w:rsidRPr="008030D0">
        <w:rPr>
          <w:rFonts w:ascii="Times New Roman" w:hAnsi="Times New Roman"/>
          <w:color w:val="auto"/>
          <w:sz w:val="20"/>
        </w:rPr>
        <w:t>Data presented as steady state values.</w:t>
      </w:r>
    </w:p>
    <w:p w:rsidR="0003333A" w:rsidRPr="00D407BD" w:rsidRDefault="0003333A" w:rsidP="0003333A">
      <w:pPr>
        <w:rPr>
          <w:b/>
          <w:i/>
          <w:szCs w:val="24"/>
        </w:rPr>
      </w:pPr>
    </w:p>
    <w:p w:rsidR="0003333A" w:rsidRPr="00D407BD" w:rsidRDefault="00374375" w:rsidP="0003333A">
      <w:pPr>
        <w:rPr>
          <w:szCs w:val="24"/>
        </w:rPr>
      </w:pPr>
      <w:r w:rsidRPr="00D407BD">
        <w:rPr>
          <w:b/>
          <w:i/>
          <w:szCs w:val="24"/>
        </w:rPr>
        <w:t>Effects of Food on Oral Absorption:</w:t>
      </w:r>
      <w:r w:rsidRPr="00D407BD">
        <w:rPr>
          <w:szCs w:val="24"/>
        </w:rPr>
        <w:t xml:space="preserve"> </w:t>
      </w:r>
    </w:p>
    <w:p w:rsidR="00374375" w:rsidRPr="00D407BD" w:rsidRDefault="00374375" w:rsidP="0003333A">
      <w:pPr>
        <w:rPr>
          <w:szCs w:val="24"/>
        </w:rPr>
      </w:pPr>
      <w:r w:rsidRPr="00D407BD">
        <w:rPr>
          <w:szCs w:val="24"/>
        </w:rPr>
        <w:t xml:space="preserve">Administration of </w:t>
      </w:r>
      <w:r w:rsidR="00D5716D" w:rsidRPr="00D407BD">
        <w:rPr>
          <w:szCs w:val="24"/>
        </w:rPr>
        <w:t>TRUVADA</w:t>
      </w:r>
      <w:r w:rsidRPr="00D407BD">
        <w:rPr>
          <w:szCs w:val="24"/>
        </w:rPr>
        <w:t xml:space="preserve"> following a high fat meal (</w:t>
      </w:r>
      <w:r w:rsidRPr="00D407BD">
        <w:rPr>
          <w:szCs w:val="24"/>
        </w:rPr>
        <w:sym w:font="Symbol" w:char="007E"/>
      </w:r>
      <w:r w:rsidRPr="00D407BD">
        <w:rPr>
          <w:szCs w:val="24"/>
        </w:rPr>
        <w:t>700</w:t>
      </w:r>
      <w:r w:rsidRPr="00D407BD">
        <w:rPr>
          <w:szCs w:val="24"/>
        </w:rPr>
        <w:sym w:font="Symbol" w:char="002D"/>
      </w:r>
      <w:r w:rsidRPr="00D407BD">
        <w:rPr>
          <w:szCs w:val="24"/>
        </w:rPr>
        <w:t>1000 kcal containing 40</w:t>
      </w:r>
      <w:r w:rsidRPr="00D407BD">
        <w:rPr>
          <w:szCs w:val="24"/>
        </w:rPr>
        <w:sym w:font="Symbol" w:char="002D"/>
      </w:r>
      <w:r w:rsidRPr="00D407BD">
        <w:rPr>
          <w:szCs w:val="24"/>
        </w:rPr>
        <w:t xml:space="preserve">60% fat) delayed the time of </w:t>
      </w:r>
      <w:proofErr w:type="spellStart"/>
      <w:r w:rsidRPr="00D407BD">
        <w:rPr>
          <w:szCs w:val="24"/>
        </w:rPr>
        <w:t>tenofovir</w:t>
      </w:r>
      <w:proofErr w:type="spellEnd"/>
      <w:r w:rsidRPr="00D407BD">
        <w:rPr>
          <w:szCs w:val="24"/>
        </w:rPr>
        <w:t xml:space="preserve"> </w:t>
      </w:r>
      <w:proofErr w:type="spellStart"/>
      <w:r w:rsidRPr="00D407BD">
        <w:rPr>
          <w:szCs w:val="24"/>
        </w:rPr>
        <w:t>C</w:t>
      </w:r>
      <w:r w:rsidRPr="00D407BD">
        <w:rPr>
          <w:szCs w:val="24"/>
          <w:vertAlign w:val="subscript"/>
        </w:rPr>
        <w:t>max</w:t>
      </w:r>
      <w:proofErr w:type="spellEnd"/>
      <w:r w:rsidRPr="00D407BD">
        <w:rPr>
          <w:szCs w:val="24"/>
        </w:rPr>
        <w:t xml:space="preserve"> by approximately 0.75 hour.  An increase in </w:t>
      </w:r>
      <w:proofErr w:type="spellStart"/>
      <w:r w:rsidRPr="00D407BD">
        <w:rPr>
          <w:szCs w:val="24"/>
        </w:rPr>
        <w:t>tenofovir</w:t>
      </w:r>
      <w:proofErr w:type="spellEnd"/>
      <w:r w:rsidRPr="00D407BD">
        <w:rPr>
          <w:szCs w:val="24"/>
        </w:rPr>
        <w:t xml:space="preserve"> AUC of approximately </w:t>
      </w:r>
      <w:r w:rsidR="006B5171" w:rsidRPr="00D407BD">
        <w:rPr>
          <w:szCs w:val="24"/>
        </w:rPr>
        <w:t>40</w:t>
      </w:r>
      <w:r w:rsidRPr="00D407BD">
        <w:rPr>
          <w:szCs w:val="24"/>
        </w:rPr>
        <w:t xml:space="preserve">% and an increase in </w:t>
      </w:r>
      <w:proofErr w:type="spellStart"/>
      <w:r w:rsidRPr="00D407BD">
        <w:rPr>
          <w:szCs w:val="24"/>
        </w:rPr>
        <w:t>C</w:t>
      </w:r>
      <w:r w:rsidRPr="00D407BD">
        <w:rPr>
          <w:szCs w:val="24"/>
          <w:vertAlign w:val="subscript"/>
        </w:rPr>
        <w:t>max</w:t>
      </w:r>
      <w:proofErr w:type="spellEnd"/>
      <w:r w:rsidRPr="00D407BD">
        <w:rPr>
          <w:szCs w:val="24"/>
        </w:rPr>
        <w:t xml:space="preserve"> of approximately 1</w:t>
      </w:r>
      <w:r w:rsidR="006B5171" w:rsidRPr="00D407BD">
        <w:rPr>
          <w:szCs w:val="24"/>
        </w:rPr>
        <w:t>4</w:t>
      </w:r>
      <w:r w:rsidRPr="00D407BD">
        <w:rPr>
          <w:szCs w:val="24"/>
        </w:rPr>
        <w:t xml:space="preserve">% were observed.  Similar findings were observed when </w:t>
      </w:r>
      <w:r w:rsidR="002D5DCE" w:rsidRPr="00D407BD">
        <w:rPr>
          <w:szCs w:val="24"/>
        </w:rPr>
        <w:t>TRUVADA</w:t>
      </w:r>
      <w:r w:rsidRPr="00D407BD">
        <w:rPr>
          <w:szCs w:val="24"/>
        </w:rPr>
        <w:t xml:space="preserve"> was administered with a light meal.  </w:t>
      </w:r>
      <w:proofErr w:type="spellStart"/>
      <w:r w:rsidRPr="00D407BD">
        <w:rPr>
          <w:szCs w:val="24"/>
        </w:rPr>
        <w:t>Emtricitabine</w:t>
      </w:r>
      <w:proofErr w:type="spellEnd"/>
      <w:r w:rsidRPr="00D407BD">
        <w:rPr>
          <w:szCs w:val="24"/>
        </w:rPr>
        <w:t xml:space="preserve"> systemic exposures (AUC and </w:t>
      </w:r>
      <w:proofErr w:type="spellStart"/>
      <w:r w:rsidRPr="00D407BD">
        <w:rPr>
          <w:szCs w:val="24"/>
        </w:rPr>
        <w:t>C</w:t>
      </w:r>
      <w:r w:rsidRPr="00D407BD">
        <w:rPr>
          <w:szCs w:val="24"/>
          <w:vertAlign w:val="subscript"/>
        </w:rPr>
        <w:t>max</w:t>
      </w:r>
      <w:proofErr w:type="spellEnd"/>
      <w:r w:rsidRPr="00D407BD">
        <w:rPr>
          <w:szCs w:val="24"/>
        </w:rPr>
        <w:t xml:space="preserve">) were unaffected when </w:t>
      </w:r>
      <w:r w:rsidR="002D5DCE" w:rsidRPr="00D407BD">
        <w:rPr>
          <w:szCs w:val="24"/>
        </w:rPr>
        <w:t>TRUVADA</w:t>
      </w:r>
      <w:r w:rsidRPr="00D407BD">
        <w:rPr>
          <w:szCs w:val="24"/>
        </w:rPr>
        <w:t xml:space="preserve"> was administered with either a high fat or a light meal.</w:t>
      </w:r>
      <w:r w:rsidR="006E33C4" w:rsidRPr="00D407BD">
        <w:rPr>
          <w:szCs w:val="24"/>
        </w:rPr>
        <w:t xml:space="preserve">  </w:t>
      </w:r>
      <w:proofErr w:type="gramStart"/>
      <w:r w:rsidR="006E33C4" w:rsidRPr="00D407BD">
        <w:rPr>
          <w:szCs w:val="24"/>
        </w:rPr>
        <w:t>See DOSAGE AND ADMINISTRATION.</w:t>
      </w:r>
      <w:proofErr w:type="gramEnd"/>
    </w:p>
    <w:p w:rsidR="0003333A" w:rsidRPr="00D407BD" w:rsidRDefault="0003333A" w:rsidP="0003333A">
      <w:pPr>
        <w:rPr>
          <w:b/>
          <w:i/>
          <w:color w:val="000000"/>
          <w:szCs w:val="24"/>
        </w:rPr>
      </w:pPr>
    </w:p>
    <w:p w:rsidR="00BD577A" w:rsidRDefault="00BD577A" w:rsidP="0003333A">
      <w:pPr>
        <w:rPr>
          <w:b/>
          <w:i/>
          <w:color w:val="000000"/>
          <w:szCs w:val="24"/>
        </w:rPr>
        <w:sectPr w:rsidR="00BD577A" w:rsidSect="00F14E84">
          <w:headerReference w:type="default" r:id="rId12"/>
          <w:footerReference w:type="default" r:id="rId13"/>
          <w:pgSz w:w="12240" w:h="15840" w:code="1"/>
          <w:pgMar w:top="1134" w:right="1418" w:bottom="1418" w:left="1418" w:header="720" w:footer="720" w:gutter="0"/>
          <w:cols w:space="720"/>
          <w:noEndnote/>
        </w:sectPr>
      </w:pPr>
    </w:p>
    <w:p w:rsidR="004B3810" w:rsidRPr="00D407BD" w:rsidRDefault="00B26477" w:rsidP="0003333A">
      <w:pPr>
        <w:rPr>
          <w:i/>
          <w:color w:val="000000"/>
          <w:szCs w:val="24"/>
        </w:rPr>
      </w:pPr>
      <w:r w:rsidRPr="00D407BD">
        <w:rPr>
          <w:b/>
          <w:i/>
          <w:color w:val="000000"/>
          <w:szCs w:val="24"/>
        </w:rPr>
        <w:lastRenderedPageBreak/>
        <w:t xml:space="preserve">Age </w:t>
      </w:r>
      <w:r w:rsidR="00083AA4" w:rsidRPr="00D407BD">
        <w:rPr>
          <w:b/>
          <w:i/>
          <w:color w:val="000000"/>
          <w:szCs w:val="24"/>
        </w:rPr>
        <w:t xml:space="preserve">and </w:t>
      </w:r>
      <w:r w:rsidRPr="00D407BD">
        <w:rPr>
          <w:b/>
          <w:i/>
          <w:color w:val="000000"/>
          <w:szCs w:val="24"/>
        </w:rPr>
        <w:t>gender</w:t>
      </w:r>
      <w:r w:rsidRPr="00D407BD">
        <w:rPr>
          <w:i/>
          <w:color w:val="000000"/>
          <w:szCs w:val="24"/>
        </w:rPr>
        <w:t xml:space="preserve">: </w:t>
      </w:r>
    </w:p>
    <w:p w:rsidR="0015386D" w:rsidRPr="00D407BD" w:rsidRDefault="009F3522" w:rsidP="0003333A">
      <w:pPr>
        <w:rPr>
          <w:szCs w:val="24"/>
        </w:rPr>
      </w:pPr>
      <w:r w:rsidRPr="00D407BD">
        <w:rPr>
          <w:b/>
          <w:szCs w:val="24"/>
        </w:rPr>
        <w:t>Children</w:t>
      </w:r>
      <w:r w:rsidR="0015386D" w:rsidRPr="00D407BD">
        <w:rPr>
          <w:b/>
          <w:szCs w:val="24"/>
        </w:rPr>
        <w:t xml:space="preserve"> and Geriatric Patients:</w:t>
      </w:r>
      <w:r w:rsidR="0015386D" w:rsidRPr="00D407BD">
        <w:rPr>
          <w:szCs w:val="24"/>
        </w:rPr>
        <w:t xml:space="preserve"> Pharmacokinetics of </w:t>
      </w:r>
      <w:proofErr w:type="spellStart"/>
      <w:r w:rsidR="0015386D" w:rsidRPr="00D407BD">
        <w:rPr>
          <w:szCs w:val="24"/>
        </w:rPr>
        <w:t>tenofovir</w:t>
      </w:r>
      <w:proofErr w:type="spellEnd"/>
      <w:r w:rsidR="0015386D" w:rsidRPr="00D407BD">
        <w:rPr>
          <w:szCs w:val="24"/>
        </w:rPr>
        <w:t xml:space="preserve"> and </w:t>
      </w:r>
      <w:proofErr w:type="spellStart"/>
      <w:r w:rsidR="0015386D" w:rsidRPr="00D407BD">
        <w:rPr>
          <w:szCs w:val="24"/>
        </w:rPr>
        <w:t>emtricitabine</w:t>
      </w:r>
      <w:proofErr w:type="spellEnd"/>
      <w:r w:rsidR="0015386D" w:rsidRPr="00D407BD">
        <w:rPr>
          <w:szCs w:val="24"/>
        </w:rPr>
        <w:t xml:space="preserve"> have not been fully evaluated in children (&lt;18 years) or in the elderly (&gt;65 years) (see PRECAUTIONS, </w:t>
      </w:r>
      <w:proofErr w:type="spellStart"/>
      <w:r w:rsidR="0015386D" w:rsidRPr="00D407BD">
        <w:rPr>
          <w:szCs w:val="24"/>
        </w:rPr>
        <w:t>P</w:t>
      </w:r>
      <w:r w:rsidR="00B579FD" w:rsidRPr="00D407BD">
        <w:rPr>
          <w:szCs w:val="24"/>
        </w:rPr>
        <w:t>a</w:t>
      </w:r>
      <w:r w:rsidR="0015386D" w:rsidRPr="00D407BD">
        <w:rPr>
          <w:szCs w:val="24"/>
        </w:rPr>
        <w:t>ediatric</w:t>
      </w:r>
      <w:proofErr w:type="spellEnd"/>
      <w:r w:rsidR="0015386D" w:rsidRPr="00D407BD">
        <w:rPr>
          <w:szCs w:val="24"/>
        </w:rPr>
        <w:t xml:space="preserve"> Use, Geriatric Use). </w:t>
      </w:r>
    </w:p>
    <w:p w:rsidR="00FC2055" w:rsidRPr="00D407BD" w:rsidRDefault="00FC2055" w:rsidP="0003333A">
      <w:pPr>
        <w:rPr>
          <w:szCs w:val="24"/>
        </w:rPr>
      </w:pPr>
    </w:p>
    <w:p w:rsidR="000756A8" w:rsidRDefault="001B6C67" w:rsidP="0003333A">
      <w:pPr>
        <w:rPr>
          <w:szCs w:val="24"/>
        </w:rPr>
      </w:pPr>
      <w:r w:rsidRPr="00D407BD">
        <w:rPr>
          <w:b/>
          <w:szCs w:val="24"/>
        </w:rPr>
        <w:t>Gender:</w:t>
      </w:r>
      <w:r w:rsidRPr="00D407BD">
        <w:rPr>
          <w:szCs w:val="24"/>
        </w:rPr>
        <w:t xml:space="preserve"> </w:t>
      </w:r>
      <w:proofErr w:type="spellStart"/>
      <w:r w:rsidR="00470B9E" w:rsidRPr="00D407BD">
        <w:rPr>
          <w:szCs w:val="24"/>
        </w:rPr>
        <w:t>Tenofovir</w:t>
      </w:r>
      <w:proofErr w:type="spellEnd"/>
      <w:r w:rsidR="00470B9E" w:rsidRPr="00D407BD">
        <w:rPr>
          <w:szCs w:val="24"/>
        </w:rPr>
        <w:t xml:space="preserve"> and </w:t>
      </w:r>
      <w:proofErr w:type="spellStart"/>
      <w:r w:rsidR="00470B9E" w:rsidRPr="00D407BD">
        <w:rPr>
          <w:szCs w:val="24"/>
        </w:rPr>
        <w:t>emtricitabine</w:t>
      </w:r>
      <w:proofErr w:type="spellEnd"/>
      <w:r w:rsidR="00470B9E" w:rsidRPr="00D407BD">
        <w:rPr>
          <w:szCs w:val="24"/>
        </w:rPr>
        <w:t xml:space="preserve"> pharmacokinetics are similar in male and female patients.</w:t>
      </w:r>
    </w:p>
    <w:p w:rsidR="00EF451A" w:rsidRPr="00B63984" w:rsidRDefault="00EF451A" w:rsidP="0003333A">
      <w:pPr>
        <w:rPr>
          <w:szCs w:val="24"/>
        </w:rPr>
      </w:pPr>
    </w:p>
    <w:p w:rsidR="00C3388F" w:rsidRPr="00D407BD" w:rsidRDefault="0015386D" w:rsidP="0003333A">
      <w:pPr>
        <w:rPr>
          <w:b/>
          <w:szCs w:val="24"/>
        </w:rPr>
      </w:pPr>
      <w:r w:rsidRPr="00D407BD">
        <w:rPr>
          <w:b/>
          <w:i/>
          <w:szCs w:val="24"/>
        </w:rPr>
        <w:t>Patients with Impaired Renal Function:</w:t>
      </w:r>
      <w:r w:rsidRPr="00D407BD">
        <w:rPr>
          <w:b/>
          <w:szCs w:val="24"/>
        </w:rPr>
        <w:t xml:space="preserve"> </w:t>
      </w:r>
    </w:p>
    <w:p w:rsidR="0015386D" w:rsidRDefault="0015386D" w:rsidP="008C1AD6">
      <w:pPr>
        <w:rPr>
          <w:szCs w:val="24"/>
        </w:rPr>
      </w:pPr>
      <w:r w:rsidRPr="00D407BD">
        <w:rPr>
          <w:szCs w:val="24"/>
        </w:rPr>
        <w:t xml:space="preserve">The pharmacokinetics of </w:t>
      </w:r>
      <w:proofErr w:type="spellStart"/>
      <w:r w:rsidRPr="00D407BD">
        <w:rPr>
          <w:szCs w:val="24"/>
        </w:rPr>
        <w:t>tenofovir</w:t>
      </w:r>
      <w:proofErr w:type="spellEnd"/>
      <w:r w:rsidRPr="00D407BD">
        <w:rPr>
          <w:szCs w:val="24"/>
        </w:rPr>
        <w:t xml:space="preserve"> and </w:t>
      </w:r>
      <w:proofErr w:type="spellStart"/>
      <w:r w:rsidRPr="00D407BD">
        <w:rPr>
          <w:szCs w:val="24"/>
        </w:rPr>
        <w:t>emtricitabine</w:t>
      </w:r>
      <w:proofErr w:type="spellEnd"/>
      <w:r w:rsidRPr="00D407BD">
        <w:rPr>
          <w:szCs w:val="24"/>
        </w:rPr>
        <w:t xml:space="preserve"> are altered in </w:t>
      </w:r>
      <w:r w:rsidR="004112DE" w:rsidRPr="00D407BD">
        <w:rPr>
          <w:szCs w:val="24"/>
        </w:rPr>
        <w:t>subjects</w:t>
      </w:r>
      <w:r w:rsidRPr="00D407BD">
        <w:rPr>
          <w:szCs w:val="24"/>
        </w:rPr>
        <w:t xml:space="preserve"> with renal impairment (See </w:t>
      </w:r>
      <w:r w:rsidR="00AB0E85" w:rsidRPr="00D407BD">
        <w:rPr>
          <w:szCs w:val="24"/>
        </w:rPr>
        <w:t>PRECAUTIONS</w:t>
      </w:r>
      <w:r w:rsidRPr="00D407BD">
        <w:rPr>
          <w:szCs w:val="24"/>
        </w:rPr>
        <w:t xml:space="preserve">, Renal Impairment).  In </w:t>
      </w:r>
      <w:r w:rsidR="00BF73A5" w:rsidRPr="00D407BD">
        <w:rPr>
          <w:szCs w:val="24"/>
        </w:rPr>
        <w:t>subjects</w:t>
      </w:r>
      <w:r w:rsidRPr="00D407BD">
        <w:rPr>
          <w:szCs w:val="24"/>
        </w:rPr>
        <w:t xml:space="preserve"> with creatinine clearance &lt;50 mL/min</w:t>
      </w:r>
      <w:r w:rsidR="0046002A" w:rsidRPr="00D407BD">
        <w:rPr>
          <w:szCs w:val="24"/>
        </w:rPr>
        <w:t>, or with end-stage renal disease (ESRD) requiring dialysis</w:t>
      </w:r>
      <w:r w:rsidRPr="00D407BD">
        <w:rPr>
          <w:szCs w:val="24"/>
        </w:rPr>
        <w:t xml:space="preserve">, </w:t>
      </w:r>
      <w:proofErr w:type="spellStart"/>
      <w:r w:rsidRPr="00D407BD">
        <w:rPr>
          <w:szCs w:val="24"/>
        </w:rPr>
        <w:t>C</w:t>
      </w:r>
      <w:r w:rsidRPr="00D407BD">
        <w:rPr>
          <w:szCs w:val="24"/>
          <w:vertAlign w:val="subscript"/>
        </w:rPr>
        <w:t>max</w:t>
      </w:r>
      <w:proofErr w:type="spellEnd"/>
      <w:r w:rsidRPr="00D407BD">
        <w:rPr>
          <w:szCs w:val="24"/>
        </w:rPr>
        <w:t>, and AUC</w:t>
      </w:r>
      <w:r w:rsidRPr="00D407BD">
        <w:rPr>
          <w:szCs w:val="24"/>
          <w:vertAlign w:val="subscript"/>
        </w:rPr>
        <w:t>0-</w:t>
      </w:r>
      <w:r w:rsidRPr="00D407BD">
        <w:rPr>
          <w:szCs w:val="24"/>
          <w:vertAlign w:val="subscript"/>
        </w:rPr>
        <w:sym w:font="Symbol" w:char="00A5"/>
      </w:r>
      <w:r w:rsidRPr="00D407BD">
        <w:rPr>
          <w:szCs w:val="24"/>
        </w:rPr>
        <w:t xml:space="preserve"> of </w:t>
      </w:r>
      <w:proofErr w:type="spellStart"/>
      <w:r w:rsidRPr="00D407BD">
        <w:rPr>
          <w:szCs w:val="24"/>
        </w:rPr>
        <w:t>tenofovir</w:t>
      </w:r>
      <w:proofErr w:type="spellEnd"/>
      <w:r w:rsidRPr="00D407BD">
        <w:rPr>
          <w:szCs w:val="24"/>
        </w:rPr>
        <w:t xml:space="preserve"> and </w:t>
      </w:r>
      <w:proofErr w:type="spellStart"/>
      <w:r w:rsidRPr="00D407BD">
        <w:rPr>
          <w:szCs w:val="24"/>
        </w:rPr>
        <w:t>emtricitabine</w:t>
      </w:r>
      <w:proofErr w:type="spellEnd"/>
      <w:r w:rsidRPr="00D407BD">
        <w:rPr>
          <w:szCs w:val="24"/>
        </w:rPr>
        <w:t xml:space="preserve"> were increased.  It is </w:t>
      </w:r>
      <w:r w:rsidR="0046002A" w:rsidRPr="00D407BD">
        <w:rPr>
          <w:szCs w:val="24"/>
        </w:rPr>
        <w:t>required</w:t>
      </w:r>
      <w:r w:rsidRPr="00D407BD">
        <w:rPr>
          <w:szCs w:val="24"/>
        </w:rPr>
        <w:t xml:space="preserve"> that the dosing interval for TR</w:t>
      </w:r>
      <w:r w:rsidR="00B571C7" w:rsidRPr="00D407BD">
        <w:rPr>
          <w:szCs w:val="24"/>
        </w:rPr>
        <w:t>UVADA</w:t>
      </w:r>
      <w:r w:rsidRPr="00D407BD">
        <w:rPr>
          <w:szCs w:val="24"/>
        </w:rPr>
        <w:t xml:space="preserve"> be modified in </w:t>
      </w:r>
      <w:r w:rsidR="00CE411D">
        <w:rPr>
          <w:szCs w:val="24"/>
        </w:rPr>
        <w:t xml:space="preserve">HIV-1 infected </w:t>
      </w:r>
      <w:r w:rsidRPr="00D407BD">
        <w:rPr>
          <w:szCs w:val="24"/>
        </w:rPr>
        <w:t>patients with creatinine clearance &lt;</w:t>
      </w:r>
      <w:r w:rsidR="00D26EC7">
        <w:rPr>
          <w:szCs w:val="24"/>
        </w:rPr>
        <w:t>6</w:t>
      </w:r>
      <w:r w:rsidR="00D26EC7" w:rsidRPr="00D407BD">
        <w:rPr>
          <w:szCs w:val="24"/>
        </w:rPr>
        <w:t xml:space="preserve">0 </w:t>
      </w:r>
      <w:r w:rsidRPr="00D407BD">
        <w:rPr>
          <w:szCs w:val="24"/>
        </w:rPr>
        <w:t>mL/min</w:t>
      </w:r>
      <w:r w:rsidR="0046002A" w:rsidRPr="00D407BD">
        <w:rPr>
          <w:szCs w:val="24"/>
        </w:rPr>
        <w:t xml:space="preserve"> (see DOSAGE AND ADMINISTRATION)</w:t>
      </w:r>
      <w:r w:rsidRPr="00D407BD">
        <w:rPr>
          <w:szCs w:val="24"/>
        </w:rPr>
        <w:t xml:space="preserve">. </w:t>
      </w:r>
      <w:r w:rsidR="009F3522" w:rsidRPr="00D407BD">
        <w:rPr>
          <w:szCs w:val="24"/>
        </w:rPr>
        <w:t xml:space="preserve">TRUVADA </w:t>
      </w:r>
      <w:r w:rsidRPr="00D407BD">
        <w:rPr>
          <w:szCs w:val="24"/>
        </w:rPr>
        <w:t>should not be used in patients with creatinine clearance &lt;30 mL/min and in patients with end-stage renal disease requiring dialysis (See</w:t>
      </w:r>
      <w:r w:rsidR="00FC2055" w:rsidRPr="00D407BD">
        <w:rPr>
          <w:szCs w:val="24"/>
        </w:rPr>
        <w:t xml:space="preserve"> </w:t>
      </w:r>
      <w:r w:rsidR="009F3522" w:rsidRPr="00D407BD">
        <w:rPr>
          <w:szCs w:val="24"/>
        </w:rPr>
        <w:t>PRECAUTIONS</w:t>
      </w:r>
      <w:r w:rsidR="000261C8" w:rsidRPr="00D407BD">
        <w:rPr>
          <w:szCs w:val="24"/>
        </w:rPr>
        <w:t>, Renal</w:t>
      </w:r>
      <w:r w:rsidRPr="00D407BD">
        <w:rPr>
          <w:szCs w:val="24"/>
        </w:rPr>
        <w:t xml:space="preserve"> Impairment).</w:t>
      </w:r>
    </w:p>
    <w:p w:rsidR="00CE411D" w:rsidRDefault="00CE411D" w:rsidP="007A52BA">
      <w:pPr>
        <w:rPr>
          <w:szCs w:val="24"/>
        </w:rPr>
      </w:pPr>
    </w:p>
    <w:p w:rsidR="00CE411D" w:rsidRPr="00CE411D" w:rsidRDefault="00CE411D" w:rsidP="00D26EC7">
      <w:r w:rsidRPr="008E09DE">
        <w:t xml:space="preserve">TRUVADA for a </w:t>
      </w:r>
      <w:proofErr w:type="spellStart"/>
      <w:r w:rsidRPr="008E09DE">
        <w:t>PrEP</w:t>
      </w:r>
      <w:proofErr w:type="spellEnd"/>
      <w:r w:rsidRPr="008E09DE">
        <w:t xml:space="preserve"> indication should not be used in HIV-1 uninfected individuals with </w:t>
      </w:r>
      <w:r>
        <w:t xml:space="preserve">estimated </w:t>
      </w:r>
      <w:r w:rsidRPr="008E09DE">
        <w:t>creatinine clearance below 60 mL/min.</w:t>
      </w:r>
      <w:r w:rsidRPr="008E09DE">
        <w:rPr>
          <w:szCs w:val="24"/>
        </w:rPr>
        <w:t xml:space="preserve"> If a decrease in </w:t>
      </w:r>
      <w:r>
        <w:rPr>
          <w:szCs w:val="24"/>
        </w:rPr>
        <w:t xml:space="preserve">estimated </w:t>
      </w:r>
      <w:r w:rsidRPr="008E09DE">
        <w:rPr>
          <w:szCs w:val="24"/>
        </w:rPr>
        <w:t xml:space="preserve">creatinine clearance is observed in uninfected individuals while using TRUVADA for </w:t>
      </w:r>
      <w:proofErr w:type="spellStart"/>
      <w:r w:rsidRPr="008E09DE">
        <w:rPr>
          <w:szCs w:val="24"/>
        </w:rPr>
        <w:t>PrEP</w:t>
      </w:r>
      <w:proofErr w:type="spellEnd"/>
      <w:r w:rsidRPr="008E09DE">
        <w:rPr>
          <w:szCs w:val="24"/>
        </w:rPr>
        <w:t>, evaluate potential causes and re-assess potential risks and benefits of continued use</w:t>
      </w:r>
      <w:r>
        <w:rPr>
          <w:szCs w:val="24"/>
        </w:rPr>
        <w:t xml:space="preserve"> (see DOSAGE AND ADMINISTRATION)</w:t>
      </w:r>
      <w:r w:rsidRPr="008E09DE">
        <w:t>.</w:t>
      </w:r>
    </w:p>
    <w:p w:rsidR="0003333A" w:rsidRPr="00D407BD" w:rsidRDefault="0003333A" w:rsidP="0003333A">
      <w:pPr>
        <w:rPr>
          <w:i/>
          <w:szCs w:val="24"/>
        </w:rPr>
      </w:pPr>
    </w:p>
    <w:p w:rsidR="00FA3CA5" w:rsidRPr="00D407BD" w:rsidRDefault="0015386D" w:rsidP="0003333A">
      <w:pPr>
        <w:rPr>
          <w:b/>
          <w:i/>
          <w:szCs w:val="24"/>
        </w:rPr>
      </w:pPr>
      <w:r w:rsidRPr="00D407BD">
        <w:rPr>
          <w:b/>
          <w:i/>
          <w:szCs w:val="24"/>
        </w:rPr>
        <w:t xml:space="preserve">Patients with Hepatic Impairment: </w:t>
      </w:r>
    </w:p>
    <w:p w:rsidR="0003333A" w:rsidRPr="00D407BD" w:rsidRDefault="0015386D" w:rsidP="0003333A">
      <w:pPr>
        <w:rPr>
          <w:szCs w:val="24"/>
        </w:rPr>
      </w:pPr>
      <w:r w:rsidRPr="00D407BD">
        <w:rPr>
          <w:b/>
          <w:szCs w:val="24"/>
        </w:rPr>
        <w:t>TR</w:t>
      </w:r>
      <w:r w:rsidR="00535E6A" w:rsidRPr="00D407BD">
        <w:rPr>
          <w:b/>
          <w:szCs w:val="24"/>
        </w:rPr>
        <w:t>UVADA</w:t>
      </w:r>
      <w:r w:rsidRPr="00D407BD">
        <w:rPr>
          <w:b/>
          <w:szCs w:val="24"/>
        </w:rPr>
        <w:t xml:space="preserve">: </w:t>
      </w:r>
      <w:r w:rsidRPr="00D407BD">
        <w:rPr>
          <w:szCs w:val="24"/>
        </w:rPr>
        <w:t xml:space="preserve">The pharmacokinetics of </w:t>
      </w:r>
      <w:proofErr w:type="spellStart"/>
      <w:r w:rsidRPr="00D407BD">
        <w:rPr>
          <w:szCs w:val="24"/>
        </w:rPr>
        <w:t>tenofovir</w:t>
      </w:r>
      <w:proofErr w:type="spellEnd"/>
      <w:r w:rsidRPr="00D407BD">
        <w:rPr>
          <w:szCs w:val="24"/>
        </w:rPr>
        <w:t xml:space="preserve"> following a 300 mg dose of VIREAD </w:t>
      </w:r>
      <w:proofErr w:type="gramStart"/>
      <w:r w:rsidRPr="00D407BD">
        <w:rPr>
          <w:szCs w:val="24"/>
        </w:rPr>
        <w:t>have</w:t>
      </w:r>
      <w:proofErr w:type="gramEnd"/>
      <w:r w:rsidRPr="00D407BD">
        <w:rPr>
          <w:szCs w:val="24"/>
        </w:rPr>
        <w:t xml:space="preserve"> been studied in non-HIV infected patients with moderate to severe hepatic impairment.  There were no substantial alterations in </w:t>
      </w:r>
      <w:proofErr w:type="spellStart"/>
      <w:r w:rsidRPr="00D407BD">
        <w:rPr>
          <w:szCs w:val="24"/>
        </w:rPr>
        <w:t>tenofovir</w:t>
      </w:r>
      <w:proofErr w:type="spellEnd"/>
      <w:r w:rsidRPr="00D407BD">
        <w:rPr>
          <w:szCs w:val="24"/>
        </w:rPr>
        <w:t xml:space="preserve"> pharmacokinetics in patients with hepatic impairment compared with unimpaired patients. The pharmacokinetics of </w:t>
      </w:r>
      <w:r w:rsidR="00B571C7" w:rsidRPr="00D407BD">
        <w:rPr>
          <w:szCs w:val="24"/>
        </w:rPr>
        <w:t>TRUVADA</w:t>
      </w:r>
      <w:r w:rsidRPr="00D407BD">
        <w:rPr>
          <w:szCs w:val="24"/>
        </w:rPr>
        <w:t xml:space="preserve"> or </w:t>
      </w:r>
      <w:proofErr w:type="spellStart"/>
      <w:r w:rsidRPr="00D407BD">
        <w:rPr>
          <w:szCs w:val="24"/>
        </w:rPr>
        <w:t>emtricitabine</w:t>
      </w:r>
      <w:proofErr w:type="spellEnd"/>
      <w:r w:rsidRPr="00D407BD">
        <w:rPr>
          <w:szCs w:val="24"/>
        </w:rPr>
        <w:t xml:space="preserve"> </w:t>
      </w:r>
      <w:proofErr w:type="gramStart"/>
      <w:r w:rsidRPr="00D407BD">
        <w:rPr>
          <w:szCs w:val="24"/>
        </w:rPr>
        <w:t>have</w:t>
      </w:r>
      <w:proofErr w:type="gramEnd"/>
      <w:r w:rsidRPr="00D407BD">
        <w:rPr>
          <w:szCs w:val="24"/>
        </w:rPr>
        <w:t xml:space="preserve"> not been studied in patients with hepatic impairment; however, </w:t>
      </w:r>
      <w:proofErr w:type="spellStart"/>
      <w:r w:rsidRPr="00D407BD">
        <w:rPr>
          <w:szCs w:val="24"/>
        </w:rPr>
        <w:t>emtricitabine</w:t>
      </w:r>
      <w:proofErr w:type="spellEnd"/>
      <w:r w:rsidRPr="00D407BD">
        <w:rPr>
          <w:szCs w:val="24"/>
        </w:rPr>
        <w:t xml:space="preserve"> is not significantly </w:t>
      </w:r>
      <w:proofErr w:type="spellStart"/>
      <w:r w:rsidRPr="00D407BD">
        <w:rPr>
          <w:szCs w:val="24"/>
        </w:rPr>
        <w:t>metaboli</w:t>
      </w:r>
      <w:r w:rsidR="002D4A56">
        <w:rPr>
          <w:szCs w:val="24"/>
        </w:rPr>
        <w:t>s</w:t>
      </w:r>
      <w:r w:rsidRPr="00D407BD">
        <w:rPr>
          <w:szCs w:val="24"/>
        </w:rPr>
        <w:t>ed</w:t>
      </w:r>
      <w:proofErr w:type="spellEnd"/>
      <w:r w:rsidRPr="00D407BD">
        <w:rPr>
          <w:szCs w:val="24"/>
        </w:rPr>
        <w:t xml:space="preserve"> by liver enzymes, so the impact of liver impairment should be limited.</w:t>
      </w:r>
    </w:p>
    <w:p w:rsidR="00C55548" w:rsidRPr="00D407BD" w:rsidRDefault="00C55548" w:rsidP="0003333A">
      <w:pPr>
        <w:rPr>
          <w:szCs w:val="24"/>
        </w:rPr>
      </w:pPr>
    </w:p>
    <w:p w:rsidR="00FA3CA5" w:rsidRPr="00D407BD" w:rsidRDefault="003C70D1" w:rsidP="0003333A">
      <w:pPr>
        <w:rPr>
          <w:b/>
          <w:i/>
          <w:szCs w:val="24"/>
        </w:rPr>
      </w:pPr>
      <w:r w:rsidRPr="00D407BD">
        <w:rPr>
          <w:b/>
          <w:i/>
          <w:szCs w:val="24"/>
        </w:rPr>
        <w:t xml:space="preserve">Drug Interactions: </w:t>
      </w:r>
    </w:p>
    <w:p w:rsidR="0003333A" w:rsidRPr="00D407BD" w:rsidRDefault="00B64389" w:rsidP="0003333A">
      <w:pPr>
        <w:rPr>
          <w:szCs w:val="24"/>
        </w:rPr>
      </w:pPr>
      <w:r w:rsidRPr="00D407BD">
        <w:rPr>
          <w:b/>
          <w:szCs w:val="24"/>
        </w:rPr>
        <w:t>TRUVADA</w:t>
      </w:r>
      <w:r w:rsidR="003C70D1" w:rsidRPr="00D407BD">
        <w:rPr>
          <w:b/>
          <w:szCs w:val="24"/>
        </w:rPr>
        <w:t>:</w:t>
      </w:r>
      <w:r w:rsidR="003C70D1" w:rsidRPr="00D407BD">
        <w:rPr>
          <w:szCs w:val="24"/>
        </w:rPr>
        <w:t xml:space="preserve"> The drug interactions described are based on studies conducted with </w:t>
      </w:r>
      <w:proofErr w:type="spellStart"/>
      <w:r w:rsidR="003C70D1" w:rsidRPr="00D407BD">
        <w:rPr>
          <w:szCs w:val="24"/>
        </w:rPr>
        <w:t>tenofovir</w:t>
      </w:r>
      <w:proofErr w:type="spellEnd"/>
      <w:r w:rsidR="003C70D1" w:rsidRPr="00D407BD">
        <w:rPr>
          <w:szCs w:val="24"/>
        </w:rPr>
        <w:t xml:space="preserve"> </w:t>
      </w:r>
      <w:proofErr w:type="spellStart"/>
      <w:r w:rsidR="003C70D1" w:rsidRPr="00D407BD">
        <w:rPr>
          <w:szCs w:val="24"/>
        </w:rPr>
        <w:t>disoproxil</w:t>
      </w:r>
      <w:proofErr w:type="spellEnd"/>
      <w:r w:rsidR="003C70D1" w:rsidRPr="00D407BD">
        <w:rPr>
          <w:szCs w:val="24"/>
        </w:rPr>
        <w:t xml:space="preserve"> fumarate or </w:t>
      </w:r>
      <w:proofErr w:type="spellStart"/>
      <w:r w:rsidR="003C70D1" w:rsidRPr="00D407BD">
        <w:rPr>
          <w:szCs w:val="24"/>
        </w:rPr>
        <w:t>emtricitabine</w:t>
      </w:r>
      <w:proofErr w:type="spellEnd"/>
      <w:r w:rsidR="003C70D1" w:rsidRPr="00D407BD">
        <w:rPr>
          <w:szCs w:val="24"/>
        </w:rPr>
        <w:t xml:space="preserve"> as individual agents; no drug interaction studies have been conducted using </w:t>
      </w:r>
      <w:r w:rsidR="00181B7D" w:rsidRPr="00D407BD">
        <w:rPr>
          <w:szCs w:val="24"/>
        </w:rPr>
        <w:t>TRUVADA</w:t>
      </w:r>
      <w:r w:rsidR="003C70D1" w:rsidRPr="00D407BD">
        <w:rPr>
          <w:szCs w:val="24"/>
        </w:rPr>
        <w:t xml:space="preserve"> tablets. </w:t>
      </w:r>
    </w:p>
    <w:p w:rsidR="0003333A" w:rsidRPr="00D407BD" w:rsidRDefault="003C70D1" w:rsidP="0003333A">
      <w:pPr>
        <w:rPr>
          <w:szCs w:val="24"/>
        </w:rPr>
      </w:pPr>
      <w:r w:rsidRPr="00D407BD">
        <w:rPr>
          <w:szCs w:val="24"/>
        </w:rPr>
        <w:br/>
      </w:r>
      <w:proofErr w:type="spellStart"/>
      <w:r w:rsidRPr="00D407BD">
        <w:rPr>
          <w:b/>
          <w:i/>
          <w:szCs w:val="24"/>
        </w:rPr>
        <w:t>Tenofovir</w:t>
      </w:r>
      <w:proofErr w:type="spellEnd"/>
      <w:r w:rsidRPr="00D407BD">
        <w:rPr>
          <w:b/>
          <w:i/>
          <w:szCs w:val="24"/>
        </w:rPr>
        <w:t xml:space="preserve"> </w:t>
      </w:r>
      <w:proofErr w:type="spellStart"/>
      <w:r w:rsidRPr="00D407BD">
        <w:rPr>
          <w:b/>
          <w:i/>
          <w:szCs w:val="24"/>
        </w:rPr>
        <w:t>disoproxil</w:t>
      </w:r>
      <w:proofErr w:type="spellEnd"/>
      <w:r w:rsidRPr="00D407BD">
        <w:rPr>
          <w:b/>
          <w:i/>
          <w:szCs w:val="24"/>
        </w:rPr>
        <w:t xml:space="preserve"> fumarate and </w:t>
      </w:r>
      <w:proofErr w:type="spellStart"/>
      <w:r w:rsidRPr="00D407BD">
        <w:rPr>
          <w:b/>
          <w:i/>
          <w:szCs w:val="24"/>
        </w:rPr>
        <w:t>emtricitabine</w:t>
      </w:r>
      <w:proofErr w:type="spellEnd"/>
      <w:r w:rsidRPr="00D407BD">
        <w:rPr>
          <w:b/>
          <w:i/>
          <w:szCs w:val="24"/>
        </w:rPr>
        <w:t>:</w:t>
      </w:r>
      <w:r w:rsidRPr="00D407BD">
        <w:rPr>
          <w:szCs w:val="24"/>
        </w:rPr>
        <w:t xml:space="preserve"> The steady state pharmacokinetics of </w:t>
      </w:r>
      <w:proofErr w:type="spellStart"/>
      <w:r w:rsidRPr="00D407BD">
        <w:rPr>
          <w:szCs w:val="24"/>
        </w:rPr>
        <w:t>tenofovir</w:t>
      </w:r>
      <w:proofErr w:type="spellEnd"/>
      <w:r w:rsidRPr="00D407BD">
        <w:rPr>
          <w:szCs w:val="24"/>
        </w:rPr>
        <w:t xml:space="preserve"> and </w:t>
      </w:r>
      <w:proofErr w:type="spellStart"/>
      <w:r w:rsidRPr="00D407BD">
        <w:rPr>
          <w:szCs w:val="24"/>
        </w:rPr>
        <w:t>emtricitabine</w:t>
      </w:r>
      <w:proofErr w:type="spellEnd"/>
      <w:r w:rsidRPr="00D407BD">
        <w:rPr>
          <w:szCs w:val="24"/>
        </w:rPr>
        <w:t xml:space="preserve"> were unaffected when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and </w:t>
      </w:r>
      <w:proofErr w:type="spellStart"/>
      <w:r w:rsidRPr="00D407BD">
        <w:rPr>
          <w:szCs w:val="24"/>
        </w:rPr>
        <w:t>emtricitabine</w:t>
      </w:r>
      <w:proofErr w:type="spellEnd"/>
      <w:r w:rsidRPr="00D407BD">
        <w:rPr>
          <w:szCs w:val="24"/>
        </w:rPr>
        <w:t xml:space="preserve"> were administered together versus each agent dosed alone.</w:t>
      </w:r>
    </w:p>
    <w:p w:rsidR="0003333A" w:rsidRPr="00D407BD" w:rsidRDefault="003C70D1" w:rsidP="0003333A">
      <w:pPr>
        <w:rPr>
          <w:szCs w:val="24"/>
        </w:rPr>
      </w:pPr>
      <w:r w:rsidRPr="00D407BD">
        <w:rPr>
          <w:szCs w:val="24"/>
        </w:rPr>
        <w:br/>
        <w:t xml:space="preserve">In vitro and clinical pharmacokinetic drug-drug interaction studies have shown the potential for CYP450 mediated interactions involving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and </w:t>
      </w:r>
      <w:proofErr w:type="spellStart"/>
      <w:r w:rsidRPr="00D407BD">
        <w:rPr>
          <w:szCs w:val="24"/>
        </w:rPr>
        <w:t>emtricitabine</w:t>
      </w:r>
      <w:proofErr w:type="spellEnd"/>
      <w:r w:rsidRPr="00D407BD">
        <w:rPr>
          <w:szCs w:val="24"/>
        </w:rPr>
        <w:t xml:space="preserve"> with other medicinal products is low.</w:t>
      </w:r>
    </w:p>
    <w:p w:rsidR="003C70D1" w:rsidRPr="00D407BD" w:rsidRDefault="003C70D1" w:rsidP="0003333A">
      <w:pPr>
        <w:rPr>
          <w:szCs w:val="24"/>
        </w:rPr>
      </w:pPr>
      <w:r w:rsidRPr="00D407BD">
        <w:rPr>
          <w:szCs w:val="24"/>
        </w:rPr>
        <w:br/>
      </w:r>
      <w:proofErr w:type="spellStart"/>
      <w:r w:rsidRPr="00D407BD">
        <w:rPr>
          <w:szCs w:val="24"/>
        </w:rPr>
        <w:t>Tenofovir</w:t>
      </w:r>
      <w:proofErr w:type="spellEnd"/>
      <w:r w:rsidRPr="00D407BD">
        <w:rPr>
          <w:szCs w:val="24"/>
        </w:rPr>
        <w:t xml:space="preserve"> and </w:t>
      </w:r>
      <w:proofErr w:type="spellStart"/>
      <w:r w:rsidRPr="00D407BD">
        <w:rPr>
          <w:szCs w:val="24"/>
        </w:rPr>
        <w:t>emtricitabine</w:t>
      </w:r>
      <w:proofErr w:type="spellEnd"/>
      <w:r w:rsidRPr="00D407BD">
        <w:rPr>
          <w:szCs w:val="24"/>
        </w:rPr>
        <w:t xml:space="preserve"> are primarily excreted by the kidneys by a combination of </w:t>
      </w:r>
      <w:r w:rsidRPr="00D407BD">
        <w:rPr>
          <w:szCs w:val="24"/>
        </w:rPr>
        <w:lastRenderedPageBreak/>
        <w:t xml:space="preserve">glomerular filtration and active tubular secretion.  No drug-drug interactions due to competition for renal excretion have been observed; however, co-administration of </w:t>
      </w:r>
      <w:r w:rsidR="00CA0495" w:rsidRPr="00D407BD">
        <w:rPr>
          <w:szCs w:val="24"/>
        </w:rPr>
        <w:t>TRUVADA</w:t>
      </w:r>
      <w:r w:rsidRPr="00D407BD">
        <w:rPr>
          <w:szCs w:val="24"/>
        </w:rPr>
        <w:t xml:space="preserve"> with drugs that are eliminated by active tubular secretion may increase serum concentrations of </w:t>
      </w:r>
      <w:proofErr w:type="spellStart"/>
      <w:r w:rsidRPr="00D407BD">
        <w:rPr>
          <w:szCs w:val="24"/>
        </w:rPr>
        <w:t>tenofovir</w:t>
      </w:r>
      <w:proofErr w:type="spellEnd"/>
      <w:r w:rsidRPr="00D407BD">
        <w:rPr>
          <w:szCs w:val="24"/>
        </w:rPr>
        <w:t xml:space="preserve">, </w:t>
      </w:r>
      <w:proofErr w:type="spellStart"/>
      <w:r w:rsidRPr="00D407BD">
        <w:rPr>
          <w:szCs w:val="24"/>
        </w:rPr>
        <w:t>emtricitabine</w:t>
      </w:r>
      <w:proofErr w:type="spellEnd"/>
      <w:r w:rsidRPr="00D407BD">
        <w:rPr>
          <w:szCs w:val="24"/>
        </w:rPr>
        <w:t xml:space="preserve">, and/or the co-administered drug.  Drugs that decrease renal function may increase serum concentrations of </w:t>
      </w:r>
      <w:proofErr w:type="spellStart"/>
      <w:r w:rsidRPr="00D407BD">
        <w:rPr>
          <w:szCs w:val="24"/>
        </w:rPr>
        <w:t>tenofovir</w:t>
      </w:r>
      <w:proofErr w:type="spellEnd"/>
      <w:r w:rsidRPr="00D407BD">
        <w:rPr>
          <w:szCs w:val="24"/>
        </w:rPr>
        <w:t xml:space="preserve"> and/or </w:t>
      </w:r>
      <w:proofErr w:type="spellStart"/>
      <w:r w:rsidRPr="00D407BD">
        <w:rPr>
          <w:szCs w:val="24"/>
        </w:rPr>
        <w:t>emtricitabine</w:t>
      </w:r>
      <w:proofErr w:type="spellEnd"/>
      <w:r w:rsidRPr="00D407BD">
        <w:rPr>
          <w:szCs w:val="24"/>
        </w:rPr>
        <w:t>.</w:t>
      </w:r>
    </w:p>
    <w:p w:rsidR="00366A8A" w:rsidRPr="00D407BD" w:rsidRDefault="00366A8A" w:rsidP="0003333A">
      <w:pPr>
        <w:rPr>
          <w:szCs w:val="24"/>
        </w:rPr>
      </w:pPr>
    </w:p>
    <w:p w:rsidR="003C70D1" w:rsidRPr="00D407BD" w:rsidRDefault="003C70D1" w:rsidP="0003333A">
      <w:pPr>
        <w:rPr>
          <w:szCs w:val="24"/>
        </w:rPr>
      </w:pPr>
      <w:r w:rsidRPr="00D407BD">
        <w:rPr>
          <w:szCs w:val="24"/>
        </w:rPr>
        <w:t xml:space="preserve">No clinically significant drug interactions have been observed between </w:t>
      </w:r>
      <w:proofErr w:type="spellStart"/>
      <w:r w:rsidRPr="00D407BD">
        <w:rPr>
          <w:szCs w:val="24"/>
        </w:rPr>
        <w:t>tenofovir</w:t>
      </w:r>
      <w:proofErr w:type="spellEnd"/>
      <w:r w:rsidRPr="00D407BD">
        <w:rPr>
          <w:szCs w:val="24"/>
        </w:rPr>
        <w:t> </w:t>
      </w:r>
      <w:proofErr w:type="spellStart"/>
      <w:r w:rsidRPr="00D407BD">
        <w:rPr>
          <w:szCs w:val="24"/>
        </w:rPr>
        <w:t>disoproxil</w:t>
      </w:r>
      <w:proofErr w:type="spellEnd"/>
      <w:r w:rsidRPr="00D407BD">
        <w:rPr>
          <w:szCs w:val="24"/>
        </w:rPr>
        <w:t xml:space="preserve"> fumarate and </w:t>
      </w:r>
      <w:proofErr w:type="spellStart"/>
      <w:r w:rsidRPr="00D407BD">
        <w:rPr>
          <w:szCs w:val="24"/>
        </w:rPr>
        <w:t>abacavir</w:t>
      </w:r>
      <w:proofErr w:type="spellEnd"/>
      <w:r w:rsidRPr="00D407BD">
        <w:rPr>
          <w:szCs w:val="24"/>
        </w:rPr>
        <w:t xml:space="preserve">, </w:t>
      </w:r>
      <w:proofErr w:type="spellStart"/>
      <w:r w:rsidRPr="00D407BD">
        <w:rPr>
          <w:szCs w:val="24"/>
        </w:rPr>
        <w:t>efavirenz</w:t>
      </w:r>
      <w:proofErr w:type="spellEnd"/>
      <w:r w:rsidRPr="00D407BD">
        <w:rPr>
          <w:szCs w:val="24"/>
        </w:rPr>
        <w:t xml:space="preserve">, </w:t>
      </w:r>
      <w:proofErr w:type="spellStart"/>
      <w:r w:rsidRPr="00D407BD">
        <w:rPr>
          <w:szCs w:val="24"/>
        </w:rPr>
        <w:t>emtricitabine</w:t>
      </w:r>
      <w:proofErr w:type="spellEnd"/>
      <w:r w:rsidRPr="00D407BD">
        <w:rPr>
          <w:szCs w:val="24"/>
        </w:rPr>
        <w:t xml:space="preserve">, </w:t>
      </w:r>
      <w:proofErr w:type="spellStart"/>
      <w:r w:rsidRPr="00D407BD">
        <w:rPr>
          <w:szCs w:val="24"/>
        </w:rPr>
        <w:t>indinavir</w:t>
      </w:r>
      <w:proofErr w:type="spellEnd"/>
      <w:r w:rsidRPr="00D407BD">
        <w:rPr>
          <w:szCs w:val="24"/>
        </w:rPr>
        <w:t xml:space="preserve">, lamivudine, </w:t>
      </w:r>
      <w:proofErr w:type="spellStart"/>
      <w:r w:rsidRPr="00D407BD">
        <w:rPr>
          <w:szCs w:val="24"/>
        </w:rPr>
        <w:t>lopinavir</w:t>
      </w:r>
      <w:proofErr w:type="spellEnd"/>
      <w:r w:rsidRPr="00D407BD">
        <w:rPr>
          <w:szCs w:val="24"/>
        </w:rPr>
        <w:t>/ritonavir, methadone</w:t>
      </w:r>
      <w:r w:rsidR="0007130F" w:rsidRPr="00D407BD">
        <w:rPr>
          <w:szCs w:val="24"/>
        </w:rPr>
        <w:t xml:space="preserve">, nelfinavir, </w:t>
      </w:r>
      <w:proofErr w:type="spellStart"/>
      <w:r w:rsidR="0007130F" w:rsidRPr="00D407BD">
        <w:rPr>
          <w:szCs w:val="24"/>
        </w:rPr>
        <w:t>saquinavir</w:t>
      </w:r>
      <w:proofErr w:type="spellEnd"/>
      <w:r w:rsidR="0007130F" w:rsidRPr="00D407BD">
        <w:rPr>
          <w:szCs w:val="24"/>
        </w:rPr>
        <w:t>/ritonavir</w:t>
      </w:r>
      <w:r w:rsidR="00E76EBE" w:rsidRPr="00D407BD">
        <w:rPr>
          <w:szCs w:val="24"/>
        </w:rPr>
        <w:t xml:space="preserve"> and</w:t>
      </w:r>
      <w:r w:rsidRPr="00D407BD">
        <w:rPr>
          <w:szCs w:val="24"/>
        </w:rPr>
        <w:t xml:space="preserve"> oral contraceptives in studies conducted in healthy volunteers.  </w:t>
      </w:r>
      <w:r w:rsidR="004E32C4" w:rsidRPr="00D407BD">
        <w:rPr>
          <w:szCs w:val="24"/>
        </w:rPr>
        <w:t xml:space="preserve">In a study conducted in healthy volunteers dosed with a single 600 mg dose of ribavirin, no clinically significant drug interactions were observed between </w:t>
      </w:r>
      <w:proofErr w:type="spellStart"/>
      <w:r w:rsidR="004E32C4" w:rsidRPr="00D407BD">
        <w:rPr>
          <w:szCs w:val="24"/>
        </w:rPr>
        <w:t>tenofovir</w:t>
      </w:r>
      <w:proofErr w:type="spellEnd"/>
      <w:r w:rsidR="004E32C4" w:rsidRPr="00D407BD">
        <w:rPr>
          <w:szCs w:val="24"/>
        </w:rPr>
        <w:t xml:space="preserve"> </w:t>
      </w:r>
      <w:proofErr w:type="spellStart"/>
      <w:r w:rsidR="004E32C4" w:rsidRPr="00D407BD">
        <w:rPr>
          <w:szCs w:val="24"/>
        </w:rPr>
        <w:t>disoproxil</w:t>
      </w:r>
      <w:proofErr w:type="spellEnd"/>
      <w:r w:rsidR="004E32C4" w:rsidRPr="00D407BD">
        <w:rPr>
          <w:szCs w:val="24"/>
        </w:rPr>
        <w:t xml:space="preserve"> fumarate and ribavirin. </w:t>
      </w:r>
      <w:r w:rsidRPr="00D407BD">
        <w:rPr>
          <w:szCs w:val="24"/>
        </w:rPr>
        <w:t xml:space="preserve">Similarly, no clinically significant drug interactions have been observed between </w:t>
      </w:r>
      <w:proofErr w:type="spellStart"/>
      <w:r w:rsidRPr="00D407BD">
        <w:rPr>
          <w:szCs w:val="24"/>
        </w:rPr>
        <w:t>emtricitabine</w:t>
      </w:r>
      <w:proofErr w:type="spellEnd"/>
      <w:r w:rsidRPr="00D407BD">
        <w:rPr>
          <w:szCs w:val="24"/>
        </w:rPr>
        <w:t xml:space="preserve"> and </w:t>
      </w:r>
      <w:proofErr w:type="spellStart"/>
      <w:r w:rsidRPr="00D407BD">
        <w:rPr>
          <w:szCs w:val="24"/>
        </w:rPr>
        <w:t>famciclovir</w:t>
      </w:r>
      <w:proofErr w:type="spellEnd"/>
      <w:r w:rsidRPr="00D407BD">
        <w:rPr>
          <w:szCs w:val="24"/>
        </w:rPr>
        <w:t xml:space="preserve">, </w:t>
      </w:r>
      <w:proofErr w:type="spellStart"/>
      <w:r w:rsidRPr="00D407BD">
        <w:rPr>
          <w:szCs w:val="24"/>
        </w:rPr>
        <w:t>indinavir</w:t>
      </w:r>
      <w:proofErr w:type="spellEnd"/>
      <w:r w:rsidRPr="00D407BD">
        <w:rPr>
          <w:szCs w:val="24"/>
        </w:rPr>
        <w:t xml:space="preserve">, </w:t>
      </w:r>
      <w:r w:rsidR="002665B4" w:rsidRPr="00D407BD">
        <w:rPr>
          <w:szCs w:val="24"/>
        </w:rPr>
        <w:t>d4T</w:t>
      </w:r>
      <w:r w:rsidRPr="00D407BD">
        <w:rPr>
          <w:szCs w:val="24"/>
        </w:rPr>
        <w:t>,</w:t>
      </w:r>
      <w:r w:rsidR="00DC7153" w:rsidRPr="00D407BD">
        <w:rPr>
          <w:szCs w:val="24"/>
        </w:rPr>
        <w:t xml:space="preserve"> zidovudine</w:t>
      </w:r>
      <w:r w:rsidRPr="00D407BD">
        <w:rPr>
          <w:szCs w:val="24"/>
        </w:rPr>
        <w:t xml:space="preserve"> and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w:t>
      </w:r>
    </w:p>
    <w:p w:rsidR="0003333A" w:rsidRPr="00D407BD" w:rsidRDefault="0003333A" w:rsidP="0003333A">
      <w:pPr>
        <w:rPr>
          <w:szCs w:val="24"/>
        </w:rPr>
      </w:pPr>
    </w:p>
    <w:p w:rsidR="00046320" w:rsidRDefault="00077798" w:rsidP="0003333A">
      <w:pPr>
        <w:rPr>
          <w:szCs w:val="24"/>
        </w:rPr>
      </w:pPr>
      <w:r w:rsidRPr="00D601D2">
        <w:rPr>
          <w:szCs w:val="24"/>
        </w:rPr>
        <w:t xml:space="preserve">In drug interaction studies between </w:t>
      </w:r>
      <w:r>
        <w:rPr>
          <w:szCs w:val="24"/>
        </w:rPr>
        <w:t xml:space="preserve">regimens containing </w:t>
      </w:r>
      <w:proofErr w:type="spellStart"/>
      <w:r w:rsidRPr="00D601D2">
        <w:rPr>
          <w:szCs w:val="24"/>
        </w:rPr>
        <w:t>tenofovir</w:t>
      </w:r>
      <w:proofErr w:type="spellEnd"/>
      <w:r w:rsidRPr="00D601D2">
        <w:rPr>
          <w:szCs w:val="24"/>
        </w:rPr>
        <w:t xml:space="preserve"> </w:t>
      </w:r>
      <w:proofErr w:type="spellStart"/>
      <w:r w:rsidRPr="00D601D2">
        <w:rPr>
          <w:szCs w:val="24"/>
        </w:rPr>
        <w:t>disoproxil</w:t>
      </w:r>
      <w:proofErr w:type="spellEnd"/>
      <w:r w:rsidRPr="00D601D2">
        <w:rPr>
          <w:szCs w:val="24"/>
        </w:rPr>
        <w:t xml:space="preserve"> fumarate and HARVONI (</w:t>
      </w:r>
      <w:proofErr w:type="spellStart"/>
      <w:r w:rsidRPr="00D601D2">
        <w:rPr>
          <w:szCs w:val="24"/>
        </w:rPr>
        <w:t>ledipasvir</w:t>
      </w:r>
      <w:proofErr w:type="spellEnd"/>
      <w:r w:rsidRPr="00D601D2">
        <w:rPr>
          <w:szCs w:val="24"/>
        </w:rPr>
        <w:t>/</w:t>
      </w:r>
      <w:proofErr w:type="spellStart"/>
      <w:r w:rsidRPr="00D601D2">
        <w:rPr>
          <w:szCs w:val="24"/>
        </w:rPr>
        <w:t>sofosbuvir</w:t>
      </w:r>
      <w:proofErr w:type="spellEnd"/>
      <w:r w:rsidRPr="00D601D2">
        <w:rPr>
          <w:szCs w:val="24"/>
        </w:rPr>
        <w:t>)</w:t>
      </w:r>
      <w:r>
        <w:rPr>
          <w:szCs w:val="24"/>
        </w:rPr>
        <w:t xml:space="preserve"> and SOVALDI (</w:t>
      </w:r>
      <w:proofErr w:type="spellStart"/>
      <w:r w:rsidRPr="00D601D2">
        <w:rPr>
          <w:szCs w:val="24"/>
        </w:rPr>
        <w:t>sofosbuvir</w:t>
      </w:r>
      <w:proofErr w:type="spellEnd"/>
      <w:r>
        <w:rPr>
          <w:szCs w:val="24"/>
        </w:rPr>
        <w:t>)</w:t>
      </w:r>
      <w:r w:rsidRPr="00D601D2">
        <w:rPr>
          <w:szCs w:val="24"/>
        </w:rPr>
        <w:t xml:space="preserve">, increases in </w:t>
      </w:r>
      <w:proofErr w:type="spellStart"/>
      <w:r w:rsidRPr="00D601D2">
        <w:rPr>
          <w:szCs w:val="24"/>
        </w:rPr>
        <w:t>tenofovir</w:t>
      </w:r>
      <w:proofErr w:type="spellEnd"/>
      <w:r w:rsidRPr="00D601D2">
        <w:rPr>
          <w:szCs w:val="24"/>
        </w:rPr>
        <w:t xml:space="preserve"> exposure were observed (see PRECAUTIONS, Drug Interactions).</w:t>
      </w:r>
    </w:p>
    <w:p w:rsidR="00046320" w:rsidRDefault="00046320" w:rsidP="0003333A">
      <w:pPr>
        <w:rPr>
          <w:szCs w:val="24"/>
        </w:rPr>
      </w:pPr>
    </w:p>
    <w:p w:rsidR="00550215" w:rsidRPr="00D407BD" w:rsidRDefault="00550215" w:rsidP="0003333A">
      <w:pPr>
        <w:rPr>
          <w:szCs w:val="24"/>
        </w:rPr>
      </w:pPr>
      <w:r w:rsidRPr="00D407BD">
        <w:rPr>
          <w:szCs w:val="24"/>
        </w:rPr>
        <w:t xml:space="preserve">When </w:t>
      </w:r>
      <w:proofErr w:type="spellStart"/>
      <w:r w:rsidRPr="00D407BD">
        <w:rPr>
          <w:szCs w:val="24"/>
        </w:rPr>
        <w:t>unboosted</w:t>
      </w:r>
      <w:proofErr w:type="spellEnd"/>
      <w:r w:rsidRPr="00D407BD">
        <w:rPr>
          <w:szCs w:val="24"/>
        </w:rPr>
        <w:t xml:space="preserve"> </w:t>
      </w:r>
      <w:proofErr w:type="spellStart"/>
      <w:r w:rsidRPr="00D407BD">
        <w:rPr>
          <w:szCs w:val="24"/>
        </w:rPr>
        <w:t>atazanavir</w:t>
      </w:r>
      <w:proofErr w:type="spellEnd"/>
      <w:r w:rsidRPr="00D407BD">
        <w:rPr>
          <w:szCs w:val="24"/>
        </w:rPr>
        <w:t xml:space="preserve"> (400 mg) was co-administered with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w:t>
      </w:r>
      <w:proofErr w:type="spellStart"/>
      <w:r w:rsidRPr="00D407BD">
        <w:rPr>
          <w:szCs w:val="24"/>
        </w:rPr>
        <w:t>atazanavir</w:t>
      </w:r>
      <w:proofErr w:type="spellEnd"/>
      <w:r w:rsidRPr="00D407BD">
        <w:rPr>
          <w:szCs w:val="24"/>
        </w:rPr>
        <w:t xml:space="preserve"> increase</w:t>
      </w:r>
      <w:r w:rsidR="004D59B6" w:rsidRPr="00D407BD">
        <w:rPr>
          <w:szCs w:val="24"/>
        </w:rPr>
        <w:t>d</w:t>
      </w:r>
      <w:r w:rsidRPr="00D407BD">
        <w:rPr>
          <w:szCs w:val="24"/>
        </w:rPr>
        <w:t xml:space="preserve"> </w:t>
      </w:r>
      <w:proofErr w:type="spellStart"/>
      <w:r w:rsidRPr="00D407BD">
        <w:rPr>
          <w:szCs w:val="24"/>
        </w:rPr>
        <w:t>tenofovir</w:t>
      </w:r>
      <w:proofErr w:type="spellEnd"/>
      <w:r w:rsidRPr="00D407BD">
        <w:rPr>
          <w:szCs w:val="24"/>
        </w:rPr>
        <w:t xml:space="preserve"> </w:t>
      </w:r>
      <w:proofErr w:type="spellStart"/>
      <w:r w:rsidRPr="00D407BD">
        <w:rPr>
          <w:szCs w:val="24"/>
        </w:rPr>
        <w:t>C</w:t>
      </w:r>
      <w:r w:rsidRPr="00D407BD">
        <w:rPr>
          <w:szCs w:val="24"/>
          <w:vertAlign w:val="subscript"/>
        </w:rPr>
        <w:t>max</w:t>
      </w:r>
      <w:proofErr w:type="spellEnd"/>
      <w:r w:rsidR="004D59B6" w:rsidRPr="00D407BD">
        <w:rPr>
          <w:szCs w:val="24"/>
        </w:rPr>
        <w:t xml:space="preserve"> by 14% and AUC by 24%.  Similarly, </w:t>
      </w:r>
      <w:proofErr w:type="spellStart"/>
      <w:r w:rsidR="004D59B6" w:rsidRPr="00D407BD">
        <w:rPr>
          <w:szCs w:val="24"/>
        </w:rPr>
        <w:t>lopinavir</w:t>
      </w:r>
      <w:proofErr w:type="spellEnd"/>
      <w:r w:rsidR="004D59B6" w:rsidRPr="00D407BD">
        <w:rPr>
          <w:szCs w:val="24"/>
        </w:rPr>
        <w:t xml:space="preserve"> (400 mg)/ritonavir (100 mg) increased </w:t>
      </w:r>
      <w:proofErr w:type="spellStart"/>
      <w:r w:rsidR="004D59B6" w:rsidRPr="00D407BD">
        <w:rPr>
          <w:szCs w:val="24"/>
        </w:rPr>
        <w:t>tenofovir</w:t>
      </w:r>
      <w:proofErr w:type="spellEnd"/>
      <w:r w:rsidR="004D59B6" w:rsidRPr="00D407BD">
        <w:rPr>
          <w:szCs w:val="24"/>
        </w:rPr>
        <w:t xml:space="preserve"> AUC by 32%.  </w:t>
      </w:r>
    </w:p>
    <w:p w:rsidR="0003333A" w:rsidRPr="0064484A" w:rsidRDefault="0003333A" w:rsidP="0003333A">
      <w:pPr>
        <w:rPr>
          <w:sz w:val="22"/>
          <w:szCs w:val="22"/>
        </w:rPr>
      </w:pPr>
    </w:p>
    <w:p w:rsidR="00BD577A" w:rsidRDefault="003C70D1" w:rsidP="0003333A">
      <w:pPr>
        <w:rPr>
          <w:szCs w:val="24"/>
        </w:rPr>
      </w:pPr>
      <w:r w:rsidRPr="00D407BD">
        <w:rPr>
          <w:szCs w:val="24"/>
        </w:rPr>
        <w:t xml:space="preserve">Co-administration of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with </w:t>
      </w:r>
      <w:proofErr w:type="spellStart"/>
      <w:r w:rsidRPr="00D407BD">
        <w:rPr>
          <w:szCs w:val="24"/>
        </w:rPr>
        <w:t>didanosine</w:t>
      </w:r>
      <w:proofErr w:type="spellEnd"/>
      <w:r w:rsidRPr="00D407BD">
        <w:rPr>
          <w:szCs w:val="24"/>
        </w:rPr>
        <w:t xml:space="preserve"> </w:t>
      </w:r>
      <w:r w:rsidR="00DB2317" w:rsidRPr="00D407BD">
        <w:rPr>
          <w:szCs w:val="24"/>
        </w:rPr>
        <w:t xml:space="preserve">and </w:t>
      </w:r>
      <w:proofErr w:type="spellStart"/>
      <w:r w:rsidR="00DB2317" w:rsidRPr="00D407BD">
        <w:rPr>
          <w:szCs w:val="24"/>
        </w:rPr>
        <w:t>atazanavir</w:t>
      </w:r>
      <w:proofErr w:type="spellEnd"/>
      <w:r w:rsidR="00DB2317" w:rsidRPr="00D407BD">
        <w:rPr>
          <w:szCs w:val="24"/>
        </w:rPr>
        <w:t xml:space="preserve"> </w:t>
      </w:r>
      <w:r w:rsidRPr="00D407BD">
        <w:rPr>
          <w:szCs w:val="24"/>
        </w:rPr>
        <w:t xml:space="preserve">results in changes in the pharmacokinetics of </w:t>
      </w:r>
      <w:proofErr w:type="spellStart"/>
      <w:r w:rsidRPr="00D407BD">
        <w:rPr>
          <w:szCs w:val="24"/>
        </w:rPr>
        <w:t>didanosine</w:t>
      </w:r>
      <w:proofErr w:type="spellEnd"/>
      <w:r w:rsidRPr="00D407BD">
        <w:rPr>
          <w:szCs w:val="24"/>
        </w:rPr>
        <w:t xml:space="preserve"> </w:t>
      </w:r>
      <w:r w:rsidR="00DB2317" w:rsidRPr="00D407BD">
        <w:rPr>
          <w:szCs w:val="24"/>
        </w:rPr>
        <w:t xml:space="preserve">and </w:t>
      </w:r>
      <w:proofErr w:type="spellStart"/>
      <w:r w:rsidR="00DB2317" w:rsidRPr="00D407BD">
        <w:rPr>
          <w:szCs w:val="24"/>
        </w:rPr>
        <w:t>atazanavir</w:t>
      </w:r>
      <w:proofErr w:type="spellEnd"/>
      <w:r w:rsidR="00DB2317" w:rsidRPr="00D407BD">
        <w:rPr>
          <w:szCs w:val="24"/>
        </w:rPr>
        <w:t xml:space="preserve"> </w:t>
      </w:r>
      <w:r w:rsidRPr="00D407BD">
        <w:rPr>
          <w:szCs w:val="24"/>
        </w:rPr>
        <w:t xml:space="preserve">that may be of clinical significance.  Concomitant dosing of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with </w:t>
      </w:r>
      <w:proofErr w:type="spellStart"/>
      <w:r w:rsidRPr="00D407BD">
        <w:rPr>
          <w:szCs w:val="24"/>
        </w:rPr>
        <w:t>didanosine</w:t>
      </w:r>
      <w:proofErr w:type="spellEnd"/>
      <w:r w:rsidRPr="00D407BD">
        <w:rPr>
          <w:szCs w:val="24"/>
        </w:rPr>
        <w:t xml:space="preserve"> buffered tablets or </w:t>
      </w:r>
      <w:proofErr w:type="gramStart"/>
      <w:r w:rsidRPr="00D407BD">
        <w:rPr>
          <w:szCs w:val="24"/>
        </w:rPr>
        <w:t>enteric-coated capsules significantly increases</w:t>
      </w:r>
      <w:proofErr w:type="gramEnd"/>
      <w:r w:rsidRPr="00D407BD">
        <w:rPr>
          <w:szCs w:val="24"/>
        </w:rPr>
        <w:t xml:space="preserve"> the </w:t>
      </w:r>
      <w:proofErr w:type="spellStart"/>
      <w:r w:rsidRPr="00D407BD">
        <w:rPr>
          <w:szCs w:val="24"/>
        </w:rPr>
        <w:t>C</w:t>
      </w:r>
      <w:r w:rsidRPr="00D407BD">
        <w:rPr>
          <w:szCs w:val="24"/>
          <w:vertAlign w:val="subscript"/>
        </w:rPr>
        <w:t>max</w:t>
      </w:r>
      <w:proofErr w:type="spellEnd"/>
      <w:r w:rsidRPr="00D407BD">
        <w:rPr>
          <w:szCs w:val="24"/>
        </w:rPr>
        <w:t xml:space="preserve"> and AUC of </w:t>
      </w:r>
      <w:proofErr w:type="spellStart"/>
      <w:r w:rsidRPr="00D407BD">
        <w:rPr>
          <w:szCs w:val="24"/>
        </w:rPr>
        <w:t>didanosine</w:t>
      </w:r>
      <w:proofErr w:type="spellEnd"/>
      <w:r w:rsidRPr="00D407BD">
        <w:rPr>
          <w:szCs w:val="24"/>
        </w:rPr>
        <w:t xml:space="preserve">.  When </w:t>
      </w:r>
      <w:proofErr w:type="spellStart"/>
      <w:r w:rsidRPr="00D407BD">
        <w:rPr>
          <w:szCs w:val="24"/>
        </w:rPr>
        <w:t>didanosine</w:t>
      </w:r>
      <w:proofErr w:type="spellEnd"/>
      <w:r w:rsidRPr="00D407BD">
        <w:rPr>
          <w:szCs w:val="24"/>
        </w:rPr>
        <w:t xml:space="preserve"> 250 mg enteric-coated capsules were administered with </w:t>
      </w:r>
      <w:proofErr w:type="spellStart"/>
      <w:r w:rsidRPr="00D407BD">
        <w:rPr>
          <w:szCs w:val="24"/>
        </w:rPr>
        <w:t>tenofovir</w:t>
      </w:r>
      <w:proofErr w:type="spellEnd"/>
      <w:r w:rsidRPr="00D407BD">
        <w:rPr>
          <w:szCs w:val="24"/>
        </w:rPr>
        <w:t xml:space="preserve"> </w:t>
      </w:r>
      <w:proofErr w:type="spellStart"/>
      <w:r w:rsidRPr="00D407BD">
        <w:rPr>
          <w:szCs w:val="24"/>
        </w:rPr>
        <w:t>disoproxil</w:t>
      </w:r>
      <w:proofErr w:type="spellEnd"/>
      <w:r w:rsidRPr="00D407BD">
        <w:rPr>
          <w:szCs w:val="24"/>
        </w:rPr>
        <w:t xml:space="preserve"> fumarate, systemic exposures of </w:t>
      </w:r>
      <w:proofErr w:type="spellStart"/>
      <w:r w:rsidRPr="00D407BD">
        <w:rPr>
          <w:szCs w:val="24"/>
        </w:rPr>
        <w:t>didanosine</w:t>
      </w:r>
      <w:proofErr w:type="spellEnd"/>
      <w:r w:rsidRPr="00D407BD">
        <w:rPr>
          <w:szCs w:val="24"/>
        </w:rPr>
        <w:t xml:space="preserve"> were similar to those seen with the 400 mg enteric-coated capsules alone under fasted conditions.  The mechanism of this interaction is unknown.</w:t>
      </w:r>
      <w:r w:rsidR="00665271" w:rsidRPr="00D407BD">
        <w:rPr>
          <w:szCs w:val="24"/>
        </w:rPr>
        <w:t xml:space="preserve">  </w:t>
      </w:r>
      <w:proofErr w:type="spellStart"/>
      <w:r w:rsidR="00665271" w:rsidRPr="00D407BD">
        <w:rPr>
          <w:szCs w:val="24"/>
        </w:rPr>
        <w:t>Tenofovir</w:t>
      </w:r>
      <w:proofErr w:type="spellEnd"/>
      <w:r w:rsidR="00665271" w:rsidRPr="00D407BD">
        <w:rPr>
          <w:szCs w:val="24"/>
        </w:rPr>
        <w:t xml:space="preserve"> decreases </w:t>
      </w:r>
      <w:proofErr w:type="spellStart"/>
      <w:r w:rsidR="00665271" w:rsidRPr="00D407BD">
        <w:rPr>
          <w:szCs w:val="24"/>
        </w:rPr>
        <w:t>atazanavir</w:t>
      </w:r>
      <w:proofErr w:type="spellEnd"/>
      <w:r w:rsidR="00665271" w:rsidRPr="00D407BD">
        <w:rPr>
          <w:szCs w:val="24"/>
        </w:rPr>
        <w:t xml:space="preserve"> concentration.</w:t>
      </w:r>
      <w:r w:rsidR="00DA5725" w:rsidRPr="00D407BD">
        <w:rPr>
          <w:szCs w:val="24"/>
        </w:rPr>
        <w:t xml:space="preserve">  Table 2 </w:t>
      </w:r>
      <w:proofErr w:type="spellStart"/>
      <w:r w:rsidR="00665271" w:rsidRPr="00D407BD">
        <w:rPr>
          <w:szCs w:val="24"/>
        </w:rPr>
        <w:t>summarises</w:t>
      </w:r>
      <w:proofErr w:type="spellEnd"/>
      <w:r w:rsidR="00665271" w:rsidRPr="00D407BD">
        <w:rPr>
          <w:szCs w:val="24"/>
        </w:rPr>
        <w:t xml:space="preserve"> the effects of </w:t>
      </w:r>
      <w:proofErr w:type="spellStart"/>
      <w:r w:rsidR="00665271" w:rsidRPr="00D407BD">
        <w:rPr>
          <w:szCs w:val="24"/>
        </w:rPr>
        <w:t>tenofovir</w:t>
      </w:r>
      <w:proofErr w:type="spellEnd"/>
      <w:r w:rsidR="00665271" w:rsidRPr="00D407BD">
        <w:rPr>
          <w:szCs w:val="24"/>
        </w:rPr>
        <w:t xml:space="preserve"> </w:t>
      </w:r>
      <w:proofErr w:type="spellStart"/>
      <w:r w:rsidR="00665271" w:rsidRPr="00D407BD">
        <w:rPr>
          <w:szCs w:val="24"/>
        </w:rPr>
        <w:t>disoproxil</w:t>
      </w:r>
      <w:proofErr w:type="spellEnd"/>
      <w:r w:rsidR="00665271" w:rsidRPr="00D407BD">
        <w:rPr>
          <w:szCs w:val="24"/>
        </w:rPr>
        <w:t xml:space="preserve"> fumarate on the pharmacokinetics of </w:t>
      </w:r>
      <w:proofErr w:type="spellStart"/>
      <w:r w:rsidR="00665271" w:rsidRPr="00D407BD">
        <w:rPr>
          <w:szCs w:val="24"/>
        </w:rPr>
        <w:t>didanosine</w:t>
      </w:r>
      <w:proofErr w:type="spellEnd"/>
      <w:r w:rsidR="00665271" w:rsidRPr="00D407BD">
        <w:rPr>
          <w:szCs w:val="24"/>
        </w:rPr>
        <w:t xml:space="preserve"> and </w:t>
      </w:r>
      <w:proofErr w:type="spellStart"/>
      <w:r w:rsidR="00665271" w:rsidRPr="00D407BD">
        <w:rPr>
          <w:szCs w:val="24"/>
        </w:rPr>
        <w:t>atazanavir</w:t>
      </w:r>
      <w:proofErr w:type="spellEnd"/>
      <w:r w:rsidR="00665271" w:rsidRPr="00D407BD">
        <w:rPr>
          <w:szCs w:val="24"/>
        </w:rPr>
        <w:t>.</w:t>
      </w:r>
    </w:p>
    <w:p w:rsidR="00BD577A" w:rsidRDefault="00BD577A">
      <w:pPr>
        <w:jc w:val="left"/>
        <w:rPr>
          <w:szCs w:val="24"/>
        </w:rPr>
      </w:pPr>
      <w:r>
        <w:rPr>
          <w:szCs w:val="24"/>
        </w:rPr>
        <w:br w:type="page"/>
      </w:r>
    </w:p>
    <w:p w:rsidR="009B1C4F" w:rsidRPr="0064484A" w:rsidRDefault="00AE0118" w:rsidP="00F509F7">
      <w:pPr>
        <w:pStyle w:val="Caption"/>
        <w:ind w:left="1418" w:hanging="1418"/>
      </w:pPr>
      <w:bookmarkStart w:id="1" w:name="_Ref159392661"/>
      <w:proofErr w:type="gramStart"/>
      <w:r>
        <w:lastRenderedPageBreak/>
        <w:t xml:space="preserve">Table </w:t>
      </w:r>
      <w:r>
        <w:fldChar w:fldCharType="begin"/>
      </w:r>
      <w:r>
        <w:instrText xml:space="preserve"> SEQ Table \* ARABIC </w:instrText>
      </w:r>
      <w:r>
        <w:fldChar w:fldCharType="separate"/>
      </w:r>
      <w:r w:rsidR="00440D32">
        <w:rPr>
          <w:noProof/>
        </w:rPr>
        <w:t>2</w:t>
      </w:r>
      <w:r>
        <w:fldChar w:fldCharType="end"/>
      </w:r>
      <w:bookmarkEnd w:id="1"/>
      <w:r w:rsidR="009B1C4F" w:rsidRPr="0064484A">
        <w:t>.</w:t>
      </w:r>
      <w:proofErr w:type="gramEnd"/>
      <w:r w:rsidR="009B1C4F" w:rsidRPr="0064484A">
        <w:tab/>
        <w:t xml:space="preserve">Drug Interactions: Changes in Pharmacokinetic Parameters for </w:t>
      </w:r>
      <w:proofErr w:type="spellStart"/>
      <w:r w:rsidR="00541767" w:rsidRPr="0064484A">
        <w:t>Didanosine</w:t>
      </w:r>
      <w:proofErr w:type="spellEnd"/>
      <w:r w:rsidR="00541767" w:rsidRPr="0064484A">
        <w:t xml:space="preserve"> and </w:t>
      </w:r>
      <w:proofErr w:type="spellStart"/>
      <w:r w:rsidR="00541767" w:rsidRPr="0064484A">
        <w:t>Atazanavir</w:t>
      </w:r>
      <w:proofErr w:type="spellEnd"/>
      <w:r w:rsidR="009B1C4F" w:rsidRPr="0064484A">
        <w:t xml:space="preserve"> in the Presence of VIREAD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1980"/>
        <w:gridCol w:w="513"/>
        <w:gridCol w:w="1599"/>
        <w:gridCol w:w="1599"/>
        <w:gridCol w:w="1599"/>
      </w:tblGrid>
      <w:tr w:rsidR="009B1C4F" w:rsidRPr="00E7636B">
        <w:trPr>
          <w:cantSplit/>
        </w:trPr>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B1C4F" w:rsidRPr="00E7636B" w:rsidRDefault="009B1C4F">
            <w:pPr>
              <w:jc w:val="center"/>
              <w:rPr>
                <w:b/>
              </w:rPr>
            </w:pPr>
            <w:r w:rsidRPr="00E7636B">
              <w:rPr>
                <w:b/>
              </w:rPr>
              <w:t>Co-administered Drug</w:t>
            </w:r>
          </w:p>
        </w:tc>
        <w:tc>
          <w:tcPr>
            <w:tcW w:w="198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B1C4F" w:rsidRPr="00E7636B" w:rsidRDefault="009B1C4F">
            <w:pPr>
              <w:jc w:val="center"/>
              <w:rPr>
                <w:b/>
              </w:rPr>
            </w:pPr>
            <w:r w:rsidRPr="00E7636B">
              <w:rPr>
                <w:b/>
              </w:rPr>
              <w:t>Dose of Co-administered Drug (mg)</w:t>
            </w:r>
          </w:p>
        </w:tc>
        <w:tc>
          <w:tcPr>
            <w:tcW w:w="51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B1C4F" w:rsidRPr="00E7636B" w:rsidRDefault="009B1C4F">
            <w:pPr>
              <w:jc w:val="center"/>
              <w:rPr>
                <w:b/>
              </w:rPr>
            </w:pPr>
            <w:r w:rsidRPr="00E7636B">
              <w:rPr>
                <w:b/>
              </w:rPr>
              <w:t>N</w:t>
            </w:r>
          </w:p>
        </w:tc>
        <w:tc>
          <w:tcPr>
            <w:tcW w:w="479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9B1C4F" w:rsidRPr="008C3E6C" w:rsidRDefault="009B1C4F" w:rsidP="001E73C3">
            <w:pPr>
              <w:pStyle w:val="BodyText"/>
              <w:spacing w:before="60"/>
              <w:jc w:val="center"/>
              <w:rPr>
                <w:rFonts w:ascii="Times New Roman" w:hAnsi="Times New Roman"/>
                <w:sz w:val="24"/>
                <w:szCs w:val="24"/>
              </w:rPr>
            </w:pPr>
            <w:r w:rsidRPr="008C3E6C">
              <w:rPr>
                <w:rFonts w:ascii="Times New Roman" w:hAnsi="Times New Roman"/>
                <w:sz w:val="24"/>
                <w:szCs w:val="24"/>
              </w:rPr>
              <w:t>% Change of Co-administered Drug Pharmacokinetic Parameters</w:t>
            </w:r>
            <w:r w:rsidRPr="008C3E6C">
              <w:rPr>
                <w:rFonts w:ascii="Times New Roman" w:hAnsi="Times New Roman"/>
                <w:sz w:val="24"/>
                <w:szCs w:val="24"/>
                <w:vertAlign w:val="superscript"/>
              </w:rPr>
              <w:t>1</w:t>
            </w:r>
          </w:p>
          <w:p w:rsidR="009B1C4F" w:rsidRPr="00E7636B" w:rsidRDefault="009B1C4F">
            <w:pPr>
              <w:spacing w:after="60"/>
              <w:jc w:val="center"/>
              <w:rPr>
                <w:b/>
              </w:rPr>
            </w:pPr>
            <w:r w:rsidRPr="00E7636B">
              <w:rPr>
                <w:b/>
              </w:rPr>
              <w:t>(90% CI)</w:t>
            </w:r>
          </w:p>
        </w:tc>
      </w:tr>
      <w:tr w:rsidR="009B1C4F" w:rsidRPr="00E7636B">
        <w:trPr>
          <w:cantSplit/>
        </w:trPr>
        <w:tc>
          <w:tcPr>
            <w:tcW w:w="1800"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1C4F" w:rsidRPr="00E7636B" w:rsidRDefault="009B1C4F">
            <w:pPr>
              <w:rPr>
                <w:b/>
              </w:rPr>
            </w:pPr>
          </w:p>
        </w:tc>
        <w:tc>
          <w:tcPr>
            <w:tcW w:w="1980"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1C4F" w:rsidRPr="00E7636B" w:rsidRDefault="009B1C4F">
            <w:pPr>
              <w:rPr>
                <w:b/>
              </w:rPr>
            </w:pPr>
          </w:p>
        </w:tc>
        <w:tc>
          <w:tcPr>
            <w:tcW w:w="513" w:type="dxa"/>
            <w:vMerge/>
            <w:tcBorders>
              <w:top w:val="single" w:sz="6" w:space="0" w:color="auto"/>
              <w:left w:val="single" w:sz="6" w:space="0" w:color="auto"/>
              <w:bottom w:val="single" w:sz="6" w:space="0" w:color="auto"/>
              <w:right w:val="single" w:sz="6" w:space="0" w:color="auto"/>
            </w:tcBorders>
            <w:shd w:val="clear" w:color="auto" w:fill="auto"/>
            <w:vAlign w:val="center"/>
          </w:tcPr>
          <w:p w:rsidR="009B1C4F" w:rsidRPr="00E7636B" w:rsidRDefault="009B1C4F">
            <w:pPr>
              <w:rPr>
                <w:b/>
              </w:rPr>
            </w:pP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9B1C4F" w:rsidRPr="00E7636B" w:rsidRDefault="009B1C4F">
            <w:pPr>
              <w:spacing w:before="60" w:after="60"/>
              <w:jc w:val="center"/>
              <w:rPr>
                <w:b/>
              </w:rPr>
            </w:pPr>
            <w:proofErr w:type="spellStart"/>
            <w:r w:rsidRPr="00E7636B">
              <w:rPr>
                <w:b/>
              </w:rPr>
              <w:t>C</w:t>
            </w:r>
            <w:r w:rsidRPr="00E7636B">
              <w:rPr>
                <w:b/>
                <w:vertAlign w:val="subscript"/>
              </w:rPr>
              <w:t>max</w:t>
            </w:r>
            <w:proofErr w:type="spellEnd"/>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9B1C4F" w:rsidRPr="00E7636B" w:rsidRDefault="009B1C4F">
            <w:pPr>
              <w:spacing w:before="60" w:after="60"/>
              <w:jc w:val="center"/>
              <w:rPr>
                <w:b/>
              </w:rPr>
            </w:pPr>
            <w:r w:rsidRPr="00E7636B">
              <w:rPr>
                <w:b/>
              </w:rPr>
              <w:t>AUC</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9B1C4F" w:rsidRPr="00E7636B" w:rsidRDefault="009B1C4F">
            <w:pPr>
              <w:spacing w:before="60" w:after="60"/>
              <w:jc w:val="center"/>
              <w:rPr>
                <w:b/>
              </w:rPr>
            </w:pPr>
            <w:proofErr w:type="spellStart"/>
            <w:r w:rsidRPr="00E7636B">
              <w:rPr>
                <w:b/>
              </w:rPr>
              <w:t>C</w:t>
            </w:r>
            <w:r w:rsidRPr="00E7636B">
              <w:rPr>
                <w:b/>
                <w:vertAlign w:val="subscript"/>
              </w:rPr>
              <w:t>min</w:t>
            </w:r>
            <w:proofErr w:type="spellEnd"/>
          </w:p>
        </w:tc>
      </w:tr>
      <w:tr w:rsidR="00767354" w:rsidRPr="00E7636B">
        <w:trPr>
          <w:cantSplit/>
        </w:trPr>
        <w:tc>
          <w:tcPr>
            <w:tcW w:w="1800" w:type="dxa"/>
            <w:vMerge w:val="restart"/>
            <w:tcBorders>
              <w:top w:val="single" w:sz="6" w:space="0" w:color="auto"/>
              <w:left w:val="single" w:sz="6" w:space="0" w:color="auto"/>
              <w:right w:val="single" w:sz="6" w:space="0" w:color="auto"/>
            </w:tcBorders>
            <w:shd w:val="clear" w:color="auto" w:fill="auto"/>
          </w:tcPr>
          <w:p w:rsidR="00767354" w:rsidRPr="008C3E6C" w:rsidRDefault="00767354" w:rsidP="0090589F">
            <w:pPr>
              <w:spacing w:before="60" w:after="60"/>
              <w:jc w:val="center"/>
              <w:rPr>
                <w:sz w:val="22"/>
                <w:szCs w:val="22"/>
              </w:rPr>
            </w:pPr>
            <w:r w:rsidRPr="008C3E6C">
              <w:rPr>
                <w:sz w:val="22"/>
                <w:szCs w:val="22"/>
              </w:rPr>
              <w:t>Didanosine</w:t>
            </w:r>
            <w:r w:rsidRPr="008C3E6C">
              <w:rPr>
                <w:sz w:val="22"/>
                <w:szCs w:val="22"/>
                <w:vertAlign w:val="superscript"/>
              </w:rPr>
              <w:t>3</w:t>
            </w:r>
            <w:r w:rsidRPr="008C3E6C">
              <w:rPr>
                <w:sz w:val="22"/>
                <w:szCs w:val="22"/>
              </w:rPr>
              <w:br/>
              <w:t>enteric-coated capsules</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767354" w:rsidRPr="008C3E6C" w:rsidRDefault="00767354">
            <w:pPr>
              <w:spacing w:after="60"/>
              <w:jc w:val="center"/>
              <w:rPr>
                <w:sz w:val="22"/>
                <w:szCs w:val="22"/>
              </w:rPr>
            </w:pPr>
            <w:r w:rsidRPr="008C3E6C">
              <w:rPr>
                <w:sz w:val="22"/>
                <w:szCs w:val="22"/>
              </w:rPr>
              <w:t>400 once /</w:t>
            </w:r>
            <w:r w:rsidRPr="008C3E6C">
              <w:rPr>
                <w:sz w:val="22"/>
                <w:szCs w:val="22"/>
              </w:rPr>
              <w:br/>
              <w:t>with or without food</w:t>
            </w:r>
            <w:r w:rsidRPr="008C3E6C">
              <w:rPr>
                <w:sz w:val="22"/>
                <w:szCs w:val="22"/>
                <w:vertAlign w:val="superscript"/>
              </w:rPr>
              <w:t>2</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jc w:val="center"/>
              <w:rPr>
                <w:sz w:val="22"/>
                <w:szCs w:val="22"/>
              </w:rPr>
            </w:pPr>
            <w:r w:rsidRPr="008C3E6C">
              <w:rPr>
                <w:sz w:val="22"/>
                <w:szCs w:val="22"/>
              </w:rPr>
              <w:t>26</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rsidP="00F01FA6">
            <w:pPr>
              <w:spacing w:before="20" w:after="20"/>
              <w:jc w:val="center"/>
              <w:rPr>
                <w:sz w:val="22"/>
                <w:szCs w:val="22"/>
              </w:rPr>
            </w:pPr>
            <w:r w:rsidRPr="008C3E6C">
              <w:rPr>
                <w:sz w:val="22"/>
                <w:szCs w:val="22"/>
              </w:rPr>
              <w:sym w:font="Symbol" w:char="00AD"/>
            </w:r>
            <w:r w:rsidRPr="008C3E6C">
              <w:rPr>
                <w:sz w:val="22"/>
                <w:szCs w:val="22"/>
              </w:rPr>
              <w:t xml:space="preserve">  48</w:t>
            </w:r>
            <w:r w:rsidRPr="008C3E6C">
              <w:rPr>
                <w:sz w:val="22"/>
                <w:szCs w:val="22"/>
              </w:rPr>
              <w:sym w:font="Symbol" w:char="002D"/>
            </w:r>
            <w:r w:rsidRPr="008C3E6C">
              <w:rPr>
                <w:sz w:val="22"/>
                <w:szCs w:val="22"/>
              </w:rPr>
              <w:t>64%</w:t>
            </w:r>
          </w:p>
          <w:p w:rsidR="00767354" w:rsidRPr="008C3E6C" w:rsidRDefault="00767354">
            <w:pPr>
              <w:spacing w:before="60" w:after="60"/>
              <w:jc w:val="center"/>
              <w:rPr>
                <w:sz w:val="22"/>
                <w:szCs w:val="22"/>
              </w:rPr>
            </w:pPr>
            <w:r w:rsidRPr="008C3E6C">
              <w:rPr>
                <w:sz w:val="22"/>
                <w:szCs w:val="22"/>
              </w:rPr>
              <w:t>(</w:t>
            </w:r>
            <w:r w:rsidRPr="008C3E6C">
              <w:rPr>
                <w:sz w:val="22"/>
                <w:szCs w:val="22"/>
              </w:rPr>
              <w:sym w:font="Symbol" w:char="00AD"/>
            </w:r>
            <w:r w:rsidRPr="008C3E6C">
              <w:rPr>
                <w:sz w:val="22"/>
                <w:szCs w:val="22"/>
              </w:rPr>
              <w:t xml:space="preserve"> 25</w:t>
            </w:r>
            <w:r w:rsidRPr="008C3E6C">
              <w:rPr>
                <w:sz w:val="22"/>
                <w:szCs w:val="22"/>
              </w:rPr>
              <w:sym w:font="Symbol" w:char="002D"/>
            </w:r>
            <w:r w:rsidRPr="008C3E6C">
              <w:rPr>
                <w:sz w:val="22"/>
                <w:szCs w:val="22"/>
              </w:rPr>
              <w:sym w:font="Symbol" w:char="00AD"/>
            </w:r>
            <w:r w:rsidRPr="008C3E6C">
              <w:rPr>
                <w:sz w:val="22"/>
                <w:szCs w:val="22"/>
              </w:rPr>
              <w:t xml:space="preserve"> 89)</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rsidP="00F01FA6">
            <w:pPr>
              <w:spacing w:before="20" w:after="20"/>
              <w:jc w:val="center"/>
              <w:rPr>
                <w:sz w:val="22"/>
                <w:szCs w:val="22"/>
              </w:rPr>
            </w:pPr>
            <w:r w:rsidRPr="008C3E6C">
              <w:rPr>
                <w:sz w:val="22"/>
                <w:szCs w:val="22"/>
              </w:rPr>
              <w:sym w:font="Symbol" w:char="00AD"/>
            </w:r>
            <w:r w:rsidRPr="008C3E6C">
              <w:rPr>
                <w:sz w:val="22"/>
                <w:szCs w:val="22"/>
              </w:rPr>
              <w:t xml:space="preserve">  48</w:t>
            </w:r>
            <w:r w:rsidRPr="008C3E6C">
              <w:rPr>
                <w:sz w:val="22"/>
                <w:szCs w:val="22"/>
              </w:rPr>
              <w:sym w:font="Symbol" w:char="002D"/>
            </w:r>
            <w:r w:rsidRPr="008C3E6C">
              <w:rPr>
                <w:sz w:val="22"/>
                <w:szCs w:val="22"/>
              </w:rPr>
              <w:t>60%</w:t>
            </w:r>
          </w:p>
          <w:p w:rsidR="00767354" w:rsidRPr="008C3E6C" w:rsidRDefault="00767354">
            <w:pPr>
              <w:spacing w:before="60" w:after="60"/>
              <w:jc w:val="center"/>
              <w:rPr>
                <w:sz w:val="22"/>
                <w:szCs w:val="22"/>
              </w:rPr>
            </w:pPr>
            <w:r w:rsidRPr="008C3E6C">
              <w:rPr>
                <w:sz w:val="22"/>
                <w:szCs w:val="22"/>
              </w:rPr>
              <w:t>(</w:t>
            </w:r>
            <w:r w:rsidRPr="008C3E6C">
              <w:rPr>
                <w:sz w:val="22"/>
                <w:szCs w:val="22"/>
              </w:rPr>
              <w:sym w:font="Symbol" w:char="00AD"/>
            </w:r>
            <w:r w:rsidRPr="008C3E6C">
              <w:rPr>
                <w:sz w:val="22"/>
                <w:szCs w:val="22"/>
              </w:rPr>
              <w:t xml:space="preserve"> 31</w:t>
            </w:r>
            <w:r w:rsidRPr="008C3E6C">
              <w:rPr>
                <w:sz w:val="22"/>
                <w:szCs w:val="22"/>
              </w:rPr>
              <w:sym w:font="Symbol" w:char="002D"/>
            </w:r>
            <w:r w:rsidRPr="008C3E6C">
              <w:rPr>
                <w:sz w:val="22"/>
                <w:szCs w:val="22"/>
              </w:rPr>
              <w:sym w:font="Symbol" w:char="00AD"/>
            </w:r>
            <w:r w:rsidRPr="008C3E6C">
              <w:rPr>
                <w:sz w:val="22"/>
                <w:szCs w:val="22"/>
              </w:rPr>
              <w:t xml:space="preserve"> 79)</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jc w:val="center"/>
              <w:rPr>
                <w:sz w:val="22"/>
                <w:szCs w:val="22"/>
              </w:rPr>
            </w:pPr>
            <w:r w:rsidRPr="008C3E6C">
              <w:rPr>
                <w:sz w:val="22"/>
                <w:szCs w:val="22"/>
              </w:rPr>
              <w:t>NC</w:t>
            </w:r>
          </w:p>
        </w:tc>
      </w:tr>
      <w:tr w:rsidR="00767354" w:rsidRPr="00E7636B">
        <w:trPr>
          <w:cantSplit/>
        </w:trPr>
        <w:tc>
          <w:tcPr>
            <w:tcW w:w="1800" w:type="dxa"/>
            <w:vMerge/>
            <w:tcBorders>
              <w:left w:val="single" w:sz="6" w:space="0" w:color="auto"/>
              <w:right w:val="single" w:sz="6" w:space="0" w:color="auto"/>
            </w:tcBorders>
            <w:shd w:val="clear" w:color="auto" w:fill="auto"/>
            <w:vAlign w:val="center"/>
          </w:tcPr>
          <w:p w:rsidR="00767354" w:rsidRPr="008C3E6C" w:rsidRDefault="00767354">
            <w:pPr>
              <w:spacing w:before="60" w:after="60"/>
              <w:rPr>
                <w:sz w:val="22"/>
                <w:szCs w:val="22"/>
                <w:u w:val="single"/>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jc w:val="center"/>
              <w:rPr>
                <w:sz w:val="22"/>
                <w:szCs w:val="22"/>
                <w:u w:val="single"/>
              </w:rPr>
            </w:pPr>
            <w:r w:rsidRPr="008C3E6C">
              <w:rPr>
                <w:sz w:val="22"/>
                <w:szCs w:val="22"/>
              </w:rPr>
              <w:t xml:space="preserve">250 once / Simultaneously with </w:t>
            </w:r>
            <w:proofErr w:type="spellStart"/>
            <w:r w:rsidRPr="008C3E6C">
              <w:rPr>
                <w:sz w:val="22"/>
                <w:szCs w:val="22"/>
              </w:rPr>
              <w:t>tenofovir</w:t>
            </w:r>
            <w:proofErr w:type="spellEnd"/>
            <w:r w:rsidRPr="008C3E6C">
              <w:rPr>
                <w:sz w:val="22"/>
                <w:szCs w:val="22"/>
              </w:rPr>
              <w:t xml:space="preserve"> DF, fasted</w:t>
            </w:r>
            <w:r w:rsidRPr="008C3E6C">
              <w:rPr>
                <w:sz w:val="22"/>
                <w:szCs w:val="22"/>
                <w:vertAlign w:val="superscript"/>
              </w:rPr>
              <w:t>4</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jc w:val="center"/>
              <w:rPr>
                <w:sz w:val="22"/>
                <w:szCs w:val="22"/>
                <w:u w:val="single"/>
              </w:rPr>
            </w:pPr>
            <w:r w:rsidRPr="008C3E6C">
              <w:rPr>
                <w:sz w:val="22"/>
                <w:szCs w:val="22"/>
              </w:rPr>
              <w:t>28</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jc w:val="center"/>
              <w:rPr>
                <w:noProof/>
                <w:sz w:val="22"/>
                <w:szCs w:val="22"/>
                <w:u w:val="single"/>
              </w:rPr>
            </w:pPr>
            <w:r w:rsidRPr="008C3E6C">
              <w:rPr>
                <w:noProof/>
                <w:sz w:val="22"/>
                <w:szCs w:val="22"/>
              </w:rPr>
              <w:sym w:font="Wingdings" w:char="00F3"/>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rsidP="00F01FA6">
            <w:pPr>
              <w:spacing w:before="20" w:after="20"/>
              <w:jc w:val="center"/>
              <w:rPr>
                <w:sz w:val="22"/>
                <w:szCs w:val="22"/>
              </w:rPr>
            </w:pPr>
            <w:r w:rsidRPr="008C3E6C">
              <w:rPr>
                <w:sz w:val="22"/>
                <w:szCs w:val="22"/>
              </w:rPr>
              <w:sym w:font="Symbol" w:char="00AD"/>
            </w:r>
            <w:r w:rsidRPr="008C3E6C">
              <w:rPr>
                <w:sz w:val="22"/>
                <w:szCs w:val="22"/>
              </w:rPr>
              <w:t xml:space="preserve">  14</w:t>
            </w:r>
          </w:p>
          <w:p w:rsidR="00767354" w:rsidRPr="008C3E6C" w:rsidRDefault="00767354">
            <w:pPr>
              <w:spacing w:before="60" w:after="60"/>
              <w:jc w:val="center"/>
              <w:rPr>
                <w:noProof/>
                <w:sz w:val="22"/>
                <w:szCs w:val="22"/>
                <w:u w:val="single"/>
              </w:rPr>
            </w:pPr>
            <w:r w:rsidRPr="008C3E6C">
              <w:rPr>
                <w:sz w:val="22"/>
                <w:szCs w:val="22"/>
              </w:rPr>
              <w:t>(0</w:t>
            </w:r>
            <w:r w:rsidRPr="008C3E6C">
              <w:rPr>
                <w:sz w:val="22"/>
                <w:szCs w:val="22"/>
              </w:rPr>
              <w:sym w:font="Symbol" w:char="002D"/>
            </w:r>
            <w:r w:rsidRPr="008C3E6C">
              <w:rPr>
                <w:sz w:val="22"/>
                <w:szCs w:val="22"/>
              </w:rPr>
              <w:sym w:font="Symbol" w:char="00AD"/>
            </w:r>
            <w:r w:rsidRPr="008C3E6C">
              <w:rPr>
                <w:sz w:val="22"/>
                <w:szCs w:val="22"/>
              </w:rPr>
              <w:t xml:space="preserve"> 31)</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jc w:val="center"/>
              <w:rPr>
                <w:noProof/>
                <w:sz w:val="22"/>
                <w:szCs w:val="22"/>
                <w:u w:val="single"/>
              </w:rPr>
            </w:pPr>
            <w:r w:rsidRPr="008C3E6C">
              <w:rPr>
                <w:sz w:val="22"/>
                <w:szCs w:val="22"/>
              </w:rPr>
              <w:t>NC</w:t>
            </w:r>
          </w:p>
        </w:tc>
      </w:tr>
      <w:tr w:rsidR="00767354" w:rsidRPr="00E7636B">
        <w:trPr>
          <w:cantSplit/>
        </w:trPr>
        <w:tc>
          <w:tcPr>
            <w:tcW w:w="1800" w:type="dxa"/>
            <w:vMerge/>
            <w:tcBorders>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jc w:val="center"/>
              <w:rPr>
                <w:sz w:val="22"/>
                <w:szCs w:val="22"/>
              </w:rPr>
            </w:pPr>
            <w:r w:rsidRPr="008C3E6C">
              <w:rPr>
                <w:sz w:val="22"/>
                <w:szCs w:val="22"/>
              </w:rPr>
              <w:t xml:space="preserve">250 once / Simultaneously with </w:t>
            </w:r>
            <w:proofErr w:type="spellStart"/>
            <w:r w:rsidRPr="008C3E6C">
              <w:rPr>
                <w:sz w:val="22"/>
                <w:szCs w:val="22"/>
              </w:rPr>
              <w:t>tenofovir</w:t>
            </w:r>
            <w:proofErr w:type="spellEnd"/>
            <w:r w:rsidRPr="008C3E6C">
              <w:rPr>
                <w:sz w:val="22"/>
                <w:szCs w:val="22"/>
              </w:rPr>
              <w:t xml:space="preserve"> DF, fed</w:t>
            </w:r>
            <w:r w:rsidRPr="008C3E6C">
              <w:rPr>
                <w:sz w:val="22"/>
                <w:szCs w:val="22"/>
                <w:vertAlign w:val="superscript"/>
              </w:rPr>
              <w:t>2, 4</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jc w:val="center"/>
              <w:rPr>
                <w:sz w:val="22"/>
                <w:szCs w:val="22"/>
              </w:rPr>
            </w:pPr>
            <w:r w:rsidRPr="008C3E6C">
              <w:rPr>
                <w:sz w:val="22"/>
                <w:szCs w:val="22"/>
              </w:rPr>
              <w:t>28</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rsidP="00F01FA6">
            <w:pPr>
              <w:spacing w:before="20" w:after="20"/>
              <w:jc w:val="center"/>
              <w:rPr>
                <w:sz w:val="22"/>
                <w:szCs w:val="22"/>
              </w:rPr>
            </w:pPr>
            <w:r w:rsidRPr="008C3E6C">
              <w:rPr>
                <w:sz w:val="22"/>
                <w:szCs w:val="22"/>
              </w:rPr>
              <w:sym w:font="Symbol" w:char="00AF"/>
            </w:r>
            <w:r w:rsidRPr="008C3E6C">
              <w:rPr>
                <w:sz w:val="22"/>
                <w:szCs w:val="22"/>
              </w:rPr>
              <w:t xml:space="preserve">  29</w:t>
            </w:r>
          </w:p>
          <w:p w:rsidR="00767354" w:rsidRPr="008C3E6C" w:rsidRDefault="00767354">
            <w:pPr>
              <w:spacing w:before="60" w:after="60"/>
              <w:jc w:val="center"/>
              <w:rPr>
                <w:noProof/>
                <w:sz w:val="22"/>
                <w:szCs w:val="22"/>
              </w:rPr>
            </w:pPr>
            <w:r w:rsidRPr="008C3E6C">
              <w:rPr>
                <w:sz w:val="22"/>
                <w:szCs w:val="22"/>
              </w:rPr>
              <w:t>(</w:t>
            </w:r>
            <w:r w:rsidRPr="008C3E6C">
              <w:rPr>
                <w:sz w:val="22"/>
                <w:szCs w:val="22"/>
              </w:rPr>
              <w:sym w:font="Symbol" w:char="00AF"/>
            </w:r>
            <w:r w:rsidRPr="008C3E6C">
              <w:rPr>
                <w:sz w:val="22"/>
                <w:szCs w:val="22"/>
              </w:rPr>
              <w:t xml:space="preserve">  39</w:t>
            </w:r>
            <w:r w:rsidRPr="008C3E6C">
              <w:rPr>
                <w:sz w:val="22"/>
                <w:szCs w:val="22"/>
              </w:rPr>
              <w:sym w:font="Symbol" w:char="002D"/>
            </w:r>
            <w:r w:rsidRPr="008C3E6C">
              <w:rPr>
                <w:sz w:val="22"/>
                <w:szCs w:val="22"/>
              </w:rPr>
              <w:sym w:font="Symbol" w:char="00AF"/>
            </w:r>
            <w:r w:rsidRPr="008C3E6C">
              <w:rPr>
                <w:sz w:val="22"/>
                <w:szCs w:val="22"/>
              </w:rPr>
              <w:t xml:space="preserve">  18)</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rsidP="00F01FA6">
            <w:pPr>
              <w:spacing w:before="20" w:after="20"/>
              <w:jc w:val="center"/>
              <w:rPr>
                <w:sz w:val="22"/>
                <w:szCs w:val="22"/>
              </w:rPr>
            </w:pPr>
            <w:r w:rsidRPr="008C3E6C">
              <w:rPr>
                <w:sz w:val="22"/>
                <w:szCs w:val="22"/>
              </w:rPr>
              <w:sym w:font="Symbol" w:char="00AF"/>
            </w:r>
            <w:r w:rsidRPr="008C3E6C">
              <w:rPr>
                <w:sz w:val="22"/>
                <w:szCs w:val="22"/>
              </w:rPr>
              <w:t xml:space="preserve">  11</w:t>
            </w:r>
          </w:p>
          <w:p w:rsidR="00767354" w:rsidRPr="008C3E6C" w:rsidRDefault="00767354">
            <w:pPr>
              <w:spacing w:before="60" w:after="60"/>
              <w:jc w:val="center"/>
              <w:rPr>
                <w:noProof/>
                <w:sz w:val="22"/>
                <w:szCs w:val="22"/>
              </w:rPr>
            </w:pPr>
            <w:r w:rsidRPr="008C3E6C">
              <w:rPr>
                <w:sz w:val="22"/>
                <w:szCs w:val="22"/>
              </w:rPr>
              <w:t>(</w:t>
            </w:r>
            <w:r w:rsidRPr="008C3E6C">
              <w:rPr>
                <w:sz w:val="22"/>
                <w:szCs w:val="22"/>
              </w:rPr>
              <w:sym w:font="Symbol" w:char="00AF"/>
            </w:r>
            <w:r w:rsidRPr="008C3E6C">
              <w:rPr>
                <w:sz w:val="22"/>
                <w:szCs w:val="22"/>
              </w:rPr>
              <w:t xml:space="preserve"> 23</w:t>
            </w:r>
            <w:r w:rsidRPr="008C3E6C">
              <w:rPr>
                <w:sz w:val="22"/>
                <w:szCs w:val="22"/>
              </w:rPr>
              <w:sym w:font="Symbol" w:char="002D"/>
            </w:r>
            <w:r w:rsidRPr="008C3E6C">
              <w:rPr>
                <w:sz w:val="22"/>
                <w:szCs w:val="22"/>
              </w:rPr>
              <w:sym w:font="Symbol" w:char="00AD"/>
            </w:r>
            <w:r w:rsidRPr="008C3E6C">
              <w:rPr>
                <w:sz w:val="22"/>
                <w:szCs w:val="22"/>
              </w:rPr>
              <w:t xml:space="preserve"> 2)</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jc w:val="center"/>
              <w:rPr>
                <w:noProof/>
                <w:sz w:val="22"/>
                <w:szCs w:val="22"/>
              </w:rPr>
            </w:pPr>
            <w:r w:rsidRPr="008C3E6C">
              <w:rPr>
                <w:sz w:val="22"/>
                <w:szCs w:val="22"/>
              </w:rPr>
              <w:t>NC</w:t>
            </w:r>
          </w:p>
        </w:tc>
      </w:tr>
      <w:tr w:rsidR="00767354" w:rsidRPr="00E7636B">
        <w:trPr>
          <w:cantSplit/>
        </w:trPr>
        <w:tc>
          <w:tcPr>
            <w:tcW w:w="1800" w:type="dxa"/>
            <w:vMerge w:val="restart"/>
            <w:tcBorders>
              <w:top w:val="single" w:sz="6" w:space="0" w:color="auto"/>
              <w:left w:val="single" w:sz="6" w:space="0" w:color="auto"/>
              <w:right w:val="single" w:sz="6" w:space="0" w:color="auto"/>
            </w:tcBorders>
            <w:shd w:val="clear" w:color="auto" w:fill="auto"/>
            <w:vAlign w:val="center"/>
          </w:tcPr>
          <w:p w:rsidR="00767354" w:rsidRPr="008C3E6C" w:rsidRDefault="00767354">
            <w:pPr>
              <w:spacing w:before="60" w:after="60"/>
              <w:rPr>
                <w:sz w:val="22"/>
                <w:szCs w:val="22"/>
              </w:rPr>
            </w:pPr>
            <w:r w:rsidRPr="008C3E6C">
              <w:rPr>
                <w:sz w:val="22"/>
                <w:szCs w:val="22"/>
              </w:rPr>
              <w:t>Atazanavir</w:t>
            </w:r>
            <w:r w:rsidRPr="008C3E6C">
              <w:rPr>
                <w:sz w:val="22"/>
                <w:szCs w:val="22"/>
                <w:vertAlign w:val="superscript"/>
              </w:rPr>
              <w:t>5</w:t>
            </w:r>
          </w:p>
          <w:p w:rsidR="00767354" w:rsidRPr="008C3E6C" w:rsidRDefault="00767354" w:rsidP="00767354">
            <w:pPr>
              <w:spacing w:before="60" w:after="60"/>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jc w:val="center"/>
              <w:rPr>
                <w:sz w:val="22"/>
                <w:szCs w:val="22"/>
              </w:rPr>
            </w:pPr>
            <w:r w:rsidRPr="008C3E6C">
              <w:rPr>
                <w:sz w:val="22"/>
                <w:szCs w:val="22"/>
              </w:rPr>
              <w:t>400 once daily</w:t>
            </w:r>
          </w:p>
          <w:p w:rsidR="00767354" w:rsidRPr="008C3E6C" w:rsidRDefault="00767354">
            <w:pPr>
              <w:spacing w:before="60" w:after="60"/>
              <w:jc w:val="center"/>
              <w:rPr>
                <w:sz w:val="22"/>
                <w:szCs w:val="22"/>
              </w:rPr>
            </w:pPr>
            <w:r w:rsidRPr="008C3E6C">
              <w:rPr>
                <w:sz w:val="22"/>
                <w:szCs w:val="22"/>
              </w:rPr>
              <w:t>x 14 days</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jc w:val="center"/>
              <w:rPr>
                <w:sz w:val="22"/>
                <w:szCs w:val="22"/>
              </w:rPr>
            </w:pPr>
            <w:r w:rsidRPr="008C3E6C">
              <w:rPr>
                <w:sz w:val="22"/>
                <w:szCs w:val="22"/>
              </w:rPr>
              <w:t>34</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jc w:val="center"/>
              <w:rPr>
                <w:sz w:val="22"/>
                <w:szCs w:val="22"/>
              </w:rPr>
            </w:pPr>
            <w:r w:rsidRPr="008C3E6C">
              <w:rPr>
                <w:sz w:val="22"/>
                <w:szCs w:val="22"/>
              </w:rPr>
              <w:sym w:font="Symbol" w:char="00AF"/>
            </w:r>
            <w:r w:rsidRPr="008C3E6C">
              <w:rPr>
                <w:sz w:val="22"/>
                <w:szCs w:val="22"/>
              </w:rPr>
              <w:t xml:space="preserve"> 21</w:t>
            </w:r>
          </w:p>
          <w:p w:rsidR="00767354" w:rsidRPr="008C3E6C" w:rsidRDefault="00767354">
            <w:pPr>
              <w:spacing w:before="60" w:after="60"/>
              <w:jc w:val="center"/>
              <w:rPr>
                <w:noProof/>
                <w:sz w:val="22"/>
                <w:szCs w:val="22"/>
              </w:rPr>
            </w:pPr>
            <w:r w:rsidRPr="008C3E6C">
              <w:rPr>
                <w:sz w:val="22"/>
                <w:szCs w:val="22"/>
              </w:rPr>
              <w:t>(</w:t>
            </w:r>
            <w:r w:rsidRPr="008C3E6C">
              <w:rPr>
                <w:sz w:val="22"/>
                <w:szCs w:val="22"/>
              </w:rPr>
              <w:sym w:font="Symbol" w:char="00AF"/>
            </w:r>
            <w:r w:rsidRPr="008C3E6C">
              <w:rPr>
                <w:sz w:val="22"/>
                <w:szCs w:val="22"/>
              </w:rPr>
              <w:t xml:space="preserve"> 27 to </w:t>
            </w:r>
            <w:r w:rsidRPr="008C3E6C">
              <w:rPr>
                <w:sz w:val="22"/>
                <w:szCs w:val="22"/>
              </w:rPr>
              <w:sym w:font="Symbol" w:char="00AF"/>
            </w:r>
            <w:r w:rsidRPr="008C3E6C">
              <w:rPr>
                <w:sz w:val="22"/>
                <w:szCs w:val="22"/>
              </w:rPr>
              <w:t xml:space="preserve"> 14)</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jc w:val="center"/>
              <w:rPr>
                <w:sz w:val="22"/>
                <w:szCs w:val="22"/>
              </w:rPr>
            </w:pPr>
            <w:r w:rsidRPr="008C3E6C">
              <w:rPr>
                <w:sz w:val="22"/>
                <w:szCs w:val="22"/>
              </w:rPr>
              <w:sym w:font="Symbol" w:char="00AF"/>
            </w:r>
            <w:r w:rsidRPr="008C3E6C">
              <w:rPr>
                <w:sz w:val="22"/>
                <w:szCs w:val="22"/>
              </w:rPr>
              <w:t xml:space="preserve"> 25</w:t>
            </w:r>
          </w:p>
          <w:p w:rsidR="00767354" w:rsidRPr="008C3E6C" w:rsidRDefault="00767354">
            <w:pPr>
              <w:spacing w:before="60" w:after="60"/>
              <w:jc w:val="center"/>
              <w:rPr>
                <w:noProof/>
                <w:sz w:val="22"/>
                <w:szCs w:val="22"/>
              </w:rPr>
            </w:pPr>
            <w:r w:rsidRPr="008C3E6C">
              <w:rPr>
                <w:sz w:val="22"/>
                <w:szCs w:val="22"/>
              </w:rPr>
              <w:t>(</w:t>
            </w:r>
            <w:r w:rsidRPr="008C3E6C">
              <w:rPr>
                <w:sz w:val="22"/>
                <w:szCs w:val="22"/>
              </w:rPr>
              <w:sym w:font="Symbol" w:char="00AF"/>
            </w:r>
            <w:r w:rsidRPr="008C3E6C">
              <w:rPr>
                <w:sz w:val="22"/>
                <w:szCs w:val="22"/>
              </w:rPr>
              <w:t xml:space="preserve"> 30 to </w:t>
            </w:r>
            <w:r w:rsidRPr="008C3E6C">
              <w:rPr>
                <w:sz w:val="22"/>
                <w:szCs w:val="22"/>
              </w:rPr>
              <w:sym w:font="Symbol" w:char="00AF"/>
            </w:r>
            <w:r w:rsidRPr="008C3E6C">
              <w:rPr>
                <w:sz w:val="22"/>
                <w:szCs w:val="22"/>
              </w:rPr>
              <w:t xml:space="preserve"> 19)</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jc w:val="center"/>
              <w:rPr>
                <w:sz w:val="22"/>
                <w:szCs w:val="22"/>
              </w:rPr>
            </w:pPr>
            <w:r w:rsidRPr="008C3E6C">
              <w:rPr>
                <w:sz w:val="22"/>
                <w:szCs w:val="22"/>
              </w:rPr>
              <w:sym w:font="Symbol" w:char="00AF"/>
            </w:r>
            <w:r w:rsidRPr="008C3E6C">
              <w:rPr>
                <w:sz w:val="22"/>
                <w:szCs w:val="22"/>
              </w:rPr>
              <w:t xml:space="preserve"> 40</w:t>
            </w:r>
          </w:p>
          <w:p w:rsidR="00767354" w:rsidRPr="008C3E6C" w:rsidRDefault="00767354">
            <w:pPr>
              <w:spacing w:before="60" w:after="60"/>
              <w:jc w:val="center"/>
              <w:rPr>
                <w:noProof/>
                <w:sz w:val="22"/>
                <w:szCs w:val="22"/>
              </w:rPr>
            </w:pPr>
            <w:r w:rsidRPr="008C3E6C">
              <w:rPr>
                <w:sz w:val="22"/>
                <w:szCs w:val="22"/>
              </w:rPr>
              <w:t>(</w:t>
            </w:r>
            <w:r w:rsidRPr="008C3E6C">
              <w:rPr>
                <w:sz w:val="22"/>
                <w:szCs w:val="22"/>
              </w:rPr>
              <w:sym w:font="Symbol" w:char="00AF"/>
            </w:r>
            <w:r w:rsidRPr="008C3E6C">
              <w:rPr>
                <w:sz w:val="22"/>
                <w:szCs w:val="22"/>
              </w:rPr>
              <w:t xml:space="preserve"> 48 to </w:t>
            </w:r>
            <w:r w:rsidRPr="008C3E6C">
              <w:rPr>
                <w:sz w:val="22"/>
                <w:szCs w:val="22"/>
              </w:rPr>
              <w:sym w:font="Symbol" w:char="00AF"/>
            </w:r>
            <w:r w:rsidRPr="008C3E6C">
              <w:rPr>
                <w:sz w:val="22"/>
                <w:szCs w:val="22"/>
              </w:rPr>
              <w:t xml:space="preserve"> 32)</w:t>
            </w:r>
          </w:p>
        </w:tc>
      </w:tr>
      <w:tr w:rsidR="00767354" w:rsidRPr="00E7636B">
        <w:trPr>
          <w:cantSplit/>
        </w:trPr>
        <w:tc>
          <w:tcPr>
            <w:tcW w:w="1800" w:type="dxa"/>
            <w:vMerge/>
            <w:tcBorders>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jc w:val="center"/>
              <w:rPr>
                <w:sz w:val="22"/>
                <w:szCs w:val="22"/>
              </w:rPr>
            </w:pPr>
            <w:proofErr w:type="spellStart"/>
            <w:r w:rsidRPr="008C3E6C">
              <w:rPr>
                <w:sz w:val="22"/>
                <w:szCs w:val="22"/>
              </w:rPr>
              <w:t>Atazanavir</w:t>
            </w:r>
            <w:proofErr w:type="spellEnd"/>
            <w:r w:rsidRPr="008C3E6C">
              <w:rPr>
                <w:sz w:val="22"/>
                <w:szCs w:val="22"/>
              </w:rPr>
              <w:t>/Ritonavir</w:t>
            </w:r>
            <w:r w:rsidRPr="008C3E6C">
              <w:rPr>
                <w:sz w:val="22"/>
                <w:szCs w:val="22"/>
                <w:vertAlign w:val="superscript"/>
              </w:rPr>
              <w:t>6</w:t>
            </w:r>
          </w:p>
          <w:p w:rsidR="00767354" w:rsidRPr="008C3E6C" w:rsidRDefault="00767354">
            <w:pPr>
              <w:jc w:val="center"/>
              <w:rPr>
                <w:sz w:val="22"/>
                <w:szCs w:val="22"/>
              </w:rPr>
            </w:pPr>
            <w:r w:rsidRPr="008C3E6C">
              <w:rPr>
                <w:sz w:val="22"/>
                <w:szCs w:val="22"/>
              </w:rPr>
              <w:t>300/100 once daily</w:t>
            </w:r>
          </w:p>
          <w:p w:rsidR="00767354" w:rsidRPr="008C3E6C" w:rsidRDefault="00767354">
            <w:pPr>
              <w:jc w:val="center"/>
              <w:rPr>
                <w:sz w:val="22"/>
                <w:szCs w:val="22"/>
              </w:rPr>
            </w:pPr>
            <w:r w:rsidRPr="008C3E6C">
              <w:rPr>
                <w:sz w:val="22"/>
                <w:szCs w:val="22"/>
              </w:rPr>
              <w:t>x 42 days</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spacing w:before="60" w:after="60"/>
              <w:jc w:val="center"/>
              <w:rPr>
                <w:sz w:val="22"/>
                <w:szCs w:val="22"/>
              </w:rPr>
            </w:pPr>
            <w:r w:rsidRPr="008C3E6C">
              <w:rPr>
                <w:sz w:val="22"/>
                <w:szCs w:val="22"/>
              </w:rPr>
              <w:t>10</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jc w:val="center"/>
              <w:rPr>
                <w:sz w:val="22"/>
                <w:szCs w:val="22"/>
              </w:rPr>
            </w:pPr>
            <w:r w:rsidRPr="008C3E6C">
              <w:rPr>
                <w:sz w:val="22"/>
                <w:szCs w:val="22"/>
              </w:rPr>
              <w:sym w:font="Symbol" w:char="00AF"/>
            </w:r>
            <w:r w:rsidRPr="008C3E6C">
              <w:rPr>
                <w:sz w:val="22"/>
                <w:szCs w:val="22"/>
              </w:rPr>
              <w:t xml:space="preserve"> 28</w:t>
            </w:r>
          </w:p>
          <w:p w:rsidR="00767354" w:rsidRPr="008C3E6C" w:rsidRDefault="00767354">
            <w:pPr>
              <w:spacing w:before="60" w:after="60"/>
              <w:jc w:val="center"/>
              <w:rPr>
                <w:noProof/>
                <w:sz w:val="22"/>
                <w:szCs w:val="22"/>
              </w:rPr>
            </w:pPr>
            <w:r w:rsidRPr="008C3E6C">
              <w:rPr>
                <w:sz w:val="22"/>
                <w:szCs w:val="22"/>
              </w:rPr>
              <w:t>(</w:t>
            </w:r>
            <w:r w:rsidRPr="008C3E6C">
              <w:rPr>
                <w:sz w:val="22"/>
                <w:szCs w:val="22"/>
              </w:rPr>
              <w:sym w:font="Symbol" w:char="00AF"/>
            </w:r>
            <w:r w:rsidRPr="008C3E6C">
              <w:rPr>
                <w:sz w:val="22"/>
                <w:szCs w:val="22"/>
              </w:rPr>
              <w:t xml:space="preserve"> 50 to </w:t>
            </w:r>
            <w:r w:rsidRPr="008C3E6C">
              <w:rPr>
                <w:sz w:val="22"/>
                <w:szCs w:val="22"/>
              </w:rPr>
              <w:sym w:font="Symbol" w:char="00AD"/>
            </w:r>
            <w:r w:rsidRPr="008C3E6C">
              <w:rPr>
                <w:sz w:val="22"/>
                <w:szCs w:val="22"/>
              </w:rPr>
              <w:t xml:space="preserve"> 5)</w:t>
            </w:r>
            <w:r w:rsidRPr="008C3E6C">
              <w:rPr>
                <w:sz w:val="22"/>
                <w:szCs w:val="22"/>
                <w:vertAlign w:val="superscript"/>
              </w:rPr>
              <w:t xml:space="preserve"> 6</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jc w:val="center"/>
              <w:rPr>
                <w:sz w:val="22"/>
                <w:szCs w:val="22"/>
              </w:rPr>
            </w:pPr>
            <w:r w:rsidRPr="008C3E6C">
              <w:rPr>
                <w:sz w:val="22"/>
                <w:szCs w:val="22"/>
              </w:rPr>
              <w:sym w:font="Symbol" w:char="00AF"/>
            </w:r>
            <w:r w:rsidRPr="008C3E6C">
              <w:rPr>
                <w:sz w:val="22"/>
                <w:szCs w:val="22"/>
              </w:rPr>
              <w:t xml:space="preserve"> 25</w:t>
            </w:r>
          </w:p>
          <w:p w:rsidR="00767354" w:rsidRPr="008C3E6C" w:rsidRDefault="00767354">
            <w:pPr>
              <w:spacing w:before="60" w:after="60"/>
              <w:jc w:val="center"/>
              <w:rPr>
                <w:noProof/>
                <w:sz w:val="22"/>
                <w:szCs w:val="22"/>
              </w:rPr>
            </w:pPr>
            <w:r w:rsidRPr="008C3E6C">
              <w:rPr>
                <w:sz w:val="22"/>
                <w:szCs w:val="22"/>
              </w:rPr>
              <w:t>(</w:t>
            </w:r>
            <w:r w:rsidRPr="008C3E6C">
              <w:rPr>
                <w:sz w:val="22"/>
                <w:szCs w:val="22"/>
              </w:rPr>
              <w:sym w:font="Symbol" w:char="00AF"/>
            </w:r>
            <w:r w:rsidRPr="008C3E6C">
              <w:rPr>
                <w:sz w:val="22"/>
                <w:szCs w:val="22"/>
              </w:rPr>
              <w:t xml:space="preserve"> 42 to </w:t>
            </w:r>
            <w:r w:rsidRPr="008C3E6C">
              <w:rPr>
                <w:sz w:val="22"/>
                <w:szCs w:val="22"/>
              </w:rPr>
              <w:sym w:font="Symbol" w:char="00AF"/>
            </w:r>
            <w:r w:rsidRPr="008C3E6C">
              <w:rPr>
                <w:sz w:val="22"/>
                <w:szCs w:val="22"/>
              </w:rPr>
              <w:t xml:space="preserve"> 3)</w:t>
            </w:r>
            <w:r w:rsidRPr="008C3E6C">
              <w:rPr>
                <w:sz w:val="22"/>
                <w:szCs w:val="22"/>
                <w:vertAlign w:val="superscript"/>
              </w:rPr>
              <w:t xml:space="preserve"> 6</w:t>
            </w:r>
          </w:p>
        </w:tc>
        <w:tc>
          <w:tcPr>
            <w:tcW w:w="1599" w:type="dxa"/>
            <w:tcBorders>
              <w:top w:val="single" w:sz="6" w:space="0" w:color="auto"/>
              <w:left w:val="single" w:sz="6" w:space="0" w:color="auto"/>
              <w:bottom w:val="single" w:sz="6" w:space="0" w:color="auto"/>
              <w:right w:val="single" w:sz="6" w:space="0" w:color="auto"/>
            </w:tcBorders>
            <w:shd w:val="clear" w:color="auto" w:fill="auto"/>
            <w:vAlign w:val="center"/>
          </w:tcPr>
          <w:p w:rsidR="00767354" w:rsidRPr="008C3E6C" w:rsidRDefault="00767354">
            <w:pPr>
              <w:jc w:val="center"/>
              <w:rPr>
                <w:sz w:val="22"/>
                <w:szCs w:val="22"/>
              </w:rPr>
            </w:pPr>
            <w:r w:rsidRPr="008C3E6C">
              <w:rPr>
                <w:sz w:val="22"/>
                <w:szCs w:val="22"/>
              </w:rPr>
              <w:sym w:font="Symbol" w:char="00AF"/>
            </w:r>
            <w:r w:rsidRPr="008C3E6C">
              <w:rPr>
                <w:sz w:val="22"/>
                <w:szCs w:val="22"/>
              </w:rPr>
              <w:t xml:space="preserve"> 23</w:t>
            </w:r>
          </w:p>
          <w:p w:rsidR="00767354" w:rsidRPr="008C3E6C" w:rsidRDefault="00767354">
            <w:pPr>
              <w:spacing w:before="60" w:after="60"/>
              <w:jc w:val="center"/>
              <w:rPr>
                <w:noProof/>
                <w:sz w:val="22"/>
                <w:szCs w:val="22"/>
              </w:rPr>
            </w:pPr>
            <w:r w:rsidRPr="008C3E6C">
              <w:rPr>
                <w:sz w:val="22"/>
                <w:szCs w:val="22"/>
              </w:rPr>
              <w:t>(</w:t>
            </w:r>
            <w:r w:rsidRPr="008C3E6C">
              <w:rPr>
                <w:sz w:val="22"/>
                <w:szCs w:val="22"/>
              </w:rPr>
              <w:sym w:font="Symbol" w:char="00AF"/>
            </w:r>
            <w:r w:rsidRPr="008C3E6C">
              <w:rPr>
                <w:sz w:val="22"/>
                <w:szCs w:val="22"/>
              </w:rPr>
              <w:t xml:space="preserve"> 46 to </w:t>
            </w:r>
            <w:r w:rsidRPr="008C3E6C">
              <w:rPr>
                <w:sz w:val="22"/>
                <w:szCs w:val="22"/>
              </w:rPr>
              <w:sym w:font="Symbol" w:char="00AD"/>
            </w:r>
            <w:r w:rsidRPr="008C3E6C">
              <w:rPr>
                <w:sz w:val="22"/>
                <w:szCs w:val="22"/>
              </w:rPr>
              <w:t xml:space="preserve"> 10)</w:t>
            </w:r>
            <w:r w:rsidRPr="008C3E6C">
              <w:rPr>
                <w:sz w:val="22"/>
                <w:szCs w:val="22"/>
                <w:vertAlign w:val="superscript"/>
              </w:rPr>
              <w:t xml:space="preserve"> 6</w:t>
            </w:r>
          </w:p>
        </w:tc>
      </w:tr>
    </w:tbl>
    <w:p w:rsidR="009B1C4F" w:rsidRPr="008030D0" w:rsidRDefault="009B1C4F" w:rsidP="009B1C4F">
      <w:pPr>
        <w:numPr>
          <w:ilvl w:val="0"/>
          <w:numId w:val="20"/>
        </w:numPr>
        <w:spacing w:before="60"/>
        <w:rPr>
          <w:noProof/>
          <w:sz w:val="20"/>
        </w:rPr>
      </w:pPr>
      <w:r w:rsidRPr="008030D0">
        <w:rPr>
          <w:sz w:val="20"/>
        </w:rPr>
        <w:t xml:space="preserve">Increase = </w:t>
      </w:r>
      <w:r w:rsidRPr="008030D0">
        <w:rPr>
          <w:noProof/>
          <w:sz w:val="20"/>
        </w:rPr>
        <w:sym w:font="Symbol" w:char="00AD"/>
      </w:r>
      <w:r w:rsidRPr="008030D0">
        <w:rPr>
          <w:sz w:val="20"/>
        </w:rPr>
        <w:t xml:space="preserve">; Decrease = </w:t>
      </w:r>
      <w:r w:rsidRPr="008030D0">
        <w:rPr>
          <w:sz w:val="20"/>
        </w:rPr>
        <w:sym w:font="Symbol" w:char="00AF"/>
      </w:r>
      <w:r w:rsidRPr="008030D0">
        <w:rPr>
          <w:sz w:val="20"/>
        </w:rPr>
        <w:t xml:space="preserve">; No Effect = </w:t>
      </w:r>
      <w:r w:rsidRPr="008030D0">
        <w:rPr>
          <w:noProof/>
          <w:sz w:val="20"/>
        </w:rPr>
        <w:sym w:font="Wingdings" w:char="00F3"/>
      </w:r>
      <w:r w:rsidRPr="008030D0">
        <w:rPr>
          <w:noProof/>
          <w:sz w:val="20"/>
        </w:rPr>
        <w:t>; N</w:t>
      </w:r>
      <w:r w:rsidR="00D958DE" w:rsidRPr="008030D0">
        <w:rPr>
          <w:noProof/>
          <w:sz w:val="20"/>
        </w:rPr>
        <w:t>C</w:t>
      </w:r>
      <w:r w:rsidRPr="008030D0">
        <w:rPr>
          <w:noProof/>
          <w:sz w:val="20"/>
        </w:rPr>
        <w:t xml:space="preserve"> = Not </w:t>
      </w:r>
      <w:r w:rsidR="00D958DE" w:rsidRPr="008030D0">
        <w:rPr>
          <w:noProof/>
          <w:sz w:val="20"/>
        </w:rPr>
        <w:t>Calculated</w:t>
      </w:r>
    </w:p>
    <w:p w:rsidR="009C1898" w:rsidRPr="008030D0" w:rsidRDefault="009C1898" w:rsidP="009C1898">
      <w:pPr>
        <w:pStyle w:val="Table-Footer"/>
        <w:keepNext w:val="0"/>
        <w:keepLines w:val="0"/>
        <w:numPr>
          <w:ilvl w:val="0"/>
          <w:numId w:val="20"/>
        </w:numPr>
        <w:rPr>
          <w:noProof/>
          <w:sz w:val="20"/>
        </w:rPr>
      </w:pPr>
      <w:r w:rsidRPr="008030D0">
        <w:rPr>
          <w:sz w:val="20"/>
        </w:rPr>
        <w:t>Administration with food was with a light meal (~373 kcal, 20% fat).</w:t>
      </w:r>
    </w:p>
    <w:p w:rsidR="009C1898" w:rsidRPr="008030D0" w:rsidRDefault="009C1898" w:rsidP="009C1898">
      <w:pPr>
        <w:numPr>
          <w:ilvl w:val="0"/>
          <w:numId w:val="20"/>
        </w:numPr>
        <w:rPr>
          <w:noProof/>
          <w:sz w:val="20"/>
        </w:rPr>
      </w:pPr>
      <w:r w:rsidRPr="008030D0">
        <w:rPr>
          <w:noProof/>
          <w:sz w:val="20"/>
        </w:rPr>
        <w:t>See</w:t>
      </w:r>
      <w:r w:rsidRPr="008030D0">
        <w:rPr>
          <w:sz w:val="20"/>
        </w:rPr>
        <w:t xml:space="preserve"> PRECAUTIONS regarding use of </w:t>
      </w:r>
      <w:proofErr w:type="spellStart"/>
      <w:r w:rsidRPr="008030D0">
        <w:rPr>
          <w:sz w:val="20"/>
        </w:rPr>
        <w:t>didanosine</w:t>
      </w:r>
      <w:proofErr w:type="spellEnd"/>
      <w:r w:rsidRPr="008030D0">
        <w:rPr>
          <w:sz w:val="20"/>
        </w:rPr>
        <w:t xml:space="preserve"> with </w:t>
      </w:r>
      <w:proofErr w:type="spellStart"/>
      <w:r w:rsidRPr="008030D0">
        <w:rPr>
          <w:sz w:val="20"/>
        </w:rPr>
        <w:t>tenofovir</w:t>
      </w:r>
      <w:proofErr w:type="spellEnd"/>
      <w:r w:rsidRPr="008030D0">
        <w:rPr>
          <w:sz w:val="20"/>
        </w:rPr>
        <w:t xml:space="preserve"> </w:t>
      </w:r>
      <w:proofErr w:type="spellStart"/>
      <w:r w:rsidRPr="008030D0">
        <w:rPr>
          <w:sz w:val="20"/>
        </w:rPr>
        <w:t>disoproxil</w:t>
      </w:r>
      <w:proofErr w:type="spellEnd"/>
      <w:r w:rsidRPr="008030D0">
        <w:rPr>
          <w:sz w:val="20"/>
        </w:rPr>
        <w:t xml:space="preserve"> fumarate.</w:t>
      </w:r>
    </w:p>
    <w:p w:rsidR="009C1898" w:rsidRPr="008030D0" w:rsidRDefault="009C1898" w:rsidP="009C1898">
      <w:pPr>
        <w:numPr>
          <w:ilvl w:val="0"/>
          <w:numId w:val="20"/>
        </w:numPr>
        <w:rPr>
          <w:noProof/>
          <w:sz w:val="20"/>
        </w:rPr>
      </w:pPr>
      <w:r w:rsidRPr="008030D0">
        <w:rPr>
          <w:sz w:val="20"/>
        </w:rPr>
        <w:t xml:space="preserve">Relative to 400 mg </w:t>
      </w:r>
      <w:proofErr w:type="gramStart"/>
      <w:r w:rsidRPr="008030D0">
        <w:rPr>
          <w:sz w:val="20"/>
        </w:rPr>
        <w:t>alone,</w:t>
      </w:r>
      <w:proofErr w:type="gramEnd"/>
      <w:r w:rsidRPr="008030D0">
        <w:rPr>
          <w:sz w:val="20"/>
        </w:rPr>
        <w:t xml:space="preserve"> fasted.</w:t>
      </w:r>
    </w:p>
    <w:p w:rsidR="009B1C4F" w:rsidRDefault="009B1C4F" w:rsidP="009B1C4F">
      <w:pPr>
        <w:numPr>
          <w:ilvl w:val="0"/>
          <w:numId w:val="20"/>
        </w:numPr>
        <w:rPr>
          <w:sz w:val="20"/>
        </w:rPr>
      </w:pPr>
      <w:r w:rsidRPr="008030D0">
        <w:rPr>
          <w:sz w:val="20"/>
        </w:rPr>
        <w:t>REYATAZ</w:t>
      </w:r>
      <w:r w:rsidRPr="008030D0">
        <w:rPr>
          <w:sz w:val="20"/>
          <w:vertAlign w:val="superscript"/>
        </w:rPr>
        <w:t>™</w:t>
      </w:r>
      <w:r w:rsidRPr="008030D0">
        <w:rPr>
          <w:sz w:val="20"/>
        </w:rPr>
        <w:t xml:space="preserve"> Prescribing Information (Bristol-Myers Squibb)</w:t>
      </w:r>
    </w:p>
    <w:p w:rsidR="00046320" w:rsidRPr="008030D0" w:rsidRDefault="00046320" w:rsidP="00046320">
      <w:pPr>
        <w:numPr>
          <w:ilvl w:val="0"/>
          <w:numId w:val="20"/>
        </w:numPr>
        <w:autoSpaceDE w:val="0"/>
        <w:autoSpaceDN w:val="0"/>
        <w:adjustRightInd w:val="0"/>
        <w:rPr>
          <w:sz w:val="20"/>
        </w:rPr>
      </w:pPr>
      <w:r w:rsidRPr="008030D0">
        <w:rPr>
          <w:sz w:val="20"/>
        </w:rPr>
        <w:t xml:space="preserve">In HIV-infected patients, addition of </w:t>
      </w:r>
      <w:proofErr w:type="spellStart"/>
      <w:r w:rsidRPr="008030D0">
        <w:rPr>
          <w:sz w:val="20"/>
        </w:rPr>
        <w:t>tenofovir</w:t>
      </w:r>
      <w:proofErr w:type="spellEnd"/>
      <w:r w:rsidRPr="008030D0">
        <w:rPr>
          <w:sz w:val="20"/>
        </w:rPr>
        <w:t xml:space="preserve"> DF to </w:t>
      </w:r>
      <w:proofErr w:type="spellStart"/>
      <w:r w:rsidRPr="008030D0">
        <w:rPr>
          <w:sz w:val="20"/>
        </w:rPr>
        <w:t>atazanavir</w:t>
      </w:r>
      <w:proofErr w:type="spellEnd"/>
      <w:r w:rsidRPr="008030D0">
        <w:rPr>
          <w:sz w:val="20"/>
        </w:rPr>
        <w:t xml:space="preserve"> 300 mg plus ritonavir 100 mg, resulted in AUC and </w:t>
      </w:r>
      <w:proofErr w:type="spellStart"/>
      <w:r w:rsidRPr="008030D0">
        <w:rPr>
          <w:sz w:val="20"/>
        </w:rPr>
        <w:t>C</w:t>
      </w:r>
      <w:r w:rsidRPr="008030D0">
        <w:rPr>
          <w:sz w:val="20"/>
          <w:vertAlign w:val="subscript"/>
        </w:rPr>
        <w:t>min</w:t>
      </w:r>
      <w:proofErr w:type="spellEnd"/>
      <w:r w:rsidRPr="008030D0">
        <w:rPr>
          <w:sz w:val="20"/>
        </w:rPr>
        <w:t xml:space="preserve"> values of </w:t>
      </w:r>
      <w:proofErr w:type="spellStart"/>
      <w:r w:rsidRPr="008030D0">
        <w:rPr>
          <w:sz w:val="20"/>
        </w:rPr>
        <w:t>atazanavir</w:t>
      </w:r>
      <w:proofErr w:type="spellEnd"/>
      <w:r w:rsidRPr="008030D0">
        <w:rPr>
          <w:sz w:val="20"/>
        </w:rPr>
        <w:t xml:space="preserve"> that were 2.3- and 4-fold higher than the respective values observed for </w:t>
      </w:r>
      <w:proofErr w:type="spellStart"/>
      <w:r w:rsidRPr="008030D0">
        <w:rPr>
          <w:sz w:val="20"/>
        </w:rPr>
        <w:t>atazanavir</w:t>
      </w:r>
      <w:proofErr w:type="spellEnd"/>
      <w:r w:rsidRPr="008030D0">
        <w:rPr>
          <w:sz w:val="20"/>
        </w:rPr>
        <w:t xml:space="preserve"> 400 mg when given alone (REYATAZ</w:t>
      </w:r>
      <w:r w:rsidRPr="008030D0">
        <w:rPr>
          <w:sz w:val="20"/>
          <w:vertAlign w:val="superscript"/>
        </w:rPr>
        <w:t>™</w:t>
      </w:r>
      <w:r w:rsidRPr="008030D0">
        <w:rPr>
          <w:sz w:val="20"/>
        </w:rPr>
        <w:t xml:space="preserve"> March 2004 United States Package Insert)</w:t>
      </w:r>
    </w:p>
    <w:p w:rsidR="00046320" w:rsidRPr="008030D0" w:rsidRDefault="00046320" w:rsidP="00046320">
      <w:pPr>
        <w:ind w:left="360"/>
        <w:rPr>
          <w:sz w:val="20"/>
        </w:rPr>
      </w:pPr>
    </w:p>
    <w:p w:rsidR="00DC7153" w:rsidRPr="00F509F7" w:rsidRDefault="00DC7153" w:rsidP="00DC7153">
      <w:pPr>
        <w:pStyle w:val="Heading3"/>
        <w:jc w:val="both"/>
        <w:rPr>
          <w:rFonts w:ascii="Times New Roman" w:hAnsi="Times New Roman"/>
          <w:bCs/>
          <w:i w:val="0"/>
          <w:sz w:val="24"/>
          <w:szCs w:val="24"/>
        </w:rPr>
      </w:pPr>
      <w:r w:rsidRPr="00F509F7">
        <w:rPr>
          <w:rFonts w:ascii="Times New Roman" w:hAnsi="Times New Roman"/>
          <w:bCs/>
          <w:i w:val="0"/>
          <w:sz w:val="24"/>
          <w:szCs w:val="24"/>
        </w:rPr>
        <w:t>CLINICAL TRIALS</w:t>
      </w:r>
    </w:p>
    <w:p w:rsidR="00DC7153" w:rsidRPr="00D407BD" w:rsidRDefault="00DC7153" w:rsidP="00DC7153">
      <w:pPr>
        <w:pStyle w:val="Footer"/>
        <w:tabs>
          <w:tab w:val="left" w:pos="720"/>
        </w:tabs>
        <w:rPr>
          <w:szCs w:val="24"/>
        </w:rPr>
      </w:pPr>
    </w:p>
    <w:p w:rsidR="00DC7153" w:rsidRPr="007467AA" w:rsidRDefault="00DC7153" w:rsidP="007467AA">
      <w:pPr>
        <w:pStyle w:val="Text10"/>
      </w:pPr>
      <w:r w:rsidRPr="00D407BD">
        <w:rPr>
          <w:szCs w:val="24"/>
        </w:rPr>
        <w:t xml:space="preserve">Clinical study 934, which demonstrated the safety and efficacy of EMTRIVA and VIREAD in combination with </w:t>
      </w:r>
      <w:proofErr w:type="spellStart"/>
      <w:r w:rsidRPr="00D407BD">
        <w:rPr>
          <w:szCs w:val="24"/>
        </w:rPr>
        <w:t>efavirenz</w:t>
      </w:r>
      <w:proofErr w:type="spellEnd"/>
      <w:r w:rsidRPr="00D407BD">
        <w:rPr>
          <w:szCs w:val="24"/>
        </w:rPr>
        <w:t xml:space="preserve"> in treatment-naïve adults, supports the use of TRUVADA tablets for the treatment of HIV-1 infection. Additional supportive data are derived from study 903, in which lamivudine (3TC) and </w:t>
      </w:r>
      <w:proofErr w:type="spellStart"/>
      <w:r w:rsidRPr="00D407BD">
        <w:rPr>
          <w:szCs w:val="24"/>
        </w:rPr>
        <w:t>tenofovir</w:t>
      </w:r>
      <w:proofErr w:type="spellEnd"/>
      <w:r w:rsidRPr="00D407BD">
        <w:rPr>
          <w:szCs w:val="24"/>
        </w:rPr>
        <w:t xml:space="preserve"> were used in combination in treatment-naïve adults. In clinical study 303 EMTRIVA and lamivudine demonstrated comparable efficacy, safety and resistance patterns as part of multidrug regimens.</w:t>
      </w:r>
      <w:r w:rsidR="007467AA">
        <w:rPr>
          <w:szCs w:val="24"/>
        </w:rPr>
        <w:t xml:space="preserve"> For additional information about these trials, please refer to the Product Information for VIREAD and EMTRIVA.</w:t>
      </w:r>
      <w:r w:rsidR="007467AA" w:rsidRPr="007467AA">
        <w:rPr>
          <w:szCs w:val="24"/>
        </w:rPr>
        <w:t xml:space="preserve"> </w:t>
      </w:r>
      <w:r w:rsidR="007467AA" w:rsidRPr="008E09DE">
        <w:rPr>
          <w:szCs w:val="24"/>
        </w:rPr>
        <w:t xml:space="preserve">The </w:t>
      </w:r>
      <w:proofErr w:type="spellStart"/>
      <w:r w:rsidR="007467AA" w:rsidRPr="008E09DE">
        <w:rPr>
          <w:szCs w:val="24"/>
        </w:rPr>
        <w:t>iPrEx</w:t>
      </w:r>
      <w:proofErr w:type="spellEnd"/>
      <w:r w:rsidR="007467AA" w:rsidRPr="008E09DE">
        <w:rPr>
          <w:szCs w:val="24"/>
        </w:rPr>
        <w:t xml:space="preserve"> study and Partners </w:t>
      </w:r>
      <w:proofErr w:type="spellStart"/>
      <w:r w:rsidR="007467AA" w:rsidRPr="008E09DE">
        <w:rPr>
          <w:szCs w:val="24"/>
        </w:rPr>
        <w:t>PrEP</w:t>
      </w:r>
      <w:proofErr w:type="spellEnd"/>
      <w:r w:rsidR="007467AA" w:rsidRPr="008E09DE">
        <w:rPr>
          <w:szCs w:val="24"/>
        </w:rPr>
        <w:t xml:space="preserve"> study support the use of TRUVADA to help reduce the risk of acquiring HIV-1.</w:t>
      </w:r>
    </w:p>
    <w:p w:rsidR="00EF451A" w:rsidRPr="00D407BD" w:rsidRDefault="00EF451A" w:rsidP="00DC7153">
      <w:pPr>
        <w:rPr>
          <w:rStyle w:val="PageNumber"/>
          <w:b/>
          <w:szCs w:val="24"/>
        </w:rPr>
      </w:pPr>
    </w:p>
    <w:p w:rsidR="00DC7153" w:rsidRPr="00D407BD" w:rsidRDefault="00767354" w:rsidP="00DC7153">
      <w:pPr>
        <w:autoSpaceDE w:val="0"/>
        <w:autoSpaceDN w:val="0"/>
        <w:adjustRightInd w:val="0"/>
        <w:rPr>
          <w:b/>
          <w:bCs/>
          <w:szCs w:val="24"/>
        </w:rPr>
      </w:pPr>
      <w:r w:rsidRPr="00D407BD">
        <w:rPr>
          <w:b/>
          <w:bCs/>
          <w:szCs w:val="24"/>
        </w:rPr>
        <w:lastRenderedPageBreak/>
        <w:t>TRUVADA</w:t>
      </w:r>
      <w:r w:rsidR="00DC7153" w:rsidRPr="00D407BD">
        <w:rPr>
          <w:b/>
          <w:bCs/>
          <w:szCs w:val="24"/>
        </w:rPr>
        <w:t xml:space="preserve"> </w:t>
      </w:r>
    </w:p>
    <w:p w:rsidR="00DC7153" w:rsidRPr="00D407BD" w:rsidRDefault="00DC7153" w:rsidP="00DC7153">
      <w:pPr>
        <w:autoSpaceDE w:val="0"/>
        <w:autoSpaceDN w:val="0"/>
        <w:adjustRightInd w:val="0"/>
        <w:rPr>
          <w:b/>
          <w:bCs/>
          <w:szCs w:val="24"/>
        </w:rPr>
      </w:pPr>
    </w:p>
    <w:p w:rsidR="00DC7153" w:rsidRPr="00D407BD" w:rsidRDefault="00DC7153" w:rsidP="00DC7153">
      <w:pPr>
        <w:autoSpaceDE w:val="0"/>
        <w:autoSpaceDN w:val="0"/>
        <w:adjustRightInd w:val="0"/>
        <w:rPr>
          <w:b/>
          <w:bCs/>
          <w:szCs w:val="24"/>
        </w:rPr>
      </w:pPr>
      <w:r w:rsidRPr="00D407BD">
        <w:rPr>
          <w:b/>
          <w:bCs/>
          <w:szCs w:val="24"/>
        </w:rPr>
        <w:t xml:space="preserve">Study 934: EMTRIVA + VIREAD + </w:t>
      </w:r>
      <w:proofErr w:type="spellStart"/>
      <w:r w:rsidRPr="00D407BD">
        <w:rPr>
          <w:b/>
          <w:bCs/>
          <w:szCs w:val="24"/>
        </w:rPr>
        <w:t>Efavirenz</w:t>
      </w:r>
      <w:proofErr w:type="spellEnd"/>
      <w:r w:rsidRPr="00D407BD">
        <w:rPr>
          <w:b/>
          <w:bCs/>
          <w:szCs w:val="24"/>
        </w:rPr>
        <w:t xml:space="preserve"> Compared with COMBIVIR</w:t>
      </w:r>
      <w:r w:rsidRPr="00D407BD">
        <w:rPr>
          <w:rFonts w:ascii="Times New Roman Bold" w:hAnsi="Times New Roman Bold"/>
          <w:b/>
          <w:bCs/>
          <w:szCs w:val="24"/>
          <w:vertAlign w:val="superscript"/>
        </w:rPr>
        <w:t>®</w:t>
      </w:r>
      <w:r w:rsidRPr="00D407BD">
        <w:rPr>
          <w:b/>
          <w:bCs/>
          <w:szCs w:val="24"/>
        </w:rPr>
        <w:t xml:space="preserve"> (lamivudine / zidovudine) + </w:t>
      </w:r>
      <w:proofErr w:type="spellStart"/>
      <w:r w:rsidRPr="00D407BD">
        <w:rPr>
          <w:b/>
          <w:bCs/>
          <w:szCs w:val="24"/>
        </w:rPr>
        <w:t>Efavirenz</w:t>
      </w:r>
      <w:proofErr w:type="spellEnd"/>
    </w:p>
    <w:p w:rsidR="00DC7153" w:rsidRPr="00D407BD" w:rsidRDefault="00DC7153" w:rsidP="00DC7153">
      <w:pPr>
        <w:autoSpaceDE w:val="0"/>
        <w:autoSpaceDN w:val="0"/>
        <w:adjustRightInd w:val="0"/>
        <w:rPr>
          <w:b/>
          <w:bCs/>
          <w:szCs w:val="24"/>
        </w:rPr>
      </w:pPr>
    </w:p>
    <w:p w:rsidR="00DC7153" w:rsidRPr="00D407BD" w:rsidRDefault="00DC7153" w:rsidP="00DC7153">
      <w:pPr>
        <w:autoSpaceDE w:val="0"/>
        <w:autoSpaceDN w:val="0"/>
        <w:adjustRightInd w:val="0"/>
        <w:rPr>
          <w:szCs w:val="24"/>
        </w:rPr>
      </w:pPr>
      <w:r w:rsidRPr="00D407BD">
        <w:rPr>
          <w:szCs w:val="24"/>
        </w:rPr>
        <w:t>Study 934</w:t>
      </w:r>
      <w:r w:rsidR="00767354" w:rsidRPr="00D407BD">
        <w:rPr>
          <w:szCs w:val="24"/>
        </w:rPr>
        <w:t xml:space="preserve"> is</w:t>
      </w:r>
      <w:r w:rsidRPr="00D407BD">
        <w:rPr>
          <w:szCs w:val="24"/>
        </w:rPr>
        <w:t xml:space="preserve"> a </w:t>
      </w:r>
      <w:proofErr w:type="spellStart"/>
      <w:r w:rsidRPr="00D407BD">
        <w:rPr>
          <w:szCs w:val="24"/>
        </w:rPr>
        <w:t>randomi</w:t>
      </w:r>
      <w:r w:rsidR="002D4A56">
        <w:rPr>
          <w:szCs w:val="24"/>
        </w:rPr>
        <w:t>s</w:t>
      </w:r>
      <w:r w:rsidRPr="00D407BD">
        <w:rPr>
          <w:szCs w:val="24"/>
        </w:rPr>
        <w:t>ed</w:t>
      </w:r>
      <w:proofErr w:type="spellEnd"/>
      <w:r w:rsidRPr="00D407BD">
        <w:rPr>
          <w:szCs w:val="24"/>
        </w:rPr>
        <w:t xml:space="preserve">, open-label, active controlled </w:t>
      </w:r>
      <w:proofErr w:type="spellStart"/>
      <w:r w:rsidRPr="00D407BD">
        <w:rPr>
          <w:szCs w:val="24"/>
        </w:rPr>
        <w:t>multicentre</w:t>
      </w:r>
      <w:proofErr w:type="spellEnd"/>
      <w:r w:rsidRPr="00D407BD">
        <w:rPr>
          <w:szCs w:val="24"/>
        </w:rPr>
        <w:t xml:space="preserve"> study comparing </w:t>
      </w:r>
      <w:r w:rsidR="00767354" w:rsidRPr="00D407BD">
        <w:rPr>
          <w:szCs w:val="24"/>
        </w:rPr>
        <w:t xml:space="preserve">two different dosing regimens </w:t>
      </w:r>
      <w:proofErr w:type="gramStart"/>
      <w:r w:rsidRPr="00D407BD">
        <w:rPr>
          <w:szCs w:val="24"/>
        </w:rPr>
        <w:t xml:space="preserve">in 511 antiretroviral-naïve </w:t>
      </w:r>
      <w:r w:rsidR="00767354" w:rsidRPr="00D407BD">
        <w:rPr>
          <w:szCs w:val="24"/>
        </w:rPr>
        <w:t>HIV-1</w:t>
      </w:r>
      <w:proofErr w:type="gramEnd"/>
      <w:r w:rsidR="00767354" w:rsidRPr="00D407BD">
        <w:rPr>
          <w:szCs w:val="24"/>
        </w:rPr>
        <w:t xml:space="preserve"> infected </w:t>
      </w:r>
      <w:r w:rsidRPr="00D407BD">
        <w:rPr>
          <w:szCs w:val="24"/>
        </w:rPr>
        <w:t xml:space="preserve">patients. </w:t>
      </w:r>
      <w:r w:rsidR="00767354" w:rsidRPr="00D407BD">
        <w:rPr>
          <w:szCs w:val="24"/>
        </w:rPr>
        <w:t xml:space="preserve"> </w:t>
      </w:r>
      <w:r w:rsidR="00DA5725" w:rsidRPr="00D407BD">
        <w:rPr>
          <w:szCs w:val="24"/>
        </w:rPr>
        <w:t xml:space="preserve">Patients were </w:t>
      </w:r>
      <w:proofErr w:type="spellStart"/>
      <w:r w:rsidR="00DA5725" w:rsidRPr="00D407BD">
        <w:rPr>
          <w:szCs w:val="24"/>
        </w:rPr>
        <w:t>randomis</w:t>
      </w:r>
      <w:r w:rsidR="00767354" w:rsidRPr="00D407BD">
        <w:rPr>
          <w:szCs w:val="24"/>
        </w:rPr>
        <w:t>ed</w:t>
      </w:r>
      <w:proofErr w:type="spellEnd"/>
      <w:r w:rsidR="00767354" w:rsidRPr="00D407BD">
        <w:rPr>
          <w:szCs w:val="24"/>
        </w:rPr>
        <w:t xml:space="preserve"> to receive either EMTRIVA + VIREAD administered in combination with </w:t>
      </w:r>
      <w:proofErr w:type="spellStart"/>
      <w:r w:rsidR="00767354" w:rsidRPr="00D407BD">
        <w:rPr>
          <w:szCs w:val="24"/>
        </w:rPr>
        <w:t>efavirenz</w:t>
      </w:r>
      <w:proofErr w:type="spellEnd"/>
      <w:r w:rsidR="00767354" w:rsidRPr="00D407BD">
        <w:rPr>
          <w:szCs w:val="24"/>
        </w:rPr>
        <w:t xml:space="preserve"> or COMBIVIR (lamivudine/zidovudine) administered in combination with </w:t>
      </w:r>
      <w:proofErr w:type="spellStart"/>
      <w:r w:rsidR="00767354" w:rsidRPr="00D407BD">
        <w:rPr>
          <w:szCs w:val="24"/>
        </w:rPr>
        <w:t>efavirenz</w:t>
      </w:r>
      <w:proofErr w:type="spellEnd"/>
      <w:r w:rsidR="00DA5725" w:rsidRPr="00D407BD">
        <w:rPr>
          <w:szCs w:val="24"/>
        </w:rPr>
        <w:t xml:space="preserve">. For patients </w:t>
      </w:r>
      <w:proofErr w:type="spellStart"/>
      <w:r w:rsidR="00DA5725" w:rsidRPr="00D407BD">
        <w:rPr>
          <w:szCs w:val="24"/>
        </w:rPr>
        <w:t>randomis</w:t>
      </w:r>
      <w:r w:rsidR="00767354" w:rsidRPr="00D407BD">
        <w:rPr>
          <w:szCs w:val="24"/>
        </w:rPr>
        <w:t>ed</w:t>
      </w:r>
      <w:proofErr w:type="spellEnd"/>
      <w:r w:rsidR="00767354" w:rsidRPr="00D407BD">
        <w:rPr>
          <w:szCs w:val="24"/>
        </w:rPr>
        <w:t xml:space="preserve"> to receive EMTRIVA + VIREAD the two drugs were administered individually for the first 96 weeks and then switched to TRUVADA (fixed dose combination) during weeks 96 to 144</w:t>
      </w:r>
      <w:r w:rsidR="001B36ED" w:rsidRPr="00D407BD">
        <w:rPr>
          <w:szCs w:val="24"/>
        </w:rPr>
        <w:t>, without regard to food</w:t>
      </w:r>
      <w:r w:rsidR="00767354" w:rsidRPr="00D407BD">
        <w:rPr>
          <w:szCs w:val="24"/>
        </w:rPr>
        <w:t>.</w:t>
      </w:r>
    </w:p>
    <w:p w:rsidR="00767354" w:rsidRPr="00D407BD" w:rsidRDefault="00767354" w:rsidP="00DC7153">
      <w:pPr>
        <w:autoSpaceDE w:val="0"/>
        <w:autoSpaceDN w:val="0"/>
        <w:adjustRightInd w:val="0"/>
        <w:rPr>
          <w:szCs w:val="24"/>
        </w:rPr>
      </w:pPr>
    </w:p>
    <w:p w:rsidR="00767354" w:rsidRPr="00D407BD" w:rsidRDefault="00DC7153" w:rsidP="00767354">
      <w:pPr>
        <w:autoSpaceDE w:val="0"/>
        <w:autoSpaceDN w:val="0"/>
        <w:adjustRightInd w:val="0"/>
        <w:rPr>
          <w:szCs w:val="24"/>
        </w:rPr>
      </w:pPr>
      <w:r w:rsidRPr="00D407BD">
        <w:rPr>
          <w:szCs w:val="24"/>
        </w:rPr>
        <w:t xml:space="preserve">For inclusion in the study, antiretroviral treatment naïve adult patients (≥ 18 years) with plasma HIV RNA greater than 10,000 copies/mL, must have an estimated glomerular filtration rate as measured by </w:t>
      </w:r>
      <w:proofErr w:type="spellStart"/>
      <w:r w:rsidRPr="00D407BD">
        <w:rPr>
          <w:szCs w:val="24"/>
        </w:rPr>
        <w:t>Cockroft</w:t>
      </w:r>
      <w:proofErr w:type="spellEnd"/>
      <w:r w:rsidRPr="00D407BD">
        <w:rPr>
          <w:szCs w:val="24"/>
        </w:rPr>
        <w:t xml:space="preserve">-Gault method of ≥ 50 mL/min, adequate </w:t>
      </w:r>
      <w:proofErr w:type="spellStart"/>
      <w:r w:rsidRPr="00D407BD">
        <w:rPr>
          <w:szCs w:val="24"/>
        </w:rPr>
        <w:t>haematologic</w:t>
      </w:r>
      <w:proofErr w:type="spellEnd"/>
      <w:r w:rsidRPr="00D407BD">
        <w:rPr>
          <w:szCs w:val="24"/>
        </w:rPr>
        <w:t xml:space="preserve"> function, hepatic transaminases and alanine aminotransferases ≤ 3 ULN, total bilirubin ≤ 1.5 mg/</w:t>
      </w:r>
      <w:proofErr w:type="spellStart"/>
      <w:r w:rsidRPr="00D407BD">
        <w:rPr>
          <w:szCs w:val="24"/>
        </w:rPr>
        <w:t>dL</w:t>
      </w:r>
      <w:proofErr w:type="spellEnd"/>
      <w:r w:rsidRPr="00D407BD">
        <w:rPr>
          <w:szCs w:val="24"/>
        </w:rPr>
        <w:t>, serum amylase ≤ 1.5 ULN and serum phosphorus ≥ 2.2 mg/</w:t>
      </w:r>
      <w:proofErr w:type="spellStart"/>
      <w:r w:rsidRPr="00D407BD">
        <w:rPr>
          <w:szCs w:val="24"/>
        </w:rPr>
        <w:t>dL</w:t>
      </w:r>
      <w:proofErr w:type="spellEnd"/>
      <w:r w:rsidRPr="00D407BD">
        <w:rPr>
          <w:szCs w:val="24"/>
        </w:rPr>
        <w:t xml:space="preserve">.  Exclusion criteria included: a new AIDS defining condition diagnosed within 30 days (except on the basis of CD4 criteria), ongoing therapy with nephrotoxic drugs or agents that interacted with </w:t>
      </w:r>
      <w:proofErr w:type="spellStart"/>
      <w:r w:rsidRPr="00D407BD">
        <w:rPr>
          <w:szCs w:val="24"/>
        </w:rPr>
        <w:t>efavirenz</w:t>
      </w:r>
      <w:proofErr w:type="spellEnd"/>
      <w:r w:rsidRPr="00D407BD">
        <w:rPr>
          <w:szCs w:val="24"/>
        </w:rPr>
        <w:t xml:space="preserve">, pregnancy/lactation, a history of clinically significant renal / bone disease or malignant disease other than Kaposi’s sarcoma or basal-cell carcinoma, or a life expectancy of less than one year.  </w:t>
      </w:r>
      <w:r w:rsidR="00767354" w:rsidRPr="00D407BD">
        <w:rPr>
          <w:szCs w:val="24"/>
        </w:rPr>
        <w:t xml:space="preserve">If </w:t>
      </w:r>
      <w:proofErr w:type="spellStart"/>
      <w:r w:rsidR="00767354" w:rsidRPr="00D407BD">
        <w:rPr>
          <w:szCs w:val="24"/>
        </w:rPr>
        <w:t>efavirenz</w:t>
      </w:r>
      <w:proofErr w:type="spellEnd"/>
      <w:r w:rsidR="00767354" w:rsidRPr="00D407BD">
        <w:rPr>
          <w:szCs w:val="24"/>
        </w:rPr>
        <w:t xml:space="preserve">-associated central nervous system toxicities occurred, </w:t>
      </w:r>
      <w:proofErr w:type="spellStart"/>
      <w:r w:rsidR="00767354" w:rsidRPr="00D407BD">
        <w:rPr>
          <w:szCs w:val="24"/>
        </w:rPr>
        <w:t>nevirapine</w:t>
      </w:r>
      <w:proofErr w:type="spellEnd"/>
      <w:r w:rsidR="00767354" w:rsidRPr="00D407BD">
        <w:rPr>
          <w:szCs w:val="24"/>
        </w:rPr>
        <w:t xml:space="preserve"> could be substituted for </w:t>
      </w:r>
      <w:proofErr w:type="spellStart"/>
      <w:r w:rsidR="00767354" w:rsidRPr="00D407BD">
        <w:rPr>
          <w:szCs w:val="24"/>
        </w:rPr>
        <w:t>efavirenz</w:t>
      </w:r>
      <w:proofErr w:type="spellEnd"/>
      <w:r w:rsidR="00767354" w:rsidRPr="00D407BD">
        <w:rPr>
          <w:szCs w:val="24"/>
        </w:rPr>
        <w:t>.  Patients who were not receiving their originally assigned treatment regimen after week 48 or 96 and during the 30-day extension study window were not eligible to continue to weeks 96 or 144 respectively.</w:t>
      </w:r>
    </w:p>
    <w:p w:rsidR="00767354" w:rsidRPr="00D407BD" w:rsidRDefault="00767354" w:rsidP="00DC7153">
      <w:pPr>
        <w:autoSpaceDE w:val="0"/>
        <w:autoSpaceDN w:val="0"/>
        <w:adjustRightInd w:val="0"/>
        <w:rPr>
          <w:szCs w:val="24"/>
        </w:rPr>
      </w:pPr>
    </w:p>
    <w:p w:rsidR="00BD577A" w:rsidRDefault="00DC7153" w:rsidP="00DC7153">
      <w:pPr>
        <w:autoSpaceDE w:val="0"/>
        <w:autoSpaceDN w:val="0"/>
        <w:adjustRightInd w:val="0"/>
        <w:rPr>
          <w:szCs w:val="24"/>
        </w:rPr>
      </w:pPr>
      <w:r w:rsidRPr="00D407BD">
        <w:rPr>
          <w:szCs w:val="24"/>
        </w:rPr>
        <w:t>Patients had a mean age of 38 years (range 18</w:t>
      </w:r>
      <w:r w:rsidR="00767354" w:rsidRPr="00D407BD">
        <w:rPr>
          <w:szCs w:val="24"/>
        </w:rPr>
        <w:t xml:space="preserve"> to </w:t>
      </w:r>
      <w:r w:rsidRPr="00D407BD">
        <w:rPr>
          <w:szCs w:val="24"/>
        </w:rPr>
        <w:t xml:space="preserve">80), 86% were male, 59% were Caucasian and 23% were Black. The mean baseline CD4 cell count was </w:t>
      </w:r>
      <w:proofErr w:type="gramStart"/>
      <w:r w:rsidRPr="00D407BD">
        <w:rPr>
          <w:szCs w:val="24"/>
        </w:rPr>
        <w:t>245 cells/mm</w:t>
      </w:r>
      <w:r w:rsidRPr="00D407BD">
        <w:rPr>
          <w:szCs w:val="24"/>
          <w:vertAlign w:val="superscript"/>
        </w:rPr>
        <w:t>3</w:t>
      </w:r>
      <w:r w:rsidRPr="00D407BD">
        <w:rPr>
          <w:szCs w:val="24"/>
        </w:rPr>
        <w:t xml:space="preserve"> (range 2</w:t>
      </w:r>
      <w:r w:rsidR="00767354" w:rsidRPr="00D407BD">
        <w:rPr>
          <w:szCs w:val="24"/>
        </w:rPr>
        <w:t xml:space="preserve"> to </w:t>
      </w:r>
      <w:r w:rsidRPr="00D407BD">
        <w:rPr>
          <w:szCs w:val="24"/>
        </w:rPr>
        <w:t>1191)</w:t>
      </w:r>
      <w:proofErr w:type="gramEnd"/>
      <w:r w:rsidRPr="00D407BD">
        <w:rPr>
          <w:szCs w:val="24"/>
        </w:rPr>
        <w:t xml:space="preserve"> and median baseline plasma HIV-1 RNA was 5.01 log</w:t>
      </w:r>
      <w:r w:rsidRPr="00D407BD">
        <w:rPr>
          <w:szCs w:val="24"/>
          <w:vertAlign w:val="subscript"/>
        </w:rPr>
        <w:t>10</w:t>
      </w:r>
      <w:r w:rsidRPr="00D407BD">
        <w:rPr>
          <w:szCs w:val="24"/>
        </w:rPr>
        <w:t xml:space="preserve"> copies/mL (range 3.56</w:t>
      </w:r>
      <w:r w:rsidR="00767354" w:rsidRPr="00D407BD">
        <w:rPr>
          <w:szCs w:val="24"/>
        </w:rPr>
        <w:t xml:space="preserve"> to </w:t>
      </w:r>
      <w:r w:rsidRPr="00D407BD">
        <w:rPr>
          <w:szCs w:val="24"/>
        </w:rPr>
        <w:t>6.54). Patients were stratified by baseline CD4 count (&lt; or ≥ 200 cells/mm</w:t>
      </w:r>
      <w:r w:rsidRPr="00D407BD">
        <w:rPr>
          <w:szCs w:val="24"/>
          <w:vertAlign w:val="superscript"/>
        </w:rPr>
        <w:t>3</w:t>
      </w:r>
      <w:r w:rsidRPr="00D407BD">
        <w:rPr>
          <w:szCs w:val="24"/>
        </w:rPr>
        <w:t>); 41% had CD4 cell counts &lt;200 cells/mm</w:t>
      </w:r>
      <w:r w:rsidRPr="00D407BD">
        <w:rPr>
          <w:szCs w:val="24"/>
          <w:vertAlign w:val="superscript"/>
        </w:rPr>
        <w:t>3</w:t>
      </w:r>
      <w:r w:rsidRPr="00D407BD">
        <w:rPr>
          <w:szCs w:val="24"/>
        </w:rPr>
        <w:t xml:space="preserve"> and 51% of patients had baseline viral loads &gt;100,000 copies/mL Treatment outcomes </w:t>
      </w:r>
      <w:r w:rsidR="00FE1366" w:rsidRPr="00D407BD">
        <w:rPr>
          <w:szCs w:val="24"/>
        </w:rPr>
        <w:t>at</w:t>
      </w:r>
      <w:r w:rsidRPr="00D407BD">
        <w:rPr>
          <w:szCs w:val="24"/>
        </w:rPr>
        <w:t xml:space="preserve"> 48 </w:t>
      </w:r>
      <w:r w:rsidR="00FE1366" w:rsidRPr="00D407BD">
        <w:rPr>
          <w:szCs w:val="24"/>
        </w:rPr>
        <w:t xml:space="preserve">and 144 </w:t>
      </w:r>
      <w:r w:rsidRPr="00D407BD">
        <w:rPr>
          <w:szCs w:val="24"/>
        </w:rPr>
        <w:t xml:space="preserve">weeks for those patients who did not have </w:t>
      </w:r>
      <w:proofErr w:type="spellStart"/>
      <w:r w:rsidRPr="00D407BD">
        <w:rPr>
          <w:szCs w:val="24"/>
        </w:rPr>
        <w:t>efavirenz</w:t>
      </w:r>
      <w:proofErr w:type="spellEnd"/>
      <w:r w:rsidRPr="00D407BD">
        <w:rPr>
          <w:szCs w:val="24"/>
        </w:rPr>
        <w:t xml:space="preserve"> resistance at baseline are presented in</w:t>
      </w:r>
      <w:r w:rsidR="00DA5725" w:rsidRPr="00D407BD">
        <w:rPr>
          <w:szCs w:val="24"/>
        </w:rPr>
        <w:t xml:space="preserve"> Table 3</w:t>
      </w:r>
      <w:r w:rsidRPr="00D407BD">
        <w:rPr>
          <w:szCs w:val="24"/>
        </w:rPr>
        <w:t>.</w:t>
      </w:r>
    </w:p>
    <w:p w:rsidR="00BD577A" w:rsidRDefault="00BD577A">
      <w:pPr>
        <w:jc w:val="left"/>
        <w:rPr>
          <w:szCs w:val="24"/>
        </w:rPr>
      </w:pPr>
      <w:r>
        <w:rPr>
          <w:szCs w:val="24"/>
        </w:rPr>
        <w:br w:type="page"/>
      </w:r>
    </w:p>
    <w:p w:rsidR="00DC7153" w:rsidRPr="008030D0" w:rsidRDefault="00AE0118" w:rsidP="00BD577A">
      <w:pPr>
        <w:pStyle w:val="Caption"/>
        <w:rPr>
          <w:szCs w:val="24"/>
        </w:rPr>
      </w:pPr>
      <w:bookmarkStart w:id="2" w:name="_Ref159391873"/>
      <w:proofErr w:type="gramStart"/>
      <w:r w:rsidRPr="008030D0">
        <w:rPr>
          <w:szCs w:val="24"/>
        </w:rPr>
        <w:lastRenderedPageBreak/>
        <w:t xml:space="preserve">Table </w:t>
      </w:r>
      <w:r w:rsidRPr="008030D0">
        <w:rPr>
          <w:szCs w:val="24"/>
        </w:rPr>
        <w:fldChar w:fldCharType="begin"/>
      </w:r>
      <w:r w:rsidRPr="008030D0">
        <w:rPr>
          <w:szCs w:val="24"/>
        </w:rPr>
        <w:instrText xml:space="preserve"> SEQ Table \* ARABIC </w:instrText>
      </w:r>
      <w:r w:rsidRPr="008030D0">
        <w:rPr>
          <w:szCs w:val="24"/>
        </w:rPr>
        <w:fldChar w:fldCharType="separate"/>
      </w:r>
      <w:r w:rsidR="00440D32">
        <w:rPr>
          <w:noProof/>
          <w:szCs w:val="24"/>
        </w:rPr>
        <w:t>3</w:t>
      </w:r>
      <w:r w:rsidRPr="008030D0">
        <w:rPr>
          <w:szCs w:val="24"/>
        </w:rPr>
        <w:fldChar w:fldCharType="end"/>
      </w:r>
      <w:bookmarkEnd w:id="2"/>
      <w:r w:rsidRPr="008030D0">
        <w:rPr>
          <w:szCs w:val="24"/>
        </w:rPr>
        <w:t>.</w:t>
      </w:r>
      <w:proofErr w:type="gramEnd"/>
      <w:r w:rsidRPr="008030D0">
        <w:rPr>
          <w:szCs w:val="24"/>
        </w:rPr>
        <w:tab/>
      </w:r>
      <w:r w:rsidR="00DC7153" w:rsidRPr="008030D0">
        <w:rPr>
          <w:szCs w:val="24"/>
        </w:rPr>
        <w:t xml:space="preserve">Outcomes of </w:t>
      </w:r>
      <w:proofErr w:type="spellStart"/>
      <w:r w:rsidR="00DC7153" w:rsidRPr="008030D0">
        <w:rPr>
          <w:szCs w:val="24"/>
        </w:rPr>
        <w:t>Randomised</w:t>
      </w:r>
      <w:proofErr w:type="spellEnd"/>
      <w:r w:rsidR="00DC7153" w:rsidRPr="008030D0">
        <w:rPr>
          <w:szCs w:val="24"/>
        </w:rPr>
        <w:t xml:space="preserve"> Treatment at Week</w:t>
      </w:r>
      <w:r w:rsidR="00FE1366" w:rsidRPr="008030D0">
        <w:rPr>
          <w:szCs w:val="24"/>
        </w:rPr>
        <w:t>s</w:t>
      </w:r>
      <w:r w:rsidR="00DC7153" w:rsidRPr="008030D0">
        <w:rPr>
          <w:szCs w:val="24"/>
        </w:rPr>
        <w:t xml:space="preserve"> 48 </w:t>
      </w:r>
      <w:r w:rsidR="00FE1366" w:rsidRPr="008030D0">
        <w:rPr>
          <w:szCs w:val="24"/>
        </w:rPr>
        <w:t xml:space="preserve">and 144 </w:t>
      </w:r>
      <w:r w:rsidR="00DC7153" w:rsidRPr="008030D0">
        <w:rPr>
          <w:szCs w:val="24"/>
        </w:rPr>
        <w:t>(Study 934) in Treatment Naïve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1800"/>
        <w:gridCol w:w="1533"/>
        <w:gridCol w:w="1496"/>
        <w:gridCol w:w="1497"/>
      </w:tblGrid>
      <w:tr w:rsidR="001E73C3" w:rsidRPr="008030D0" w:rsidTr="00BD577A">
        <w:trPr>
          <w:tblHeader/>
        </w:trPr>
        <w:tc>
          <w:tcPr>
            <w:tcW w:w="3468" w:type="dxa"/>
            <w:vMerge w:val="restart"/>
            <w:shd w:val="clear" w:color="auto" w:fill="auto"/>
            <w:vAlign w:val="center"/>
          </w:tcPr>
          <w:p w:rsidR="001E73C3" w:rsidRPr="008030D0" w:rsidRDefault="001E73C3" w:rsidP="0074719A">
            <w:pPr>
              <w:autoSpaceDE w:val="0"/>
              <w:autoSpaceDN w:val="0"/>
              <w:adjustRightInd w:val="0"/>
              <w:spacing w:before="120" w:after="120"/>
              <w:rPr>
                <w:b/>
                <w:bCs/>
                <w:szCs w:val="24"/>
              </w:rPr>
            </w:pPr>
            <w:r w:rsidRPr="008030D0">
              <w:rPr>
                <w:b/>
                <w:bCs/>
                <w:szCs w:val="24"/>
              </w:rPr>
              <w:t xml:space="preserve">Outcome at Weeks 48 and 144 </w:t>
            </w:r>
          </w:p>
        </w:tc>
        <w:tc>
          <w:tcPr>
            <w:tcW w:w="3376" w:type="dxa"/>
            <w:gridSpan w:val="2"/>
            <w:shd w:val="clear" w:color="auto" w:fill="auto"/>
          </w:tcPr>
          <w:p w:rsidR="001E73C3" w:rsidRPr="008030D0" w:rsidRDefault="001E73C3" w:rsidP="0074719A">
            <w:pPr>
              <w:autoSpaceDE w:val="0"/>
              <w:autoSpaceDN w:val="0"/>
              <w:adjustRightInd w:val="0"/>
              <w:jc w:val="center"/>
              <w:rPr>
                <w:b/>
                <w:bCs/>
                <w:szCs w:val="24"/>
              </w:rPr>
            </w:pPr>
            <w:r w:rsidRPr="008030D0">
              <w:rPr>
                <w:b/>
                <w:bCs/>
                <w:szCs w:val="24"/>
              </w:rPr>
              <w:t>WEEK 48</w:t>
            </w:r>
          </w:p>
        </w:tc>
        <w:tc>
          <w:tcPr>
            <w:tcW w:w="2776" w:type="dxa"/>
            <w:gridSpan w:val="2"/>
            <w:shd w:val="clear" w:color="auto" w:fill="auto"/>
          </w:tcPr>
          <w:p w:rsidR="001E73C3" w:rsidRPr="008030D0" w:rsidRDefault="001E73C3" w:rsidP="0074719A">
            <w:pPr>
              <w:autoSpaceDE w:val="0"/>
              <w:autoSpaceDN w:val="0"/>
              <w:adjustRightInd w:val="0"/>
              <w:jc w:val="center"/>
              <w:rPr>
                <w:b/>
                <w:bCs/>
                <w:szCs w:val="24"/>
              </w:rPr>
            </w:pPr>
            <w:r w:rsidRPr="008030D0">
              <w:rPr>
                <w:b/>
                <w:bCs/>
                <w:szCs w:val="24"/>
              </w:rPr>
              <w:t>WEEK 144</w:t>
            </w:r>
          </w:p>
        </w:tc>
      </w:tr>
      <w:tr w:rsidR="001E73C3" w:rsidRPr="008030D0" w:rsidTr="00BD577A">
        <w:trPr>
          <w:tblHeader/>
        </w:trPr>
        <w:tc>
          <w:tcPr>
            <w:tcW w:w="3468" w:type="dxa"/>
            <w:vMerge/>
            <w:shd w:val="clear" w:color="auto" w:fill="auto"/>
            <w:vAlign w:val="center"/>
          </w:tcPr>
          <w:p w:rsidR="001E73C3" w:rsidRPr="008030D0" w:rsidRDefault="001E73C3" w:rsidP="0074719A">
            <w:pPr>
              <w:autoSpaceDE w:val="0"/>
              <w:autoSpaceDN w:val="0"/>
              <w:adjustRightInd w:val="0"/>
              <w:spacing w:before="120" w:after="120"/>
              <w:rPr>
                <w:b/>
                <w:bCs/>
                <w:szCs w:val="24"/>
              </w:rPr>
            </w:pPr>
          </w:p>
        </w:tc>
        <w:tc>
          <w:tcPr>
            <w:tcW w:w="1840" w:type="dxa"/>
            <w:shd w:val="clear" w:color="auto" w:fill="auto"/>
          </w:tcPr>
          <w:p w:rsidR="001E73C3" w:rsidRPr="008030D0" w:rsidRDefault="001E73C3" w:rsidP="0074719A">
            <w:pPr>
              <w:autoSpaceDE w:val="0"/>
              <w:autoSpaceDN w:val="0"/>
              <w:adjustRightInd w:val="0"/>
              <w:jc w:val="center"/>
              <w:rPr>
                <w:b/>
                <w:bCs/>
                <w:szCs w:val="24"/>
              </w:rPr>
            </w:pPr>
            <w:r w:rsidRPr="008030D0">
              <w:rPr>
                <w:b/>
                <w:bCs/>
                <w:szCs w:val="24"/>
              </w:rPr>
              <w:t>EMTRIVA + VIREAD + EFV</w:t>
            </w:r>
          </w:p>
          <w:p w:rsidR="001E73C3" w:rsidRPr="008030D0" w:rsidRDefault="001E73C3" w:rsidP="0074719A">
            <w:pPr>
              <w:autoSpaceDE w:val="0"/>
              <w:autoSpaceDN w:val="0"/>
              <w:adjustRightInd w:val="0"/>
              <w:jc w:val="center"/>
              <w:rPr>
                <w:b/>
                <w:bCs/>
                <w:szCs w:val="24"/>
              </w:rPr>
            </w:pPr>
            <w:r w:rsidRPr="008030D0">
              <w:rPr>
                <w:b/>
                <w:bCs/>
                <w:szCs w:val="24"/>
              </w:rPr>
              <w:t>(N=244)</w:t>
            </w:r>
          </w:p>
        </w:tc>
        <w:tc>
          <w:tcPr>
            <w:tcW w:w="1536" w:type="dxa"/>
            <w:shd w:val="clear" w:color="auto" w:fill="auto"/>
          </w:tcPr>
          <w:p w:rsidR="001E73C3" w:rsidRPr="008030D0" w:rsidRDefault="001E73C3" w:rsidP="0074719A">
            <w:pPr>
              <w:autoSpaceDE w:val="0"/>
              <w:autoSpaceDN w:val="0"/>
              <w:adjustRightInd w:val="0"/>
              <w:jc w:val="center"/>
              <w:rPr>
                <w:b/>
                <w:bCs/>
                <w:szCs w:val="24"/>
              </w:rPr>
            </w:pPr>
            <w:r w:rsidRPr="008030D0">
              <w:rPr>
                <w:b/>
                <w:bCs/>
                <w:szCs w:val="24"/>
              </w:rPr>
              <w:t>COMBIVIR</w:t>
            </w:r>
          </w:p>
          <w:p w:rsidR="001E73C3" w:rsidRPr="008030D0" w:rsidRDefault="001E73C3" w:rsidP="0074719A">
            <w:pPr>
              <w:autoSpaceDE w:val="0"/>
              <w:autoSpaceDN w:val="0"/>
              <w:adjustRightInd w:val="0"/>
              <w:jc w:val="center"/>
              <w:rPr>
                <w:b/>
                <w:bCs/>
                <w:szCs w:val="24"/>
              </w:rPr>
            </w:pPr>
            <w:r w:rsidRPr="008030D0">
              <w:rPr>
                <w:b/>
                <w:bCs/>
                <w:szCs w:val="24"/>
              </w:rPr>
              <w:t>+ EFV</w:t>
            </w:r>
          </w:p>
          <w:p w:rsidR="001E73C3" w:rsidRPr="008030D0" w:rsidRDefault="001E73C3" w:rsidP="0074719A">
            <w:pPr>
              <w:autoSpaceDE w:val="0"/>
              <w:autoSpaceDN w:val="0"/>
              <w:adjustRightInd w:val="0"/>
              <w:jc w:val="center"/>
              <w:rPr>
                <w:b/>
                <w:bCs/>
                <w:szCs w:val="24"/>
              </w:rPr>
            </w:pPr>
            <w:r w:rsidRPr="008030D0">
              <w:rPr>
                <w:b/>
                <w:bCs/>
                <w:szCs w:val="24"/>
              </w:rPr>
              <w:t>(N=243)</w:t>
            </w:r>
          </w:p>
        </w:tc>
        <w:tc>
          <w:tcPr>
            <w:tcW w:w="1386" w:type="dxa"/>
            <w:shd w:val="clear" w:color="auto" w:fill="auto"/>
          </w:tcPr>
          <w:p w:rsidR="001E73C3" w:rsidRPr="008030D0" w:rsidRDefault="001E73C3" w:rsidP="0074719A">
            <w:pPr>
              <w:autoSpaceDE w:val="0"/>
              <w:autoSpaceDN w:val="0"/>
              <w:adjustRightInd w:val="0"/>
              <w:jc w:val="center"/>
              <w:rPr>
                <w:b/>
                <w:bCs/>
                <w:szCs w:val="24"/>
              </w:rPr>
            </w:pPr>
            <w:r w:rsidRPr="008030D0">
              <w:rPr>
                <w:b/>
                <w:bCs/>
                <w:szCs w:val="24"/>
              </w:rPr>
              <w:t>TRUVADA</w:t>
            </w:r>
            <w:r w:rsidRPr="008030D0">
              <w:rPr>
                <w:b/>
                <w:bCs/>
                <w:szCs w:val="24"/>
                <w:vertAlign w:val="superscript"/>
              </w:rPr>
              <w:t>4</w:t>
            </w:r>
            <w:r w:rsidRPr="008030D0">
              <w:rPr>
                <w:b/>
                <w:bCs/>
                <w:szCs w:val="24"/>
              </w:rPr>
              <w:t xml:space="preserve"> + EFV</w:t>
            </w:r>
          </w:p>
          <w:p w:rsidR="001E73C3" w:rsidRPr="008030D0" w:rsidRDefault="001E73C3" w:rsidP="0074719A">
            <w:pPr>
              <w:autoSpaceDE w:val="0"/>
              <w:autoSpaceDN w:val="0"/>
              <w:adjustRightInd w:val="0"/>
              <w:jc w:val="center"/>
              <w:rPr>
                <w:b/>
                <w:bCs/>
                <w:szCs w:val="24"/>
              </w:rPr>
            </w:pPr>
            <w:r w:rsidRPr="008030D0">
              <w:rPr>
                <w:b/>
                <w:bCs/>
                <w:szCs w:val="24"/>
              </w:rPr>
              <w:t>(N=227)</w:t>
            </w:r>
          </w:p>
        </w:tc>
        <w:tc>
          <w:tcPr>
            <w:tcW w:w="1390" w:type="dxa"/>
            <w:shd w:val="clear" w:color="auto" w:fill="auto"/>
          </w:tcPr>
          <w:p w:rsidR="001E73C3" w:rsidRPr="008030D0" w:rsidRDefault="001E73C3" w:rsidP="0074719A">
            <w:pPr>
              <w:autoSpaceDE w:val="0"/>
              <w:autoSpaceDN w:val="0"/>
              <w:adjustRightInd w:val="0"/>
              <w:jc w:val="center"/>
              <w:rPr>
                <w:b/>
                <w:bCs/>
                <w:szCs w:val="24"/>
              </w:rPr>
            </w:pPr>
            <w:r w:rsidRPr="008030D0">
              <w:rPr>
                <w:b/>
                <w:bCs/>
                <w:szCs w:val="24"/>
              </w:rPr>
              <w:t>COMBIVIR</w:t>
            </w:r>
          </w:p>
          <w:p w:rsidR="001E73C3" w:rsidRPr="008030D0" w:rsidRDefault="001E73C3" w:rsidP="0074719A">
            <w:pPr>
              <w:autoSpaceDE w:val="0"/>
              <w:autoSpaceDN w:val="0"/>
              <w:adjustRightInd w:val="0"/>
              <w:jc w:val="center"/>
              <w:rPr>
                <w:b/>
                <w:bCs/>
                <w:szCs w:val="24"/>
              </w:rPr>
            </w:pPr>
            <w:r w:rsidRPr="008030D0">
              <w:rPr>
                <w:b/>
                <w:bCs/>
                <w:szCs w:val="24"/>
              </w:rPr>
              <w:t>+ EFV</w:t>
            </w:r>
          </w:p>
          <w:p w:rsidR="001E73C3" w:rsidRPr="008030D0" w:rsidRDefault="001E73C3" w:rsidP="0074719A">
            <w:pPr>
              <w:autoSpaceDE w:val="0"/>
              <w:autoSpaceDN w:val="0"/>
              <w:adjustRightInd w:val="0"/>
              <w:jc w:val="center"/>
              <w:rPr>
                <w:b/>
                <w:bCs/>
                <w:szCs w:val="24"/>
              </w:rPr>
            </w:pPr>
            <w:r w:rsidRPr="008030D0">
              <w:rPr>
                <w:b/>
                <w:bCs/>
                <w:szCs w:val="24"/>
              </w:rPr>
              <w:t>(N=229)</w:t>
            </w:r>
          </w:p>
        </w:tc>
      </w:tr>
      <w:tr w:rsidR="00FE1366" w:rsidRPr="008030D0" w:rsidTr="00BD577A">
        <w:trPr>
          <w:tblHeader/>
        </w:trPr>
        <w:tc>
          <w:tcPr>
            <w:tcW w:w="3468" w:type="dxa"/>
            <w:shd w:val="clear" w:color="auto" w:fill="auto"/>
            <w:vAlign w:val="center"/>
          </w:tcPr>
          <w:p w:rsidR="00FE1366" w:rsidRPr="008030D0" w:rsidRDefault="00FE1366" w:rsidP="0074719A">
            <w:pPr>
              <w:autoSpaceDE w:val="0"/>
              <w:autoSpaceDN w:val="0"/>
              <w:adjustRightInd w:val="0"/>
              <w:spacing w:before="120" w:after="120"/>
              <w:rPr>
                <w:bCs/>
                <w:szCs w:val="24"/>
              </w:rPr>
            </w:pPr>
            <w:r w:rsidRPr="008030D0">
              <w:rPr>
                <w:szCs w:val="24"/>
              </w:rPr>
              <w:t>Responder</w:t>
            </w:r>
            <w:r w:rsidRPr="008030D0">
              <w:rPr>
                <w:szCs w:val="24"/>
                <w:vertAlign w:val="superscript"/>
              </w:rPr>
              <w:t>1</w:t>
            </w:r>
          </w:p>
        </w:tc>
        <w:tc>
          <w:tcPr>
            <w:tcW w:w="1840" w:type="dxa"/>
            <w:shd w:val="clear" w:color="auto" w:fill="auto"/>
            <w:vAlign w:val="center"/>
          </w:tcPr>
          <w:p w:rsidR="00FE1366" w:rsidRPr="008030D0" w:rsidRDefault="00FE1366" w:rsidP="0074719A">
            <w:pPr>
              <w:autoSpaceDE w:val="0"/>
              <w:autoSpaceDN w:val="0"/>
              <w:adjustRightInd w:val="0"/>
              <w:spacing w:before="120" w:after="120"/>
              <w:jc w:val="center"/>
              <w:rPr>
                <w:bCs/>
                <w:szCs w:val="24"/>
              </w:rPr>
            </w:pPr>
            <w:r w:rsidRPr="008030D0">
              <w:rPr>
                <w:szCs w:val="24"/>
              </w:rPr>
              <w:t>84%</w:t>
            </w:r>
          </w:p>
        </w:tc>
        <w:tc>
          <w:tcPr>
            <w:tcW w:w="1536" w:type="dxa"/>
            <w:shd w:val="clear" w:color="auto" w:fill="auto"/>
            <w:vAlign w:val="center"/>
          </w:tcPr>
          <w:p w:rsidR="00FE1366" w:rsidRPr="008030D0" w:rsidRDefault="00FE1366" w:rsidP="0074719A">
            <w:pPr>
              <w:autoSpaceDE w:val="0"/>
              <w:autoSpaceDN w:val="0"/>
              <w:adjustRightInd w:val="0"/>
              <w:spacing w:before="120" w:after="120"/>
              <w:jc w:val="center"/>
              <w:rPr>
                <w:bCs/>
                <w:szCs w:val="24"/>
              </w:rPr>
            </w:pPr>
            <w:r w:rsidRPr="008030D0">
              <w:rPr>
                <w:szCs w:val="24"/>
              </w:rPr>
              <w:t>73%</w:t>
            </w:r>
          </w:p>
        </w:tc>
        <w:tc>
          <w:tcPr>
            <w:tcW w:w="1386"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71%</w:t>
            </w:r>
          </w:p>
        </w:tc>
        <w:tc>
          <w:tcPr>
            <w:tcW w:w="1390"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58%</w:t>
            </w:r>
          </w:p>
        </w:tc>
      </w:tr>
      <w:tr w:rsidR="00FE1366" w:rsidRPr="008030D0" w:rsidTr="00BD577A">
        <w:trPr>
          <w:tblHeader/>
        </w:trPr>
        <w:tc>
          <w:tcPr>
            <w:tcW w:w="3468" w:type="dxa"/>
            <w:shd w:val="clear" w:color="auto" w:fill="auto"/>
            <w:vAlign w:val="center"/>
          </w:tcPr>
          <w:p w:rsidR="00FE1366" w:rsidRPr="008030D0" w:rsidRDefault="00FE1366" w:rsidP="0074719A">
            <w:pPr>
              <w:autoSpaceDE w:val="0"/>
              <w:autoSpaceDN w:val="0"/>
              <w:adjustRightInd w:val="0"/>
              <w:spacing w:before="120" w:after="120"/>
              <w:rPr>
                <w:bCs/>
                <w:szCs w:val="24"/>
              </w:rPr>
            </w:pPr>
            <w:proofErr w:type="spellStart"/>
            <w:r w:rsidRPr="008030D0">
              <w:rPr>
                <w:szCs w:val="24"/>
              </w:rPr>
              <w:t>Virologic</w:t>
            </w:r>
            <w:proofErr w:type="spellEnd"/>
            <w:r w:rsidRPr="008030D0">
              <w:rPr>
                <w:szCs w:val="24"/>
              </w:rPr>
              <w:t xml:space="preserve"> failure</w:t>
            </w:r>
            <w:r w:rsidRPr="008030D0">
              <w:rPr>
                <w:szCs w:val="24"/>
                <w:vertAlign w:val="superscript"/>
              </w:rPr>
              <w:t>2</w:t>
            </w:r>
          </w:p>
        </w:tc>
        <w:tc>
          <w:tcPr>
            <w:tcW w:w="1840" w:type="dxa"/>
            <w:shd w:val="clear" w:color="auto" w:fill="auto"/>
            <w:vAlign w:val="center"/>
          </w:tcPr>
          <w:p w:rsidR="00FE1366" w:rsidRPr="008030D0" w:rsidRDefault="00FE1366" w:rsidP="0074719A">
            <w:pPr>
              <w:autoSpaceDE w:val="0"/>
              <w:autoSpaceDN w:val="0"/>
              <w:adjustRightInd w:val="0"/>
              <w:spacing w:before="120" w:after="120"/>
              <w:jc w:val="center"/>
              <w:rPr>
                <w:bCs/>
                <w:szCs w:val="24"/>
              </w:rPr>
            </w:pPr>
            <w:r w:rsidRPr="008030D0">
              <w:rPr>
                <w:szCs w:val="24"/>
              </w:rPr>
              <w:t>2%</w:t>
            </w:r>
          </w:p>
        </w:tc>
        <w:tc>
          <w:tcPr>
            <w:tcW w:w="1536" w:type="dxa"/>
            <w:shd w:val="clear" w:color="auto" w:fill="auto"/>
            <w:vAlign w:val="center"/>
          </w:tcPr>
          <w:p w:rsidR="00FE1366" w:rsidRPr="008030D0" w:rsidRDefault="00FE1366" w:rsidP="0074719A">
            <w:pPr>
              <w:autoSpaceDE w:val="0"/>
              <w:autoSpaceDN w:val="0"/>
              <w:adjustRightInd w:val="0"/>
              <w:spacing w:before="120" w:after="120"/>
              <w:jc w:val="center"/>
              <w:rPr>
                <w:bCs/>
                <w:szCs w:val="24"/>
              </w:rPr>
            </w:pPr>
            <w:r w:rsidRPr="008030D0">
              <w:rPr>
                <w:szCs w:val="24"/>
              </w:rPr>
              <w:t>4%</w:t>
            </w:r>
          </w:p>
        </w:tc>
        <w:tc>
          <w:tcPr>
            <w:tcW w:w="1386"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3%</w:t>
            </w:r>
          </w:p>
        </w:tc>
        <w:tc>
          <w:tcPr>
            <w:tcW w:w="1390"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6%</w:t>
            </w:r>
          </w:p>
        </w:tc>
      </w:tr>
      <w:tr w:rsidR="00FE1366" w:rsidRPr="008030D0" w:rsidTr="00BD577A">
        <w:trPr>
          <w:tblHeader/>
        </w:trPr>
        <w:tc>
          <w:tcPr>
            <w:tcW w:w="3468" w:type="dxa"/>
            <w:shd w:val="clear" w:color="auto" w:fill="auto"/>
            <w:vAlign w:val="center"/>
          </w:tcPr>
          <w:p w:rsidR="00FE1366" w:rsidRPr="008030D0" w:rsidRDefault="00FE1366" w:rsidP="0074719A">
            <w:pPr>
              <w:autoSpaceDE w:val="0"/>
              <w:autoSpaceDN w:val="0"/>
              <w:adjustRightInd w:val="0"/>
              <w:spacing w:before="120" w:after="120"/>
              <w:rPr>
                <w:bCs/>
                <w:szCs w:val="24"/>
              </w:rPr>
            </w:pPr>
            <w:r w:rsidRPr="008030D0">
              <w:rPr>
                <w:szCs w:val="24"/>
              </w:rPr>
              <w:t xml:space="preserve">     Rebound</w:t>
            </w:r>
          </w:p>
        </w:tc>
        <w:tc>
          <w:tcPr>
            <w:tcW w:w="1840" w:type="dxa"/>
            <w:shd w:val="clear" w:color="auto" w:fill="auto"/>
            <w:vAlign w:val="center"/>
          </w:tcPr>
          <w:p w:rsidR="00FE1366" w:rsidRPr="008030D0" w:rsidRDefault="00FE1366" w:rsidP="0074719A">
            <w:pPr>
              <w:autoSpaceDE w:val="0"/>
              <w:autoSpaceDN w:val="0"/>
              <w:adjustRightInd w:val="0"/>
              <w:spacing w:before="120" w:after="120"/>
              <w:jc w:val="center"/>
              <w:rPr>
                <w:bCs/>
                <w:szCs w:val="24"/>
              </w:rPr>
            </w:pPr>
            <w:r w:rsidRPr="008030D0">
              <w:rPr>
                <w:szCs w:val="24"/>
              </w:rPr>
              <w:t>1%</w:t>
            </w:r>
          </w:p>
        </w:tc>
        <w:tc>
          <w:tcPr>
            <w:tcW w:w="1536"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3%</w:t>
            </w:r>
          </w:p>
        </w:tc>
        <w:tc>
          <w:tcPr>
            <w:tcW w:w="1386"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2%</w:t>
            </w:r>
          </w:p>
        </w:tc>
        <w:tc>
          <w:tcPr>
            <w:tcW w:w="1390"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5%</w:t>
            </w:r>
          </w:p>
        </w:tc>
      </w:tr>
      <w:tr w:rsidR="00FE1366" w:rsidRPr="008030D0" w:rsidTr="00BD577A">
        <w:trPr>
          <w:tblHeader/>
        </w:trPr>
        <w:tc>
          <w:tcPr>
            <w:tcW w:w="3468" w:type="dxa"/>
            <w:shd w:val="clear" w:color="auto" w:fill="auto"/>
            <w:vAlign w:val="center"/>
          </w:tcPr>
          <w:p w:rsidR="00FE1366" w:rsidRPr="008030D0" w:rsidRDefault="00FE1366" w:rsidP="0074719A">
            <w:pPr>
              <w:autoSpaceDE w:val="0"/>
              <w:autoSpaceDN w:val="0"/>
              <w:adjustRightInd w:val="0"/>
              <w:spacing w:before="120" w:after="120"/>
              <w:rPr>
                <w:bCs/>
                <w:szCs w:val="24"/>
              </w:rPr>
            </w:pPr>
            <w:r w:rsidRPr="008030D0">
              <w:rPr>
                <w:szCs w:val="24"/>
              </w:rPr>
              <w:t xml:space="preserve">     Never suppressed </w:t>
            </w:r>
          </w:p>
        </w:tc>
        <w:tc>
          <w:tcPr>
            <w:tcW w:w="1840" w:type="dxa"/>
            <w:shd w:val="clear" w:color="auto" w:fill="auto"/>
            <w:vAlign w:val="center"/>
          </w:tcPr>
          <w:p w:rsidR="00FE1366" w:rsidRPr="008030D0" w:rsidRDefault="00FE1366" w:rsidP="0074719A">
            <w:pPr>
              <w:autoSpaceDE w:val="0"/>
              <w:autoSpaceDN w:val="0"/>
              <w:adjustRightInd w:val="0"/>
              <w:spacing w:before="120" w:after="120"/>
              <w:jc w:val="center"/>
              <w:rPr>
                <w:bCs/>
                <w:szCs w:val="24"/>
              </w:rPr>
            </w:pPr>
            <w:r w:rsidRPr="008030D0">
              <w:rPr>
                <w:szCs w:val="24"/>
              </w:rPr>
              <w:t>0%</w:t>
            </w:r>
          </w:p>
        </w:tc>
        <w:tc>
          <w:tcPr>
            <w:tcW w:w="1536" w:type="dxa"/>
            <w:shd w:val="clear" w:color="auto" w:fill="auto"/>
            <w:vAlign w:val="center"/>
          </w:tcPr>
          <w:p w:rsidR="00FE1366" w:rsidRPr="008030D0" w:rsidRDefault="00FE1366" w:rsidP="0074719A">
            <w:pPr>
              <w:autoSpaceDE w:val="0"/>
              <w:autoSpaceDN w:val="0"/>
              <w:adjustRightInd w:val="0"/>
              <w:spacing w:before="120" w:after="120"/>
              <w:jc w:val="center"/>
              <w:rPr>
                <w:bCs/>
                <w:szCs w:val="24"/>
              </w:rPr>
            </w:pPr>
            <w:r w:rsidRPr="008030D0">
              <w:rPr>
                <w:szCs w:val="24"/>
              </w:rPr>
              <w:t>0%</w:t>
            </w:r>
          </w:p>
        </w:tc>
        <w:tc>
          <w:tcPr>
            <w:tcW w:w="1386"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0%</w:t>
            </w:r>
          </w:p>
        </w:tc>
        <w:tc>
          <w:tcPr>
            <w:tcW w:w="1390"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0%</w:t>
            </w:r>
          </w:p>
        </w:tc>
      </w:tr>
      <w:tr w:rsidR="00FE1366" w:rsidRPr="008030D0" w:rsidTr="00BD577A">
        <w:trPr>
          <w:tblHeader/>
        </w:trPr>
        <w:tc>
          <w:tcPr>
            <w:tcW w:w="3468" w:type="dxa"/>
            <w:shd w:val="clear" w:color="auto" w:fill="auto"/>
            <w:vAlign w:val="center"/>
          </w:tcPr>
          <w:p w:rsidR="00FE1366" w:rsidRPr="008030D0" w:rsidRDefault="00FE1366" w:rsidP="0074719A">
            <w:pPr>
              <w:autoSpaceDE w:val="0"/>
              <w:autoSpaceDN w:val="0"/>
              <w:adjustRightInd w:val="0"/>
              <w:spacing w:before="120" w:after="120"/>
              <w:rPr>
                <w:bCs/>
                <w:szCs w:val="24"/>
              </w:rPr>
            </w:pPr>
            <w:r w:rsidRPr="008030D0">
              <w:rPr>
                <w:szCs w:val="24"/>
              </w:rPr>
              <w:t xml:space="preserve">     Change in antiretroviral regimen</w:t>
            </w:r>
          </w:p>
        </w:tc>
        <w:tc>
          <w:tcPr>
            <w:tcW w:w="1840" w:type="dxa"/>
            <w:shd w:val="clear" w:color="auto" w:fill="auto"/>
            <w:vAlign w:val="center"/>
          </w:tcPr>
          <w:p w:rsidR="00FE1366" w:rsidRPr="008030D0" w:rsidRDefault="00FE1366" w:rsidP="0074719A">
            <w:pPr>
              <w:autoSpaceDE w:val="0"/>
              <w:autoSpaceDN w:val="0"/>
              <w:adjustRightInd w:val="0"/>
              <w:spacing w:before="120" w:after="120"/>
              <w:jc w:val="center"/>
              <w:rPr>
                <w:bCs/>
                <w:szCs w:val="24"/>
              </w:rPr>
            </w:pPr>
            <w:r w:rsidRPr="008030D0">
              <w:rPr>
                <w:szCs w:val="24"/>
              </w:rPr>
              <w:t>1%</w:t>
            </w:r>
          </w:p>
        </w:tc>
        <w:tc>
          <w:tcPr>
            <w:tcW w:w="1536" w:type="dxa"/>
            <w:shd w:val="clear" w:color="auto" w:fill="auto"/>
            <w:vAlign w:val="center"/>
          </w:tcPr>
          <w:p w:rsidR="00FE1366" w:rsidRPr="008030D0" w:rsidRDefault="00FE1366" w:rsidP="0074719A">
            <w:pPr>
              <w:autoSpaceDE w:val="0"/>
              <w:autoSpaceDN w:val="0"/>
              <w:adjustRightInd w:val="0"/>
              <w:spacing w:before="120" w:after="120"/>
              <w:jc w:val="center"/>
              <w:rPr>
                <w:bCs/>
                <w:szCs w:val="24"/>
              </w:rPr>
            </w:pPr>
            <w:r w:rsidRPr="008030D0">
              <w:rPr>
                <w:szCs w:val="24"/>
              </w:rPr>
              <w:t>1%</w:t>
            </w:r>
          </w:p>
        </w:tc>
        <w:tc>
          <w:tcPr>
            <w:tcW w:w="1386"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1%</w:t>
            </w:r>
          </w:p>
        </w:tc>
        <w:tc>
          <w:tcPr>
            <w:tcW w:w="1390"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1%</w:t>
            </w:r>
          </w:p>
        </w:tc>
      </w:tr>
      <w:tr w:rsidR="00FE1366" w:rsidRPr="008030D0" w:rsidTr="00BD577A">
        <w:trPr>
          <w:tblHeader/>
        </w:trPr>
        <w:tc>
          <w:tcPr>
            <w:tcW w:w="3468" w:type="dxa"/>
            <w:shd w:val="clear" w:color="auto" w:fill="auto"/>
            <w:vAlign w:val="center"/>
          </w:tcPr>
          <w:p w:rsidR="00FE1366" w:rsidRPr="008030D0" w:rsidRDefault="00FE1366" w:rsidP="0074719A">
            <w:pPr>
              <w:autoSpaceDE w:val="0"/>
              <w:autoSpaceDN w:val="0"/>
              <w:adjustRightInd w:val="0"/>
              <w:spacing w:before="120" w:after="120"/>
              <w:rPr>
                <w:bCs/>
                <w:szCs w:val="24"/>
              </w:rPr>
            </w:pPr>
            <w:r w:rsidRPr="008030D0">
              <w:rPr>
                <w:szCs w:val="24"/>
              </w:rPr>
              <w:t>Death</w:t>
            </w:r>
            <w:r w:rsidRPr="008030D0">
              <w:rPr>
                <w:szCs w:val="24"/>
                <w:vertAlign w:val="superscript"/>
              </w:rPr>
              <w:t>3</w:t>
            </w:r>
          </w:p>
        </w:tc>
        <w:tc>
          <w:tcPr>
            <w:tcW w:w="1840" w:type="dxa"/>
            <w:shd w:val="clear" w:color="auto" w:fill="auto"/>
            <w:vAlign w:val="center"/>
          </w:tcPr>
          <w:p w:rsidR="00FE1366" w:rsidRPr="008030D0" w:rsidRDefault="00FE1366" w:rsidP="0074719A">
            <w:pPr>
              <w:autoSpaceDE w:val="0"/>
              <w:autoSpaceDN w:val="0"/>
              <w:adjustRightInd w:val="0"/>
              <w:spacing w:before="120" w:after="120"/>
              <w:jc w:val="center"/>
              <w:rPr>
                <w:bCs/>
                <w:szCs w:val="24"/>
              </w:rPr>
            </w:pPr>
            <w:r w:rsidRPr="008030D0">
              <w:rPr>
                <w:szCs w:val="24"/>
              </w:rPr>
              <w:t>&lt;1%</w:t>
            </w:r>
          </w:p>
        </w:tc>
        <w:tc>
          <w:tcPr>
            <w:tcW w:w="1536" w:type="dxa"/>
            <w:shd w:val="clear" w:color="auto" w:fill="auto"/>
            <w:vAlign w:val="center"/>
          </w:tcPr>
          <w:p w:rsidR="00FE1366" w:rsidRPr="008030D0" w:rsidRDefault="00FE1366" w:rsidP="0074719A">
            <w:pPr>
              <w:autoSpaceDE w:val="0"/>
              <w:autoSpaceDN w:val="0"/>
              <w:adjustRightInd w:val="0"/>
              <w:spacing w:before="120" w:after="120"/>
              <w:jc w:val="center"/>
              <w:rPr>
                <w:bCs/>
                <w:szCs w:val="24"/>
              </w:rPr>
            </w:pPr>
            <w:r w:rsidRPr="008030D0">
              <w:rPr>
                <w:szCs w:val="24"/>
              </w:rPr>
              <w:t>1%</w:t>
            </w:r>
          </w:p>
        </w:tc>
        <w:tc>
          <w:tcPr>
            <w:tcW w:w="1386"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1%</w:t>
            </w:r>
          </w:p>
        </w:tc>
        <w:tc>
          <w:tcPr>
            <w:tcW w:w="1390" w:type="dxa"/>
            <w:shd w:val="clear" w:color="auto" w:fill="auto"/>
            <w:vAlign w:val="center"/>
          </w:tcPr>
          <w:p w:rsidR="00FE1366" w:rsidRPr="008030D0" w:rsidRDefault="00FE1366" w:rsidP="0074719A">
            <w:pPr>
              <w:autoSpaceDE w:val="0"/>
              <w:autoSpaceDN w:val="0"/>
              <w:adjustRightInd w:val="0"/>
              <w:spacing w:before="120" w:after="120"/>
              <w:jc w:val="center"/>
              <w:rPr>
                <w:szCs w:val="24"/>
              </w:rPr>
            </w:pPr>
            <w:r w:rsidRPr="008030D0">
              <w:rPr>
                <w:szCs w:val="24"/>
              </w:rPr>
              <w:t>1%</w:t>
            </w:r>
          </w:p>
        </w:tc>
      </w:tr>
    </w:tbl>
    <w:p w:rsidR="00DC7153" w:rsidRPr="008030D0" w:rsidRDefault="00DC7153" w:rsidP="00DC7153">
      <w:pPr>
        <w:autoSpaceDE w:val="0"/>
        <w:autoSpaceDN w:val="0"/>
        <w:adjustRightInd w:val="0"/>
        <w:rPr>
          <w:sz w:val="20"/>
        </w:rPr>
      </w:pPr>
      <w:r w:rsidRPr="008030D0">
        <w:rPr>
          <w:sz w:val="20"/>
        </w:rPr>
        <w:t>1. Patients achieved and maintained confirmed HIV-1 RNA &lt;400 copies/</w:t>
      </w:r>
      <w:proofErr w:type="spellStart"/>
      <w:r w:rsidRPr="008030D0">
        <w:rPr>
          <w:sz w:val="20"/>
        </w:rPr>
        <w:t>mL.</w:t>
      </w:r>
      <w:proofErr w:type="spellEnd"/>
    </w:p>
    <w:p w:rsidR="00DC7153" w:rsidRPr="008030D0" w:rsidRDefault="00DC7153" w:rsidP="00DC7153">
      <w:pPr>
        <w:autoSpaceDE w:val="0"/>
        <w:autoSpaceDN w:val="0"/>
        <w:adjustRightInd w:val="0"/>
        <w:rPr>
          <w:sz w:val="20"/>
        </w:rPr>
      </w:pPr>
      <w:r w:rsidRPr="008030D0">
        <w:rPr>
          <w:sz w:val="20"/>
        </w:rPr>
        <w:t>2. Includes confirmed viral rebound and failure to achieve confirmed &lt;400 copies/</w:t>
      </w:r>
      <w:proofErr w:type="spellStart"/>
      <w:r w:rsidRPr="008030D0">
        <w:rPr>
          <w:sz w:val="20"/>
        </w:rPr>
        <w:t>mL.</w:t>
      </w:r>
      <w:proofErr w:type="spellEnd"/>
    </w:p>
    <w:p w:rsidR="00DC7153" w:rsidRPr="008030D0" w:rsidRDefault="00DC7153" w:rsidP="00DC7153">
      <w:pPr>
        <w:autoSpaceDE w:val="0"/>
        <w:autoSpaceDN w:val="0"/>
        <w:adjustRightInd w:val="0"/>
        <w:rPr>
          <w:sz w:val="20"/>
        </w:rPr>
      </w:pPr>
      <w:r w:rsidRPr="008030D0">
        <w:rPr>
          <w:sz w:val="20"/>
        </w:rPr>
        <w:t>3. All deaths were unrelated to study drugs.</w:t>
      </w:r>
    </w:p>
    <w:p w:rsidR="00FE1366" w:rsidRPr="008030D0" w:rsidRDefault="00FE1366" w:rsidP="00FE1366">
      <w:pPr>
        <w:autoSpaceDE w:val="0"/>
        <w:autoSpaceDN w:val="0"/>
        <w:adjustRightInd w:val="0"/>
        <w:rPr>
          <w:sz w:val="20"/>
        </w:rPr>
      </w:pPr>
      <w:r w:rsidRPr="008030D0">
        <w:rPr>
          <w:sz w:val="20"/>
        </w:rPr>
        <w:t>4. Patients received EMTRIVA</w:t>
      </w:r>
      <w:r w:rsidR="00DA5725" w:rsidRPr="008030D0">
        <w:rPr>
          <w:sz w:val="20"/>
        </w:rPr>
        <w:t xml:space="preserve"> </w:t>
      </w:r>
      <w:r w:rsidRPr="008030D0">
        <w:rPr>
          <w:sz w:val="20"/>
        </w:rPr>
        <w:t>+</w:t>
      </w:r>
      <w:r w:rsidR="00DA5725" w:rsidRPr="008030D0">
        <w:rPr>
          <w:sz w:val="20"/>
        </w:rPr>
        <w:t xml:space="preserve"> </w:t>
      </w:r>
      <w:r w:rsidRPr="008030D0">
        <w:rPr>
          <w:sz w:val="20"/>
        </w:rPr>
        <w:t>VIREAD up to week 96 and switched to TRUVADA from week 96 to 144.</w:t>
      </w:r>
    </w:p>
    <w:p w:rsidR="00DC7153" w:rsidRPr="00BB096E" w:rsidRDefault="00DC7153" w:rsidP="00DC7153">
      <w:pPr>
        <w:autoSpaceDE w:val="0"/>
        <w:autoSpaceDN w:val="0"/>
        <w:adjustRightInd w:val="0"/>
      </w:pPr>
    </w:p>
    <w:p w:rsidR="00DC7153" w:rsidRPr="00BB096E" w:rsidRDefault="00DC7153" w:rsidP="00DC7153">
      <w:pPr>
        <w:autoSpaceDE w:val="0"/>
        <w:autoSpaceDN w:val="0"/>
        <w:adjustRightInd w:val="0"/>
        <w:rPr>
          <w:sz w:val="22"/>
          <w:szCs w:val="22"/>
        </w:rPr>
      </w:pPr>
    </w:p>
    <w:p w:rsidR="00DC7153" w:rsidRPr="00D407BD" w:rsidRDefault="00DC7153" w:rsidP="00DC7153">
      <w:pPr>
        <w:autoSpaceDE w:val="0"/>
        <w:autoSpaceDN w:val="0"/>
        <w:adjustRightInd w:val="0"/>
        <w:rPr>
          <w:szCs w:val="24"/>
        </w:rPr>
      </w:pPr>
      <w:r w:rsidRPr="00D407BD">
        <w:rPr>
          <w:szCs w:val="24"/>
        </w:rPr>
        <w:t xml:space="preserve">In this study, EMTRIVA + VIREAD in combination with </w:t>
      </w:r>
      <w:proofErr w:type="spellStart"/>
      <w:r w:rsidRPr="00D407BD">
        <w:rPr>
          <w:szCs w:val="24"/>
        </w:rPr>
        <w:t>efavirenz</w:t>
      </w:r>
      <w:proofErr w:type="spellEnd"/>
      <w:r w:rsidRPr="00D407BD">
        <w:rPr>
          <w:szCs w:val="24"/>
        </w:rPr>
        <w:t xml:space="preserve"> </w:t>
      </w:r>
      <w:proofErr w:type="gramStart"/>
      <w:r w:rsidRPr="00D407BD">
        <w:rPr>
          <w:szCs w:val="24"/>
        </w:rPr>
        <w:t>was</w:t>
      </w:r>
      <w:proofErr w:type="gramEnd"/>
      <w:r w:rsidRPr="00D407BD">
        <w:rPr>
          <w:szCs w:val="24"/>
        </w:rPr>
        <w:t xml:space="preserve"> statistically significantly superior to lamivudine/zidovudine in combination with </w:t>
      </w:r>
      <w:proofErr w:type="spellStart"/>
      <w:r w:rsidRPr="00D407BD">
        <w:rPr>
          <w:szCs w:val="24"/>
        </w:rPr>
        <w:t>efavirenz</w:t>
      </w:r>
      <w:proofErr w:type="spellEnd"/>
      <w:r w:rsidRPr="00D407BD">
        <w:rPr>
          <w:szCs w:val="24"/>
        </w:rPr>
        <w:t xml:space="preserve"> </w:t>
      </w:r>
      <w:r w:rsidR="00FE1366" w:rsidRPr="00D407BD">
        <w:rPr>
          <w:szCs w:val="24"/>
        </w:rPr>
        <w:t xml:space="preserve">with regards to the primary and secondary endpoints: </w:t>
      </w:r>
      <w:r w:rsidRPr="00D407BD">
        <w:rPr>
          <w:szCs w:val="24"/>
        </w:rPr>
        <w:t xml:space="preserve">achieving and maintaining HIV-1 RNA &lt; 400 copies/mL through 48 </w:t>
      </w:r>
      <w:r w:rsidR="00FE1366" w:rsidRPr="00D407BD">
        <w:rPr>
          <w:szCs w:val="24"/>
        </w:rPr>
        <w:t xml:space="preserve">and 144 </w:t>
      </w:r>
      <w:r w:rsidRPr="00D407BD">
        <w:rPr>
          <w:szCs w:val="24"/>
        </w:rPr>
        <w:t>weeks (</w:t>
      </w:r>
      <w:r w:rsidR="00DA5725" w:rsidRPr="00D407BD">
        <w:rPr>
          <w:szCs w:val="24"/>
        </w:rPr>
        <w:t>Table 3</w:t>
      </w:r>
      <w:r w:rsidRPr="00D407BD">
        <w:rPr>
          <w:szCs w:val="24"/>
        </w:rPr>
        <w:t>). The difference in the proportions of responders between the EMTRIVA + VIREAD group and the COMBIVIR group was 11.4%, and the 95% CI was 4.3% to 18.6% (p=0.002)</w:t>
      </w:r>
      <w:r w:rsidR="00FE1366" w:rsidRPr="00D407BD">
        <w:rPr>
          <w:szCs w:val="24"/>
        </w:rPr>
        <w:t xml:space="preserve"> at week 48 and a difference of 1</w:t>
      </w:r>
      <w:r w:rsidR="00BE1AA7" w:rsidRPr="00D407BD">
        <w:rPr>
          <w:szCs w:val="24"/>
        </w:rPr>
        <w:t>2.9</w:t>
      </w:r>
      <w:r w:rsidR="00FE1366" w:rsidRPr="00D407BD">
        <w:rPr>
          <w:szCs w:val="24"/>
        </w:rPr>
        <w:t>% (95% CI was 4</w:t>
      </w:r>
      <w:r w:rsidR="00BE1AA7" w:rsidRPr="00D407BD">
        <w:rPr>
          <w:szCs w:val="24"/>
        </w:rPr>
        <w:t>.2</w:t>
      </w:r>
      <w:r w:rsidR="00FE1366" w:rsidRPr="00D407BD">
        <w:rPr>
          <w:szCs w:val="24"/>
        </w:rPr>
        <w:t>% to 2</w:t>
      </w:r>
      <w:r w:rsidR="00BE1AA7" w:rsidRPr="00D407BD">
        <w:rPr>
          <w:szCs w:val="24"/>
        </w:rPr>
        <w:t>1.6</w:t>
      </w:r>
      <w:r w:rsidR="00FE1366" w:rsidRPr="00D407BD">
        <w:rPr>
          <w:szCs w:val="24"/>
        </w:rPr>
        <w:t>%, p=0.004) at week 144</w:t>
      </w:r>
      <w:r w:rsidRPr="00D407BD">
        <w:rPr>
          <w:szCs w:val="24"/>
        </w:rPr>
        <w:t>.</w:t>
      </w:r>
    </w:p>
    <w:p w:rsidR="00DC7153" w:rsidRPr="00D407BD" w:rsidRDefault="00DC7153" w:rsidP="00DC7153">
      <w:pPr>
        <w:autoSpaceDE w:val="0"/>
        <w:autoSpaceDN w:val="0"/>
        <w:adjustRightInd w:val="0"/>
        <w:rPr>
          <w:szCs w:val="24"/>
        </w:rPr>
      </w:pPr>
    </w:p>
    <w:p w:rsidR="00FE1366" w:rsidRPr="00D407BD" w:rsidRDefault="00DC7153" w:rsidP="00FE1366">
      <w:pPr>
        <w:autoSpaceDE w:val="0"/>
        <w:autoSpaceDN w:val="0"/>
        <w:adjustRightInd w:val="0"/>
        <w:rPr>
          <w:szCs w:val="24"/>
        </w:rPr>
      </w:pPr>
      <w:r w:rsidRPr="00D407BD">
        <w:rPr>
          <w:szCs w:val="24"/>
        </w:rPr>
        <w:t>Through 48 weeks of therapy, 80% and 70% of patients in the EMTRIVA + VIREAD and the lamivudine/zidovudine arms, respectively, achieved and maintained HIV-1 RNA &lt;50 copies/</w:t>
      </w:r>
      <w:proofErr w:type="spellStart"/>
      <w:r w:rsidRPr="00D407BD">
        <w:rPr>
          <w:szCs w:val="24"/>
        </w:rPr>
        <w:t>mL.</w:t>
      </w:r>
      <w:proofErr w:type="spellEnd"/>
      <w:r w:rsidRPr="00D407BD">
        <w:rPr>
          <w:szCs w:val="24"/>
        </w:rPr>
        <w:t xml:space="preserve"> The difference in the proportions of responders between the EMTRIVA + VIREAD group and the COMBIVIR group was 9.1%, and the 95% CI was 1.6% to 16.6% (p=0.021)</w:t>
      </w:r>
      <w:r w:rsidR="00FE1366" w:rsidRPr="00D407BD">
        <w:rPr>
          <w:szCs w:val="24"/>
        </w:rPr>
        <w:t xml:space="preserve"> at week 48. The proportion of patients responding at 144 weeks of therapy was higher in the TRUVADA group (64%) compared with the COMBIVIR group (5</w:t>
      </w:r>
      <w:r w:rsidR="00BE1AA7" w:rsidRPr="00D407BD">
        <w:rPr>
          <w:szCs w:val="24"/>
        </w:rPr>
        <w:t>6</w:t>
      </w:r>
      <w:r w:rsidR="00FE1366" w:rsidRPr="00D407BD">
        <w:rPr>
          <w:szCs w:val="24"/>
        </w:rPr>
        <w:t xml:space="preserve">%); p=0.082, </w:t>
      </w:r>
      <w:r w:rsidR="00BE1AA7" w:rsidRPr="00D407BD">
        <w:rPr>
          <w:szCs w:val="24"/>
        </w:rPr>
        <w:t xml:space="preserve">a difference of 8.1% and the </w:t>
      </w:r>
      <w:r w:rsidR="00FE1366" w:rsidRPr="00D407BD">
        <w:rPr>
          <w:szCs w:val="24"/>
        </w:rPr>
        <w:t>95% CI was -</w:t>
      </w:r>
      <w:r w:rsidR="00BE1AA7" w:rsidRPr="00D407BD">
        <w:rPr>
          <w:szCs w:val="24"/>
        </w:rPr>
        <w:t>0.8</w:t>
      </w:r>
      <w:r w:rsidR="00FE1366" w:rsidRPr="00D407BD">
        <w:rPr>
          <w:szCs w:val="24"/>
        </w:rPr>
        <w:t>% to 17</w:t>
      </w:r>
      <w:r w:rsidR="00BE1AA7" w:rsidRPr="00D407BD">
        <w:rPr>
          <w:szCs w:val="24"/>
        </w:rPr>
        <w:t>.0</w:t>
      </w:r>
      <w:r w:rsidR="00FE1366" w:rsidRPr="00D407BD">
        <w:rPr>
          <w:szCs w:val="24"/>
        </w:rPr>
        <w:t>%.</w:t>
      </w:r>
    </w:p>
    <w:p w:rsidR="00DC7153" w:rsidRPr="00D407BD" w:rsidRDefault="00DC7153" w:rsidP="00DC7153">
      <w:pPr>
        <w:autoSpaceDE w:val="0"/>
        <w:autoSpaceDN w:val="0"/>
        <w:adjustRightInd w:val="0"/>
        <w:rPr>
          <w:szCs w:val="24"/>
        </w:rPr>
      </w:pPr>
    </w:p>
    <w:p w:rsidR="00DC7153" w:rsidRPr="00D407BD" w:rsidRDefault="00DC7153" w:rsidP="00DC7153">
      <w:pPr>
        <w:autoSpaceDE w:val="0"/>
        <w:autoSpaceDN w:val="0"/>
        <w:adjustRightInd w:val="0"/>
        <w:rPr>
          <w:szCs w:val="24"/>
        </w:rPr>
      </w:pPr>
      <w:r w:rsidRPr="00D407BD">
        <w:rPr>
          <w:szCs w:val="24"/>
        </w:rPr>
        <w:t>The mean increase from baseline in CD4 cell count was 190 cells/mm</w:t>
      </w:r>
      <w:r w:rsidRPr="00D407BD">
        <w:rPr>
          <w:szCs w:val="24"/>
          <w:vertAlign w:val="superscript"/>
        </w:rPr>
        <w:t>3</w:t>
      </w:r>
      <w:r w:rsidRPr="00D407BD">
        <w:rPr>
          <w:szCs w:val="24"/>
        </w:rPr>
        <w:t xml:space="preserve"> </w:t>
      </w:r>
      <w:r w:rsidR="00FE1366" w:rsidRPr="00D407BD">
        <w:rPr>
          <w:szCs w:val="24"/>
        </w:rPr>
        <w:t>and 312 cells/mm</w:t>
      </w:r>
      <w:r w:rsidR="00FE1366" w:rsidRPr="00D407BD">
        <w:rPr>
          <w:szCs w:val="24"/>
          <w:vertAlign w:val="superscript"/>
        </w:rPr>
        <w:t xml:space="preserve">3 </w:t>
      </w:r>
      <w:r w:rsidRPr="00D407BD">
        <w:rPr>
          <w:szCs w:val="24"/>
        </w:rPr>
        <w:t xml:space="preserve">for the EMTRIVA + VIREAD + </w:t>
      </w:r>
      <w:proofErr w:type="spellStart"/>
      <w:r w:rsidRPr="00D407BD">
        <w:rPr>
          <w:szCs w:val="24"/>
        </w:rPr>
        <w:t>efavirenz</w:t>
      </w:r>
      <w:proofErr w:type="spellEnd"/>
      <w:r w:rsidRPr="00D407BD">
        <w:rPr>
          <w:szCs w:val="24"/>
        </w:rPr>
        <w:t xml:space="preserve"> arm, and 158 cells/mm</w:t>
      </w:r>
      <w:r w:rsidRPr="00D407BD">
        <w:rPr>
          <w:szCs w:val="24"/>
          <w:vertAlign w:val="superscript"/>
        </w:rPr>
        <w:t>3</w:t>
      </w:r>
      <w:r w:rsidRPr="00D407BD">
        <w:rPr>
          <w:szCs w:val="24"/>
        </w:rPr>
        <w:t xml:space="preserve"> </w:t>
      </w:r>
      <w:r w:rsidR="00FE1366" w:rsidRPr="00D407BD">
        <w:rPr>
          <w:szCs w:val="24"/>
        </w:rPr>
        <w:t>and 271 cells/mm</w:t>
      </w:r>
      <w:r w:rsidR="00FE1366" w:rsidRPr="00D407BD">
        <w:rPr>
          <w:szCs w:val="24"/>
          <w:vertAlign w:val="superscript"/>
        </w:rPr>
        <w:t xml:space="preserve">3 </w:t>
      </w:r>
      <w:r w:rsidRPr="00D407BD">
        <w:rPr>
          <w:szCs w:val="24"/>
        </w:rPr>
        <w:t xml:space="preserve">for the COMBIVIR + </w:t>
      </w:r>
      <w:proofErr w:type="spellStart"/>
      <w:r w:rsidRPr="00D407BD">
        <w:rPr>
          <w:szCs w:val="24"/>
        </w:rPr>
        <w:t>efavirenz</w:t>
      </w:r>
      <w:proofErr w:type="spellEnd"/>
      <w:r w:rsidRPr="00D407BD">
        <w:rPr>
          <w:szCs w:val="24"/>
        </w:rPr>
        <w:t xml:space="preserve"> arm (p=0.002</w:t>
      </w:r>
      <w:r w:rsidR="00FE1366" w:rsidRPr="00D407BD">
        <w:rPr>
          <w:szCs w:val="24"/>
        </w:rPr>
        <w:t xml:space="preserve"> and p = 0.08</w:t>
      </w:r>
      <w:r w:rsidR="00BE1AA7" w:rsidRPr="00D407BD">
        <w:rPr>
          <w:szCs w:val="24"/>
        </w:rPr>
        <w:t>8</w:t>
      </w:r>
      <w:r w:rsidRPr="00D407BD">
        <w:rPr>
          <w:szCs w:val="24"/>
        </w:rPr>
        <w:t>)</w:t>
      </w:r>
      <w:r w:rsidR="00FE1366" w:rsidRPr="00D407BD">
        <w:rPr>
          <w:szCs w:val="24"/>
        </w:rPr>
        <w:t xml:space="preserve"> at weeks 48 and 144 respectively</w:t>
      </w:r>
      <w:r w:rsidRPr="00D407BD">
        <w:rPr>
          <w:szCs w:val="24"/>
        </w:rPr>
        <w:t>.</w:t>
      </w:r>
    </w:p>
    <w:p w:rsidR="00DC7153" w:rsidRPr="00D407BD" w:rsidRDefault="00DC7153" w:rsidP="00DC7153">
      <w:pPr>
        <w:autoSpaceDE w:val="0"/>
        <w:autoSpaceDN w:val="0"/>
        <w:adjustRightInd w:val="0"/>
        <w:rPr>
          <w:szCs w:val="24"/>
        </w:rPr>
      </w:pPr>
    </w:p>
    <w:p w:rsidR="00DC7153" w:rsidRPr="00D407BD" w:rsidRDefault="00DC7153" w:rsidP="00DC7153">
      <w:pPr>
        <w:autoSpaceDE w:val="0"/>
        <w:autoSpaceDN w:val="0"/>
        <w:adjustRightInd w:val="0"/>
        <w:rPr>
          <w:szCs w:val="24"/>
        </w:rPr>
      </w:pPr>
      <w:r w:rsidRPr="00D407BD">
        <w:rPr>
          <w:szCs w:val="24"/>
        </w:rPr>
        <w:lastRenderedPageBreak/>
        <w:t xml:space="preserve">Resistance analysis was performed on HIV isolates from all patients with &gt; 400 copies/mL of HIV-1 RNA at week </w:t>
      </w:r>
      <w:r w:rsidR="00770BFD" w:rsidRPr="00D407BD">
        <w:rPr>
          <w:szCs w:val="24"/>
        </w:rPr>
        <w:t>144 while on study drug or after treatment switch</w:t>
      </w:r>
      <w:r w:rsidRPr="00D407BD">
        <w:rPr>
          <w:szCs w:val="24"/>
        </w:rPr>
        <w:t xml:space="preserve">. Genotypic resistance to </w:t>
      </w:r>
      <w:proofErr w:type="spellStart"/>
      <w:r w:rsidRPr="00D407BD">
        <w:rPr>
          <w:szCs w:val="24"/>
        </w:rPr>
        <w:t>efavirenz</w:t>
      </w:r>
      <w:proofErr w:type="spellEnd"/>
      <w:r w:rsidRPr="00D407BD">
        <w:rPr>
          <w:szCs w:val="24"/>
        </w:rPr>
        <w:t>, predominantly the K103N mutation, was the most common form of resistance that developed</w:t>
      </w:r>
      <w:r w:rsidR="00770BFD" w:rsidRPr="00D407BD">
        <w:rPr>
          <w:szCs w:val="24"/>
        </w:rPr>
        <w:t xml:space="preserve"> in both treatment groups</w:t>
      </w:r>
      <w:r w:rsidRPr="00D407BD">
        <w:rPr>
          <w:szCs w:val="24"/>
        </w:rPr>
        <w:t xml:space="preserve">. Resistance to </w:t>
      </w:r>
      <w:proofErr w:type="spellStart"/>
      <w:r w:rsidRPr="00D407BD">
        <w:rPr>
          <w:szCs w:val="24"/>
        </w:rPr>
        <w:t>efavirenz</w:t>
      </w:r>
      <w:proofErr w:type="spellEnd"/>
      <w:r w:rsidRPr="00D407BD">
        <w:rPr>
          <w:szCs w:val="24"/>
        </w:rPr>
        <w:t xml:space="preserve"> occurred in </w:t>
      </w:r>
      <w:r w:rsidR="00770BFD" w:rsidRPr="00D407BD">
        <w:rPr>
          <w:szCs w:val="24"/>
        </w:rPr>
        <w:t>68% (13/19)</w:t>
      </w:r>
      <w:r w:rsidRPr="00D407BD">
        <w:rPr>
          <w:szCs w:val="24"/>
        </w:rPr>
        <w:t xml:space="preserve"> </w:t>
      </w:r>
      <w:proofErr w:type="spellStart"/>
      <w:r w:rsidRPr="00D407BD">
        <w:rPr>
          <w:szCs w:val="24"/>
        </w:rPr>
        <w:t>analy</w:t>
      </w:r>
      <w:r w:rsidR="00DA5725" w:rsidRPr="00D407BD">
        <w:rPr>
          <w:szCs w:val="24"/>
        </w:rPr>
        <w:t>s</w:t>
      </w:r>
      <w:r w:rsidRPr="00D407BD">
        <w:rPr>
          <w:szCs w:val="24"/>
        </w:rPr>
        <w:t>ed</w:t>
      </w:r>
      <w:proofErr w:type="spellEnd"/>
      <w:r w:rsidRPr="00D407BD">
        <w:rPr>
          <w:szCs w:val="24"/>
        </w:rPr>
        <w:t xml:space="preserve"> patients in the </w:t>
      </w:r>
      <w:r w:rsidR="00770BFD" w:rsidRPr="00D407BD">
        <w:rPr>
          <w:szCs w:val="24"/>
        </w:rPr>
        <w:t>TRUVADA</w:t>
      </w:r>
      <w:r w:rsidRPr="00D407BD">
        <w:rPr>
          <w:szCs w:val="24"/>
        </w:rPr>
        <w:t xml:space="preserve"> group and in </w:t>
      </w:r>
      <w:r w:rsidR="00770BFD" w:rsidRPr="00D407BD">
        <w:rPr>
          <w:szCs w:val="24"/>
        </w:rPr>
        <w:t>72% (21/29)</w:t>
      </w:r>
      <w:r w:rsidRPr="00D407BD">
        <w:rPr>
          <w:szCs w:val="24"/>
        </w:rPr>
        <w:t xml:space="preserve"> </w:t>
      </w:r>
      <w:proofErr w:type="spellStart"/>
      <w:r w:rsidRPr="00D407BD">
        <w:rPr>
          <w:szCs w:val="24"/>
        </w:rPr>
        <w:t>analy</w:t>
      </w:r>
      <w:r w:rsidR="00DA5725" w:rsidRPr="00D407BD">
        <w:rPr>
          <w:szCs w:val="24"/>
        </w:rPr>
        <w:t>s</w:t>
      </w:r>
      <w:r w:rsidRPr="00D407BD">
        <w:rPr>
          <w:szCs w:val="24"/>
        </w:rPr>
        <w:t>ed</w:t>
      </w:r>
      <w:proofErr w:type="spellEnd"/>
      <w:r w:rsidRPr="00D407BD">
        <w:rPr>
          <w:szCs w:val="24"/>
        </w:rPr>
        <w:t xml:space="preserve"> patients in the COMBIVIR group. The M184V mutation, associated with resistance to </w:t>
      </w:r>
      <w:proofErr w:type="spellStart"/>
      <w:r w:rsidRPr="00D407BD">
        <w:rPr>
          <w:szCs w:val="24"/>
        </w:rPr>
        <w:t>emtricitabine</w:t>
      </w:r>
      <w:proofErr w:type="spellEnd"/>
      <w:r w:rsidRPr="00D407BD">
        <w:rPr>
          <w:szCs w:val="24"/>
        </w:rPr>
        <w:t xml:space="preserve"> and lamivudine </w:t>
      </w:r>
      <w:r w:rsidR="00770BFD" w:rsidRPr="00D407BD">
        <w:rPr>
          <w:szCs w:val="24"/>
        </w:rPr>
        <w:t xml:space="preserve">developed significantly less in the </w:t>
      </w:r>
      <w:proofErr w:type="spellStart"/>
      <w:r w:rsidR="00770BFD" w:rsidRPr="00D407BD">
        <w:rPr>
          <w:szCs w:val="24"/>
        </w:rPr>
        <w:t>analysed</w:t>
      </w:r>
      <w:proofErr w:type="spellEnd"/>
      <w:r w:rsidR="00770BFD" w:rsidRPr="00D407BD">
        <w:rPr>
          <w:szCs w:val="24"/>
        </w:rPr>
        <w:t xml:space="preserve"> patients in the TRUVADA group 11% (2/19) compared with the </w:t>
      </w:r>
      <w:proofErr w:type="spellStart"/>
      <w:r w:rsidR="00770BFD" w:rsidRPr="00D407BD">
        <w:rPr>
          <w:szCs w:val="24"/>
        </w:rPr>
        <w:t>analysed</w:t>
      </w:r>
      <w:proofErr w:type="spellEnd"/>
      <w:r w:rsidR="00770BFD" w:rsidRPr="00D407BD">
        <w:rPr>
          <w:szCs w:val="24"/>
        </w:rPr>
        <w:t xml:space="preserve"> patients in the COMBIVIR group</w:t>
      </w:r>
      <w:r w:rsidR="00DA5725" w:rsidRPr="00D407BD">
        <w:rPr>
          <w:szCs w:val="24"/>
        </w:rPr>
        <w:t>,</w:t>
      </w:r>
      <w:r w:rsidR="00770BFD" w:rsidRPr="00D407BD">
        <w:rPr>
          <w:szCs w:val="24"/>
        </w:rPr>
        <w:t xml:space="preserve"> 34% (10/29).</w:t>
      </w:r>
      <w:r w:rsidRPr="00D407BD">
        <w:rPr>
          <w:szCs w:val="24"/>
        </w:rPr>
        <w:t xml:space="preserve"> </w:t>
      </w:r>
      <w:r w:rsidR="00770BFD" w:rsidRPr="00D407BD">
        <w:rPr>
          <w:szCs w:val="24"/>
        </w:rPr>
        <w:t>Two patients in the COMBIVIR group developed thymidine analog mutations, specifically D67N or K70R mutations in the reverse transcriptase gene.</w:t>
      </w:r>
      <w:r w:rsidR="00793F04" w:rsidRPr="00D407BD">
        <w:rPr>
          <w:szCs w:val="24"/>
        </w:rPr>
        <w:t xml:space="preserve">  </w:t>
      </w:r>
      <w:r w:rsidRPr="00D407BD">
        <w:rPr>
          <w:szCs w:val="24"/>
        </w:rPr>
        <w:t>No patient in either treatment group developed the K65R mutation, which is associated with reduced susceptibility to VIREAD.</w:t>
      </w:r>
    </w:p>
    <w:p w:rsidR="00DC7153" w:rsidRPr="00D407BD" w:rsidRDefault="00DC7153" w:rsidP="00DC7153">
      <w:pPr>
        <w:rPr>
          <w:rStyle w:val="PageNumber"/>
          <w:b/>
          <w:szCs w:val="24"/>
        </w:rPr>
      </w:pPr>
    </w:p>
    <w:p w:rsidR="007467AA" w:rsidRDefault="007467AA" w:rsidP="000756A8">
      <w:pPr>
        <w:autoSpaceDE w:val="0"/>
        <w:autoSpaceDN w:val="0"/>
        <w:adjustRightInd w:val="0"/>
        <w:rPr>
          <w:b/>
          <w:bCs/>
          <w:szCs w:val="24"/>
        </w:rPr>
      </w:pPr>
      <w:proofErr w:type="spellStart"/>
      <w:proofErr w:type="gramStart"/>
      <w:r w:rsidRPr="000756A8">
        <w:rPr>
          <w:b/>
          <w:bCs/>
          <w:szCs w:val="24"/>
        </w:rPr>
        <w:t>iPrEx</w:t>
      </w:r>
      <w:proofErr w:type="spellEnd"/>
      <w:proofErr w:type="gramEnd"/>
      <w:r w:rsidRPr="000756A8">
        <w:rPr>
          <w:b/>
          <w:bCs/>
          <w:szCs w:val="24"/>
        </w:rPr>
        <w:t xml:space="preserve"> Trial</w:t>
      </w:r>
    </w:p>
    <w:p w:rsidR="007467AA" w:rsidRPr="00DA65AF" w:rsidRDefault="007467AA" w:rsidP="007467AA">
      <w:pPr>
        <w:pStyle w:val="Text10"/>
        <w:rPr>
          <w:szCs w:val="24"/>
        </w:rPr>
      </w:pPr>
      <w:r w:rsidRPr="007467AA">
        <w:rPr>
          <w:szCs w:val="24"/>
        </w:rPr>
        <w:t xml:space="preserve">The </w:t>
      </w:r>
      <w:proofErr w:type="spellStart"/>
      <w:r w:rsidRPr="007467AA">
        <w:rPr>
          <w:szCs w:val="24"/>
        </w:rPr>
        <w:t>iPrEx</w:t>
      </w:r>
      <w:proofErr w:type="spellEnd"/>
      <w:r w:rsidRPr="007467AA">
        <w:rPr>
          <w:szCs w:val="24"/>
        </w:rPr>
        <w:t xml:space="preserve"> trial was a </w:t>
      </w:r>
      <w:proofErr w:type="spellStart"/>
      <w:r w:rsidRPr="007467AA">
        <w:rPr>
          <w:szCs w:val="24"/>
        </w:rPr>
        <w:t>randomi</w:t>
      </w:r>
      <w:r w:rsidR="002D4A56">
        <w:rPr>
          <w:szCs w:val="24"/>
        </w:rPr>
        <w:t>s</w:t>
      </w:r>
      <w:r w:rsidRPr="007467AA">
        <w:rPr>
          <w:szCs w:val="24"/>
        </w:rPr>
        <w:t>ed</w:t>
      </w:r>
      <w:proofErr w:type="spellEnd"/>
      <w:r w:rsidRPr="007467AA">
        <w:rPr>
          <w:szCs w:val="24"/>
        </w:rPr>
        <w:t xml:space="preserve"> double-blind placebo-controlled multinational study evaluating TRUVADA in 2499 HIV-seronegative men or transgender women who have sex with men and with evidence of high risk behavior for HIV</w:t>
      </w:r>
      <w:r w:rsidRPr="00D025A9">
        <w:rPr>
          <w:szCs w:val="24"/>
        </w:rPr>
        <w:t xml:space="preserve">-1 infection. Evidence of high risk behavior included </w:t>
      </w:r>
      <w:r w:rsidRPr="00FE7286">
        <w:rPr>
          <w:szCs w:val="24"/>
        </w:rPr>
        <w:t xml:space="preserve">any one of the following reported to have occurred up to six months prior to study screening: no condom use during anal intercourse with an HIV-1 </w:t>
      </w:r>
      <w:r w:rsidRPr="004F006F">
        <w:rPr>
          <w:szCs w:val="24"/>
        </w:rPr>
        <w:t>positive partner or a partner of unknown HIV status; anal intercourse with more than 3 sex partners; exchange of money, gifts, shelter or drugs for anal sex; sex with male partner and diagnosis of sexually transmitted infection; no consistent use of condoms with sex partner known to be HIV-</w:t>
      </w:r>
      <w:r w:rsidRPr="00DA65AF">
        <w:rPr>
          <w:szCs w:val="24"/>
        </w:rPr>
        <w:t xml:space="preserve">1 positive. </w:t>
      </w:r>
    </w:p>
    <w:p w:rsidR="007467AA" w:rsidRPr="001E73C3" w:rsidRDefault="007467AA" w:rsidP="007467AA">
      <w:pPr>
        <w:pStyle w:val="Text10"/>
        <w:rPr>
          <w:szCs w:val="24"/>
        </w:rPr>
      </w:pPr>
      <w:r w:rsidRPr="00DA65AF">
        <w:rPr>
          <w:szCs w:val="24"/>
        </w:rPr>
        <w:t>All subjects received monthly HIV-1</w:t>
      </w:r>
      <w:r w:rsidRPr="009E7770">
        <w:rPr>
          <w:szCs w:val="24"/>
        </w:rPr>
        <w:t xml:space="preserve"> testing, risk-reduction counseling, condoms and management of sexually transmitted infections. </w:t>
      </w:r>
      <w:r w:rsidRPr="00C31AC8">
        <w:rPr>
          <w:szCs w:val="24"/>
        </w:rPr>
        <w:t>Of the 2499 enrolled, 1251 received TRUVADA and 1248 received placebo. The mean age of subjects was 27</w:t>
      </w:r>
      <w:r w:rsidRPr="001E73C3">
        <w:rPr>
          <w:szCs w:val="24"/>
        </w:rPr>
        <w:t xml:space="preserve"> years, 5% were Asian, 9% Black, 18% White, and 72% Hispanic/Latino. </w:t>
      </w:r>
    </w:p>
    <w:p w:rsidR="000261C8" w:rsidRDefault="007467AA" w:rsidP="007467AA">
      <w:pPr>
        <w:pStyle w:val="Text10"/>
        <w:rPr>
          <w:szCs w:val="24"/>
        </w:rPr>
      </w:pPr>
      <w:r w:rsidRPr="00CA5588">
        <w:rPr>
          <w:szCs w:val="24"/>
        </w:rPr>
        <w:t>Subjects were followed for 4237 person-years. The primary outcome measure for the study was the incidence of documented HIV seroconversion. At the end of treatment, eme</w:t>
      </w:r>
      <w:r w:rsidRPr="00497E59">
        <w:rPr>
          <w:szCs w:val="24"/>
        </w:rPr>
        <w:t xml:space="preserve">rgent HIV-1 seroconversion was observed in 131 subjects, of which 48 occurred in the TRUVADA group and 83 occurred in the placebo group, indicating a 42% (95% CI: 18% to 60%) reduction in risk. </w:t>
      </w:r>
    </w:p>
    <w:p w:rsidR="007467AA" w:rsidRPr="007467AA" w:rsidRDefault="007467AA" w:rsidP="007467AA">
      <w:pPr>
        <w:pStyle w:val="Text10"/>
        <w:rPr>
          <w:szCs w:val="24"/>
        </w:rPr>
      </w:pPr>
      <w:bookmarkStart w:id="3" w:name="OLE_LINK8"/>
      <w:bookmarkStart w:id="4" w:name="OLE_LINK9"/>
      <w:r w:rsidRPr="00497E59">
        <w:rPr>
          <w:szCs w:val="24"/>
        </w:rPr>
        <w:t>In a post-hoc case control study of plasma a</w:t>
      </w:r>
      <w:r w:rsidRPr="00797455">
        <w:rPr>
          <w:szCs w:val="24"/>
        </w:rPr>
        <w:t xml:space="preserve">nd intracellular drug levels in about 10% of study subjects, risk reduction appeared to be the greatest in subjects with detectable intracellular </w:t>
      </w:r>
      <w:proofErr w:type="spellStart"/>
      <w:r w:rsidRPr="00797455">
        <w:rPr>
          <w:szCs w:val="24"/>
        </w:rPr>
        <w:t>tenofovir</w:t>
      </w:r>
      <w:proofErr w:type="spellEnd"/>
      <w:r w:rsidRPr="00797455">
        <w:rPr>
          <w:szCs w:val="24"/>
        </w:rPr>
        <w:t>.</w:t>
      </w:r>
      <w:bookmarkEnd w:id="3"/>
      <w:bookmarkEnd w:id="4"/>
      <w:r w:rsidRPr="00797455">
        <w:rPr>
          <w:szCs w:val="24"/>
        </w:rPr>
        <w:t xml:space="preserve"> Efficacy was therefore strongly correlated with adherence. </w:t>
      </w:r>
    </w:p>
    <w:p w:rsidR="007467AA" w:rsidRPr="000756A8" w:rsidRDefault="007467AA" w:rsidP="000756A8">
      <w:pPr>
        <w:autoSpaceDE w:val="0"/>
        <w:autoSpaceDN w:val="0"/>
        <w:adjustRightInd w:val="0"/>
        <w:rPr>
          <w:b/>
          <w:bCs/>
          <w:szCs w:val="24"/>
        </w:rPr>
      </w:pPr>
      <w:r w:rsidRPr="000756A8">
        <w:rPr>
          <w:b/>
          <w:bCs/>
          <w:szCs w:val="24"/>
        </w:rPr>
        <w:t xml:space="preserve">Partners </w:t>
      </w:r>
      <w:proofErr w:type="spellStart"/>
      <w:r w:rsidRPr="000756A8">
        <w:rPr>
          <w:b/>
          <w:bCs/>
          <w:szCs w:val="24"/>
        </w:rPr>
        <w:t>PrEP</w:t>
      </w:r>
      <w:proofErr w:type="spellEnd"/>
      <w:r w:rsidRPr="000756A8">
        <w:rPr>
          <w:b/>
          <w:bCs/>
          <w:szCs w:val="24"/>
        </w:rPr>
        <w:t xml:space="preserve"> Trial</w:t>
      </w:r>
    </w:p>
    <w:p w:rsidR="007467AA" w:rsidRPr="00DA65AF" w:rsidRDefault="007467AA" w:rsidP="007467AA">
      <w:pPr>
        <w:pStyle w:val="Text10"/>
        <w:rPr>
          <w:szCs w:val="24"/>
        </w:rPr>
      </w:pPr>
      <w:r w:rsidRPr="007467AA">
        <w:rPr>
          <w:szCs w:val="24"/>
        </w:rPr>
        <w:t xml:space="preserve">The Partners </w:t>
      </w:r>
      <w:proofErr w:type="spellStart"/>
      <w:r w:rsidRPr="007467AA">
        <w:rPr>
          <w:szCs w:val="24"/>
        </w:rPr>
        <w:t>PrEP</w:t>
      </w:r>
      <w:proofErr w:type="spellEnd"/>
      <w:r w:rsidRPr="007467AA">
        <w:rPr>
          <w:szCs w:val="24"/>
        </w:rPr>
        <w:t xml:space="preserve"> trial was a </w:t>
      </w:r>
      <w:proofErr w:type="spellStart"/>
      <w:r w:rsidRPr="007467AA">
        <w:rPr>
          <w:szCs w:val="24"/>
        </w:rPr>
        <w:t>randomi</w:t>
      </w:r>
      <w:r w:rsidR="002D4A56">
        <w:rPr>
          <w:szCs w:val="24"/>
        </w:rPr>
        <w:t>s</w:t>
      </w:r>
      <w:r w:rsidRPr="007467AA">
        <w:rPr>
          <w:szCs w:val="24"/>
        </w:rPr>
        <w:t>ed</w:t>
      </w:r>
      <w:proofErr w:type="spellEnd"/>
      <w:r w:rsidRPr="007467AA">
        <w:rPr>
          <w:szCs w:val="24"/>
        </w:rPr>
        <w:t xml:space="preserve">, double-blind, placebo-controlled 3 arm trial conducted in 4758 </w:t>
      </w:r>
      <w:proofErr w:type="spellStart"/>
      <w:r w:rsidRPr="007467AA">
        <w:rPr>
          <w:szCs w:val="24"/>
        </w:rPr>
        <w:t>serodiscordant</w:t>
      </w:r>
      <w:proofErr w:type="spellEnd"/>
      <w:r w:rsidRPr="007467AA">
        <w:rPr>
          <w:szCs w:val="24"/>
        </w:rPr>
        <w:t xml:space="preserve"> heterosexual couples in Kenya and Uganda to evaluate</w:t>
      </w:r>
      <w:r w:rsidRPr="00D025A9">
        <w:rPr>
          <w:szCs w:val="24"/>
        </w:rPr>
        <w:t xml:space="preserve"> the efficacy and safety of TDF (N=1589) </w:t>
      </w:r>
      <w:r w:rsidRPr="00FE7286">
        <w:rPr>
          <w:szCs w:val="24"/>
        </w:rPr>
        <w:t>and FTC/TDF (N=1583)</w:t>
      </w:r>
      <w:r w:rsidRPr="004F006F">
        <w:rPr>
          <w:szCs w:val="24"/>
        </w:rPr>
        <w:t xml:space="preserve"> versus (parallel comparison) placebo</w:t>
      </w:r>
      <w:r w:rsidRPr="00DA65AF">
        <w:rPr>
          <w:szCs w:val="24"/>
        </w:rPr>
        <w:t xml:space="preserve"> (N=1586), in preventing HIV-1 acquisition by the uninfected partner. </w:t>
      </w:r>
    </w:p>
    <w:p w:rsidR="007467AA" w:rsidRPr="00CA5588" w:rsidRDefault="007467AA" w:rsidP="007467AA">
      <w:pPr>
        <w:pStyle w:val="Text10"/>
        <w:rPr>
          <w:szCs w:val="24"/>
        </w:rPr>
      </w:pPr>
      <w:r w:rsidRPr="00DA65AF">
        <w:rPr>
          <w:szCs w:val="24"/>
        </w:rPr>
        <w:t>All subjects received monthly HI</w:t>
      </w:r>
      <w:r w:rsidRPr="009E7770">
        <w:rPr>
          <w:szCs w:val="24"/>
        </w:rPr>
        <w:t>V-1 testing, evaluation of adherence, assessment of sexual behavior</w:t>
      </w:r>
      <w:r w:rsidRPr="00C31AC8">
        <w:rPr>
          <w:szCs w:val="24"/>
        </w:rPr>
        <w:t xml:space="preserve">, and safety evaluations. </w:t>
      </w:r>
      <w:r w:rsidRPr="001E73C3">
        <w:rPr>
          <w:szCs w:val="24"/>
        </w:rPr>
        <w:t>Women were also tested monthly for pregnancy. Women who became p</w:t>
      </w:r>
      <w:r w:rsidRPr="00CA5588">
        <w:rPr>
          <w:szCs w:val="24"/>
        </w:rPr>
        <w:t xml:space="preserve">regnant during the trial had study drug interrupted for the duration of the pregnancy and </w:t>
      </w:r>
      <w:r w:rsidRPr="00CA5588">
        <w:rPr>
          <w:szCs w:val="24"/>
        </w:rPr>
        <w:lastRenderedPageBreak/>
        <w:t>while breastfeeding. The uninfected partner subjects were predominantly male (61-64% across study drug groups), and had a mean age of 33-34 years.</w:t>
      </w:r>
    </w:p>
    <w:p w:rsidR="007467AA" w:rsidRPr="007467AA" w:rsidRDefault="007467AA" w:rsidP="007467AA">
      <w:pPr>
        <w:rPr>
          <w:szCs w:val="24"/>
        </w:rPr>
      </w:pPr>
      <w:r w:rsidRPr="007467AA">
        <w:rPr>
          <w:szCs w:val="24"/>
        </w:rPr>
        <w:t xml:space="preserve">Following 7827 person-years of follow up, 82 emergent HIV-1 seroconversions were reported, with an overall observed </w:t>
      </w:r>
      <w:proofErr w:type="spellStart"/>
      <w:r w:rsidRPr="007467AA">
        <w:rPr>
          <w:szCs w:val="24"/>
        </w:rPr>
        <w:t>seroincidence</w:t>
      </w:r>
      <w:proofErr w:type="spellEnd"/>
      <w:r w:rsidRPr="007467AA">
        <w:rPr>
          <w:szCs w:val="24"/>
        </w:rPr>
        <w:t xml:space="preserve"> rate of 1.05 per 100 person-years. Of the 82 seroconversions, 13 and 52 occurred in partner subjects </w:t>
      </w:r>
      <w:proofErr w:type="spellStart"/>
      <w:r w:rsidRPr="007467AA">
        <w:rPr>
          <w:szCs w:val="24"/>
        </w:rPr>
        <w:t>randomi</w:t>
      </w:r>
      <w:r w:rsidR="002D4A56">
        <w:rPr>
          <w:szCs w:val="24"/>
        </w:rPr>
        <w:t>s</w:t>
      </w:r>
      <w:r w:rsidRPr="007467AA">
        <w:rPr>
          <w:szCs w:val="24"/>
        </w:rPr>
        <w:t>ed</w:t>
      </w:r>
      <w:proofErr w:type="spellEnd"/>
      <w:r w:rsidRPr="007467AA">
        <w:rPr>
          <w:szCs w:val="24"/>
        </w:rPr>
        <w:t xml:space="preserve"> to TRUVADA and placebo, respectively. Two of the 13 seroconversions in the TRUVADA arm and 3 of the 52 seroconversions in the placebo arm occurred in women during treatment interruptions for pregnancy. The risk reduction for TRUVADA relative to placebo was 75% (95% CI: 55% to 87%). In a post-hoc case control study of plasma drug levels in about 10% of study subjects, risk reduction appeared to be the greatest in subjects with detectable plasma </w:t>
      </w:r>
      <w:proofErr w:type="spellStart"/>
      <w:r w:rsidRPr="007467AA">
        <w:rPr>
          <w:szCs w:val="24"/>
        </w:rPr>
        <w:t>tenofovir</w:t>
      </w:r>
      <w:proofErr w:type="spellEnd"/>
      <w:r w:rsidRPr="007467AA">
        <w:rPr>
          <w:szCs w:val="24"/>
        </w:rPr>
        <w:t>. Efficacy was therefore strongly correlated with adherence.</w:t>
      </w:r>
    </w:p>
    <w:p w:rsidR="007467AA" w:rsidRDefault="007467AA" w:rsidP="007467AA"/>
    <w:p w:rsidR="007467AA" w:rsidRDefault="007467AA" w:rsidP="007467AA">
      <w:pPr>
        <w:rPr>
          <w:rStyle w:val="PageNumber"/>
          <w:b/>
          <w:szCs w:val="24"/>
        </w:rPr>
      </w:pPr>
    </w:p>
    <w:p w:rsidR="00DC7153" w:rsidRPr="00D407BD" w:rsidRDefault="00DC7153" w:rsidP="00DC7153">
      <w:pPr>
        <w:rPr>
          <w:rStyle w:val="PageNumber"/>
          <w:b/>
          <w:szCs w:val="24"/>
        </w:rPr>
      </w:pPr>
      <w:r w:rsidRPr="00D407BD">
        <w:rPr>
          <w:rStyle w:val="PageNumber"/>
          <w:b/>
          <w:szCs w:val="24"/>
        </w:rPr>
        <w:t>VIREAD (</w:t>
      </w:r>
      <w:proofErr w:type="spellStart"/>
      <w:r w:rsidRPr="00D407BD">
        <w:rPr>
          <w:rStyle w:val="PageNumber"/>
          <w:b/>
          <w:szCs w:val="24"/>
        </w:rPr>
        <w:t>tenofovir</w:t>
      </w:r>
      <w:proofErr w:type="spellEnd"/>
      <w:r w:rsidRPr="00D407BD">
        <w:rPr>
          <w:rStyle w:val="PageNumber"/>
          <w:b/>
          <w:szCs w:val="24"/>
        </w:rPr>
        <w:t xml:space="preserve">): </w:t>
      </w:r>
    </w:p>
    <w:p w:rsidR="00DC7153" w:rsidRPr="00D407BD" w:rsidRDefault="00DC7153" w:rsidP="00DC7153">
      <w:pPr>
        <w:rPr>
          <w:rStyle w:val="PageNumber"/>
          <w:b/>
          <w:szCs w:val="24"/>
        </w:rPr>
      </w:pPr>
    </w:p>
    <w:p w:rsidR="00DC7153" w:rsidRPr="00D407BD" w:rsidRDefault="00DC7153" w:rsidP="00DC7153">
      <w:pPr>
        <w:rPr>
          <w:snapToGrid w:val="0"/>
          <w:szCs w:val="24"/>
        </w:rPr>
      </w:pPr>
      <w:r w:rsidRPr="00D407BD">
        <w:rPr>
          <w:color w:val="000000"/>
          <w:szCs w:val="24"/>
        </w:rPr>
        <w:t xml:space="preserve">The demonstration of benefit of VIREAD is based on </w:t>
      </w:r>
      <w:r w:rsidRPr="00D407BD">
        <w:rPr>
          <w:snapToGrid w:val="0"/>
          <w:szCs w:val="24"/>
        </w:rPr>
        <w:t>analyses of plasma HIV-1 RNA levels and CD4 cell counts in controlled studies of VIREAD in treatment-naïve adults and in treatment-experienced adults.</w:t>
      </w:r>
    </w:p>
    <w:p w:rsidR="00DC7153" w:rsidRPr="0064484A" w:rsidRDefault="00DC7153" w:rsidP="00DC7153">
      <w:pPr>
        <w:rPr>
          <w:rStyle w:val="PageNumber"/>
          <w:b/>
          <w:sz w:val="22"/>
          <w:szCs w:val="22"/>
        </w:rPr>
      </w:pPr>
    </w:p>
    <w:p w:rsidR="00DC7153" w:rsidRPr="00D407BD" w:rsidRDefault="00DC7153" w:rsidP="00DC7153">
      <w:pPr>
        <w:pStyle w:val="Footer"/>
        <w:rPr>
          <w:b/>
          <w:i/>
          <w:szCs w:val="24"/>
          <w:u w:val="single"/>
          <w:lang w:val="en-AU"/>
        </w:rPr>
      </w:pPr>
      <w:r w:rsidRPr="00D407BD">
        <w:rPr>
          <w:b/>
          <w:i/>
          <w:szCs w:val="24"/>
          <w:u w:val="single"/>
          <w:lang w:val="en-AU"/>
        </w:rPr>
        <w:t>Treatment-Experienced Patients:</w:t>
      </w:r>
    </w:p>
    <w:p w:rsidR="00DC7153" w:rsidRPr="00D407BD" w:rsidRDefault="00DC7153" w:rsidP="00DC7153">
      <w:pPr>
        <w:pStyle w:val="Footer"/>
        <w:rPr>
          <w:b/>
          <w:i/>
          <w:szCs w:val="24"/>
          <w:u w:val="single"/>
          <w:lang w:val="en-AU"/>
        </w:rPr>
      </w:pPr>
    </w:p>
    <w:p w:rsidR="00DC7153" w:rsidRPr="00D407BD" w:rsidRDefault="000756A8" w:rsidP="00DC7153">
      <w:pPr>
        <w:pStyle w:val="BodyTextIndent"/>
        <w:tabs>
          <w:tab w:val="left" w:pos="8730"/>
        </w:tabs>
        <w:ind w:left="0"/>
        <w:rPr>
          <w:b/>
          <w:sz w:val="22"/>
          <w:szCs w:val="22"/>
          <w:u w:val="single"/>
          <w:lang w:val="en-AU"/>
        </w:rPr>
      </w:pPr>
      <w:r w:rsidRPr="00F509F7">
        <w:rPr>
          <w:b/>
          <w:sz w:val="22"/>
          <w:szCs w:val="22"/>
          <w:lang w:val="en-AU"/>
        </w:rPr>
        <w:tab/>
      </w:r>
      <w:r w:rsidR="00DC7153" w:rsidRPr="00D407BD">
        <w:rPr>
          <w:b/>
          <w:sz w:val="22"/>
          <w:szCs w:val="22"/>
          <w:u w:val="single"/>
          <w:lang w:val="en-AU"/>
        </w:rPr>
        <w:t xml:space="preserve">Study 907: </w:t>
      </w:r>
      <w:proofErr w:type="spellStart"/>
      <w:r w:rsidR="00DC7153" w:rsidRPr="00D407BD">
        <w:rPr>
          <w:b/>
          <w:sz w:val="22"/>
          <w:szCs w:val="22"/>
          <w:u w:val="single"/>
          <w:lang w:val="en-AU"/>
        </w:rPr>
        <w:t>Tenofovir</w:t>
      </w:r>
      <w:proofErr w:type="spellEnd"/>
      <w:r w:rsidR="00DC7153" w:rsidRPr="00D407BD">
        <w:rPr>
          <w:b/>
          <w:sz w:val="22"/>
          <w:szCs w:val="22"/>
          <w:u w:val="single"/>
          <w:lang w:val="en-AU"/>
        </w:rPr>
        <w:t xml:space="preserve"> + Standard Background Therapy (SBT) Compared With Placebo + SBT</w:t>
      </w:r>
    </w:p>
    <w:p w:rsidR="00DC7153" w:rsidRPr="00D407BD" w:rsidRDefault="00DC7153" w:rsidP="00DC7153">
      <w:pPr>
        <w:rPr>
          <w:szCs w:val="24"/>
        </w:rPr>
      </w:pPr>
      <w:r w:rsidRPr="00D407BD">
        <w:rPr>
          <w:szCs w:val="24"/>
        </w:rPr>
        <w:t xml:space="preserve">Study 907 was a 24 week, double-blind placebo-controlled </w:t>
      </w:r>
      <w:proofErr w:type="spellStart"/>
      <w:r w:rsidRPr="00D407BD">
        <w:rPr>
          <w:szCs w:val="24"/>
        </w:rPr>
        <w:t>multicentre</w:t>
      </w:r>
      <w:proofErr w:type="spellEnd"/>
      <w:r w:rsidRPr="00D407BD">
        <w:rPr>
          <w:szCs w:val="24"/>
        </w:rPr>
        <w:t xml:space="preserve"> study of VIREAD added to a stable background regimen of antiretroviral agents in 550 treatment-experienced patients. After 24 weeks of blinded study treatment, all patients continuing on study were offered open-label VIREAD for an additional 24 weeks.  Patients had a mean baseline CD4 cell count of 427 cells/mm</w:t>
      </w:r>
      <w:r w:rsidRPr="00D407BD">
        <w:rPr>
          <w:szCs w:val="24"/>
          <w:vertAlign w:val="superscript"/>
        </w:rPr>
        <w:t xml:space="preserve">3 </w:t>
      </w:r>
      <w:r w:rsidRPr="00D407BD">
        <w:rPr>
          <w:szCs w:val="24"/>
        </w:rPr>
        <w:t xml:space="preserve">(range 23-1385), median baseline plasma HIV RNA of 2340 (range 50–75,000) copies/mL, and mean duration of prior HIV treatment was 5.4 years.  Mean age of the patients was 42 years, 85% were male and 69% were Caucasian, 17% Black and 12% Hispanic.  </w:t>
      </w:r>
    </w:p>
    <w:p w:rsidR="00DC7153" w:rsidRPr="00D407BD" w:rsidRDefault="00DC7153" w:rsidP="00DC7153">
      <w:pPr>
        <w:rPr>
          <w:szCs w:val="24"/>
        </w:rPr>
      </w:pPr>
    </w:p>
    <w:p w:rsidR="00DC7153" w:rsidRPr="00D407BD" w:rsidRDefault="00DC7153" w:rsidP="00DC7153">
      <w:pPr>
        <w:pStyle w:val="text1"/>
        <w:spacing w:after="0"/>
        <w:rPr>
          <w:szCs w:val="24"/>
        </w:rPr>
      </w:pPr>
      <w:r w:rsidRPr="00D407BD">
        <w:rPr>
          <w:szCs w:val="24"/>
        </w:rPr>
        <w:t>Changes from baseline in log</w:t>
      </w:r>
      <w:r w:rsidRPr="00D407BD">
        <w:rPr>
          <w:szCs w:val="24"/>
          <w:vertAlign w:val="subscript"/>
        </w:rPr>
        <w:t>10</w:t>
      </w:r>
      <w:r w:rsidRPr="00D407BD">
        <w:rPr>
          <w:szCs w:val="24"/>
        </w:rPr>
        <w:t xml:space="preserve"> copies/mL plasma HIV-1 RNA levels over time up to week 48 are presented in</w:t>
      </w:r>
      <w:r w:rsidR="00DA5725" w:rsidRPr="00D407BD">
        <w:rPr>
          <w:szCs w:val="24"/>
        </w:rPr>
        <w:t xml:space="preserve"> Figure 1</w:t>
      </w:r>
      <w:r w:rsidRPr="00D407BD">
        <w:rPr>
          <w:szCs w:val="24"/>
        </w:rPr>
        <w:t>.</w:t>
      </w:r>
    </w:p>
    <w:p w:rsidR="00DC7153" w:rsidRPr="0064484A" w:rsidRDefault="00DC7153" w:rsidP="00DC7153">
      <w:pPr>
        <w:pStyle w:val="text1"/>
        <w:spacing w:after="0"/>
        <w:rPr>
          <w:color w:val="000000"/>
          <w:sz w:val="22"/>
          <w:szCs w:val="22"/>
        </w:rPr>
      </w:pPr>
    </w:p>
    <w:p w:rsidR="00DC7153" w:rsidRPr="0064484A" w:rsidRDefault="00AE0118" w:rsidP="00F509F7">
      <w:pPr>
        <w:pStyle w:val="Caption"/>
        <w:keepNext/>
        <w:keepLines/>
        <w:ind w:left="1418" w:hanging="1418"/>
        <w:rPr>
          <w:snapToGrid w:val="0"/>
        </w:rPr>
      </w:pPr>
      <w:bookmarkStart w:id="5" w:name="_Ref159391913"/>
      <w:r>
        <w:lastRenderedPageBreak/>
        <w:t xml:space="preserve">Figure </w:t>
      </w:r>
      <w:r>
        <w:fldChar w:fldCharType="begin"/>
      </w:r>
      <w:r>
        <w:instrText xml:space="preserve"> SEQ Figure \* ARABIC </w:instrText>
      </w:r>
      <w:r>
        <w:fldChar w:fldCharType="separate"/>
      </w:r>
      <w:r w:rsidR="00440D32">
        <w:rPr>
          <w:noProof/>
        </w:rPr>
        <w:t>1</w:t>
      </w:r>
      <w:r>
        <w:fldChar w:fldCharType="end"/>
      </w:r>
      <w:bookmarkEnd w:id="5"/>
      <w:r>
        <w:tab/>
      </w:r>
      <w:r w:rsidR="00DC7153" w:rsidRPr="0064484A">
        <w:rPr>
          <w:snapToGrid w:val="0"/>
        </w:rPr>
        <w:t>Mean Change from Baseline in Plasma HIV-1 RNA (Log</w:t>
      </w:r>
      <w:r w:rsidR="00DC7153" w:rsidRPr="0064484A">
        <w:rPr>
          <w:snapToGrid w:val="0"/>
          <w:vertAlign w:val="subscript"/>
        </w:rPr>
        <w:t>10</w:t>
      </w:r>
      <w:r w:rsidR="00DC7153" w:rsidRPr="0064484A">
        <w:rPr>
          <w:snapToGrid w:val="0"/>
        </w:rPr>
        <w:t xml:space="preserve"> Copies/mL) Through Week 48: Study 907 (All Available Data)</w:t>
      </w:r>
    </w:p>
    <w:p w:rsidR="00DC7153" w:rsidRPr="00E7636B" w:rsidRDefault="00CD5907" w:rsidP="00F509F7">
      <w:pPr>
        <w:keepNext/>
        <w:keepLines/>
        <w:jc w:val="center"/>
        <w:rPr>
          <w:color w:val="000000"/>
        </w:rPr>
      </w:pPr>
      <w:r>
        <w:rPr>
          <w:noProof/>
          <w:color w:val="000000"/>
          <w:lang w:val="en-AU"/>
        </w:rPr>
        <w:drawing>
          <wp:inline distT="0" distB="0" distL="0" distR="0" wp14:anchorId="790F9FE3" wp14:editId="6775C75E">
            <wp:extent cx="5650230" cy="3269615"/>
            <wp:effectExtent l="0" t="0" r="7620" b="6985"/>
            <wp:docPr id="3" name="Picture 3" descr="Figure 1: Mean Change from Baseline in Plasma HIV-1 RNA (Log10 Copies/mL) Through Week 48: Study 907 (All Availab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0230" cy="3269615"/>
                    </a:xfrm>
                    <a:prstGeom prst="rect">
                      <a:avLst/>
                    </a:prstGeom>
                    <a:noFill/>
                    <a:ln>
                      <a:noFill/>
                    </a:ln>
                  </pic:spPr>
                </pic:pic>
              </a:graphicData>
            </a:graphic>
          </wp:inline>
        </w:drawing>
      </w:r>
    </w:p>
    <w:p w:rsidR="00DC7153" w:rsidRPr="00D407BD" w:rsidRDefault="00DC7153" w:rsidP="00DC7153">
      <w:pPr>
        <w:spacing w:before="120" w:after="120"/>
        <w:rPr>
          <w:szCs w:val="24"/>
        </w:rPr>
      </w:pPr>
      <w:r w:rsidRPr="00D407BD">
        <w:rPr>
          <w:szCs w:val="24"/>
        </w:rPr>
        <w:t xml:space="preserve">The percent of patients with HIV RNA &lt;400 copies/mL and outcomes of patients through 48 weeks are </w:t>
      </w:r>
      <w:proofErr w:type="spellStart"/>
      <w:r w:rsidRPr="00D407BD">
        <w:rPr>
          <w:szCs w:val="24"/>
        </w:rPr>
        <w:t>summarised</w:t>
      </w:r>
      <w:proofErr w:type="spellEnd"/>
      <w:r w:rsidRPr="00D407BD">
        <w:rPr>
          <w:szCs w:val="24"/>
        </w:rPr>
        <w:t xml:space="preserve"> in</w:t>
      </w:r>
      <w:r w:rsidR="00DA5725" w:rsidRPr="00D407BD">
        <w:rPr>
          <w:szCs w:val="24"/>
        </w:rPr>
        <w:t xml:space="preserve"> Table 4</w:t>
      </w:r>
      <w:r w:rsidRPr="00D407BD">
        <w:rPr>
          <w:szCs w:val="24"/>
        </w:rPr>
        <w:t>.</w:t>
      </w:r>
    </w:p>
    <w:p w:rsidR="00DC7153" w:rsidRPr="0064484A" w:rsidRDefault="00AE0118" w:rsidP="001A47BA">
      <w:pPr>
        <w:pStyle w:val="Caption"/>
      </w:pPr>
      <w:bookmarkStart w:id="6" w:name="_Ref159391970"/>
      <w:proofErr w:type="gramStart"/>
      <w:r>
        <w:t xml:space="preserve">Table </w:t>
      </w:r>
      <w:r>
        <w:fldChar w:fldCharType="begin"/>
      </w:r>
      <w:r>
        <w:instrText xml:space="preserve"> SEQ Table \* ARABIC </w:instrText>
      </w:r>
      <w:r>
        <w:fldChar w:fldCharType="separate"/>
      </w:r>
      <w:r w:rsidR="00440D32">
        <w:rPr>
          <w:noProof/>
        </w:rPr>
        <w:t>4</w:t>
      </w:r>
      <w:r>
        <w:fldChar w:fldCharType="end"/>
      </w:r>
      <w:bookmarkEnd w:id="6"/>
      <w:r>
        <w:t>.</w:t>
      </w:r>
      <w:proofErr w:type="gramEnd"/>
      <w:r>
        <w:tab/>
      </w:r>
      <w:r w:rsidR="00DC7153" w:rsidRPr="0064484A">
        <w:t xml:space="preserve">Outcomes of </w:t>
      </w:r>
      <w:proofErr w:type="spellStart"/>
      <w:r w:rsidR="00DC7153" w:rsidRPr="0064484A">
        <w:t>randomised</w:t>
      </w:r>
      <w:proofErr w:type="spellEnd"/>
      <w:r w:rsidR="00DC7153" w:rsidRPr="0064484A">
        <w:t xml:space="preserve"> treatment (Study 907)</w:t>
      </w: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5"/>
        <w:gridCol w:w="1395"/>
        <w:gridCol w:w="1395"/>
        <w:gridCol w:w="1530"/>
        <w:gridCol w:w="1741"/>
      </w:tblGrid>
      <w:tr w:rsidR="00DC7153" w:rsidRPr="00E7636B">
        <w:trPr>
          <w:cantSplit/>
        </w:trPr>
        <w:tc>
          <w:tcPr>
            <w:tcW w:w="320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C7153" w:rsidRPr="005B161B" w:rsidRDefault="00DC7153" w:rsidP="000756A8">
            <w:pPr>
              <w:pStyle w:val="expl"/>
              <w:rPr>
                <w:b/>
                <w:sz w:val="24"/>
                <w:szCs w:val="24"/>
              </w:rPr>
            </w:pPr>
            <w:r w:rsidRPr="005B161B">
              <w:rPr>
                <w:b/>
                <w:sz w:val="24"/>
                <w:szCs w:val="24"/>
              </w:rPr>
              <w:t>Outcomes</w:t>
            </w:r>
          </w:p>
        </w:tc>
        <w:tc>
          <w:tcPr>
            <w:tcW w:w="2790" w:type="dxa"/>
            <w:gridSpan w:val="2"/>
            <w:tcBorders>
              <w:top w:val="single" w:sz="12" w:space="0" w:color="auto"/>
              <w:left w:val="single" w:sz="12" w:space="0" w:color="auto"/>
              <w:bottom w:val="single" w:sz="4" w:space="0" w:color="auto"/>
            </w:tcBorders>
            <w:shd w:val="clear" w:color="auto" w:fill="auto"/>
            <w:vAlign w:val="center"/>
          </w:tcPr>
          <w:p w:rsidR="00DC7153" w:rsidRPr="005B161B" w:rsidRDefault="00DC7153" w:rsidP="00DC7153">
            <w:pPr>
              <w:jc w:val="center"/>
              <w:rPr>
                <w:b/>
                <w:szCs w:val="24"/>
              </w:rPr>
            </w:pPr>
            <w:r w:rsidRPr="005B161B">
              <w:rPr>
                <w:b/>
                <w:szCs w:val="24"/>
              </w:rPr>
              <w:t>0</w:t>
            </w:r>
            <w:r w:rsidRPr="005B161B">
              <w:rPr>
                <w:b/>
                <w:szCs w:val="24"/>
              </w:rPr>
              <w:sym w:font="Symbol" w:char="F02D"/>
            </w:r>
            <w:r w:rsidRPr="005B161B">
              <w:rPr>
                <w:b/>
                <w:szCs w:val="24"/>
              </w:rPr>
              <w:t>24 weeks</w:t>
            </w:r>
          </w:p>
        </w:tc>
        <w:tc>
          <w:tcPr>
            <w:tcW w:w="1530" w:type="dxa"/>
            <w:tcBorders>
              <w:top w:val="single" w:sz="12" w:space="0" w:color="auto"/>
            </w:tcBorders>
            <w:shd w:val="clear" w:color="auto" w:fill="auto"/>
            <w:vAlign w:val="center"/>
          </w:tcPr>
          <w:p w:rsidR="00DC7153" w:rsidRPr="005B161B" w:rsidRDefault="00DC7153" w:rsidP="00DC7153">
            <w:pPr>
              <w:jc w:val="center"/>
              <w:rPr>
                <w:b/>
                <w:szCs w:val="24"/>
              </w:rPr>
            </w:pPr>
            <w:r w:rsidRPr="005B161B">
              <w:rPr>
                <w:b/>
                <w:szCs w:val="24"/>
              </w:rPr>
              <w:t>0</w:t>
            </w:r>
            <w:r w:rsidRPr="005B161B">
              <w:rPr>
                <w:b/>
                <w:szCs w:val="24"/>
              </w:rPr>
              <w:sym w:font="Symbol" w:char="F02D"/>
            </w:r>
            <w:r w:rsidRPr="005B161B">
              <w:rPr>
                <w:b/>
                <w:szCs w:val="24"/>
              </w:rPr>
              <w:t>48 weeks</w:t>
            </w:r>
            <w:r w:rsidRPr="005B161B" w:rsidDel="00D81B12">
              <w:rPr>
                <w:b/>
                <w:szCs w:val="24"/>
              </w:rPr>
              <w:t xml:space="preserve"> </w:t>
            </w:r>
          </w:p>
        </w:tc>
        <w:tc>
          <w:tcPr>
            <w:tcW w:w="1741" w:type="dxa"/>
            <w:tcBorders>
              <w:top w:val="single" w:sz="12" w:space="0" w:color="auto"/>
              <w:right w:val="single" w:sz="12" w:space="0" w:color="auto"/>
            </w:tcBorders>
            <w:shd w:val="clear" w:color="auto" w:fill="auto"/>
            <w:vAlign w:val="center"/>
          </w:tcPr>
          <w:p w:rsidR="00DC7153" w:rsidRPr="005B161B" w:rsidRDefault="00DC7153" w:rsidP="00DC7153">
            <w:pPr>
              <w:jc w:val="center"/>
              <w:rPr>
                <w:b/>
                <w:szCs w:val="24"/>
              </w:rPr>
            </w:pPr>
            <w:r w:rsidRPr="005B161B">
              <w:rPr>
                <w:b/>
                <w:szCs w:val="24"/>
              </w:rPr>
              <w:t>24</w:t>
            </w:r>
            <w:r w:rsidRPr="005B161B">
              <w:rPr>
                <w:b/>
                <w:szCs w:val="24"/>
              </w:rPr>
              <w:sym w:font="Symbol" w:char="F02D"/>
            </w:r>
            <w:r w:rsidRPr="005B161B">
              <w:rPr>
                <w:b/>
                <w:szCs w:val="24"/>
              </w:rPr>
              <w:t>48 weeks</w:t>
            </w:r>
          </w:p>
        </w:tc>
      </w:tr>
      <w:tr w:rsidR="00DC7153" w:rsidRPr="00E7636B">
        <w:trPr>
          <w:cantSplit/>
          <w:trHeight w:val="1205"/>
        </w:trPr>
        <w:tc>
          <w:tcPr>
            <w:tcW w:w="3205" w:type="dxa"/>
            <w:vMerge/>
            <w:tcBorders>
              <w:left w:val="single" w:sz="12" w:space="0" w:color="auto"/>
              <w:bottom w:val="single" w:sz="12" w:space="0" w:color="auto"/>
              <w:right w:val="single" w:sz="12" w:space="0" w:color="auto"/>
            </w:tcBorders>
            <w:shd w:val="clear" w:color="auto" w:fill="E0E0E0"/>
            <w:vAlign w:val="center"/>
          </w:tcPr>
          <w:p w:rsidR="00DC7153" w:rsidRPr="005B161B" w:rsidRDefault="00DC7153" w:rsidP="00DC7153">
            <w:pPr>
              <w:pStyle w:val="Heading1"/>
              <w:spacing w:before="20" w:after="20"/>
              <w:rPr>
                <w:sz w:val="24"/>
                <w:szCs w:val="24"/>
              </w:rPr>
            </w:pPr>
          </w:p>
        </w:tc>
        <w:tc>
          <w:tcPr>
            <w:tcW w:w="1395" w:type="dxa"/>
            <w:tcBorders>
              <w:top w:val="single" w:sz="4" w:space="0" w:color="auto"/>
              <w:left w:val="single" w:sz="12" w:space="0" w:color="auto"/>
              <w:bottom w:val="single" w:sz="12" w:space="0" w:color="auto"/>
            </w:tcBorders>
            <w:shd w:val="clear" w:color="auto" w:fill="auto"/>
            <w:vAlign w:val="center"/>
          </w:tcPr>
          <w:p w:rsidR="00DC7153" w:rsidRPr="005B161B" w:rsidRDefault="00DC7153" w:rsidP="00DC7153">
            <w:pPr>
              <w:jc w:val="center"/>
              <w:rPr>
                <w:b/>
                <w:szCs w:val="24"/>
              </w:rPr>
            </w:pPr>
            <w:r w:rsidRPr="005B161B">
              <w:rPr>
                <w:b/>
                <w:szCs w:val="24"/>
              </w:rPr>
              <w:t>VIREAD</w:t>
            </w:r>
            <w:r w:rsidRPr="005B161B">
              <w:rPr>
                <w:szCs w:val="24"/>
              </w:rPr>
              <w:t xml:space="preserve"> </w:t>
            </w:r>
            <w:r w:rsidRPr="005B161B">
              <w:rPr>
                <w:b/>
                <w:szCs w:val="24"/>
              </w:rPr>
              <w:t>(N=368)</w:t>
            </w:r>
            <w:r w:rsidRPr="005B161B">
              <w:rPr>
                <w:b/>
                <w:szCs w:val="24"/>
              </w:rPr>
              <w:br/>
              <w:t>%</w:t>
            </w:r>
          </w:p>
          <w:p w:rsidR="00DC7153" w:rsidRPr="005B161B" w:rsidRDefault="00DC7153" w:rsidP="00DC7153">
            <w:pPr>
              <w:jc w:val="center"/>
              <w:rPr>
                <w:b/>
                <w:szCs w:val="24"/>
              </w:rPr>
            </w:pPr>
            <w:r w:rsidRPr="005B161B">
              <w:rPr>
                <w:b/>
                <w:szCs w:val="24"/>
              </w:rPr>
              <w:t>(95% CI)</w:t>
            </w:r>
          </w:p>
        </w:tc>
        <w:tc>
          <w:tcPr>
            <w:tcW w:w="1395" w:type="dxa"/>
            <w:tcBorders>
              <w:top w:val="single" w:sz="4" w:space="0" w:color="auto"/>
              <w:bottom w:val="single" w:sz="12" w:space="0" w:color="auto"/>
            </w:tcBorders>
            <w:shd w:val="clear" w:color="auto" w:fill="auto"/>
            <w:vAlign w:val="center"/>
          </w:tcPr>
          <w:p w:rsidR="00DC7153" w:rsidRPr="005B161B" w:rsidRDefault="00DC7153" w:rsidP="00DC7153">
            <w:pPr>
              <w:jc w:val="center"/>
              <w:rPr>
                <w:b/>
                <w:szCs w:val="24"/>
              </w:rPr>
            </w:pPr>
            <w:r w:rsidRPr="005B161B">
              <w:rPr>
                <w:b/>
                <w:szCs w:val="24"/>
              </w:rPr>
              <w:t>Placebo</w:t>
            </w:r>
            <w:r w:rsidRPr="005B161B">
              <w:rPr>
                <w:b/>
                <w:szCs w:val="24"/>
              </w:rPr>
              <w:br/>
              <w:t>(N=182)</w:t>
            </w:r>
            <w:r w:rsidRPr="005B161B">
              <w:rPr>
                <w:b/>
                <w:szCs w:val="24"/>
              </w:rPr>
              <w:br/>
              <w:t>%</w:t>
            </w:r>
          </w:p>
          <w:p w:rsidR="00DC7153" w:rsidRPr="005B161B" w:rsidRDefault="00DC7153" w:rsidP="00DC7153">
            <w:pPr>
              <w:jc w:val="center"/>
              <w:rPr>
                <w:b/>
                <w:szCs w:val="24"/>
              </w:rPr>
            </w:pPr>
            <w:r w:rsidRPr="005B161B">
              <w:rPr>
                <w:b/>
                <w:szCs w:val="24"/>
              </w:rPr>
              <w:t>(95% CI)</w:t>
            </w:r>
          </w:p>
        </w:tc>
        <w:tc>
          <w:tcPr>
            <w:tcW w:w="1530" w:type="dxa"/>
            <w:tcBorders>
              <w:bottom w:val="single" w:sz="12" w:space="0" w:color="auto"/>
            </w:tcBorders>
            <w:shd w:val="clear" w:color="auto" w:fill="auto"/>
            <w:vAlign w:val="center"/>
          </w:tcPr>
          <w:p w:rsidR="00DC7153" w:rsidRPr="005B161B" w:rsidRDefault="00DC7153" w:rsidP="00DC7153">
            <w:pPr>
              <w:spacing w:before="120"/>
              <w:jc w:val="center"/>
              <w:rPr>
                <w:b/>
                <w:szCs w:val="24"/>
              </w:rPr>
            </w:pPr>
            <w:r w:rsidRPr="005B161B">
              <w:rPr>
                <w:b/>
                <w:szCs w:val="24"/>
              </w:rPr>
              <w:t>VIREAD</w:t>
            </w:r>
            <w:r w:rsidRPr="005B161B">
              <w:rPr>
                <w:b/>
                <w:szCs w:val="24"/>
              </w:rPr>
              <w:br/>
              <w:t>(N=368)</w:t>
            </w:r>
            <w:r w:rsidRPr="005B161B">
              <w:rPr>
                <w:b/>
                <w:szCs w:val="24"/>
              </w:rPr>
              <w:br/>
              <w:t>%</w:t>
            </w:r>
          </w:p>
          <w:p w:rsidR="00DC7153" w:rsidRPr="005B161B" w:rsidRDefault="00DC7153" w:rsidP="00DC7153">
            <w:pPr>
              <w:jc w:val="center"/>
              <w:rPr>
                <w:b/>
                <w:szCs w:val="24"/>
              </w:rPr>
            </w:pPr>
          </w:p>
        </w:tc>
        <w:tc>
          <w:tcPr>
            <w:tcW w:w="1741" w:type="dxa"/>
            <w:tcBorders>
              <w:bottom w:val="single" w:sz="12" w:space="0" w:color="auto"/>
              <w:right w:val="single" w:sz="12" w:space="0" w:color="auto"/>
            </w:tcBorders>
            <w:shd w:val="clear" w:color="auto" w:fill="auto"/>
            <w:vAlign w:val="center"/>
          </w:tcPr>
          <w:p w:rsidR="00DC7153" w:rsidRPr="005B161B" w:rsidRDefault="00DC7153" w:rsidP="00DC7153">
            <w:pPr>
              <w:spacing w:before="20" w:after="20"/>
              <w:jc w:val="center"/>
              <w:rPr>
                <w:b/>
                <w:szCs w:val="24"/>
              </w:rPr>
            </w:pPr>
            <w:r w:rsidRPr="005B161B">
              <w:rPr>
                <w:b/>
                <w:szCs w:val="24"/>
              </w:rPr>
              <w:t>Placebo Crossover to VIREAD</w:t>
            </w:r>
            <w:r w:rsidRPr="005B161B">
              <w:rPr>
                <w:b/>
                <w:szCs w:val="24"/>
              </w:rPr>
              <w:br/>
              <w:t>(N=170)</w:t>
            </w:r>
            <w:r w:rsidRPr="005B161B">
              <w:rPr>
                <w:b/>
                <w:szCs w:val="24"/>
              </w:rPr>
              <w:br/>
              <w:t>%</w:t>
            </w:r>
          </w:p>
        </w:tc>
      </w:tr>
      <w:tr w:rsidR="00DC7153" w:rsidRPr="00CF03D5">
        <w:trPr>
          <w:cantSplit/>
        </w:trPr>
        <w:tc>
          <w:tcPr>
            <w:tcW w:w="3205" w:type="dxa"/>
            <w:tcBorders>
              <w:top w:val="single" w:sz="12" w:space="0" w:color="auto"/>
              <w:left w:val="single" w:sz="12" w:space="0" w:color="auto"/>
              <w:right w:val="single" w:sz="12" w:space="0" w:color="auto"/>
            </w:tcBorders>
            <w:vAlign w:val="center"/>
          </w:tcPr>
          <w:p w:rsidR="00DC7153" w:rsidRPr="005B161B" w:rsidRDefault="00DC7153" w:rsidP="00DC7153">
            <w:pPr>
              <w:pStyle w:val="CommentText"/>
              <w:spacing w:before="20" w:after="20"/>
              <w:rPr>
                <w:sz w:val="24"/>
                <w:szCs w:val="24"/>
                <w:lang w:val="en-AU"/>
              </w:rPr>
            </w:pPr>
            <w:r w:rsidRPr="005B161B">
              <w:rPr>
                <w:sz w:val="24"/>
                <w:szCs w:val="24"/>
                <w:lang w:val="en-AU"/>
              </w:rPr>
              <w:t>HIV RNA &lt;400 copies/mL</w:t>
            </w:r>
            <w:r w:rsidRPr="005B161B">
              <w:rPr>
                <w:sz w:val="24"/>
                <w:szCs w:val="24"/>
                <w:vertAlign w:val="superscript"/>
                <w:lang w:val="en-AU"/>
              </w:rPr>
              <w:t>1</w:t>
            </w:r>
          </w:p>
        </w:tc>
        <w:tc>
          <w:tcPr>
            <w:tcW w:w="1395" w:type="dxa"/>
            <w:tcBorders>
              <w:top w:val="single" w:sz="12" w:space="0" w:color="auto"/>
              <w:left w:val="single" w:sz="12" w:space="0" w:color="auto"/>
            </w:tcBorders>
            <w:vAlign w:val="center"/>
          </w:tcPr>
          <w:p w:rsidR="00DC7153" w:rsidRPr="005B161B" w:rsidRDefault="00DC7153" w:rsidP="00DC7153">
            <w:pPr>
              <w:spacing w:before="20" w:after="20"/>
              <w:jc w:val="center"/>
              <w:rPr>
                <w:szCs w:val="24"/>
              </w:rPr>
            </w:pPr>
            <w:r w:rsidRPr="005B161B">
              <w:rPr>
                <w:szCs w:val="24"/>
              </w:rPr>
              <w:t>40%</w:t>
            </w:r>
            <w:r w:rsidRPr="005B161B">
              <w:rPr>
                <w:szCs w:val="24"/>
                <w:vertAlign w:val="superscript"/>
              </w:rPr>
              <w:t>4</w:t>
            </w:r>
          </w:p>
          <w:p w:rsidR="00DC7153" w:rsidRPr="005B161B" w:rsidRDefault="00DC7153" w:rsidP="00DC7153">
            <w:pPr>
              <w:spacing w:before="20" w:after="20"/>
              <w:jc w:val="center"/>
              <w:rPr>
                <w:szCs w:val="24"/>
              </w:rPr>
            </w:pPr>
            <w:r w:rsidRPr="005B161B">
              <w:rPr>
                <w:szCs w:val="24"/>
              </w:rPr>
              <w:t>(35% to 45%)</w:t>
            </w:r>
          </w:p>
        </w:tc>
        <w:tc>
          <w:tcPr>
            <w:tcW w:w="1395" w:type="dxa"/>
            <w:tcBorders>
              <w:top w:val="single" w:sz="12" w:space="0" w:color="auto"/>
            </w:tcBorders>
            <w:vAlign w:val="center"/>
          </w:tcPr>
          <w:p w:rsidR="00DC7153" w:rsidRPr="005B161B" w:rsidRDefault="00DC7153" w:rsidP="00DC7153">
            <w:pPr>
              <w:spacing w:before="20" w:after="20"/>
              <w:jc w:val="center"/>
              <w:rPr>
                <w:szCs w:val="24"/>
              </w:rPr>
            </w:pPr>
            <w:r w:rsidRPr="005B161B">
              <w:rPr>
                <w:szCs w:val="24"/>
              </w:rPr>
              <w:t>11%</w:t>
            </w:r>
            <w:r w:rsidRPr="005B161B">
              <w:rPr>
                <w:szCs w:val="24"/>
                <w:vertAlign w:val="superscript"/>
              </w:rPr>
              <w:t>4</w:t>
            </w:r>
          </w:p>
          <w:p w:rsidR="00DC7153" w:rsidRPr="005B161B" w:rsidRDefault="00DC7153" w:rsidP="00DC7153">
            <w:pPr>
              <w:spacing w:before="20" w:after="20"/>
              <w:jc w:val="center"/>
              <w:rPr>
                <w:szCs w:val="24"/>
              </w:rPr>
            </w:pPr>
            <w:r w:rsidRPr="005B161B">
              <w:rPr>
                <w:szCs w:val="24"/>
              </w:rPr>
              <w:t>(6% to 16%)</w:t>
            </w:r>
          </w:p>
        </w:tc>
        <w:tc>
          <w:tcPr>
            <w:tcW w:w="1530" w:type="dxa"/>
            <w:tcBorders>
              <w:top w:val="single" w:sz="12" w:space="0" w:color="auto"/>
            </w:tcBorders>
            <w:vAlign w:val="center"/>
          </w:tcPr>
          <w:p w:rsidR="00DC7153" w:rsidRPr="005B161B" w:rsidRDefault="00DC7153" w:rsidP="00DC7153">
            <w:pPr>
              <w:spacing w:before="20" w:after="20"/>
              <w:jc w:val="center"/>
              <w:rPr>
                <w:szCs w:val="24"/>
              </w:rPr>
            </w:pPr>
            <w:r w:rsidRPr="005B161B">
              <w:rPr>
                <w:szCs w:val="24"/>
              </w:rPr>
              <w:t>28%</w:t>
            </w:r>
          </w:p>
          <w:p w:rsidR="00DC7153" w:rsidRPr="005B161B" w:rsidRDefault="00DC7153" w:rsidP="00DC7153">
            <w:pPr>
              <w:spacing w:before="20" w:after="20"/>
              <w:jc w:val="center"/>
              <w:rPr>
                <w:szCs w:val="24"/>
              </w:rPr>
            </w:pPr>
          </w:p>
        </w:tc>
        <w:tc>
          <w:tcPr>
            <w:tcW w:w="1741" w:type="dxa"/>
            <w:tcBorders>
              <w:top w:val="single" w:sz="12" w:space="0" w:color="auto"/>
              <w:right w:val="single" w:sz="12" w:space="0" w:color="auto"/>
            </w:tcBorders>
            <w:vAlign w:val="center"/>
          </w:tcPr>
          <w:p w:rsidR="00DC7153" w:rsidRPr="005B161B" w:rsidRDefault="00DC7153" w:rsidP="00DC7153">
            <w:pPr>
              <w:spacing w:before="20" w:after="20"/>
              <w:jc w:val="center"/>
              <w:rPr>
                <w:szCs w:val="24"/>
              </w:rPr>
            </w:pPr>
            <w:r w:rsidRPr="005B161B">
              <w:rPr>
                <w:szCs w:val="24"/>
              </w:rPr>
              <w:t>30%</w:t>
            </w:r>
          </w:p>
          <w:p w:rsidR="00DC7153" w:rsidRPr="005B161B" w:rsidRDefault="00DC7153" w:rsidP="00DC7153">
            <w:pPr>
              <w:spacing w:before="20" w:after="20"/>
              <w:jc w:val="center"/>
              <w:rPr>
                <w:szCs w:val="24"/>
              </w:rPr>
            </w:pPr>
          </w:p>
        </w:tc>
      </w:tr>
      <w:tr w:rsidR="00DC7153" w:rsidRPr="00CF03D5">
        <w:trPr>
          <w:cantSplit/>
        </w:trPr>
        <w:tc>
          <w:tcPr>
            <w:tcW w:w="3205" w:type="dxa"/>
            <w:tcBorders>
              <w:left w:val="single" w:sz="12" w:space="0" w:color="auto"/>
              <w:right w:val="single" w:sz="12" w:space="0" w:color="auto"/>
            </w:tcBorders>
            <w:vAlign w:val="center"/>
          </w:tcPr>
          <w:p w:rsidR="00DC7153" w:rsidRPr="005B161B" w:rsidRDefault="00DC7153" w:rsidP="00DC7153">
            <w:pPr>
              <w:spacing w:before="20" w:after="20"/>
              <w:rPr>
                <w:szCs w:val="24"/>
              </w:rPr>
            </w:pPr>
            <w:proofErr w:type="spellStart"/>
            <w:r w:rsidRPr="005B161B">
              <w:rPr>
                <w:szCs w:val="24"/>
              </w:rPr>
              <w:t>Virologic</w:t>
            </w:r>
            <w:proofErr w:type="spellEnd"/>
            <w:r w:rsidRPr="005B161B">
              <w:rPr>
                <w:szCs w:val="24"/>
              </w:rPr>
              <w:t xml:space="preserve"> Failure</w:t>
            </w:r>
            <w:r w:rsidRPr="005B161B">
              <w:rPr>
                <w:szCs w:val="24"/>
                <w:vertAlign w:val="superscript"/>
              </w:rPr>
              <w:t>2</w:t>
            </w:r>
          </w:p>
        </w:tc>
        <w:tc>
          <w:tcPr>
            <w:tcW w:w="1395" w:type="dxa"/>
            <w:tcBorders>
              <w:left w:val="single" w:sz="12" w:space="0" w:color="auto"/>
            </w:tcBorders>
            <w:vAlign w:val="center"/>
          </w:tcPr>
          <w:p w:rsidR="00DC7153" w:rsidRPr="005B161B" w:rsidRDefault="00DC7153" w:rsidP="00DC7153">
            <w:pPr>
              <w:spacing w:before="20" w:after="20"/>
              <w:jc w:val="center"/>
              <w:rPr>
                <w:szCs w:val="24"/>
              </w:rPr>
            </w:pPr>
            <w:r w:rsidRPr="005B161B">
              <w:rPr>
                <w:szCs w:val="24"/>
              </w:rPr>
              <w:t>53%</w:t>
            </w:r>
          </w:p>
        </w:tc>
        <w:tc>
          <w:tcPr>
            <w:tcW w:w="1395" w:type="dxa"/>
            <w:vAlign w:val="center"/>
          </w:tcPr>
          <w:p w:rsidR="00DC7153" w:rsidRPr="005B161B" w:rsidRDefault="00DC7153" w:rsidP="00DC7153">
            <w:pPr>
              <w:spacing w:before="20" w:after="20"/>
              <w:jc w:val="center"/>
              <w:rPr>
                <w:szCs w:val="24"/>
              </w:rPr>
            </w:pPr>
            <w:r w:rsidRPr="005B161B">
              <w:rPr>
                <w:szCs w:val="24"/>
              </w:rPr>
              <w:t>84%</w:t>
            </w:r>
          </w:p>
        </w:tc>
        <w:tc>
          <w:tcPr>
            <w:tcW w:w="1530" w:type="dxa"/>
            <w:vAlign w:val="center"/>
          </w:tcPr>
          <w:p w:rsidR="00DC7153" w:rsidRPr="005B161B" w:rsidRDefault="00DC7153" w:rsidP="00DC7153">
            <w:pPr>
              <w:spacing w:before="20" w:after="20"/>
              <w:jc w:val="center"/>
              <w:rPr>
                <w:szCs w:val="24"/>
              </w:rPr>
            </w:pPr>
            <w:r w:rsidRPr="005B161B">
              <w:rPr>
                <w:szCs w:val="24"/>
              </w:rPr>
              <w:t>61%</w:t>
            </w:r>
          </w:p>
        </w:tc>
        <w:tc>
          <w:tcPr>
            <w:tcW w:w="1741" w:type="dxa"/>
            <w:tcBorders>
              <w:right w:val="single" w:sz="12" w:space="0" w:color="auto"/>
            </w:tcBorders>
            <w:vAlign w:val="center"/>
          </w:tcPr>
          <w:p w:rsidR="00DC7153" w:rsidRPr="005B161B" w:rsidRDefault="00DC7153" w:rsidP="00DC7153">
            <w:pPr>
              <w:spacing w:before="20" w:after="20"/>
              <w:jc w:val="center"/>
              <w:rPr>
                <w:szCs w:val="24"/>
              </w:rPr>
            </w:pPr>
            <w:r w:rsidRPr="005B161B">
              <w:rPr>
                <w:szCs w:val="24"/>
              </w:rPr>
              <w:t>64%</w:t>
            </w:r>
          </w:p>
        </w:tc>
      </w:tr>
      <w:tr w:rsidR="00DC7153" w:rsidRPr="00CF03D5">
        <w:trPr>
          <w:cantSplit/>
        </w:trPr>
        <w:tc>
          <w:tcPr>
            <w:tcW w:w="3205" w:type="dxa"/>
            <w:tcBorders>
              <w:left w:val="single" w:sz="12" w:space="0" w:color="auto"/>
              <w:right w:val="single" w:sz="12" w:space="0" w:color="auto"/>
            </w:tcBorders>
            <w:vAlign w:val="center"/>
          </w:tcPr>
          <w:p w:rsidR="00DC7153" w:rsidRPr="005B161B" w:rsidRDefault="00DC7153" w:rsidP="005B161B">
            <w:pPr>
              <w:pStyle w:val="CommentText"/>
              <w:spacing w:before="20" w:after="20"/>
              <w:jc w:val="left"/>
              <w:rPr>
                <w:sz w:val="24"/>
                <w:szCs w:val="24"/>
                <w:lang w:val="en-AU"/>
              </w:rPr>
            </w:pPr>
            <w:r w:rsidRPr="005B161B">
              <w:rPr>
                <w:sz w:val="24"/>
                <w:szCs w:val="24"/>
                <w:lang w:val="en-AU"/>
              </w:rPr>
              <w:t>Discontinued Due to Adverse Event</w:t>
            </w:r>
          </w:p>
        </w:tc>
        <w:tc>
          <w:tcPr>
            <w:tcW w:w="1395" w:type="dxa"/>
            <w:tcBorders>
              <w:left w:val="single" w:sz="12" w:space="0" w:color="auto"/>
            </w:tcBorders>
            <w:vAlign w:val="center"/>
          </w:tcPr>
          <w:p w:rsidR="00DC7153" w:rsidRPr="005B161B" w:rsidRDefault="00DC7153" w:rsidP="00DC7153">
            <w:pPr>
              <w:spacing w:before="20" w:after="20"/>
              <w:jc w:val="center"/>
              <w:rPr>
                <w:szCs w:val="24"/>
              </w:rPr>
            </w:pPr>
            <w:r w:rsidRPr="005B161B">
              <w:rPr>
                <w:szCs w:val="24"/>
              </w:rPr>
              <w:t>3%</w:t>
            </w:r>
          </w:p>
        </w:tc>
        <w:tc>
          <w:tcPr>
            <w:tcW w:w="1395" w:type="dxa"/>
            <w:vAlign w:val="center"/>
          </w:tcPr>
          <w:p w:rsidR="00DC7153" w:rsidRPr="005B161B" w:rsidRDefault="00DC7153" w:rsidP="00DC7153">
            <w:pPr>
              <w:spacing w:before="20" w:after="20"/>
              <w:jc w:val="center"/>
              <w:rPr>
                <w:szCs w:val="24"/>
              </w:rPr>
            </w:pPr>
            <w:r w:rsidRPr="005B161B">
              <w:rPr>
                <w:szCs w:val="24"/>
              </w:rPr>
              <w:t>3%</w:t>
            </w:r>
          </w:p>
        </w:tc>
        <w:tc>
          <w:tcPr>
            <w:tcW w:w="1530" w:type="dxa"/>
            <w:vAlign w:val="center"/>
          </w:tcPr>
          <w:p w:rsidR="00DC7153" w:rsidRPr="005B161B" w:rsidRDefault="00DC7153" w:rsidP="00DC7153">
            <w:pPr>
              <w:spacing w:before="20" w:after="20"/>
              <w:jc w:val="center"/>
              <w:rPr>
                <w:szCs w:val="24"/>
              </w:rPr>
            </w:pPr>
            <w:r w:rsidRPr="005B161B">
              <w:rPr>
                <w:szCs w:val="24"/>
              </w:rPr>
              <w:t>5%</w:t>
            </w:r>
          </w:p>
        </w:tc>
        <w:tc>
          <w:tcPr>
            <w:tcW w:w="1741" w:type="dxa"/>
            <w:tcBorders>
              <w:right w:val="single" w:sz="12" w:space="0" w:color="auto"/>
            </w:tcBorders>
            <w:vAlign w:val="center"/>
          </w:tcPr>
          <w:p w:rsidR="00DC7153" w:rsidRPr="005B161B" w:rsidRDefault="00DC7153" w:rsidP="00DC7153">
            <w:pPr>
              <w:spacing w:before="20" w:after="20"/>
              <w:jc w:val="center"/>
              <w:rPr>
                <w:szCs w:val="24"/>
              </w:rPr>
            </w:pPr>
            <w:r w:rsidRPr="005B161B">
              <w:rPr>
                <w:szCs w:val="24"/>
              </w:rPr>
              <w:t>5%</w:t>
            </w:r>
          </w:p>
        </w:tc>
      </w:tr>
      <w:tr w:rsidR="00DC7153" w:rsidRPr="00E7636B">
        <w:trPr>
          <w:cantSplit/>
        </w:trPr>
        <w:tc>
          <w:tcPr>
            <w:tcW w:w="3205" w:type="dxa"/>
            <w:tcBorders>
              <w:left w:val="single" w:sz="12" w:space="0" w:color="auto"/>
              <w:bottom w:val="single" w:sz="12" w:space="0" w:color="auto"/>
              <w:right w:val="single" w:sz="12" w:space="0" w:color="auto"/>
            </w:tcBorders>
            <w:vAlign w:val="center"/>
          </w:tcPr>
          <w:p w:rsidR="00DC7153" w:rsidRPr="005B161B" w:rsidRDefault="00DC7153" w:rsidP="005B161B">
            <w:pPr>
              <w:pStyle w:val="CommentText"/>
              <w:spacing w:before="20" w:after="20"/>
              <w:jc w:val="left"/>
              <w:rPr>
                <w:sz w:val="24"/>
                <w:szCs w:val="24"/>
                <w:lang w:val="en-AU"/>
              </w:rPr>
            </w:pPr>
            <w:r w:rsidRPr="005B161B">
              <w:rPr>
                <w:sz w:val="24"/>
                <w:szCs w:val="24"/>
                <w:lang w:val="en-AU"/>
              </w:rPr>
              <w:t>Discontinued for Other Reasons</w:t>
            </w:r>
            <w:r w:rsidRPr="005B161B">
              <w:rPr>
                <w:sz w:val="24"/>
                <w:szCs w:val="24"/>
                <w:vertAlign w:val="superscript"/>
                <w:lang w:val="en-AU"/>
              </w:rPr>
              <w:t>3</w:t>
            </w:r>
          </w:p>
        </w:tc>
        <w:tc>
          <w:tcPr>
            <w:tcW w:w="1395" w:type="dxa"/>
            <w:tcBorders>
              <w:left w:val="single" w:sz="12" w:space="0" w:color="auto"/>
              <w:bottom w:val="single" w:sz="12" w:space="0" w:color="auto"/>
            </w:tcBorders>
            <w:vAlign w:val="center"/>
          </w:tcPr>
          <w:p w:rsidR="00DC7153" w:rsidRPr="005B161B" w:rsidRDefault="00DC7153" w:rsidP="00DC7153">
            <w:pPr>
              <w:spacing w:before="20" w:after="20"/>
              <w:jc w:val="center"/>
              <w:rPr>
                <w:szCs w:val="24"/>
              </w:rPr>
            </w:pPr>
            <w:r w:rsidRPr="005B161B">
              <w:rPr>
                <w:szCs w:val="24"/>
              </w:rPr>
              <w:t>3%</w:t>
            </w:r>
          </w:p>
        </w:tc>
        <w:tc>
          <w:tcPr>
            <w:tcW w:w="1395" w:type="dxa"/>
            <w:tcBorders>
              <w:bottom w:val="single" w:sz="12" w:space="0" w:color="auto"/>
            </w:tcBorders>
            <w:vAlign w:val="center"/>
          </w:tcPr>
          <w:p w:rsidR="00DC7153" w:rsidRPr="005B161B" w:rsidRDefault="00DC7153" w:rsidP="00DC7153">
            <w:pPr>
              <w:spacing w:before="20" w:after="20"/>
              <w:jc w:val="center"/>
              <w:rPr>
                <w:szCs w:val="24"/>
              </w:rPr>
            </w:pPr>
            <w:r w:rsidRPr="005B161B">
              <w:rPr>
                <w:szCs w:val="24"/>
              </w:rPr>
              <w:t>3%</w:t>
            </w:r>
          </w:p>
        </w:tc>
        <w:tc>
          <w:tcPr>
            <w:tcW w:w="1530" w:type="dxa"/>
            <w:tcBorders>
              <w:bottom w:val="single" w:sz="12" w:space="0" w:color="auto"/>
            </w:tcBorders>
            <w:vAlign w:val="center"/>
          </w:tcPr>
          <w:p w:rsidR="00DC7153" w:rsidRPr="005B161B" w:rsidRDefault="00DC7153" w:rsidP="00DC7153">
            <w:pPr>
              <w:spacing w:before="20" w:after="20"/>
              <w:jc w:val="center"/>
              <w:rPr>
                <w:szCs w:val="24"/>
              </w:rPr>
            </w:pPr>
            <w:r w:rsidRPr="005B161B">
              <w:rPr>
                <w:szCs w:val="24"/>
              </w:rPr>
              <w:t>5%</w:t>
            </w:r>
          </w:p>
        </w:tc>
        <w:tc>
          <w:tcPr>
            <w:tcW w:w="1741" w:type="dxa"/>
            <w:tcBorders>
              <w:bottom w:val="single" w:sz="12" w:space="0" w:color="auto"/>
              <w:right w:val="single" w:sz="12" w:space="0" w:color="auto"/>
            </w:tcBorders>
            <w:vAlign w:val="center"/>
          </w:tcPr>
          <w:p w:rsidR="00DC7153" w:rsidRPr="005B161B" w:rsidRDefault="00DC7153" w:rsidP="00DC7153">
            <w:pPr>
              <w:spacing w:before="20" w:after="20"/>
              <w:jc w:val="center"/>
              <w:rPr>
                <w:szCs w:val="24"/>
              </w:rPr>
            </w:pPr>
            <w:r w:rsidRPr="005B161B">
              <w:rPr>
                <w:szCs w:val="24"/>
              </w:rPr>
              <w:t>1%</w:t>
            </w:r>
          </w:p>
        </w:tc>
      </w:tr>
    </w:tbl>
    <w:p w:rsidR="00DC7153" w:rsidRPr="005B161B" w:rsidRDefault="00DC7153" w:rsidP="00CD44FB">
      <w:pPr>
        <w:numPr>
          <w:ilvl w:val="0"/>
          <w:numId w:val="14"/>
        </w:numPr>
        <w:tabs>
          <w:tab w:val="clear" w:pos="720"/>
          <w:tab w:val="num" w:pos="360"/>
        </w:tabs>
        <w:spacing w:before="60"/>
        <w:ind w:left="363" w:right="-68" w:hanging="272"/>
        <w:rPr>
          <w:sz w:val="20"/>
          <w:vertAlign w:val="superscript"/>
        </w:rPr>
      </w:pPr>
      <w:r w:rsidRPr="005B161B">
        <w:rPr>
          <w:sz w:val="20"/>
        </w:rPr>
        <w:t>Patients with HIV RNA &lt;400 copies/mL and no prior study drug discontinuation</w:t>
      </w:r>
      <w:r w:rsidRPr="005B161B">
        <w:rPr>
          <w:sz w:val="20"/>
          <w:vertAlign w:val="superscript"/>
        </w:rPr>
        <w:t xml:space="preserve"> </w:t>
      </w:r>
      <w:r w:rsidRPr="005B161B">
        <w:rPr>
          <w:sz w:val="20"/>
        </w:rPr>
        <w:t>at weeks 24 and 48 respectively.</w:t>
      </w:r>
    </w:p>
    <w:p w:rsidR="00DC7153" w:rsidRPr="005B161B" w:rsidRDefault="00DC7153" w:rsidP="00CD44FB">
      <w:pPr>
        <w:numPr>
          <w:ilvl w:val="0"/>
          <w:numId w:val="14"/>
        </w:numPr>
        <w:tabs>
          <w:tab w:val="left" w:pos="360"/>
        </w:tabs>
        <w:ind w:left="360" w:right="-69" w:hanging="270"/>
        <w:rPr>
          <w:sz w:val="20"/>
        </w:rPr>
      </w:pPr>
      <w:r w:rsidRPr="005B161B">
        <w:rPr>
          <w:sz w:val="20"/>
        </w:rPr>
        <w:t>Patients with HIV RNA ≥400 copies/mL efficacy failure or missing HIV RNA at weeks 24 and 48 respectively.</w:t>
      </w:r>
    </w:p>
    <w:p w:rsidR="00DC7153" w:rsidRPr="005B161B" w:rsidRDefault="00DC7153" w:rsidP="00CD44FB">
      <w:pPr>
        <w:numPr>
          <w:ilvl w:val="0"/>
          <w:numId w:val="14"/>
        </w:numPr>
        <w:tabs>
          <w:tab w:val="left" w:pos="360"/>
        </w:tabs>
        <w:ind w:left="363" w:right="-68" w:hanging="272"/>
        <w:rPr>
          <w:snapToGrid w:val="0"/>
          <w:sz w:val="20"/>
        </w:rPr>
      </w:pPr>
      <w:r w:rsidRPr="005B161B">
        <w:rPr>
          <w:sz w:val="20"/>
        </w:rPr>
        <w:t>Includes lost to follow-up, patient withdrawal, non-compliance, protocol violation and other reasons.</w:t>
      </w:r>
    </w:p>
    <w:p w:rsidR="00DC7153" w:rsidRPr="005B161B" w:rsidRDefault="00DC7153" w:rsidP="00CD44FB">
      <w:pPr>
        <w:numPr>
          <w:ilvl w:val="0"/>
          <w:numId w:val="14"/>
        </w:numPr>
        <w:tabs>
          <w:tab w:val="left" w:pos="360"/>
        </w:tabs>
        <w:ind w:left="363" w:right="-68" w:hanging="272"/>
        <w:rPr>
          <w:snapToGrid w:val="0"/>
          <w:sz w:val="20"/>
        </w:rPr>
      </w:pPr>
      <w:r w:rsidRPr="005B161B">
        <w:rPr>
          <w:snapToGrid w:val="0"/>
          <w:sz w:val="20"/>
        </w:rPr>
        <w:t>Difference 29% p &lt; 0.001</w:t>
      </w:r>
    </w:p>
    <w:p w:rsidR="00DC7153" w:rsidRDefault="00DC7153" w:rsidP="00DC7153">
      <w:pPr>
        <w:rPr>
          <w:sz w:val="22"/>
          <w:szCs w:val="22"/>
        </w:rPr>
      </w:pPr>
    </w:p>
    <w:p w:rsidR="00DC7153" w:rsidRPr="00D407BD" w:rsidRDefault="00DC7153" w:rsidP="00DC7153">
      <w:pPr>
        <w:rPr>
          <w:snapToGrid w:val="0"/>
          <w:szCs w:val="24"/>
        </w:rPr>
      </w:pPr>
      <w:r w:rsidRPr="00D407BD">
        <w:rPr>
          <w:szCs w:val="24"/>
        </w:rPr>
        <w:t xml:space="preserve">At 24 weeks of therapy, there was a higher proportion of patients in the VIREAD arm compared to the placebo arm with HIV RNA &lt;50 copies/mL (19% and 1%, respectively).  </w:t>
      </w:r>
      <w:r w:rsidRPr="00D407BD">
        <w:rPr>
          <w:snapToGrid w:val="0"/>
          <w:szCs w:val="24"/>
        </w:rPr>
        <w:t xml:space="preserve">Mean change in absolute CD4 counts by week 24 was </w:t>
      </w:r>
      <w:proofErr w:type="gramStart"/>
      <w:r w:rsidRPr="00D407BD">
        <w:rPr>
          <w:snapToGrid w:val="0"/>
          <w:szCs w:val="24"/>
        </w:rPr>
        <w:t>+12 cells/mm</w:t>
      </w:r>
      <w:r w:rsidRPr="00D407BD">
        <w:rPr>
          <w:snapToGrid w:val="0"/>
          <w:szCs w:val="24"/>
          <w:vertAlign w:val="superscript"/>
        </w:rPr>
        <w:t>3</w:t>
      </w:r>
      <w:r w:rsidRPr="00D407BD">
        <w:rPr>
          <w:snapToGrid w:val="0"/>
          <w:szCs w:val="24"/>
        </w:rPr>
        <w:t xml:space="preserve"> for the </w:t>
      </w:r>
      <w:proofErr w:type="spellStart"/>
      <w:r w:rsidRPr="00D407BD">
        <w:rPr>
          <w:szCs w:val="24"/>
        </w:rPr>
        <w:t>tenofovir</w:t>
      </w:r>
      <w:proofErr w:type="spellEnd"/>
      <w:r w:rsidRPr="00D407BD">
        <w:rPr>
          <w:snapToGrid w:val="0"/>
          <w:szCs w:val="24"/>
        </w:rPr>
        <w:t xml:space="preserve"> group</w:t>
      </w:r>
      <w:proofErr w:type="gramEnd"/>
      <w:r w:rsidRPr="00D407BD">
        <w:rPr>
          <w:snapToGrid w:val="0"/>
          <w:szCs w:val="24"/>
        </w:rPr>
        <w:t xml:space="preserve"> and -5 cells/mm</w:t>
      </w:r>
      <w:r w:rsidRPr="00D407BD">
        <w:rPr>
          <w:snapToGrid w:val="0"/>
          <w:szCs w:val="24"/>
          <w:vertAlign w:val="superscript"/>
        </w:rPr>
        <w:t>3</w:t>
      </w:r>
      <w:r w:rsidRPr="00D407BD">
        <w:rPr>
          <w:snapToGrid w:val="0"/>
          <w:szCs w:val="24"/>
        </w:rPr>
        <w:t xml:space="preserve"> for the placebo group.  Mean change in absolute CD4 counts by week 48 was </w:t>
      </w:r>
      <w:proofErr w:type="gramStart"/>
      <w:r w:rsidRPr="00D407BD">
        <w:rPr>
          <w:snapToGrid w:val="0"/>
          <w:szCs w:val="24"/>
        </w:rPr>
        <w:t>+4 cells/mm</w:t>
      </w:r>
      <w:r w:rsidRPr="00D407BD">
        <w:rPr>
          <w:snapToGrid w:val="0"/>
          <w:szCs w:val="24"/>
          <w:vertAlign w:val="superscript"/>
        </w:rPr>
        <w:t>3</w:t>
      </w:r>
      <w:r w:rsidRPr="00D407BD">
        <w:rPr>
          <w:snapToGrid w:val="0"/>
          <w:szCs w:val="24"/>
        </w:rPr>
        <w:t xml:space="preserve"> for the </w:t>
      </w:r>
      <w:r w:rsidRPr="00D407BD">
        <w:rPr>
          <w:szCs w:val="24"/>
        </w:rPr>
        <w:t>VIREAD</w:t>
      </w:r>
      <w:r w:rsidRPr="00D407BD">
        <w:rPr>
          <w:snapToGrid w:val="0"/>
          <w:szCs w:val="24"/>
        </w:rPr>
        <w:t xml:space="preserve"> group</w:t>
      </w:r>
      <w:proofErr w:type="gramEnd"/>
      <w:r w:rsidRPr="00D407BD">
        <w:rPr>
          <w:snapToGrid w:val="0"/>
          <w:szCs w:val="24"/>
        </w:rPr>
        <w:t>.</w:t>
      </w:r>
    </w:p>
    <w:p w:rsidR="00DC7153" w:rsidRPr="00D407BD" w:rsidRDefault="00DC7153" w:rsidP="00DC7153">
      <w:pPr>
        <w:rPr>
          <w:snapToGrid w:val="0"/>
          <w:szCs w:val="24"/>
        </w:rPr>
      </w:pPr>
    </w:p>
    <w:p w:rsidR="00DC7153" w:rsidRPr="00F509F7" w:rsidRDefault="00DC7153" w:rsidP="00DC7153">
      <w:pPr>
        <w:pStyle w:val="BodyText3"/>
        <w:tabs>
          <w:tab w:val="left" w:pos="9000"/>
        </w:tabs>
        <w:rPr>
          <w:rFonts w:ascii="Times New Roman" w:hAnsi="Times New Roman"/>
          <w:b/>
          <w:i/>
          <w:strike/>
          <w:snapToGrid w:val="0"/>
          <w:color w:val="auto"/>
          <w:sz w:val="22"/>
          <w:szCs w:val="22"/>
          <w:u w:val="single"/>
        </w:rPr>
      </w:pPr>
      <w:r w:rsidRPr="00F509F7">
        <w:rPr>
          <w:rFonts w:ascii="Times New Roman" w:hAnsi="Times New Roman"/>
          <w:b/>
          <w:i/>
          <w:snapToGrid w:val="0"/>
          <w:color w:val="auto"/>
          <w:sz w:val="22"/>
          <w:szCs w:val="22"/>
          <w:u w:val="single"/>
        </w:rPr>
        <w:t>Treatment-Naïve Patients</w:t>
      </w:r>
    </w:p>
    <w:p w:rsidR="00DC7153" w:rsidRPr="0064484A" w:rsidRDefault="00DC7153" w:rsidP="00DC7153">
      <w:pPr>
        <w:rPr>
          <w:b/>
          <w:sz w:val="22"/>
          <w:szCs w:val="22"/>
        </w:rPr>
      </w:pPr>
    </w:p>
    <w:p w:rsidR="00DC7153" w:rsidRPr="0064484A" w:rsidRDefault="00DC7153" w:rsidP="00DC7153">
      <w:pPr>
        <w:rPr>
          <w:b/>
          <w:sz w:val="22"/>
          <w:szCs w:val="22"/>
        </w:rPr>
      </w:pPr>
      <w:r w:rsidRPr="0064484A">
        <w:rPr>
          <w:b/>
          <w:sz w:val="22"/>
          <w:szCs w:val="22"/>
        </w:rPr>
        <w:t>Study 903:  VIREAD + Lamivudine +</w:t>
      </w:r>
      <w:proofErr w:type="spellStart"/>
      <w:r w:rsidRPr="0064484A">
        <w:rPr>
          <w:b/>
          <w:sz w:val="22"/>
          <w:szCs w:val="22"/>
        </w:rPr>
        <w:t>Efavirenz</w:t>
      </w:r>
      <w:proofErr w:type="spellEnd"/>
      <w:r w:rsidRPr="0064484A">
        <w:rPr>
          <w:b/>
          <w:sz w:val="22"/>
          <w:szCs w:val="22"/>
        </w:rPr>
        <w:t xml:space="preserve"> Compared to </w:t>
      </w:r>
      <w:proofErr w:type="spellStart"/>
      <w:r w:rsidRPr="0064484A">
        <w:rPr>
          <w:b/>
          <w:sz w:val="22"/>
          <w:szCs w:val="22"/>
        </w:rPr>
        <w:t>Stavudine</w:t>
      </w:r>
      <w:proofErr w:type="spellEnd"/>
      <w:r w:rsidRPr="0064484A">
        <w:rPr>
          <w:b/>
          <w:sz w:val="22"/>
          <w:szCs w:val="22"/>
        </w:rPr>
        <w:t xml:space="preserve"> + Lamivudine + </w:t>
      </w:r>
      <w:proofErr w:type="spellStart"/>
      <w:r w:rsidRPr="0064484A">
        <w:rPr>
          <w:b/>
          <w:sz w:val="22"/>
          <w:szCs w:val="22"/>
        </w:rPr>
        <w:t>Efavirenz</w:t>
      </w:r>
      <w:proofErr w:type="spellEnd"/>
    </w:p>
    <w:p w:rsidR="00DC7153" w:rsidRPr="00D407BD" w:rsidRDefault="00DC7153" w:rsidP="00DC7153">
      <w:pPr>
        <w:pStyle w:val="text1CharChar"/>
        <w:spacing w:after="0"/>
        <w:rPr>
          <w:szCs w:val="24"/>
          <w:lang w:val="en-AU"/>
        </w:rPr>
      </w:pPr>
    </w:p>
    <w:p w:rsidR="00DC7153" w:rsidRPr="00D407BD" w:rsidRDefault="00DC7153" w:rsidP="00DC7153">
      <w:pPr>
        <w:pStyle w:val="text1CharChar"/>
        <w:spacing w:after="0"/>
        <w:rPr>
          <w:szCs w:val="24"/>
          <w:lang w:val="en-AU"/>
        </w:rPr>
      </w:pPr>
      <w:r w:rsidRPr="00D407BD">
        <w:rPr>
          <w:szCs w:val="24"/>
          <w:lang w:val="en-AU"/>
        </w:rPr>
        <w:t xml:space="preserve">Data through 144 weeks are reported for Study 903, a double-blind, active-controlled multicentre study comparing VIREAD (300 mg once daily) administered in combination with lamivudine and </w:t>
      </w:r>
      <w:proofErr w:type="spellStart"/>
      <w:r w:rsidRPr="00D407BD">
        <w:rPr>
          <w:szCs w:val="24"/>
          <w:lang w:val="en-AU"/>
        </w:rPr>
        <w:t>efavirenz</w:t>
      </w:r>
      <w:proofErr w:type="spellEnd"/>
      <w:r w:rsidRPr="00D407BD">
        <w:rPr>
          <w:szCs w:val="24"/>
          <w:lang w:val="en-AU"/>
        </w:rPr>
        <w:t xml:space="preserve"> versus d4T, lamivudine, and </w:t>
      </w:r>
      <w:proofErr w:type="spellStart"/>
      <w:r w:rsidRPr="00D407BD">
        <w:rPr>
          <w:szCs w:val="24"/>
          <w:lang w:val="en-AU"/>
        </w:rPr>
        <w:t>efavirenz</w:t>
      </w:r>
      <w:proofErr w:type="spellEnd"/>
      <w:r w:rsidRPr="00D407BD">
        <w:rPr>
          <w:szCs w:val="24"/>
          <w:lang w:val="en-AU"/>
        </w:rPr>
        <w:t xml:space="preserve"> in 600 antiretroviral-naïve patients.  Patients had a mean age of 36 years (range 18–64), 74% were male, 64% were Caucasian and 20% were Black.  The mean baseline CD4 cell count was </w:t>
      </w:r>
      <w:proofErr w:type="gramStart"/>
      <w:r w:rsidRPr="00D407BD">
        <w:rPr>
          <w:szCs w:val="24"/>
          <w:lang w:val="en-AU"/>
        </w:rPr>
        <w:t>279 cells/mm</w:t>
      </w:r>
      <w:r w:rsidRPr="00D407BD">
        <w:rPr>
          <w:szCs w:val="24"/>
          <w:vertAlign w:val="superscript"/>
          <w:lang w:val="en-AU"/>
        </w:rPr>
        <w:t>3</w:t>
      </w:r>
      <w:r w:rsidRPr="00D407BD">
        <w:rPr>
          <w:szCs w:val="24"/>
          <w:lang w:val="en-AU"/>
        </w:rPr>
        <w:t xml:space="preserve"> (range 3–956)</w:t>
      </w:r>
      <w:proofErr w:type="gramEnd"/>
      <w:r w:rsidRPr="00D407BD">
        <w:rPr>
          <w:szCs w:val="24"/>
          <w:lang w:val="en-AU"/>
        </w:rPr>
        <w:t xml:space="preserve"> and median baseline plasma HIV-1 RNA was 77,600 copies/mL (range 417–5,130,000).  Patients were stratified by baseline HIV-1 RNA and CD4 count.  Forty-three percent of patients had baseline viral loads &gt;100,000 copies/mL and 39% had CD4 cell counts &lt;200 cells/mm</w:t>
      </w:r>
      <w:r w:rsidRPr="00D407BD">
        <w:rPr>
          <w:szCs w:val="24"/>
          <w:vertAlign w:val="superscript"/>
          <w:lang w:val="en-AU"/>
        </w:rPr>
        <w:t>3</w:t>
      </w:r>
      <w:r w:rsidRPr="00D407BD">
        <w:rPr>
          <w:szCs w:val="24"/>
          <w:lang w:val="en-AU"/>
        </w:rPr>
        <w:t>.  Treatment outcomes through 144 weeks are presented in</w:t>
      </w:r>
      <w:r w:rsidR="00DA5725" w:rsidRPr="00D407BD">
        <w:rPr>
          <w:szCs w:val="24"/>
          <w:lang w:val="en-AU"/>
        </w:rPr>
        <w:t xml:space="preserve"> Table 5</w:t>
      </w:r>
      <w:r w:rsidRPr="00D407BD">
        <w:rPr>
          <w:szCs w:val="24"/>
          <w:lang w:val="en-AU"/>
        </w:rPr>
        <w:t>.</w:t>
      </w:r>
    </w:p>
    <w:p w:rsidR="00DC7153" w:rsidRPr="0064484A" w:rsidRDefault="00EF451A" w:rsidP="001A47BA">
      <w:pPr>
        <w:pStyle w:val="Caption"/>
      </w:pPr>
      <w:bookmarkStart w:id="7" w:name="_Ref159392021"/>
      <w:r>
        <w:rPr>
          <w:b w:val="0"/>
        </w:rPr>
        <w:br w:type="page"/>
      </w:r>
      <w:proofErr w:type="gramStart"/>
      <w:r w:rsidR="00AE11B4">
        <w:lastRenderedPageBreak/>
        <w:t xml:space="preserve">Table </w:t>
      </w:r>
      <w:r w:rsidR="00AE11B4">
        <w:fldChar w:fldCharType="begin"/>
      </w:r>
      <w:r w:rsidR="00AE11B4">
        <w:instrText xml:space="preserve"> SEQ Table \* ARABIC </w:instrText>
      </w:r>
      <w:r w:rsidR="00AE11B4">
        <w:fldChar w:fldCharType="separate"/>
      </w:r>
      <w:r w:rsidR="00440D32">
        <w:rPr>
          <w:noProof/>
        </w:rPr>
        <w:t>5</w:t>
      </w:r>
      <w:r w:rsidR="00AE11B4">
        <w:fldChar w:fldCharType="end"/>
      </w:r>
      <w:bookmarkEnd w:id="7"/>
      <w:r w:rsidR="00DC7153" w:rsidRPr="0064484A">
        <w:t>.</w:t>
      </w:r>
      <w:proofErr w:type="gramEnd"/>
      <w:r w:rsidR="00DC7153" w:rsidRPr="0064484A">
        <w:tab/>
        <w:t xml:space="preserve">Outcomes of </w:t>
      </w:r>
      <w:proofErr w:type="spellStart"/>
      <w:r w:rsidR="00DC7153" w:rsidRPr="0064484A">
        <w:t>Randomi</w:t>
      </w:r>
      <w:r w:rsidR="00DC7153">
        <w:t>s</w:t>
      </w:r>
      <w:r w:rsidR="00DC7153" w:rsidRPr="0064484A">
        <w:t>ed</w:t>
      </w:r>
      <w:proofErr w:type="spellEnd"/>
      <w:r w:rsidR="00DC7153" w:rsidRPr="0064484A">
        <w:t xml:space="preserve"> Treatment (Study 903)</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4"/>
        <w:gridCol w:w="1350"/>
        <w:gridCol w:w="1350"/>
        <w:gridCol w:w="1350"/>
        <w:gridCol w:w="1350"/>
      </w:tblGrid>
      <w:tr w:rsidR="001E73C3" w:rsidRPr="00E7636B" w:rsidTr="00A72E9F">
        <w:trPr>
          <w:cantSplit/>
        </w:trPr>
        <w:tc>
          <w:tcPr>
            <w:tcW w:w="3294" w:type="dxa"/>
            <w:vMerge w:val="restart"/>
            <w:tcBorders>
              <w:top w:val="single" w:sz="4" w:space="0" w:color="auto"/>
              <w:left w:val="single" w:sz="4" w:space="0" w:color="auto"/>
              <w:right w:val="single" w:sz="4" w:space="0" w:color="auto"/>
            </w:tcBorders>
            <w:shd w:val="clear" w:color="auto" w:fill="auto"/>
            <w:vAlign w:val="center"/>
          </w:tcPr>
          <w:p w:rsidR="001E73C3" w:rsidRPr="00E7636B" w:rsidRDefault="001E73C3" w:rsidP="00C55548">
            <w:pPr>
              <w:pStyle w:val="Table-Heading"/>
              <w:spacing w:beforeLines="20" w:before="48" w:afterLines="20" w:after="48"/>
              <w:jc w:val="center"/>
              <w:rPr>
                <w:lang w:val="en-AU"/>
              </w:rPr>
            </w:pPr>
            <w:r w:rsidRPr="00E7636B">
              <w:rPr>
                <w:lang w:val="en-AU"/>
              </w:rPr>
              <w:t>Outcomes</w:t>
            </w:r>
          </w:p>
        </w:tc>
        <w:tc>
          <w:tcPr>
            <w:tcW w:w="2700" w:type="dxa"/>
            <w:gridSpan w:val="2"/>
            <w:tcBorders>
              <w:top w:val="single" w:sz="4" w:space="0" w:color="auto"/>
              <w:left w:val="nil"/>
              <w:bottom w:val="single" w:sz="4" w:space="0" w:color="auto"/>
              <w:right w:val="single" w:sz="4" w:space="0" w:color="auto"/>
            </w:tcBorders>
            <w:shd w:val="clear" w:color="auto" w:fill="auto"/>
            <w:vAlign w:val="bottom"/>
          </w:tcPr>
          <w:p w:rsidR="001E73C3" w:rsidRPr="00E7636B" w:rsidRDefault="001E73C3" w:rsidP="00C55548">
            <w:pPr>
              <w:pStyle w:val="Table-Heading"/>
              <w:spacing w:beforeLines="20" w:before="48" w:afterLines="20" w:after="48"/>
              <w:jc w:val="center"/>
              <w:rPr>
                <w:lang w:val="en-AU"/>
              </w:rPr>
            </w:pPr>
            <w:r w:rsidRPr="00E7636B">
              <w:rPr>
                <w:lang w:val="en-AU"/>
              </w:rPr>
              <w:t>At Week 48</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1E73C3" w:rsidRPr="00E7636B" w:rsidRDefault="001E73C3" w:rsidP="00C55548">
            <w:pPr>
              <w:pStyle w:val="Table-Heading"/>
              <w:spacing w:beforeLines="20" w:before="48" w:afterLines="20" w:after="48"/>
              <w:jc w:val="center"/>
              <w:rPr>
                <w:lang w:val="en-AU"/>
              </w:rPr>
            </w:pPr>
            <w:r w:rsidRPr="00E7636B">
              <w:rPr>
                <w:lang w:val="en-AU"/>
              </w:rPr>
              <w:t>At Week 144</w:t>
            </w:r>
          </w:p>
        </w:tc>
      </w:tr>
      <w:tr w:rsidR="001E73C3" w:rsidRPr="00E7636B" w:rsidTr="00A72E9F">
        <w:trPr>
          <w:cantSplit/>
        </w:trPr>
        <w:tc>
          <w:tcPr>
            <w:tcW w:w="3294" w:type="dxa"/>
            <w:vMerge/>
            <w:tcBorders>
              <w:left w:val="single" w:sz="4" w:space="0" w:color="auto"/>
              <w:right w:val="single" w:sz="4" w:space="0" w:color="auto"/>
            </w:tcBorders>
            <w:shd w:val="clear" w:color="auto" w:fill="auto"/>
            <w:vAlign w:val="center"/>
          </w:tcPr>
          <w:p w:rsidR="001E73C3" w:rsidRPr="00E7636B" w:rsidRDefault="001E73C3" w:rsidP="00C55548">
            <w:pPr>
              <w:pStyle w:val="Table-Heading"/>
              <w:spacing w:beforeLines="20" w:before="48" w:afterLines="20" w:after="48"/>
              <w:jc w:val="center"/>
              <w:rPr>
                <w:lang w:val="en-AU"/>
              </w:rPr>
            </w:pPr>
          </w:p>
        </w:tc>
        <w:tc>
          <w:tcPr>
            <w:tcW w:w="1350" w:type="dxa"/>
            <w:tcBorders>
              <w:top w:val="single" w:sz="4" w:space="0" w:color="auto"/>
              <w:left w:val="nil"/>
              <w:bottom w:val="single" w:sz="4" w:space="0" w:color="auto"/>
              <w:right w:val="nil"/>
            </w:tcBorders>
            <w:shd w:val="clear" w:color="auto" w:fill="auto"/>
            <w:vAlign w:val="bottom"/>
          </w:tcPr>
          <w:p w:rsidR="001E73C3" w:rsidRPr="00E7636B" w:rsidRDefault="001E73C3" w:rsidP="00C55548">
            <w:pPr>
              <w:pStyle w:val="Table-Heading"/>
              <w:spacing w:beforeLines="20" w:before="48" w:afterLines="20" w:after="48"/>
              <w:jc w:val="center"/>
              <w:rPr>
                <w:lang w:val="en-AU"/>
              </w:rPr>
            </w:pPr>
            <w:r w:rsidRPr="00E7636B">
              <w:rPr>
                <w:lang w:val="en-AU"/>
              </w:rPr>
              <w:t>VIREAD+</w:t>
            </w:r>
            <w:r w:rsidRPr="00E7636B">
              <w:rPr>
                <w:lang w:val="en-AU"/>
              </w:rPr>
              <w:br/>
              <w:t>3TC+EFV</w:t>
            </w:r>
            <w:r w:rsidRPr="00E7636B">
              <w:rPr>
                <w:lang w:val="en-AU"/>
              </w:rPr>
              <w:br/>
              <w:t>(N=299)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E73C3" w:rsidRPr="00E7636B" w:rsidRDefault="001E73C3" w:rsidP="00C55548">
            <w:pPr>
              <w:pStyle w:val="Table-Heading"/>
              <w:spacing w:beforeLines="20" w:before="48" w:afterLines="20" w:after="48"/>
              <w:jc w:val="center"/>
              <w:rPr>
                <w:lang w:val="en-AU"/>
              </w:rPr>
            </w:pPr>
            <w:r>
              <w:rPr>
                <w:lang w:val="en-AU"/>
              </w:rPr>
              <w:t>d4T</w:t>
            </w:r>
            <w:r w:rsidRPr="00E7636B">
              <w:rPr>
                <w:lang w:val="en-AU"/>
              </w:rPr>
              <w:t>+3TC+EFV</w:t>
            </w:r>
            <w:r w:rsidRPr="00E7636B">
              <w:rPr>
                <w:lang w:val="en-AU"/>
              </w:rPr>
              <w:br/>
              <w:t>(N=301)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1E73C3" w:rsidRPr="00E7636B" w:rsidRDefault="001E73C3" w:rsidP="00C55548">
            <w:pPr>
              <w:pStyle w:val="Table-Heading"/>
              <w:spacing w:beforeLines="20" w:before="48" w:afterLines="20" w:after="48"/>
              <w:jc w:val="center"/>
              <w:rPr>
                <w:lang w:val="en-AU"/>
              </w:rPr>
            </w:pPr>
            <w:r w:rsidRPr="00E7636B">
              <w:rPr>
                <w:lang w:val="en-AU"/>
              </w:rPr>
              <w:t>VIREAD+</w:t>
            </w:r>
            <w:r w:rsidRPr="00E7636B">
              <w:rPr>
                <w:lang w:val="en-AU"/>
              </w:rPr>
              <w:br/>
              <w:t>3TC+EFV</w:t>
            </w:r>
            <w:r w:rsidRPr="00E7636B">
              <w:rPr>
                <w:lang w:val="en-AU"/>
              </w:rPr>
              <w:br/>
              <w:t>(N=299)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E73C3" w:rsidRPr="00E7636B" w:rsidRDefault="001E73C3" w:rsidP="00C55548">
            <w:pPr>
              <w:pStyle w:val="Table-Heading"/>
              <w:spacing w:beforeLines="20" w:before="48" w:afterLines="20" w:after="48"/>
              <w:jc w:val="center"/>
              <w:rPr>
                <w:lang w:val="en-AU"/>
              </w:rPr>
            </w:pPr>
            <w:r>
              <w:rPr>
                <w:lang w:val="en-AU"/>
              </w:rPr>
              <w:t>d4T</w:t>
            </w:r>
            <w:r w:rsidRPr="00E7636B">
              <w:rPr>
                <w:lang w:val="en-AU"/>
              </w:rPr>
              <w:t>+3TC+EFV</w:t>
            </w:r>
            <w:r w:rsidRPr="00E7636B">
              <w:rPr>
                <w:lang w:val="en-AU"/>
              </w:rPr>
              <w:br/>
              <w:t>(N=301)</w:t>
            </w:r>
          </w:p>
        </w:tc>
      </w:tr>
      <w:tr w:rsidR="001E73C3" w:rsidRPr="00E7636B" w:rsidTr="00A72E9F">
        <w:trPr>
          <w:cantSplit/>
        </w:trPr>
        <w:tc>
          <w:tcPr>
            <w:tcW w:w="3294" w:type="dxa"/>
            <w:vMerge/>
            <w:tcBorders>
              <w:left w:val="single" w:sz="4" w:space="0" w:color="auto"/>
              <w:bottom w:val="single" w:sz="12" w:space="0" w:color="auto"/>
              <w:right w:val="single" w:sz="4" w:space="0" w:color="auto"/>
            </w:tcBorders>
            <w:shd w:val="clear" w:color="auto" w:fill="auto"/>
            <w:vAlign w:val="center"/>
          </w:tcPr>
          <w:p w:rsidR="001E73C3" w:rsidRPr="00E7636B" w:rsidRDefault="001E73C3" w:rsidP="00C55548">
            <w:pPr>
              <w:spacing w:beforeLines="20" w:before="48" w:afterLines="20" w:after="48"/>
              <w:rPr>
                <w:b/>
              </w:rPr>
            </w:pPr>
          </w:p>
        </w:tc>
        <w:tc>
          <w:tcPr>
            <w:tcW w:w="1350" w:type="dxa"/>
            <w:tcBorders>
              <w:top w:val="single" w:sz="4" w:space="0" w:color="auto"/>
              <w:left w:val="nil"/>
              <w:bottom w:val="single" w:sz="12" w:space="0" w:color="auto"/>
              <w:right w:val="nil"/>
            </w:tcBorders>
            <w:shd w:val="clear" w:color="auto" w:fill="auto"/>
          </w:tcPr>
          <w:p w:rsidR="001E73C3" w:rsidRPr="00E7636B" w:rsidRDefault="001E73C3" w:rsidP="00C55548">
            <w:pPr>
              <w:pStyle w:val="Table-Heading"/>
              <w:spacing w:beforeLines="20" w:before="48" w:afterLines="20" w:after="48"/>
              <w:jc w:val="center"/>
              <w:rPr>
                <w:lang w:val="en-AU"/>
              </w:rPr>
            </w:pPr>
            <w:r w:rsidRPr="00E7636B">
              <w:rPr>
                <w:lang w:val="en-AU"/>
              </w:rPr>
              <w:t>%</w:t>
            </w:r>
          </w:p>
        </w:tc>
        <w:tc>
          <w:tcPr>
            <w:tcW w:w="1350" w:type="dxa"/>
            <w:tcBorders>
              <w:top w:val="single" w:sz="4" w:space="0" w:color="auto"/>
              <w:left w:val="single" w:sz="4" w:space="0" w:color="auto"/>
              <w:bottom w:val="single" w:sz="12" w:space="0" w:color="auto"/>
              <w:right w:val="single" w:sz="4" w:space="0" w:color="auto"/>
            </w:tcBorders>
            <w:shd w:val="clear" w:color="auto" w:fill="auto"/>
          </w:tcPr>
          <w:p w:rsidR="001E73C3" w:rsidRPr="00E7636B" w:rsidRDefault="001E73C3" w:rsidP="00C55548">
            <w:pPr>
              <w:pStyle w:val="Table-Heading"/>
              <w:spacing w:beforeLines="20" w:before="48" w:afterLines="20" w:after="48"/>
              <w:jc w:val="center"/>
              <w:rPr>
                <w:lang w:val="en-AU"/>
              </w:rPr>
            </w:pPr>
            <w:r w:rsidRPr="00E7636B">
              <w:rPr>
                <w:lang w:val="en-AU"/>
              </w:rPr>
              <w:t>%</w:t>
            </w:r>
          </w:p>
        </w:tc>
        <w:tc>
          <w:tcPr>
            <w:tcW w:w="1350" w:type="dxa"/>
            <w:tcBorders>
              <w:top w:val="single" w:sz="4" w:space="0" w:color="auto"/>
              <w:left w:val="single" w:sz="4" w:space="0" w:color="auto"/>
              <w:bottom w:val="single" w:sz="12" w:space="0" w:color="auto"/>
              <w:right w:val="single" w:sz="4" w:space="0" w:color="auto"/>
            </w:tcBorders>
            <w:shd w:val="clear" w:color="auto" w:fill="auto"/>
          </w:tcPr>
          <w:p w:rsidR="001E73C3" w:rsidRPr="00E7636B" w:rsidRDefault="001E73C3" w:rsidP="00C55548">
            <w:pPr>
              <w:pStyle w:val="Table-Heading"/>
              <w:spacing w:beforeLines="20" w:before="48" w:afterLines="20" w:after="48"/>
              <w:jc w:val="center"/>
              <w:rPr>
                <w:lang w:val="en-AU"/>
              </w:rPr>
            </w:pPr>
            <w:r w:rsidRPr="00E7636B">
              <w:rPr>
                <w:lang w:val="en-AU"/>
              </w:rPr>
              <w:t>%</w:t>
            </w:r>
          </w:p>
        </w:tc>
        <w:tc>
          <w:tcPr>
            <w:tcW w:w="1350" w:type="dxa"/>
            <w:tcBorders>
              <w:top w:val="single" w:sz="4" w:space="0" w:color="auto"/>
              <w:left w:val="single" w:sz="4" w:space="0" w:color="auto"/>
              <w:bottom w:val="single" w:sz="12" w:space="0" w:color="auto"/>
              <w:right w:val="single" w:sz="4" w:space="0" w:color="auto"/>
            </w:tcBorders>
            <w:shd w:val="clear" w:color="auto" w:fill="auto"/>
          </w:tcPr>
          <w:p w:rsidR="001E73C3" w:rsidRPr="00E7636B" w:rsidRDefault="001E73C3" w:rsidP="00C55548">
            <w:pPr>
              <w:pStyle w:val="Table-Heading"/>
              <w:spacing w:beforeLines="20" w:before="48" w:afterLines="20" w:after="48"/>
              <w:jc w:val="center"/>
              <w:rPr>
                <w:lang w:val="en-AU"/>
              </w:rPr>
            </w:pPr>
            <w:r w:rsidRPr="00E7636B">
              <w:rPr>
                <w:lang w:val="en-AU"/>
              </w:rPr>
              <w:t>%</w:t>
            </w:r>
          </w:p>
        </w:tc>
      </w:tr>
      <w:tr w:rsidR="00DC7153" w:rsidRPr="00007DAF">
        <w:trPr>
          <w:cantSplit/>
        </w:trPr>
        <w:tc>
          <w:tcPr>
            <w:tcW w:w="3294" w:type="dxa"/>
            <w:tcBorders>
              <w:top w:val="nil"/>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spacing w:beforeLines="20" w:before="48" w:afterLines="20" w:after="48"/>
              <w:rPr>
                <w:sz w:val="24"/>
                <w:szCs w:val="24"/>
                <w:lang w:val="en-AU"/>
              </w:rPr>
            </w:pPr>
            <w:r w:rsidRPr="005B161B">
              <w:rPr>
                <w:sz w:val="24"/>
                <w:szCs w:val="24"/>
                <w:lang w:val="en-AU"/>
              </w:rPr>
              <w:t>Responder</w:t>
            </w:r>
            <w:r w:rsidRPr="005B161B">
              <w:rPr>
                <w:sz w:val="24"/>
                <w:szCs w:val="24"/>
                <w:vertAlign w:val="superscript"/>
                <w:lang w:val="en-AU"/>
              </w:rPr>
              <w:t>1</w:t>
            </w:r>
          </w:p>
        </w:tc>
        <w:tc>
          <w:tcPr>
            <w:tcW w:w="1350" w:type="dxa"/>
            <w:tcBorders>
              <w:top w:val="nil"/>
              <w:left w:val="nil"/>
              <w:bottom w:val="single" w:sz="6" w:space="0" w:color="auto"/>
              <w:right w:val="nil"/>
            </w:tcBorders>
            <w:shd w:val="clear" w:color="auto" w:fill="auto"/>
          </w:tcPr>
          <w:p w:rsidR="00DC7153" w:rsidRPr="005B161B" w:rsidRDefault="00DC7153" w:rsidP="00C55548">
            <w:pPr>
              <w:pStyle w:val="Table-Text"/>
              <w:tabs>
                <w:tab w:val="decimal" w:pos="0"/>
              </w:tabs>
              <w:spacing w:beforeLines="20" w:before="48" w:afterLines="20" w:after="48"/>
              <w:jc w:val="center"/>
              <w:rPr>
                <w:sz w:val="24"/>
                <w:szCs w:val="24"/>
                <w:lang w:val="en-AU"/>
              </w:rPr>
            </w:pPr>
            <w:r w:rsidRPr="005B161B">
              <w:rPr>
                <w:sz w:val="24"/>
                <w:szCs w:val="24"/>
                <w:lang w:val="en-AU"/>
              </w:rPr>
              <w:t>79%</w:t>
            </w:r>
            <w:r w:rsidRPr="005B161B">
              <w:rPr>
                <w:sz w:val="24"/>
                <w:szCs w:val="24"/>
                <w:vertAlign w:val="superscript"/>
                <w:lang w:val="en-AU"/>
              </w:rPr>
              <w:t>4</w:t>
            </w:r>
          </w:p>
        </w:tc>
        <w:tc>
          <w:tcPr>
            <w:tcW w:w="1350" w:type="dxa"/>
            <w:tcBorders>
              <w:top w:val="nil"/>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82%</w:t>
            </w:r>
            <w:r w:rsidRPr="005B161B">
              <w:rPr>
                <w:sz w:val="24"/>
                <w:szCs w:val="24"/>
                <w:vertAlign w:val="superscript"/>
                <w:lang w:val="en-AU"/>
              </w:rPr>
              <w:t>4</w:t>
            </w:r>
          </w:p>
        </w:tc>
        <w:tc>
          <w:tcPr>
            <w:tcW w:w="1350" w:type="dxa"/>
            <w:tcBorders>
              <w:top w:val="nil"/>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68%</w:t>
            </w:r>
            <w:r w:rsidRPr="005B161B">
              <w:rPr>
                <w:sz w:val="24"/>
                <w:szCs w:val="24"/>
                <w:vertAlign w:val="superscript"/>
                <w:lang w:val="en-AU"/>
              </w:rPr>
              <w:t>5</w:t>
            </w:r>
          </w:p>
        </w:tc>
        <w:tc>
          <w:tcPr>
            <w:tcW w:w="1350" w:type="dxa"/>
            <w:tcBorders>
              <w:top w:val="nil"/>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62%</w:t>
            </w:r>
            <w:r w:rsidRPr="005B161B">
              <w:rPr>
                <w:sz w:val="24"/>
                <w:szCs w:val="24"/>
                <w:vertAlign w:val="superscript"/>
                <w:lang w:val="en-AU"/>
              </w:rPr>
              <w:t>5</w:t>
            </w:r>
          </w:p>
        </w:tc>
      </w:tr>
      <w:tr w:rsidR="00DC7153" w:rsidRPr="00007DAF">
        <w:trPr>
          <w:cantSplit/>
          <w:trHeight w:val="273"/>
        </w:trPr>
        <w:tc>
          <w:tcPr>
            <w:tcW w:w="3294"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spacing w:beforeLines="20" w:before="48" w:afterLines="20" w:after="48"/>
              <w:rPr>
                <w:sz w:val="24"/>
                <w:szCs w:val="24"/>
                <w:lang w:val="en-AU"/>
              </w:rPr>
            </w:pPr>
            <w:proofErr w:type="spellStart"/>
            <w:r w:rsidRPr="005B161B">
              <w:rPr>
                <w:sz w:val="24"/>
                <w:szCs w:val="24"/>
                <w:lang w:val="en-AU"/>
              </w:rPr>
              <w:t>Virologic</w:t>
            </w:r>
            <w:proofErr w:type="spellEnd"/>
            <w:r w:rsidRPr="005B161B">
              <w:rPr>
                <w:sz w:val="24"/>
                <w:szCs w:val="24"/>
                <w:lang w:val="en-AU"/>
              </w:rPr>
              <w:t xml:space="preserve"> failure</w:t>
            </w:r>
            <w:r w:rsidRPr="005B161B">
              <w:rPr>
                <w:sz w:val="24"/>
                <w:szCs w:val="24"/>
                <w:vertAlign w:val="superscript"/>
                <w:lang w:val="en-AU"/>
              </w:rPr>
              <w:t>2</w:t>
            </w:r>
          </w:p>
        </w:tc>
        <w:tc>
          <w:tcPr>
            <w:tcW w:w="1350" w:type="dxa"/>
            <w:tcBorders>
              <w:top w:val="single" w:sz="6" w:space="0" w:color="auto"/>
              <w:left w:val="nil"/>
              <w:bottom w:val="single" w:sz="6" w:space="0" w:color="auto"/>
              <w:right w:val="nil"/>
            </w:tcBorders>
            <w:shd w:val="clear" w:color="auto" w:fill="auto"/>
          </w:tcPr>
          <w:p w:rsidR="00DC7153" w:rsidRPr="005B161B" w:rsidRDefault="00DC7153" w:rsidP="00C55548">
            <w:pPr>
              <w:pStyle w:val="Table-Text"/>
              <w:tabs>
                <w:tab w:val="decimal" w:pos="0"/>
              </w:tabs>
              <w:spacing w:beforeLines="20" w:before="48" w:afterLines="20" w:after="48"/>
              <w:jc w:val="center"/>
              <w:rPr>
                <w:sz w:val="24"/>
                <w:szCs w:val="24"/>
                <w:lang w:val="en-AU"/>
              </w:rPr>
            </w:pPr>
            <w:r w:rsidRPr="005B161B">
              <w:rPr>
                <w:sz w:val="24"/>
                <w:szCs w:val="24"/>
                <w:lang w:val="en-AU"/>
              </w:rPr>
              <w:t>6%</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4%</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10%</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8%</w:t>
            </w:r>
          </w:p>
        </w:tc>
      </w:tr>
      <w:tr w:rsidR="00DC7153" w:rsidRPr="00007DAF">
        <w:trPr>
          <w:cantSplit/>
        </w:trPr>
        <w:tc>
          <w:tcPr>
            <w:tcW w:w="3294"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left" w:pos="216"/>
              </w:tabs>
              <w:spacing w:beforeLines="20" w:before="48" w:afterLines="20" w:after="48"/>
              <w:ind w:left="396"/>
              <w:rPr>
                <w:sz w:val="24"/>
                <w:szCs w:val="24"/>
                <w:lang w:val="en-AU"/>
              </w:rPr>
            </w:pPr>
            <w:r w:rsidRPr="005B161B">
              <w:rPr>
                <w:sz w:val="24"/>
                <w:szCs w:val="24"/>
                <w:lang w:val="en-AU"/>
              </w:rPr>
              <w:t>Rebound</w:t>
            </w:r>
          </w:p>
        </w:tc>
        <w:tc>
          <w:tcPr>
            <w:tcW w:w="1350" w:type="dxa"/>
            <w:tcBorders>
              <w:top w:val="single" w:sz="6" w:space="0" w:color="auto"/>
              <w:left w:val="nil"/>
              <w:bottom w:val="single" w:sz="6" w:space="0" w:color="auto"/>
              <w:right w:val="nil"/>
            </w:tcBorders>
            <w:shd w:val="clear" w:color="auto" w:fill="auto"/>
          </w:tcPr>
          <w:p w:rsidR="00DC7153" w:rsidRPr="005B161B" w:rsidRDefault="00DC7153" w:rsidP="00C55548">
            <w:pPr>
              <w:pStyle w:val="Table-Text"/>
              <w:tabs>
                <w:tab w:val="decimal" w:pos="0"/>
              </w:tabs>
              <w:spacing w:beforeLines="20" w:before="48" w:afterLines="20" w:after="48"/>
              <w:jc w:val="center"/>
              <w:rPr>
                <w:sz w:val="24"/>
                <w:szCs w:val="24"/>
                <w:lang w:val="en-AU"/>
              </w:rPr>
            </w:pPr>
            <w:r w:rsidRPr="005B161B">
              <w:rPr>
                <w:sz w:val="24"/>
                <w:szCs w:val="24"/>
                <w:lang w:val="en-AU"/>
              </w:rPr>
              <w:t>5%</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3%</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8%</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7%</w:t>
            </w:r>
          </w:p>
        </w:tc>
      </w:tr>
      <w:tr w:rsidR="00DC7153" w:rsidRPr="00007DAF">
        <w:trPr>
          <w:cantSplit/>
        </w:trPr>
        <w:tc>
          <w:tcPr>
            <w:tcW w:w="3294"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left" w:pos="216"/>
              </w:tabs>
              <w:spacing w:beforeLines="20" w:before="48" w:afterLines="20" w:after="48"/>
              <w:ind w:left="396"/>
              <w:rPr>
                <w:sz w:val="24"/>
                <w:szCs w:val="24"/>
                <w:lang w:val="en-AU"/>
              </w:rPr>
            </w:pPr>
            <w:r w:rsidRPr="005B161B">
              <w:rPr>
                <w:sz w:val="24"/>
                <w:szCs w:val="24"/>
                <w:lang w:val="en-AU"/>
              </w:rPr>
              <w:t xml:space="preserve">Never suppressed </w:t>
            </w:r>
          </w:p>
        </w:tc>
        <w:tc>
          <w:tcPr>
            <w:tcW w:w="1350" w:type="dxa"/>
            <w:tcBorders>
              <w:top w:val="single" w:sz="6" w:space="0" w:color="auto"/>
              <w:left w:val="nil"/>
              <w:bottom w:val="single" w:sz="6" w:space="0" w:color="auto"/>
              <w:right w:val="nil"/>
            </w:tcBorders>
            <w:shd w:val="clear" w:color="auto" w:fill="auto"/>
          </w:tcPr>
          <w:p w:rsidR="00DC7153" w:rsidRPr="005B161B" w:rsidRDefault="00DC7153" w:rsidP="00C55548">
            <w:pPr>
              <w:pStyle w:val="Table-Text"/>
              <w:tabs>
                <w:tab w:val="decimal" w:pos="0"/>
              </w:tabs>
              <w:spacing w:beforeLines="20" w:before="48" w:afterLines="20" w:after="48"/>
              <w:jc w:val="center"/>
              <w:rPr>
                <w:sz w:val="24"/>
                <w:szCs w:val="24"/>
                <w:lang w:val="en-AU"/>
              </w:rPr>
            </w:pPr>
            <w:r w:rsidRPr="005B161B">
              <w:rPr>
                <w:sz w:val="24"/>
                <w:szCs w:val="24"/>
                <w:lang w:val="en-AU"/>
              </w:rPr>
              <w:t>0%</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0%</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0%</w:t>
            </w:r>
          </w:p>
        </w:tc>
      </w:tr>
      <w:tr w:rsidR="00DC7153" w:rsidRPr="00007DAF">
        <w:trPr>
          <w:cantSplit/>
        </w:trPr>
        <w:tc>
          <w:tcPr>
            <w:tcW w:w="3294"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clear" w:pos="360"/>
                <w:tab w:val="left" w:pos="216"/>
              </w:tabs>
              <w:spacing w:beforeLines="20" w:before="48" w:afterLines="20" w:after="48"/>
              <w:rPr>
                <w:sz w:val="24"/>
                <w:szCs w:val="24"/>
                <w:lang w:val="en-AU"/>
              </w:rPr>
            </w:pPr>
            <w:r w:rsidRPr="005B161B">
              <w:rPr>
                <w:sz w:val="24"/>
                <w:szCs w:val="24"/>
                <w:lang w:val="en-AU"/>
              </w:rPr>
              <w:tab/>
              <w:t xml:space="preserve">   Added an antiretroviral agent</w:t>
            </w:r>
          </w:p>
        </w:tc>
        <w:tc>
          <w:tcPr>
            <w:tcW w:w="1350" w:type="dxa"/>
            <w:tcBorders>
              <w:top w:val="single" w:sz="6" w:space="0" w:color="auto"/>
              <w:left w:val="nil"/>
              <w:bottom w:val="single" w:sz="6" w:space="0" w:color="auto"/>
              <w:right w:val="nil"/>
            </w:tcBorders>
            <w:shd w:val="clear" w:color="auto" w:fill="auto"/>
          </w:tcPr>
          <w:p w:rsidR="00DC7153" w:rsidRPr="005B161B" w:rsidRDefault="00DC7153" w:rsidP="00C55548">
            <w:pPr>
              <w:pStyle w:val="Table-Text"/>
              <w:tabs>
                <w:tab w:val="decimal" w:pos="0"/>
              </w:tabs>
              <w:spacing w:beforeLines="20" w:before="48" w:afterLines="20" w:after="48"/>
              <w:jc w:val="center"/>
              <w:rPr>
                <w:sz w:val="24"/>
                <w:szCs w:val="24"/>
                <w:lang w:val="en-AU"/>
              </w:rPr>
            </w:pPr>
            <w:r w:rsidRPr="005B161B">
              <w:rPr>
                <w:sz w:val="24"/>
                <w:szCs w:val="24"/>
                <w:lang w:val="en-AU"/>
              </w:rPr>
              <w: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2%</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1%</w:t>
            </w:r>
          </w:p>
        </w:tc>
      </w:tr>
      <w:tr w:rsidR="00DC7153" w:rsidRPr="00007DAF">
        <w:trPr>
          <w:cantSplit/>
        </w:trPr>
        <w:tc>
          <w:tcPr>
            <w:tcW w:w="3294"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spacing w:beforeLines="20" w:before="48" w:afterLines="20" w:after="48"/>
              <w:rPr>
                <w:sz w:val="24"/>
                <w:szCs w:val="24"/>
                <w:lang w:val="en-AU"/>
              </w:rPr>
            </w:pPr>
            <w:r w:rsidRPr="005B161B">
              <w:rPr>
                <w:sz w:val="24"/>
                <w:szCs w:val="24"/>
                <w:lang w:val="en-AU"/>
              </w:rPr>
              <w:t>Death</w:t>
            </w:r>
          </w:p>
        </w:tc>
        <w:tc>
          <w:tcPr>
            <w:tcW w:w="1350" w:type="dxa"/>
            <w:tcBorders>
              <w:top w:val="single" w:sz="6" w:space="0" w:color="auto"/>
              <w:left w:val="nil"/>
              <w:bottom w:val="single" w:sz="6" w:space="0" w:color="auto"/>
              <w:right w:val="nil"/>
            </w:tcBorders>
            <w:shd w:val="clear" w:color="auto" w:fill="auto"/>
          </w:tcPr>
          <w:p w:rsidR="00DC7153" w:rsidRPr="005B161B" w:rsidRDefault="00DC7153" w:rsidP="00C55548">
            <w:pPr>
              <w:pStyle w:val="Table-Text"/>
              <w:tabs>
                <w:tab w:val="decimal" w:pos="0"/>
              </w:tabs>
              <w:spacing w:beforeLines="20" w:before="48" w:afterLines="20" w:after="48"/>
              <w:jc w:val="center"/>
              <w:rPr>
                <w:sz w:val="24"/>
                <w:szCs w:val="24"/>
                <w:lang w:val="en-AU"/>
              </w:rPr>
            </w:pPr>
            <w:r w:rsidRPr="005B161B">
              <w:rPr>
                <w:sz w:val="24"/>
                <w:szCs w:val="24"/>
                <w:lang w:val="en-AU"/>
              </w:rPr>
              <w:t>&lt;1%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&lt;1%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2%</w:t>
            </w:r>
          </w:p>
        </w:tc>
      </w:tr>
      <w:tr w:rsidR="00DC7153" w:rsidRPr="00007DAF">
        <w:trPr>
          <w:cantSplit/>
        </w:trPr>
        <w:tc>
          <w:tcPr>
            <w:tcW w:w="3294"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spacing w:beforeLines="20" w:before="48" w:afterLines="20" w:after="48"/>
              <w:rPr>
                <w:sz w:val="24"/>
                <w:szCs w:val="24"/>
                <w:lang w:val="en-AU"/>
              </w:rPr>
            </w:pPr>
            <w:r w:rsidRPr="005B161B">
              <w:rPr>
                <w:sz w:val="24"/>
                <w:szCs w:val="24"/>
                <w:lang w:val="en-AU"/>
              </w:rPr>
              <w:t>Discontinued due to adverse event</w:t>
            </w:r>
          </w:p>
        </w:tc>
        <w:tc>
          <w:tcPr>
            <w:tcW w:w="1350" w:type="dxa"/>
            <w:tcBorders>
              <w:top w:val="single" w:sz="6" w:space="0" w:color="auto"/>
              <w:left w:val="nil"/>
              <w:bottom w:val="single" w:sz="6" w:space="0" w:color="auto"/>
              <w:right w:val="nil"/>
            </w:tcBorders>
            <w:shd w:val="clear" w:color="auto" w:fill="auto"/>
          </w:tcPr>
          <w:p w:rsidR="00DC7153" w:rsidRPr="005B161B" w:rsidRDefault="00DC7153" w:rsidP="00C55548">
            <w:pPr>
              <w:pStyle w:val="Table-Text"/>
              <w:tabs>
                <w:tab w:val="decimal" w:pos="0"/>
              </w:tabs>
              <w:spacing w:beforeLines="20" w:before="48" w:afterLines="20" w:after="48"/>
              <w:jc w:val="center"/>
              <w:rPr>
                <w:sz w:val="24"/>
                <w:szCs w:val="24"/>
                <w:lang w:val="en-AU"/>
              </w:rPr>
            </w:pPr>
            <w:r w:rsidRPr="005B161B">
              <w:rPr>
                <w:sz w:val="24"/>
                <w:szCs w:val="24"/>
                <w:lang w:val="en-AU"/>
              </w:rPr>
              <w:t>6%</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6%</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8%</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13%</w:t>
            </w:r>
          </w:p>
        </w:tc>
      </w:tr>
      <w:tr w:rsidR="00DC7153" w:rsidRPr="00007DAF">
        <w:trPr>
          <w:cantSplit/>
        </w:trPr>
        <w:tc>
          <w:tcPr>
            <w:tcW w:w="3294" w:type="dxa"/>
            <w:tcBorders>
              <w:top w:val="single" w:sz="6" w:space="0" w:color="auto"/>
              <w:left w:val="single" w:sz="4" w:space="0" w:color="auto"/>
              <w:bottom w:val="single" w:sz="4" w:space="0" w:color="auto"/>
              <w:right w:val="single" w:sz="4" w:space="0" w:color="auto"/>
            </w:tcBorders>
            <w:shd w:val="clear" w:color="auto" w:fill="auto"/>
          </w:tcPr>
          <w:p w:rsidR="00DC7153" w:rsidRPr="005B161B" w:rsidRDefault="00DC7153" w:rsidP="00C55548">
            <w:pPr>
              <w:pStyle w:val="Table-Text"/>
              <w:spacing w:beforeLines="20" w:before="48" w:afterLines="20" w:after="48"/>
              <w:rPr>
                <w:sz w:val="24"/>
                <w:szCs w:val="24"/>
                <w:lang w:val="en-AU"/>
              </w:rPr>
            </w:pPr>
            <w:r w:rsidRPr="005B161B">
              <w:rPr>
                <w:sz w:val="24"/>
                <w:szCs w:val="24"/>
                <w:lang w:val="en-AU"/>
              </w:rPr>
              <w:t>Discontinued for other reasons</w:t>
            </w:r>
            <w:r w:rsidRPr="005B161B">
              <w:rPr>
                <w:sz w:val="24"/>
                <w:szCs w:val="24"/>
                <w:vertAlign w:val="superscript"/>
                <w:lang w:val="en-AU"/>
              </w:rPr>
              <w:t>3</w:t>
            </w:r>
          </w:p>
        </w:tc>
        <w:tc>
          <w:tcPr>
            <w:tcW w:w="1350" w:type="dxa"/>
            <w:tcBorders>
              <w:top w:val="single" w:sz="6" w:space="0" w:color="auto"/>
              <w:left w:val="nil"/>
              <w:bottom w:val="single" w:sz="6" w:space="0" w:color="auto"/>
              <w:right w:val="nil"/>
            </w:tcBorders>
            <w:shd w:val="clear" w:color="auto" w:fill="auto"/>
          </w:tcPr>
          <w:p w:rsidR="00DC7153" w:rsidRPr="005B161B" w:rsidRDefault="00DC7153" w:rsidP="00C55548">
            <w:pPr>
              <w:pStyle w:val="Table-Text"/>
              <w:tabs>
                <w:tab w:val="decimal" w:pos="0"/>
              </w:tabs>
              <w:spacing w:beforeLines="20" w:before="48" w:afterLines="20" w:after="48"/>
              <w:jc w:val="center"/>
              <w:rPr>
                <w:sz w:val="24"/>
                <w:szCs w:val="24"/>
                <w:lang w:val="en-AU"/>
              </w:rPr>
            </w:pPr>
            <w:r w:rsidRPr="005B161B">
              <w:rPr>
                <w:sz w:val="24"/>
                <w:szCs w:val="24"/>
                <w:lang w:val="en-AU"/>
              </w:rPr>
              <w:t>8%</w:t>
            </w:r>
          </w:p>
        </w:tc>
        <w:tc>
          <w:tcPr>
            <w:tcW w:w="1350" w:type="dxa"/>
            <w:tcBorders>
              <w:top w:val="single" w:sz="6" w:space="0" w:color="auto"/>
              <w:left w:val="single" w:sz="4" w:space="0" w:color="auto"/>
              <w:bottom w:val="single" w:sz="4"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7%</w:t>
            </w:r>
          </w:p>
        </w:tc>
        <w:tc>
          <w:tcPr>
            <w:tcW w:w="1350" w:type="dxa"/>
            <w:tcBorders>
              <w:top w:val="single" w:sz="6" w:space="0" w:color="auto"/>
              <w:left w:val="single" w:sz="4" w:space="0" w:color="auto"/>
              <w:bottom w:val="single" w:sz="4"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14%</w:t>
            </w:r>
          </w:p>
        </w:tc>
        <w:tc>
          <w:tcPr>
            <w:tcW w:w="1350" w:type="dxa"/>
            <w:tcBorders>
              <w:top w:val="single" w:sz="6" w:space="0" w:color="auto"/>
              <w:left w:val="single" w:sz="4" w:space="0" w:color="auto"/>
              <w:bottom w:val="single" w:sz="4" w:space="0" w:color="auto"/>
              <w:right w:val="single" w:sz="4" w:space="0" w:color="auto"/>
            </w:tcBorders>
            <w:shd w:val="clear" w:color="auto" w:fill="auto"/>
          </w:tcPr>
          <w:p w:rsidR="00DC7153" w:rsidRPr="005B161B" w:rsidRDefault="00DC7153" w:rsidP="00C55548">
            <w:pPr>
              <w:pStyle w:val="Table-Text"/>
              <w:tabs>
                <w:tab w:val="decimal" w:pos="-144"/>
              </w:tabs>
              <w:spacing w:beforeLines="20" w:before="48" w:afterLines="20" w:after="48"/>
              <w:jc w:val="center"/>
              <w:rPr>
                <w:sz w:val="24"/>
                <w:szCs w:val="24"/>
                <w:lang w:val="en-AU"/>
              </w:rPr>
            </w:pPr>
            <w:r w:rsidRPr="005B161B">
              <w:rPr>
                <w:sz w:val="24"/>
                <w:szCs w:val="24"/>
                <w:lang w:val="en-AU"/>
              </w:rPr>
              <w:t>15%</w:t>
            </w:r>
          </w:p>
        </w:tc>
      </w:tr>
    </w:tbl>
    <w:p w:rsidR="00DC7153" w:rsidRPr="005B161B" w:rsidRDefault="00DC7153" w:rsidP="00CD44FB">
      <w:pPr>
        <w:pStyle w:val="Table-Footer"/>
        <w:numPr>
          <w:ilvl w:val="0"/>
          <w:numId w:val="15"/>
        </w:numPr>
        <w:tabs>
          <w:tab w:val="left" w:pos="360"/>
        </w:tabs>
        <w:spacing w:before="60"/>
        <w:rPr>
          <w:sz w:val="20"/>
          <w:lang w:val="en-AU"/>
        </w:rPr>
      </w:pPr>
      <w:r w:rsidRPr="005B161B">
        <w:rPr>
          <w:sz w:val="20"/>
          <w:lang w:val="en-AU"/>
        </w:rPr>
        <w:t>Patients achieved and maintained confirmed HIV-1 RNA &lt;400 copies/mL through Weeks 48 and 144.</w:t>
      </w:r>
    </w:p>
    <w:p w:rsidR="00DC7153" w:rsidRPr="005B161B" w:rsidRDefault="00DC7153" w:rsidP="00CD44FB">
      <w:pPr>
        <w:pStyle w:val="Table-Footer"/>
        <w:numPr>
          <w:ilvl w:val="0"/>
          <w:numId w:val="15"/>
        </w:numPr>
        <w:tabs>
          <w:tab w:val="clear" w:pos="720"/>
          <w:tab w:val="num" w:pos="360"/>
        </w:tabs>
        <w:rPr>
          <w:sz w:val="20"/>
          <w:lang w:val="en-AU"/>
        </w:rPr>
      </w:pPr>
      <w:r w:rsidRPr="005B161B">
        <w:rPr>
          <w:sz w:val="20"/>
          <w:lang w:val="en-AU"/>
        </w:rPr>
        <w:t>Includes confirmed viral rebound and failure to achieve confirmed &lt;400 copies/mL through Weeks 48 and 144.</w:t>
      </w:r>
    </w:p>
    <w:p w:rsidR="00DC7153" w:rsidRPr="005B161B" w:rsidRDefault="00DC7153" w:rsidP="00CD44FB">
      <w:pPr>
        <w:pStyle w:val="Table-Footer"/>
        <w:numPr>
          <w:ilvl w:val="0"/>
          <w:numId w:val="15"/>
        </w:numPr>
        <w:tabs>
          <w:tab w:val="clear" w:pos="720"/>
          <w:tab w:val="num" w:pos="360"/>
        </w:tabs>
        <w:rPr>
          <w:sz w:val="20"/>
          <w:lang w:val="en-AU"/>
        </w:rPr>
      </w:pPr>
      <w:r w:rsidRPr="005B161B">
        <w:rPr>
          <w:sz w:val="20"/>
          <w:lang w:val="en-AU"/>
        </w:rPr>
        <w:t>Includes lost to follow-up, patient’s withdrawal, non-compliance, protocol violation and other reasons.</w:t>
      </w:r>
    </w:p>
    <w:p w:rsidR="00DC7153" w:rsidRPr="005B161B" w:rsidRDefault="00DC7153" w:rsidP="00CD44FB">
      <w:pPr>
        <w:pStyle w:val="Table-Footer"/>
        <w:numPr>
          <w:ilvl w:val="0"/>
          <w:numId w:val="15"/>
        </w:numPr>
        <w:tabs>
          <w:tab w:val="clear" w:pos="720"/>
          <w:tab w:val="num" w:pos="360"/>
        </w:tabs>
        <w:rPr>
          <w:sz w:val="20"/>
          <w:lang w:val="en-AU"/>
        </w:rPr>
      </w:pPr>
      <w:r w:rsidRPr="005B161B">
        <w:rPr>
          <w:sz w:val="20"/>
          <w:lang w:val="en-AU"/>
        </w:rPr>
        <w:t>Difference -3.0% (-9.2% to 3.1%) p=0.48.  The difference and confidence i</w:t>
      </w:r>
      <w:r w:rsidR="005B161B">
        <w:rPr>
          <w:sz w:val="20"/>
          <w:lang w:val="en-AU"/>
        </w:rPr>
        <w:t xml:space="preserve">nterval are stratum weighted on </w:t>
      </w:r>
      <w:r w:rsidRPr="005B161B">
        <w:rPr>
          <w:sz w:val="20"/>
          <w:lang w:val="en-AU"/>
        </w:rPr>
        <w:t>baseline HIV-1 RNA and CD4.</w:t>
      </w:r>
    </w:p>
    <w:p w:rsidR="00DC7153" w:rsidRPr="005B161B" w:rsidRDefault="00DC7153" w:rsidP="00CD44FB">
      <w:pPr>
        <w:pStyle w:val="Table-Footer"/>
        <w:numPr>
          <w:ilvl w:val="0"/>
          <w:numId w:val="15"/>
        </w:numPr>
        <w:tabs>
          <w:tab w:val="clear" w:pos="720"/>
          <w:tab w:val="num" w:pos="360"/>
        </w:tabs>
        <w:ind w:left="426" w:hanging="426"/>
        <w:rPr>
          <w:sz w:val="20"/>
          <w:lang w:val="en-AU"/>
        </w:rPr>
      </w:pPr>
      <w:r w:rsidRPr="005B161B">
        <w:rPr>
          <w:sz w:val="20"/>
          <w:lang w:val="en-AU"/>
        </w:rPr>
        <w:t>Difference 6.1% (-1.4% to 13.7%) p=0.11.  The difference and confidence interval are stratum weighted on baseline HIV-1 RNA and CD4.</w:t>
      </w:r>
    </w:p>
    <w:p w:rsidR="00DC7153" w:rsidRPr="006E33C4" w:rsidRDefault="00DC7153" w:rsidP="00DC7153">
      <w:pPr>
        <w:pStyle w:val="BodyText3"/>
        <w:keepNext/>
        <w:rPr>
          <w:b/>
          <w:i/>
          <w:sz w:val="18"/>
          <w:szCs w:val="18"/>
        </w:rPr>
      </w:pPr>
    </w:p>
    <w:p w:rsidR="00DC7153" w:rsidRPr="00D407BD" w:rsidRDefault="00DC7153" w:rsidP="00DC7153">
      <w:pPr>
        <w:rPr>
          <w:szCs w:val="24"/>
        </w:rPr>
      </w:pPr>
      <w:r w:rsidRPr="00D407BD">
        <w:rPr>
          <w:szCs w:val="24"/>
        </w:rPr>
        <w:t xml:space="preserve">Achievement of plasma HIV-1 RNA concentrations of less than 400 copies/mL at week 144 was similar between the two treatment groups for the population stratified at baseline on the basis of HIV-1 RNA concentration (≤ or &gt;100,000 copies/mL) and CD4 cell count (&lt; or </w:t>
      </w:r>
      <w:r w:rsidRPr="00D407BD">
        <w:rPr>
          <w:szCs w:val="24"/>
        </w:rPr>
        <w:sym w:font="Symbol" w:char="00B3"/>
      </w:r>
      <w:r w:rsidRPr="00D407BD">
        <w:rPr>
          <w:szCs w:val="24"/>
        </w:rPr>
        <w:t>200 cells/mm</w:t>
      </w:r>
      <w:r w:rsidRPr="00D407BD">
        <w:rPr>
          <w:szCs w:val="24"/>
          <w:vertAlign w:val="superscript"/>
        </w:rPr>
        <w:t>3</w:t>
      </w:r>
      <w:r w:rsidRPr="00D407BD">
        <w:rPr>
          <w:szCs w:val="24"/>
        </w:rPr>
        <w:t>).  Through 144 weeks of therapy, 62% and 58% of patients in the VIREAD and d4T arms, respectively achieved and maintained confirmed HIV-1 RNA &lt;50 copies/</w:t>
      </w:r>
      <w:proofErr w:type="spellStart"/>
      <w:r w:rsidRPr="00D407BD">
        <w:rPr>
          <w:szCs w:val="24"/>
        </w:rPr>
        <w:t>mL.</w:t>
      </w:r>
      <w:proofErr w:type="spellEnd"/>
      <w:r w:rsidRPr="00D407BD">
        <w:rPr>
          <w:szCs w:val="24"/>
        </w:rPr>
        <w:t xml:space="preserve">  The mean increase from baseline in CD4 cell count was </w:t>
      </w:r>
      <w:proofErr w:type="gramStart"/>
      <w:r w:rsidRPr="00D407BD">
        <w:rPr>
          <w:szCs w:val="24"/>
        </w:rPr>
        <w:t>263 cells/mm</w:t>
      </w:r>
      <w:r w:rsidRPr="00D407BD">
        <w:rPr>
          <w:szCs w:val="24"/>
          <w:vertAlign w:val="superscript"/>
        </w:rPr>
        <w:t>3</w:t>
      </w:r>
      <w:r w:rsidRPr="00D407BD">
        <w:rPr>
          <w:szCs w:val="24"/>
        </w:rPr>
        <w:t xml:space="preserve"> for the VIREAD arm</w:t>
      </w:r>
      <w:proofErr w:type="gramEnd"/>
      <w:r w:rsidRPr="00D407BD">
        <w:rPr>
          <w:szCs w:val="24"/>
        </w:rPr>
        <w:t xml:space="preserve"> and 283 cells/mm</w:t>
      </w:r>
      <w:r w:rsidRPr="00D407BD">
        <w:rPr>
          <w:szCs w:val="24"/>
          <w:vertAlign w:val="superscript"/>
        </w:rPr>
        <w:t>3</w:t>
      </w:r>
      <w:r w:rsidRPr="00D407BD">
        <w:rPr>
          <w:szCs w:val="24"/>
        </w:rPr>
        <w:t xml:space="preserve"> for the d4T arm.</w:t>
      </w:r>
    </w:p>
    <w:p w:rsidR="00DC7153" w:rsidRPr="00D407BD" w:rsidRDefault="00DC7153" w:rsidP="00DC7153">
      <w:pPr>
        <w:rPr>
          <w:szCs w:val="24"/>
        </w:rPr>
      </w:pPr>
    </w:p>
    <w:p w:rsidR="00DC7153" w:rsidRPr="00D407BD" w:rsidRDefault="00DC7153" w:rsidP="00DC7153">
      <w:pPr>
        <w:pStyle w:val="TOCHeadings"/>
        <w:widowControl/>
        <w:tabs>
          <w:tab w:val="left" w:pos="720"/>
        </w:tabs>
        <w:spacing w:before="0" w:after="0"/>
        <w:rPr>
          <w:b w:val="0"/>
          <w:sz w:val="24"/>
          <w:szCs w:val="24"/>
          <w:lang w:val="en-AU"/>
        </w:rPr>
      </w:pPr>
      <w:r w:rsidRPr="00D407BD">
        <w:rPr>
          <w:b w:val="0"/>
          <w:sz w:val="24"/>
          <w:szCs w:val="24"/>
          <w:lang w:val="en-AU"/>
        </w:rPr>
        <w:t xml:space="preserve">The proportion of patients who achieved </w:t>
      </w:r>
      <w:r w:rsidRPr="00D407BD">
        <w:rPr>
          <w:b w:val="0"/>
          <w:sz w:val="24"/>
          <w:szCs w:val="24"/>
        </w:rPr>
        <w:t>and maintained confirmed</w:t>
      </w:r>
      <w:r w:rsidRPr="00D407BD">
        <w:rPr>
          <w:b w:val="0"/>
          <w:sz w:val="24"/>
          <w:szCs w:val="24"/>
          <w:lang w:val="en-AU"/>
        </w:rPr>
        <w:t xml:space="preserve"> HIV RNA &lt;400 using intent-to-treat analysis through 144 weeks of treatment in study 903 is presented in Figure 2 below.</w:t>
      </w:r>
    </w:p>
    <w:p w:rsidR="00DC7153" w:rsidRPr="00D407BD" w:rsidRDefault="00DC7153" w:rsidP="00DC7153">
      <w:pPr>
        <w:pStyle w:val="TOCHeadings"/>
        <w:widowControl/>
        <w:tabs>
          <w:tab w:val="left" w:pos="720"/>
        </w:tabs>
        <w:spacing w:before="0" w:after="0"/>
        <w:rPr>
          <w:b w:val="0"/>
          <w:sz w:val="24"/>
          <w:szCs w:val="24"/>
          <w:lang w:val="en-AU"/>
        </w:rPr>
      </w:pPr>
    </w:p>
    <w:p w:rsidR="00DC7153" w:rsidRPr="00D407BD" w:rsidRDefault="00DC7153" w:rsidP="00DC7153">
      <w:pPr>
        <w:pStyle w:val="TOCHeadings"/>
        <w:widowControl/>
        <w:tabs>
          <w:tab w:val="left" w:pos="720"/>
        </w:tabs>
        <w:spacing w:before="0" w:after="0"/>
        <w:rPr>
          <w:b w:val="0"/>
          <w:sz w:val="24"/>
          <w:szCs w:val="24"/>
          <w:lang w:val="en-AU"/>
        </w:rPr>
      </w:pPr>
      <w:r w:rsidRPr="00D407BD">
        <w:rPr>
          <w:b w:val="0"/>
          <w:sz w:val="24"/>
          <w:szCs w:val="24"/>
          <w:lang w:val="en-AU"/>
        </w:rPr>
        <w:t xml:space="preserve">Genotypic analyses of patients with </w:t>
      </w:r>
      <w:proofErr w:type="spellStart"/>
      <w:r w:rsidRPr="00D407BD">
        <w:rPr>
          <w:b w:val="0"/>
          <w:sz w:val="24"/>
          <w:szCs w:val="24"/>
          <w:lang w:val="en-AU"/>
        </w:rPr>
        <w:t>virologic</w:t>
      </w:r>
      <w:proofErr w:type="spellEnd"/>
      <w:r w:rsidRPr="00D407BD">
        <w:rPr>
          <w:b w:val="0"/>
          <w:sz w:val="24"/>
          <w:szCs w:val="24"/>
          <w:lang w:val="en-AU"/>
        </w:rPr>
        <w:t xml:space="preserve"> failure showed development of </w:t>
      </w:r>
      <w:proofErr w:type="spellStart"/>
      <w:r w:rsidRPr="00D407BD">
        <w:rPr>
          <w:b w:val="0"/>
          <w:sz w:val="24"/>
          <w:szCs w:val="24"/>
          <w:lang w:val="en-AU"/>
        </w:rPr>
        <w:t>efavirenz</w:t>
      </w:r>
      <w:proofErr w:type="spellEnd"/>
      <w:r w:rsidRPr="00D407BD">
        <w:rPr>
          <w:b w:val="0"/>
          <w:sz w:val="24"/>
          <w:szCs w:val="24"/>
          <w:lang w:val="en-AU"/>
        </w:rPr>
        <w:t xml:space="preserve">-associated and lamivudine-associated mutations to occur most frequently and with no difference between the treatment arms.  The K65R mutation occurred in 8 patients on the VIREAD arm and in 2 patients on the d4T arm.  Of the 8 patients who developed K65R in the VIREAD arm through 144 weeks, 7 of these occurred in the first 48 weeks of treatment and the last one at week 96.  Among these patients, 5/8 patients subsequently gained full </w:t>
      </w:r>
      <w:proofErr w:type="spellStart"/>
      <w:r w:rsidRPr="00D407BD">
        <w:rPr>
          <w:b w:val="0"/>
          <w:sz w:val="24"/>
          <w:szCs w:val="24"/>
          <w:lang w:val="en-AU"/>
        </w:rPr>
        <w:t>virologic</w:t>
      </w:r>
      <w:proofErr w:type="spellEnd"/>
      <w:r w:rsidRPr="00D407BD">
        <w:rPr>
          <w:b w:val="0"/>
          <w:sz w:val="24"/>
          <w:szCs w:val="24"/>
          <w:lang w:val="en-AU"/>
        </w:rPr>
        <w:t xml:space="preserve"> control (&lt;50 </w:t>
      </w:r>
      <w:r w:rsidRPr="00D407BD">
        <w:rPr>
          <w:b w:val="0"/>
          <w:sz w:val="24"/>
          <w:szCs w:val="24"/>
          <w:lang w:val="en-AU"/>
        </w:rPr>
        <w:lastRenderedPageBreak/>
        <w:t>copies/mL) upon switching to new regimens that included a protease inhibitor in combination with nucleoside reverse transcriptase inhibitors through a median of 155 weeks of follow-up.  From both genotypic and phenotypic analyses there was no evidence for other pathways of resistance to VIREAD.</w:t>
      </w:r>
    </w:p>
    <w:p w:rsidR="00DC7153" w:rsidRPr="00E7636B" w:rsidRDefault="00CD5907" w:rsidP="00DC7153">
      <w:r>
        <w:rPr>
          <w:noProof/>
          <w:lang w:val="en-AU"/>
        </w:rPr>
        <w:drawing>
          <wp:inline distT="0" distB="0" distL="0" distR="0" wp14:anchorId="2C6E3D63" wp14:editId="1C35C972">
            <wp:extent cx="5486400" cy="4131945"/>
            <wp:effectExtent l="0" t="0" r="0" b="1905"/>
            <wp:docPr id="4" name="Picture 4" descr="r_req222a_g_pc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_req222a_g_pc_b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4131945"/>
                    </a:xfrm>
                    <a:prstGeom prst="rect">
                      <a:avLst/>
                    </a:prstGeom>
                    <a:noFill/>
                    <a:ln>
                      <a:noFill/>
                    </a:ln>
                  </pic:spPr>
                </pic:pic>
              </a:graphicData>
            </a:graphic>
          </wp:inline>
        </w:drawing>
      </w:r>
    </w:p>
    <w:p w:rsidR="00DC7153" w:rsidRPr="00E7636B" w:rsidRDefault="00DC7153" w:rsidP="00DC7153">
      <w:pPr>
        <w:pStyle w:val="TOCHeadings"/>
        <w:widowControl/>
        <w:tabs>
          <w:tab w:val="left" w:pos="720"/>
        </w:tabs>
        <w:spacing w:before="0" w:after="120"/>
        <w:rPr>
          <w:sz w:val="24"/>
          <w:lang w:val="en-AU"/>
        </w:rPr>
      </w:pPr>
    </w:p>
    <w:p w:rsidR="00DC7153" w:rsidRPr="00D407BD" w:rsidRDefault="00DC7153" w:rsidP="00DC7153">
      <w:pPr>
        <w:rPr>
          <w:b/>
          <w:color w:val="000000"/>
          <w:szCs w:val="24"/>
        </w:rPr>
      </w:pPr>
      <w:r w:rsidRPr="00D407BD">
        <w:rPr>
          <w:b/>
          <w:color w:val="000000"/>
          <w:szCs w:val="24"/>
        </w:rPr>
        <w:t>Genotypic Analyses of VIREAD in Patients with Previous Antiretroviral Therapy (Study 902 and 907)</w:t>
      </w:r>
    </w:p>
    <w:p w:rsidR="00DC7153" w:rsidRPr="00D407BD" w:rsidRDefault="00DC7153" w:rsidP="00DC7153">
      <w:pPr>
        <w:rPr>
          <w:b/>
          <w:color w:val="000000"/>
          <w:szCs w:val="24"/>
        </w:rPr>
      </w:pPr>
    </w:p>
    <w:p w:rsidR="00DC7153" w:rsidRPr="00D407BD" w:rsidRDefault="00DC7153" w:rsidP="00DC7153">
      <w:pPr>
        <w:tabs>
          <w:tab w:val="left" w:pos="1890"/>
        </w:tabs>
        <w:rPr>
          <w:szCs w:val="24"/>
        </w:rPr>
      </w:pPr>
      <w:r w:rsidRPr="00D407BD">
        <w:rPr>
          <w:szCs w:val="24"/>
        </w:rPr>
        <w:t xml:space="preserve">The </w:t>
      </w:r>
      <w:proofErr w:type="spellStart"/>
      <w:r w:rsidRPr="00D407BD">
        <w:rPr>
          <w:szCs w:val="24"/>
        </w:rPr>
        <w:t>virologic</w:t>
      </w:r>
      <w:proofErr w:type="spellEnd"/>
      <w:r w:rsidRPr="00D407BD">
        <w:rPr>
          <w:szCs w:val="24"/>
        </w:rPr>
        <w:t xml:space="preserve"> response to VIREAD therapy has been evaluated with respect to baseline viral genotype (N=222) in treatment experienced patients participating in trials 902 and 907.  In both of these studies, 94% of the participants evaluated had baseline HIV isolates expressing at least one NRTI mutation.  These included resistance mutations associated with zidovudine (M41L, D67N, K70R, L210W, T215Y/F or K219Q/E/N), the lamivudine/</w:t>
      </w:r>
      <w:proofErr w:type="spellStart"/>
      <w:r w:rsidRPr="00D407BD">
        <w:rPr>
          <w:szCs w:val="24"/>
        </w:rPr>
        <w:t>abacavir</w:t>
      </w:r>
      <w:proofErr w:type="spellEnd"/>
      <w:r w:rsidRPr="00D407BD">
        <w:rPr>
          <w:szCs w:val="24"/>
        </w:rPr>
        <w:t xml:space="preserve">-associated mutation (M184V), and others.  In addition the majority of participants evaluated had mutations associated with either PI or NNRTI use.  </w:t>
      </w:r>
      <w:proofErr w:type="spellStart"/>
      <w:r w:rsidRPr="00D407BD">
        <w:rPr>
          <w:szCs w:val="24"/>
        </w:rPr>
        <w:t>Virologic</w:t>
      </w:r>
      <w:proofErr w:type="spellEnd"/>
      <w:r w:rsidRPr="00D407BD">
        <w:rPr>
          <w:szCs w:val="24"/>
        </w:rPr>
        <w:t xml:space="preserve"> responses for patients in the genotype </w:t>
      </w:r>
      <w:proofErr w:type="spellStart"/>
      <w:r w:rsidRPr="00D407BD">
        <w:rPr>
          <w:szCs w:val="24"/>
        </w:rPr>
        <w:t>substudy</w:t>
      </w:r>
      <w:proofErr w:type="spellEnd"/>
      <w:r w:rsidRPr="00D407BD">
        <w:rPr>
          <w:szCs w:val="24"/>
        </w:rPr>
        <w:t xml:space="preserve"> were similar to the overall results in studies 902 and 907.</w:t>
      </w:r>
    </w:p>
    <w:p w:rsidR="00DC7153" w:rsidRPr="00D407BD" w:rsidRDefault="00DC7153" w:rsidP="00DC7153">
      <w:pPr>
        <w:tabs>
          <w:tab w:val="left" w:pos="1890"/>
        </w:tabs>
        <w:rPr>
          <w:szCs w:val="24"/>
        </w:rPr>
      </w:pPr>
    </w:p>
    <w:p w:rsidR="00DC7153" w:rsidRPr="00D407BD" w:rsidRDefault="00DC7153" w:rsidP="00DC7153">
      <w:pPr>
        <w:rPr>
          <w:szCs w:val="24"/>
        </w:rPr>
      </w:pPr>
      <w:r w:rsidRPr="00D407BD">
        <w:rPr>
          <w:szCs w:val="24"/>
        </w:rPr>
        <w:t xml:space="preserve">Several exploratory analyses were conducted to evaluate the effect of specific mutations and mutational patterns on </w:t>
      </w:r>
      <w:proofErr w:type="spellStart"/>
      <w:r w:rsidRPr="00D407BD">
        <w:rPr>
          <w:szCs w:val="24"/>
        </w:rPr>
        <w:t>virologic</w:t>
      </w:r>
      <w:proofErr w:type="spellEnd"/>
      <w:r w:rsidRPr="00D407BD">
        <w:rPr>
          <w:szCs w:val="24"/>
        </w:rPr>
        <w:t xml:space="preserve"> outcome.  Descriptions of numerical differences in HIV RNA response are displayed in</w:t>
      </w:r>
      <w:r w:rsidR="00DA5725" w:rsidRPr="00D407BD">
        <w:rPr>
          <w:szCs w:val="24"/>
        </w:rPr>
        <w:t xml:space="preserve"> Table 6</w:t>
      </w:r>
      <w:r w:rsidRPr="00D407BD">
        <w:rPr>
          <w:szCs w:val="24"/>
        </w:rPr>
        <w:t xml:space="preserve">.  Because of the large number of potential comparisons, statistical testing was not conducted. </w:t>
      </w:r>
    </w:p>
    <w:p w:rsidR="00DC7153" w:rsidRPr="00D407BD" w:rsidRDefault="00DC7153" w:rsidP="00DC7153">
      <w:pPr>
        <w:tabs>
          <w:tab w:val="left" w:pos="1890"/>
        </w:tabs>
        <w:rPr>
          <w:szCs w:val="24"/>
        </w:rPr>
      </w:pPr>
      <w:r w:rsidRPr="00D407BD">
        <w:rPr>
          <w:szCs w:val="24"/>
        </w:rPr>
        <w:lastRenderedPageBreak/>
        <w:t>Varying degrees of cross-resistance to VIREAD from pre-existing zidovudine-associated mutations were observed and appeared to depend on the number and type of mutations.  VIREAD-treated patients whose HIV expressed 3 or more zidovudine-associated mutations that included either the M41L or L210W reverse transcriptase mutation showed reduced responses to VIREAD therapy; however, these responses were still improved compared with placebo.  The presence of the D67N, K70R, T215Y/F or K219Q/E/N mutation did not appear to affect responses to VIREAD therapy.  The HIV RNA responses by number and type of baseline zidovudine-associated mutations are shown in</w:t>
      </w:r>
      <w:r w:rsidR="00DA5725" w:rsidRPr="00D407BD">
        <w:rPr>
          <w:szCs w:val="24"/>
        </w:rPr>
        <w:t xml:space="preserve"> Table 6</w:t>
      </w:r>
      <w:r w:rsidRPr="00D407BD">
        <w:rPr>
          <w:szCs w:val="24"/>
        </w:rPr>
        <w:t>.</w:t>
      </w:r>
    </w:p>
    <w:p w:rsidR="00DC7153" w:rsidRPr="0064484A" w:rsidRDefault="00DC7153" w:rsidP="00DC7153">
      <w:pPr>
        <w:tabs>
          <w:tab w:val="left" w:pos="1890"/>
        </w:tabs>
        <w:rPr>
          <w:sz w:val="22"/>
          <w:szCs w:val="22"/>
        </w:rPr>
      </w:pPr>
    </w:p>
    <w:p w:rsidR="00DC7153" w:rsidRPr="0064484A" w:rsidRDefault="00AE11B4" w:rsidP="00F509F7">
      <w:pPr>
        <w:pStyle w:val="Caption"/>
        <w:ind w:left="1418" w:hanging="1418"/>
      </w:pPr>
      <w:bookmarkStart w:id="8" w:name="_Ref159392055"/>
      <w:proofErr w:type="gramStart"/>
      <w:r>
        <w:t xml:space="preserve">Table </w:t>
      </w:r>
      <w:r>
        <w:fldChar w:fldCharType="begin"/>
      </w:r>
      <w:r>
        <w:instrText xml:space="preserve"> SEQ Table \* ARABIC </w:instrText>
      </w:r>
      <w:r>
        <w:fldChar w:fldCharType="separate"/>
      </w:r>
      <w:r w:rsidR="00440D32">
        <w:rPr>
          <w:noProof/>
        </w:rPr>
        <w:t>6</w:t>
      </w:r>
      <w:r>
        <w:fldChar w:fldCharType="end"/>
      </w:r>
      <w:bookmarkEnd w:id="8"/>
      <w:r w:rsidR="00DC7153" w:rsidRPr="0064484A">
        <w:t>.</w:t>
      </w:r>
      <w:proofErr w:type="gramEnd"/>
      <w:r w:rsidR="00DC7153" w:rsidRPr="0064484A">
        <w:t xml:space="preserve"> </w:t>
      </w:r>
      <w:r w:rsidR="00DC7153" w:rsidRPr="0064484A">
        <w:tab/>
        <w:t>HIV RNA Response at Week 24 by Number of Baseline Zidovudine-Associated Mutations in Studies 902 and 907 (Intent-To-Treat</w:t>
      </w:r>
      <w:proofErr w:type="gramStart"/>
      <w:r w:rsidR="00DC7153" w:rsidRPr="0064484A">
        <w:t>)</w:t>
      </w:r>
      <w:r w:rsidR="00DC7153" w:rsidRPr="0064484A">
        <w:rPr>
          <w:vertAlign w:val="superscript"/>
        </w:rPr>
        <w:t>1</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409"/>
        <w:gridCol w:w="2283"/>
      </w:tblGrid>
      <w:tr w:rsidR="005B161B" w:rsidRPr="00E7636B" w:rsidTr="005B161B">
        <w:tc>
          <w:tcPr>
            <w:tcW w:w="3828" w:type="dxa"/>
            <w:vMerge w:val="restart"/>
            <w:tcBorders>
              <w:top w:val="single" w:sz="4" w:space="0" w:color="auto"/>
              <w:left w:val="single" w:sz="4" w:space="0" w:color="auto"/>
              <w:right w:val="single" w:sz="4" w:space="0" w:color="auto"/>
            </w:tcBorders>
            <w:shd w:val="clear" w:color="auto" w:fill="auto"/>
            <w:vAlign w:val="center"/>
          </w:tcPr>
          <w:p w:rsidR="005B161B" w:rsidRPr="005B161B" w:rsidRDefault="005B161B" w:rsidP="00DC7153">
            <w:pPr>
              <w:tabs>
                <w:tab w:val="left" w:pos="1890"/>
              </w:tabs>
              <w:rPr>
                <w:szCs w:val="24"/>
              </w:rPr>
            </w:pPr>
            <w:r w:rsidRPr="005B161B">
              <w:rPr>
                <w:b/>
                <w:szCs w:val="24"/>
              </w:rPr>
              <w:t xml:space="preserve">Number of baseline </w:t>
            </w:r>
            <w:r w:rsidRPr="005B161B">
              <w:rPr>
                <w:szCs w:val="24"/>
              </w:rPr>
              <w:t xml:space="preserve"> </w:t>
            </w:r>
            <w:r w:rsidRPr="005B161B">
              <w:rPr>
                <w:b/>
                <w:szCs w:val="24"/>
              </w:rPr>
              <w:t>zidovudine-associated mutations</w:t>
            </w:r>
            <w:r w:rsidRPr="005B161B">
              <w:rPr>
                <w:b/>
                <w:szCs w:val="24"/>
                <w:vertAlign w:val="superscript"/>
              </w:rPr>
              <w:t>2</w:t>
            </w:r>
          </w:p>
        </w:tc>
        <w:tc>
          <w:tcPr>
            <w:tcW w:w="4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jc w:val="center"/>
              <w:rPr>
                <w:b/>
                <w:szCs w:val="24"/>
              </w:rPr>
            </w:pPr>
            <w:r w:rsidRPr="005B161B">
              <w:rPr>
                <w:b/>
                <w:szCs w:val="24"/>
              </w:rPr>
              <w:t>Change in HIV RNA</w:t>
            </w:r>
            <w:r w:rsidRPr="005B161B">
              <w:rPr>
                <w:b/>
                <w:szCs w:val="24"/>
                <w:vertAlign w:val="superscript"/>
              </w:rPr>
              <w:t xml:space="preserve">3 </w:t>
            </w:r>
            <w:r w:rsidRPr="005B161B">
              <w:rPr>
                <w:b/>
                <w:szCs w:val="24"/>
              </w:rPr>
              <w:t>(N)</w:t>
            </w:r>
          </w:p>
        </w:tc>
      </w:tr>
      <w:tr w:rsidR="005B161B" w:rsidRPr="00E7636B" w:rsidTr="005B161B">
        <w:tc>
          <w:tcPr>
            <w:tcW w:w="3828" w:type="dxa"/>
            <w:vMerge/>
            <w:tcBorders>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B161B" w:rsidRPr="005B161B" w:rsidRDefault="005B161B" w:rsidP="00F21D62">
            <w:pPr>
              <w:tabs>
                <w:tab w:val="left" w:pos="1890"/>
              </w:tabs>
              <w:jc w:val="center"/>
              <w:rPr>
                <w:b/>
                <w:szCs w:val="24"/>
              </w:rPr>
            </w:pPr>
            <w:r w:rsidRPr="005B161B">
              <w:rPr>
                <w:b/>
                <w:szCs w:val="24"/>
              </w:rPr>
              <w:t xml:space="preserve">VIREAD </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5B161B" w:rsidRPr="005B161B" w:rsidRDefault="005B161B" w:rsidP="00F21D62">
            <w:pPr>
              <w:tabs>
                <w:tab w:val="left" w:pos="1890"/>
              </w:tabs>
              <w:jc w:val="center"/>
              <w:rPr>
                <w:b/>
                <w:szCs w:val="24"/>
              </w:rPr>
            </w:pPr>
            <w:r w:rsidRPr="005B161B">
              <w:rPr>
                <w:b/>
                <w:szCs w:val="24"/>
              </w:rPr>
              <w:t>Placebo</w:t>
            </w:r>
          </w:p>
        </w:tc>
      </w:tr>
      <w:tr w:rsidR="005B161B" w:rsidRPr="00E7636B" w:rsidTr="005B161B">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rPr>
                <w:szCs w:val="24"/>
              </w:rPr>
            </w:pPr>
            <w:r w:rsidRPr="005B161B">
              <w:rPr>
                <w:szCs w:val="24"/>
              </w:rPr>
              <w:t>None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jc w:val="center"/>
              <w:rPr>
                <w:szCs w:val="24"/>
              </w:rPr>
            </w:pPr>
            <w:r w:rsidRPr="005B161B">
              <w:rPr>
                <w:szCs w:val="24"/>
              </w:rPr>
              <w:t>-0.80 (68)</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jc w:val="center"/>
              <w:rPr>
                <w:szCs w:val="24"/>
              </w:rPr>
            </w:pPr>
            <w:r w:rsidRPr="005B161B">
              <w:rPr>
                <w:szCs w:val="24"/>
              </w:rPr>
              <w:t>-0.11 (29)</w:t>
            </w:r>
          </w:p>
        </w:tc>
      </w:tr>
      <w:tr w:rsidR="005B161B" w:rsidRPr="00E7636B" w:rsidTr="005B161B">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pStyle w:val="Heading4"/>
              <w:tabs>
                <w:tab w:val="left" w:pos="1890"/>
              </w:tabs>
              <w:spacing w:before="60"/>
              <w:ind w:right="1512"/>
              <w:rPr>
                <w:b w:val="0"/>
                <w:szCs w:val="24"/>
                <w:u w:val="none"/>
                <w:lang w:val="en-AU"/>
              </w:rPr>
            </w:pPr>
            <w:r w:rsidRPr="005B161B">
              <w:rPr>
                <w:b w:val="0"/>
                <w:szCs w:val="24"/>
                <w:u w:val="none"/>
                <w:lang w:val="en-AU"/>
              </w:rPr>
              <w:t xml:space="preserve">Any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jc w:val="center"/>
              <w:rPr>
                <w:szCs w:val="24"/>
              </w:rPr>
            </w:pPr>
            <w:r w:rsidRPr="005B161B">
              <w:rPr>
                <w:szCs w:val="24"/>
              </w:rPr>
              <w:t>-0.50 (154)</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jc w:val="center"/>
              <w:rPr>
                <w:szCs w:val="24"/>
              </w:rPr>
            </w:pPr>
            <w:r w:rsidRPr="005B161B">
              <w:rPr>
                <w:szCs w:val="24"/>
              </w:rPr>
              <w:t>0 (81)</w:t>
            </w:r>
          </w:p>
        </w:tc>
      </w:tr>
      <w:tr w:rsidR="005B161B" w:rsidRPr="00E7636B" w:rsidTr="005B161B">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rPr>
                <w:szCs w:val="24"/>
              </w:rPr>
            </w:pPr>
            <w:r w:rsidRPr="005B161B">
              <w:rPr>
                <w:szCs w:val="24"/>
              </w:rPr>
              <w:t xml:space="preserve">1 – 2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jc w:val="center"/>
              <w:rPr>
                <w:szCs w:val="24"/>
              </w:rPr>
            </w:pPr>
            <w:r w:rsidRPr="005B161B">
              <w:rPr>
                <w:szCs w:val="24"/>
              </w:rPr>
              <w:t>-0.66 (55)</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jc w:val="center"/>
              <w:rPr>
                <w:szCs w:val="24"/>
              </w:rPr>
            </w:pPr>
            <w:r w:rsidRPr="005B161B">
              <w:rPr>
                <w:szCs w:val="24"/>
              </w:rPr>
              <w:t>-0.04 (33)</w:t>
            </w:r>
          </w:p>
        </w:tc>
      </w:tr>
      <w:tr w:rsidR="005B161B" w:rsidRPr="00E7636B" w:rsidTr="005B161B">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rPr>
                <w:szCs w:val="24"/>
              </w:rPr>
            </w:pPr>
            <w:r w:rsidRPr="005B161B">
              <w:rPr>
                <w:szCs w:val="24"/>
                <w:u w:val="single"/>
              </w:rPr>
              <w:t>&gt;</w:t>
            </w:r>
            <w:r w:rsidRPr="005B161B">
              <w:rPr>
                <w:szCs w:val="24"/>
              </w:rPr>
              <w:t xml:space="preserve"> 3 including M41L or L210W</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jc w:val="center"/>
              <w:rPr>
                <w:szCs w:val="24"/>
              </w:rPr>
            </w:pPr>
            <w:r w:rsidRPr="005B161B">
              <w:rPr>
                <w:szCs w:val="24"/>
              </w:rPr>
              <w:t>-0.21 (57)</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jc w:val="center"/>
              <w:rPr>
                <w:szCs w:val="24"/>
              </w:rPr>
            </w:pPr>
            <w:r w:rsidRPr="005B161B">
              <w:rPr>
                <w:szCs w:val="24"/>
              </w:rPr>
              <w:t>+0.01 (29)</w:t>
            </w:r>
          </w:p>
        </w:tc>
      </w:tr>
      <w:tr w:rsidR="005B161B" w:rsidRPr="00E7636B" w:rsidTr="005B161B">
        <w:trPr>
          <w:trHeight w:val="1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rPr>
                <w:szCs w:val="24"/>
              </w:rPr>
            </w:pPr>
            <w:r w:rsidRPr="005B161B">
              <w:rPr>
                <w:szCs w:val="24"/>
                <w:u w:val="single"/>
              </w:rPr>
              <w:t>&gt;</w:t>
            </w:r>
            <w:r w:rsidRPr="005B161B">
              <w:rPr>
                <w:szCs w:val="24"/>
              </w:rPr>
              <w:t xml:space="preserve"> 3 without M41L or L210W</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jc w:val="center"/>
              <w:rPr>
                <w:szCs w:val="24"/>
              </w:rPr>
            </w:pPr>
            <w:r w:rsidRPr="005B161B">
              <w:rPr>
                <w:szCs w:val="24"/>
              </w:rPr>
              <w:t>-0.67 (42)</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5B161B" w:rsidRPr="005B161B" w:rsidRDefault="005B161B" w:rsidP="00DC7153">
            <w:pPr>
              <w:tabs>
                <w:tab w:val="left" w:pos="1890"/>
              </w:tabs>
              <w:jc w:val="center"/>
              <w:rPr>
                <w:szCs w:val="24"/>
              </w:rPr>
            </w:pPr>
            <w:r w:rsidRPr="005B161B">
              <w:rPr>
                <w:szCs w:val="24"/>
              </w:rPr>
              <w:t>+0.07 (19)</w:t>
            </w:r>
          </w:p>
        </w:tc>
      </w:tr>
    </w:tbl>
    <w:p w:rsidR="00DC7153" w:rsidRPr="005B161B" w:rsidRDefault="00DC7153" w:rsidP="00DC7153">
      <w:pPr>
        <w:numPr>
          <w:ilvl w:val="0"/>
          <w:numId w:val="16"/>
        </w:numPr>
        <w:tabs>
          <w:tab w:val="left" w:pos="540"/>
          <w:tab w:val="left" w:pos="1890"/>
        </w:tabs>
        <w:rPr>
          <w:sz w:val="20"/>
        </w:rPr>
      </w:pPr>
      <w:r w:rsidRPr="005B161B">
        <w:rPr>
          <w:sz w:val="20"/>
        </w:rPr>
        <w:t xml:space="preserve">Genotypic testing performed by </w:t>
      </w:r>
      <w:proofErr w:type="spellStart"/>
      <w:r w:rsidRPr="005B161B">
        <w:rPr>
          <w:sz w:val="20"/>
        </w:rPr>
        <w:t>Virco</w:t>
      </w:r>
      <w:proofErr w:type="spellEnd"/>
      <w:r w:rsidRPr="005B161B">
        <w:rPr>
          <w:sz w:val="20"/>
        </w:rPr>
        <w:t xml:space="preserve"> Laboratories and Visible Genetics </w:t>
      </w:r>
      <w:proofErr w:type="spellStart"/>
      <w:r w:rsidRPr="005B161B">
        <w:rPr>
          <w:sz w:val="20"/>
        </w:rPr>
        <w:t>TruGene</w:t>
      </w:r>
      <w:r w:rsidRPr="005B161B">
        <w:rPr>
          <w:sz w:val="20"/>
          <w:vertAlign w:val="superscript"/>
        </w:rPr>
        <w:t>TM</w:t>
      </w:r>
      <w:proofErr w:type="spellEnd"/>
      <w:r w:rsidRPr="005B161B">
        <w:rPr>
          <w:sz w:val="20"/>
          <w:vertAlign w:val="superscript"/>
        </w:rPr>
        <w:t xml:space="preserve">  </w:t>
      </w:r>
      <w:r w:rsidRPr="005B161B">
        <w:rPr>
          <w:sz w:val="20"/>
        </w:rPr>
        <w:t>technology</w:t>
      </w:r>
    </w:p>
    <w:p w:rsidR="00DC7153" w:rsidRPr="005B161B" w:rsidRDefault="00DC7153" w:rsidP="00DC7153">
      <w:pPr>
        <w:numPr>
          <w:ilvl w:val="0"/>
          <w:numId w:val="16"/>
        </w:numPr>
        <w:tabs>
          <w:tab w:val="left" w:pos="540"/>
          <w:tab w:val="left" w:pos="1890"/>
        </w:tabs>
        <w:rPr>
          <w:sz w:val="20"/>
        </w:rPr>
      </w:pPr>
      <w:r w:rsidRPr="005B161B">
        <w:rPr>
          <w:sz w:val="20"/>
        </w:rPr>
        <w:t>M41L, D67N, K70R, L210W, T215Y/F or K219Q/E/N in RT</w:t>
      </w:r>
    </w:p>
    <w:p w:rsidR="00DC7153" w:rsidRPr="005B161B" w:rsidRDefault="00DC7153" w:rsidP="00DC7153">
      <w:pPr>
        <w:numPr>
          <w:ilvl w:val="0"/>
          <w:numId w:val="16"/>
        </w:numPr>
        <w:tabs>
          <w:tab w:val="left" w:pos="540"/>
          <w:tab w:val="left" w:pos="1890"/>
        </w:tabs>
        <w:rPr>
          <w:sz w:val="20"/>
        </w:rPr>
      </w:pPr>
      <w:r w:rsidRPr="005B161B">
        <w:rPr>
          <w:sz w:val="20"/>
        </w:rPr>
        <w:t>Average HIV RNA change from baseline through week 24 (DAVG</w:t>
      </w:r>
      <w:r w:rsidRPr="005B161B">
        <w:rPr>
          <w:sz w:val="20"/>
          <w:vertAlign w:val="subscript"/>
        </w:rPr>
        <w:t>24</w:t>
      </w:r>
      <w:r w:rsidRPr="005B161B">
        <w:rPr>
          <w:sz w:val="20"/>
        </w:rPr>
        <w:t>) in log</w:t>
      </w:r>
      <w:r w:rsidRPr="005B161B">
        <w:rPr>
          <w:sz w:val="20"/>
          <w:vertAlign w:val="subscript"/>
        </w:rPr>
        <w:t>10</w:t>
      </w:r>
      <w:r w:rsidRPr="005B161B">
        <w:rPr>
          <w:sz w:val="20"/>
        </w:rPr>
        <w:t xml:space="preserve"> copies/mL</w:t>
      </w:r>
    </w:p>
    <w:p w:rsidR="00DC7153" w:rsidRPr="00E7636B" w:rsidRDefault="00DC7153" w:rsidP="00DC7153">
      <w:pPr>
        <w:pStyle w:val="CommentText"/>
        <w:tabs>
          <w:tab w:val="left" w:pos="1890"/>
        </w:tabs>
        <w:rPr>
          <w:lang w:val="en-AU"/>
        </w:rPr>
      </w:pPr>
    </w:p>
    <w:p w:rsidR="00DC7153" w:rsidRPr="00D407BD" w:rsidRDefault="00DC7153" w:rsidP="00DC7153">
      <w:pPr>
        <w:rPr>
          <w:szCs w:val="24"/>
        </w:rPr>
      </w:pPr>
      <w:r w:rsidRPr="00D407BD">
        <w:rPr>
          <w:szCs w:val="24"/>
        </w:rPr>
        <w:t xml:space="preserve">In the protocol defined analyses, </w:t>
      </w:r>
      <w:proofErr w:type="spellStart"/>
      <w:r w:rsidRPr="00D407BD">
        <w:rPr>
          <w:szCs w:val="24"/>
        </w:rPr>
        <w:t>virologic</w:t>
      </w:r>
      <w:proofErr w:type="spellEnd"/>
      <w:r w:rsidRPr="00D407BD">
        <w:rPr>
          <w:szCs w:val="24"/>
        </w:rPr>
        <w:t xml:space="preserve"> response to VIREAD was not reduced in patients with HIV that expressed the lamivudine/ </w:t>
      </w:r>
      <w:proofErr w:type="spellStart"/>
      <w:r w:rsidRPr="00D407BD">
        <w:rPr>
          <w:szCs w:val="24"/>
        </w:rPr>
        <w:t>abacavir</w:t>
      </w:r>
      <w:proofErr w:type="spellEnd"/>
      <w:r w:rsidRPr="00D407BD">
        <w:rPr>
          <w:szCs w:val="24"/>
        </w:rPr>
        <w:t>-associated M184V mutation.  In the absence of zidovudine-associated mutations, patients with the M184V mutation receiving VIREAD showed a –0.84 log</w:t>
      </w:r>
      <w:r w:rsidRPr="00D407BD">
        <w:rPr>
          <w:szCs w:val="24"/>
          <w:vertAlign w:val="subscript"/>
        </w:rPr>
        <w:t xml:space="preserve">10 </w:t>
      </w:r>
      <w:r w:rsidRPr="00D407BD">
        <w:rPr>
          <w:szCs w:val="24"/>
        </w:rPr>
        <w:t xml:space="preserve">copies/mL decrease in their HIV RNA relative to placebo.  In the presence of zidovudine-associated mutations, the M184V mutation did not affect the mean HIV RNA responses to </w:t>
      </w:r>
      <w:r w:rsidRPr="00D407BD">
        <w:rPr>
          <w:snapToGrid w:val="0"/>
          <w:szCs w:val="24"/>
        </w:rPr>
        <w:t>VIREAD</w:t>
      </w:r>
      <w:r w:rsidRPr="00D407BD">
        <w:rPr>
          <w:szCs w:val="24"/>
        </w:rPr>
        <w:t xml:space="preserve"> treatment.</w:t>
      </w:r>
      <w:r w:rsidRPr="00D407BD">
        <w:rPr>
          <w:snapToGrid w:val="0"/>
          <w:szCs w:val="24"/>
        </w:rPr>
        <w:t xml:space="preserve">  </w:t>
      </w:r>
      <w:r w:rsidRPr="00D407BD">
        <w:rPr>
          <w:szCs w:val="24"/>
        </w:rPr>
        <w:t xml:space="preserve"> HIV-1 RNA responses among these patients were durable through week 48.  </w:t>
      </w:r>
    </w:p>
    <w:p w:rsidR="00DC7153" w:rsidRPr="00D407BD" w:rsidRDefault="00DC7153" w:rsidP="00DC7153">
      <w:pPr>
        <w:tabs>
          <w:tab w:val="left" w:pos="1890"/>
        </w:tabs>
        <w:rPr>
          <w:snapToGrid w:val="0"/>
          <w:szCs w:val="24"/>
        </w:rPr>
      </w:pPr>
    </w:p>
    <w:p w:rsidR="00DC7153" w:rsidRPr="00D407BD" w:rsidRDefault="00DC7153" w:rsidP="00DC7153">
      <w:pPr>
        <w:rPr>
          <w:szCs w:val="24"/>
        </w:rPr>
      </w:pPr>
      <w:r w:rsidRPr="00D407BD">
        <w:rPr>
          <w:szCs w:val="24"/>
        </w:rPr>
        <w:t xml:space="preserve">There were limited data on patients expressing some primary nucleoside reverse transcriptase inhibitor mutations and multi-drug resistant mutations at baseline.  However, patients expressing mutations at K65R (N=6), or L74V without zidovudine-associated mutations (N=6) appeared to have reduced </w:t>
      </w:r>
      <w:proofErr w:type="spellStart"/>
      <w:r w:rsidRPr="00D407BD">
        <w:rPr>
          <w:szCs w:val="24"/>
        </w:rPr>
        <w:t>virologic</w:t>
      </w:r>
      <w:proofErr w:type="spellEnd"/>
      <w:r w:rsidRPr="00D407BD">
        <w:rPr>
          <w:szCs w:val="24"/>
        </w:rPr>
        <w:t xml:space="preserve"> responses to VIREAD.</w:t>
      </w:r>
    </w:p>
    <w:p w:rsidR="00DC7153" w:rsidRPr="00D407BD" w:rsidRDefault="00DC7153" w:rsidP="00DC7153">
      <w:pPr>
        <w:rPr>
          <w:szCs w:val="24"/>
        </w:rPr>
      </w:pPr>
    </w:p>
    <w:p w:rsidR="00DC7153" w:rsidRPr="00D407BD" w:rsidRDefault="00DC7153" w:rsidP="00DC7153">
      <w:pPr>
        <w:rPr>
          <w:szCs w:val="24"/>
        </w:rPr>
      </w:pPr>
      <w:r w:rsidRPr="00D407BD">
        <w:rPr>
          <w:szCs w:val="24"/>
        </w:rPr>
        <w:t xml:space="preserve">The presence of at least one HIV protease inhibitor or non-nucleoside reverse transcriptase inhibitor mutation at baseline did not appear to affect the </w:t>
      </w:r>
      <w:proofErr w:type="spellStart"/>
      <w:r w:rsidRPr="00D407BD">
        <w:rPr>
          <w:szCs w:val="24"/>
        </w:rPr>
        <w:t>virologic</w:t>
      </w:r>
      <w:proofErr w:type="spellEnd"/>
      <w:r w:rsidRPr="00D407BD">
        <w:rPr>
          <w:szCs w:val="24"/>
        </w:rPr>
        <w:t xml:space="preserve"> response to VIREAD. Cross-resistance between VIREAD and HIV protease inhibitors is unlikely because of the different enzyme targets involved.</w:t>
      </w:r>
    </w:p>
    <w:p w:rsidR="00DC7153" w:rsidRPr="00D407BD" w:rsidRDefault="00DC7153" w:rsidP="00DC7153">
      <w:pPr>
        <w:pStyle w:val="BodyText3"/>
        <w:tabs>
          <w:tab w:val="left" w:pos="1890"/>
        </w:tabs>
        <w:rPr>
          <w:b/>
          <w:i/>
          <w:szCs w:val="24"/>
        </w:rPr>
      </w:pPr>
    </w:p>
    <w:p w:rsidR="00DC7153" w:rsidRPr="00D407BD" w:rsidRDefault="00DC7153" w:rsidP="00DC7153">
      <w:pPr>
        <w:tabs>
          <w:tab w:val="left" w:pos="1890"/>
        </w:tabs>
        <w:ind w:right="-519"/>
        <w:rPr>
          <w:b/>
          <w:color w:val="000000"/>
          <w:sz w:val="22"/>
          <w:szCs w:val="22"/>
        </w:rPr>
      </w:pPr>
      <w:r w:rsidRPr="00D407BD">
        <w:rPr>
          <w:b/>
          <w:color w:val="000000"/>
          <w:sz w:val="22"/>
          <w:szCs w:val="22"/>
        </w:rPr>
        <w:t>Phenotypic Analyses of VIREAD in Patients with Previous Antiretroviral Therapy (Study 902 and 907)</w:t>
      </w:r>
    </w:p>
    <w:p w:rsidR="00DC7153" w:rsidRPr="00D407BD" w:rsidRDefault="00DC7153" w:rsidP="00DC7153">
      <w:pPr>
        <w:pStyle w:val="text1Char0"/>
        <w:tabs>
          <w:tab w:val="left" w:pos="1890"/>
        </w:tabs>
        <w:spacing w:after="0"/>
        <w:rPr>
          <w:szCs w:val="24"/>
          <w:lang w:val="en-AU"/>
        </w:rPr>
      </w:pPr>
    </w:p>
    <w:p w:rsidR="00DC7153" w:rsidRPr="00D407BD" w:rsidRDefault="00DC7153" w:rsidP="00DC7153">
      <w:pPr>
        <w:pStyle w:val="text1Char0"/>
        <w:tabs>
          <w:tab w:val="left" w:pos="1890"/>
        </w:tabs>
        <w:spacing w:after="0"/>
        <w:rPr>
          <w:szCs w:val="24"/>
          <w:lang w:val="en-AU"/>
        </w:rPr>
      </w:pPr>
      <w:r w:rsidRPr="00D407BD">
        <w:rPr>
          <w:szCs w:val="24"/>
          <w:lang w:val="en-AU"/>
        </w:rPr>
        <w:t xml:space="preserve">The </w:t>
      </w:r>
      <w:proofErr w:type="spellStart"/>
      <w:r w:rsidRPr="00D407BD">
        <w:rPr>
          <w:szCs w:val="24"/>
          <w:lang w:val="en-AU"/>
        </w:rPr>
        <w:t>virologic</w:t>
      </w:r>
      <w:proofErr w:type="spellEnd"/>
      <w:r w:rsidRPr="00D407BD">
        <w:rPr>
          <w:szCs w:val="24"/>
          <w:lang w:val="en-AU"/>
        </w:rPr>
        <w:t xml:space="preserve"> response to VIREAD therapy has been evaluated with respect to baseline phenotype (N=100) in treatment experienced patients participating in trials 902 and 907.  </w:t>
      </w:r>
      <w:r w:rsidRPr="00D407BD">
        <w:rPr>
          <w:szCs w:val="24"/>
          <w:lang w:val="en-AU"/>
        </w:rPr>
        <w:lastRenderedPageBreak/>
        <w:t xml:space="preserve">Phenotypic analysis of baseline HIV from patients in Studies 902 and 907 demonstrated a correlation between baseline susceptibility to VIREAD and response to VIREAD therapy. </w:t>
      </w:r>
      <w:r w:rsidR="00DA5725" w:rsidRPr="00D407BD">
        <w:rPr>
          <w:szCs w:val="24"/>
          <w:lang w:val="en-AU"/>
        </w:rPr>
        <w:t xml:space="preserve"> Table 7 </w:t>
      </w:r>
      <w:r w:rsidRPr="00D407BD">
        <w:rPr>
          <w:szCs w:val="24"/>
          <w:lang w:val="en-AU"/>
        </w:rPr>
        <w:t>summarises the HIV RNA response by baseline VIREAD susceptibility.</w:t>
      </w:r>
    </w:p>
    <w:p w:rsidR="00DC7153" w:rsidRPr="001E66BE" w:rsidRDefault="00DC7153" w:rsidP="00DC7153">
      <w:pPr>
        <w:pStyle w:val="BodyTextIndent"/>
        <w:tabs>
          <w:tab w:val="left" w:pos="180"/>
          <w:tab w:val="left" w:pos="1890"/>
        </w:tabs>
        <w:ind w:left="0"/>
        <w:rPr>
          <w:sz w:val="16"/>
          <w:szCs w:val="16"/>
          <w:lang w:val="en-AU"/>
        </w:rPr>
      </w:pPr>
    </w:p>
    <w:p w:rsidR="00B63984" w:rsidRDefault="00B63984" w:rsidP="005B161B">
      <w:pPr>
        <w:pStyle w:val="Caption"/>
      </w:pPr>
      <w:bookmarkStart w:id="9" w:name="_Ref159392099"/>
    </w:p>
    <w:p w:rsidR="00DC7153" w:rsidRPr="0064484A" w:rsidRDefault="005F487C" w:rsidP="005B161B">
      <w:pPr>
        <w:pStyle w:val="Caption"/>
        <w:rPr>
          <w:szCs w:val="22"/>
          <w:lang w:val="en-AU"/>
        </w:rPr>
      </w:pPr>
      <w:proofErr w:type="gramStart"/>
      <w:r>
        <w:t xml:space="preserve">Table </w:t>
      </w:r>
      <w:r>
        <w:fldChar w:fldCharType="begin"/>
      </w:r>
      <w:r>
        <w:instrText xml:space="preserve"> SEQ Table \* ARABIC </w:instrText>
      </w:r>
      <w:r>
        <w:fldChar w:fldCharType="separate"/>
      </w:r>
      <w:r w:rsidR="00440D32">
        <w:rPr>
          <w:noProof/>
        </w:rPr>
        <w:t>7</w:t>
      </w:r>
      <w:r>
        <w:fldChar w:fldCharType="end"/>
      </w:r>
      <w:bookmarkEnd w:id="9"/>
      <w:r w:rsidR="00DC7153" w:rsidRPr="0064484A">
        <w:t>.</w:t>
      </w:r>
      <w:proofErr w:type="gramEnd"/>
      <w:r w:rsidR="00DC7153" w:rsidRPr="0064484A">
        <w:tab/>
        <w:t>HIV RNA Respons</w:t>
      </w:r>
      <w:r>
        <w:t>e at Week 24 by Baseline VIREAD</w:t>
      </w:r>
      <w:r w:rsidR="005B161B">
        <w:t xml:space="preserve"> </w:t>
      </w:r>
      <w:r w:rsidR="00DC7153" w:rsidRPr="0064484A">
        <w:rPr>
          <w:szCs w:val="22"/>
          <w:lang w:val="en-AU"/>
        </w:rPr>
        <w:t>Susceptibility in Studies 902 and 907 (Intent-To-Treat</w:t>
      </w:r>
      <w:proofErr w:type="gramStart"/>
      <w:r w:rsidR="00DC7153" w:rsidRPr="0064484A">
        <w:rPr>
          <w:szCs w:val="22"/>
          <w:lang w:val="en-AU"/>
        </w:rPr>
        <w:t>)</w:t>
      </w:r>
      <w:r w:rsidR="00DC7153" w:rsidRPr="0064484A">
        <w:rPr>
          <w:szCs w:val="22"/>
          <w:vertAlign w:val="superscript"/>
          <w:lang w:val="en-AU"/>
        </w:rPr>
        <w:t>1</w:t>
      </w:r>
      <w:proofErr w:type="gram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330"/>
      </w:tblGrid>
      <w:tr w:rsidR="00DC7153" w:rsidRPr="005B161B">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C7153" w:rsidRPr="005B161B" w:rsidRDefault="00DC7153" w:rsidP="00DC7153">
            <w:pPr>
              <w:pStyle w:val="Header"/>
              <w:tabs>
                <w:tab w:val="left" w:pos="1890"/>
              </w:tabs>
              <w:jc w:val="center"/>
              <w:rPr>
                <w:b/>
                <w:szCs w:val="24"/>
                <w:lang w:val="en-AU"/>
              </w:rPr>
            </w:pPr>
            <w:r w:rsidRPr="005B161B">
              <w:rPr>
                <w:b/>
                <w:szCs w:val="24"/>
                <w:lang w:val="en-AU"/>
              </w:rPr>
              <w:t>Baseline VIREAD Susceptibility</w:t>
            </w:r>
            <w:r w:rsidRPr="005B161B">
              <w:rPr>
                <w:b/>
                <w:szCs w:val="24"/>
                <w:vertAlign w:val="superscript"/>
                <w:lang w:val="en-AU"/>
              </w:rPr>
              <w:t>2</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DC7153" w:rsidRPr="005B161B" w:rsidRDefault="00DC7153" w:rsidP="00DC7153">
            <w:pPr>
              <w:pStyle w:val="Header"/>
              <w:tabs>
                <w:tab w:val="left" w:pos="1890"/>
              </w:tabs>
              <w:jc w:val="center"/>
              <w:rPr>
                <w:b/>
                <w:szCs w:val="24"/>
                <w:lang w:val="de-DE"/>
              </w:rPr>
            </w:pPr>
            <w:r w:rsidRPr="005B161B">
              <w:rPr>
                <w:b/>
                <w:szCs w:val="24"/>
                <w:lang w:val="de-DE"/>
              </w:rPr>
              <w:t>Change in HIV RNA</w:t>
            </w:r>
            <w:r w:rsidRPr="005B161B">
              <w:rPr>
                <w:b/>
                <w:szCs w:val="24"/>
                <w:vertAlign w:val="superscript"/>
                <w:lang w:val="de-DE"/>
              </w:rPr>
              <w:t xml:space="preserve">3 </w:t>
            </w:r>
            <w:r w:rsidRPr="005B161B">
              <w:rPr>
                <w:b/>
                <w:szCs w:val="24"/>
                <w:lang w:val="de-DE"/>
              </w:rPr>
              <w:t xml:space="preserve"> (N)</w:t>
            </w:r>
          </w:p>
        </w:tc>
      </w:tr>
      <w:tr w:rsidR="00DC7153" w:rsidRPr="00E7636B">
        <w:tc>
          <w:tcPr>
            <w:tcW w:w="3060" w:type="dxa"/>
            <w:tcBorders>
              <w:top w:val="single" w:sz="4" w:space="0" w:color="auto"/>
              <w:left w:val="single" w:sz="4" w:space="0" w:color="auto"/>
              <w:bottom w:val="single" w:sz="4" w:space="0" w:color="auto"/>
              <w:right w:val="single" w:sz="4" w:space="0" w:color="auto"/>
            </w:tcBorders>
            <w:shd w:val="clear" w:color="auto" w:fill="auto"/>
          </w:tcPr>
          <w:p w:rsidR="00DC7153" w:rsidRPr="005B161B" w:rsidRDefault="00DC7153" w:rsidP="00DC7153">
            <w:pPr>
              <w:pStyle w:val="Header"/>
              <w:tabs>
                <w:tab w:val="left" w:pos="1890"/>
              </w:tabs>
              <w:jc w:val="center"/>
              <w:rPr>
                <w:szCs w:val="24"/>
                <w:lang w:val="en-AU"/>
              </w:rPr>
            </w:pPr>
            <w:r w:rsidRPr="005B161B">
              <w:rPr>
                <w:szCs w:val="24"/>
                <w:u w:val="single"/>
                <w:lang w:val="en-AU"/>
              </w:rPr>
              <w:t>&lt;</w:t>
            </w:r>
            <w:r w:rsidRPr="005B161B">
              <w:rPr>
                <w:szCs w:val="24"/>
                <w:lang w:val="en-AU"/>
              </w:rPr>
              <w:t xml:space="preserve"> 1</w:t>
            </w:r>
          </w:p>
          <w:p w:rsidR="00DC7153" w:rsidRPr="005B161B" w:rsidRDefault="00DC7153" w:rsidP="00DC7153">
            <w:pPr>
              <w:pStyle w:val="Header"/>
              <w:tabs>
                <w:tab w:val="left" w:pos="1890"/>
              </w:tabs>
              <w:jc w:val="center"/>
              <w:rPr>
                <w:szCs w:val="24"/>
                <w:lang w:val="en-AU"/>
              </w:rPr>
            </w:pPr>
            <w:r w:rsidRPr="005B161B">
              <w:rPr>
                <w:szCs w:val="24"/>
                <w:lang w:val="en-AU"/>
              </w:rPr>
              <w:t xml:space="preserve">&gt; 1 and </w:t>
            </w:r>
            <w:r w:rsidRPr="005B161B">
              <w:rPr>
                <w:szCs w:val="24"/>
                <w:u w:val="single"/>
                <w:lang w:val="en-AU"/>
              </w:rPr>
              <w:t>&lt;</w:t>
            </w:r>
            <w:r w:rsidRPr="005B161B">
              <w:rPr>
                <w:szCs w:val="24"/>
                <w:lang w:val="en-AU"/>
              </w:rPr>
              <w:t xml:space="preserve"> 3</w:t>
            </w:r>
          </w:p>
          <w:p w:rsidR="00DC7153" w:rsidRPr="005B161B" w:rsidRDefault="00DC7153" w:rsidP="00DC7153">
            <w:pPr>
              <w:pStyle w:val="Header"/>
              <w:tabs>
                <w:tab w:val="left" w:pos="1890"/>
              </w:tabs>
              <w:jc w:val="center"/>
              <w:rPr>
                <w:szCs w:val="24"/>
                <w:lang w:val="en-AU"/>
              </w:rPr>
            </w:pPr>
            <w:r w:rsidRPr="005B161B">
              <w:rPr>
                <w:szCs w:val="24"/>
                <w:lang w:val="en-AU"/>
              </w:rPr>
              <w:t xml:space="preserve">&gt; 3 and </w:t>
            </w:r>
            <w:r w:rsidRPr="005B161B">
              <w:rPr>
                <w:szCs w:val="24"/>
                <w:u w:val="single"/>
                <w:lang w:val="en-AU"/>
              </w:rPr>
              <w:t>&lt;</w:t>
            </w:r>
            <w:r w:rsidRPr="005B161B">
              <w:rPr>
                <w:szCs w:val="24"/>
                <w:lang w:val="en-AU"/>
              </w:rPr>
              <w:t xml:space="preserve"> 4</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DC7153" w:rsidRPr="005B161B" w:rsidRDefault="00DC7153" w:rsidP="00DC7153">
            <w:pPr>
              <w:pStyle w:val="Header"/>
              <w:tabs>
                <w:tab w:val="left" w:pos="1890"/>
              </w:tabs>
              <w:jc w:val="center"/>
              <w:rPr>
                <w:szCs w:val="24"/>
                <w:lang w:val="en-AU"/>
              </w:rPr>
            </w:pPr>
            <w:r w:rsidRPr="005B161B">
              <w:rPr>
                <w:szCs w:val="24"/>
                <w:lang w:val="en-AU"/>
              </w:rPr>
              <w:t>-0.74 (35)</w:t>
            </w:r>
          </w:p>
          <w:p w:rsidR="00DC7153" w:rsidRPr="005B161B" w:rsidRDefault="00DC7153" w:rsidP="00DC7153">
            <w:pPr>
              <w:pStyle w:val="Header"/>
              <w:tabs>
                <w:tab w:val="left" w:pos="1890"/>
              </w:tabs>
              <w:jc w:val="center"/>
              <w:rPr>
                <w:szCs w:val="24"/>
                <w:lang w:val="en-AU"/>
              </w:rPr>
            </w:pPr>
            <w:r w:rsidRPr="005B161B">
              <w:rPr>
                <w:szCs w:val="24"/>
                <w:lang w:val="en-AU"/>
              </w:rPr>
              <w:t>-0.56 (49)</w:t>
            </w:r>
          </w:p>
          <w:p w:rsidR="00DC7153" w:rsidRPr="005B161B" w:rsidRDefault="00DC7153" w:rsidP="00DC7153">
            <w:pPr>
              <w:pStyle w:val="Header"/>
              <w:tabs>
                <w:tab w:val="left" w:pos="1890"/>
              </w:tabs>
              <w:jc w:val="center"/>
              <w:rPr>
                <w:szCs w:val="24"/>
                <w:lang w:val="en-AU"/>
              </w:rPr>
            </w:pPr>
            <w:r w:rsidRPr="005B161B">
              <w:rPr>
                <w:szCs w:val="24"/>
                <w:lang w:val="en-AU"/>
              </w:rPr>
              <w:t>-0.3 (7)</w:t>
            </w:r>
          </w:p>
        </w:tc>
      </w:tr>
      <w:tr w:rsidR="00DC7153" w:rsidRPr="00E7636B">
        <w:tc>
          <w:tcPr>
            <w:tcW w:w="3060" w:type="dxa"/>
            <w:tcBorders>
              <w:top w:val="single" w:sz="4" w:space="0" w:color="auto"/>
              <w:left w:val="single" w:sz="4" w:space="0" w:color="auto"/>
              <w:bottom w:val="single" w:sz="4" w:space="0" w:color="auto"/>
              <w:right w:val="single" w:sz="4" w:space="0" w:color="auto"/>
            </w:tcBorders>
            <w:shd w:val="clear" w:color="auto" w:fill="auto"/>
          </w:tcPr>
          <w:p w:rsidR="00DC7153" w:rsidRPr="005B161B" w:rsidRDefault="00DC7153" w:rsidP="00DC7153">
            <w:pPr>
              <w:pStyle w:val="Header"/>
              <w:tabs>
                <w:tab w:val="left" w:pos="1890"/>
              </w:tabs>
              <w:jc w:val="center"/>
              <w:rPr>
                <w:szCs w:val="24"/>
                <w:lang w:val="en-AU"/>
              </w:rPr>
            </w:pPr>
            <w:r w:rsidRPr="005B161B">
              <w:rPr>
                <w:szCs w:val="24"/>
                <w:u w:val="single"/>
                <w:lang w:val="en-AU"/>
              </w:rPr>
              <w:t>&lt;</w:t>
            </w:r>
            <w:r w:rsidRPr="005B161B">
              <w:rPr>
                <w:szCs w:val="24"/>
                <w:lang w:val="en-AU"/>
              </w:rPr>
              <w:t xml:space="preserve"> 4</w:t>
            </w:r>
          </w:p>
          <w:p w:rsidR="00DC7153" w:rsidRPr="005B161B" w:rsidRDefault="00DC7153" w:rsidP="00DC7153">
            <w:pPr>
              <w:pStyle w:val="Header"/>
              <w:tabs>
                <w:tab w:val="left" w:pos="1890"/>
              </w:tabs>
              <w:jc w:val="center"/>
              <w:rPr>
                <w:szCs w:val="24"/>
                <w:lang w:val="en-AU"/>
              </w:rPr>
            </w:pPr>
            <w:r w:rsidRPr="005B161B">
              <w:rPr>
                <w:szCs w:val="24"/>
                <w:lang w:val="en-AU"/>
              </w:rPr>
              <w:t>&gt; 4</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DC7153" w:rsidRPr="005B161B" w:rsidRDefault="00DC7153" w:rsidP="00DC7153">
            <w:pPr>
              <w:pStyle w:val="Header"/>
              <w:tabs>
                <w:tab w:val="left" w:pos="1890"/>
              </w:tabs>
              <w:jc w:val="center"/>
              <w:rPr>
                <w:szCs w:val="24"/>
                <w:lang w:val="en-AU"/>
              </w:rPr>
            </w:pPr>
            <w:r w:rsidRPr="005B161B">
              <w:rPr>
                <w:szCs w:val="24"/>
                <w:lang w:val="en-AU"/>
              </w:rPr>
              <w:t>-0.61 (91)</w:t>
            </w:r>
          </w:p>
          <w:p w:rsidR="00DC7153" w:rsidRPr="005B161B" w:rsidRDefault="00DC7153" w:rsidP="00DC7153">
            <w:pPr>
              <w:pStyle w:val="Header"/>
              <w:tabs>
                <w:tab w:val="left" w:pos="1890"/>
              </w:tabs>
              <w:jc w:val="center"/>
              <w:rPr>
                <w:szCs w:val="24"/>
                <w:lang w:val="en-AU"/>
              </w:rPr>
            </w:pPr>
            <w:r w:rsidRPr="005B161B">
              <w:rPr>
                <w:szCs w:val="24"/>
                <w:lang w:val="en-AU"/>
              </w:rPr>
              <w:t>-0.12 (9)</w:t>
            </w:r>
          </w:p>
        </w:tc>
      </w:tr>
    </w:tbl>
    <w:p w:rsidR="00DC7153" w:rsidRPr="005B161B" w:rsidRDefault="00DC7153" w:rsidP="00DC7153">
      <w:pPr>
        <w:pStyle w:val="Table-Text"/>
        <w:keepNext w:val="0"/>
        <w:keepLines w:val="0"/>
        <w:numPr>
          <w:ilvl w:val="0"/>
          <w:numId w:val="17"/>
        </w:numPr>
        <w:tabs>
          <w:tab w:val="clear" w:pos="720"/>
          <w:tab w:val="clear" w:pos="1080"/>
          <w:tab w:val="clear" w:pos="1440"/>
          <w:tab w:val="clear" w:pos="1800"/>
          <w:tab w:val="left" w:pos="1890"/>
        </w:tabs>
        <w:rPr>
          <w:sz w:val="20"/>
          <w:lang w:val="en-AU"/>
        </w:rPr>
      </w:pPr>
      <w:proofErr w:type="spellStart"/>
      <w:r w:rsidRPr="005B161B">
        <w:rPr>
          <w:sz w:val="20"/>
          <w:lang w:val="en-AU"/>
        </w:rPr>
        <w:t>Tenofovir</w:t>
      </w:r>
      <w:proofErr w:type="spellEnd"/>
      <w:r w:rsidRPr="005B161B">
        <w:rPr>
          <w:sz w:val="20"/>
          <w:lang w:val="en-AU"/>
        </w:rPr>
        <w:t xml:space="preserve"> susceptibility was determined by recombinant phenotypic </w:t>
      </w:r>
      <w:proofErr w:type="spellStart"/>
      <w:r w:rsidRPr="005B161B">
        <w:rPr>
          <w:sz w:val="20"/>
          <w:lang w:val="en-AU"/>
        </w:rPr>
        <w:t>Antivirogram</w:t>
      </w:r>
      <w:r w:rsidRPr="005B161B">
        <w:rPr>
          <w:sz w:val="20"/>
          <w:vertAlign w:val="superscript"/>
          <w:lang w:val="en-AU"/>
        </w:rPr>
        <w:t>TM</w:t>
      </w:r>
      <w:proofErr w:type="spellEnd"/>
      <w:r w:rsidRPr="005B161B">
        <w:rPr>
          <w:sz w:val="20"/>
          <w:lang w:val="en-AU"/>
        </w:rPr>
        <w:t xml:space="preserve"> assay (</w:t>
      </w:r>
      <w:proofErr w:type="spellStart"/>
      <w:r w:rsidRPr="005B161B">
        <w:rPr>
          <w:sz w:val="20"/>
          <w:lang w:val="en-AU"/>
        </w:rPr>
        <w:t>Virco</w:t>
      </w:r>
      <w:proofErr w:type="spellEnd"/>
      <w:r w:rsidRPr="005B161B">
        <w:rPr>
          <w:sz w:val="20"/>
          <w:lang w:val="en-AU"/>
        </w:rPr>
        <w:t>)</w:t>
      </w:r>
    </w:p>
    <w:p w:rsidR="00DC7153" w:rsidRPr="005B161B" w:rsidRDefault="00DC7153" w:rsidP="00DC7153">
      <w:pPr>
        <w:pStyle w:val="Table-Text"/>
        <w:keepNext w:val="0"/>
        <w:keepLines w:val="0"/>
        <w:tabs>
          <w:tab w:val="clear" w:pos="720"/>
          <w:tab w:val="clear" w:pos="1080"/>
          <w:tab w:val="clear" w:pos="1440"/>
          <w:tab w:val="clear" w:pos="1800"/>
          <w:tab w:val="left" w:pos="1890"/>
        </w:tabs>
        <w:rPr>
          <w:sz w:val="20"/>
          <w:lang w:val="en-AU"/>
        </w:rPr>
      </w:pPr>
      <w:r w:rsidRPr="005B161B">
        <w:rPr>
          <w:sz w:val="20"/>
          <w:lang w:val="en-AU"/>
        </w:rPr>
        <w:t>2.</w:t>
      </w:r>
      <w:r w:rsidRPr="005B161B">
        <w:rPr>
          <w:sz w:val="20"/>
          <w:lang w:val="en-AU"/>
        </w:rPr>
        <w:tab/>
        <w:t>Fold change in susceptibility from wild-type</w:t>
      </w:r>
    </w:p>
    <w:p w:rsidR="00DC7153" w:rsidRPr="005B161B" w:rsidRDefault="00DC7153" w:rsidP="00DC7153">
      <w:pPr>
        <w:tabs>
          <w:tab w:val="left" w:pos="360"/>
          <w:tab w:val="left" w:pos="1890"/>
        </w:tabs>
        <w:rPr>
          <w:strike/>
          <w:sz w:val="20"/>
        </w:rPr>
      </w:pPr>
      <w:r w:rsidRPr="005B161B">
        <w:rPr>
          <w:sz w:val="20"/>
        </w:rPr>
        <w:t>3.</w:t>
      </w:r>
      <w:r w:rsidRPr="005B161B">
        <w:rPr>
          <w:sz w:val="20"/>
        </w:rPr>
        <w:tab/>
        <w:t>Average HIV RNA change from baseline through week 24 (DAVG</w:t>
      </w:r>
      <w:r w:rsidRPr="005B161B">
        <w:rPr>
          <w:sz w:val="20"/>
          <w:vertAlign w:val="subscript"/>
        </w:rPr>
        <w:t>24</w:t>
      </w:r>
      <w:r w:rsidRPr="005B161B">
        <w:rPr>
          <w:sz w:val="20"/>
        </w:rPr>
        <w:t>) in log</w:t>
      </w:r>
      <w:r w:rsidRPr="005B161B">
        <w:rPr>
          <w:sz w:val="20"/>
          <w:vertAlign w:val="subscript"/>
        </w:rPr>
        <w:t>10</w:t>
      </w:r>
      <w:r w:rsidRPr="005B161B">
        <w:rPr>
          <w:sz w:val="20"/>
        </w:rPr>
        <w:t xml:space="preserve"> copies/mL</w:t>
      </w:r>
    </w:p>
    <w:p w:rsidR="00DC7153" w:rsidRDefault="00DC7153" w:rsidP="00DC7153">
      <w:pPr>
        <w:rPr>
          <w:b/>
          <w:sz w:val="22"/>
          <w:szCs w:val="22"/>
        </w:rPr>
      </w:pPr>
    </w:p>
    <w:p w:rsidR="00DC7153" w:rsidRDefault="00DC7153" w:rsidP="00DC7153">
      <w:pPr>
        <w:rPr>
          <w:b/>
          <w:sz w:val="22"/>
          <w:szCs w:val="22"/>
        </w:rPr>
      </w:pPr>
    </w:p>
    <w:p w:rsidR="00DC7153" w:rsidRPr="00D407BD" w:rsidRDefault="00DC7153" w:rsidP="00DC7153">
      <w:pPr>
        <w:rPr>
          <w:b/>
          <w:szCs w:val="24"/>
        </w:rPr>
      </w:pPr>
      <w:r w:rsidRPr="00D407BD">
        <w:rPr>
          <w:b/>
          <w:szCs w:val="24"/>
        </w:rPr>
        <w:t>EMTRIVA (</w:t>
      </w:r>
      <w:proofErr w:type="spellStart"/>
      <w:r w:rsidRPr="00D407BD">
        <w:rPr>
          <w:b/>
          <w:szCs w:val="24"/>
        </w:rPr>
        <w:t>emtricitabine</w:t>
      </w:r>
      <w:proofErr w:type="spellEnd"/>
      <w:r w:rsidRPr="00D407BD">
        <w:rPr>
          <w:b/>
          <w:szCs w:val="24"/>
        </w:rPr>
        <w:t>)</w:t>
      </w:r>
    </w:p>
    <w:p w:rsidR="00DC7153" w:rsidRPr="0064484A" w:rsidRDefault="00DC7153" w:rsidP="00DC7153">
      <w:pPr>
        <w:rPr>
          <w:b/>
          <w:sz w:val="22"/>
          <w:szCs w:val="22"/>
        </w:rPr>
      </w:pPr>
    </w:p>
    <w:p w:rsidR="00DC7153" w:rsidRPr="0064484A" w:rsidRDefault="00DC7153" w:rsidP="00DC7153">
      <w:pPr>
        <w:rPr>
          <w:b/>
          <w:i/>
          <w:sz w:val="22"/>
          <w:szCs w:val="22"/>
          <w:u w:val="single"/>
        </w:rPr>
      </w:pPr>
      <w:r w:rsidRPr="0064484A">
        <w:rPr>
          <w:b/>
          <w:i/>
          <w:sz w:val="22"/>
          <w:szCs w:val="22"/>
          <w:u w:val="single"/>
        </w:rPr>
        <w:t>Treatment-Experienced Patients:</w:t>
      </w:r>
    </w:p>
    <w:p w:rsidR="00DC7153" w:rsidRPr="0064484A" w:rsidRDefault="00DC7153" w:rsidP="00DC7153">
      <w:pPr>
        <w:rPr>
          <w:b/>
          <w:sz w:val="22"/>
          <w:szCs w:val="22"/>
          <w:u w:val="single"/>
        </w:rPr>
      </w:pPr>
      <w:r w:rsidRPr="0064484A">
        <w:rPr>
          <w:b/>
          <w:sz w:val="22"/>
          <w:szCs w:val="22"/>
          <w:u w:val="single"/>
        </w:rPr>
        <w:t xml:space="preserve">Study 303: </w:t>
      </w:r>
      <w:proofErr w:type="spellStart"/>
      <w:r w:rsidRPr="0064484A">
        <w:rPr>
          <w:b/>
          <w:sz w:val="22"/>
          <w:szCs w:val="22"/>
          <w:u w:val="single"/>
        </w:rPr>
        <w:t>Emtricitabine</w:t>
      </w:r>
      <w:proofErr w:type="spellEnd"/>
      <w:r w:rsidRPr="0064484A">
        <w:rPr>
          <w:b/>
          <w:sz w:val="22"/>
          <w:szCs w:val="22"/>
          <w:u w:val="single"/>
        </w:rPr>
        <w:t xml:space="preserve"> once daily + Stable Background Therapy (SBT) Compared to Lamivudine twice daily + SBT</w:t>
      </w:r>
    </w:p>
    <w:p w:rsidR="00DC7153" w:rsidRPr="00D407BD" w:rsidRDefault="00DC7153" w:rsidP="00DC7153">
      <w:pPr>
        <w:rPr>
          <w:szCs w:val="24"/>
        </w:rPr>
      </w:pPr>
    </w:p>
    <w:p w:rsidR="00DC7153" w:rsidRPr="00D407BD" w:rsidRDefault="00DC7153" w:rsidP="00DC7153">
      <w:pPr>
        <w:rPr>
          <w:szCs w:val="24"/>
        </w:rPr>
      </w:pPr>
      <w:r w:rsidRPr="00D407BD">
        <w:rPr>
          <w:szCs w:val="24"/>
        </w:rPr>
        <w:t xml:space="preserve">Study 303 was a 48 week, open-label, active-controlled </w:t>
      </w:r>
      <w:proofErr w:type="spellStart"/>
      <w:r w:rsidRPr="00D407BD">
        <w:rPr>
          <w:szCs w:val="24"/>
        </w:rPr>
        <w:t>multicentre</w:t>
      </w:r>
      <w:proofErr w:type="spellEnd"/>
      <w:r w:rsidRPr="00D407BD">
        <w:rPr>
          <w:szCs w:val="24"/>
        </w:rPr>
        <w:t xml:space="preserve"> study comparing </w:t>
      </w:r>
      <w:proofErr w:type="spellStart"/>
      <w:r w:rsidRPr="00D407BD">
        <w:rPr>
          <w:szCs w:val="24"/>
        </w:rPr>
        <w:t>emtricitabine</w:t>
      </w:r>
      <w:proofErr w:type="spellEnd"/>
      <w:r w:rsidRPr="00D407BD">
        <w:rPr>
          <w:szCs w:val="24"/>
        </w:rPr>
        <w:t xml:space="preserve"> (200 mg once daily) to lamivudine, in combination with d4T or zidovudine and a protease inhibitor or NNRTI in 440 patients who were on a lamivudine-containing triple-antiretroviral drug regimen for at least 12 weeks prior to study entry and had HIV RNA </w:t>
      </w:r>
      <w:r w:rsidRPr="00D407BD">
        <w:rPr>
          <w:szCs w:val="24"/>
        </w:rPr>
        <w:sym w:font="Symbol" w:char="F0A3"/>
      </w:r>
      <w:r w:rsidRPr="00D407BD">
        <w:rPr>
          <w:szCs w:val="24"/>
        </w:rPr>
        <w:t>400 copies/</w:t>
      </w:r>
      <w:proofErr w:type="spellStart"/>
      <w:r w:rsidRPr="00D407BD">
        <w:rPr>
          <w:szCs w:val="24"/>
        </w:rPr>
        <w:t>mL.</w:t>
      </w:r>
      <w:proofErr w:type="spellEnd"/>
      <w:r w:rsidRPr="00D407BD">
        <w:rPr>
          <w:szCs w:val="24"/>
        </w:rPr>
        <w:t xml:space="preserve"> </w:t>
      </w:r>
    </w:p>
    <w:p w:rsidR="00DC7153" w:rsidRPr="00D407BD" w:rsidRDefault="00DC7153" w:rsidP="00DC7153">
      <w:pPr>
        <w:rPr>
          <w:szCs w:val="24"/>
        </w:rPr>
      </w:pPr>
    </w:p>
    <w:p w:rsidR="00BD577A" w:rsidRDefault="00DC7153" w:rsidP="00DC7153">
      <w:pPr>
        <w:rPr>
          <w:szCs w:val="24"/>
        </w:rPr>
        <w:sectPr w:rsidR="00BD577A" w:rsidSect="00F14E84">
          <w:pgSz w:w="12240" w:h="15840" w:code="1"/>
          <w:pgMar w:top="1134" w:right="1418" w:bottom="1418" w:left="1418" w:header="720" w:footer="720" w:gutter="0"/>
          <w:cols w:space="720"/>
          <w:noEndnote/>
        </w:sectPr>
      </w:pPr>
      <w:r w:rsidRPr="00D407BD">
        <w:rPr>
          <w:szCs w:val="24"/>
        </w:rPr>
        <w:t xml:space="preserve">Patients were </w:t>
      </w:r>
      <w:proofErr w:type="spellStart"/>
      <w:r w:rsidRPr="00D407BD">
        <w:rPr>
          <w:szCs w:val="24"/>
        </w:rPr>
        <w:t>randomised</w:t>
      </w:r>
      <w:proofErr w:type="spellEnd"/>
      <w:r w:rsidRPr="00D407BD">
        <w:rPr>
          <w:szCs w:val="24"/>
        </w:rPr>
        <w:t xml:space="preserve"> 1:2 to continue therapy with lamivudine (150 mg twice daily) or to switch to </w:t>
      </w:r>
      <w:proofErr w:type="spellStart"/>
      <w:r w:rsidRPr="00D407BD">
        <w:rPr>
          <w:szCs w:val="24"/>
        </w:rPr>
        <w:t>emtricitabine</w:t>
      </w:r>
      <w:proofErr w:type="spellEnd"/>
      <w:r w:rsidRPr="00D407BD">
        <w:rPr>
          <w:szCs w:val="24"/>
        </w:rPr>
        <w:t xml:space="preserve"> (200 mg once daily). All patients were maintained on their stable background regimen.  Patients had a mean age of 42 years (range 22</w:t>
      </w:r>
      <w:r w:rsidRPr="00D407BD">
        <w:rPr>
          <w:szCs w:val="24"/>
        </w:rPr>
        <w:sym w:font="Symbol" w:char="F02D"/>
      </w:r>
      <w:r w:rsidRPr="00D407BD">
        <w:rPr>
          <w:szCs w:val="24"/>
        </w:rPr>
        <w:t>80), 86% were male, 64% Caucasian, 21% African-American and 13% Hispanic. Patients had a mean baseline CD4 cell count of 527 cells/mm</w:t>
      </w:r>
      <w:r w:rsidRPr="00D407BD">
        <w:rPr>
          <w:szCs w:val="24"/>
          <w:vertAlign w:val="superscript"/>
        </w:rPr>
        <w:t>3</w:t>
      </w:r>
      <w:r w:rsidRPr="00D407BD">
        <w:rPr>
          <w:szCs w:val="24"/>
        </w:rPr>
        <w:t xml:space="preserve"> (range 37</w:t>
      </w:r>
      <w:r w:rsidRPr="00D407BD">
        <w:rPr>
          <w:szCs w:val="24"/>
        </w:rPr>
        <w:sym w:font="Symbol" w:char="F02D"/>
      </w:r>
      <w:r w:rsidRPr="00D407BD">
        <w:rPr>
          <w:szCs w:val="24"/>
        </w:rPr>
        <w:t>1909), and a median baseline plasma HIV RNA of 1.7 log</w:t>
      </w:r>
      <w:r w:rsidRPr="00D407BD">
        <w:rPr>
          <w:szCs w:val="24"/>
          <w:vertAlign w:val="subscript"/>
        </w:rPr>
        <w:t>10</w:t>
      </w:r>
      <w:r w:rsidRPr="00D407BD">
        <w:rPr>
          <w:szCs w:val="24"/>
        </w:rPr>
        <w:t xml:space="preserve"> copies/mL (range 1.7</w:t>
      </w:r>
      <w:r w:rsidRPr="00D407BD">
        <w:rPr>
          <w:szCs w:val="24"/>
        </w:rPr>
        <w:sym w:font="Symbol" w:char="F02D"/>
      </w:r>
      <w:r w:rsidRPr="00D407BD">
        <w:rPr>
          <w:szCs w:val="24"/>
        </w:rPr>
        <w:t>4.0). The median duration of prior antiretroviral therapy was 27.6 months.  Treatment outcomes through 48 weeks are presented in</w:t>
      </w:r>
      <w:r w:rsidR="00DA5725" w:rsidRPr="00D407BD">
        <w:rPr>
          <w:szCs w:val="24"/>
        </w:rPr>
        <w:t xml:space="preserve"> Table 8</w:t>
      </w:r>
      <w:r w:rsidRPr="00D407BD">
        <w:rPr>
          <w:szCs w:val="24"/>
        </w:rPr>
        <w:t>.</w:t>
      </w:r>
    </w:p>
    <w:p w:rsidR="00DC7153" w:rsidRPr="0064484A" w:rsidRDefault="00A76874" w:rsidP="001A47BA">
      <w:pPr>
        <w:pStyle w:val="Caption"/>
      </w:pPr>
      <w:bookmarkStart w:id="10" w:name="_Ref159392125"/>
      <w:proofErr w:type="gramStart"/>
      <w:r>
        <w:lastRenderedPageBreak/>
        <w:t xml:space="preserve">Table </w:t>
      </w:r>
      <w:r>
        <w:fldChar w:fldCharType="begin"/>
      </w:r>
      <w:r>
        <w:instrText xml:space="preserve"> SEQ Table \* ARABIC </w:instrText>
      </w:r>
      <w:r>
        <w:fldChar w:fldCharType="separate"/>
      </w:r>
      <w:r w:rsidR="00440D32">
        <w:rPr>
          <w:noProof/>
        </w:rPr>
        <w:t>8</w:t>
      </w:r>
      <w:r>
        <w:fldChar w:fldCharType="end"/>
      </w:r>
      <w:bookmarkEnd w:id="10"/>
      <w:r w:rsidR="00DC7153" w:rsidRPr="0064484A">
        <w:t>.</w:t>
      </w:r>
      <w:proofErr w:type="gramEnd"/>
      <w:r>
        <w:tab/>
      </w:r>
      <w:r w:rsidR="00DC7153" w:rsidRPr="0064484A">
        <w:t xml:space="preserve">Outcomes of </w:t>
      </w:r>
      <w:proofErr w:type="spellStart"/>
      <w:r w:rsidR="00DC7153" w:rsidRPr="0064484A">
        <w:t>randomised</w:t>
      </w:r>
      <w:proofErr w:type="spellEnd"/>
      <w:r w:rsidR="00DC7153" w:rsidRPr="0064484A">
        <w:t xml:space="preserve"> treatment at week 48 (Study 303)</w:t>
      </w:r>
    </w:p>
    <w:tbl>
      <w:tblPr>
        <w:tblW w:w="0" w:type="auto"/>
        <w:jc w:val="center"/>
        <w:tblInd w:w="-1455" w:type="dxa"/>
        <w:tblLayout w:type="fixed"/>
        <w:tblCellMar>
          <w:left w:w="30" w:type="dxa"/>
          <w:right w:w="30" w:type="dxa"/>
        </w:tblCellMar>
        <w:tblLook w:val="0000" w:firstRow="0" w:lastRow="0" w:firstColumn="0" w:lastColumn="0" w:noHBand="0" w:noVBand="0"/>
      </w:tblPr>
      <w:tblGrid>
        <w:gridCol w:w="5581"/>
        <w:gridCol w:w="1800"/>
        <w:gridCol w:w="1809"/>
      </w:tblGrid>
      <w:tr w:rsidR="00DC7153" w:rsidRPr="00E7636B">
        <w:trPr>
          <w:cantSplit/>
          <w:trHeight w:val="434"/>
          <w:jc w:val="center"/>
        </w:trPr>
        <w:tc>
          <w:tcPr>
            <w:tcW w:w="5581" w:type="dxa"/>
            <w:tcBorders>
              <w:top w:val="single" w:sz="12" w:space="0" w:color="auto"/>
              <w:left w:val="single" w:sz="12" w:space="0" w:color="auto"/>
              <w:bottom w:val="single" w:sz="12" w:space="0" w:color="auto"/>
              <w:right w:val="single" w:sz="4" w:space="0" w:color="auto"/>
            </w:tcBorders>
            <w:shd w:val="clear" w:color="auto" w:fill="auto"/>
            <w:vAlign w:val="center"/>
          </w:tcPr>
          <w:p w:rsidR="00DC7153" w:rsidRPr="00E7636B" w:rsidRDefault="00DC7153" w:rsidP="00DC7153">
            <w:pPr>
              <w:spacing w:before="20" w:after="20"/>
              <w:rPr>
                <w:b/>
                <w:color w:val="000000"/>
              </w:rPr>
            </w:pPr>
            <w:r w:rsidRPr="00E7636B">
              <w:rPr>
                <w:b/>
                <w:color w:val="000000"/>
              </w:rPr>
              <w:t>Outcome at Week 48</w:t>
            </w:r>
          </w:p>
        </w:tc>
        <w:tc>
          <w:tcPr>
            <w:tcW w:w="1800" w:type="dxa"/>
            <w:tcBorders>
              <w:top w:val="single" w:sz="12" w:space="0" w:color="auto"/>
              <w:left w:val="single" w:sz="4" w:space="0" w:color="auto"/>
              <w:bottom w:val="single" w:sz="12" w:space="0" w:color="auto"/>
              <w:right w:val="single" w:sz="4" w:space="0" w:color="auto"/>
            </w:tcBorders>
            <w:shd w:val="clear" w:color="auto" w:fill="auto"/>
            <w:vAlign w:val="center"/>
          </w:tcPr>
          <w:p w:rsidR="00DC7153" w:rsidRPr="00E7636B" w:rsidRDefault="00DC7153" w:rsidP="00DC7153">
            <w:pPr>
              <w:spacing w:before="20" w:after="20"/>
              <w:jc w:val="center"/>
              <w:rPr>
                <w:b/>
                <w:lang w:val="fr-FR"/>
              </w:rPr>
            </w:pPr>
            <w:r w:rsidRPr="00E7636B">
              <w:rPr>
                <w:b/>
                <w:lang w:val="fr-FR"/>
              </w:rPr>
              <w:t xml:space="preserve">EMTRIVA + ZDV/d4T + NNRTI/PI </w:t>
            </w:r>
            <w:r w:rsidRPr="00E7636B">
              <w:rPr>
                <w:b/>
                <w:lang w:val="fr-FR"/>
              </w:rPr>
              <w:br/>
              <w:t>(N=294)</w:t>
            </w:r>
          </w:p>
        </w:tc>
        <w:tc>
          <w:tcPr>
            <w:tcW w:w="1809" w:type="dxa"/>
            <w:tcBorders>
              <w:top w:val="single" w:sz="12" w:space="0" w:color="auto"/>
              <w:left w:val="single" w:sz="4" w:space="0" w:color="auto"/>
              <w:bottom w:val="single" w:sz="12" w:space="0" w:color="auto"/>
              <w:right w:val="single" w:sz="12" w:space="0" w:color="auto"/>
            </w:tcBorders>
            <w:shd w:val="clear" w:color="auto" w:fill="auto"/>
            <w:vAlign w:val="center"/>
          </w:tcPr>
          <w:p w:rsidR="00DC7153" w:rsidRPr="00E7636B" w:rsidRDefault="00DC7153" w:rsidP="00DC7153">
            <w:pPr>
              <w:spacing w:before="20" w:after="20"/>
              <w:jc w:val="center"/>
              <w:rPr>
                <w:b/>
                <w:lang w:val="fr-FR"/>
              </w:rPr>
            </w:pPr>
            <w:proofErr w:type="spellStart"/>
            <w:r w:rsidRPr="00E7636B">
              <w:rPr>
                <w:b/>
                <w:lang w:val="fr-FR"/>
              </w:rPr>
              <w:t>Lamivudine</w:t>
            </w:r>
            <w:proofErr w:type="spellEnd"/>
            <w:r w:rsidRPr="00E7636B">
              <w:rPr>
                <w:b/>
                <w:lang w:val="fr-FR"/>
              </w:rPr>
              <w:t xml:space="preserve"> + </w:t>
            </w:r>
            <w:r w:rsidRPr="00E7636B">
              <w:rPr>
                <w:b/>
                <w:lang w:val="fr-FR"/>
              </w:rPr>
              <w:br/>
              <w:t>ZDV/d4T + NNRTI/</w:t>
            </w:r>
            <w:proofErr w:type="gramStart"/>
            <w:r w:rsidRPr="00E7636B">
              <w:rPr>
                <w:b/>
                <w:lang w:val="fr-FR"/>
              </w:rPr>
              <w:t>PI</w:t>
            </w:r>
            <w:proofErr w:type="gramEnd"/>
            <w:r w:rsidRPr="00E7636B">
              <w:rPr>
                <w:b/>
                <w:lang w:val="fr-FR"/>
              </w:rPr>
              <w:br/>
              <w:t>(N=146)</w:t>
            </w:r>
          </w:p>
        </w:tc>
      </w:tr>
      <w:tr w:rsidR="00DC7153" w:rsidRPr="00E7636B">
        <w:trPr>
          <w:cantSplit/>
          <w:trHeight w:hRule="exact" w:val="280"/>
          <w:jc w:val="center"/>
        </w:trPr>
        <w:tc>
          <w:tcPr>
            <w:tcW w:w="5581" w:type="dxa"/>
            <w:tcBorders>
              <w:top w:val="single" w:sz="12" w:space="0" w:color="auto"/>
              <w:left w:val="single" w:sz="12" w:space="0" w:color="auto"/>
              <w:bottom w:val="single" w:sz="4" w:space="0" w:color="auto"/>
              <w:right w:val="single" w:sz="4" w:space="0" w:color="auto"/>
            </w:tcBorders>
          </w:tcPr>
          <w:p w:rsidR="00DC7153" w:rsidRPr="00D83C46" w:rsidRDefault="00DC7153" w:rsidP="00DC7153">
            <w:pPr>
              <w:spacing w:before="20" w:after="20"/>
              <w:ind w:left="60"/>
              <w:rPr>
                <w:szCs w:val="24"/>
              </w:rPr>
            </w:pPr>
            <w:r w:rsidRPr="00D83C46">
              <w:rPr>
                <w:szCs w:val="24"/>
              </w:rPr>
              <w:t>Responder</w:t>
            </w:r>
            <w:r w:rsidRPr="00D83C46">
              <w:rPr>
                <w:szCs w:val="24"/>
                <w:vertAlign w:val="superscript"/>
              </w:rPr>
              <w:t>1</w:t>
            </w:r>
          </w:p>
        </w:tc>
        <w:tc>
          <w:tcPr>
            <w:tcW w:w="1800" w:type="dxa"/>
            <w:tcBorders>
              <w:top w:val="single" w:sz="12" w:space="0" w:color="auto"/>
              <w:left w:val="single" w:sz="4" w:space="0" w:color="auto"/>
              <w:bottom w:val="single" w:sz="4" w:space="0" w:color="auto"/>
              <w:right w:val="single" w:sz="4" w:space="0" w:color="auto"/>
            </w:tcBorders>
          </w:tcPr>
          <w:p w:rsidR="00DC7153" w:rsidRPr="00E7636B" w:rsidRDefault="00DC7153" w:rsidP="00DC7153">
            <w:pPr>
              <w:spacing w:before="20" w:after="20"/>
              <w:jc w:val="center"/>
            </w:pPr>
            <w:r w:rsidRPr="00E7636B">
              <w:t>77% (67%)</w:t>
            </w:r>
          </w:p>
        </w:tc>
        <w:tc>
          <w:tcPr>
            <w:tcW w:w="1809" w:type="dxa"/>
            <w:tcBorders>
              <w:top w:val="single" w:sz="12" w:space="0" w:color="auto"/>
              <w:left w:val="single" w:sz="4" w:space="0" w:color="auto"/>
              <w:bottom w:val="single" w:sz="4" w:space="0" w:color="auto"/>
              <w:right w:val="single" w:sz="12" w:space="0" w:color="auto"/>
            </w:tcBorders>
          </w:tcPr>
          <w:p w:rsidR="00DC7153" w:rsidRPr="00E7636B" w:rsidRDefault="00DC7153" w:rsidP="00DC7153">
            <w:pPr>
              <w:spacing w:before="20" w:after="20"/>
              <w:jc w:val="center"/>
            </w:pPr>
            <w:r w:rsidRPr="00E7636B">
              <w:t>82% (72%)</w:t>
            </w:r>
          </w:p>
        </w:tc>
      </w:tr>
      <w:tr w:rsidR="00DC7153" w:rsidRPr="00E7636B">
        <w:trPr>
          <w:cantSplit/>
          <w:trHeight w:hRule="exact" w:val="280"/>
          <w:jc w:val="center"/>
        </w:trPr>
        <w:tc>
          <w:tcPr>
            <w:tcW w:w="5581" w:type="dxa"/>
            <w:tcBorders>
              <w:top w:val="single" w:sz="4" w:space="0" w:color="auto"/>
              <w:left w:val="single" w:sz="12" w:space="0" w:color="auto"/>
              <w:bottom w:val="single" w:sz="4" w:space="0" w:color="auto"/>
              <w:right w:val="single" w:sz="4" w:space="0" w:color="auto"/>
            </w:tcBorders>
          </w:tcPr>
          <w:p w:rsidR="00DC7153" w:rsidRPr="00D83C46" w:rsidRDefault="00DC7153" w:rsidP="00DC7153">
            <w:pPr>
              <w:pStyle w:val="BalloonText"/>
              <w:spacing w:before="20" w:after="20"/>
              <w:ind w:left="60"/>
              <w:rPr>
                <w:rFonts w:ascii="Times New Roman" w:hAnsi="Times New Roman" w:cs="Times New Roman"/>
                <w:sz w:val="24"/>
                <w:szCs w:val="24"/>
                <w:vertAlign w:val="superscript"/>
              </w:rPr>
            </w:pPr>
            <w:proofErr w:type="spellStart"/>
            <w:r w:rsidRPr="00D83C46">
              <w:rPr>
                <w:rFonts w:ascii="Times New Roman" w:hAnsi="Times New Roman" w:cs="Times New Roman"/>
                <w:sz w:val="24"/>
                <w:szCs w:val="24"/>
              </w:rPr>
              <w:t>Virologic</w:t>
            </w:r>
            <w:proofErr w:type="spellEnd"/>
            <w:r w:rsidRPr="00D83C46">
              <w:rPr>
                <w:rFonts w:ascii="Times New Roman" w:hAnsi="Times New Roman" w:cs="Times New Roman"/>
                <w:sz w:val="24"/>
                <w:szCs w:val="24"/>
              </w:rPr>
              <w:t xml:space="preserve"> Failure</w:t>
            </w:r>
            <w:r w:rsidRPr="00D83C46">
              <w:rPr>
                <w:rFonts w:ascii="Times New Roman" w:hAnsi="Times New Roman" w:cs="Times New Roman"/>
                <w:sz w:val="24"/>
                <w:szCs w:val="24"/>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DC7153" w:rsidRPr="00E7636B" w:rsidRDefault="00DC7153" w:rsidP="00DC7153">
            <w:pPr>
              <w:spacing w:before="20" w:after="20"/>
              <w:jc w:val="center"/>
            </w:pPr>
            <w:r w:rsidRPr="00E7636B">
              <w:t>7%</w:t>
            </w:r>
          </w:p>
        </w:tc>
        <w:tc>
          <w:tcPr>
            <w:tcW w:w="1809" w:type="dxa"/>
            <w:tcBorders>
              <w:top w:val="single" w:sz="4" w:space="0" w:color="auto"/>
              <w:left w:val="single" w:sz="4" w:space="0" w:color="auto"/>
              <w:bottom w:val="single" w:sz="4" w:space="0" w:color="auto"/>
              <w:right w:val="single" w:sz="12" w:space="0" w:color="auto"/>
            </w:tcBorders>
          </w:tcPr>
          <w:p w:rsidR="00DC7153" w:rsidRPr="00E7636B" w:rsidRDefault="00DC7153" w:rsidP="00DC7153">
            <w:pPr>
              <w:spacing w:before="20" w:after="20"/>
              <w:jc w:val="center"/>
            </w:pPr>
            <w:r w:rsidRPr="00E7636B">
              <w:t>8%</w:t>
            </w:r>
          </w:p>
        </w:tc>
      </w:tr>
      <w:tr w:rsidR="00DC7153" w:rsidRPr="00E7636B">
        <w:trPr>
          <w:cantSplit/>
          <w:trHeight w:hRule="exact" w:val="280"/>
          <w:jc w:val="center"/>
        </w:trPr>
        <w:tc>
          <w:tcPr>
            <w:tcW w:w="5581" w:type="dxa"/>
            <w:tcBorders>
              <w:top w:val="single" w:sz="4" w:space="0" w:color="auto"/>
              <w:left w:val="single" w:sz="12" w:space="0" w:color="auto"/>
              <w:bottom w:val="single" w:sz="4" w:space="0" w:color="auto"/>
              <w:right w:val="single" w:sz="4" w:space="0" w:color="auto"/>
            </w:tcBorders>
          </w:tcPr>
          <w:p w:rsidR="00DC7153" w:rsidRPr="00D83C46" w:rsidRDefault="00DC7153" w:rsidP="00DC7153">
            <w:pPr>
              <w:spacing w:before="20" w:after="20"/>
              <w:ind w:left="60"/>
              <w:rPr>
                <w:color w:val="000000"/>
                <w:szCs w:val="24"/>
              </w:rPr>
            </w:pPr>
            <w:r w:rsidRPr="00D83C46">
              <w:rPr>
                <w:color w:val="000000"/>
                <w:szCs w:val="24"/>
              </w:rPr>
              <w:t>Death</w:t>
            </w:r>
          </w:p>
        </w:tc>
        <w:tc>
          <w:tcPr>
            <w:tcW w:w="1800" w:type="dxa"/>
            <w:tcBorders>
              <w:top w:val="single" w:sz="4" w:space="0" w:color="auto"/>
              <w:left w:val="single" w:sz="4" w:space="0" w:color="auto"/>
              <w:bottom w:val="single" w:sz="4" w:space="0" w:color="auto"/>
              <w:right w:val="single" w:sz="4" w:space="0" w:color="auto"/>
            </w:tcBorders>
          </w:tcPr>
          <w:p w:rsidR="00DC7153" w:rsidRPr="00E7636B" w:rsidRDefault="00DC7153" w:rsidP="00DC7153">
            <w:pPr>
              <w:spacing w:before="20" w:after="20"/>
              <w:jc w:val="center"/>
              <w:rPr>
                <w:color w:val="000000"/>
              </w:rPr>
            </w:pPr>
            <w:r w:rsidRPr="00E7636B">
              <w:rPr>
                <w:color w:val="000000"/>
              </w:rPr>
              <w:t>0%</w:t>
            </w:r>
          </w:p>
        </w:tc>
        <w:tc>
          <w:tcPr>
            <w:tcW w:w="1809" w:type="dxa"/>
            <w:tcBorders>
              <w:top w:val="single" w:sz="4" w:space="0" w:color="auto"/>
              <w:left w:val="single" w:sz="4" w:space="0" w:color="auto"/>
              <w:bottom w:val="single" w:sz="4" w:space="0" w:color="auto"/>
              <w:right w:val="single" w:sz="12" w:space="0" w:color="auto"/>
            </w:tcBorders>
          </w:tcPr>
          <w:p w:rsidR="00DC7153" w:rsidRPr="00E7636B" w:rsidRDefault="00DC7153" w:rsidP="00DC7153">
            <w:pPr>
              <w:spacing w:before="20" w:after="20"/>
              <w:jc w:val="center"/>
              <w:rPr>
                <w:color w:val="000000"/>
              </w:rPr>
            </w:pPr>
            <w:r w:rsidRPr="00E7636B">
              <w:rPr>
                <w:color w:val="000000"/>
              </w:rPr>
              <w:t>&lt;1%</w:t>
            </w:r>
          </w:p>
        </w:tc>
      </w:tr>
      <w:tr w:rsidR="00DC7153" w:rsidRPr="00E7636B">
        <w:trPr>
          <w:cantSplit/>
          <w:trHeight w:hRule="exact" w:val="280"/>
          <w:jc w:val="center"/>
        </w:trPr>
        <w:tc>
          <w:tcPr>
            <w:tcW w:w="5581" w:type="dxa"/>
            <w:tcBorders>
              <w:top w:val="single" w:sz="4" w:space="0" w:color="auto"/>
              <w:left w:val="single" w:sz="12" w:space="0" w:color="auto"/>
              <w:bottom w:val="single" w:sz="4" w:space="0" w:color="auto"/>
              <w:right w:val="single" w:sz="4" w:space="0" w:color="auto"/>
            </w:tcBorders>
          </w:tcPr>
          <w:p w:rsidR="00DC7153" w:rsidRPr="00D83C46" w:rsidRDefault="00DC7153" w:rsidP="00DC7153">
            <w:pPr>
              <w:spacing w:before="20" w:after="20"/>
              <w:ind w:left="60"/>
              <w:rPr>
                <w:strike/>
                <w:szCs w:val="24"/>
              </w:rPr>
            </w:pPr>
            <w:r w:rsidRPr="00D83C46">
              <w:rPr>
                <w:color w:val="000000"/>
                <w:szCs w:val="24"/>
              </w:rPr>
              <w:t>Study Discontinuation Due to Adverse Event</w:t>
            </w:r>
          </w:p>
        </w:tc>
        <w:tc>
          <w:tcPr>
            <w:tcW w:w="1800" w:type="dxa"/>
            <w:tcBorders>
              <w:top w:val="single" w:sz="4" w:space="0" w:color="auto"/>
              <w:left w:val="single" w:sz="4" w:space="0" w:color="auto"/>
              <w:bottom w:val="single" w:sz="4" w:space="0" w:color="auto"/>
              <w:right w:val="single" w:sz="4" w:space="0" w:color="auto"/>
            </w:tcBorders>
          </w:tcPr>
          <w:p w:rsidR="00DC7153" w:rsidRPr="00E7636B" w:rsidRDefault="00DC7153" w:rsidP="00DC7153">
            <w:pPr>
              <w:spacing w:before="20" w:after="20"/>
              <w:jc w:val="center"/>
            </w:pPr>
            <w:r w:rsidRPr="00E7636B">
              <w:t>4%</w:t>
            </w:r>
          </w:p>
        </w:tc>
        <w:tc>
          <w:tcPr>
            <w:tcW w:w="1809" w:type="dxa"/>
            <w:tcBorders>
              <w:top w:val="single" w:sz="4" w:space="0" w:color="auto"/>
              <w:left w:val="single" w:sz="4" w:space="0" w:color="auto"/>
              <w:bottom w:val="single" w:sz="4" w:space="0" w:color="auto"/>
              <w:right w:val="single" w:sz="12" w:space="0" w:color="auto"/>
            </w:tcBorders>
          </w:tcPr>
          <w:p w:rsidR="00DC7153" w:rsidRPr="00E7636B" w:rsidRDefault="00DC7153" w:rsidP="00DC7153">
            <w:pPr>
              <w:spacing w:before="20" w:after="20"/>
              <w:jc w:val="center"/>
            </w:pPr>
            <w:r w:rsidRPr="00E7636B">
              <w:t>0%</w:t>
            </w:r>
          </w:p>
        </w:tc>
      </w:tr>
      <w:tr w:rsidR="00DC7153" w:rsidRPr="00E7636B">
        <w:trPr>
          <w:cantSplit/>
          <w:trHeight w:hRule="exact" w:val="280"/>
          <w:jc w:val="center"/>
        </w:trPr>
        <w:tc>
          <w:tcPr>
            <w:tcW w:w="5581" w:type="dxa"/>
            <w:tcBorders>
              <w:top w:val="single" w:sz="4" w:space="0" w:color="auto"/>
              <w:left w:val="single" w:sz="12" w:space="0" w:color="auto"/>
              <w:bottom w:val="single" w:sz="12" w:space="0" w:color="auto"/>
              <w:right w:val="single" w:sz="4" w:space="0" w:color="auto"/>
            </w:tcBorders>
          </w:tcPr>
          <w:p w:rsidR="00DC7153" w:rsidRPr="00D83C46" w:rsidRDefault="00DC7153" w:rsidP="00DC7153">
            <w:pPr>
              <w:spacing w:before="20" w:after="20"/>
              <w:ind w:left="60"/>
              <w:rPr>
                <w:color w:val="000000"/>
                <w:szCs w:val="24"/>
              </w:rPr>
            </w:pPr>
            <w:r w:rsidRPr="00D83C46">
              <w:rPr>
                <w:color w:val="000000"/>
                <w:szCs w:val="24"/>
              </w:rPr>
              <w:t>Study Discontinuation For Other Reasons</w:t>
            </w:r>
            <w:r w:rsidRPr="00D83C46">
              <w:rPr>
                <w:color w:val="000000"/>
                <w:szCs w:val="24"/>
                <w:vertAlign w:val="superscript"/>
              </w:rPr>
              <w:t>3</w:t>
            </w:r>
            <w:r w:rsidRPr="00D83C46">
              <w:rPr>
                <w:color w:val="000000"/>
                <w:szCs w:val="24"/>
                <w:vertAlign w:val="superscript"/>
              </w:rPr>
              <w:br/>
            </w:r>
          </w:p>
        </w:tc>
        <w:tc>
          <w:tcPr>
            <w:tcW w:w="1800" w:type="dxa"/>
            <w:tcBorders>
              <w:top w:val="single" w:sz="4" w:space="0" w:color="auto"/>
              <w:left w:val="single" w:sz="4" w:space="0" w:color="auto"/>
              <w:bottom w:val="single" w:sz="12" w:space="0" w:color="auto"/>
              <w:right w:val="single" w:sz="4" w:space="0" w:color="auto"/>
            </w:tcBorders>
          </w:tcPr>
          <w:p w:rsidR="00DC7153" w:rsidRPr="00E7636B" w:rsidRDefault="00DC7153" w:rsidP="00DC7153">
            <w:pPr>
              <w:spacing w:before="20" w:after="20"/>
              <w:jc w:val="center"/>
              <w:rPr>
                <w:color w:val="000000"/>
              </w:rPr>
            </w:pPr>
            <w:r w:rsidRPr="00E7636B">
              <w:rPr>
                <w:color w:val="000000"/>
              </w:rPr>
              <w:t>12%</w:t>
            </w:r>
          </w:p>
        </w:tc>
        <w:tc>
          <w:tcPr>
            <w:tcW w:w="1809" w:type="dxa"/>
            <w:tcBorders>
              <w:top w:val="single" w:sz="4" w:space="0" w:color="auto"/>
              <w:left w:val="single" w:sz="4" w:space="0" w:color="auto"/>
              <w:bottom w:val="single" w:sz="12" w:space="0" w:color="auto"/>
              <w:right w:val="single" w:sz="12" w:space="0" w:color="auto"/>
            </w:tcBorders>
          </w:tcPr>
          <w:p w:rsidR="00DC7153" w:rsidRPr="00E7636B" w:rsidRDefault="00DC7153" w:rsidP="00DC7153">
            <w:pPr>
              <w:spacing w:before="20" w:after="20"/>
              <w:jc w:val="center"/>
              <w:rPr>
                <w:color w:val="000000"/>
              </w:rPr>
            </w:pPr>
            <w:r w:rsidRPr="00E7636B">
              <w:rPr>
                <w:color w:val="000000"/>
              </w:rPr>
              <w:t>10%</w:t>
            </w:r>
          </w:p>
        </w:tc>
      </w:tr>
      <w:tr w:rsidR="00DC7153" w:rsidRPr="00E7636B">
        <w:trPr>
          <w:cantSplit/>
          <w:trHeight w:val="80"/>
          <w:jc w:val="center"/>
        </w:trPr>
        <w:tc>
          <w:tcPr>
            <w:tcW w:w="9190" w:type="dxa"/>
            <w:gridSpan w:val="3"/>
            <w:tcBorders>
              <w:top w:val="single" w:sz="12" w:space="0" w:color="auto"/>
            </w:tcBorders>
          </w:tcPr>
          <w:p w:rsidR="00DC7153" w:rsidRPr="00D83C46" w:rsidRDefault="00DC7153" w:rsidP="00CD44FB">
            <w:pPr>
              <w:numPr>
                <w:ilvl w:val="0"/>
                <w:numId w:val="13"/>
              </w:numPr>
              <w:tabs>
                <w:tab w:val="clear" w:pos="447"/>
                <w:tab w:val="left" w:pos="335"/>
              </w:tabs>
              <w:spacing w:before="60"/>
              <w:ind w:left="329" w:hanging="329"/>
              <w:rPr>
                <w:color w:val="000000"/>
                <w:sz w:val="20"/>
              </w:rPr>
            </w:pPr>
            <w:r w:rsidRPr="00D83C46">
              <w:rPr>
                <w:color w:val="000000"/>
                <w:sz w:val="20"/>
              </w:rPr>
              <w:t>Patients achieved and maintained confirmed HIV RNA &lt;400 copies/mL (&lt;50 mL) through week 48.</w:t>
            </w:r>
          </w:p>
          <w:p w:rsidR="00DC7153" w:rsidRPr="00D83C46" w:rsidRDefault="00DC7153" w:rsidP="00CD44FB">
            <w:pPr>
              <w:numPr>
                <w:ilvl w:val="0"/>
                <w:numId w:val="13"/>
              </w:numPr>
              <w:tabs>
                <w:tab w:val="clear" w:pos="447"/>
                <w:tab w:val="left" w:pos="335"/>
              </w:tabs>
              <w:ind w:left="335" w:hanging="335"/>
              <w:rPr>
                <w:color w:val="000000"/>
                <w:sz w:val="20"/>
              </w:rPr>
            </w:pPr>
            <w:r w:rsidRPr="00D83C46">
              <w:rPr>
                <w:color w:val="000000"/>
                <w:sz w:val="20"/>
              </w:rPr>
              <w:t xml:space="preserve">Includes patients who failed to achieve </w:t>
            </w:r>
            <w:proofErr w:type="spellStart"/>
            <w:r w:rsidRPr="00D83C46">
              <w:rPr>
                <w:color w:val="000000"/>
                <w:sz w:val="20"/>
              </w:rPr>
              <w:t>virologic</w:t>
            </w:r>
            <w:proofErr w:type="spellEnd"/>
            <w:r w:rsidRPr="00D83C46">
              <w:rPr>
                <w:color w:val="000000"/>
                <w:sz w:val="20"/>
              </w:rPr>
              <w:t xml:space="preserve"> suppression or rebounded after achieving </w:t>
            </w:r>
            <w:proofErr w:type="spellStart"/>
            <w:r w:rsidRPr="00D83C46">
              <w:rPr>
                <w:color w:val="000000"/>
                <w:sz w:val="20"/>
              </w:rPr>
              <w:t>virologic</w:t>
            </w:r>
            <w:proofErr w:type="spellEnd"/>
            <w:r w:rsidRPr="00D83C46">
              <w:rPr>
                <w:color w:val="000000"/>
                <w:sz w:val="20"/>
              </w:rPr>
              <w:t xml:space="preserve"> suppression.</w:t>
            </w:r>
          </w:p>
          <w:p w:rsidR="00DC7153" w:rsidRPr="00E7636B" w:rsidRDefault="00DC7153" w:rsidP="00CD44FB">
            <w:pPr>
              <w:numPr>
                <w:ilvl w:val="0"/>
                <w:numId w:val="13"/>
              </w:numPr>
              <w:tabs>
                <w:tab w:val="clear" w:pos="447"/>
                <w:tab w:val="left" w:pos="335"/>
                <w:tab w:val="left" w:pos="418"/>
              </w:tabs>
              <w:ind w:left="335" w:hanging="335"/>
              <w:rPr>
                <w:color w:val="000000"/>
              </w:rPr>
            </w:pPr>
            <w:r w:rsidRPr="00D83C46">
              <w:rPr>
                <w:color w:val="000000"/>
                <w:sz w:val="20"/>
              </w:rPr>
              <w:t>Includes lost to follow-up, patient withdrawal, non-compliance, protocol violation and other reasons.</w:t>
            </w:r>
          </w:p>
        </w:tc>
      </w:tr>
    </w:tbl>
    <w:p w:rsidR="00DC7153" w:rsidRPr="0064484A" w:rsidRDefault="00DC7153" w:rsidP="00DC7153">
      <w:pPr>
        <w:rPr>
          <w:sz w:val="22"/>
          <w:szCs w:val="22"/>
        </w:rPr>
      </w:pPr>
    </w:p>
    <w:p w:rsidR="00DC7153" w:rsidRPr="00D407BD" w:rsidRDefault="00DC7153" w:rsidP="00DC7153">
      <w:pPr>
        <w:rPr>
          <w:szCs w:val="24"/>
        </w:rPr>
      </w:pPr>
      <w:r w:rsidRPr="00D407BD">
        <w:rPr>
          <w:szCs w:val="24"/>
        </w:rPr>
        <w:t xml:space="preserve">The mean increase from baseline in CD4 cell count was </w:t>
      </w:r>
      <w:proofErr w:type="gramStart"/>
      <w:r w:rsidRPr="00D407BD">
        <w:rPr>
          <w:szCs w:val="24"/>
        </w:rPr>
        <w:t>29 cells/mm</w:t>
      </w:r>
      <w:r w:rsidRPr="00D407BD">
        <w:rPr>
          <w:szCs w:val="24"/>
          <w:vertAlign w:val="superscript"/>
        </w:rPr>
        <w:t xml:space="preserve">3 </w:t>
      </w:r>
      <w:r w:rsidRPr="00D407BD">
        <w:rPr>
          <w:szCs w:val="24"/>
        </w:rPr>
        <w:t xml:space="preserve">for the </w:t>
      </w:r>
      <w:proofErr w:type="spellStart"/>
      <w:r w:rsidRPr="00D407BD">
        <w:rPr>
          <w:szCs w:val="24"/>
        </w:rPr>
        <w:t>emtricitabine</w:t>
      </w:r>
      <w:proofErr w:type="spellEnd"/>
      <w:r w:rsidRPr="00D407BD">
        <w:rPr>
          <w:szCs w:val="24"/>
        </w:rPr>
        <w:t xml:space="preserve"> arm</w:t>
      </w:r>
      <w:proofErr w:type="gramEnd"/>
      <w:r w:rsidRPr="00D407BD">
        <w:rPr>
          <w:szCs w:val="24"/>
        </w:rPr>
        <w:t xml:space="preserve"> and 61 cells/mm</w:t>
      </w:r>
      <w:r w:rsidRPr="00D407BD">
        <w:rPr>
          <w:szCs w:val="24"/>
          <w:vertAlign w:val="superscript"/>
        </w:rPr>
        <w:t>3</w:t>
      </w:r>
      <w:r w:rsidRPr="00D407BD">
        <w:rPr>
          <w:szCs w:val="24"/>
        </w:rPr>
        <w:t xml:space="preserve"> for the lamivudine arm.</w:t>
      </w:r>
    </w:p>
    <w:p w:rsidR="00DC7153" w:rsidRPr="00D83C46" w:rsidRDefault="00DC7153" w:rsidP="00DC7153">
      <w:pPr>
        <w:rPr>
          <w:szCs w:val="24"/>
        </w:rPr>
      </w:pPr>
    </w:p>
    <w:p w:rsidR="00DC7153" w:rsidRPr="00D83C46" w:rsidRDefault="00DC7153" w:rsidP="00DC7153">
      <w:pPr>
        <w:rPr>
          <w:b/>
          <w:i/>
          <w:szCs w:val="24"/>
          <w:u w:val="single"/>
        </w:rPr>
      </w:pPr>
      <w:r w:rsidRPr="00D83C46">
        <w:rPr>
          <w:b/>
          <w:i/>
          <w:szCs w:val="24"/>
          <w:u w:val="single"/>
        </w:rPr>
        <w:t>Treatment-Naïve Patients:</w:t>
      </w:r>
    </w:p>
    <w:p w:rsidR="00DC7153" w:rsidRPr="00D83C46" w:rsidRDefault="00DC7153" w:rsidP="00DC7153">
      <w:pPr>
        <w:rPr>
          <w:b/>
          <w:szCs w:val="24"/>
          <w:u w:val="single"/>
        </w:rPr>
      </w:pPr>
      <w:r w:rsidRPr="00D83C46">
        <w:rPr>
          <w:b/>
          <w:szCs w:val="24"/>
          <w:u w:val="single"/>
        </w:rPr>
        <w:t xml:space="preserve">Study 301A: </w:t>
      </w:r>
      <w:proofErr w:type="spellStart"/>
      <w:r w:rsidRPr="00D83C46">
        <w:rPr>
          <w:b/>
          <w:szCs w:val="24"/>
          <w:u w:val="single"/>
        </w:rPr>
        <w:t>Emtricitabine</w:t>
      </w:r>
      <w:proofErr w:type="spellEnd"/>
      <w:r w:rsidRPr="00D83C46">
        <w:rPr>
          <w:b/>
          <w:szCs w:val="24"/>
          <w:u w:val="single"/>
        </w:rPr>
        <w:t xml:space="preserve"> once daily + </w:t>
      </w:r>
      <w:proofErr w:type="spellStart"/>
      <w:r w:rsidRPr="00D83C46">
        <w:rPr>
          <w:b/>
          <w:szCs w:val="24"/>
          <w:u w:val="single"/>
        </w:rPr>
        <w:t>Didanosine</w:t>
      </w:r>
      <w:proofErr w:type="spellEnd"/>
      <w:r w:rsidRPr="00D83C46">
        <w:rPr>
          <w:b/>
          <w:szCs w:val="24"/>
          <w:u w:val="single"/>
        </w:rPr>
        <w:t xml:space="preserve"> once daily + </w:t>
      </w:r>
      <w:proofErr w:type="spellStart"/>
      <w:r w:rsidRPr="00D83C46">
        <w:rPr>
          <w:b/>
          <w:szCs w:val="24"/>
          <w:u w:val="single"/>
        </w:rPr>
        <w:t>Efavirenz</w:t>
      </w:r>
      <w:proofErr w:type="spellEnd"/>
      <w:r w:rsidRPr="00D83C46">
        <w:rPr>
          <w:b/>
          <w:szCs w:val="24"/>
          <w:u w:val="single"/>
        </w:rPr>
        <w:t xml:space="preserve"> once daily Compared to </w:t>
      </w:r>
      <w:proofErr w:type="spellStart"/>
      <w:r w:rsidRPr="00D83C46">
        <w:rPr>
          <w:b/>
          <w:szCs w:val="24"/>
          <w:u w:val="single"/>
        </w:rPr>
        <w:t>Stavudine</w:t>
      </w:r>
      <w:proofErr w:type="spellEnd"/>
      <w:r w:rsidRPr="00D83C46">
        <w:rPr>
          <w:b/>
          <w:szCs w:val="24"/>
          <w:u w:val="single"/>
        </w:rPr>
        <w:t xml:space="preserve"> twice daily + </w:t>
      </w:r>
      <w:proofErr w:type="spellStart"/>
      <w:r w:rsidRPr="00D83C46">
        <w:rPr>
          <w:b/>
          <w:szCs w:val="24"/>
          <w:u w:val="single"/>
        </w:rPr>
        <w:t>Didanosine</w:t>
      </w:r>
      <w:proofErr w:type="spellEnd"/>
      <w:r w:rsidRPr="00D83C46">
        <w:rPr>
          <w:b/>
          <w:szCs w:val="24"/>
          <w:u w:val="single"/>
        </w:rPr>
        <w:t xml:space="preserve"> once daily + </w:t>
      </w:r>
      <w:proofErr w:type="spellStart"/>
      <w:r w:rsidRPr="00D83C46">
        <w:rPr>
          <w:b/>
          <w:szCs w:val="24"/>
          <w:u w:val="single"/>
        </w:rPr>
        <w:t>Efavirenz</w:t>
      </w:r>
      <w:proofErr w:type="spellEnd"/>
      <w:r w:rsidRPr="00D83C46">
        <w:rPr>
          <w:b/>
          <w:szCs w:val="24"/>
          <w:u w:val="single"/>
        </w:rPr>
        <w:t xml:space="preserve"> once daily</w:t>
      </w:r>
    </w:p>
    <w:p w:rsidR="00DC7153" w:rsidRPr="00D407BD" w:rsidRDefault="00DC7153" w:rsidP="00DC7153">
      <w:pPr>
        <w:rPr>
          <w:b/>
          <w:szCs w:val="24"/>
          <w:u w:val="single"/>
        </w:rPr>
      </w:pPr>
    </w:p>
    <w:p w:rsidR="00DC7153" w:rsidRPr="00D407BD" w:rsidRDefault="00DC7153" w:rsidP="00DC7153">
      <w:pPr>
        <w:rPr>
          <w:szCs w:val="24"/>
        </w:rPr>
      </w:pPr>
      <w:r w:rsidRPr="00D407BD">
        <w:rPr>
          <w:szCs w:val="24"/>
        </w:rPr>
        <w:t xml:space="preserve">Study 301A was a 48 week double-blind, active-controlled </w:t>
      </w:r>
      <w:proofErr w:type="spellStart"/>
      <w:r w:rsidRPr="00D407BD">
        <w:rPr>
          <w:szCs w:val="24"/>
        </w:rPr>
        <w:t>multicentre</w:t>
      </w:r>
      <w:proofErr w:type="spellEnd"/>
      <w:r w:rsidRPr="00D407BD">
        <w:rPr>
          <w:szCs w:val="24"/>
        </w:rPr>
        <w:t xml:space="preserve"> study comparing </w:t>
      </w:r>
      <w:proofErr w:type="spellStart"/>
      <w:r w:rsidRPr="00D407BD">
        <w:rPr>
          <w:szCs w:val="24"/>
        </w:rPr>
        <w:t>emtricitabine</w:t>
      </w:r>
      <w:proofErr w:type="spellEnd"/>
      <w:r w:rsidRPr="00D407BD">
        <w:rPr>
          <w:szCs w:val="24"/>
        </w:rPr>
        <w:t xml:space="preserve"> (200 mg once daily) administered in combination with </w:t>
      </w:r>
      <w:proofErr w:type="spellStart"/>
      <w:r w:rsidRPr="00D407BD">
        <w:rPr>
          <w:szCs w:val="24"/>
        </w:rPr>
        <w:t>didanosine</w:t>
      </w:r>
      <w:proofErr w:type="spellEnd"/>
      <w:r w:rsidRPr="00D407BD">
        <w:rPr>
          <w:szCs w:val="24"/>
        </w:rPr>
        <w:t xml:space="preserve"> and </w:t>
      </w:r>
      <w:proofErr w:type="spellStart"/>
      <w:r w:rsidRPr="00D407BD">
        <w:rPr>
          <w:szCs w:val="24"/>
        </w:rPr>
        <w:t>efavirenz</w:t>
      </w:r>
      <w:proofErr w:type="spellEnd"/>
      <w:r w:rsidRPr="00D407BD">
        <w:rPr>
          <w:szCs w:val="24"/>
        </w:rPr>
        <w:t xml:space="preserve"> versus d4T, </w:t>
      </w:r>
      <w:proofErr w:type="spellStart"/>
      <w:r w:rsidRPr="00D407BD">
        <w:rPr>
          <w:szCs w:val="24"/>
        </w:rPr>
        <w:t>didanosine</w:t>
      </w:r>
      <w:proofErr w:type="spellEnd"/>
      <w:r w:rsidRPr="00D407BD">
        <w:rPr>
          <w:szCs w:val="24"/>
        </w:rPr>
        <w:t xml:space="preserve"> and </w:t>
      </w:r>
      <w:proofErr w:type="spellStart"/>
      <w:r w:rsidRPr="00D407BD">
        <w:rPr>
          <w:szCs w:val="24"/>
        </w:rPr>
        <w:t>efavirenz</w:t>
      </w:r>
      <w:proofErr w:type="spellEnd"/>
      <w:r w:rsidRPr="00D407BD">
        <w:rPr>
          <w:szCs w:val="24"/>
        </w:rPr>
        <w:t xml:space="preserve"> in 571 antiretroviral naïve patients.  Patients had a mean age of 36 years (range 18</w:t>
      </w:r>
      <w:r w:rsidRPr="00D407BD">
        <w:rPr>
          <w:szCs w:val="24"/>
        </w:rPr>
        <w:sym w:font="Symbol" w:char="F02D"/>
      </w:r>
      <w:r w:rsidRPr="00D407BD">
        <w:rPr>
          <w:szCs w:val="24"/>
        </w:rPr>
        <w:t>69), 85% were male, 52% Caucasian, 16% African-American and 26% Hispanic. Patients had a mean baseline CD4 cell count of 318 cells/mm</w:t>
      </w:r>
      <w:r w:rsidRPr="00D407BD">
        <w:rPr>
          <w:szCs w:val="24"/>
          <w:vertAlign w:val="superscript"/>
        </w:rPr>
        <w:t>3</w:t>
      </w:r>
      <w:r w:rsidRPr="00D407BD">
        <w:rPr>
          <w:szCs w:val="24"/>
        </w:rPr>
        <w:t xml:space="preserve"> (range 5</w:t>
      </w:r>
      <w:r w:rsidRPr="00D407BD">
        <w:rPr>
          <w:szCs w:val="24"/>
        </w:rPr>
        <w:sym w:font="Symbol" w:char="F02D"/>
      </w:r>
      <w:r w:rsidRPr="00D407BD">
        <w:rPr>
          <w:szCs w:val="24"/>
        </w:rPr>
        <w:t>1317) and a median baseline plasma HIV RNA of 4.9 log</w:t>
      </w:r>
      <w:r w:rsidRPr="00D407BD">
        <w:rPr>
          <w:szCs w:val="24"/>
          <w:vertAlign w:val="subscript"/>
        </w:rPr>
        <w:t>10</w:t>
      </w:r>
      <w:r w:rsidRPr="00D407BD">
        <w:rPr>
          <w:szCs w:val="24"/>
        </w:rPr>
        <w:t xml:space="preserve"> copies/mL (range 2.6</w:t>
      </w:r>
      <w:r w:rsidRPr="00D407BD">
        <w:rPr>
          <w:szCs w:val="24"/>
        </w:rPr>
        <w:sym w:font="Symbol" w:char="F02D"/>
      </w:r>
      <w:r w:rsidRPr="00D407BD">
        <w:rPr>
          <w:szCs w:val="24"/>
        </w:rPr>
        <w:t>7.0).  Thirty-eight percent of patients had baseline viral loads &gt;100,000 copies/mL and 31% had CD4 cell counts &lt;200 cells/</w:t>
      </w:r>
      <w:proofErr w:type="spellStart"/>
      <w:r w:rsidRPr="00D407BD">
        <w:rPr>
          <w:szCs w:val="24"/>
        </w:rPr>
        <w:t>mL.</w:t>
      </w:r>
      <w:proofErr w:type="spellEnd"/>
      <w:r w:rsidRPr="00D407BD">
        <w:rPr>
          <w:szCs w:val="24"/>
        </w:rPr>
        <w:t xml:space="preserve">  Treatment outcomes through 48 weeks are presented in</w:t>
      </w:r>
      <w:r w:rsidR="00DA5725" w:rsidRPr="00D407BD">
        <w:rPr>
          <w:szCs w:val="24"/>
        </w:rPr>
        <w:t xml:space="preserve"> Table 9</w:t>
      </w:r>
      <w:r w:rsidRPr="00D407BD">
        <w:rPr>
          <w:szCs w:val="24"/>
        </w:rPr>
        <w:t>.</w:t>
      </w:r>
    </w:p>
    <w:p w:rsidR="00DC7153" w:rsidRPr="0064484A" w:rsidRDefault="00DC7153" w:rsidP="00DC7153">
      <w:pPr>
        <w:rPr>
          <w:sz w:val="22"/>
          <w:szCs w:val="22"/>
        </w:rPr>
      </w:pPr>
    </w:p>
    <w:p w:rsidR="00BD577A" w:rsidRDefault="00BD577A" w:rsidP="001A47BA">
      <w:pPr>
        <w:pStyle w:val="Caption"/>
        <w:sectPr w:rsidR="00BD577A" w:rsidSect="00F14E84">
          <w:pgSz w:w="12240" w:h="15840" w:code="1"/>
          <w:pgMar w:top="1134" w:right="1418" w:bottom="1418" w:left="1418" w:header="720" w:footer="720" w:gutter="0"/>
          <w:cols w:space="720"/>
          <w:noEndnote/>
        </w:sectPr>
      </w:pPr>
      <w:bookmarkStart w:id="11" w:name="_Ref159392150"/>
    </w:p>
    <w:p w:rsidR="00DC7153" w:rsidRPr="0064484A" w:rsidRDefault="003E7EC5" w:rsidP="001A47BA">
      <w:pPr>
        <w:pStyle w:val="Caption"/>
      </w:pPr>
      <w:proofErr w:type="gramStart"/>
      <w:r>
        <w:lastRenderedPageBreak/>
        <w:t xml:space="preserve">Table </w:t>
      </w:r>
      <w:r>
        <w:fldChar w:fldCharType="begin"/>
      </w:r>
      <w:r>
        <w:instrText xml:space="preserve"> SEQ Table \* ARABIC </w:instrText>
      </w:r>
      <w:r>
        <w:fldChar w:fldCharType="separate"/>
      </w:r>
      <w:r w:rsidR="00440D32">
        <w:rPr>
          <w:noProof/>
        </w:rPr>
        <w:t>9</w:t>
      </w:r>
      <w:r>
        <w:fldChar w:fldCharType="end"/>
      </w:r>
      <w:bookmarkEnd w:id="11"/>
      <w:r w:rsidR="00DC7153" w:rsidRPr="0064484A">
        <w:t>.</w:t>
      </w:r>
      <w:proofErr w:type="gramEnd"/>
      <w:r>
        <w:tab/>
      </w:r>
      <w:r w:rsidR="00DC7153" w:rsidRPr="0064484A">
        <w:t xml:space="preserve">Outcomes of </w:t>
      </w:r>
      <w:proofErr w:type="spellStart"/>
      <w:r w:rsidR="00DC7153" w:rsidRPr="0064484A">
        <w:t>randomised</w:t>
      </w:r>
      <w:proofErr w:type="spellEnd"/>
      <w:r w:rsidR="00DC7153" w:rsidRPr="0064484A">
        <w:t xml:space="preserve"> treatment at week 48 (Study 301A)</w:t>
      </w:r>
    </w:p>
    <w:tbl>
      <w:tblPr>
        <w:tblW w:w="0" w:type="auto"/>
        <w:jc w:val="center"/>
        <w:tblInd w:w="-1383" w:type="dxa"/>
        <w:tblLayout w:type="fixed"/>
        <w:tblCellMar>
          <w:left w:w="30" w:type="dxa"/>
          <w:right w:w="30" w:type="dxa"/>
        </w:tblCellMar>
        <w:tblLook w:val="0000" w:firstRow="0" w:lastRow="0" w:firstColumn="0" w:lastColumn="0" w:noHBand="0" w:noVBand="0"/>
      </w:tblPr>
      <w:tblGrid>
        <w:gridCol w:w="5467"/>
        <w:gridCol w:w="1792"/>
        <w:gridCol w:w="2121"/>
      </w:tblGrid>
      <w:tr w:rsidR="00DC7153" w:rsidRPr="00E7636B">
        <w:trPr>
          <w:cantSplit/>
          <w:trHeight w:val="434"/>
          <w:jc w:val="center"/>
        </w:trPr>
        <w:tc>
          <w:tcPr>
            <w:tcW w:w="5467" w:type="dxa"/>
            <w:tcBorders>
              <w:top w:val="single" w:sz="12" w:space="0" w:color="auto"/>
              <w:left w:val="single" w:sz="12" w:space="0" w:color="auto"/>
              <w:bottom w:val="single" w:sz="12" w:space="0" w:color="auto"/>
              <w:right w:val="single" w:sz="4" w:space="0" w:color="auto"/>
            </w:tcBorders>
            <w:shd w:val="clear" w:color="auto" w:fill="auto"/>
            <w:vAlign w:val="center"/>
          </w:tcPr>
          <w:p w:rsidR="00DC7153" w:rsidRPr="00E7636B" w:rsidRDefault="00DC7153" w:rsidP="00DC7153">
            <w:pPr>
              <w:spacing w:before="20" w:after="20"/>
              <w:ind w:left="-6" w:firstLine="6"/>
              <w:rPr>
                <w:b/>
                <w:color w:val="000000"/>
              </w:rPr>
            </w:pPr>
            <w:r w:rsidRPr="00E7636B">
              <w:rPr>
                <w:b/>
                <w:color w:val="000000"/>
              </w:rPr>
              <w:t>Outcome at Week 48</w:t>
            </w:r>
          </w:p>
        </w:tc>
        <w:tc>
          <w:tcPr>
            <w:tcW w:w="1792" w:type="dxa"/>
            <w:tcBorders>
              <w:top w:val="single" w:sz="12" w:space="0" w:color="auto"/>
              <w:left w:val="single" w:sz="4" w:space="0" w:color="auto"/>
              <w:bottom w:val="single" w:sz="12" w:space="0" w:color="auto"/>
              <w:right w:val="single" w:sz="4" w:space="0" w:color="auto"/>
            </w:tcBorders>
            <w:shd w:val="clear" w:color="auto" w:fill="auto"/>
          </w:tcPr>
          <w:p w:rsidR="00DC7153" w:rsidRPr="00E7636B" w:rsidRDefault="00DC7153" w:rsidP="00DC7153">
            <w:pPr>
              <w:spacing w:before="20" w:after="20"/>
              <w:jc w:val="center"/>
              <w:rPr>
                <w:b/>
              </w:rPr>
            </w:pPr>
            <w:r w:rsidRPr="00E7636B">
              <w:rPr>
                <w:b/>
              </w:rPr>
              <w:t>EMTRIVA +</w:t>
            </w:r>
            <w:r w:rsidRPr="00E7636B">
              <w:rPr>
                <w:b/>
              </w:rPr>
              <w:br/>
            </w:r>
            <w:proofErr w:type="spellStart"/>
            <w:r w:rsidRPr="00E7636B">
              <w:rPr>
                <w:b/>
              </w:rPr>
              <w:t>Didanosine</w:t>
            </w:r>
            <w:proofErr w:type="spellEnd"/>
            <w:r w:rsidRPr="00E7636B">
              <w:rPr>
                <w:b/>
              </w:rPr>
              <w:t xml:space="preserve"> +</w:t>
            </w:r>
            <w:r w:rsidRPr="00E7636B">
              <w:rPr>
                <w:b/>
              </w:rPr>
              <w:br/>
            </w:r>
            <w:proofErr w:type="spellStart"/>
            <w:r w:rsidRPr="00E7636B">
              <w:rPr>
                <w:b/>
              </w:rPr>
              <w:t>Efavirenz</w:t>
            </w:r>
            <w:proofErr w:type="spellEnd"/>
          </w:p>
          <w:p w:rsidR="00DC7153" w:rsidRPr="00E7636B" w:rsidRDefault="00DC7153" w:rsidP="00DC7153">
            <w:pPr>
              <w:spacing w:before="20" w:after="20"/>
              <w:jc w:val="center"/>
              <w:rPr>
                <w:b/>
              </w:rPr>
            </w:pPr>
            <w:r w:rsidRPr="00E7636B">
              <w:rPr>
                <w:b/>
              </w:rPr>
              <w:t>(N=286)</w:t>
            </w:r>
          </w:p>
        </w:tc>
        <w:tc>
          <w:tcPr>
            <w:tcW w:w="2121" w:type="dxa"/>
            <w:tcBorders>
              <w:top w:val="single" w:sz="12" w:space="0" w:color="auto"/>
              <w:left w:val="single" w:sz="4" w:space="0" w:color="auto"/>
              <w:bottom w:val="single" w:sz="12" w:space="0" w:color="auto"/>
              <w:right w:val="single" w:sz="12" w:space="0" w:color="auto"/>
            </w:tcBorders>
            <w:shd w:val="clear" w:color="auto" w:fill="auto"/>
          </w:tcPr>
          <w:p w:rsidR="00DC7153" w:rsidRPr="00E7636B" w:rsidRDefault="00DC7153" w:rsidP="00DC7153">
            <w:pPr>
              <w:spacing w:before="20" w:after="20"/>
              <w:jc w:val="center"/>
              <w:rPr>
                <w:b/>
              </w:rPr>
            </w:pPr>
            <w:r>
              <w:rPr>
                <w:b/>
              </w:rPr>
              <w:t>d4T</w:t>
            </w:r>
            <w:r w:rsidRPr="00E7636B">
              <w:rPr>
                <w:b/>
              </w:rPr>
              <w:t xml:space="preserve"> +</w:t>
            </w:r>
            <w:r w:rsidRPr="00E7636B">
              <w:rPr>
                <w:b/>
              </w:rPr>
              <w:br/>
            </w:r>
            <w:proofErr w:type="spellStart"/>
            <w:r w:rsidRPr="00E7636B">
              <w:rPr>
                <w:b/>
              </w:rPr>
              <w:t>Didanosine</w:t>
            </w:r>
            <w:proofErr w:type="spellEnd"/>
            <w:r w:rsidRPr="00E7636B">
              <w:rPr>
                <w:b/>
              </w:rPr>
              <w:t xml:space="preserve"> +</w:t>
            </w:r>
            <w:r w:rsidRPr="00E7636B">
              <w:rPr>
                <w:b/>
              </w:rPr>
              <w:br/>
            </w:r>
            <w:proofErr w:type="spellStart"/>
            <w:r w:rsidRPr="00E7636B">
              <w:rPr>
                <w:b/>
              </w:rPr>
              <w:t>Efavirenz</w:t>
            </w:r>
            <w:proofErr w:type="spellEnd"/>
          </w:p>
          <w:p w:rsidR="00DC7153" w:rsidRPr="00E7636B" w:rsidRDefault="00DC7153" w:rsidP="00DC7153">
            <w:pPr>
              <w:spacing w:before="20" w:after="20"/>
              <w:jc w:val="center"/>
              <w:rPr>
                <w:b/>
              </w:rPr>
            </w:pPr>
            <w:r w:rsidRPr="00E7636B">
              <w:rPr>
                <w:b/>
              </w:rPr>
              <w:t>(N=285)</w:t>
            </w:r>
          </w:p>
        </w:tc>
      </w:tr>
      <w:tr w:rsidR="00DC7153" w:rsidRPr="00E7636B">
        <w:trPr>
          <w:cantSplit/>
          <w:trHeight w:val="251"/>
          <w:jc w:val="center"/>
        </w:trPr>
        <w:tc>
          <w:tcPr>
            <w:tcW w:w="5467" w:type="dxa"/>
            <w:tcBorders>
              <w:top w:val="single" w:sz="12" w:space="0" w:color="auto"/>
              <w:left w:val="single" w:sz="12" w:space="0" w:color="auto"/>
              <w:bottom w:val="single" w:sz="4" w:space="0" w:color="auto"/>
              <w:right w:val="single" w:sz="4" w:space="0" w:color="auto"/>
            </w:tcBorders>
          </w:tcPr>
          <w:p w:rsidR="00DC7153" w:rsidRPr="00D83C46" w:rsidRDefault="00DC7153" w:rsidP="00DC7153">
            <w:pPr>
              <w:spacing w:before="20" w:after="20"/>
              <w:ind w:left="96"/>
              <w:rPr>
                <w:szCs w:val="24"/>
              </w:rPr>
            </w:pPr>
            <w:r w:rsidRPr="00D83C46">
              <w:rPr>
                <w:szCs w:val="24"/>
              </w:rPr>
              <w:t>Responder</w:t>
            </w:r>
            <w:r w:rsidRPr="00D83C46">
              <w:rPr>
                <w:szCs w:val="24"/>
                <w:vertAlign w:val="superscript"/>
              </w:rPr>
              <w:t>1</w:t>
            </w:r>
          </w:p>
        </w:tc>
        <w:tc>
          <w:tcPr>
            <w:tcW w:w="1792" w:type="dxa"/>
            <w:tcBorders>
              <w:top w:val="single" w:sz="12" w:space="0" w:color="auto"/>
              <w:left w:val="single" w:sz="4" w:space="0" w:color="auto"/>
              <w:bottom w:val="single" w:sz="4" w:space="0" w:color="auto"/>
              <w:right w:val="single" w:sz="4" w:space="0" w:color="auto"/>
            </w:tcBorders>
          </w:tcPr>
          <w:p w:rsidR="00DC7153" w:rsidRPr="00E7636B" w:rsidRDefault="00DC7153" w:rsidP="00DC7153">
            <w:pPr>
              <w:spacing w:before="20" w:after="20"/>
              <w:ind w:left="60"/>
              <w:jc w:val="center"/>
            </w:pPr>
            <w:r w:rsidRPr="00E7636B">
              <w:t>81% (78%)</w:t>
            </w:r>
          </w:p>
        </w:tc>
        <w:tc>
          <w:tcPr>
            <w:tcW w:w="2121" w:type="dxa"/>
            <w:tcBorders>
              <w:top w:val="single" w:sz="12" w:space="0" w:color="auto"/>
              <w:left w:val="single" w:sz="4" w:space="0" w:color="auto"/>
              <w:bottom w:val="single" w:sz="4" w:space="0" w:color="auto"/>
              <w:right w:val="single" w:sz="12" w:space="0" w:color="auto"/>
            </w:tcBorders>
          </w:tcPr>
          <w:p w:rsidR="00DC7153" w:rsidRPr="00E7636B" w:rsidRDefault="00DC7153" w:rsidP="00DC7153">
            <w:pPr>
              <w:spacing w:before="20" w:after="20"/>
              <w:ind w:left="60"/>
              <w:jc w:val="center"/>
            </w:pPr>
            <w:r w:rsidRPr="00E7636B">
              <w:t>68% (59%)</w:t>
            </w:r>
          </w:p>
        </w:tc>
      </w:tr>
      <w:tr w:rsidR="00DC7153" w:rsidRPr="00E7636B">
        <w:trPr>
          <w:cantSplit/>
          <w:trHeight w:val="80"/>
          <w:jc w:val="center"/>
        </w:trPr>
        <w:tc>
          <w:tcPr>
            <w:tcW w:w="5467" w:type="dxa"/>
            <w:tcBorders>
              <w:top w:val="single" w:sz="4" w:space="0" w:color="auto"/>
              <w:left w:val="single" w:sz="12" w:space="0" w:color="auto"/>
              <w:bottom w:val="single" w:sz="4" w:space="0" w:color="auto"/>
              <w:right w:val="single" w:sz="4" w:space="0" w:color="auto"/>
            </w:tcBorders>
          </w:tcPr>
          <w:p w:rsidR="00DC7153" w:rsidRPr="00D83C46" w:rsidRDefault="00DC7153" w:rsidP="00DC7153">
            <w:pPr>
              <w:spacing w:before="20" w:after="20"/>
              <w:ind w:left="96"/>
              <w:rPr>
                <w:szCs w:val="24"/>
                <w:vertAlign w:val="superscript"/>
              </w:rPr>
            </w:pPr>
            <w:proofErr w:type="spellStart"/>
            <w:r w:rsidRPr="00D83C46">
              <w:rPr>
                <w:szCs w:val="24"/>
              </w:rPr>
              <w:t>Virologic</w:t>
            </w:r>
            <w:proofErr w:type="spellEnd"/>
            <w:r w:rsidRPr="00D83C46">
              <w:rPr>
                <w:szCs w:val="24"/>
              </w:rPr>
              <w:t xml:space="preserve"> Failure</w:t>
            </w:r>
            <w:r w:rsidRPr="00D83C46">
              <w:rPr>
                <w:szCs w:val="24"/>
                <w:vertAlign w:val="superscript"/>
              </w:rPr>
              <w:t>2</w:t>
            </w:r>
          </w:p>
        </w:tc>
        <w:tc>
          <w:tcPr>
            <w:tcW w:w="1792" w:type="dxa"/>
            <w:tcBorders>
              <w:top w:val="single" w:sz="4" w:space="0" w:color="auto"/>
              <w:left w:val="single" w:sz="4" w:space="0" w:color="auto"/>
              <w:bottom w:val="single" w:sz="4" w:space="0" w:color="auto"/>
              <w:right w:val="single" w:sz="4" w:space="0" w:color="auto"/>
            </w:tcBorders>
          </w:tcPr>
          <w:p w:rsidR="00DC7153" w:rsidRPr="00E7636B" w:rsidRDefault="00DC7153" w:rsidP="00DC7153">
            <w:pPr>
              <w:spacing w:before="20" w:after="20"/>
              <w:ind w:left="60"/>
              <w:jc w:val="center"/>
            </w:pPr>
            <w:r w:rsidRPr="00E7636B">
              <w:t>3%</w:t>
            </w:r>
          </w:p>
        </w:tc>
        <w:tc>
          <w:tcPr>
            <w:tcW w:w="2121" w:type="dxa"/>
            <w:tcBorders>
              <w:top w:val="single" w:sz="4" w:space="0" w:color="auto"/>
              <w:left w:val="single" w:sz="4" w:space="0" w:color="auto"/>
              <w:bottom w:val="single" w:sz="4" w:space="0" w:color="auto"/>
              <w:right w:val="single" w:sz="12" w:space="0" w:color="auto"/>
            </w:tcBorders>
          </w:tcPr>
          <w:p w:rsidR="00DC7153" w:rsidRPr="00E7636B" w:rsidRDefault="00DC7153" w:rsidP="00DC7153">
            <w:pPr>
              <w:spacing w:before="20" w:after="20"/>
              <w:ind w:left="60"/>
              <w:jc w:val="center"/>
            </w:pPr>
            <w:r w:rsidRPr="00E7636B">
              <w:t>11%</w:t>
            </w:r>
          </w:p>
        </w:tc>
      </w:tr>
      <w:tr w:rsidR="00DC7153" w:rsidRPr="00E7636B">
        <w:trPr>
          <w:cantSplit/>
          <w:trHeight w:val="296"/>
          <w:jc w:val="center"/>
        </w:trPr>
        <w:tc>
          <w:tcPr>
            <w:tcW w:w="5467" w:type="dxa"/>
            <w:tcBorders>
              <w:top w:val="single" w:sz="4" w:space="0" w:color="auto"/>
              <w:left w:val="single" w:sz="12" w:space="0" w:color="auto"/>
              <w:bottom w:val="single" w:sz="4" w:space="0" w:color="auto"/>
              <w:right w:val="single" w:sz="4" w:space="0" w:color="auto"/>
            </w:tcBorders>
          </w:tcPr>
          <w:p w:rsidR="00DC7153" w:rsidRPr="00D83C46" w:rsidRDefault="00DC7153" w:rsidP="00DC7153">
            <w:pPr>
              <w:pStyle w:val="BalloonText"/>
              <w:spacing w:before="20" w:after="20"/>
              <w:ind w:left="96"/>
              <w:rPr>
                <w:rFonts w:ascii="Times New Roman" w:hAnsi="Times New Roman" w:cs="Times New Roman"/>
                <w:sz w:val="24"/>
                <w:szCs w:val="24"/>
              </w:rPr>
            </w:pPr>
            <w:r w:rsidRPr="00D83C46">
              <w:rPr>
                <w:rFonts w:ascii="Times New Roman" w:hAnsi="Times New Roman" w:cs="Times New Roman"/>
                <w:sz w:val="24"/>
                <w:szCs w:val="24"/>
              </w:rPr>
              <w:t>Death</w:t>
            </w:r>
          </w:p>
        </w:tc>
        <w:tc>
          <w:tcPr>
            <w:tcW w:w="1792" w:type="dxa"/>
            <w:tcBorders>
              <w:top w:val="single" w:sz="4" w:space="0" w:color="auto"/>
              <w:left w:val="single" w:sz="4" w:space="0" w:color="auto"/>
              <w:bottom w:val="single" w:sz="4" w:space="0" w:color="auto"/>
              <w:right w:val="single" w:sz="4" w:space="0" w:color="auto"/>
            </w:tcBorders>
          </w:tcPr>
          <w:p w:rsidR="00DC7153" w:rsidRPr="00E7636B" w:rsidRDefault="00DC7153" w:rsidP="00DC7153">
            <w:pPr>
              <w:spacing w:before="20" w:after="20"/>
              <w:ind w:left="60"/>
              <w:jc w:val="center"/>
            </w:pPr>
            <w:r w:rsidRPr="00E7636B">
              <w:t>0%</w:t>
            </w:r>
          </w:p>
        </w:tc>
        <w:tc>
          <w:tcPr>
            <w:tcW w:w="2121" w:type="dxa"/>
            <w:tcBorders>
              <w:top w:val="single" w:sz="4" w:space="0" w:color="auto"/>
              <w:left w:val="single" w:sz="4" w:space="0" w:color="auto"/>
              <w:bottom w:val="single" w:sz="4" w:space="0" w:color="auto"/>
              <w:right w:val="single" w:sz="12" w:space="0" w:color="auto"/>
            </w:tcBorders>
          </w:tcPr>
          <w:p w:rsidR="00DC7153" w:rsidRPr="00E7636B" w:rsidRDefault="00DC7153" w:rsidP="00DC7153">
            <w:pPr>
              <w:spacing w:before="20" w:after="20"/>
              <w:ind w:left="60"/>
              <w:jc w:val="center"/>
            </w:pPr>
            <w:r w:rsidRPr="00E7636B">
              <w:t>&lt;1%</w:t>
            </w:r>
          </w:p>
        </w:tc>
      </w:tr>
      <w:tr w:rsidR="00DC7153" w:rsidRPr="00E7636B">
        <w:trPr>
          <w:cantSplit/>
          <w:trHeight w:val="296"/>
          <w:jc w:val="center"/>
        </w:trPr>
        <w:tc>
          <w:tcPr>
            <w:tcW w:w="5467" w:type="dxa"/>
            <w:tcBorders>
              <w:top w:val="single" w:sz="4" w:space="0" w:color="auto"/>
              <w:left w:val="single" w:sz="12" w:space="0" w:color="auto"/>
              <w:bottom w:val="single" w:sz="4" w:space="0" w:color="auto"/>
              <w:right w:val="single" w:sz="4" w:space="0" w:color="auto"/>
            </w:tcBorders>
          </w:tcPr>
          <w:p w:rsidR="00DC7153" w:rsidRPr="00D83C46" w:rsidRDefault="00DC7153" w:rsidP="00DC7153">
            <w:pPr>
              <w:spacing w:before="20" w:after="20"/>
              <w:ind w:left="96"/>
              <w:rPr>
                <w:szCs w:val="24"/>
              </w:rPr>
            </w:pPr>
            <w:r w:rsidRPr="00D83C46">
              <w:rPr>
                <w:szCs w:val="24"/>
              </w:rPr>
              <w:t>Study Discontinuation Due to Adverse Event</w:t>
            </w:r>
          </w:p>
        </w:tc>
        <w:tc>
          <w:tcPr>
            <w:tcW w:w="1792" w:type="dxa"/>
            <w:tcBorders>
              <w:top w:val="single" w:sz="4" w:space="0" w:color="auto"/>
              <w:left w:val="single" w:sz="4" w:space="0" w:color="auto"/>
              <w:bottom w:val="single" w:sz="4" w:space="0" w:color="auto"/>
              <w:right w:val="single" w:sz="4" w:space="0" w:color="auto"/>
            </w:tcBorders>
          </w:tcPr>
          <w:p w:rsidR="00DC7153" w:rsidRPr="00E7636B" w:rsidRDefault="00DC7153" w:rsidP="00DC7153">
            <w:pPr>
              <w:spacing w:before="20" w:after="20"/>
              <w:jc w:val="center"/>
            </w:pPr>
            <w:r w:rsidRPr="00E7636B">
              <w:t>7%</w:t>
            </w:r>
          </w:p>
        </w:tc>
        <w:tc>
          <w:tcPr>
            <w:tcW w:w="2121" w:type="dxa"/>
            <w:tcBorders>
              <w:top w:val="single" w:sz="4" w:space="0" w:color="auto"/>
              <w:left w:val="single" w:sz="4" w:space="0" w:color="auto"/>
              <w:bottom w:val="single" w:sz="4" w:space="0" w:color="auto"/>
              <w:right w:val="single" w:sz="12" w:space="0" w:color="auto"/>
            </w:tcBorders>
          </w:tcPr>
          <w:p w:rsidR="00DC7153" w:rsidRPr="00E7636B" w:rsidRDefault="00DC7153" w:rsidP="00DC7153">
            <w:pPr>
              <w:spacing w:before="20" w:after="20"/>
              <w:jc w:val="center"/>
            </w:pPr>
            <w:r w:rsidRPr="00E7636B">
              <w:t>13%</w:t>
            </w:r>
          </w:p>
        </w:tc>
      </w:tr>
      <w:tr w:rsidR="00DC7153" w:rsidRPr="00E7636B">
        <w:trPr>
          <w:cantSplit/>
          <w:trHeight w:val="80"/>
          <w:jc w:val="center"/>
        </w:trPr>
        <w:tc>
          <w:tcPr>
            <w:tcW w:w="5467" w:type="dxa"/>
            <w:tcBorders>
              <w:top w:val="single" w:sz="4" w:space="0" w:color="auto"/>
              <w:left w:val="single" w:sz="12" w:space="0" w:color="auto"/>
              <w:bottom w:val="single" w:sz="12" w:space="0" w:color="auto"/>
              <w:right w:val="single" w:sz="4" w:space="0" w:color="auto"/>
            </w:tcBorders>
          </w:tcPr>
          <w:p w:rsidR="00DC7153" w:rsidRPr="00D83C46" w:rsidRDefault="00DC7153" w:rsidP="00DC7153">
            <w:pPr>
              <w:spacing w:before="20" w:after="20"/>
              <w:ind w:left="96"/>
              <w:rPr>
                <w:color w:val="000000"/>
                <w:szCs w:val="24"/>
              </w:rPr>
            </w:pPr>
            <w:r w:rsidRPr="00D83C46">
              <w:rPr>
                <w:color w:val="000000"/>
                <w:szCs w:val="24"/>
              </w:rPr>
              <w:t>Study Discontinuation For Other Reasons</w:t>
            </w:r>
            <w:r w:rsidRPr="00D83C46">
              <w:rPr>
                <w:szCs w:val="24"/>
                <w:vertAlign w:val="superscript"/>
              </w:rPr>
              <w:t>3</w:t>
            </w:r>
          </w:p>
        </w:tc>
        <w:tc>
          <w:tcPr>
            <w:tcW w:w="1792" w:type="dxa"/>
            <w:tcBorders>
              <w:top w:val="single" w:sz="4" w:space="0" w:color="auto"/>
              <w:left w:val="single" w:sz="4" w:space="0" w:color="auto"/>
              <w:bottom w:val="single" w:sz="12" w:space="0" w:color="auto"/>
              <w:right w:val="single" w:sz="4" w:space="0" w:color="auto"/>
            </w:tcBorders>
          </w:tcPr>
          <w:p w:rsidR="00DC7153" w:rsidRPr="00E7636B" w:rsidRDefault="00DC7153" w:rsidP="00DC7153">
            <w:pPr>
              <w:spacing w:before="20" w:after="20"/>
              <w:jc w:val="center"/>
              <w:rPr>
                <w:color w:val="000000"/>
              </w:rPr>
            </w:pPr>
            <w:r w:rsidRPr="00E7636B">
              <w:rPr>
                <w:color w:val="000000"/>
              </w:rPr>
              <w:t>9%</w:t>
            </w:r>
          </w:p>
        </w:tc>
        <w:tc>
          <w:tcPr>
            <w:tcW w:w="2121" w:type="dxa"/>
            <w:tcBorders>
              <w:top w:val="single" w:sz="4" w:space="0" w:color="auto"/>
              <w:left w:val="single" w:sz="4" w:space="0" w:color="auto"/>
              <w:bottom w:val="single" w:sz="12" w:space="0" w:color="auto"/>
              <w:right w:val="single" w:sz="12" w:space="0" w:color="auto"/>
            </w:tcBorders>
          </w:tcPr>
          <w:p w:rsidR="00DC7153" w:rsidRPr="00E7636B" w:rsidRDefault="00DC7153" w:rsidP="00DC7153">
            <w:pPr>
              <w:spacing w:before="20" w:after="20"/>
              <w:jc w:val="center"/>
              <w:rPr>
                <w:color w:val="000000"/>
              </w:rPr>
            </w:pPr>
            <w:r w:rsidRPr="00E7636B">
              <w:rPr>
                <w:color w:val="000000"/>
              </w:rPr>
              <w:t>8%</w:t>
            </w:r>
          </w:p>
        </w:tc>
      </w:tr>
      <w:tr w:rsidR="00DC7153" w:rsidRPr="00E7636B">
        <w:trPr>
          <w:cantSplit/>
          <w:trHeight w:val="80"/>
          <w:jc w:val="center"/>
        </w:trPr>
        <w:tc>
          <w:tcPr>
            <w:tcW w:w="9380" w:type="dxa"/>
            <w:gridSpan w:val="3"/>
            <w:tcBorders>
              <w:top w:val="single" w:sz="12" w:space="0" w:color="auto"/>
            </w:tcBorders>
          </w:tcPr>
          <w:p w:rsidR="00DC7153" w:rsidRPr="00D83C46" w:rsidRDefault="00DC7153" w:rsidP="00CD44FB">
            <w:pPr>
              <w:numPr>
                <w:ilvl w:val="0"/>
                <w:numId w:val="12"/>
              </w:numPr>
              <w:tabs>
                <w:tab w:val="left" w:pos="384"/>
              </w:tabs>
              <w:spacing w:before="60"/>
              <w:ind w:left="418" w:right="-75"/>
              <w:rPr>
                <w:color w:val="000000"/>
                <w:sz w:val="20"/>
              </w:rPr>
            </w:pPr>
            <w:r w:rsidRPr="00D83C46">
              <w:rPr>
                <w:color w:val="000000"/>
                <w:sz w:val="20"/>
              </w:rPr>
              <w:t>Patients achieved and maintained confirmed HIV RNA &lt;400 copies/mL (&lt;50 copies/mL) through week 48.</w:t>
            </w:r>
          </w:p>
          <w:p w:rsidR="00DC7153" w:rsidRPr="00D83C46" w:rsidRDefault="00DC7153" w:rsidP="00CD44FB">
            <w:pPr>
              <w:numPr>
                <w:ilvl w:val="0"/>
                <w:numId w:val="12"/>
              </w:numPr>
              <w:tabs>
                <w:tab w:val="left" w:pos="384"/>
              </w:tabs>
              <w:ind w:left="418" w:right="-359"/>
              <w:rPr>
                <w:color w:val="000000"/>
                <w:sz w:val="20"/>
              </w:rPr>
            </w:pPr>
            <w:r w:rsidRPr="00D83C46">
              <w:rPr>
                <w:color w:val="000000"/>
                <w:sz w:val="20"/>
              </w:rPr>
              <w:t xml:space="preserve">Includes patients who failed to achieve </w:t>
            </w:r>
            <w:proofErr w:type="spellStart"/>
            <w:r w:rsidRPr="00D83C46">
              <w:rPr>
                <w:color w:val="000000"/>
                <w:sz w:val="20"/>
              </w:rPr>
              <w:t>virologic</w:t>
            </w:r>
            <w:proofErr w:type="spellEnd"/>
            <w:r w:rsidRPr="00D83C46">
              <w:rPr>
                <w:color w:val="000000"/>
                <w:sz w:val="20"/>
              </w:rPr>
              <w:t xml:space="preserve"> suppression or rebounded after achieving </w:t>
            </w:r>
            <w:proofErr w:type="spellStart"/>
            <w:r w:rsidRPr="00D83C46">
              <w:rPr>
                <w:color w:val="000000"/>
                <w:sz w:val="20"/>
              </w:rPr>
              <w:t>virologic</w:t>
            </w:r>
            <w:proofErr w:type="spellEnd"/>
            <w:r w:rsidRPr="00D83C46">
              <w:rPr>
                <w:color w:val="000000"/>
                <w:sz w:val="20"/>
              </w:rPr>
              <w:t xml:space="preserve"> suppression.</w:t>
            </w:r>
          </w:p>
          <w:p w:rsidR="00DC7153" w:rsidRPr="00E7636B" w:rsidRDefault="00DC7153" w:rsidP="00CD44FB">
            <w:pPr>
              <w:numPr>
                <w:ilvl w:val="0"/>
                <w:numId w:val="12"/>
              </w:numPr>
              <w:tabs>
                <w:tab w:val="left" w:pos="384"/>
              </w:tabs>
              <w:ind w:left="418" w:right="72"/>
              <w:rPr>
                <w:color w:val="000000"/>
              </w:rPr>
            </w:pPr>
            <w:r w:rsidRPr="00D83C46">
              <w:rPr>
                <w:color w:val="000000"/>
                <w:sz w:val="20"/>
              </w:rPr>
              <w:t>Includes lost to follow-up, patient withdrawal, non-compliance, protocol violation and other reasons.</w:t>
            </w:r>
          </w:p>
        </w:tc>
      </w:tr>
    </w:tbl>
    <w:p w:rsidR="00046320" w:rsidRPr="000568F8" w:rsidRDefault="00046320" w:rsidP="00046320">
      <w:pPr>
        <w:pStyle w:val="Heading3"/>
        <w:jc w:val="both"/>
        <w:rPr>
          <w:rFonts w:ascii="Times New Roman" w:hAnsi="Times New Roman"/>
          <w:b w:val="0"/>
          <w:i w:val="0"/>
          <w:sz w:val="24"/>
          <w:szCs w:val="24"/>
          <w:lang w:val="en-US"/>
        </w:rPr>
      </w:pPr>
      <w:r w:rsidRPr="000568F8">
        <w:rPr>
          <w:rFonts w:ascii="Times New Roman" w:hAnsi="Times New Roman"/>
          <w:b w:val="0"/>
          <w:i w:val="0"/>
          <w:sz w:val="24"/>
          <w:szCs w:val="24"/>
          <w:lang w:val="en-US"/>
        </w:rPr>
        <w:t xml:space="preserve">The mean increase from baseline in CD4 cell count was </w:t>
      </w:r>
      <w:proofErr w:type="gramStart"/>
      <w:r w:rsidRPr="000568F8">
        <w:rPr>
          <w:rFonts w:ascii="Times New Roman" w:hAnsi="Times New Roman"/>
          <w:b w:val="0"/>
          <w:i w:val="0"/>
          <w:sz w:val="24"/>
          <w:szCs w:val="24"/>
          <w:lang w:val="en-US"/>
        </w:rPr>
        <w:t xml:space="preserve">168 cells/mm3 for the </w:t>
      </w:r>
      <w:proofErr w:type="spellStart"/>
      <w:r w:rsidRPr="000568F8">
        <w:rPr>
          <w:rFonts w:ascii="Times New Roman" w:hAnsi="Times New Roman"/>
          <w:b w:val="0"/>
          <w:i w:val="0"/>
          <w:sz w:val="24"/>
          <w:szCs w:val="24"/>
          <w:lang w:val="en-US"/>
        </w:rPr>
        <w:t>emtricitabine</w:t>
      </w:r>
      <w:proofErr w:type="spellEnd"/>
      <w:r w:rsidRPr="000568F8">
        <w:rPr>
          <w:rFonts w:ascii="Times New Roman" w:hAnsi="Times New Roman"/>
          <w:b w:val="0"/>
          <w:i w:val="0"/>
          <w:sz w:val="24"/>
          <w:szCs w:val="24"/>
          <w:lang w:val="en-US"/>
        </w:rPr>
        <w:t xml:space="preserve"> arm</w:t>
      </w:r>
      <w:proofErr w:type="gramEnd"/>
      <w:r w:rsidRPr="000568F8">
        <w:rPr>
          <w:rFonts w:ascii="Times New Roman" w:hAnsi="Times New Roman"/>
          <w:b w:val="0"/>
          <w:i w:val="0"/>
          <w:sz w:val="24"/>
          <w:szCs w:val="24"/>
          <w:lang w:val="en-US"/>
        </w:rPr>
        <w:t xml:space="preserve"> and 134 cells/mm3 for the d4T arm.</w:t>
      </w:r>
    </w:p>
    <w:p w:rsidR="007F553A" w:rsidRPr="00F509F7" w:rsidRDefault="00EF451A" w:rsidP="0003333A">
      <w:pPr>
        <w:pStyle w:val="Heading3"/>
        <w:jc w:val="both"/>
        <w:rPr>
          <w:rFonts w:ascii="Times New Roman" w:hAnsi="Times New Roman"/>
          <w:bCs/>
          <w:i w:val="0"/>
          <w:sz w:val="24"/>
          <w:szCs w:val="24"/>
        </w:rPr>
      </w:pPr>
      <w:r>
        <w:rPr>
          <w:rFonts w:ascii="Times New Roman" w:hAnsi="Times New Roman"/>
          <w:bCs/>
          <w:i w:val="0"/>
          <w:sz w:val="24"/>
          <w:szCs w:val="24"/>
        </w:rPr>
        <w:br w:type="page"/>
      </w:r>
      <w:r w:rsidR="0003333A" w:rsidRPr="00F509F7">
        <w:rPr>
          <w:rFonts w:ascii="Times New Roman" w:hAnsi="Times New Roman"/>
          <w:bCs/>
          <w:i w:val="0"/>
          <w:sz w:val="24"/>
          <w:szCs w:val="24"/>
        </w:rPr>
        <w:lastRenderedPageBreak/>
        <w:t>INDICATIONS</w:t>
      </w:r>
    </w:p>
    <w:p w:rsidR="00F35C7E" w:rsidRPr="00F35C7E" w:rsidRDefault="00F35C7E" w:rsidP="00F35C7E"/>
    <w:p w:rsidR="0003333A" w:rsidRPr="00F35C7E" w:rsidRDefault="00F35C7E" w:rsidP="0003333A">
      <w:pPr>
        <w:rPr>
          <w:b/>
          <w:szCs w:val="24"/>
        </w:rPr>
      </w:pPr>
      <w:r w:rsidRPr="00F35C7E">
        <w:rPr>
          <w:b/>
          <w:szCs w:val="24"/>
        </w:rPr>
        <w:t>Treatment of HIV-1 infection</w:t>
      </w:r>
    </w:p>
    <w:p w:rsidR="00F35C7E" w:rsidRPr="00D407BD" w:rsidRDefault="00F35C7E" w:rsidP="0003333A">
      <w:pPr>
        <w:rPr>
          <w:szCs w:val="24"/>
        </w:rPr>
      </w:pPr>
    </w:p>
    <w:p w:rsidR="0003333A" w:rsidRPr="00D407BD" w:rsidRDefault="00E410F0" w:rsidP="0003333A">
      <w:pPr>
        <w:rPr>
          <w:snapToGrid w:val="0"/>
          <w:szCs w:val="24"/>
        </w:rPr>
      </w:pPr>
      <w:r w:rsidRPr="00D407BD">
        <w:rPr>
          <w:szCs w:val="24"/>
        </w:rPr>
        <w:t>TRUVADA</w:t>
      </w:r>
      <w:r w:rsidR="00B949C5" w:rsidRPr="00D407BD">
        <w:rPr>
          <w:color w:val="000000"/>
          <w:szCs w:val="24"/>
        </w:rPr>
        <w:t xml:space="preserve"> is indicated for the treatment of HIV infected adults over the age of 18 years, in combination with other antiretroviral agents.</w:t>
      </w:r>
      <w:r w:rsidR="008503B3" w:rsidRPr="00D407BD">
        <w:rPr>
          <w:color w:val="000000"/>
          <w:szCs w:val="24"/>
        </w:rPr>
        <w:t xml:space="preserve">  </w:t>
      </w:r>
    </w:p>
    <w:p w:rsidR="00F35C7E" w:rsidRPr="00F509F7" w:rsidRDefault="008503B3" w:rsidP="00F509F7">
      <w:pPr>
        <w:rPr>
          <w:b/>
          <w:szCs w:val="24"/>
        </w:rPr>
      </w:pPr>
      <w:r w:rsidRPr="00D407BD">
        <w:rPr>
          <w:snapToGrid w:val="0"/>
          <w:szCs w:val="24"/>
        </w:rPr>
        <w:br/>
      </w:r>
      <w:r w:rsidR="00F35C7E" w:rsidRPr="00F509F7">
        <w:rPr>
          <w:b/>
          <w:szCs w:val="24"/>
        </w:rPr>
        <w:t xml:space="preserve">Pre-Exposure Prophylaxis </w:t>
      </w:r>
    </w:p>
    <w:p w:rsidR="00487739" w:rsidRPr="00487739" w:rsidRDefault="00487739" w:rsidP="00487739"/>
    <w:p w:rsidR="00F35C7E" w:rsidRPr="00F35C7E" w:rsidRDefault="00F35C7E" w:rsidP="00F35C7E">
      <w:pPr>
        <w:pStyle w:val="BulletText"/>
        <w:numPr>
          <w:ilvl w:val="0"/>
          <w:numId w:val="0"/>
        </w:numPr>
        <w:rPr>
          <w:rFonts w:cs="Times New Roman"/>
          <w:u w:val="single"/>
        </w:rPr>
      </w:pPr>
      <w:r w:rsidRPr="00F35C7E">
        <w:rPr>
          <w:rFonts w:cs="Times New Roman"/>
        </w:rPr>
        <w:t>TRUVADA is indicated in combination with safer sex practices for pre-exposure prophylaxis (</w:t>
      </w:r>
      <w:proofErr w:type="spellStart"/>
      <w:r w:rsidRPr="00F35C7E">
        <w:rPr>
          <w:rFonts w:cs="Times New Roman"/>
        </w:rPr>
        <w:t>PrEP</w:t>
      </w:r>
      <w:proofErr w:type="spellEnd"/>
      <w:r w:rsidRPr="00F35C7E">
        <w:rPr>
          <w:rFonts w:cs="Times New Roman"/>
        </w:rPr>
        <w:t xml:space="preserve">) to reduce the risk of sexually acquired HIV-1 in adults at high risk. This indication is based on clinical trials in men who have sex with men (MSM) at high risk for HIV-1 infection and in heterosexual </w:t>
      </w:r>
      <w:proofErr w:type="spellStart"/>
      <w:r w:rsidRPr="00F35C7E">
        <w:rPr>
          <w:rFonts w:cs="Times New Roman"/>
        </w:rPr>
        <w:t>serodiscordant</w:t>
      </w:r>
      <w:proofErr w:type="spellEnd"/>
      <w:r w:rsidRPr="00F35C7E">
        <w:rPr>
          <w:rFonts w:cs="Times New Roman"/>
        </w:rPr>
        <w:t xml:space="preserve"> couples </w:t>
      </w:r>
      <w:r>
        <w:rPr>
          <w:rFonts w:cs="Times New Roman"/>
        </w:rPr>
        <w:t>(see CLINICAL STUDIES)</w:t>
      </w:r>
      <w:r w:rsidRPr="00F35C7E">
        <w:rPr>
          <w:rFonts w:cs="Times New Roman"/>
        </w:rPr>
        <w:t>.</w:t>
      </w:r>
    </w:p>
    <w:p w:rsidR="00B949C5" w:rsidRPr="00D407BD" w:rsidRDefault="00B949C5" w:rsidP="0003333A">
      <w:pPr>
        <w:rPr>
          <w:color w:val="000000"/>
          <w:szCs w:val="24"/>
        </w:rPr>
      </w:pPr>
    </w:p>
    <w:p w:rsidR="00E976EE" w:rsidRPr="005B161B" w:rsidRDefault="0003333A" w:rsidP="0003333A">
      <w:pPr>
        <w:pStyle w:val="Heading3"/>
        <w:jc w:val="both"/>
        <w:rPr>
          <w:rFonts w:ascii="Times New Roman" w:hAnsi="Times New Roman"/>
          <w:bCs/>
          <w:i w:val="0"/>
          <w:sz w:val="24"/>
          <w:szCs w:val="24"/>
        </w:rPr>
      </w:pPr>
      <w:r w:rsidRPr="005B161B">
        <w:rPr>
          <w:rFonts w:ascii="Times New Roman" w:hAnsi="Times New Roman"/>
          <w:bCs/>
          <w:i w:val="0"/>
          <w:sz w:val="24"/>
          <w:szCs w:val="24"/>
        </w:rPr>
        <w:t>CONTRAINDICATIONS</w:t>
      </w:r>
    </w:p>
    <w:p w:rsidR="0003333A" w:rsidRPr="005B161B" w:rsidRDefault="0003333A" w:rsidP="0003333A">
      <w:pPr>
        <w:rPr>
          <w:szCs w:val="24"/>
        </w:rPr>
      </w:pPr>
    </w:p>
    <w:p w:rsidR="00E976EE" w:rsidRPr="005B161B" w:rsidRDefault="00E410F0" w:rsidP="0003333A">
      <w:pPr>
        <w:rPr>
          <w:color w:val="000000"/>
          <w:szCs w:val="24"/>
        </w:rPr>
      </w:pPr>
      <w:r w:rsidRPr="005B161B">
        <w:rPr>
          <w:szCs w:val="24"/>
        </w:rPr>
        <w:t>TRUVADA</w:t>
      </w:r>
      <w:r w:rsidR="00E976EE" w:rsidRPr="005B161B">
        <w:rPr>
          <w:color w:val="000000"/>
          <w:szCs w:val="24"/>
        </w:rPr>
        <w:t xml:space="preserve"> is contraindicated in patients with known hypersensitivity to </w:t>
      </w:r>
      <w:proofErr w:type="spellStart"/>
      <w:r w:rsidR="00E976EE" w:rsidRPr="005B161B">
        <w:rPr>
          <w:color w:val="000000"/>
          <w:szCs w:val="24"/>
        </w:rPr>
        <w:t>tenofovir</w:t>
      </w:r>
      <w:proofErr w:type="spellEnd"/>
      <w:r w:rsidR="00E976EE" w:rsidRPr="005B161B">
        <w:rPr>
          <w:color w:val="000000"/>
          <w:szCs w:val="24"/>
        </w:rPr>
        <w:t xml:space="preserve">, </w:t>
      </w:r>
      <w:proofErr w:type="spellStart"/>
      <w:r w:rsidR="00E976EE" w:rsidRPr="005B161B">
        <w:rPr>
          <w:color w:val="000000"/>
          <w:szCs w:val="24"/>
        </w:rPr>
        <w:t>tenofovir</w:t>
      </w:r>
      <w:proofErr w:type="spellEnd"/>
      <w:r w:rsidR="00E976EE" w:rsidRPr="005B161B">
        <w:rPr>
          <w:color w:val="000000"/>
          <w:szCs w:val="24"/>
        </w:rPr>
        <w:t xml:space="preserve"> </w:t>
      </w:r>
      <w:proofErr w:type="spellStart"/>
      <w:r w:rsidR="00E976EE" w:rsidRPr="005B161B">
        <w:rPr>
          <w:color w:val="000000"/>
          <w:szCs w:val="24"/>
        </w:rPr>
        <w:t>disoproxil</w:t>
      </w:r>
      <w:proofErr w:type="spellEnd"/>
      <w:r w:rsidR="00E976EE" w:rsidRPr="005B161B">
        <w:rPr>
          <w:color w:val="000000"/>
          <w:szCs w:val="24"/>
        </w:rPr>
        <w:t xml:space="preserve"> fumarate, </w:t>
      </w:r>
      <w:proofErr w:type="spellStart"/>
      <w:r w:rsidR="00E976EE" w:rsidRPr="005B161B">
        <w:rPr>
          <w:color w:val="000000"/>
          <w:szCs w:val="24"/>
        </w:rPr>
        <w:t>emtricitabine</w:t>
      </w:r>
      <w:proofErr w:type="spellEnd"/>
      <w:r w:rsidR="00E976EE" w:rsidRPr="005B161B">
        <w:rPr>
          <w:color w:val="000000"/>
          <w:szCs w:val="24"/>
        </w:rPr>
        <w:t xml:space="preserve"> or any other components of the </w:t>
      </w:r>
      <w:r w:rsidR="009206D1" w:rsidRPr="005B161B">
        <w:rPr>
          <w:color w:val="000000"/>
          <w:szCs w:val="24"/>
        </w:rPr>
        <w:t>table</w:t>
      </w:r>
      <w:r w:rsidR="00E976EE" w:rsidRPr="005B161B">
        <w:rPr>
          <w:color w:val="000000"/>
          <w:szCs w:val="24"/>
        </w:rPr>
        <w:t>t.</w:t>
      </w:r>
    </w:p>
    <w:p w:rsidR="0003333A" w:rsidRPr="005B161B" w:rsidRDefault="0003333A" w:rsidP="0003333A">
      <w:pPr>
        <w:rPr>
          <w:color w:val="000000"/>
          <w:szCs w:val="24"/>
        </w:rPr>
      </w:pPr>
    </w:p>
    <w:p w:rsidR="00417BA6" w:rsidRPr="005B161B" w:rsidRDefault="00417BA6" w:rsidP="0003333A">
      <w:pPr>
        <w:pStyle w:val="BodyText"/>
        <w:rPr>
          <w:rFonts w:ascii="Times New Roman" w:hAnsi="Times New Roman"/>
          <w:b w:val="0"/>
          <w:sz w:val="24"/>
          <w:szCs w:val="24"/>
        </w:rPr>
      </w:pPr>
      <w:r w:rsidRPr="005B161B">
        <w:rPr>
          <w:rFonts w:ascii="Times New Roman" w:hAnsi="Times New Roman"/>
          <w:b w:val="0"/>
          <w:sz w:val="24"/>
          <w:szCs w:val="24"/>
        </w:rPr>
        <w:t xml:space="preserve">TRUVADA must not be administered to children or adolescents under the age of 18 years.  </w:t>
      </w:r>
    </w:p>
    <w:p w:rsidR="0003333A" w:rsidRDefault="0003333A" w:rsidP="0003333A">
      <w:pPr>
        <w:pStyle w:val="BodyText"/>
        <w:rPr>
          <w:rFonts w:ascii="Times New Roman" w:hAnsi="Times New Roman"/>
          <w:sz w:val="24"/>
          <w:szCs w:val="24"/>
        </w:rPr>
      </w:pPr>
    </w:p>
    <w:p w:rsidR="00D62C71" w:rsidRPr="00D62C71" w:rsidRDefault="00D62C71" w:rsidP="0003333A">
      <w:pPr>
        <w:pStyle w:val="BodyText"/>
        <w:rPr>
          <w:rFonts w:ascii="Times New Roman" w:hAnsi="Times New Roman"/>
          <w:b w:val="0"/>
          <w:sz w:val="24"/>
          <w:szCs w:val="24"/>
        </w:rPr>
      </w:pPr>
      <w:r w:rsidRPr="00D62C71">
        <w:rPr>
          <w:rFonts w:ascii="Times New Roman" w:hAnsi="Times New Roman"/>
          <w:b w:val="0"/>
          <w:sz w:val="24"/>
          <w:szCs w:val="24"/>
        </w:rPr>
        <w:t xml:space="preserve">TRUVADA is a fixed-dose combination of </w:t>
      </w:r>
      <w:proofErr w:type="spellStart"/>
      <w:r w:rsidRPr="00D62C71">
        <w:rPr>
          <w:rFonts w:ascii="Times New Roman" w:hAnsi="Times New Roman"/>
          <w:b w:val="0"/>
          <w:sz w:val="24"/>
          <w:szCs w:val="24"/>
        </w:rPr>
        <w:t>tenofovir</w:t>
      </w:r>
      <w:proofErr w:type="spellEnd"/>
      <w:r w:rsidRPr="00D62C71">
        <w:rPr>
          <w:rFonts w:ascii="Times New Roman" w:hAnsi="Times New Roman"/>
          <w:b w:val="0"/>
          <w:sz w:val="24"/>
          <w:szCs w:val="24"/>
        </w:rPr>
        <w:t xml:space="preserve"> </w:t>
      </w:r>
      <w:proofErr w:type="spellStart"/>
      <w:r w:rsidRPr="00D62C71">
        <w:rPr>
          <w:rFonts w:ascii="Times New Roman" w:hAnsi="Times New Roman"/>
          <w:b w:val="0"/>
          <w:sz w:val="24"/>
          <w:szCs w:val="24"/>
        </w:rPr>
        <w:t>disoproxil</w:t>
      </w:r>
      <w:proofErr w:type="spellEnd"/>
      <w:r w:rsidRPr="00D62C71">
        <w:rPr>
          <w:rFonts w:ascii="Times New Roman" w:hAnsi="Times New Roman"/>
          <w:b w:val="0"/>
          <w:sz w:val="24"/>
          <w:szCs w:val="24"/>
        </w:rPr>
        <w:t xml:space="preserve"> fumarate and </w:t>
      </w:r>
      <w:proofErr w:type="spellStart"/>
      <w:r w:rsidRPr="00D62C71">
        <w:rPr>
          <w:rFonts w:ascii="Times New Roman" w:hAnsi="Times New Roman"/>
          <w:b w:val="0"/>
          <w:sz w:val="24"/>
          <w:szCs w:val="24"/>
        </w:rPr>
        <w:t>emtricitabine</w:t>
      </w:r>
      <w:proofErr w:type="spellEnd"/>
      <w:r w:rsidRPr="00D62C71">
        <w:rPr>
          <w:rFonts w:ascii="Times New Roman" w:hAnsi="Times New Roman"/>
          <w:b w:val="0"/>
          <w:sz w:val="24"/>
          <w:szCs w:val="24"/>
        </w:rPr>
        <w:t xml:space="preserve">. TRUVADA should not be administered concomitantly with other medicinal products containing any of the same active components: </w:t>
      </w:r>
      <w:proofErr w:type="spellStart"/>
      <w:r w:rsidRPr="00D62C71">
        <w:rPr>
          <w:rFonts w:ascii="Times New Roman" w:hAnsi="Times New Roman"/>
          <w:b w:val="0"/>
          <w:sz w:val="24"/>
          <w:szCs w:val="24"/>
        </w:rPr>
        <w:t>tenofovir</w:t>
      </w:r>
      <w:proofErr w:type="spellEnd"/>
      <w:r w:rsidRPr="00D62C71">
        <w:rPr>
          <w:rFonts w:ascii="Times New Roman" w:hAnsi="Times New Roman"/>
          <w:b w:val="0"/>
          <w:sz w:val="24"/>
          <w:szCs w:val="24"/>
        </w:rPr>
        <w:t xml:space="preserve"> </w:t>
      </w:r>
      <w:proofErr w:type="spellStart"/>
      <w:r w:rsidRPr="00D62C71">
        <w:rPr>
          <w:rFonts w:ascii="Times New Roman" w:hAnsi="Times New Roman"/>
          <w:b w:val="0"/>
          <w:sz w:val="24"/>
          <w:szCs w:val="24"/>
        </w:rPr>
        <w:t>disoproxil</w:t>
      </w:r>
      <w:proofErr w:type="spellEnd"/>
      <w:r w:rsidRPr="00D62C71">
        <w:rPr>
          <w:rFonts w:ascii="Times New Roman" w:hAnsi="Times New Roman"/>
          <w:b w:val="0"/>
          <w:sz w:val="24"/>
          <w:szCs w:val="24"/>
        </w:rPr>
        <w:t xml:space="preserve"> fumarate or </w:t>
      </w:r>
      <w:proofErr w:type="spellStart"/>
      <w:r w:rsidRPr="00D62C71">
        <w:rPr>
          <w:rFonts w:ascii="Times New Roman" w:hAnsi="Times New Roman"/>
          <w:b w:val="0"/>
          <w:sz w:val="24"/>
          <w:szCs w:val="24"/>
        </w:rPr>
        <w:t>emtricitabine</w:t>
      </w:r>
      <w:proofErr w:type="spellEnd"/>
      <w:r w:rsidR="00543711">
        <w:rPr>
          <w:rFonts w:ascii="Times New Roman" w:hAnsi="Times New Roman"/>
          <w:b w:val="0"/>
          <w:sz w:val="24"/>
          <w:szCs w:val="24"/>
        </w:rPr>
        <w:t xml:space="preserve">, </w:t>
      </w:r>
      <w:r w:rsidRPr="00D62C71">
        <w:rPr>
          <w:rFonts w:ascii="Times New Roman" w:hAnsi="Times New Roman"/>
          <w:b w:val="0"/>
          <w:sz w:val="24"/>
          <w:szCs w:val="24"/>
        </w:rPr>
        <w:t xml:space="preserve">drugs containing </w:t>
      </w:r>
      <w:proofErr w:type="spellStart"/>
      <w:r w:rsidR="00543711" w:rsidRPr="00543711">
        <w:rPr>
          <w:rFonts w:ascii="Times New Roman" w:hAnsi="Times New Roman"/>
          <w:b w:val="0"/>
          <w:sz w:val="24"/>
          <w:szCs w:val="24"/>
        </w:rPr>
        <w:t>tenofovir</w:t>
      </w:r>
      <w:proofErr w:type="spellEnd"/>
      <w:r w:rsidR="00543711" w:rsidRPr="00543711">
        <w:rPr>
          <w:rFonts w:ascii="Times New Roman" w:hAnsi="Times New Roman"/>
          <w:b w:val="0"/>
          <w:sz w:val="24"/>
          <w:szCs w:val="24"/>
        </w:rPr>
        <w:t xml:space="preserve"> </w:t>
      </w:r>
      <w:proofErr w:type="spellStart"/>
      <w:r w:rsidR="00543711" w:rsidRPr="00543711">
        <w:rPr>
          <w:rFonts w:ascii="Times New Roman" w:hAnsi="Times New Roman"/>
          <w:b w:val="0"/>
          <w:sz w:val="24"/>
          <w:szCs w:val="24"/>
        </w:rPr>
        <w:t>alafenamide</w:t>
      </w:r>
      <w:proofErr w:type="spellEnd"/>
      <w:r w:rsidR="00543711">
        <w:rPr>
          <w:rFonts w:ascii="Times New Roman" w:hAnsi="Times New Roman"/>
          <w:b w:val="0"/>
          <w:sz w:val="24"/>
          <w:szCs w:val="24"/>
        </w:rPr>
        <w:t xml:space="preserve">, </w:t>
      </w:r>
      <w:r w:rsidRPr="00D62C71">
        <w:rPr>
          <w:rFonts w:ascii="Times New Roman" w:hAnsi="Times New Roman"/>
          <w:b w:val="0"/>
          <w:sz w:val="24"/>
          <w:szCs w:val="24"/>
        </w:rPr>
        <w:t xml:space="preserve">lamivudine or </w:t>
      </w:r>
      <w:proofErr w:type="spellStart"/>
      <w:r w:rsidRPr="00D62C71">
        <w:rPr>
          <w:rFonts w:ascii="Times New Roman" w:hAnsi="Times New Roman"/>
          <w:b w:val="0"/>
          <w:sz w:val="24"/>
          <w:szCs w:val="24"/>
        </w:rPr>
        <w:t>adefovir</w:t>
      </w:r>
      <w:proofErr w:type="spellEnd"/>
      <w:r w:rsidRPr="00D62C71">
        <w:rPr>
          <w:rFonts w:ascii="Times New Roman" w:hAnsi="Times New Roman"/>
          <w:b w:val="0"/>
          <w:sz w:val="24"/>
          <w:szCs w:val="24"/>
        </w:rPr>
        <w:t xml:space="preserve"> </w:t>
      </w:r>
      <w:proofErr w:type="spellStart"/>
      <w:r w:rsidRPr="00D62C71">
        <w:rPr>
          <w:rFonts w:ascii="Times New Roman" w:hAnsi="Times New Roman"/>
          <w:b w:val="0"/>
          <w:sz w:val="24"/>
          <w:szCs w:val="24"/>
        </w:rPr>
        <w:t>dipivoxil</w:t>
      </w:r>
      <w:proofErr w:type="spellEnd"/>
      <w:r w:rsidRPr="00D62C71">
        <w:rPr>
          <w:rFonts w:ascii="Times New Roman" w:hAnsi="Times New Roman"/>
          <w:b w:val="0"/>
          <w:sz w:val="24"/>
          <w:szCs w:val="24"/>
        </w:rPr>
        <w:t>.</w:t>
      </w:r>
    </w:p>
    <w:p w:rsidR="00417BA6" w:rsidRDefault="00417BA6" w:rsidP="0003333A">
      <w:pPr>
        <w:rPr>
          <w:color w:val="000000"/>
          <w:szCs w:val="24"/>
        </w:rPr>
      </w:pPr>
    </w:p>
    <w:p w:rsidR="00543711" w:rsidRDefault="00E8503C" w:rsidP="00E8503C">
      <w:pPr>
        <w:pStyle w:val="Text10"/>
      </w:pPr>
      <w:r w:rsidRPr="008E09DE">
        <w:t xml:space="preserve">Do not use TRUVADA for </w:t>
      </w:r>
      <w:r w:rsidRPr="008E09DE">
        <w:rPr>
          <w:szCs w:val="24"/>
        </w:rPr>
        <w:t>pre-exposure prophylaxis in individuals with unknown or positive HIV-1 status</w:t>
      </w:r>
      <w:r w:rsidRPr="008E09DE">
        <w:t xml:space="preserve">. </w:t>
      </w:r>
    </w:p>
    <w:p w:rsidR="00E8503C" w:rsidRPr="00E8503C" w:rsidRDefault="00E8503C" w:rsidP="00E8503C">
      <w:pPr>
        <w:pStyle w:val="Text10"/>
        <w:rPr>
          <w:i/>
        </w:rPr>
      </w:pPr>
      <w:r w:rsidRPr="008E09DE">
        <w:t>TRUVADA should be used in HIV-infected patients only in combination with other antiretroviral agents.</w:t>
      </w:r>
    </w:p>
    <w:p w:rsidR="009206D1" w:rsidRPr="00F509F7" w:rsidRDefault="0003333A" w:rsidP="0003333A">
      <w:pPr>
        <w:pStyle w:val="Heading3"/>
        <w:jc w:val="both"/>
        <w:rPr>
          <w:rFonts w:ascii="Times New Roman" w:hAnsi="Times New Roman"/>
          <w:bCs/>
          <w:i w:val="0"/>
          <w:sz w:val="24"/>
          <w:szCs w:val="24"/>
        </w:rPr>
      </w:pPr>
      <w:r w:rsidRPr="00F509F7">
        <w:rPr>
          <w:rFonts w:ascii="Times New Roman" w:hAnsi="Times New Roman"/>
          <w:bCs/>
          <w:i w:val="0"/>
          <w:sz w:val="24"/>
          <w:szCs w:val="24"/>
        </w:rPr>
        <w:t>PRECAUTIONS</w:t>
      </w:r>
    </w:p>
    <w:p w:rsidR="0003333A" w:rsidRPr="00D407BD" w:rsidRDefault="0003333A" w:rsidP="0003333A">
      <w:pPr>
        <w:rPr>
          <w:b/>
          <w:color w:val="000000"/>
          <w:szCs w:val="24"/>
        </w:rPr>
      </w:pPr>
    </w:p>
    <w:p w:rsidR="0072075E" w:rsidRPr="00D407BD" w:rsidRDefault="009206D1" w:rsidP="0003333A">
      <w:pPr>
        <w:rPr>
          <w:b/>
          <w:color w:val="000000"/>
          <w:szCs w:val="24"/>
        </w:rPr>
      </w:pPr>
      <w:r w:rsidRPr="00D407BD">
        <w:rPr>
          <w:b/>
          <w:color w:val="000000"/>
          <w:szCs w:val="24"/>
        </w:rPr>
        <w:t>General</w:t>
      </w:r>
    </w:p>
    <w:p w:rsidR="0003333A" w:rsidRPr="00D407BD" w:rsidRDefault="0003333A" w:rsidP="0003333A">
      <w:pPr>
        <w:rPr>
          <w:b/>
          <w:color w:val="000000"/>
          <w:szCs w:val="24"/>
        </w:rPr>
      </w:pPr>
    </w:p>
    <w:p w:rsidR="009206D1" w:rsidRPr="00D407BD" w:rsidRDefault="009206D1" w:rsidP="0003333A">
      <w:pPr>
        <w:rPr>
          <w:color w:val="000000"/>
          <w:szCs w:val="24"/>
        </w:rPr>
      </w:pPr>
      <w:r w:rsidRPr="00D407BD">
        <w:rPr>
          <w:color w:val="000000"/>
          <w:szCs w:val="24"/>
        </w:rPr>
        <w:t xml:space="preserve">Patients receiving </w:t>
      </w:r>
      <w:r w:rsidR="00E410F0" w:rsidRPr="00D407BD">
        <w:rPr>
          <w:szCs w:val="24"/>
        </w:rPr>
        <w:t>TRUVADA</w:t>
      </w:r>
      <w:r w:rsidRPr="00D407BD">
        <w:rPr>
          <w:color w:val="000000"/>
          <w:szCs w:val="24"/>
        </w:rPr>
        <w:t xml:space="preserve"> or any other antiretroviral therapy may continue to develop opportunistic infections and other complications of HIV infection, and therefore should remain under close clinical observation by physicians experienced in the treatment of patients with HIV associated diseases.</w:t>
      </w:r>
    </w:p>
    <w:p w:rsidR="0003333A" w:rsidRPr="00D407BD" w:rsidRDefault="0003333A" w:rsidP="0003333A">
      <w:pPr>
        <w:rPr>
          <w:color w:val="000000"/>
          <w:szCs w:val="24"/>
        </w:rPr>
      </w:pPr>
    </w:p>
    <w:p w:rsidR="009206D1" w:rsidRDefault="009206D1" w:rsidP="0003333A">
      <w:pPr>
        <w:rPr>
          <w:color w:val="000000"/>
          <w:szCs w:val="24"/>
        </w:rPr>
      </w:pPr>
      <w:r w:rsidRPr="00D407BD">
        <w:rPr>
          <w:color w:val="000000"/>
          <w:szCs w:val="24"/>
        </w:rPr>
        <w:t xml:space="preserve">Patients should be informed that </w:t>
      </w:r>
      <w:r w:rsidR="00E410F0" w:rsidRPr="00D407BD">
        <w:rPr>
          <w:szCs w:val="24"/>
        </w:rPr>
        <w:t>TRUVADA</w:t>
      </w:r>
      <w:r w:rsidRPr="00D407BD">
        <w:rPr>
          <w:color w:val="000000"/>
          <w:szCs w:val="24"/>
        </w:rPr>
        <w:t xml:space="preserve"> is not a cure for HIV infection.</w:t>
      </w:r>
    </w:p>
    <w:p w:rsidR="00BA48CE" w:rsidRDefault="00BA48CE" w:rsidP="0003333A">
      <w:pPr>
        <w:rPr>
          <w:color w:val="000000"/>
          <w:szCs w:val="24"/>
        </w:rPr>
      </w:pPr>
    </w:p>
    <w:p w:rsidR="00A245B1" w:rsidRPr="00D407BD" w:rsidRDefault="00A245B1" w:rsidP="0003333A">
      <w:pPr>
        <w:keepLines/>
        <w:rPr>
          <w:b/>
          <w:color w:val="000000"/>
          <w:szCs w:val="24"/>
        </w:rPr>
      </w:pPr>
      <w:r w:rsidRPr="00D407BD">
        <w:rPr>
          <w:b/>
          <w:color w:val="000000"/>
          <w:szCs w:val="24"/>
        </w:rPr>
        <w:lastRenderedPageBreak/>
        <w:t>Lactic Acidosis/Severe Hepatomegaly with Steatosis</w:t>
      </w:r>
    </w:p>
    <w:p w:rsidR="0003333A" w:rsidRPr="00D407BD" w:rsidRDefault="0003333A" w:rsidP="0003333A">
      <w:pPr>
        <w:keepLines/>
        <w:rPr>
          <w:b/>
          <w:color w:val="000000"/>
          <w:szCs w:val="24"/>
        </w:rPr>
      </w:pPr>
    </w:p>
    <w:p w:rsidR="00050A3A" w:rsidRPr="00D407BD" w:rsidRDefault="00050A3A" w:rsidP="0003333A">
      <w:pPr>
        <w:tabs>
          <w:tab w:val="left" w:pos="8640"/>
          <w:tab w:val="left" w:pos="8820"/>
        </w:tabs>
        <w:rPr>
          <w:color w:val="000000"/>
          <w:szCs w:val="24"/>
        </w:rPr>
      </w:pPr>
      <w:r w:rsidRPr="00D407BD">
        <w:rPr>
          <w:color w:val="000000"/>
          <w:szCs w:val="24"/>
        </w:rPr>
        <w:t xml:space="preserve">Lactic acidosis and severe hepatomegaly with steatosis, including fatal cases have been reported with the use of antiretroviral nucleoside analogues alone or in combination, in the treatment of HIV infection. A majority of these cases have been in women. </w:t>
      </w:r>
      <w:r w:rsidR="00B9762B" w:rsidRPr="00D407BD">
        <w:rPr>
          <w:szCs w:val="24"/>
        </w:rPr>
        <w:t xml:space="preserve">Obesity and prolonged nucleoside exposure may be risk factors. </w:t>
      </w:r>
      <w:r w:rsidRPr="00D407BD">
        <w:rPr>
          <w:color w:val="000000"/>
          <w:szCs w:val="24"/>
        </w:rPr>
        <w:t xml:space="preserve">Particular caution should be exercised when administering nucleoside analogues to any patient </w:t>
      </w:r>
      <w:r w:rsidR="00E8503C">
        <w:rPr>
          <w:color w:val="000000"/>
          <w:szCs w:val="24"/>
        </w:rPr>
        <w:t xml:space="preserve">or uninfected individual </w:t>
      </w:r>
      <w:r w:rsidRPr="00D407BD">
        <w:rPr>
          <w:color w:val="000000"/>
          <w:szCs w:val="24"/>
        </w:rPr>
        <w:t xml:space="preserve">with known risk factors for </w:t>
      </w:r>
      <w:r w:rsidR="00DE76F4" w:rsidRPr="00D407BD">
        <w:rPr>
          <w:color w:val="000000"/>
          <w:szCs w:val="24"/>
        </w:rPr>
        <w:t xml:space="preserve">liver </w:t>
      </w:r>
      <w:r w:rsidRPr="00D407BD">
        <w:rPr>
          <w:color w:val="000000"/>
          <w:szCs w:val="24"/>
        </w:rPr>
        <w:t>disease</w:t>
      </w:r>
      <w:r w:rsidR="00FE2283">
        <w:rPr>
          <w:color w:val="000000"/>
          <w:szCs w:val="24"/>
        </w:rPr>
        <w:t>;</w:t>
      </w:r>
      <w:r w:rsidR="00FE2283" w:rsidRPr="00D407BD">
        <w:rPr>
          <w:color w:val="000000"/>
          <w:szCs w:val="24"/>
        </w:rPr>
        <w:t xml:space="preserve"> </w:t>
      </w:r>
      <w:r w:rsidR="00B838B5" w:rsidRPr="00D407BD">
        <w:rPr>
          <w:szCs w:val="24"/>
        </w:rPr>
        <w:t xml:space="preserve">however, cases have also been reported in </w:t>
      </w:r>
      <w:r w:rsidR="00E8503C">
        <w:rPr>
          <w:szCs w:val="24"/>
        </w:rPr>
        <w:t xml:space="preserve">HIV-1 infected </w:t>
      </w:r>
      <w:r w:rsidR="00B838B5" w:rsidRPr="00D407BD">
        <w:rPr>
          <w:szCs w:val="24"/>
        </w:rPr>
        <w:t>patients with no known risk factors</w:t>
      </w:r>
      <w:r w:rsidRPr="00D407BD">
        <w:rPr>
          <w:color w:val="000000"/>
          <w:szCs w:val="24"/>
        </w:rPr>
        <w:t xml:space="preserve">. Treatment with </w:t>
      </w:r>
      <w:r w:rsidR="00CE3F03" w:rsidRPr="00D407BD">
        <w:rPr>
          <w:color w:val="000000"/>
          <w:szCs w:val="24"/>
        </w:rPr>
        <w:t>TRUVADA</w:t>
      </w:r>
      <w:r w:rsidRPr="00D407BD">
        <w:rPr>
          <w:color w:val="000000"/>
          <w:szCs w:val="24"/>
        </w:rPr>
        <w:t xml:space="preserve"> should be suspended in any patient </w:t>
      </w:r>
      <w:r w:rsidR="00E8503C">
        <w:rPr>
          <w:color w:val="000000"/>
          <w:szCs w:val="24"/>
        </w:rPr>
        <w:t xml:space="preserve">or uninfected individual </w:t>
      </w:r>
      <w:r w:rsidRPr="00D407BD">
        <w:rPr>
          <w:color w:val="000000"/>
          <w:szCs w:val="24"/>
        </w:rPr>
        <w:t xml:space="preserve">who develops clinical or laboratory findings suggestive of lactic acidosis or </w:t>
      </w:r>
      <w:r w:rsidR="00B838B5" w:rsidRPr="00D407BD">
        <w:rPr>
          <w:szCs w:val="24"/>
        </w:rPr>
        <w:t>pronounced</w:t>
      </w:r>
      <w:r w:rsidR="00B838B5" w:rsidRPr="00D407BD">
        <w:rPr>
          <w:color w:val="000000"/>
          <w:szCs w:val="24"/>
        </w:rPr>
        <w:t xml:space="preserve"> </w:t>
      </w:r>
      <w:r w:rsidRPr="00D407BD">
        <w:rPr>
          <w:color w:val="000000"/>
          <w:szCs w:val="24"/>
        </w:rPr>
        <w:t>hepatotoxicity</w:t>
      </w:r>
      <w:r w:rsidR="00B838B5" w:rsidRPr="00D407BD">
        <w:rPr>
          <w:color w:val="000000"/>
          <w:szCs w:val="24"/>
        </w:rPr>
        <w:t xml:space="preserve"> </w:t>
      </w:r>
      <w:r w:rsidR="00B838B5" w:rsidRPr="00D407BD">
        <w:rPr>
          <w:szCs w:val="24"/>
        </w:rPr>
        <w:t>(which may include hepatomegaly and steatosis even in the absence of marked transaminase elevations)</w:t>
      </w:r>
      <w:r w:rsidRPr="00D407BD">
        <w:rPr>
          <w:color w:val="000000"/>
          <w:szCs w:val="24"/>
        </w:rPr>
        <w:t>.</w:t>
      </w:r>
    </w:p>
    <w:p w:rsidR="0003333A" w:rsidRPr="00D407BD" w:rsidRDefault="0003333A" w:rsidP="0003333A">
      <w:pPr>
        <w:rPr>
          <w:b/>
          <w:color w:val="000000"/>
          <w:szCs w:val="24"/>
        </w:rPr>
      </w:pPr>
    </w:p>
    <w:p w:rsidR="00A245B1" w:rsidRPr="00D407BD" w:rsidRDefault="00A245B1" w:rsidP="0003333A">
      <w:pPr>
        <w:rPr>
          <w:b/>
          <w:color w:val="000000"/>
          <w:szCs w:val="24"/>
        </w:rPr>
      </w:pPr>
      <w:r w:rsidRPr="00D407BD">
        <w:rPr>
          <w:b/>
          <w:color w:val="000000"/>
          <w:szCs w:val="24"/>
        </w:rPr>
        <w:t xml:space="preserve">Renal </w:t>
      </w:r>
      <w:r w:rsidR="00627082" w:rsidRPr="00D407BD">
        <w:rPr>
          <w:b/>
          <w:color w:val="000000"/>
          <w:szCs w:val="24"/>
        </w:rPr>
        <w:t>Impairment</w:t>
      </w:r>
    </w:p>
    <w:p w:rsidR="0003333A" w:rsidRPr="00D407BD" w:rsidRDefault="0003333A" w:rsidP="0003333A">
      <w:pPr>
        <w:rPr>
          <w:b/>
          <w:color w:val="000000"/>
          <w:szCs w:val="24"/>
        </w:rPr>
      </w:pPr>
    </w:p>
    <w:p w:rsidR="00FA3CA5" w:rsidRPr="00D407BD" w:rsidRDefault="00F70398" w:rsidP="009A12AB">
      <w:pPr>
        <w:pStyle w:val="Text10"/>
        <w:spacing w:after="0"/>
        <w:rPr>
          <w:szCs w:val="24"/>
          <w:lang w:val="en-AU"/>
        </w:rPr>
      </w:pPr>
      <w:proofErr w:type="spellStart"/>
      <w:r w:rsidRPr="00D407BD">
        <w:rPr>
          <w:szCs w:val="24"/>
        </w:rPr>
        <w:t>Tenofovir</w:t>
      </w:r>
      <w:proofErr w:type="spellEnd"/>
      <w:r w:rsidRPr="00D407BD">
        <w:rPr>
          <w:szCs w:val="24"/>
        </w:rPr>
        <w:t xml:space="preserve"> and </w:t>
      </w:r>
      <w:proofErr w:type="spellStart"/>
      <w:r w:rsidRPr="00D407BD">
        <w:rPr>
          <w:szCs w:val="24"/>
        </w:rPr>
        <w:t>emtricitabine</w:t>
      </w:r>
      <w:proofErr w:type="spellEnd"/>
      <w:r w:rsidRPr="00D407BD">
        <w:rPr>
          <w:szCs w:val="24"/>
        </w:rPr>
        <w:t xml:space="preserve"> are principally eliminated by the kidney.  </w:t>
      </w:r>
      <w:r w:rsidR="003D3FD7" w:rsidRPr="00D407BD">
        <w:rPr>
          <w:szCs w:val="24"/>
          <w:lang w:val="en-AU"/>
        </w:rPr>
        <w:t xml:space="preserve">Renal impairment, including cases of acute renal failure and </w:t>
      </w:r>
      <w:proofErr w:type="spellStart"/>
      <w:r w:rsidR="003D3FD7" w:rsidRPr="00D407BD">
        <w:rPr>
          <w:szCs w:val="24"/>
          <w:lang w:val="en-AU"/>
        </w:rPr>
        <w:t>Fanconi</w:t>
      </w:r>
      <w:proofErr w:type="spellEnd"/>
      <w:r w:rsidR="003D3FD7" w:rsidRPr="00D407BD">
        <w:rPr>
          <w:szCs w:val="24"/>
          <w:lang w:val="en-AU"/>
        </w:rPr>
        <w:t xml:space="preserve"> syndrome (renal tubular injury with severe hypophosphatemia), has been reported in association with the use of </w:t>
      </w:r>
      <w:r w:rsidR="0056708A" w:rsidRPr="00D407BD">
        <w:rPr>
          <w:szCs w:val="24"/>
          <w:lang w:val="en-AU"/>
        </w:rPr>
        <w:t>VIREAD (see ADVERSE REACTIONS, Post Marketing Surveillance)</w:t>
      </w:r>
      <w:r w:rsidR="003D3FD7" w:rsidRPr="00D407BD">
        <w:rPr>
          <w:szCs w:val="24"/>
          <w:lang w:val="en-AU"/>
        </w:rPr>
        <w:t xml:space="preserve">.  </w:t>
      </w:r>
    </w:p>
    <w:p w:rsidR="00E93328" w:rsidRPr="00D407BD" w:rsidRDefault="003D3FD7" w:rsidP="009A12AB">
      <w:pPr>
        <w:pStyle w:val="Text10"/>
        <w:spacing w:after="0"/>
        <w:rPr>
          <w:szCs w:val="24"/>
          <w:lang w:val="en-AU"/>
        </w:rPr>
      </w:pPr>
      <w:r w:rsidRPr="00D407BD">
        <w:rPr>
          <w:szCs w:val="24"/>
          <w:lang w:val="en-AU"/>
        </w:rPr>
        <w:br/>
        <w:t xml:space="preserve">TRUVADA should be avoided with concurrent or recent use of a nephrotoxic agent. </w:t>
      </w:r>
    </w:p>
    <w:p w:rsidR="00E93328" w:rsidRPr="00D407BD" w:rsidRDefault="00E93328" w:rsidP="009A12AB">
      <w:pPr>
        <w:pStyle w:val="Text10"/>
        <w:spacing w:after="0"/>
        <w:rPr>
          <w:szCs w:val="24"/>
          <w:lang w:val="en-AU"/>
        </w:rPr>
      </w:pPr>
    </w:p>
    <w:p w:rsidR="003D3FD7" w:rsidRDefault="00E93328" w:rsidP="009A12AB">
      <w:pPr>
        <w:pStyle w:val="Text10"/>
        <w:spacing w:after="0"/>
        <w:rPr>
          <w:szCs w:val="24"/>
          <w:lang w:val="en-AU"/>
        </w:rPr>
      </w:pPr>
      <w:r w:rsidRPr="00D407BD">
        <w:rPr>
          <w:szCs w:val="24"/>
          <w:lang w:val="en-AU"/>
        </w:rPr>
        <w:t xml:space="preserve">It is recommended that creatinine clearance is calculated in all </w:t>
      </w:r>
      <w:r w:rsidR="00C74BA8">
        <w:rPr>
          <w:szCs w:val="24"/>
          <w:lang w:val="en-AU"/>
        </w:rPr>
        <w:t>individuals</w:t>
      </w:r>
      <w:r w:rsidRPr="00D407BD">
        <w:rPr>
          <w:szCs w:val="24"/>
          <w:lang w:val="en-AU"/>
        </w:rPr>
        <w:t xml:space="preserve"> prior to initiating therapy and, as clinically appropriate, during TRUVADA therapy.  </w:t>
      </w:r>
      <w:r w:rsidR="00C74BA8">
        <w:rPr>
          <w:szCs w:val="24"/>
          <w:lang w:val="en-AU"/>
        </w:rPr>
        <w:t>All individuals</w:t>
      </w:r>
      <w:r w:rsidR="003D3FD7" w:rsidRPr="00D407BD">
        <w:rPr>
          <w:szCs w:val="24"/>
          <w:lang w:val="en-AU"/>
        </w:rPr>
        <w:t xml:space="preserve"> at risk for, or with a history of, renal dysfunction</w:t>
      </w:r>
      <w:r w:rsidR="00492B59" w:rsidRPr="00F74770">
        <w:rPr>
          <w:szCs w:val="24"/>
          <w:lang w:val="en-AU"/>
        </w:rPr>
        <w:t>,</w:t>
      </w:r>
      <w:r w:rsidR="00F74770">
        <w:rPr>
          <w:szCs w:val="24"/>
          <w:lang w:val="en-AU"/>
        </w:rPr>
        <w:t xml:space="preserve"> </w:t>
      </w:r>
      <w:r w:rsidR="00F74770" w:rsidRPr="00F74770">
        <w:rPr>
          <w:szCs w:val="24"/>
          <w:lang w:val="en-AU"/>
        </w:rPr>
        <w:t xml:space="preserve">including patients who have previously experienced renal events while receiving </w:t>
      </w:r>
      <w:proofErr w:type="spellStart"/>
      <w:r w:rsidR="00F74770" w:rsidRPr="00F74770">
        <w:rPr>
          <w:szCs w:val="24"/>
          <w:lang w:val="en-AU"/>
        </w:rPr>
        <w:t>adefovir</w:t>
      </w:r>
      <w:proofErr w:type="spellEnd"/>
      <w:r w:rsidR="00F74770" w:rsidRPr="00F74770">
        <w:rPr>
          <w:szCs w:val="24"/>
          <w:lang w:val="en-AU"/>
        </w:rPr>
        <w:t xml:space="preserve"> </w:t>
      </w:r>
      <w:proofErr w:type="spellStart"/>
      <w:r w:rsidR="00F74770" w:rsidRPr="00F74770">
        <w:rPr>
          <w:szCs w:val="24"/>
          <w:lang w:val="en-AU"/>
        </w:rPr>
        <w:t>dipivoxil</w:t>
      </w:r>
      <w:proofErr w:type="spellEnd"/>
      <w:r w:rsidR="00F74770" w:rsidRPr="00F74770">
        <w:rPr>
          <w:szCs w:val="24"/>
          <w:lang w:val="en-AU"/>
        </w:rPr>
        <w:t>,</w:t>
      </w:r>
      <w:r w:rsidR="00492B59">
        <w:rPr>
          <w:szCs w:val="24"/>
          <w:lang w:val="en-AU"/>
        </w:rPr>
        <w:t xml:space="preserve"> </w:t>
      </w:r>
      <w:r w:rsidR="003D3FD7" w:rsidRPr="00D407BD">
        <w:rPr>
          <w:szCs w:val="24"/>
          <w:lang w:val="en-AU"/>
        </w:rPr>
        <w:t xml:space="preserve">should be </w:t>
      </w:r>
      <w:r w:rsidR="00DE7290" w:rsidRPr="00D407BD">
        <w:rPr>
          <w:szCs w:val="24"/>
          <w:lang w:val="en-AU"/>
        </w:rPr>
        <w:t>routinely</w:t>
      </w:r>
      <w:r w:rsidR="003D3FD7" w:rsidRPr="00D407BD">
        <w:rPr>
          <w:szCs w:val="24"/>
          <w:lang w:val="en-AU"/>
        </w:rPr>
        <w:t xml:space="preserve"> monitored for changes in serum creatinine and phosphorus. </w:t>
      </w:r>
    </w:p>
    <w:p w:rsidR="009A12AB" w:rsidRPr="00D407BD" w:rsidRDefault="009A12AB" w:rsidP="009A12AB">
      <w:pPr>
        <w:pStyle w:val="Text10"/>
        <w:spacing w:after="0"/>
        <w:rPr>
          <w:szCs w:val="24"/>
          <w:lang w:val="en-AU"/>
        </w:rPr>
      </w:pPr>
    </w:p>
    <w:p w:rsidR="00DD5949" w:rsidRPr="009A12AB" w:rsidRDefault="009A12AB" w:rsidP="009A12AB">
      <w:pPr>
        <w:pStyle w:val="Text10"/>
        <w:rPr>
          <w:b/>
        </w:rPr>
      </w:pPr>
      <w:r w:rsidRPr="009A12AB">
        <w:rPr>
          <w:b/>
        </w:rPr>
        <w:t>Treatment of HIV-1 Infection</w:t>
      </w:r>
    </w:p>
    <w:p w:rsidR="009A12AB" w:rsidRPr="00D407BD" w:rsidRDefault="009A12AB" w:rsidP="009A12AB">
      <w:pPr>
        <w:pStyle w:val="Text10"/>
        <w:spacing w:after="0"/>
        <w:rPr>
          <w:szCs w:val="24"/>
        </w:rPr>
      </w:pPr>
      <w:r w:rsidRPr="00D407BD">
        <w:rPr>
          <w:szCs w:val="24"/>
        </w:rPr>
        <w:t xml:space="preserve">Dosing interval adjustment of </w:t>
      </w:r>
      <w:r w:rsidRPr="00D407BD">
        <w:rPr>
          <w:color w:val="000000"/>
          <w:szCs w:val="24"/>
        </w:rPr>
        <w:t>TRUVADA</w:t>
      </w:r>
      <w:r w:rsidRPr="00D407BD">
        <w:rPr>
          <w:szCs w:val="24"/>
        </w:rPr>
        <w:t xml:space="preserve"> is required in all patients with creatinine clearance &lt;</w:t>
      </w:r>
      <w:r w:rsidR="00D26EC7">
        <w:rPr>
          <w:szCs w:val="24"/>
        </w:rPr>
        <w:t>60</w:t>
      </w:r>
      <w:r w:rsidR="00D26EC7" w:rsidRPr="00D407BD">
        <w:rPr>
          <w:szCs w:val="24"/>
        </w:rPr>
        <w:t xml:space="preserve"> </w:t>
      </w:r>
      <w:r w:rsidRPr="00D407BD">
        <w:rPr>
          <w:szCs w:val="24"/>
        </w:rPr>
        <w:t>mL/min</w:t>
      </w:r>
      <w:r>
        <w:rPr>
          <w:szCs w:val="24"/>
        </w:rPr>
        <w:t xml:space="preserve"> (calculated using the Cockcroft Gault equation)</w:t>
      </w:r>
      <w:r w:rsidRPr="00D407BD">
        <w:rPr>
          <w:szCs w:val="24"/>
        </w:rPr>
        <w:t xml:space="preserve">, (see DOSAGE AND ADMINISTRATION).  Renal function should be closely monitored in these patients.  The safety and efficacy of TRUVADA therapy have not been established in patients with creatinine clearance between 30 and </w:t>
      </w:r>
      <w:r w:rsidR="00D26EC7">
        <w:rPr>
          <w:szCs w:val="24"/>
        </w:rPr>
        <w:t>59</w:t>
      </w:r>
      <w:r w:rsidR="00D26EC7" w:rsidRPr="00D407BD">
        <w:rPr>
          <w:szCs w:val="24"/>
        </w:rPr>
        <w:t xml:space="preserve"> </w:t>
      </w:r>
      <w:r w:rsidRPr="00D407BD">
        <w:rPr>
          <w:szCs w:val="24"/>
        </w:rPr>
        <w:t xml:space="preserve">ml/min, and so the potential benefit of TRUVADA therapy should be assessed against the potential risk of renal toxicity. </w:t>
      </w:r>
      <w:r w:rsidRPr="00D407BD">
        <w:rPr>
          <w:color w:val="000000"/>
          <w:szCs w:val="24"/>
        </w:rPr>
        <w:t>TRUVADA</w:t>
      </w:r>
      <w:r w:rsidRPr="00D407BD">
        <w:rPr>
          <w:szCs w:val="24"/>
        </w:rPr>
        <w:t xml:space="preserve"> should not be administered to patients with creatinine clearance &lt;30 mL/min or patients requiring </w:t>
      </w:r>
      <w:proofErr w:type="spellStart"/>
      <w:r w:rsidRPr="00D407BD">
        <w:rPr>
          <w:szCs w:val="24"/>
        </w:rPr>
        <w:t>haemodialysis</w:t>
      </w:r>
      <w:proofErr w:type="spellEnd"/>
      <w:r w:rsidRPr="00D407BD">
        <w:rPr>
          <w:szCs w:val="24"/>
        </w:rPr>
        <w:t>.</w:t>
      </w:r>
    </w:p>
    <w:p w:rsidR="009A12AB" w:rsidRPr="00D407BD" w:rsidRDefault="009A12AB" w:rsidP="009A12AB">
      <w:pPr>
        <w:pStyle w:val="Text10"/>
        <w:spacing w:after="0"/>
        <w:rPr>
          <w:szCs w:val="24"/>
        </w:rPr>
      </w:pPr>
    </w:p>
    <w:p w:rsidR="009A12AB" w:rsidRPr="009A12AB" w:rsidRDefault="009A12AB" w:rsidP="009A12AB">
      <w:pPr>
        <w:pStyle w:val="Text10"/>
        <w:rPr>
          <w:b/>
        </w:rPr>
      </w:pPr>
      <w:r w:rsidRPr="009A12AB">
        <w:rPr>
          <w:b/>
        </w:rPr>
        <w:t xml:space="preserve">Pre-exposure Prophylaxis </w:t>
      </w:r>
    </w:p>
    <w:p w:rsidR="009A12AB" w:rsidRPr="008E09DE" w:rsidRDefault="009A12AB" w:rsidP="009A12AB">
      <w:pPr>
        <w:pStyle w:val="Text10"/>
      </w:pPr>
      <w:r w:rsidRPr="008E09DE">
        <w:t xml:space="preserve">TRUVADA for a </w:t>
      </w:r>
      <w:proofErr w:type="spellStart"/>
      <w:r w:rsidRPr="008E09DE">
        <w:t>PrEP</w:t>
      </w:r>
      <w:proofErr w:type="spellEnd"/>
      <w:r w:rsidRPr="008E09DE">
        <w:t xml:space="preserve"> indication should not be used if </w:t>
      </w:r>
      <w:r>
        <w:t xml:space="preserve">estimated </w:t>
      </w:r>
      <w:r w:rsidRPr="008E09DE">
        <w:t>creatinine clearance is less than 60 mL/min.</w:t>
      </w:r>
      <w:r w:rsidRPr="008E09DE">
        <w:rPr>
          <w:szCs w:val="24"/>
        </w:rPr>
        <w:t xml:space="preserve"> If a decrease in </w:t>
      </w:r>
      <w:r>
        <w:rPr>
          <w:szCs w:val="24"/>
        </w:rPr>
        <w:t xml:space="preserve">estimated </w:t>
      </w:r>
      <w:r w:rsidRPr="008E09DE">
        <w:rPr>
          <w:szCs w:val="24"/>
        </w:rPr>
        <w:t xml:space="preserve">creatinine clearance is observed in uninfected individuals while using TRUVADA for </w:t>
      </w:r>
      <w:proofErr w:type="spellStart"/>
      <w:r w:rsidRPr="008E09DE">
        <w:rPr>
          <w:szCs w:val="24"/>
        </w:rPr>
        <w:t>PrEP</w:t>
      </w:r>
      <w:proofErr w:type="spellEnd"/>
      <w:r w:rsidRPr="008E09DE">
        <w:rPr>
          <w:szCs w:val="24"/>
        </w:rPr>
        <w:t>, evaluate potential causes and re-assess potential risks and benefits of continued use</w:t>
      </w:r>
      <w:r>
        <w:rPr>
          <w:szCs w:val="24"/>
        </w:rPr>
        <w:t xml:space="preserve"> (see DOSAGE AND ADMINISTRATION)</w:t>
      </w:r>
      <w:r w:rsidRPr="008E09DE">
        <w:rPr>
          <w:szCs w:val="24"/>
        </w:rPr>
        <w:t>.</w:t>
      </w:r>
    </w:p>
    <w:p w:rsidR="00267E89" w:rsidRDefault="00267E89" w:rsidP="00F509F7">
      <w:pPr>
        <w:rPr>
          <w:b/>
          <w:color w:val="000000"/>
          <w:szCs w:val="24"/>
        </w:rPr>
      </w:pPr>
    </w:p>
    <w:p w:rsidR="00B73929" w:rsidRPr="00F509F7" w:rsidRDefault="00B73929" w:rsidP="00F509F7">
      <w:pPr>
        <w:rPr>
          <w:b/>
          <w:color w:val="000000"/>
          <w:szCs w:val="24"/>
        </w:rPr>
      </w:pPr>
      <w:r w:rsidRPr="00F509F7">
        <w:rPr>
          <w:b/>
          <w:color w:val="000000"/>
          <w:szCs w:val="24"/>
        </w:rPr>
        <w:lastRenderedPageBreak/>
        <w:t>Drug Interactions</w:t>
      </w:r>
    </w:p>
    <w:p w:rsidR="0003333A" w:rsidRPr="00D407BD" w:rsidRDefault="0003333A" w:rsidP="0003333A">
      <w:pPr>
        <w:pStyle w:val="Header"/>
        <w:tabs>
          <w:tab w:val="left" w:pos="270"/>
        </w:tabs>
        <w:rPr>
          <w:szCs w:val="24"/>
        </w:rPr>
      </w:pPr>
    </w:p>
    <w:p w:rsidR="0003333A" w:rsidRPr="00D407BD" w:rsidRDefault="00B73929" w:rsidP="0003333A">
      <w:pPr>
        <w:pStyle w:val="TOCHeadings"/>
        <w:widowControl/>
        <w:tabs>
          <w:tab w:val="left" w:pos="720"/>
        </w:tabs>
        <w:spacing w:before="0" w:after="0"/>
        <w:rPr>
          <w:b w:val="0"/>
          <w:sz w:val="24"/>
          <w:szCs w:val="24"/>
        </w:rPr>
      </w:pPr>
      <w:proofErr w:type="spellStart"/>
      <w:r w:rsidRPr="00D407BD">
        <w:rPr>
          <w:i/>
          <w:sz w:val="24"/>
          <w:szCs w:val="24"/>
        </w:rPr>
        <w:t>Tenofovir</w:t>
      </w:r>
      <w:proofErr w:type="spellEnd"/>
      <w:r w:rsidRPr="00D407BD">
        <w:rPr>
          <w:i/>
          <w:sz w:val="24"/>
          <w:szCs w:val="24"/>
        </w:rPr>
        <w:t xml:space="preserve"> </w:t>
      </w:r>
      <w:proofErr w:type="spellStart"/>
      <w:r w:rsidRPr="00D407BD">
        <w:rPr>
          <w:i/>
          <w:sz w:val="24"/>
          <w:szCs w:val="24"/>
        </w:rPr>
        <w:t>disoproxil</w:t>
      </w:r>
      <w:proofErr w:type="spellEnd"/>
      <w:r w:rsidRPr="00D407BD">
        <w:rPr>
          <w:i/>
          <w:sz w:val="24"/>
          <w:szCs w:val="24"/>
        </w:rPr>
        <w:t xml:space="preserve"> fumarate:  </w:t>
      </w:r>
      <w:r w:rsidRPr="00D407BD">
        <w:rPr>
          <w:b w:val="0"/>
          <w:sz w:val="24"/>
          <w:szCs w:val="24"/>
        </w:rPr>
        <w:t xml:space="preserve">When </w:t>
      </w:r>
      <w:proofErr w:type="spellStart"/>
      <w:r w:rsidRPr="00D407BD">
        <w:rPr>
          <w:b w:val="0"/>
          <w:sz w:val="24"/>
          <w:szCs w:val="24"/>
        </w:rPr>
        <w:t>tenofovir</w:t>
      </w:r>
      <w:proofErr w:type="spellEnd"/>
      <w:r w:rsidRPr="00D407BD">
        <w:rPr>
          <w:b w:val="0"/>
          <w:sz w:val="24"/>
          <w:szCs w:val="24"/>
        </w:rPr>
        <w:t xml:space="preserve"> </w:t>
      </w:r>
      <w:proofErr w:type="spellStart"/>
      <w:r w:rsidRPr="00D407BD">
        <w:rPr>
          <w:b w:val="0"/>
          <w:sz w:val="24"/>
          <w:szCs w:val="24"/>
        </w:rPr>
        <w:t>disoproxil</w:t>
      </w:r>
      <w:proofErr w:type="spellEnd"/>
      <w:r w:rsidRPr="00D407BD">
        <w:rPr>
          <w:b w:val="0"/>
          <w:sz w:val="24"/>
          <w:szCs w:val="24"/>
        </w:rPr>
        <w:t xml:space="preserve"> fumarate was administered with </w:t>
      </w:r>
      <w:proofErr w:type="spellStart"/>
      <w:r w:rsidRPr="00D407BD">
        <w:rPr>
          <w:b w:val="0"/>
          <w:sz w:val="24"/>
          <w:szCs w:val="24"/>
        </w:rPr>
        <w:t>didanosine</w:t>
      </w:r>
      <w:proofErr w:type="spellEnd"/>
      <w:r w:rsidRPr="00D407BD">
        <w:rPr>
          <w:b w:val="0"/>
          <w:sz w:val="24"/>
          <w:szCs w:val="24"/>
        </w:rPr>
        <w:t xml:space="preserve"> the </w:t>
      </w:r>
      <w:proofErr w:type="spellStart"/>
      <w:r w:rsidRPr="00D407BD">
        <w:rPr>
          <w:b w:val="0"/>
          <w:sz w:val="24"/>
          <w:szCs w:val="24"/>
        </w:rPr>
        <w:t>C</w:t>
      </w:r>
      <w:r w:rsidRPr="00D407BD">
        <w:rPr>
          <w:b w:val="0"/>
          <w:sz w:val="24"/>
          <w:szCs w:val="24"/>
          <w:vertAlign w:val="subscript"/>
        </w:rPr>
        <w:t>max</w:t>
      </w:r>
      <w:proofErr w:type="spellEnd"/>
      <w:r w:rsidRPr="00D407BD">
        <w:rPr>
          <w:b w:val="0"/>
          <w:sz w:val="24"/>
          <w:szCs w:val="24"/>
        </w:rPr>
        <w:t xml:space="preserve"> and AUC of </w:t>
      </w:r>
      <w:proofErr w:type="spellStart"/>
      <w:r w:rsidRPr="00D407BD">
        <w:rPr>
          <w:b w:val="0"/>
          <w:sz w:val="24"/>
          <w:szCs w:val="24"/>
        </w:rPr>
        <w:t>didanosine</w:t>
      </w:r>
      <w:proofErr w:type="spellEnd"/>
      <w:r w:rsidRPr="00D407BD">
        <w:rPr>
          <w:b w:val="0"/>
          <w:sz w:val="24"/>
          <w:szCs w:val="24"/>
        </w:rPr>
        <w:t xml:space="preserve"> administered as either the buffered or enteric-coated formulation </w:t>
      </w:r>
      <w:r w:rsidR="0046002A" w:rsidRPr="00D407BD">
        <w:rPr>
          <w:b w:val="0"/>
          <w:sz w:val="24"/>
          <w:szCs w:val="24"/>
        </w:rPr>
        <w:t xml:space="preserve">at a dose of 400 mg daily </w:t>
      </w:r>
      <w:r w:rsidRPr="00D407BD">
        <w:rPr>
          <w:b w:val="0"/>
          <w:sz w:val="24"/>
          <w:szCs w:val="24"/>
        </w:rPr>
        <w:t>increased significantly (see</w:t>
      </w:r>
      <w:r w:rsidR="00DA5725" w:rsidRPr="00D407BD">
        <w:rPr>
          <w:b w:val="0"/>
          <w:sz w:val="24"/>
          <w:szCs w:val="24"/>
        </w:rPr>
        <w:t xml:space="preserve"> Table 2</w:t>
      </w:r>
      <w:r w:rsidRPr="00D407BD">
        <w:rPr>
          <w:b w:val="0"/>
          <w:sz w:val="24"/>
          <w:szCs w:val="24"/>
        </w:rPr>
        <w:t xml:space="preserve">).  The mechanism of this interaction is unknown.  Higher </w:t>
      </w:r>
      <w:proofErr w:type="spellStart"/>
      <w:r w:rsidRPr="00D407BD">
        <w:rPr>
          <w:b w:val="0"/>
          <w:sz w:val="24"/>
          <w:szCs w:val="24"/>
        </w:rPr>
        <w:t>didanosine</w:t>
      </w:r>
      <w:proofErr w:type="spellEnd"/>
      <w:r w:rsidRPr="00D407BD">
        <w:rPr>
          <w:b w:val="0"/>
          <w:sz w:val="24"/>
          <w:szCs w:val="24"/>
        </w:rPr>
        <w:t xml:space="preserve"> concentrations could potentiate </w:t>
      </w:r>
      <w:proofErr w:type="spellStart"/>
      <w:r w:rsidRPr="00D407BD">
        <w:rPr>
          <w:b w:val="0"/>
          <w:sz w:val="24"/>
          <w:szCs w:val="24"/>
        </w:rPr>
        <w:t>didanosine</w:t>
      </w:r>
      <w:proofErr w:type="spellEnd"/>
      <w:r w:rsidRPr="00D407BD">
        <w:rPr>
          <w:b w:val="0"/>
          <w:sz w:val="24"/>
          <w:szCs w:val="24"/>
        </w:rPr>
        <w:t xml:space="preserve">-associated adverse </w:t>
      </w:r>
      <w:r w:rsidR="00BB2EE8" w:rsidRPr="00D407BD">
        <w:rPr>
          <w:b w:val="0"/>
          <w:sz w:val="24"/>
          <w:szCs w:val="24"/>
        </w:rPr>
        <w:t>events, including pancreatitis,</w:t>
      </w:r>
      <w:r w:rsidR="000C2C4E" w:rsidRPr="00D407BD">
        <w:rPr>
          <w:b w:val="0"/>
          <w:sz w:val="24"/>
          <w:szCs w:val="24"/>
          <w:lang w:val="en-AU"/>
        </w:rPr>
        <w:t xml:space="preserve"> lactic acidosis</w:t>
      </w:r>
      <w:r w:rsidR="004C3474" w:rsidRPr="00D407BD">
        <w:rPr>
          <w:b w:val="0"/>
          <w:sz w:val="24"/>
          <w:szCs w:val="24"/>
        </w:rPr>
        <w:t xml:space="preserve"> </w:t>
      </w:r>
      <w:r w:rsidRPr="00D407BD">
        <w:rPr>
          <w:b w:val="0"/>
          <w:sz w:val="24"/>
          <w:szCs w:val="24"/>
        </w:rPr>
        <w:t>and neuropathy.</w:t>
      </w:r>
      <w:r w:rsidR="00536748" w:rsidRPr="00D407BD">
        <w:rPr>
          <w:b w:val="0"/>
          <w:sz w:val="24"/>
          <w:szCs w:val="24"/>
        </w:rPr>
        <w:t xml:space="preserve">  Suppression of CD4 cell counts has been observed in patients receiving </w:t>
      </w:r>
      <w:proofErr w:type="spellStart"/>
      <w:r w:rsidR="00536748" w:rsidRPr="00D407BD">
        <w:rPr>
          <w:b w:val="0"/>
          <w:sz w:val="24"/>
          <w:szCs w:val="24"/>
        </w:rPr>
        <w:t>tenofovir</w:t>
      </w:r>
      <w:proofErr w:type="spellEnd"/>
      <w:r w:rsidR="00536748" w:rsidRPr="00D407BD">
        <w:rPr>
          <w:b w:val="0"/>
          <w:sz w:val="24"/>
          <w:szCs w:val="24"/>
        </w:rPr>
        <w:t xml:space="preserve"> </w:t>
      </w:r>
      <w:proofErr w:type="spellStart"/>
      <w:r w:rsidR="00536748" w:rsidRPr="00D407BD">
        <w:rPr>
          <w:b w:val="0"/>
          <w:sz w:val="24"/>
          <w:szCs w:val="24"/>
        </w:rPr>
        <w:t>disoproxil</w:t>
      </w:r>
      <w:proofErr w:type="spellEnd"/>
      <w:r w:rsidR="00536748" w:rsidRPr="00D407BD">
        <w:rPr>
          <w:b w:val="0"/>
          <w:sz w:val="24"/>
          <w:szCs w:val="24"/>
        </w:rPr>
        <w:t xml:space="preserve"> fumarate with </w:t>
      </w:r>
      <w:proofErr w:type="spellStart"/>
      <w:r w:rsidR="00536748" w:rsidRPr="00D407BD">
        <w:rPr>
          <w:b w:val="0"/>
          <w:sz w:val="24"/>
          <w:szCs w:val="24"/>
        </w:rPr>
        <w:t>didanosine</w:t>
      </w:r>
      <w:proofErr w:type="spellEnd"/>
      <w:r w:rsidR="00536748" w:rsidRPr="00D407BD">
        <w:rPr>
          <w:b w:val="0"/>
          <w:sz w:val="24"/>
          <w:szCs w:val="24"/>
        </w:rPr>
        <w:t xml:space="preserve"> at a dose of 400 mg daily. </w:t>
      </w:r>
      <w:r w:rsidRPr="00D407BD">
        <w:rPr>
          <w:b w:val="0"/>
          <w:sz w:val="24"/>
          <w:szCs w:val="24"/>
        </w:rPr>
        <w:t xml:space="preserve"> In adults weighing </w:t>
      </w:r>
      <w:r w:rsidR="00F029CF" w:rsidRPr="00D407BD">
        <w:rPr>
          <w:b w:val="0"/>
          <w:sz w:val="24"/>
          <w:szCs w:val="24"/>
        </w:rPr>
        <w:t>≥</w:t>
      </w:r>
      <w:r w:rsidRPr="00D407BD">
        <w:rPr>
          <w:b w:val="0"/>
          <w:sz w:val="24"/>
          <w:szCs w:val="24"/>
        </w:rPr>
        <w:t xml:space="preserve">60kg, the </w:t>
      </w:r>
      <w:proofErr w:type="spellStart"/>
      <w:r w:rsidRPr="00D407BD">
        <w:rPr>
          <w:b w:val="0"/>
          <w:sz w:val="24"/>
          <w:szCs w:val="24"/>
        </w:rPr>
        <w:t>didanosine</w:t>
      </w:r>
      <w:proofErr w:type="spellEnd"/>
      <w:r w:rsidRPr="00D407BD">
        <w:rPr>
          <w:b w:val="0"/>
          <w:sz w:val="24"/>
          <w:szCs w:val="24"/>
        </w:rPr>
        <w:t xml:space="preserve"> dose should be reduced to 250</w:t>
      </w:r>
      <w:r w:rsidR="00CE5B34" w:rsidRPr="00D407BD">
        <w:rPr>
          <w:b w:val="0"/>
          <w:sz w:val="24"/>
          <w:szCs w:val="24"/>
        </w:rPr>
        <w:t xml:space="preserve"> </w:t>
      </w:r>
      <w:r w:rsidRPr="00D407BD">
        <w:rPr>
          <w:b w:val="0"/>
          <w:sz w:val="24"/>
          <w:szCs w:val="24"/>
        </w:rPr>
        <w:t xml:space="preserve">mg </w:t>
      </w:r>
      <w:r w:rsidR="004C3474" w:rsidRPr="00D407BD">
        <w:rPr>
          <w:b w:val="0"/>
          <w:sz w:val="24"/>
          <w:szCs w:val="24"/>
        </w:rPr>
        <w:t xml:space="preserve">daily </w:t>
      </w:r>
      <w:r w:rsidRPr="00D407BD">
        <w:rPr>
          <w:b w:val="0"/>
          <w:sz w:val="24"/>
          <w:szCs w:val="24"/>
        </w:rPr>
        <w:t xml:space="preserve">when it is co-administered with </w:t>
      </w:r>
      <w:r w:rsidR="00AF01B8" w:rsidRPr="00D407BD">
        <w:rPr>
          <w:b w:val="0"/>
          <w:color w:val="000000"/>
          <w:sz w:val="24"/>
          <w:szCs w:val="24"/>
        </w:rPr>
        <w:t>TRUVADA</w:t>
      </w:r>
      <w:r w:rsidRPr="00D407BD">
        <w:rPr>
          <w:b w:val="0"/>
          <w:sz w:val="24"/>
          <w:szCs w:val="24"/>
        </w:rPr>
        <w:t xml:space="preserve">.  Data are not available to recommend a dose adjustment of </w:t>
      </w:r>
      <w:proofErr w:type="spellStart"/>
      <w:r w:rsidRPr="00D407BD">
        <w:rPr>
          <w:b w:val="0"/>
          <w:sz w:val="24"/>
          <w:szCs w:val="24"/>
        </w:rPr>
        <w:t>didanosine</w:t>
      </w:r>
      <w:proofErr w:type="spellEnd"/>
      <w:r w:rsidRPr="00D407BD">
        <w:rPr>
          <w:b w:val="0"/>
          <w:sz w:val="24"/>
          <w:szCs w:val="24"/>
        </w:rPr>
        <w:t xml:space="preserve"> for patients weighing &lt;60 kg.  </w:t>
      </w:r>
    </w:p>
    <w:p w:rsidR="0003333A" w:rsidRPr="00D407BD" w:rsidRDefault="0003333A" w:rsidP="0003333A">
      <w:pPr>
        <w:pStyle w:val="TOCHeadings"/>
        <w:widowControl/>
        <w:tabs>
          <w:tab w:val="left" w:pos="720"/>
        </w:tabs>
        <w:spacing w:before="0" w:after="0"/>
        <w:rPr>
          <w:b w:val="0"/>
          <w:sz w:val="24"/>
          <w:szCs w:val="24"/>
        </w:rPr>
      </w:pPr>
    </w:p>
    <w:p w:rsidR="00B73929" w:rsidRPr="00D407BD" w:rsidRDefault="00B73929" w:rsidP="0003333A">
      <w:pPr>
        <w:pStyle w:val="TOCHeadings"/>
        <w:widowControl/>
        <w:tabs>
          <w:tab w:val="left" w:pos="720"/>
        </w:tabs>
        <w:spacing w:before="0" w:after="0"/>
        <w:rPr>
          <w:sz w:val="24"/>
          <w:szCs w:val="24"/>
        </w:rPr>
      </w:pPr>
      <w:proofErr w:type="gramStart"/>
      <w:r w:rsidRPr="00D407BD">
        <w:rPr>
          <w:b w:val="0"/>
          <w:sz w:val="24"/>
          <w:szCs w:val="24"/>
        </w:rPr>
        <w:t xml:space="preserve">When co-administered, </w:t>
      </w:r>
      <w:r w:rsidR="00AF01B8" w:rsidRPr="00D407BD">
        <w:rPr>
          <w:b w:val="0"/>
          <w:color w:val="000000"/>
          <w:sz w:val="24"/>
          <w:szCs w:val="24"/>
        </w:rPr>
        <w:t>TRUVADA</w:t>
      </w:r>
      <w:r w:rsidRPr="00D407BD">
        <w:rPr>
          <w:b w:val="0"/>
          <w:sz w:val="24"/>
          <w:szCs w:val="24"/>
        </w:rPr>
        <w:t xml:space="preserve"> and </w:t>
      </w:r>
      <w:proofErr w:type="spellStart"/>
      <w:r w:rsidRPr="00D407BD">
        <w:rPr>
          <w:b w:val="0"/>
          <w:sz w:val="24"/>
          <w:szCs w:val="24"/>
        </w:rPr>
        <w:t>didanosine</w:t>
      </w:r>
      <w:proofErr w:type="spellEnd"/>
      <w:r w:rsidRPr="00D407BD">
        <w:rPr>
          <w:b w:val="0"/>
          <w:sz w:val="24"/>
          <w:szCs w:val="24"/>
        </w:rPr>
        <w:t xml:space="preserve"> EC may be taken under fasted conditions or with a light meal (&lt;400 kcal, 20% fat).</w:t>
      </w:r>
      <w:proofErr w:type="gramEnd"/>
      <w:r w:rsidRPr="00D407BD">
        <w:rPr>
          <w:b w:val="0"/>
          <w:sz w:val="24"/>
          <w:szCs w:val="24"/>
        </w:rPr>
        <w:t xml:space="preserve">  Co</w:t>
      </w:r>
      <w:r w:rsidRPr="00D407BD">
        <w:rPr>
          <w:b w:val="0"/>
          <w:sz w:val="24"/>
          <w:szCs w:val="24"/>
        </w:rPr>
        <w:noBreakHyphen/>
        <w:t xml:space="preserve">administration of </w:t>
      </w:r>
      <w:proofErr w:type="spellStart"/>
      <w:r w:rsidRPr="00D407BD">
        <w:rPr>
          <w:b w:val="0"/>
          <w:sz w:val="24"/>
          <w:szCs w:val="24"/>
        </w:rPr>
        <w:t>didanosine</w:t>
      </w:r>
      <w:proofErr w:type="spellEnd"/>
      <w:r w:rsidRPr="00D407BD">
        <w:rPr>
          <w:b w:val="0"/>
          <w:sz w:val="24"/>
          <w:szCs w:val="24"/>
        </w:rPr>
        <w:t xml:space="preserve"> buffered tablet formulation with </w:t>
      </w:r>
      <w:r w:rsidR="00F1055B" w:rsidRPr="00D407BD">
        <w:rPr>
          <w:b w:val="0"/>
          <w:color w:val="000000"/>
          <w:sz w:val="24"/>
          <w:szCs w:val="24"/>
        </w:rPr>
        <w:t>TRUVADA</w:t>
      </w:r>
      <w:r w:rsidRPr="00D407BD">
        <w:rPr>
          <w:b w:val="0"/>
          <w:sz w:val="24"/>
          <w:szCs w:val="24"/>
        </w:rPr>
        <w:t xml:space="preserve"> should be under fasted conditions.  </w:t>
      </w:r>
      <w:r w:rsidRPr="00D407BD">
        <w:rPr>
          <w:sz w:val="24"/>
          <w:szCs w:val="24"/>
        </w:rPr>
        <w:t xml:space="preserve">Co-administration of </w:t>
      </w:r>
      <w:r w:rsidR="001F57AF" w:rsidRPr="00D407BD">
        <w:rPr>
          <w:color w:val="000000"/>
          <w:sz w:val="24"/>
          <w:szCs w:val="24"/>
        </w:rPr>
        <w:t>TRUVADA</w:t>
      </w:r>
      <w:r w:rsidRPr="00D407BD">
        <w:rPr>
          <w:sz w:val="24"/>
          <w:szCs w:val="24"/>
        </w:rPr>
        <w:t xml:space="preserve"> and </w:t>
      </w:r>
      <w:proofErr w:type="spellStart"/>
      <w:r w:rsidRPr="00D407BD">
        <w:rPr>
          <w:sz w:val="24"/>
          <w:szCs w:val="24"/>
        </w:rPr>
        <w:t>didanosine</w:t>
      </w:r>
      <w:proofErr w:type="spellEnd"/>
      <w:r w:rsidRPr="00D407BD">
        <w:rPr>
          <w:sz w:val="24"/>
          <w:szCs w:val="24"/>
        </w:rPr>
        <w:t xml:space="preserve"> should be undertaken with caution and patients receiving this combination should be monitored closely for </w:t>
      </w:r>
      <w:proofErr w:type="spellStart"/>
      <w:r w:rsidRPr="00D407BD">
        <w:rPr>
          <w:sz w:val="24"/>
          <w:szCs w:val="24"/>
        </w:rPr>
        <w:t>didanosine</w:t>
      </w:r>
      <w:proofErr w:type="spellEnd"/>
      <w:r w:rsidRPr="00D407BD">
        <w:rPr>
          <w:sz w:val="24"/>
          <w:szCs w:val="24"/>
        </w:rPr>
        <w:t xml:space="preserve">-associated adverse events. </w:t>
      </w:r>
      <w:proofErr w:type="spellStart"/>
      <w:r w:rsidRPr="00D407BD">
        <w:rPr>
          <w:sz w:val="24"/>
          <w:szCs w:val="24"/>
        </w:rPr>
        <w:t>Didanosine</w:t>
      </w:r>
      <w:proofErr w:type="spellEnd"/>
      <w:r w:rsidRPr="00D407BD">
        <w:rPr>
          <w:sz w:val="24"/>
          <w:szCs w:val="24"/>
        </w:rPr>
        <w:t xml:space="preserve"> should be discontinued in patients who develop </w:t>
      </w:r>
      <w:proofErr w:type="spellStart"/>
      <w:r w:rsidRPr="00D407BD">
        <w:rPr>
          <w:sz w:val="24"/>
          <w:szCs w:val="24"/>
        </w:rPr>
        <w:t>didanosine</w:t>
      </w:r>
      <w:proofErr w:type="spellEnd"/>
      <w:r w:rsidRPr="00D407BD">
        <w:rPr>
          <w:sz w:val="24"/>
          <w:szCs w:val="24"/>
        </w:rPr>
        <w:t>-associated adverse events.</w:t>
      </w:r>
    </w:p>
    <w:p w:rsidR="007E00B1" w:rsidRDefault="007E00B1" w:rsidP="0003333A">
      <w:pPr>
        <w:rPr>
          <w:rStyle w:val="msoins0"/>
          <w:iCs/>
          <w:color w:val="auto"/>
          <w:szCs w:val="24"/>
        </w:rPr>
      </w:pPr>
    </w:p>
    <w:p w:rsidR="00036FBD" w:rsidRPr="006F072F" w:rsidRDefault="00036FBD" w:rsidP="0003333A">
      <w:pPr>
        <w:rPr>
          <w:rStyle w:val="msoins0"/>
          <w:iCs/>
          <w:color w:val="auto"/>
          <w:szCs w:val="24"/>
          <w:u w:val="none"/>
        </w:rPr>
      </w:pPr>
      <w:proofErr w:type="spellStart"/>
      <w:r w:rsidRPr="006F072F">
        <w:rPr>
          <w:rStyle w:val="msoins0"/>
          <w:b/>
          <w:i/>
          <w:iCs/>
          <w:color w:val="auto"/>
          <w:szCs w:val="24"/>
          <w:u w:val="none"/>
        </w:rPr>
        <w:t>Ledipasvir</w:t>
      </w:r>
      <w:proofErr w:type="spellEnd"/>
      <w:r w:rsidRPr="006F072F">
        <w:rPr>
          <w:rStyle w:val="msoins0"/>
          <w:b/>
          <w:i/>
          <w:iCs/>
          <w:color w:val="auto"/>
          <w:szCs w:val="24"/>
          <w:u w:val="none"/>
        </w:rPr>
        <w:t>/</w:t>
      </w:r>
      <w:proofErr w:type="spellStart"/>
      <w:r w:rsidRPr="006F072F">
        <w:rPr>
          <w:rStyle w:val="msoins0"/>
          <w:b/>
          <w:i/>
          <w:iCs/>
          <w:color w:val="auto"/>
          <w:szCs w:val="24"/>
          <w:u w:val="none"/>
        </w:rPr>
        <w:t>sofosbuvir</w:t>
      </w:r>
      <w:proofErr w:type="spellEnd"/>
      <w:r w:rsidRPr="006F072F">
        <w:rPr>
          <w:rStyle w:val="msoins0"/>
          <w:i/>
          <w:iCs/>
          <w:color w:val="auto"/>
          <w:szCs w:val="24"/>
          <w:u w:val="none"/>
        </w:rPr>
        <w:t xml:space="preserve">: </w:t>
      </w:r>
      <w:proofErr w:type="spellStart"/>
      <w:r w:rsidRPr="006F072F">
        <w:rPr>
          <w:rStyle w:val="msoins0"/>
          <w:iCs/>
          <w:color w:val="auto"/>
          <w:szCs w:val="24"/>
          <w:u w:val="none"/>
        </w:rPr>
        <w:t>Coadminstration</w:t>
      </w:r>
      <w:proofErr w:type="spellEnd"/>
      <w:r w:rsidRPr="006F072F">
        <w:rPr>
          <w:rStyle w:val="msoins0"/>
          <w:iCs/>
          <w:color w:val="auto"/>
          <w:szCs w:val="24"/>
          <w:u w:val="none"/>
        </w:rPr>
        <w:t xml:space="preserve"> of </w:t>
      </w:r>
      <w:proofErr w:type="spellStart"/>
      <w:r w:rsidRPr="006F072F">
        <w:rPr>
          <w:rStyle w:val="msoins0"/>
          <w:iCs/>
          <w:color w:val="auto"/>
          <w:szCs w:val="24"/>
          <w:u w:val="none"/>
        </w:rPr>
        <w:t>tenofovir</w:t>
      </w:r>
      <w:proofErr w:type="spellEnd"/>
      <w:r w:rsidRPr="006F072F">
        <w:rPr>
          <w:rStyle w:val="msoins0"/>
          <w:iCs/>
          <w:color w:val="auto"/>
          <w:szCs w:val="24"/>
          <w:u w:val="none"/>
        </w:rPr>
        <w:t xml:space="preserve"> </w:t>
      </w:r>
      <w:proofErr w:type="spellStart"/>
      <w:r w:rsidRPr="006F072F">
        <w:rPr>
          <w:rStyle w:val="msoins0"/>
          <w:iCs/>
          <w:color w:val="auto"/>
          <w:szCs w:val="24"/>
          <w:u w:val="none"/>
        </w:rPr>
        <w:t>disoproxil</w:t>
      </w:r>
      <w:proofErr w:type="spellEnd"/>
      <w:r w:rsidRPr="006F072F">
        <w:rPr>
          <w:rStyle w:val="msoins0"/>
          <w:iCs/>
          <w:color w:val="auto"/>
          <w:szCs w:val="24"/>
          <w:u w:val="none"/>
        </w:rPr>
        <w:t xml:space="preserve"> fumarate and HARVONI (</w:t>
      </w:r>
      <w:proofErr w:type="spellStart"/>
      <w:r w:rsidRPr="006F072F">
        <w:rPr>
          <w:rStyle w:val="msoins0"/>
          <w:iCs/>
          <w:color w:val="auto"/>
          <w:szCs w:val="24"/>
          <w:u w:val="none"/>
        </w:rPr>
        <w:t>ledipasvir</w:t>
      </w:r>
      <w:proofErr w:type="spellEnd"/>
      <w:r w:rsidRPr="006F072F">
        <w:rPr>
          <w:rStyle w:val="msoins0"/>
          <w:iCs/>
          <w:color w:val="auto"/>
          <w:szCs w:val="24"/>
          <w:u w:val="none"/>
        </w:rPr>
        <w:t>/</w:t>
      </w:r>
      <w:proofErr w:type="spellStart"/>
      <w:r w:rsidRPr="006F072F">
        <w:rPr>
          <w:rStyle w:val="msoins0"/>
          <w:iCs/>
          <w:color w:val="auto"/>
          <w:szCs w:val="24"/>
          <w:u w:val="none"/>
        </w:rPr>
        <w:t>sofosbuvir</w:t>
      </w:r>
      <w:proofErr w:type="spellEnd"/>
      <w:r w:rsidRPr="006F072F">
        <w:rPr>
          <w:rStyle w:val="msoins0"/>
          <w:iCs/>
          <w:color w:val="auto"/>
          <w:szCs w:val="24"/>
          <w:u w:val="none"/>
        </w:rPr>
        <w:t xml:space="preserve">) resulted in increases in </w:t>
      </w:r>
      <w:proofErr w:type="spellStart"/>
      <w:r w:rsidRPr="006F072F">
        <w:rPr>
          <w:rStyle w:val="msoins0"/>
          <w:iCs/>
          <w:color w:val="auto"/>
          <w:szCs w:val="24"/>
          <w:u w:val="none"/>
        </w:rPr>
        <w:t>tenofovir</w:t>
      </w:r>
      <w:proofErr w:type="spellEnd"/>
      <w:r w:rsidRPr="006F072F">
        <w:rPr>
          <w:rStyle w:val="msoins0"/>
          <w:iCs/>
          <w:color w:val="auto"/>
          <w:szCs w:val="24"/>
          <w:u w:val="none"/>
        </w:rPr>
        <w:t xml:space="preserve"> AUC, </w:t>
      </w:r>
      <w:proofErr w:type="spellStart"/>
      <w:r w:rsidRPr="006F072F">
        <w:rPr>
          <w:rStyle w:val="msoins0"/>
          <w:iCs/>
          <w:color w:val="auto"/>
          <w:szCs w:val="24"/>
          <w:u w:val="none"/>
        </w:rPr>
        <w:t>C</w:t>
      </w:r>
      <w:r w:rsidRPr="006F072F">
        <w:rPr>
          <w:rStyle w:val="msoins0"/>
          <w:iCs/>
          <w:color w:val="auto"/>
          <w:szCs w:val="24"/>
          <w:u w:val="none"/>
          <w:vertAlign w:val="subscript"/>
        </w:rPr>
        <w:t>max</w:t>
      </w:r>
      <w:proofErr w:type="spellEnd"/>
      <w:r w:rsidRPr="006F072F">
        <w:rPr>
          <w:rStyle w:val="msoins0"/>
          <w:iCs/>
          <w:color w:val="auto"/>
          <w:szCs w:val="24"/>
          <w:u w:val="none"/>
        </w:rPr>
        <w:t xml:space="preserve"> and </w:t>
      </w:r>
      <w:proofErr w:type="spellStart"/>
      <w:r w:rsidRPr="006F072F">
        <w:rPr>
          <w:rStyle w:val="msoins0"/>
          <w:iCs/>
          <w:color w:val="auto"/>
          <w:szCs w:val="24"/>
          <w:u w:val="none"/>
        </w:rPr>
        <w:t>C</w:t>
      </w:r>
      <w:r w:rsidRPr="006F072F">
        <w:rPr>
          <w:rStyle w:val="msoins0"/>
          <w:iCs/>
          <w:color w:val="auto"/>
          <w:szCs w:val="24"/>
          <w:u w:val="none"/>
          <w:vertAlign w:val="subscript"/>
        </w:rPr>
        <w:t>min</w:t>
      </w:r>
      <w:proofErr w:type="spellEnd"/>
      <w:r w:rsidRPr="006F072F">
        <w:rPr>
          <w:rStyle w:val="msoins0"/>
          <w:iCs/>
          <w:color w:val="auto"/>
          <w:szCs w:val="24"/>
          <w:u w:val="none"/>
          <w:vertAlign w:val="subscript"/>
        </w:rPr>
        <w:t xml:space="preserve"> </w:t>
      </w:r>
      <w:r w:rsidRPr="006F072F">
        <w:rPr>
          <w:rStyle w:val="msoins0"/>
          <w:iCs/>
          <w:color w:val="auto"/>
          <w:szCs w:val="24"/>
          <w:u w:val="none"/>
        </w:rPr>
        <w:t xml:space="preserve">of approximately 45%, 35% and 47% respectively when administered as </w:t>
      </w:r>
      <w:proofErr w:type="spellStart"/>
      <w:r w:rsidRPr="006F072F">
        <w:rPr>
          <w:rStyle w:val="msoins0"/>
          <w:iCs/>
          <w:color w:val="auto"/>
          <w:szCs w:val="24"/>
          <w:u w:val="none"/>
        </w:rPr>
        <w:t>atazanavir</w:t>
      </w:r>
      <w:proofErr w:type="spellEnd"/>
      <w:r w:rsidRPr="006F072F">
        <w:rPr>
          <w:rStyle w:val="msoins0"/>
          <w:iCs/>
          <w:color w:val="auto"/>
          <w:szCs w:val="24"/>
          <w:u w:val="none"/>
        </w:rPr>
        <w:t xml:space="preserve">/ritonavir + TRUVADA. </w:t>
      </w:r>
    </w:p>
    <w:p w:rsidR="00036FBD" w:rsidRPr="006F072F" w:rsidRDefault="00036FBD" w:rsidP="0003333A">
      <w:pPr>
        <w:rPr>
          <w:rStyle w:val="msoins0"/>
          <w:iCs/>
          <w:color w:val="auto"/>
          <w:szCs w:val="24"/>
          <w:u w:val="none"/>
        </w:rPr>
      </w:pPr>
    </w:p>
    <w:p w:rsidR="00036FBD" w:rsidRPr="006F072F" w:rsidRDefault="00970CE8" w:rsidP="0003333A">
      <w:pPr>
        <w:rPr>
          <w:rStyle w:val="msoins0"/>
          <w:iCs/>
          <w:color w:val="auto"/>
          <w:szCs w:val="24"/>
          <w:u w:val="none"/>
        </w:rPr>
      </w:pPr>
      <w:proofErr w:type="spellStart"/>
      <w:r w:rsidRPr="006F072F">
        <w:rPr>
          <w:rStyle w:val="msoins0"/>
          <w:iCs/>
          <w:color w:val="auto"/>
          <w:szCs w:val="24"/>
          <w:u w:val="none"/>
        </w:rPr>
        <w:t>Coadministration</w:t>
      </w:r>
      <w:proofErr w:type="spellEnd"/>
      <w:r w:rsidR="00036FBD" w:rsidRPr="006F072F">
        <w:rPr>
          <w:rStyle w:val="msoins0"/>
          <w:iCs/>
          <w:color w:val="auto"/>
          <w:szCs w:val="24"/>
          <w:u w:val="none"/>
        </w:rPr>
        <w:t xml:space="preserve"> of </w:t>
      </w:r>
      <w:proofErr w:type="spellStart"/>
      <w:r w:rsidR="00036FBD" w:rsidRPr="006F072F">
        <w:rPr>
          <w:rStyle w:val="msoins0"/>
          <w:iCs/>
          <w:color w:val="auto"/>
          <w:szCs w:val="24"/>
          <w:u w:val="none"/>
        </w:rPr>
        <w:t>tenofovir</w:t>
      </w:r>
      <w:proofErr w:type="spellEnd"/>
      <w:r w:rsidR="00036FBD" w:rsidRPr="006F072F">
        <w:rPr>
          <w:rStyle w:val="msoins0"/>
          <w:iCs/>
          <w:color w:val="auto"/>
          <w:szCs w:val="24"/>
          <w:u w:val="none"/>
        </w:rPr>
        <w:t xml:space="preserve"> </w:t>
      </w:r>
      <w:proofErr w:type="spellStart"/>
      <w:r w:rsidR="00036FBD" w:rsidRPr="006F072F">
        <w:rPr>
          <w:rStyle w:val="msoins0"/>
          <w:iCs/>
          <w:color w:val="auto"/>
          <w:szCs w:val="24"/>
          <w:u w:val="none"/>
        </w:rPr>
        <w:t>disoproxil</w:t>
      </w:r>
      <w:proofErr w:type="spellEnd"/>
      <w:r w:rsidR="00036FBD" w:rsidRPr="006F072F">
        <w:rPr>
          <w:rStyle w:val="msoins0"/>
          <w:iCs/>
          <w:color w:val="auto"/>
          <w:szCs w:val="24"/>
          <w:u w:val="none"/>
        </w:rPr>
        <w:t xml:space="preserve"> fumarate and HARVONI resulted in increases in </w:t>
      </w:r>
      <w:proofErr w:type="spellStart"/>
      <w:r w:rsidR="00036FBD" w:rsidRPr="006F072F">
        <w:rPr>
          <w:rStyle w:val="msoins0"/>
          <w:iCs/>
          <w:color w:val="auto"/>
          <w:szCs w:val="24"/>
          <w:u w:val="none"/>
        </w:rPr>
        <w:t>tenofovir</w:t>
      </w:r>
      <w:proofErr w:type="spellEnd"/>
      <w:r w:rsidR="00036FBD" w:rsidRPr="006F072F">
        <w:rPr>
          <w:rStyle w:val="msoins0"/>
          <w:iCs/>
          <w:color w:val="auto"/>
          <w:szCs w:val="24"/>
          <w:u w:val="none"/>
        </w:rPr>
        <w:t xml:space="preserve"> AUC, </w:t>
      </w:r>
      <w:proofErr w:type="spellStart"/>
      <w:r w:rsidR="00036FBD" w:rsidRPr="006F072F">
        <w:rPr>
          <w:rStyle w:val="msoins0"/>
          <w:iCs/>
          <w:color w:val="auto"/>
          <w:szCs w:val="24"/>
          <w:u w:val="none"/>
        </w:rPr>
        <w:t>C</w:t>
      </w:r>
      <w:r w:rsidR="00036FBD" w:rsidRPr="006F072F">
        <w:rPr>
          <w:rStyle w:val="msoins0"/>
          <w:iCs/>
          <w:color w:val="auto"/>
          <w:szCs w:val="24"/>
          <w:u w:val="none"/>
          <w:vertAlign w:val="subscript"/>
        </w:rPr>
        <w:t>max</w:t>
      </w:r>
      <w:proofErr w:type="spellEnd"/>
      <w:r w:rsidR="00036FBD" w:rsidRPr="006F072F">
        <w:rPr>
          <w:rStyle w:val="msoins0"/>
          <w:iCs/>
          <w:color w:val="auto"/>
          <w:szCs w:val="24"/>
          <w:u w:val="none"/>
        </w:rPr>
        <w:t xml:space="preserve"> and </w:t>
      </w:r>
      <w:proofErr w:type="spellStart"/>
      <w:r w:rsidR="00036FBD" w:rsidRPr="006F072F">
        <w:rPr>
          <w:rStyle w:val="msoins0"/>
          <w:iCs/>
          <w:color w:val="auto"/>
          <w:szCs w:val="24"/>
          <w:u w:val="none"/>
        </w:rPr>
        <w:t>C</w:t>
      </w:r>
      <w:r w:rsidR="00036FBD" w:rsidRPr="006F072F">
        <w:rPr>
          <w:rStyle w:val="msoins0"/>
          <w:iCs/>
          <w:color w:val="auto"/>
          <w:szCs w:val="24"/>
          <w:u w:val="none"/>
          <w:vertAlign w:val="subscript"/>
        </w:rPr>
        <w:t>min</w:t>
      </w:r>
      <w:proofErr w:type="spellEnd"/>
      <w:r w:rsidR="00036FBD" w:rsidRPr="006F072F">
        <w:rPr>
          <w:rStyle w:val="msoins0"/>
          <w:iCs/>
          <w:color w:val="auto"/>
          <w:szCs w:val="24"/>
          <w:u w:val="none"/>
          <w:vertAlign w:val="subscript"/>
        </w:rPr>
        <w:t xml:space="preserve"> </w:t>
      </w:r>
      <w:r w:rsidR="00036FBD" w:rsidRPr="006F072F">
        <w:rPr>
          <w:rStyle w:val="msoins0"/>
          <w:iCs/>
          <w:color w:val="auto"/>
          <w:szCs w:val="24"/>
          <w:u w:val="none"/>
        </w:rPr>
        <w:t xml:space="preserve">of approximately 64%, 50% and 59% respectively when administered as </w:t>
      </w:r>
      <w:proofErr w:type="spellStart"/>
      <w:r w:rsidR="00036FBD" w:rsidRPr="006F072F">
        <w:rPr>
          <w:rStyle w:val="msoins0"/>
          <w:iCs/>
          <w:color w:val="auto"/>
          <w:szCs w:val="24"/>
          <w:u w:val="none"/>
        </w:rPr>
        <w:t>darunavir</w:t>
      </w:r>
      <w:proofErr w:type="spellEnd"/>
      <w:r w:rsidR="00036FBD" w:rsidRPr="006F072F">
        <w:rPr>
          <w:rStyle w:val="msoins0"/>
          <w:iCs/>
          <w:color w:val="auto"/>
          <w:szCs w:val="24"/>
          <w:u w:val="none"/>
        </w:rPr>
        <w:t xml:space="preserve">/ritonavir + TRUVADA.  </w:t>
      </w:r>
    </w:p>
    <w:p w:rsidR="00036FBD" w:rsidRPr="006F072F" w:rsidRDefault="00036FBD" w:rsidP="0003333A">
      <w:pPr>
        <w:rPr>
          <w:rStyle w:val="msoins0"/>
          <w:iCs/>
          <w:color w:val="auto"/>
          <w:szCs w:val="24"/>
          <w:u w:val="none"/>
        </w:rPr>
      </w:pPr>
    </w:p>
    <w:p w:rsidR="00036FBD" w:rsidRPr="006F072F" w:rsidRDefault="00036FBD" w:rsidP="0003333A">
      <w:pPr>
        <w:rPr>
          <w:rStyle w:val="msoins0"/>
          <w:iCs/>
          <w:color w:val="auto"/>
          <w:szCs w:val="24"/>
          <w:u w:val="none"/>
        </w:rPr>
      </w:pPr>
      <w:r w:rsidRPr="006F072F">
        <w:rPr>
          <w:rStyle w:val="msoins0"/>
          <w:iCs/>
          <w:color w:val="auto"/>
          <w:szCs w:val="24"/>
          <w:u w:val="none"/>
        </w:rPr>
        <w:t xml:space="preserve">Patients receiving a regimen containing </w:t>
      </w:r>
      <w:proofErr w:type="spellStart"/>
      <w:r w:rsidRPr="006F072F">
        <w:rPr>
          <w:rStyle w:val="msoins0"/>
          <w:iCs/>
          <w:color w:val="auto"/>
          <w:szCs w:val="24"/>
          <w:u w:val="none"/>
        </w:rPr>
        <w:t>tenofovir</w:t>
      </w:r>
      <w:proofErr w:type="spellEnd"/>
      <w:r w:rsidRPr="006F072F">
        <w:rPr>
          <w:rStyle w:val="msoins0"/>
          <w:iCs/>
          <w:color w:val="auto"/>
          <w:szCs w:val="24"/>
          <w:u w:val="none"/>
        </w:rPr>
        <w:t xml:space="preserve"> </w:t>
      </w:r>
      <w:proofErr w:type="spellStart"/>
      <w:r w:rsidRPr="006F072F">
        <w:rPr>
          <w:rStyle w:val="msoins0"/>
          <w:iCs/>
          <w:color w:val="auto"/>
          <w:szCs w:val="24"/>
          <w:u w:val="none"/>
        </w:rPr>
        <w:t>disoproxil</w:t>
      </w:r>
      <w:proofErr w:type="spellEnd"/>
      <w:r w:rsidRPr="006F072F">
        <w:rPr>
          <w:rStyle w:val="msoins0"/>
          <w:iCs/>
          <w:color w:val="auto"/>
          <w:szCs w:val="24"/>
          <w:u w:val="none"/>
        </w:rPr>
        <w:t xml:space="preserve"> fumarate concomitantly with HARVONI should be monitored for adverse reactions associated with </w:t>
      </w:r>
      <w:proofErr w:type="spellStart"/>
      <w:r w:rsidRPr="006F072F">
        <w:rPr>
          <w:rStyle w:val="msoins0"/>
          <w:iCs/>
          <w:color w:val="auto"/>
          <w:szCs w:val="24"/>
          <w:u w:val="none"/>
        </w:rPr>
        <w:t>tenofovir</w:t>
      </w:r>
      <w:proofErr w:type="spellEnd"/>
      <w:r w:rsidRPr="006F072F">
        <w:rPr>
          <w:rStyle w:val="msoins0"/>
          <w:iCs/>
          <w:color w:val="auto"/>
          <w:szCs w:val="24"/>
          <w:u w:val="none"/>
        </w:rPr>
        <w:t xml:space="preserve"> </w:t>
      </w:r>
      <w:proofErr w:type="spellStart"/>
      <w:r w:rsidRPr="006F072F">
        <w:rPr>
          <w:rStyle w:val="msoins0"/>
          <w:iCs/>
          <w:color w:val="auto"/>
          <w:szCs w:val="24"/>
          <w:u w:val="none"/>
        </w:rPr>
        <w:t>disoproxil</w:t>
      </w:r>
      <w:proofErr w:type="spellEnd"/>
      <w:r w:rsidRPr="006F072F">
        <w:rPr>
          <w:rStyle w:val="msoins0"/>
          <w:iCs/>
          <w:color w:val="auto"/>
          <w:szCs w:val="24"/>
          <w:u w:val="none"/>
        </w:rPr>
        <w:t xml:space="preserve"> fumarate.</w:t>
      </w:r>
    </w:p>
    <w:p w:rsidR="00036FBD" w:rsidRDefault="00036FBD" w:rsidP="0003333A">
      <w:pPr>
        <w:rPr>
          <w:rStyle w:val="msoins0"/>
          <w:iCs/>
          <w:color w:val="auto"/>
          <w:szCs w:val="24"/>
        </w:rPr>
      </w:pPr>
    </w:p>
    <w:p w:rsidR="00036FBD" w:rsidRDefault="00036FBD" w:rsidP="00D6227F">
      <w:pPr>
        <w:rPr>
          <w:szCs w:val="24"/>
        </w:rPr>
      </w:pPr>
      <w:proofErr w:type="spellStart"/>
      <w:r w:rsidRPr="00EC4F6A">
        <w:rPr>
          <w:b/>
          <w:i/>
          <w:szCs w:val="24"/>
        </w:rPr>
        <w:t>Sofosbuvir</w:t>
      </w:r>
      <w:proofErr w:type="spellEnd"/>
      <w:r w:rsidRPr="00EC4F6A">
        <w:rPr>
          <w:b/>
          <w:i/>
          <w:szCs w:val="24"/>
        </w:rPr>
        <w:t>:</w:t>
      </w:r>
      <w:r>
        <w:rPr>
          <w:szCs w:val="24"/>
        </w:rPr>
        <w:t xml:space="preserve"> </w:t>
      </w:r>
      <w:r w:rsidRPr="00D601D2">
        <w:rPr>
          <w:szCs w:val="24"/>
        </w:rPr>
        <w:t xml:space="preserve">In </w:t>
      </w:r>
      <w:r>
        <w:rPr>
          <w:szCs w:val="24"/>
        </w:rPr>
        <w:t xml:space="preserve">a </w:t>
      </w:r>
      <w:r w:rsidRPr="00D601D2">
        <w:rPr>
          <w:szCs w:val="24"/>
        </w:rPr>
        <w:t>drug interaction stud</w:t>
      </w:r>
      <w:r>
        <w:rPr>
          <w:szCs w:val="24"/>
        </w:rPr>
        <w:t>y of</w:t>
      </w:r>
      <w:r w:rsidRPr="00D601D2">
        <w:rPr>
          <w:szCs w:val="24"/>
        </w:rPr>
        <w:t xml:space="preserve"> </w:t>
      </w:r>
      <w:r>
        <w:rPr>
          <w:szCs w:val="24"/>
        </w:rPr>
        <w:t xml:space="preserve">a regimen containing </w:t>
      </w:r>
      <w:proofErr w:type="spellStart"/>
      <w:r w:rsidRPr="00D601D2">
        <w:rPr>
          <w:szCs w:val="24"/>
        </w:rPr>
        <w:t>tenofovir</w:t>
      </w:r>
      <w:proofErr w:type="spellEnd"/>
      <w:r w:rsidRPr="00D601D2">
        <w:rPr>
          <w:szCs w:val="24"/>
        </w:rPr>
        <w:t xml:space="preserve"> </w:t>
      </w:r>
      <w:proofErr w:type="spellStart"/>
      <w:r w:rsidRPr="00D601D2">
        <w:rPr>
          <w:szCs w:val="24"/>
        </w:rPr>
        <w:t>disoproxil</w:t>
      </w:r>
      <w:proofErr w:type="spellEnd"/>
      <w:r w:rsidRPr="00D601D2">
        <w:rPr>
          <w:szCs w:val="24"/>
        </w:rPr>
        <w:t xml:space="preserve"> fumarate </w:t>
      </w:r>
      <w:r>
        <w:rPr>
          <w:szCs w:val="24"/>
        </w:rPr>
        <w:t xml:space="preserve">given </w:t>
      </w:r>
      <w:r w:rsidRPr="00054CEB">
        <w:rPr>
          <w:rStyle w:val="msoins0"/>
          <w:iCs/>
          <w:color w:val="auto"/>
          <w:szCs w:val="24"/>
          <w:u w:val="none"/>
        </w:rPr>
        <w:t>concomitantly with</w:t>
      </w:r>
      <w:r>
        <w:rPr>
          <w:rStyle w:val="msoins0"/>
          <w:iCs/>
          <w:color w:val="auto"/>
          <w:szCs w:val="24"/>
        </w:rPr>
        <w:t xml:space="preserve"> </w:t>
      </w:r>
      <w:r w:rsidRPr="00EC4F6A">
        <w:rPr>
          <w:szCs w:val="24"/>
        </w:rPr>
        <w:t>SOVALDI (</w:t>
      </w:r>
      <w:proofErr w:type="spellStart"/>
      <w:r w:rsidRPr="00EC4F6A">
        <w:rPr>
          <w:szCs w:val="24"/>
        </w:rPr>
        <w:t>sofosbuvir</w:t>
      </w:r>
      <w:proofErr w:type="spellEnd"/>
      <w:r w:rsidRPr="00EC4F6A">
        <w:rPr>
          <w:szCs w:val="24"/>
        </w:rPr>
        <w:t>)</w:t>
      </w:r>
      <w:r>
        <w:rPr>
          <w:szCs w:val="24"/>
        </w:rPr>
        <w:t xml:space="preserve">, </w:t>
      </w:r>
      <w:proofErr w:type="spellStart"/>
      <w:r w:rsidRPr="006D3DA1">
        <w:rPr>
          <w:szCs w:val="24"/>
        </w:rPr>
        <w:t>tenofovir</w:t>
      </w:r>
      <w:proofErr w:type="spellEnd"/>
      <w:r w:rsidRPr="006D3DA1">
        <w:rPr>
          <w:szCs w:val="24"/>
        </w:rPr>
        <w:t xml:space="preserve"> </w:t>
      </w:r>
      <w:proofErr w:type="spellStart"/>
      <w:r w:rsidRPr="006D3DA1">
        <w:rPr>
          <w:szCs w:val="24"/>
        </w:rPr>
        <w:t>C</w:t>
      </w:r>
      <w:r w:rsidRPr="005277C2">
        <w:rPr>
          <w:szCs w:val="24"/>
          <w:vertAlign w:val="subscript"/>
        </w:rPr>
        <w:t>max</w:t>
      </w:r>
      <w:proofErr w:type="spellEnd"/>
      <w:r w:rsidRPr="006D3DA1">
        <w:rPr>
          <w:szCs w:val="24"/>
        </w:rPr>
        <w:t xml:space="preserve"> </w:t>
      </w:r>
      <w:r>
        <w:rPr>
          <w:szCs w:val="24"/>
        </w:rPr>
        <w:t>increased by 25%</w:t>
      </w:r>
      <w:r w:rsidRPr="006D3DA1">
        <w:rPr>
          <w:szCs w:val="24"/>
        </w:rPr>
        <w:t xml:space="preserve">. </w:t>
      </w:r>
      <w:proofErr w:type="spellStart"/>
      <w:r w:rsidRPr="006D3DA1">
        <w:rPr>
          <w:szCs w:val="24"/>
        </w:rPr>
        <w:t>Tenofovir</w:t>
      </w:r>
      <w:proofErr w:type="spellEnd"/>
      <w:r w:rsidRPr="006D3DA1">
        <w:rPr>
          <w:szCs w:val="24"/>
        </w:rPr>
        <w:t xml:space="preserve"> AUC and </w:t>
      </w:r>
      <w:proofErr w:type="spellStart"/>
      <w:r w:rsidRPr="006D3DA1">
        <w:rPr>
          <w:szCs w:val="24"/>
        </w:rPr>
        <w:t>C</w:t>
      </w:r>
      <w:r w:rsidRPr="005277C2">
        <w:rPr>
          <w:szCs w:val="24"/>
          <w:vertAlign w:val="subscript"/>
        </w:rPr>
        <w:t>min</w:t>
      </w:r>
      <w:proofErr w:type="spellEnd"/>
      <w:r w:rsidRPr="006D3DA1">
        <w:rPr>
          <w:szCs w:val="24"/>
        </w:rPr>
        <w:t xml:space="preserve"> were unaltered by </w:t>
      </w:r>
      <w:proofErr w:type="spellStart"/>
      <w:r w:rsidRPr="006D3DA1">
        <w:rPr>
          <w:szCs w:val="24"/>
        </w:rPr>
        <w:t>sofosbuvir</w:t>
      </w:r>
      <w:proofErr w:type="spellEnd"/>
      <w:r w:rsidRPr="006D3DA1">
        <w:rPr>
          <w:szCs w:val="24"/>
        </w:rPr>
        <w:t xml:space="preserve"> </w:t>
      </w:r>
      <w:proofErr w:type="spellStart"/>
      <w:r w:rsidRPr="006D3DA1">
        <w:rPr>
          <w:szCs w:val="24"/>
        </w:rPr>
        <w:t>coadministration</w:t>
      </w:r>
      <w:proofErr w:type="spellEnd"/>
      <w:r w:rsidRPr="006D3DA1">
        <w:rPr>
          <w:szCs w:val="24"/>
        </w:rPr>
        <w:t xml:space="preserve">. No dose adjustment of ATRIPLA or </w:t>
      </w:r>
      <w:r>
        <w:rPr>
          <w:szCs w:val="24"/>
        </w:rPr>
        <w:t>TRUVADA</w:t>
      </w:r>
      <w:r w:rsidRPr="006D3DA1">
        <w:rPr>
          <w:szCs w:val="24"/>
        </w:rPr>
        <w:t xml:space="preserve"> is required</w:t>
      </w:r>
      <w:r>
        <w:rPr>
          <w:szCs w:val="24"/>
        </w:rPr>
        <w:t>.</w:t>
      </w:r>
    </w:p>
    <w:p w:rsidR="00036FBD" w:rsidRPr="00D407BD" w:rsidRDefault="00036FBD" w:rsidP="0003333A">
      <w:pPr>
        <w:rPr>
          <w:rStyle w:val="msoins0"/>
          <w:iCs/>
          <w:color w:val="auto"/>
          <w:szCs w:val="24"/>
        </w:rPr>
      </w:pPr>
    </w:p>
    <w:p w:rsidR="007E00B1" w:rsidRPr="00D407BD" w:rsidRDefault="00B01599" w:rsidP="0003333A">
      <w:pPr>
        <w:rPr>
          <w:rStyle w:val="msoins0"/>
          <w:iCs/>
          <w:color w:val="auto"/>
          <w:szCs w:val="24"/>
          <w:u w:val="none"/>
        </w:rPr>
      </w:pPr>
      <w:proofErr w:type="spellStart"/>
      <w:r w:rsidRPr="00D407BD">
        <w:rPr>
          <w:rStyle w:val="msoins0"/>
          <w:iCs/>
          <w:color w:val="auto"/>
          <w:szCs w:val="24"/>
          <w:u w:val="none"/>
        </w:rPr>
        <w:t>Tenofovir</w:t>
      </w:r>
      <w:proofErr w:type="spellEnd"/>
      <w:r w:rsidRPr="00D407BD">
        <w:rPr>
          <w:rStyle w:val="msoins0"/>
          <w:iCs/>
          <w:color w:val="auto"/>
          <w:szCs w:val="24"/>
          <w:u w:val="none"/>
        </w:rPr>
        <w:t xml:space="preserve"> </w:t>
      </w:r>
      <w:proofErr w:type="spellStart"/>
      <w:r w:rsidR="00B10D8A" w:rsidRPr="00D407BD">
        <w:rPr>
          <w:rStyle w:val="msoins0"/>
          <w:iCs/>
          <w:color w:val="auto"/>
          <w:szCs w:val="24"/>
          <w:u w:val="none"/>
        </w:rPr>
        <w:t>disoproxil</w:t>
      </w:r>
      <w:proofErr w:type="spellEnd"/>
      <w:r w:rsidRPr="00D407BD">
        <w:rPr>
          <w:rStyle w:val="msoins0"/>
          <w:iCs/>
          <w:color w:val="auto"/>
          <w:szCs w:val="24"/>
          <w:u w:val="none"/>
        </w:rPr>
        <w:t xml:space="preserve"> fumarate</w:t>
      </w:r>
      <w:r w:rsidR="007E00B1" w:rsidRPr="00D407BD">
        <w:rPr>
          <w:rStyle w:val="msoins0"/>
          <w:iCs/>
          <w:color w:val="auto"/>
          <w:szCs w:val="24"/>
          <w:u w:val="none"/>
        </w:rPr>
        <w:t xml:space="preserve"> affects the pharmacokinetics of </w:t>
      </w:r>
      <w:proofErr w:type="spellStart"/>
      <w:r w:rsidR="007E00B1" w:rsidRPr="00D407BD">
        <w:rPr>
          <w:rStyle w:val="msoins0"/>
          <w:iCs/>
          <w:color w:val="auto"/>
          <w:szCs w:val="24"/>
          <w:u w:val="none"/>
        </w:rPr>
        <w:t>atazanavir</w:t>
      </w:r>
      <w:proofErr w:type="spellEnd"/>
      <w:r w:rsidR="00E4091D" w:rsidRPr="00D407BD">
        <w:rPr>
          <w:rStyle w:val="msoins0"/>
          <w:iCs/>
          <w:color w:val="auto"/>
          <w:szCs w:val="24"/>
          <w:u w:val="none"/>
        </w:rPr>
        <w:t xml:space="preserve"> (see</w:t>
      </w:r>
      <w:r w:rsidR="00DA5725" w:rsidRPr="00D407BD">
        <w:rPr>
          <w:rStyle w:val="msoins0"/>
          <w:iCs/>
          <w:color w:val="auto"/>
          <w:szCs w:val="24"/>
          <w:u w:val="none"/>
        </w:rPr>
        <w:t xml:space="preserve"> Table 2</w:t>
      </w:r>
      <w:r w:rsidR="00E4091D" w:rsidRPr="00D407BD">
        <w:rPr>
          <w:rStyle w:val="msoins0"/>
          <w:iCs/>
          <w:color w:val="auto"/>
          <w:szCs w:val="24"/>
          <w:u w:val="none"/>
        </w:rPr>
        <w:t>)</w:t>
      </w:r>
      <w:r w:rsidR="007E00B1" w:rsidRPr="00D407BD">
        <w:rPr>
          <w:rStyle w:val="msoins0"/>
          <w:iCs/>
          <w:color w:val="auto"/>
          <w:szCs w:val="24"/>
          <w:u w:val="none"/>
        </w:rPr>
        <w:t xml:space="preserve">. </w:t>
      </w:r>
      <w:r w:rsidRPr="00D407BD">
        <w:rPr>
          <w:rStyle w:val="msoins0"/>
          <w:iCs/>
          <w:color w:val="auto"/>
          <w:szCs w:val="24"/>
          <w:u w:val="none"/>
        </w:rPr>
        <w:t>TRUVADA</w:t>
      </w:r>
      <w:r w:rsidR="007E00B1" w:rsidRPr="00D407BD">
        <w:rPr>
          <w:rStyle w:val="msoins0"/>
          <w:iCs/>
          <w:color w:val="auto"/>
          <w:szCs w:val="24"/>
          <w:u w:val="none"/>
        </w:rPr>
        <w:t xml:space="preserve"> should only be administered with boosted </w:t>
      </w:r>
      <w:proofErr w:type="spellStart"/>
      <w:r w:rsidR="007E00B1" w:rsidRPr="00D407BD">
        <w:rPr>
          <w:rStyle w:val="msoins0"/>
          <w:iCs/>
          <w:color w:val="auto"/>
          <w:szCs w:val="24"/>
          <w:u w:val="none"/>
        </w:rPr>
        <w:t>atazanavir</w:t>
      </w:r>
      <w:proofErr w:type="spellEnd"/>
      <w:r w:rsidR="007E00B1" w:rsidRPr="00D407BD">
        <w:rPr>
          <w:rStyle w:val="msoins0"/>
          <w:iCs/>
          <w:color w:val="auto"/>
          <w:szCs w:val="24"/>
          <w:u w:val="none"/>
        </w:rPr>
        <w:t xml:space="preserve"> (ATZ 300mg/RTV 100mg). The safety and efficacy of this regimen has been substantiated over 48 weeks in a clinical study.</w:t>
      </w:r>
    </w:p>
    <w:p w:rsidR="00FA60FF" w:rsidRPr="00D407BD" w:rsidRDefault="00FA60FF" w:rsidP="0003333A">
      <w:pPr>
        <w:rPr>
          <w:szCs w:val="24"/>
        </w:rPr>
      </w:pPr>
    </w:p>
    <w:p w:rsidR="00B73929" w:rsidRPr="00D407BD" w:rsidRDefault="00B73929" w:rsidP="0003333A">
      <w:pPr>
        <w:rPr>
          <w:szCs w:val="24"/>
        </w:rPr>
      </w:pPr>
      <w:r w:rsidRPr="00D407BD">
        <w:rPr>
          <w:szCs w:val="24"/>
        </w:rPr>
        <w:t xml:space="preserve">Since </w:t>
      </w:r>
      <w:proofErr w:type="spellStart"/>
      <w:r w:rsidRPr="00D407BD">
        <w:rPr>
          <w:szCs w:val="24"/>
        </w:rPr>
        <w:t>tenofovir</w:t>
      </w:r>
      <w:proofErr w:type="spellEnd"/>
      <w:r w:rsidRPr="00D407BD">
        <w:rPr>
          <w:szCs w:val="24"/>
        </w:rPr>
        <w:t xml:space="preserve"> and </w:t>
      </w:r>
      <w:proofErr w:type="spellStart"/>
      <w:r w:rsidRPr="00D407BD">
        <w:rPr>
          <w:szCs w:val="24"/>
        </w:rPr>
        <w:t>emtricitabine</w:t>
      </w:r>
      <w:proofErr w:type="spellEnd"/>
      <w:r w:rsidRPr="00D407BD">
        <w:rPr>
          <w:szCs w:val="24"/>
        </w:rPr>
        <w:t xml:space="preserve"> are primarily eliminated by the kidneys, co-administration of </w:t>
      </w:r>
      <w:r w:rsidR="0008230E" w:rsidRPr="00D407BD">
        <w:rPr>
          <w:color w:val="000000"/>
          <w:szCs w:val="24"/>
        </w:rPr>
        <w:t>TRUVADA</w:t>
      </w:r>
      <w:r w:rsidRPr="00D407BD">
        <w:rPr>
          <w:szCs w:val="24"/>
        </w:rPr>
        <w:t xml:space="preserve"> with drugs that reduce renal function or compete for active tubular secretion may increase serum concentrations of </w:t>
      </w:r>
      <w:proofErr w:type="spellStart"/>
      <w:r w:rsidRPr="00D407BD">
        <w:rPr>
          <w:szCs w:val="24"/>
        </w:rPr>
        <w:t>tenofovir</w:t>
      </w:r>
      <w:proofErr w:type="spellEnd"/>
      <w:r w:rsidRPr="00D407BD">
        <w:rPr>
          <w:szCs w:val="24"/>
        </w:rPr>
        <w:t xml:space="preserve">, </w:t>
      </w:r>
      <w:proofErr w:type="spellStart"/>
      <w:r w:rsidRPr="00D407BD">
        <w:rPr>
          <w:szCs w:val="24"/>
        </w:rPr>
        <w:t>emtricitabine</w:t>
      </w:r>
      <w:proofErr w:type="spellEnd"/>
      <w:r w:rsidRPr="00D407BD">
        <w:rPr>
          <w:szCs w:val="24"/>
        </w:rPr>
        <w:t xml:space="preserve">, and/or other </w:t>
      </w:r>
      <w:proofErr w:type="spellStart"/>
      <w:r w:rsidRPr="00D407BD">
        <w:rPr>
          <w:szCs w:val="24"/>
        </w:rPr>
        <w:t>renally</w:t>
      </w:r>
      <w:proofErr w:type="spellEnd"/>
      <w:r w:rsidRPr="00D407BD">
        <w:rPr>
          <w:szCs w:val="24"/>
        </w:rPr>
        <w:t xml:space="preserve"> eliminated drugs. </w:t>
      </w:r>
    </w:p>
    <w:p w:rsidR="00EF451A" w:rsidRPr="00D407BD" w:rsidRDefault="00EF451A" w:rsidP="0003333A">
      <w:pPr>
        <w:pStyle w:val="Text10"/>
        <w:spacing w:after="0"/>
        <w:rPr>
          <w:szCs w:val="24"/>
          <w:lang w:val="en-AU"/>
        </w:rPr>
      </w:pPr>
    </w:p>
    <w:p w:rsidR="0033236A" w:rsidRPr="00D407BD" w:rsidRDefault="0033236A" w:rsidP="0003333A">
      <w:pPr>
        <w:rPr>
          <w:b/>
          <w:color w:val="000000"/>
          <w:szCs w:val="24"/>
        </w:rPr>
      </w:pPr>
      <w:r w:rsidRPr="00D407BD">
        <w:rPr>
          <w:b/>
          <w:color w:val="000000"/>
          <w:szCs w:val="24"/>
        </w:rPr>
        <w:lastRenderedPageBreak/>
        <w:t xml:space="preserve">Bone </w:t>
      </w:r>
      <w:r w:rsidR="0064577C" w:rsidRPr="00D407BD">
        <w:rPr>
          <w:b/>
          <w:color w:val="000000"/>
          <w:szCs w:val="24"/>
        </w:rPr>
        <w:t>Effects</w:t>
      </w:r>
    </w:p>
    <w:p w:rsidR="0003333A" w:rsidRPr="00D407BD" w:rsidRDefault="0003333A" w:rsidP="0003333A">
      <w:pPr>
        <w:rPr>
          <w:b/>
          <w:color w:val="000000"/>
          <w:szCs w:val="24"/>
        </w:rPr>
      </w:pPr>
    </w:p>
    <w:p w:rsidR="00422F0F" w:rsidRPr="00D407BD" w:rsidRDefault="0099381C" w:rsidP="0003333A">
      <w:pPr>
        <w:rPr>
          <w:szCs w:val="24"/>
        </w:rPr>
      </w:pPr>
      <w:r w:rsidRPr="00D407BD">
        <w:rPr>
          <w:color w:val="000000"/>
          <w:szCs w:val="24"/>
        </w:rPr>
        <w:t xml:space="preserve">Bone toxicities </w:t>
      </w:r>
      <w:r w:rsidRPr="00D407BD">
        <w:rPr>
          <w:snapToGrid w:val="0"/>
          <w:szCs w:val="24"/>
        </w:rPr>
        <w:t>including a reduction in bone mineral density</w:t>
      </w:r>
      <w:r w:rsidRPr="00D407BD">
        <w:rPr>
          <w:color w:val="000000"/>
          <w:szCs w:val="24"/>
        </w:rPr>
        <w:t xml:space="preserve"> have been observed in </w:t>
      </w:r>
      <w:proofErr w:type="spellStart"/>
      <w:r w:rsidR="00175FBA" w:rsidRPr="00D407BD">
        <w:rPr>
          <w:color w:val="000000"/>
          <w:szCs w:val="24"/>
        </w:rPr>
        <w:t>tenofovir</w:t>
      </w:r>
      <w:proofErr w:type="spellEnd"/>
      <w:r w:rsidR="00175FBA" w:rsidRPr="00D407BD">
        <w:rPr>
          <w:color w:val="000000"/>
          <w:szCs w:val="24"/>
        </w:rPr>
        <w:t xml:space="preserve"> </w:t>
      </w:r>
      <w:proofErr w:type="spellStart"/>
      <w:r w:rsidR="00175FBA" w:rsidRPr="00D407BD">
        <w:rPr>
          <w:color w:val="000000"/>
          <w:szCs w:val="24"/>
        </w:rPr>
        <w:t>disoproxil</w:t>
      </w:r>
      <w:proofErr w:type="spellEnd"/>
      <w:r w:rsidR="00175FBA" w:rsidRPr="00D407BD">
        <w:rPr>
          <w:color w:val="000000"/>
          <w:szCs w:val="24"/>
        </w:rPr>
        <w:t xml:space="preserve"> fumarate </w:t>
      </w:r>
      <w:r w:rsidRPr="00D407BD">
        <w:rPr>
          <w:color w:val="000000"/>
          <w:szCs w:val="24"/>
        </w:rPr>
        <w:t xml:space="preserve">studies in three animal species.  </w:t>
      </w:r>
      <w:r w:rsidRPr="00D407BD">
        <w:rPr>
          <w:snapToGrid w:val="0"/>
          <w:szCs w:val="24"/>
        </w:rPr>
        <w:t>C</w:t>
      </w:r>
      <w:r w:rsidRPr="00D407BD">
        <w:rPr>
          <w:szCs w:val="24"/>
        </w:rPr>
        <w:t>linically relevant bone abnormalities have not been seen in long term clinical studies (&gt;3 years)</w:t>
      </w:r>
      <w:r w:rsidR="00422F0F" w:rsidRPr="00D407BD">
        <w:rPr>
          <w:szCs w:val="24"/>
        </w:rPr>
        <w:t xml:space="preserve"> of VIREAD</w:t>
      </w:r>
      <w:r w:rsidR="00AB62C5">
        <w:rPr>
          <w:szCs w:val="24"/>
        </w:rPr>
        <w:t xml:space="preserve"> in HIV-1 infected adults and</w:t>
      </w:r>
      <w:r w:rsidR="00806211">
        <w:rPr>
          <w:szCs w:val="24"/>
        </w:rPr>
        <w:t xml:space="preserve"> w</w:t>
      </w:r>
      <w:r w:rsidR="00C74BA8">
        <w:rPr>
          <w:szCs w:val="24"/>
        </w:rPr>
        <w:t>ere</w:t>
      </w:r>
      <w:r w:rsidR="00806211">
        <w:rPr>
          <w:szCs w:val="24"/>
        </w:rPr>
        <w:t xml:space="preserve"> also not seen</w:t>
      </w:r>
      <w:r w:rsidR="00AB62C5">
        <w:rPr>
          <w:szCs w:val="24"/>
        </w:rPr>
        <w:t xml:space="preserve"> in </w:t>
      </w:r>
      <w:r w:rsidR="00C74BA8">
        <w:rPr>
          <w:szCs w:val="24"/>
        </w:rPr>
        <w:t xml:space="preserve">studies in </w:t>
      </w:r>
      <w:r w:rsidR="00AB62C5">
        <w:rPr>
          <w:szCs w:val="24"/>
        </w:rPr>
        <w:t>HIV-1 uninfected individuals</w:t>
      </w:r>
      <w:r w:rsidR="00970CE8" w:rsidRPr="00970CE8">
        <w:rPr>
          <w:szCs w:val="24"/>
        </w:rPr>
        <w:t xml:space="preserve"> but </w:t>
      </w:r>
      <w:r w:rsidR="00970CE8">
        <w:rPr>
          <w:szCs w:val="24"/>
        </w:rPr>
        <w:t>long</w:t>
      </w:r>
      <w:r w:rsidR="00970CE8" w:rsidRPr="00970CE8">
        <w:rPr>
          <w:szCs w:val="24"/>
        </w:rPr>
        <w:t xml:space="preserve"> term data are lacking</w:t>
      </w:r>
      <w:r w:rsidR="00400003">
        <w:rPr>
          <w:szCs w:val="24"/>
        </w:rPr>
        <w:t xml:space="preserve"> in this population</w:t>
      </w:r>
      <w:r w:rsidR="00970CE8">
        <w:rPr>
          <w:szCs w:val="24"/>
        </w:rPr>
        <w:t xml:space="preserve">.  </w:t>
      </w:r>
      <w:r w:rsidR="00460241" w:rsidRPr="00D407BD">
        <w:rPr>
          <w:szCs w:val="24"/>
        </w:rPr>
        <w:t xml:space="preserve">However, bone abnormalities (infrequently contributing to fractures) may be associated with proximal renal </w:t>
      </w:r>
      <w:proofErr w:type="spellStart"/>
      <w:r w:rsidR="00460241" w:rsidRPr="00D407BD">
        <w:rPr>
          <w:szCs w:val="24"/>
        </w:rPr>
        <w:t>tubulopathy</w:t>
      </w:r>
      <w:proofErr w:type="spellEnd"/>
      <w:r w:rsidR="00460241" w:rsidRPr="00D407BD">
        <w:rPr>
          <w:szCs w:val="24"/>
        </w:rPr>
        <w:t xml:space="preserve"> (see ADVERSE </w:t>
      </w:r>
      <w:r w:rsidR="003712E2" w:rsidRPr="00D407BD">
        <w:rPr>
          <w:szCs w:val="24"/>
        </w:rPr>
        <w:t>EFFECTS</w:t>
      </w:r>
      <w:r w:rsidR="00460241" w:rsidRPr="00D407BD">
        <w:rPr>
          <w:szCs w:val="24"/>
        </w:rPr>
        <w:t xml:space="preserve">, Post Marketing </w:t>
      </w:r>
      <w:r w:rsidR="00970CE8" w:rsidRPr="00D407BD">
        <w:rPr>
          <w:szCs w:val="24"/>
        </w:rPr>
        <w:t>Surveillance</w:t>
      </w:r>
      <w:r w:rsidR="00460241" w:rsidRPr="00D407BD">
        <w:rPr>
          <w:szCs w:val="24"/>
        </w:rPr>
        <w:t xml:space="preserve">).  </w:t>
      </w:r>
      <w:r w:rsidR="00DD0430" w:rsidRPr="00D407BD">
        <w:rPr>
          <w:color w:val="000000"/>
          <w:szCs w:val="24"/>
        </w:rPr>
        <w:t>If bone abnormalities are suspected during therapy then appropriate consultation should be obtained.</w:t>
      </w:r>
    </w:p>
    <w:p w:rsidR="00162E06" w:rsidRPr="00D407BD" w:rsidRDefault="00162E06" w:rsidP="0003333A">
      <w:pPr>
        <w:rPr>
          <w:color w:val="000000"/>
          <w:szCs w:val="24"/>
        </w:rPr>
      </w:pPr>
    </w:p>
    <w:p w:rsidR="0072075E" w:rsidRPr="00D407BD" w:rsidRDefault="000169CA" w:rsidP="0003333A">
      <w:pPr>
        <w:rPr>
          <w:b/>
          <w:color w:val="000000"/>
          <w:szCs w:val="24"/>
        </w:rPr>
      </w:pPr>
      <w:r w:rsidRPr="00D407BD">
        <w:rPr>
          <w:b/>
          <w:color w:val="000000"/>
          <w:szCs w:val="24"/>
        </w:rPr>
        <w:t>Lipodystrophy</w:t>
      </w:r>
    </w:p>
    <w:p w:rsidR="0003333A" w:rsidRPr="00D407BD" w:rsidRDefault="0003333A" w:rsidP="0003333A">
      <w:pPr>
        <w:rPr>
          <w:b/>
          <w:color w:val="000000"/>
          <w:szCs w:val="24"/>
        </w:rPr>
      </w:pPr>
    </w:p>
    <w:p w:rsidR="000169CA" w:rsidRPr="00D407BD" w:rsidRDefault="000169CA" w:rsidP="0003333A">
      <w:pPr>
        <w:rPr>
          <w:color w:val="000000"/>
          <w:szCs w:val="24"/>
        </w:rPr>
      </w:pPr>
      <w:r w:rsidRPr="00D407BD">
        <w:rPr>
          <w:color w:val="000000"/>
          <w:szCs w:val="24"/>
        </w:rPr>
        <w:t xml:space="preserve">Combination antiretroviral therapy has been associated with the redistribution of body fat (lipodystrophy) in HIV patients.  The long-term consequences of these events are currently unknown.  Knowledge about the mechanism is incomplete.  A connection between visceral lipomatosis and protease inhibitors and lipoatrophy and nucleoside reverse transcriptase inhibitors has been </w:t>
      </w:r>
      <w:proofErr w:type="spellStart"/>
      <w:r w:rsidRPr="00D407BD">
        <w:rPr>
          <w:color w:val="000000"/>
          <w:szCs w:val="24"/>
        </w:rPr>
        <w:t>hypothesised</w:t>
      </w:r>
      <w:proofErr w:type="spellEnd"/>
      <w:r w:rsidRPr="00D407BD">
        <w:rPr>
          <w:color w:val="000000"/>
          <w:szCs w:val="24"/>
        </w:rPr>
        <w:t>.  A higher risk of lipodystrophy has been associated with individual factors such as older age, and with drug related factors such as longer duration of antiretroviral treatment and associated metabolic disturbances.  Clinical examination should include evaluation for physical signs of fat redistribution.  Consideration should be given to the measurement of fasting serum lipids and blood glucose.  Lipid disorders should be managed as clinically appropriate.</w:t>
      </w:r>
    </w:p>
    <w:p w:rsidR="00536748" w:rsidRPr="00536748" w:rsidRDefault="00536748" w:rsidP="0003333A">
      <w:pPr>
        <w:rPr>
          <w:color w:val="000000"/>
          <w:sz w:val="22"/>
          <w:szCs w:val="22"/>
          <w:lang w:val="en-GB"/>
        </w:rPr>
      </w:pPr>
    </w:p>
    <w:p w:rsidR="00D93E44" w:rsidRPr="00315BD2" w:rsidRDefault="00D93E44" w:rsidP="00D93E44">
      <w:pPr>
        <w:pStyle w:val="text1Char0"/>
        <w:spacing w:after="0"/>
        <w:rPr>
          <w:b/>
          <w:snapToGrid w:val="0"/>
          <w:szCs w:val="24"/>
        </w:rPr>
      </w:pPr>
      <w:r w:rsidRPr="00315BD2">
        <w:rPr>
          <w:b/>
          <w:snapToGrid w:val="0"/>
          <w:szCs w:val="24"/>
        </w:rPr>
        <w:t xml:space="preserve">Hepatitis B Virus (HBV) </w:t>
      </w:r>
      <w:r>
        <w:rPr>
          <w:b/>
          <w:snapToGrid w:val="0"/>
          <w:szCs w:val="24"/>
        </w:rPr>
        <w:t>I</w:t>
      </w:r>
      <w:r w:rsidRPr="00315BD2">
        <w:rPr>
          <w:b/>
          <w:snapToGrid w:val="0"/>
          <w:szCs w:val="24"/>
        </w:rPr>
        <w:t xml:space="preserve">nfection  </w:t>
      </w:r>
    </w:p>
    <w:p w:rsidR="0003333A" w:rsidRPr="00315BD2" w:rsidRDefault="0003333A" w:rsidP="0003333A">
      <w:pPr>
        <w:pStyle w:val="text1Char0"/>
        <w:spacing w:after="0"/>
        <w:rPr>
          <w:b/>
          <w:snapToGrid w:val="0"/>
          <w:szCs w:val="24"/>
        </w:rPr>
      </w:pPr>
    </w:p>
    <w:p w:rsidR="00376834" w:rsidRPr="00315BD2" w:rsidRDefault="00D93E44" w:rsidP="0003333A">
      <w:pPr>
        <w:autoSpaceDE w:val="0"/>
        <w:autoSpaceDN w:val="0"/>
        <w:adjustRightInd w:val="0"/>
        <w:rPr>
          <w:szCs w:val="24"/>
        </w:rPr>
      </w:pPr>
      <w:r>
        <w:rPr>
          <w:szCs w:val="24"/>
        </w:rPr>
        <w:t>I</w:t>
      </w:r>
      <w:r w:rsidRPr="00F43BEE">
        <w:rPr>
          <w:szCs w:val="24"/>
        </w:rPr>
        <w:t xml:space="preserve">ndividuals </w:t>
      </w:r>
      <w:r>
        <w:rPr>
          <w:szCs w:val="24"/>
        </w:rPr>
        <w:t xml:space="preserve">should </w:t>
      </w:r>
      <w:r w:rsidRPr="00F43BEE">
        <w:rPr>
          <w:szCs w:val="24"/>
        </w:rPr>
        <w:t xml:space="preserve">be tested for the presence of chronic hepatitis B virus (HBV) before initiating </w:t>
      </w:r>
      <w:proofErr w:type="gramStart"/>
      <w:r w:rsidRPr="00F43BEE">
        <w:rPr>
          <w:szCs w:val="24"/>
        </w:rPr>
        <w:t>TRUVADA</w:t>
      </w:r>
      <w:r w:rsidRPr="00315BD2">
        <w:rPr>
          <w:szCs w:val="24"/>
        </w:rPr>
        <w:t xml:space="preserve"> </w:t>
      </w:r>
      <w:r>
        <w:rPr>
          <w:szCs w:val="24"/>
        </w:rPr>
        <w:t>.</w:t>
      </w:r>
      <w:proofErr w:type="gramEnd"/>
      <w:r>
        <w:rPr>
          <w:szCs w:val="24"/>
        </w:rPr>
        <w:t xml:space="preserve"> </w:t>
      </w:r>
      <w:r w:rsidR="003712E2" w:rsidRPr="00315BD2">
        <w:rPr>
          <w:szCs w:val="24"/>
        </w:rPr>
        <w:t xml:space="preserve">Discontinuation of TRUVADA therapy in patients infected with HBV may be associated with severe acute exacerbations of hepatitis.  </w:t>
      </w:r>
      <w:r w:rsidR="00376834" w:rsidRPr="00315BD2">
        <w:rPr>
          <w:szCs w:val="24"/>
        </w:rPr>
        <w:t xml:space="preserve">Patients infected with HBV should be closely monitored with both clinical and laboratory follow-up for at least several months after stopping </w:t>
      </w:r>
      <w:r w:rsidR="00121A98" w:rsidRPr="00315BD2">
        <w:rPr>
          <w:szCs w:val="24"/>
        </w:rPr>
        <w:t>TRUVADA</w:t>
      </w:r>
      <w:r w:rsidR="00376834" w:rsidRPr="00315BD2">
        <w:rPr>
          <w:szCs w:val="24"/>
        </w:rPr>
        <w:t xml:space="preserve"> treatment. </w:t>
      </w:r>
      <w:r w:rsidR="00FF376E" w:rsidRPr="00315BD2">
        <w:rPr>
          <w:szCs w:val="24"/>
        </w:rPr>
        <w:t xml:space="preserve"> </w:t>
      </w:r>
      <w:r w:rsidR="00834D51" w:rsidRPr="00315BD2">
        <w:rPr>
          <w:szCs w:val="24"/>
        </w:rPr>
        <w:t>If appropriate, resumption of anti-hepatitis B therapy may be warranted.  In patients with advanced liver disease or cirrhosis, treatment discontinuation is not recommended since post-treatment exacerbation of hepatitis may lead to hepatic decompensation.</w:t>
      </w:r>
      <w:r w:rsidR="0043780F" w:rsidRPr="00315BD2">
        <w:rPr>
          <w:szCs w:val="24"/>
        </w:rPr>
        <w:t xml:space="preserve"> </w:t>
      </w:r>
      <w:r w:rsidR="00DE7290" w:rsidRPr="00315BD2">
        <w:rPr>
          <w:szCs w:val="24"/>
        </w:rPr>
        <w:t xml:space="preserve"> </w:t>
      </w:r>
    </w:p>
    <w:p w:rsidR="000068E7" w:rsidRPr="00315BD2" w:rsidRDefault="000068E7" w:rsidP="0003333A">
      <w:pPr>
        <w:autoSpaceDE w:val="0"/>
        <w:autoSpaceDN w:val="0"/>
        <w:adjustRightInd w:val="0"/>
        <w:rPr>
          <w:color w:val="000000"/>
          <w:szCs w:val="24"/>
        </w:rPr>
      </w:pPr>
    </w:p>
    <w:p w:rsidR="004A3D4F" w:rsidRPr="00315BD2" w:rsidRDefault="006C51A5" w:rsidP="0003333A">
      <w:pPr>
        <w:pStyle w:val="text1"/>
        <w:spacing w:after="0"/>
        <w:rPr>
          <w:b/>
          <w:szCs w:val="24"/>
          <w:lang w:val="en-AU"/>
        </w:rPr>
      </w:pPr>
      <w:r w:rsidRPr="00315BD2">
        <w:rPr>
          <w:b/>
          <w:szCs w:val="24"/>
          <w:lang w:val="en-AU"/>
        </w:rPr>
        <w:t xml:space="preserve">Early </w:t>
      </w:r>
      <w:proofErr w:type="spellStart"/>
      <w:r w:rsidRPr="00315BD2">
        <w:rPr>
          <w:b/>
          <w:szCs w:val="24"/>
          <w:lang w:val="en-AU"/>
        </w:rPr>
        <w:t>Virologic</w:t>
      </w:r>
      <w:proofErr w:type="spellEnd"/>
      <w:r w:rsidRPr="00315BD2">
        <w:rPr>
          <w:b/>
          <w:szCs w:val="24"/>
          <w:lang w:val="en-AU"/>
        </w:rPr>
        <w:t xml:space="preserve"> Failure</w:t>
      </w:r>
    </w:p>
    <w:p w:rsidR="0003333A" w:rsidRPr="00315BD2" w:rsidRDefault="0003333A" w:rsidP="0003333A">
      <w:pPr>
        <w:pStyle w:val="text1"/>
        <w:spacing w:after="0"/>
        <w:rPr>
          <w:b/>
          <w:szCs w:val="24"/>
          <w:lang w:val="en-AU"/>
        </w:rPr>
      </w:pPr>
    </w:p>
    <w:p w:rsidR="004A3D4F" w:rsidRPr="00315BD2" w:rsidRDefault="004A3D4F" w:rsidP="0003333A">
      <w:pPr>
        <w:rPr>
          <w:snapToGrid w:val="0"/>
          <w:szCs w:val="24"/>
        </w:rPr>
      </w:pPr>
      <w:r w:rsidRPr="00315BD2">
        <w:rPr>
          <w:snapToGrid w:val="0"/>
          <w:szCs w:val="24"/>
        </w:rPr>
        <w:t xml:space="preserve">Clinical studies </w:t>
      </w:r>
      <w:r w:rsidR="003712E2" w:rsidRPr="00315BD2">
        <w:rPr>
          <w:snapToGrid w:val="0"/>
          <w:szCs w:val="24"/>
        </w:rPr>
        <w:t xml:space="preserve">in HIV-infected patients </w:t>
      </w:r>
      <w:r w:rsidRPr="00315BD2">
        <w:rPr>
          <w:snapToGrid w:val="0"/>
          <w:szCs w:val="24"/>
        </w:rPr>
        <w:t xml:space="preserve">have demonstrated that certain regimens that only contain three nucleoside reverse transcriptase inhibitors (NRTI) are generally less effective than triple drug regimens containing two NRTIs in combination with either a non-nucleoside reverse transcriptase inhibitor or a HIV-1 protease inhibitor.  In particular, early </w:t>
      </w:r>
      <w:proofErr w:type="spellStart"/>
      <w:r w:rsidRPr="00315BD2">
        <w:rPr>
          <w:snapToGrid w:val="0"/>
          <w:szCs w:val="24"/>
        </w:rPr>
        <w:t>virological</w:t>
      </w:r>
      <w:proofErr w:type="spellEnd"/>
      <w:r w:rsidRPr="00315BD2">
        <w:rPr>
          <w:snapToGrid w:val="0"/>
          <w:szCs w:val="24"/>
        </w:rPr>
        <w:t xml:space="preserve"> failure and high rates of resistance mutations have been reported</w:t>
      </w:r>
      <w:r w:rsidR="00DD0633" w:rsidRPr="00315BD2">
        <w:rPr>
          <w:snapToGrid w:val="0"/>
          <w:szCs w:val="24"/>
        </w:rPr>
        <w:t xml:space="preserve"> in clinical studies of combinations of </w:t>
      </w:r>
      <w:proofErr w:type="spellStart"/>
      <w:r w:rsidR="00DD0633" w:rsidRPr="00315BD2">
        <w:rPr>
          <w:snapToGrid w:val="0"/>
          <w:szCs w:val="24"/>
        </w:rPr>
        <w:t>tenofovir</w:t>
      </w:r>
      <w:proofErr w:type="spellEnd"/>
      <w:r w:rsidR="00DD0633" w:rsidRPr="00315BD2">
        <w:rPr>
          <w:snapToGrid w:val="0"/>
          <w:szCs w:val="24"/>
        </w:rPr>
        <w:t xml:space="preserve">, lamivudine and </w:t>
      </w:r>
      <w:proofErr w:type="spellStart"/>
      <w:r w:rsidR="00DD0633" w:rsidRPr="00315BD2">
        <w:rPr>
          <w:snapToGrid w:val="0"/>
          <w:szCs w:val="24"/>
        </w:rPr>
        <w:t>abacavir</w:t>
      </w:r>
      <w:proofErr w:type="spellEnd"/>
      <w:r w:rsidR="00DD0633" w:rsidRPr="00315BD2">
        <w:rPr>
          <w:snapToGrid w:val="0"/>
          <w:szCs w:val="24"/>
        </w:rPr>
        <w:t xml:space="preserve"> or </w:t>
      </w:r>
      <w:proofErr w:type="spellStart"/>
      <w:r w:rsidR="00DD0633" w:rsidRPr="00315BD2">
        <w:rPr>
          <w:snapToGrid w:val="0"/>
          <w:szCs w:val="24"/>
        </w:rPr>
        <w:t>tenofovir</w:t>
      </w:r>
      <w:proofErr w:type="spellEnd"/>
      <w:r w:rsidR="00DD0633" w:rsidRPr="00315BD2">
        <w:rPr>
          <w:snapToGrid w:val="0"/>
          <w:szCs w:val="24"/>
        </w:rPr>
        <w:t xml:space="preserve">, lamivudine and </w:t>
      </w:r>
      <w:proofErr w:type="spellStart"/>
      <w:r w:rsidR="00DD0633" w:rsidRPr="00315BD2">
        <w:rPr>
          <w:snapToGrid w:val="0"/>
          <w:szCs w:val="24"/>
        </w:rPr>
        <w:t>didanosine</w:t>
      </w:r>
      <w:proofErr w:type="spellEnd"/>
      <w:r w:rsidRPr="00315BD2">
        <w:rPr>
          <w:snapToGrid w:val="0"/>
          <w:szCs w:val="24"/>
        </w:rPr>
        <w:t xml:space="preserve">. Triple nucleoside regimens should therefore be used with caution.  Patients on a therapy </w:t>
      </w:r>
      <w:proofErr w:type="spellStart"/>
      <w:r w:rsidRPr="00315BD2">
        <w:rPr>
          <w:snapToGrid w:val="0"/>
          <w:szCs w:val="24"/>
        </w:rPr>
        <w:t>utili</w:t>
      </w:r>
      <w:r w:rsidR="002D4A56">
        <w:rPr>
          <w:snapToGrid w:val="0"/>
          <w:szCs w:val="24"/>
        </w:rPr>
        <w:t>s</w:t>
      </w:r>
      <w:r w:rsidRPr="00315BD2">
        <w:rPr>
          <w:snapToGrid w:val="0"/>
          <w:szCs w:val="24"/>
        </w:rPr>
        <w:t>ing</w:t>
      </w:r>
      <w:proofErr w:type="spellEnd"/>
      <w:r w:rsidRPr="00315BD2">
        <w:rPr>
          <w:snapToGrid w:val="0"/>
          <w:szCs w:val="24"/>
        </w:rPr>
        <w:t xml:space="preserve"> a triple nucleoside-only regimen should be carefully monitored and considered for treatment modification.</w:t>
      </w:r>
    </w:p>
    <w:p w:rsidR="00536748" w:rsidRPr="00315BD2" w:rsidRDefault="00536748" w:rsidP="00623D47">
      <w:pPr>
        <w:tabs>
          <w:tab w:val="center" w:pos="4702"/>
        </w:tabs>
        <w:autoSpaceDE w:val="0"/>
        <w:autoSpaceDN w:val="0"/>
        <w:adjustRightInd w:val="0"/>
        <w:rPr>
          <w:b/>
          <w:bCs/>
          <w:szCs w:val="24"/>
          <w:lang w:val="en-GB"/>
        </w:rPr>
      </w:pPr>
      <w:r w:rsidRPr="00315BD2">
        <w:rPr>
          <w:b/>
          <w:bCs/>
          <w:szCs w:val="24"/>
          <w:lang w:val="en-GB"/>
        </w:rPr>
        <w:lastRenderedPageBreak/>
        <w:t>Immune Reconstitution Syndrome</w:t>
      </w:r>
    </w:p>
    <w:p w:rsidR="00536748" w:rsidRPr="00315BD2" w:rsidRDefault="00536748" w:rsidP="00536748">
      <w:pPr>
        <w:autoSpaceDE w:val="0"/>
        <w:autoSpaceDN w:val="0"/>
        <w:adjustRightInd w:val="0"/>
        <w:rPr>
          <w:bCs/>
          <w:szCs w:val="24"/>
          <w:lang w:val="en-GB"/>
        </w:rPr>
      </w:pPr>
    </w:p>
    <w:p w:rsidR="00536748" w:rsidRDefault="00536748" w:rsidP="00536748">
      <w:pPr>
        <w:autoSpaceDE w:val="0"/>
        <w:autoSpaceDN w:val="0"/>
        <w:adjustRightInd w:val="0"/>
        <w:rPr>
          <w:szCs w:val="24"/>
          <w:lang w:val="en-GB"/>
        </w:rPr>
      </w:pPr>
      <w:r w:rsidRPr="00315BD2">
        <w:rPr>
          <w:szCs w:val="24"/>
          <w:lang w:val="en-GB"/>
        </w:rPr>
        <w:t xml:space="preserve">In HIV-infected patients with severe immune deficiency at the time of initiation of antiretroviral therapy, an inflammatory reaction to asymptomatic or residual opportunistic pathogens may arise and cause serious clinical conditions, or aggravation of symptoms. Typically, such reactions have been observed within the first few weeks or months of initiation of antiretroviral therapy. Relevant examples </w:t>
      </w:r>
      <w:r w:rsidR="00623D47">
        <w:rPr>
          <w:szCs w:val="24"/>
          <w:lang w:val="en-GB"/>
        </w:rPr>
        <w:t>include</w:t>
      </w:r>
      <w:r w:rsidR="00623D47" w:rsidRPr="00315BD2">
        <w:rPr>
          <w:szCs w:val="24"/>
          <w:lang w:val="en-GB"/>
        </w:rPr>
        <w:t xml:space="preserve"> </w:t>
      </w:r>
      <w:r w:rsidRPr="00315BD2">
        <w:rPr>
          <w:szCs w:val="24"/>
          <w:lang w:val="en-GB"/>
        </w:rPr>
        <w:t xml:space="preserve">cytomegalovirus retinitis, generalised and/or focal mycobacterial infections and </w:t>
      </w:r>
      <w:r w:rsidRPr="00315BD2">
        <w:rPr>
          <w:i/>
          <w:szCs w:val="24"/>
          <w:lang w:val="en-GB"/>
        </w:rPr>
        <w:t xml:space="preserve">Pneumocystis </w:t>
      </w:r>
      <w:proofErr w:type="spellStart"/>
      <w:r w:rsidR="003712E2" w:rsidRPr="00315BD2">
        <w:rPr>
          <w:i/>
          <w:szCs w:val="24"/>
          <w:lang w:val="en-GB"/>
        </w:rPr>
        <w:t>jiroveci</w:t>
      </w:r>
      <w:proofErr w:type="spellEnd"/>
      <w:r w:rsidR="003712E2" w:rsidRPr="00315BD2">
        <w:rPr>
          <w:i/>
          <w:szCs w:val="24"/>
          <w:lang w:val="en-GB"/>
        </w:rPr>
        <w:t xml:space="preserve"> </w:t>
      </w:r>
      <w:r w:rsidRPr="00315BD2">
        <w:rPr>
          <w:szCs w:val="24"/>
          <w:lang w:val="en-GB"/>
        </w:rPr>
        <w:t>pneumonia. Any inflammatory symptoms should be evaluated and treatment instituted when necessary.</w:t>
      </w:r>
    </w:p>
    <w:p w:rsidR="00623D47" w:rsidRDefault="00623D47" w:rsidP="00536748">
      <w:pPr>
        <w:autoSpaceDE w:val="0"/>
        <w:autoSpaceDN w:val="0"/>
        <w:adjustRightInd w:val="0"/>
        <w:rPr>
          <w:szCs w:val="24"/>
          <w:lang w:val="en-GB"/>
        </w:rPr>
      </w:pPr>
    </w:p>
    <w:p w:rsidR="00623D47" w:rsidRPr="007D7242" w:rsidRDefault="00623D47" w:rsidP="00623D47">
      <w:pPr>
        <w:pStyle w:val="Default"/>
        <w:spacing w:after="240"/>
        <w:rPr>
          <w:color w:val="auto"/>
        </w:rPr>
      </w:pPr>
      <w:r w:rsidRPr="007D7242">
        <w:rPr>
          <w:color w:val="auto"/>
        </w:rPr>
        <w:t>Autoimmune disorders have also been reported to occur in the setting of immune reconstitution; however, the reported time to onset is more variable, and these events can occur many months after initiation of treatment.</w:t>
      </w:r>
    </w:p>
    <w:p w:rsidR="00576FBF" w:rsidRPr="00576FBF" w:rsidRDefault="00576FBF" w:rsidP="00576FBF">
      <w:pPr>
        <w:tabs>
          <w:tab w:val="center" w:pos="4702"/>
        </w:tabs>
        <w:autoSpaceDE w:val="0"/>
        <w:autoSpaceDN w:val="0"/>
        <w:adjustRightInd w:val="0"/>
        <w:rPr>
          <w:b/>
          <w:bCs/>
          <w:szCs w:val="24"/>
          <w:lang w:val="en-GB"/>
        </w:rPr>
      </w:pPr>
      <w:r w:rsidRPr="00576FBF">
        <w:rPr>
          <w:b/>
          <w:bCs/>
          <w:szCs w:val="24"/>
          <w:lang w:val="en-GB"/>
        </w:rPr>
        <w:t>Comprehensive Management for use in Pre-exposure Prophylaxis (</w:t>
      </w:r>
      <w:proofErr w:type="spellStart"/>
      <w:r w:rsidRPr="00576FBF">
        <w:rPr>
          <w:b/>
          <w:bCs/>
          <w:szCs w:val="24"/>
          <w:lang w:val="en-GB"/>
        </w:rPr>
        <w:t>PrEP</w:t>
      </w:r>
      <w:proofErr w:type="spellEnd"/>
      <w:r w:rsidRPr="00576FBF">
        <w:rPr>
          <w:b/>
          <w:bCs/>
          <w:szCs w:val="24"/>
          <w:lang w:val="en-GB"/>
        </w:rPr>
        <w:t>)</w:t>
      </w:r>
    </w:p>
    <w:p w:rsidR="00576FBF" w:rsidRPr="00576FBF" w:rsidRDefault="00576FBF" w:rsidP="00576FBF"/>
    <w:p w:rsidR="00576FBF" w:rsidRPr="00576FBF" w:rsidRDefault="00576FBF" w:rsidP="00576FBF">
      <w:pPr>
        <w:spacing w:after="240"/>
      </w:pPr>
      <w:r w:rsidRPr="00576FBF">
        <w:t xml:space="preserve">TRUVADA should only be used for </w:t>
      </w:r>
      <w:proofErr w:type="spellStart"/>
      <w:r w:rsidRPr="00576FBF">
        <w:t>PrEP</w:t>
      </w:r>
      <w:proofErr w:type="spellEnd"/>
      <w:r w:rsidRPr="00576FBF">
        <w:t xml:space="preserve"> as part of a comprehensive prevention strategy including other HIV-1 prevention measures, because TRUVADA is not always effective in preventing the acquisition of HIV-1. Counsel uninfected individuals about safer sex practices that include consistent and correct use of condoms, knowledge of their HIV-1 status and that of their partner(s), and regular testing for other sexually transmitted infections that can facilitate HIV-1 transmission (such as syphilis and gonorrhea). </w:t>
      </w:r>
      <w:proofErr w:type="gramStart"/>
      <w:r w:rsidR="00400003">
        <w:t>Counsel uninfected individuals</w:t>
      </w:r>
      <w:r w:rsidRPr="00576FBF">
        <w:t xml:space="preserve"> prior to initiation of </w:t>
      </w:r>
      <w:proofErr w:type="spellStart"/>
      <w:r w:rsidRPr="00576FBF">
        <w:t>PrEP</w:t>
      </w:r>
      <w:proofErr w:type="spellEnd"/>
      <w:r w:rsidRPr="00576FBF">
        <w:t xml:space="preserve"> about risk and benefits, precautions and limitation of pre-exposure prophylaxis using TRUVADA</w:t>
      </w:r>
      <w:r>
        <w:t>.</w:t>
      </w:r>
      <w:proofErr w:type="gramEnd"/>
    </w:p>
    <w:p w:rsidR="00576FBF" w:rsidRPr="00576FBF" w:rsidRDefault="00576FBF" w:rsidP="00576FBF">
      <w:pPr>
        <w:spacing w:after="240"/>
      </w:pPr>
      <w:r w:rsidRPr="00576FBF">
        <w:t xml:space="preserve">TRUVADA should only be used to reduce the risk of acquiring HIV-1 in individuals confirmed to be HIV-negative </w:t>
      </w:r>
      <w:r>
        <w:t xml:space="preserve">immediately </w:t>
      </w:r>
      <w:r w:rsidRPr="00576FBF">
        <w:t xml:space="preserve">prior to initiating and routinely </w:t>
      </w:r>
      <w:r>
        <w:t xml:space="preserve">reconfirmed </w:t>
      </w:r>
      <w:r w:rsidRPr="00576FBF">
        <w:t xml:space="preserve">while taking TRUVADA for </w:t>
      </w:r>
      <w:proofErr w:type="spellStart"/>
      <w:r w:rsidRPr="00576FBF">
        <w:t>PrEP.</w:t>
      </w:r>
      <w:proofErr w:type="spellEnd"/>
      <w:r w:rsidRPr="00576FBF">
        <w:t xml:space="preserve"> Drug resistant HIV-1 variants have been identified in individuals with undetected HIV-1 infection who are taking TRUVADA for a </w:t>
      </w:r>
      <w:proofErr w:type="spellStart"/>
      <w:r w:rsidRPr="00576FBF">
        <w:t>PrEP</w:t>
      </w:r>
      <w:proofErr w:type="spellEnd"/>
      <w:r w:rsidRPr="00576FBF">
        <w:t xml:space="preserve"> indication, because TRUVADA alone does not constitute a complete treatment regimen for HIV-1</w:t>
      </w:r>
      <w:r>
        <w:t xml:space="preserve"> infection</w:t>
      </w:r>
      <w:r w:rsidRPr="00576FBF">
        <w:t>.</w:t>
      </w:r>
    </w:p>
    <w:p w:rsidR="00576FBF" w:rsidRPr="00576FBF" w:rsidRDefault="00576FBF" w:rsidP="00576FBF">
      <w:pPr>
        <w:spacing w:after="240"/>
      </w:pPr>
      <w:r w:rsidRPr="00576FBF">
        <w:t xml:space="preserve">When considering TRUVADA for pre-exposure prophylaxis, the uninfected individuals should be counselled about the importance of strict adherence to the recommended TRUVADA dosing schedule.  The effectiveness of TRUVADA in reducing the risk of acquiring HIV-1 is strongly correlated with patient adherence and detectable drug blood levels. </w:t>
      </w:r>
    </w:p>
    <w:p w:rsidR="00576FBF" w:rsidRPr="00576FBF" w:rsidRDefault="00576FBF" w:rsidP="00576FBF">
      <w:pPr>
        <w:numPr>
          <w:ilvl w:val="0"/>
          <w:numId w:val="99"/>
        </w:numPr>
        <w:spacing w:after="240"/>
      </w:pPr>
      <w:r w:rsidRPr="00576FBF">
        <w:t xml:space="preserve">Many HIV-1 tests, such as rapid tests, detect anti-HIV antibodies and may not identify HIV-1 during the acute stage of infection. Prior to initiating TRUVADA for a </w:t>
      </w:r>
      <w:proofErr w:type="spellStart"/>
      <w:r w:rsidRPr="00576FBF">
        <w:t>PrEP</w:t>
      </w:r>
      <w:proofErr w:type="spellEnd"/>
      <w:r w:rsidRPr="00576FBF">
        <w:t xml:space="preserve"> indication, evaluate seronegative individuals for current or recent signs or symptoms consistent with acute viral infections (e.g., fever, fatigue, myalgia, skin rash, etc.) and ask about potential exposure events (e.g., unprotected, or condom broke during sex with an HIV-1 infected partner) that may have occurred within the last month.</w:t>
      </w:r>
    </w:p>
    <w:p w:rsidR="00576FBF" w:rsidRPr="00576FBF" w:rsidRDefault="00576FBF" w:rsidP="00576FBF">
      <w:pPr>
        <w:numPr>
          <w:ilvl w:val="1"/>
          <w:numId w:val="98"/>
        </w:numPr>
        <w:spacing w:after="240"/>
      </w:pPr>
      <w:r w:rsidRPr="00576FBF">
        <w:t xml:space="preserve">If clinical symptoms consistent with acute viral infection are present and recent (&lt;1 month) exposures are suspected, delay starting </w:t>
      </w:r>
      <w:proofErr w:type="spellStart"/>
      <w:r w:rsidRPr="00576FBF">
        <w:t>PrEP</w:t>
      </w:r>
      <w:proofErr w:type="spellEnd"/>
      <w:r w:rsidRPr="00576FBF">
        <w:t xml:space="preserve"> for at least one month and reconfirm </w:t>
      </w:r>
      <w:r w:rsidR="001213C6">
        <w:t xml:space="preserve">negative </w:t>
      </w:r>
      <w:r w:rsidRPr="00576FBF">
        <w:t>HIV-1 status.</w:t>
      </w:r>
    </w:p>
    <w:p w:rsidR="00576FBF" w:rsidRPr="00576FBF" w:rsidRDefault="00576FBF" w:rsidP="001213C6">
      <w:pPr>
        <w:numPr>
          <w:ilvl w:val="0"/>
          <w:numId w:val="98"/>
        </w:numPr>
        <w:spacing w:after="240"/>
      </w:pPr>
      <w:r w:rsidRPr="00576FBF">
        <w:lastRenderedPageBreak/>
        <w:t xml:space="preserve">While using TRUVADA for a </w:t>
      </w:r>
      <w:proofErr w:type="spellStart"/>
      <w:r w:rsidRPr="00576FBF">
        <w:t>PrEP</w:t>
      </w:r>
      <w:proofErr w:type="spellEnd"/>
      <w:r w:rsidRPr="00576FBF">
        <w:t xml:space="preserve"> indication, HIV-1 screening tests should be repeated at least every 3 months. If symptoms consistent with acute HIV-1 infection develop following a potential exposure event, </w:t>
      </w:r>
      <w:proofErr w:type="spellStart"/>
      <w:r w:rsidRPr="00576FBF">
        <w:t>PrEP</w:t>
      </w:r>
      <w:proofErr w:type="spellEnd"/>
      <w:r w:rsidRPr="00576FBF">
        <w:t xml:space="preserve"> should be discontinued until negative </w:t>
      </w:r>
      <w:r w:rsidR="001213C6" w:rsidRPr="001213C6">
        <w:t xml:space="preserve">HIV-1 </w:t>
      </w:r>
      <w:r w:rsidRPr="00576FBF">
        <w:t xml:space="preserve">infection status is confirmed.  </w:t>
      </w:r>
    </w:p>
    <w:p w:rsidR="00576FBF" w:rsidRDefault="00576FBF" w:rsidP="00576FBF">
      <w:pPr>
        <w:rPr>
          <w:color w:val="000000"/>
          <w:szCs w:val="24"/>
        </w:rPr>
      </w:pPr>
      <w:r w:rsidRPr="00576FBF">
        <w:rPr>
          <w:color w:val="000000"/>
          <w:szCs w:val="24"/>
        </w:rPr>
        <w:t>TRUVADA does not reduce the risk of other sexually transmitted infections and regular monitoring is recommended.  Monitoring of renal function, such as with urine dipstick testing, should be considered for patients at risk for renal disease</w:t>
      </w:r>
      <w:r w:rsidRPr="00576FBF">
        <w:rPr>
          <w:rFonts w:ascii="Tahoma" w:hAnsi="Tahoma" w:cs="Tahoma"/>
          <w:color w:val="000000"/>
          <w:sz w:val="20"/>
          <w:lang w:eastAsia="en-US"/>
        </w:rPr>
        <w:t xml:space="preserve"> </w:t>
      </w:r>
      <w:r w:rsidRPr="00576FBF">
        <w:rPr>
          <w:color w:val="000000"/>
          <w:szCs w:val="24"/>
        </w:rPr>
        <w:t>(see Precautions, Renal Impairment).</w:t>
      </w:r>
    </w:p>
    <w:p w:rsidR="00576FBF" w:rsidRDefault="00576FBF" w:rsidP="00576FBF">
      <w:pPr>
        <w:rPr>
          <w:color w:val="000000"/>
          <w:szCs w:val="24"/>
        </w:rPr>
      </w:pPr>
    </w:p>
    <w:p w:rsidR="00576FBF" w:rsidRPr="006E12BD" w:rsidRDefault="00576FBF" w:rsidP="001213C6">
      <w:pPr>
        <w:spacing w:before="120"/>
        <w:rPr>
          <w:color w:val="000000"/>
          <w:szCs w:val="24"/>
        </w:rPr>
      </w:pPr>
      <w:r w:rsidRPr="006E12BD">
        <w:rPr>
          <w:color w:val="000000"/>
          <w:szCs w:val="24"/>
        </w:rPr>
        <w:t>When considering TRUVADA for pre-exposure prophylaxis the following factors may help to identify individuals at high ri</w:t>
      </w:r>
      <w:r>
        <w:rPr>
          <w:color w:val="000000"/>
          <w:szCs w:val="24"/>
        </w:rPr>
        <w:t>sk</w:t>
      </w:r>
      <w:r w:rsidR="001213C6" w:rsidRPr="001213C6">
        <w:t xml:space="preserve"> </w:t>
      </w:r>
      <w:r w:rsidR="001213C6" w:rsidRPr="001213C6">
        <w:rPr>
          <w:color w:val="000000"/>
          <w:szCs w:val="24"/>
        </w:rPr>
        <w:t>of acquiring HIV-1 infection</w:t>
      </w:r>
      <w:r w:rsidRPr="006E12BD">
        <w:rPr>
          <w:color w:val="000000"/>
          <w:szCs w:val="24"/>
        </w:rPr>
        <w:t>:</w:t>
      </w:r>
    </w:p>
    <w:p w:rsidR="00576FBF" w:rsidRDefault="00576FBF" w:rsidP="001213C6">
      <w:pPr>
        <w:numPr>
          <w:ilvl w:val="0"/>
          <w:numId w:val="42"/>
        </w:numPr>
        <w:spacing w:before="120"/>
        <w:ind w:left="0" w:firstLine="0"/>
        <w:rPr>
          <w:color w:val="000000"/>
          <w:szCs w:val="24"/>
        </w:rPr>
      </w:pPr>
      <w:r w:rsidRPr="006E12BD">
        <w:rPr>
          <w:color w:val="000000"/>
          <w:szCs w:val="24"/>
        </w:rPr>
        <w:t xml:space="preserve">has partner(s) known to be HIV-1 infected, </w:t>
      </w:r>
      <w:r w:rsidR="001213C6">
        <w:rPr>
          <w:color w:val="000000"/>
          <w:szCs w:val="24"/>
        </w:rPr>
        <w:t>or</w:t>
      </w:r>
    </w:p>
    <w:p w:rsidR="001213C6" w:rsidRPr="001213C6" w:rsidRDefault="001213C6" w:rsidP="001213C6">
      <w:pPr>
        <w:numPr>
          <w:ilvl w:val="0"/>
          <w:numId w:val="42"/>
        </w:numPr>
        <w:rPr>
          <w:color w:val="000000"/>
          <w:szCs w:val="24"/>
        </w:rPr>
      </w:pPr>
      <w:r w:rsidRPr="001213C6">
        <w:rPr>
          <w:color w:val="000000"/>
          <w:szCs w:val="24"/>
        </w:rPr>
        <w:t xml:space="preserve">Engages in high risk sexual behavior (see CLINICAL TRIALS – </w:t>
      </w:r>
      <w:proofErr w:type="spellStart"/>
      <w:r w:rsidRPr="001213C6">
        <w:rPr>
          <w:color w:val="000000"/>
          <w:szCs w:val="24"/>
        </w:rPr>
        <w:t>iPrEx</w:t>
      </w:r>
      <w:proofErr w:type="spellEnd"/>
      <w:r w:rsidRPr="001213C6">
        <w:rPr>
          <w:color w:val="000000"/>
          <w:szCs w:val="24"/>
        </w:rPr>
        <w:t xml:space="preserve"> Trial) or sexual activity within a high prevalence area or social network or </w:t>
      </w:r>
      <w:r w:rsidR="00400003">
        <w:rPr>
          <w:color w:val="000000"/>
          <w:szCs w:val="24"/>
        </w:rPr>
        <w:t xml:space="preserve">has </w:t>
      </w:r>
      <w:r w:rsidRPr="001213C6">
        <w:rPr>
          <w:color w:val="000000"/>
          <w:szCs w:val="24"/>
        </w:rPr>
        <w:t>partners from high prevalence areas.</w:t>
      </w:r>
    </w:p>
    <w:p w:rsidR="00576FBF" w:rsidRDefault="00576FBF" w:rsidP="00576FBF">
      <w:pPr>
        <w:rPr>
          <w:color w:val="000000"/>
          <w:szCs w:val="24"/>
        </w:rPr>
      </w:pPr>
    </w:p>
    <w:p w:rsidR="00576FBF" w:rsidRPr="00D025A9" w:rsidRDefault="00576FBF" w:rsidP="00576FBF">
      <w:pPr>
        <w:pStyle w:val="BulletText"/>
        <w:numPr>
          <w:ilvl w:val="0"/>
          <w:numId w:val="0"/>
        </w:numPr>
        <w:rPr>
          <w:rFonts w:cs="Times New Roman"/>
        </w:rPr>
      </w:pPr>
      <w:r w:rsidRPr="00D025A9">
        <w:rPr>
          <w:rFonts w:cs="Times New Roman"/>
        </w:rPr>
        <w:t>When TRUVADA is used to reduce the risk of acquiring HIV-1, advise uninfected individuals about the importance of the following:</w:t>
      </w:r>
    </w:p>
    <w:p w:rsidR="00576FBF" w:rsidRDefault="00576FBF" w:rsidP="00576FBF">
      <w:pPr>
        <w:pStyle w:val="BulletText"/>
        <w:numPr>
          <w:ilvl w:val="0"/>
          <w:numId w:val="42"/>
        </w:numPr>
        <w:ind w:left="360" w:hanging="360"/>
        <w:rPr>
          <w:rFonts w:cs="Times New Roman"/>
        </w:rPr>
      </w:pPr>
      <w:r w:rsidRPr="00D025A9">
        <w:rPr>
          <w:rFonts w:cs="Times New Roman"/>
        </w:rPr>
        <w:t>Confirming that they are HIV-negative before starting to take TRUVADA to reduce the risk of acquiring HIV-1.</w:t>
      </w:r>
    </w:p>
    <w:p w:rsidR="0026019B" w:rsidRPr="00D025A9" w:rsidRDefault="0026019B" w:rsidP="0026019B">
      <w:pPr>
        <w:pStyle w:val="BulletText"/>
        <w:numPr>
          <w:ilvl w:val="0"/>
          <w:numId w:val="42"/>
        </w:numPr>
        <w:rPr>
          <w:rFonts w:cs="Times New Roman"/>
        </w:rPr>
      </w:pPr>
      <w:r w:rsidRPr="0026019B">
        <w:rPr>
          <w:rFonts w:cs="Times New Roman"/>
        </w:rPr>
        <w:t>Hepatitis B vaccination should be offered as appropriate.</w:t>
      </w:r>
    </w:p>
    <w:p w:rsidR="00576FBF" w:rsidRPr="00D025A9" w:rsidRDefault="00576FBF" w:rsidP="00576FBF">
      <w:pPr>
        <w:pStyle w:val="BulletText"/>
        <w:numPr>
          <w:ilvl w:val="0"/>
          <w:numId w:val="42"/>
        </w:numPr>
        <w:ind w:left="360" w:hanging="360"/>
        <w:rPr>
          <w:rFonts w:cs="Times New Roman"/>
        </w:rPr>
      </w:pPr>
      <w:r w:rsidRPr="00D025A9">
        <w:rPr>
          <w:rFonts w:cs="Times New Roman"/>
        </w:rPr>
        <w:t>TRUVADA should only be used as part of a complete prevention strategy including other prevention measures. In clinical trials, TRUVADA only protected some subjects from acquiring HIV-1.</w:t>
      </w:r>
    </w:p>
    <w:p w:rsidR="00576FBF" w:rsidRPr="00D025A9" w:rsidRDefault="00576FBF" w:rsidP="00576FBF">
      <w:pPr>
        <w:pStyle w:val="BulletText"/>
        <w:numPr>
          <w:ilvl w:val="0"/>
          <w:numId w:val="42"/>
        </w:numPr>
        <w:ind w:left="360" w:hanging="360"/>
        <w:rPr>
          <w:rFonts w:cs="Times New Roman"/>
        </w:rPr>
      </w:pPr>
      <w:r w:rsidRPr="00D025A9">
        <w:rPr>
          <w:rFonts w:cs="Times New Roman"/>
        </w:rPr>
        <w:t xml:space="preserve">Using condoms consistently and correctly to lower the chance of sexual contact with any body fluids such as semen, vaginal secretions, or blood. </w:t>
      </w:r>
    </w:p>
    <w:p w:rsidR="00576FBF" w:rsidRDefault="00576FBF" w:rsidP="00576FBF">
      <w:pPr>
        <w:pStyle w:val="BulletText"/>
        <w:numPr>
          <w:ilvl w:val="0"/>
          <w:numId w:val="42"/>
        </w:numPr>
        <w:ind w:left="360" w:hanging="360"/>
        <w:rPr>
          <w:rFonts w:cs="Times New Roman"/>
        </w:rPr>
      </w:pPr>
      <w:r w:rsidRPr="00D025A9">
        <w:rPr>
          <w:rFonts w:cs="Times New Roman"/>
        </w:rPr>
        <w:t xml:space="preserve">Knowing their HIV status and the status of their partner(s). </w:t>
      </w:r>
    </w:p>
    <w:p w:rsidR="0026019B" w:rsidRPr="00D025A9" w:rsidRDefault="0026019B" w:rsidP="0026019B">
      <w:pPr>
        <w:pStyle w:val="BulletText"/>
        <w:numPr>
          <w:ilvl w:val="0"/>
          <w:numId w:val="42"/>
        </w:numPr>
        <w:rPr>
          <w:rFonts w:cs="Times New Roman"/>
        </w:rPr>
      </w:pPr>
      <w:r w:rsidRPr="0026019B">
        <w:rPr>
          <w:rFonts w:cs="Times New Roman"/>
        </w:rPr>
        <w:t xml:space="preserve">In the case of use of TRUVADA for </w:t>
      </w:r>
      <w:proofErr w:type="spellStart"/>
      <w:r w:rsidRPr="0026019B">
        <w:rPr>
          <w:rFonts w:cs="Times New Roman"/>
        </w:rPr>
        <w:t>PrEP</w:t>
      </w:r>
      <w:proofErr w:type="spellEnd"/>
      <w:r w:rsidRPr="0026019B">
        <w:rPr>
          <w:rFonts w:cs="Times New Roman"/>
        </w:rPr>
        <w:t xml:space="preserve"> in an uninfected partner in a </w:t>
      </w:r>
      <w:proofErr w:type="spellStart"/>
      <w:r w:rsidRPr="0026019B">
        <w:rPr>
          <w:rFonts w:cs="Times New Roman"/>
        </w:rPr>
        <w:t>serodiscordant</w:t>
      </w:r>
      <w:proofErr w:type="spellEnd"/>
      <w:r w:rsidRPr="0026019B">
        <w:rPr>
          <w:rFonts w:cs="Times New Roman"/>
        </w:rPr>
        <w:t xml:space="preserve"> relationship, the importance of effective antiretroviral treatment of the HIV-1 infected partner in accordance with the current treatment guidelines should be fully explained.</w:t>
      </w:r>
    </w:p>
    <w:p w:rsidR="00576FBF" w:rsidRDefault="00576FBF" w:rsidP="00576FBF">
      <w:pPr>
        <w:pStyle w:val="BulletText"/>
        <w:numPr>
          <w:ilvl w:val="0"/>
          <w:numId w:val="42"/>
        </w:numPr>
        <w:ind w:left="360" w:hanging="360"/>
        <w:rPr>
          <w:rFonts w:cs="Times New Roman"/>
        </w:rPr>
      </w:pPr>
      <w:r w:rsidRPr="00D025A9">
        <w:rPr>
          <w:rFonts w:cs="Times New Roman"/>
        </w:rPr>
        <w:t xml:space="preserve">Getting tested regularly (at least every 3 months) for HIV-1 and ask their partner(s) to get tested as well. </w:t>
      </w:r>
    </w:p>
    <w:p w:rsidR="0026019B" w:rsidRPr="0026019B" w:rsidRDefault="0026019B" w:rsidP="0026019B">
      <w:pPr>
        <w:pStyle w:val="BulletText"/>
        <w:numPr>
          <w:ilvl w:val="0"/>
          <w:numId w:val="42"/>
        </w:numPr>
        <w:ind w:left="360" w:hanging="360"/>
        <w:rPr>
          <w:rFonts w:cs="Times New Roman"/>
        </w:rPr>
      </w:pPr>
      <w:r w:rsidRPr="0026019B">
        <w:t>Counselled about the importance of safety risks including monitoring of kidney function.</w:t>
      </w:r>
    </w:p>
    <w:p w:rsidR="00576FBF" w:rsidRPr="00D025A9" w:rsidRDefault="00576FBF" w:rsidP="0026019B">
      <w:pPr>
        <w:pStyle w:val="BulletText"/>
        <w:numPr>
          <w:ilvl w:val="0"/>
          <w:numId w:val="42"/>
        </w:numPr>
        <w:rPr>
          <w:rFonts w:cs="Times New Roman"/>
        </w:rPr>
      </w:pPr>
      <w:r w:rsidRPr="00D025A9">
        <w:rPr>
          <w:rFonts w:cs="Times New Roman"/>
        </w:rPr>
        <w:t xml:space="preserve">HIV-1 resistance substitutions may emerge in individuals with undetected HIV-1 infection who are taking TRUVADA, because TRUVADA alone does not constitute a complete regimen for HIV-1 treatment </w:t>
      </w:r>
      <w:r>
        <w:rPr>
          <w:rFonts w:cs="Times New Roman"/>
        </w:rPr>
        <w:t xml:space="preserve">(see </w:t>
      </w:r>
      <w:r w:rsidR="0026019B" w:rsidRPr="0026019B">
        <w:rPr>
          <w:rFonts w:cs="Times New Roman"/>
        </w:rPr>
        <w:t>CONTRAINDICATIONS</w:t>
      </w:r>
      <w:r w:rsidR="0026019B">
        <w:rPr>
          <w:rFonts w:cs="Times New Roman"/>
        </w:rPr>
        <w:t>,</w:t>
      </w:r>
      <w:r w:rsidR="0026019B" w:rsidRPr="0026019B">
        <w:rPr>
          <w:rFonts w:cs="Times New Roman"/>
        </w:rPr>
        <w:t xml:space="preserve"> </w:t>
      </w:r>
      <w:r>
        <w:rPr>
          <w:rFonts w:cs="Times New Roman"/>
        </w:rPr>
        <w:t>PRECAUTIONS)</w:t>
      </w:r>
    </w:p>
    <w:p w:rsidR="00576FBF" w:rsidRPr="00D025A9" w:rsidRDefault="00576FBF" w:rsidP="00576FBF">
      <w:pPr>
        <w:pStyle w:val="BulletText"/>
        <w:numPr>
          <w:ilvl w:val="0"/>
          <w:numId w:val="42"/>
        </w:numPr>
        <w:ind w:left="360" w:hanging="360"/>
        <w:rPr>
          <w:rFonts w:cs="Times New Roman"/>
        </w:rPr>
      </w:pPr>
      <w:r w:rsidRPr="00D025A9">
        <w:rPr>
          <w:rFonts w:cs="Times New Roman"/>
        </w:rPr>
        <w:t>Reporting any symptoms of acute HIV-1 infection (flu-like symptoms) to their healthcare provider immediately.</w:t>
      </w:r>
    </w:p>
    <w:p w:rsidR="00576FBF" w:rsidRPr="00D025A9" w:rsidRDefault="00576FBF" w:rsidP="00576FBF">
      <w:pPr>
        <w:pStyle w:val="BulletText"/>
        <w:numPr>
          <w:ilvl w:val="0"/>
          <w:numId w:val="42"/>
        </w:numPr>
        <w:tabs>
          <w:tab w:val="clear" w:pos="360"/>
          <w:tab w:val="num" w:pos="720"/>
        </w:tabs>
        <w:ind w:left="720" w:hanging="360"/>
        <w:rPr>
          <w:rFonts w:cs="Times New Roman"/>
        </w:rPr>
      </w:pPr>
      <w:r w:rsidRPr="00D025A9">
        <w:rPr>
          <w:rFonts w:cs="Times New Roman"/>
        </w:rPr>
        <w:lastRenderedPageBreak/>
        <w:t>Signs and symptoms of acute infection include: fever, headache, fatigue, arthralgia, vomiting, myalgia, diarrhea, pharyngitis, rash, night sweats, and adenopathy (cervical and inguinal).</w:t>
      </w:r>
    </w:p>
    <w:p w:rsidR="00576FBF" w:rsidRPr="00D025A9" w:rsidRDefault="00576FBF" w:rsidP="00576FBF">
      <w:pPr>
        <w:pStyle w:val="BulletText"/>
        <w:numPr>
          <w:ilvl w:val="0"/>
          <w:numId w:val="42"/>
        </w:numPr>
        <w:ind w:left="360" w:hanging="360"/>
        <w:rPr>
          <w:rFonts w:cs="Times New Roman"/>
        </w:rPr>
      </w:pPr>
      <w:r w:rsidRPr="00D025A9">
        <w:rPr>
          <w:rFonts w:cs="Times New Roman"/>
        </w:rPr>
        <w:t xml:space="preserve">Getting tested for other sexually transmitted infections such as syphilis and gonorrhea that may facilitate HIV-1 transmission. </w:t>
      </w:r>
    </w:p>
    <w:p w:rsidR="00576FBF" w:rsidRPr="00D025A9" w:rsidRDefault="00576FBF" w:rsidP="00576FBF">
      <w:pPr>
        <w:pStyle w:val="BulletText"/>
        <w:numPr>
          <w:ilvl w:val="0"/>
          <w:numId w:val="42"/>
        </w:numPr>
        <w:ind w:left="360" w:hanging="360"/>
        <w:rPr>
          <w:rFonts w:cs="Times New Roman"/>
        </w:rPr>
      </w:pPr>
      <w:r w:rsidRPr="00D025A9">
        <w:rPr>
          <w:rFonts w:cs="Times New Roman"/>
        </w:rPr>
        <w:t xml:space="preserve">Learning about sexual risk behavior and getting support to help reduce sexual risk </w:t>
      </w:r>
      <w:proofErr w:type="spellStart"/>
      <w:r w:rsidRPr="00D025A9">
        <w:rPr>
          <w:rFonts w:cs="Times New Roman"/>
        </w:rPr>
        <w:t>behavio</w:t>
      </w:r>
      <w:r>
        <w:rPr>
          <w:rFonts w:cs="Times New Roman"/>
        </w:rPr>
        <w:t>u</w:t>
      </w:r>
      <w:r w:rsidRPr="00D025A9">
        <w:rPr>
          <w:rFonts w:cs="Times New Roman"/>
        </w:rPr>
        <w:t>r</w:t>
      </w:r>
      <w:proofErr w:type="spellEnd"/>
      <w:r w:rsidRPr="00D025A9">
        <w:rPr>
          <w:rFonts w:cs="Times New Roman"/>
        </w:rPr>
        <w:t xml:space="preserve">. </w:t>
      </w:r>
    </w:p>
    <w:p w:rsidR="00576FBF" w:rsidRPr="00D025A9" w:rsidRDefault="00576FBF" w:rsidP="00576FBF">
      <w:pPr>
        <w:pStyle w:val="BulletText"/>
        <w:numPr>
          <w:ilvl w:val="0"/>
          <w:numId w:val="42"/>
        </w:numPr>
        <w:ind w:left="360" w:hanging="360"/>
        <w:rPr>
          <w:rFonts w:cs="Times New Roman"/>
          <w:i/>
        </w:rPr>
      </w:pPr>
      <w:r w:rsidRPr="00D025A9">
        <w:rPr>
          <w:rFonts w:cs="Times New Roman"/>
        </w:rPr>
        <w:t>Taking TRUVADA on a regular dosing schedule and strictly adhere to the recommended dosing schedule to reduce the risk of acquiring HIV-1. Uninfected individuals</w:t>
      </w:r>
      <w:r w:rsidRPr="00D025A9" w:rsidDel="00DE2B8F">
        <w:rPr>
          <w:rFonts w:cs="Times New Roman"/>
        </w:rPr>
        <w:t xml:space="preserve"> </w:t>
      </w:r>
      <w:r w:rsidRPr="00D025A9">
        <w:rPr>
          <w:rFonts w:cs="Times New Roman"/>
        </w:rPr>
        <w:t>who miss doses are at greater risk of acquiring HIV-1 than those who do not miss doses</w:t>
      </w:r>
      <w:r>
        <w:rPr>
          <w:rFonts w:cs="Times New Roman"/>
        </w:rPr>
        <w:t xml:space="preserve"> (see PRECAUTIONS)</w:t>
      </w:r>
      <w:r w:rsidRPr="00D025A9">
        <w:rPr>
          <w:rFonts w:cs="Times New Roman"/>
          <w:i/>
        </w:rPr>
        <w:t xml:space="preserve">. </w:t>
      </w:r>
    </w:p>
    <w:p w:rsidR="00576FBF" w:rsidRPr="00D83C46" w:rsidRDefault="0026019B" w:rsidP="0026019B">
      <w:pPr>
        <w:pStyle w:val="BulletText"/>
        <w:numPr>
          <w:ilvl w:val="0"/>
          <w:numId w:val="42"/>
        </w:numPr>
        <w:rPr>
          <w:rFonts w:cs="Times New Roman"/>
        </w:rPr>
      </w:pPr>
      <w:r w:rsidRPr="0026019B">
        <w:rPr>
          <w:rFonts w:cs="Times New Roman"/>
        </w:rPr>
        <w:t xml:space="preserve">Risks and benefits of TRUVADA in women who may be pregnant </w:t>
      </w:r>
      <w:r>
        <w:rPr>
          <w:rFonts w:cs="Times New Roman"/>
        </w:rPr>
        <w:t>or intending to become pregnant</w:t>
      </w:r>
      <w:r w:rsidR="00576FBF" w:rsidRPr="00D83C46">
        <w:rPr>
          <w:rFonts w:cs="Times New Roman"/>
        </w:rPr>
        <w:t>.</w:t>
      </w:r>
    </w:p>
    <w:p w:rsidR="00576FBF" w:rsidRPr="00576FBF" w:rsidRDefault="00576FBF" w:rsidP="00576FBF">
      <w:pPr>
        <w:rPr>
          <w:color w:val="000000"/>
          <w:szCs w:val="24"/>
        </w:rPr>
      </w:pPr>
    </w:p>
    <w:p w:rsidR="0003333A" w:rsidRPr="00315BD2" w:rsidRDefault="0003333A" w:rsidP="0003333A">
      <w:pPr>
        <w:rPr>
          <w:b/>
          <w:szCs w:val="24"/>
        </w:rPr>
      </w:pPr>
    </w:p>
    <w:p w:rsidR="004746C5" w:rsidRPr="00315BD2" w:rsidRDefault="004746C5" w:rsidP="0003333A">
      <w:pPr>
        <w:rPr>
          <w:b/>
          <w:szCs w:val="24"/>
        </w:rPr>
      </w:pPr>
      <w:r w:rsidRPr="00315BD2">
        <w:rPr>
          <w:b/>
          <w:szCs w:val="24"/>
        </w:rPr>
        <w:t xml:space="preserve">Animal Toxicology </w:t>
      </w:r>
    </w:p>
    <w:p w:rsidR="0003333A" w:rsidRPr="00315BD2" w:rsidRDefault="0003333A" w:rsidP="0003333A">
      <w:pPr>
        <w:rPr>
          <w:b/>
          <w:szCs w:val="24"/>
        </w:rPr>
      </w:pPr>
    </w:p>
    <w:p w:rsidR="004746C5" w:rsidRPr="00315BD2" w:rsidRDefault="004746C5" w:rsidP="0003333A">
      <w:pPr>
        <w:rPr>
          <w:snapToGrid w:val="0"/>
          <w:szCs w:val="24"/>
        </w:rPr>
      </w:pPr>
      <w:proofErr w:type="spellStart"/>
      <w:r w:rsidRPr="00315BD2">
        <w:rPr>
          <w:snapToGrid w:val="0"/>
          <w:szCs w:val="24"/>
        </w:rPr>
        <w:t>Tenofovir</w:t>
      </w:r>
      <w:proofErr w:type="spellEnd"/>
      <w:r w:rsidRPr="00315BD2">
        <w:rPr>
          <w:snapToGrid w:val="0"/>
          <w:szCs w:val="24"/>
        </w:rPr>
        <w:t xml:space="preserve"> and </w:t>
      </w:r>
      <w:proofErr w:type="spellStart"/>
      <w:r w:rsidRPr="00315BD2">
        <w:rPr>
          <w:snapToGrid w:val="0"/>
          <w:szCs w:val="24"/>
        </w:rPr>
        <w:t>tenofovir</w:t>
      </w:r>
      <w:proofErr w:type="spellEnd"/>
      <w:r w:rsidRPr="00315BD2">
        <w:rPr>
          <w:snapToGrid w:val="0"/>
          <w:szCs w:val="24"/>
        </w:rPr>
        <w:t xml:space="preserve"> </w:t>
      </w:r>
      <w:proofErr w:type="spellStart"/>
      <w:r w:rsidRPr="00315BD2">
        <w:rPr>
          <w:snapToGrid w:val="0"/>
          <w:szCs w:val="24"/>
        </w:rPr>
        <w:t>disoproxil</w:t>
      </w:r>
      <w:proofErr w:type="spellEnd"/>
      <w:r w:rsidRPr="00315BD2">
        <w:rPr>
          <w:snapToGrid w:val="0"/>
          <w:szCs w:val="24"/>
        </w:rPr>
        <w:t xml:space="preserve"> fumarate administered in toxicology studies to rats, dogs and monkeys at exposures (based on AUCs) greater than or equal to 6-fold those observed in humans caused bone toxicity.  In monkeys the bone toxicity was diagnosed as </w:t>
      </w:r>
      <w:proofErr w:type="spellStart"/>
      <w:r w:rsidRPr="00315BD2">
        <w:rPr>
          <w:snapToGrid w:val="0"/>
          <w:szCs w:val="24"/>
        </w:rPr>
        <w:t>osteomalacia</w:t>
      </w:r>
      <w:proofErr w:type="spellEnd"/>
      <w:r w:rsidRPr="00315BD2">
        <w:rPr>
          <w:snapToGrid w:val="0"/>
          <w:szCs w:val="24"/>
        </w:rPr>
        <w:t xml:space="preserve">.  </w:t>
      </w:r>
      <w:proofErr w:type="spellStart"/>
      <w:r w:rsidRPr="00315BD2">
        <w:rPr>
          <w:snapToGrid w:val="0"/>
          <w:szCs w:val="24"/>
        </w:rPr>
        <w:t>Osteomalacia</w:t>
      </w:r>
      <w:proofErr w:type="spellEnd"/>
      <w:r w:rsidRPr="00315BD2">
        <w:rPr>
          <w:snapToGrid w:val="0"/>
          <w:szCs w:val="24"/>
        </w:rPr>
        <w:t xml:space="preserve"> observed in monkeys appeared to be reversible upon dose reduction or discontinuation of </w:t>
      </w:r>
      <w:proofErr w:type="spellStart"/>
      <w:r w:rsidRPr="00315BD2">
        <w:rPr>
          <w:snapToGrid w:val="0"/>
          <w:szCs w:val="24"/>
        </w:rPr>
        <w:t>tenofovir</w:t>
      </w:r>
      <w:proofErr w:type="spellEnd"/>
      <w:r w:rsidRPr="00315BD2">
        <w:rPr>
          <w:snapToGrid w:val="0"/>
          <w:szCs w:val="24"/>
        </w:rPr>
        <w:t xml:space="preserve">.  In rats and dogs, the bone toxicity manifested as reduced bone mineral density.  The mechanism(s) underlying bone toxicity is unknown. </w:t>
      </w:r>
    </w:p>
    <w:p w:rsidR="0003333A" w:rsidRPr="00315BD2" w:rsidRDefault="0003333A" w:rsidP="0003333A">
      <w:pPr>
        <w:rPr>
          <w:snapToGrid w:val="0"/>
          <w:szCs w:val="24"/>
        </w:rPr>
      </w:pPr>
    </w:p>
    <w:p w:rsidR="004746C5" w:rsidRPr="00315BD2" w:rsidRDefault="004746C5" w:rsidP="0003333A">
      <w:pPr>
        <w:pStyle w:val="Footer"/>
        <w:tabs>
          <w:tab w:val="left" w:pos="720"/>
        </w:tabs>
        <w:rPr>
          <w:snapToGrid w:val="0"/>
          <w:szCs w:val="24"/>
        </w:rPr>
      </w:pPr>
      <w:r w:rsidRPr="00315BD2">
        <w:rPr>
          <w:snapToGrid w:val="0"/>
          <w:szCs w:val="24"/>
        </w:rPr>
        <w:t xml:space="preserve">Evidence of renal toxicity was noted in 4 animal species.  Increases in serum creatinine, BUN, glycosuria, proteinuria, </w:t>
      </w:r>
      <w:proofErr w:type="spellStart"/>
      <w:r w:rsidRPr="00315BD2">
        <w:rPr>
          <w:snapToGrid w:val="0"/>
          <w:szCs w:val="24"/>
        </w:rPr>
        <w:t>phosphaturia</w:t>
      </w:r>
      <w:proofErr w:type="spellEnd"/>
      <w:r w:rsidRPr="00315BD2">
        <w:rPr>
          <w:snapToGrid w:val="0"/>
          <w:szCs w:val="24"/>
        </w:rPr>
        <w:t xml:space="preserve"> and/or </w:t>
      </w:r>
      <w:proofErr w:type="spellStart"/>
      <w:r w:rsidRPr="00315BD2">
        <w:rPr>
          <w:snapToGrid w:val="0"/>
          <w:szCs w:val="24"/>
        </w:rPr>
        <w:t>calciuria</w:t>
      </w:r>
      <w:proofErr w:type="spellEnd"/>
      <w:r w:rsidRPr="00315BD2">
        <w:rPr>
          <w:snapToGrid w:val="0"/>
          <w:szCs w:val="24"/>
        </w:rPr>
        <w:t xml:space="preserve"> and decreases in serum phosphate were observed to varying degrees in these animals.  These toxicities were noted at exposures (based on AUCs) 2–20 times higher than those observed in humans.  The relationship of the renal abnormalities, particularly the </w:t>
      </w:r>
      <w:proofErr w:type="spellStart"/>
      <w:r w:rsidRPr="00315BD2">
        <w:rPr>
          <w:snapToGrid w:val="0"/>
          <w:szCs w:val="24"/>
        </w:rPr>
        <w:t>phosphaturia</w:t>
      </w:r>
      <w:proofErr w:type="spellEnd"/>
      <w:r w:rsidRPr="00315BD2">
        <w:rPr>
          <w:snapToGrid w:val="0"/>
          <w:szCs w:val="24"/>
        </w:rPr>
        <w:t>, to the bone toxicity is not known.</w:t>
      </w:r>
    </w:p>
    <w:p w:rsidR="0003333A" w:rsidRPr="00315BD2" w:rsidRDefault="0003333A" w:rsidP="0003333A">
      <w:pPr>
        <w:pStyle w:val="Footer"/>
        <w:tabs>
          <w:tab w:val="left" w:pos="720"/>
        </w:tabs>
        <w:rPr>
          <w:snapToGrid w:val="0"/>
          <w:szCs w:val="24"/>
        </w:rPr>
      </w:pPr>
    </w:p>
    <w:p w:rsidR="000E7DBC" w:rsidRPr="00315BD2" w:rsidRDefault="000E7DBC" w:rsidP="0003333A">
      <w:pPr>
        <w:rPr>
          <w:b/>
          <w:szCs w:val="24"/>
        </w:rPr>
      </w:pPr>
      <w:r w:rsidRPr="00315BD2">
        <w:rPr>
          <w:b/>
          <w:szCs w:val="24"/>
        </w:rPr>
        <w:t>Carcinogenicity</w:t>
      </w:r>
      <w:r w:rsidR="001B0430" w:rsidRPr="00315BD2">
        <w:rPr>
          <w:b/>
          <w:szCs w:val="24"/>
        </w:rPr>
        <w:t xml:space="preserve"> and Mutagenicity</w:t>
      </w:r>
    </w:p>
    <w:p w:rsidR="0003333A" w:rsidRPr="00315BD2" w:rsidRDefault="0003333A" w:rsidP="0003333A">
      <w:pPr>
        <w:rPr>
          <w:color w:val="000000"/>
          <w:szCs w:val="24"/>
        </w:rPr>
      </w:pPr>
    </w:p>
    <w:p w:rsidR="00517425" w:rsidRPr="000756A8" w:rsidRDefault="001B0430" w:rsidP="000756A8">
      <w:pPr>
        <w:tabs>
          <w:tab w:val="left" w:pos="8640"/>
          <w:tab w:val="left" w:pos="8820"/>
        </w:tabs>
        <w:rPr>
          <w:szCs w:val="24"/>
        </w:rPr>
      </w:pPr>
      <w:r w:rsidRPr="000756A8">
        <w:rPr>
          <w:szCs w:val="24"/>
        </w:rPr>
        <w:t xml:space="preserve">No carcinogenicity studies have been conducted with </w:t>
      </w:r>
      <w:proofErr w:type="spellStart"/>
      <w:r w:rsidRPr="000756A8">
        <w:rPr>
          <w:szCs w:val="24"/>
        </w:rPr>
        <w:t>tenofovir</w:t>
      </w:r>
      <w:proofErr w:type="spellEnd"/>
      <w:r w:rsidRPr="000756A8">
        <w:rPr>
          <w:szCs w:val="24"/>
        </w:rPr>
        <w:t xml:space="preserve"> </w:t>
      </w:r>
      <w:proofErr w:type="spellStart"/>
      <w:r w:rsidRPr="000756A8">
        <w:rPr>
          <w:szCs w:val="24"/>
        </w:rPr>
        <w:t>disoproxil</w:t>
      </w:r>
      <w:proofErr w:type="spellEnd"/>
      <w:r w:rsidRPr="000756A8">
        <w:rPr>
          <w:szCs w:val="24"/>
        </w:rPr>
        <w:t xml:space="preserve"> fumarate and </w:t>
      </w:r>
      <w:proofErr w:type="spellStart"/>
      <w:r w:rsidRPr="000756A8">
        <w:rPr>
          <w:szCs w:val="24"/>
        </w:rPr>
        <w:t>emtricitabine</w:t>
      </w:r>
      <w:proofErr w:type="spellEnd"/>
      <w:r w:rsidRPr="000756A8">
        <w:rPr>
          <w:szCs w:val="24"/>
        </w:rPr>
        <w:t xml:space="preserve"> in combination.  In a long-term carcinogenicity study conducted in mice with </w:t>
      </w:r>
      <w:proofErr w:type="spellStart"/>
      <w:r w:rsidRPr="000756A8">
        <w:rPr>
          <w:szCs w:val="24"/>
        </w:rPr>
        <w:t>tenofovir</w:t>
      </w:r>
      <w:proofErr w:type="spellEnd"/>
      <w:r w:rsidRPr="000756A8">
        <w:rPr>
          <w:szCs w:val="24"/>
        </w:rPr>
        <w:t xml:space="preserve"> </w:t>
      </w:r>
      <w:proofErr w:type="spellStart"/>
      <w:r w:rsidRPr="000756A8">
        <w:rPr>
          <w:szCs w:val="24"/>
        </w:rPr>
        <w:t>disoproxil</w:t>
      </w:r>
      <w:proofErr w:type="spellEnd"/>
      <w:r w:rsidRPr="000756A8">
        <w:rPr>
          <w:szCs w:val="24"/>
        </w:rPr>
        <w:t xml:space="preserve"> fumarate there was a low incidence of duodenal </w:t>
      </w:r>
      <w:proofErr w:type="spellStart"/>
      <w:r w:rsidRPr="000756A8">
        <w:rPr>
          <w:szCs w:val="24"/>
        </w:rPr>
        <w:t>tumours</w:t>
      </w:r>
      <w:proofErr w:type="spellEnd"/>
      <w:r w:rsidRPr="000756A8">
        <w:rPr>
          <w:szCs w:val="24"/>
        </w:rPr>
        <w:t xml:space="preserve"> with the highest dose of 600 mg /kg/day.  These were associated with a high incidence of duodenal mucosal hyperplasia, which</w:t>
      </w:r>
      <w:r w:rsidR="004D48B6" w:rsidRPr="000756A8">
        <w:rPr>
          <w:szCs w:val="24"/>
        </w:rPr>
        <w:t xml:space="preserve"> was also observed with a dose of 300 mg/kg/day.  These findings may be related to high local drug concentrations in the gastro-intestinal tract, likely to result in much higher exposure margins than that based on the AUC.  At therapeutic doses the risk of these duodenal effects occurring in humans is likely to be low.  The systemic drug exposure (AUC) with the 600 mg/kg/day dose was approximately 15 times the human exposure at the therapeutic dose of 300 mg/day.  No </w:t>
      </w:r>
      <w:proofErr w:type="spellStart"/>
      <w:r w:rsidR="004D48B6" w:rsidRPr="000756A8">
        <w:rPr>
          <w:szCs w:val="24"/>
        </w:rPr>
        <w:t>tumourigenic</w:t>
      </w:r>
      <w:proofErr w:type="spellEnd"/>
      <w:r w:rsidR="004D48B6" w:rsidRPr="000756A8">
        <w:rPr>
          <w:szCs w:val="24"/>
        </w:rPr>
        <w:t xml:space="preserve"> response was observed in rats treated with doses of up to 300 mg/kg/day (5 times the human systemic exposure at the therapeutic dose based on AUC).</w:t>
      </w:r>
    </w:p>
    <w:p w:rsidR="001B0430" w:rsidRPr="00315BD2" w:rsidRDefault="001B0430" w:rsidP="0003333A">
      <w:pPr>
        <w:pStyle w:val="BodyText"/>
        <w:rPr>
          <w:szCs w:val="24"/>
        </w:rPr>
      </w:pPr>
    </w:p>
    <w:p w:rsidR="0003333A" w:rsidRPr="00315BD2" w:rsidRDefault="00465181" w:rsidP="0003333A">
      <w:pPr>
        <w:tabs>
          <w:tab w:val="left" w:pos="8640"/>
          <w:tab w:val="left" w:pos="8820"/>
        </w:tabs>
        <w:rPr>
          <w:szCs w:val="24"/>
        </w:rPr>
      </w:pPr>
      <w:r w:rsidRPr="00315BD2">
        <w:rPr>
          <w:szCs w:val="24"/>
        </w:rPr>
        <w:lastRenderedPageBreak/>
        <w:t xml:space="preserve">In long-term oral carcinogenicity studies </w:t>
      </w:r>
      <w:r w:rsidR="004D48B6" w:rsidRPr="00315BD2">
        <w:rPr>
          <w:szCs w:val="24"/>
        </w:rPr>
        <w:t xml:space="preserve">conducted with </w:t>
      </w:r>
      <w:proofErr w:type="spellStart"/>
      <w:r w:rsidRPr="00315BD2">
        <w:rPr>
          <w:szCs w:val="24"/>
        </w:rPr>
        <w:t>emtricitabine</w:t>
      </w:r>
      <w:proofErr w:type="spellEnd"/>
      <w:r w:rsidRPr="00315BD2">
        <w:rPr>
          <w:szCs w:val="24"/>
        </w:rPr>
        <w:t xml:space="preserve">, no drug-related increases in </w:t>
      </w:r>
      <w:proofErr w:type="spellStart"/>
      <w:r w:rsidR="009F3522" w:rsidRPr="00315BD2">
        <w:rPr>
          <w:szCs w:val="24"/>
        </w:rPr>
        <w:t>tumour</w:t>
      </w:r>
      <w:proofErr w:type="spellEnd"/>
      <w:r w:rsidRPr="00315BD2">
        <w:rPr>
          <w:szCs w:val="24"/>
        </w:rPr>
        <w:t xml:space="preserve"> incidence were found in mice at doses up to 750 mg/kg/day (</w:t>
      </w:r>
      <w:r w:rsidR="004D48B6" w:rsidRPr="00315BD2">
        <w:rPr>
          <w:szCs w:val="24"/>
        </w:rPr>
        <w:t>32</w:t>
      </w:r>
      <w:r w:rsidRPr="00315BD2">
        <w:rPr>
          <w:szCs w:val="24"/>
        </w:rPr>
        <w:t xml:space="preserve"> times the human systemic exposure </w:t>
      </w:r>
      <w:r w:rsidR="004D48B6" w:rsidRPr="00315BD2">
        <w:rPr>
          <w:szCs w:val="24"/>
        </w:rPr>
        <w:t xml:space="preserve">(AUC) </w:t>
      </w:r>
      <w:r w:rsidRPr="00315BD2">
        <w:rPr>
          <w:szCs w:val="24"/>
        </w:rPr>
        <w:t>at the therapeutic dose of 200 mg/day) or in rats at doses up to 600 mg/kg/day (3</w:t>
      </w:r>
      <w:r w:rsidR="00612D86" w:rsidRPr="00315BD2">
        <w:rPr>
          <w:szCs w:val="24"/>
        </w:rPr>
        <w:t>8</w:t>
      </w:r>
      <w:r w:rsidRPr="00315BD2">
        <w:rPr>
          <w:szCs w:val="24"/>
        </w:rPr>
        <w:t xml:space="preserve"> times the human systemic exposure at the therapeutic dose).</w:t>
      </w:r>
    </w:p>
    <w:p w:rsidR="00465181" w:rsidRPr="00315BD2" w:rsidRDefault="00465181" w:rsidP="0003333A">
      <w:pPr>
        <w:tabs>
          <w:tab w:val="left" w:pos="8640"/>
          <w:tab w:val="left" w:pos="8820"/>
        </w:tabs>
        <w:rPr>
          <w:szCs w:val="24"/>
        </w:rPr>
      </w:pPr>
      <w:r w:rsidRPr="00315BD2">
        <w:rPr>
          <w:szCs w:val="24"/>
        </w:rPr>
        <w:t xml:space="preserve"> </w:t>
      </w:r>
    </w:p>
    <w:p w:rsidR="00DA2B20" w:rsidRPr="00315BD2" w:rsidRDefault="00E01889" w:rsidP="0003333A">
      <w:pPr>
        <w:rPr>
          <w:color w:val="000000"/>
          <w:szCs w:val="24"/>
        </w:rPr>
      </w:pPr>
      <w:proofErr w:type="spellStart"/>
      <w:r w:rsidRPr="00315BD2">
        <w:rPr>
          <w:szCs w:val="24"/>
        </w:rPr>
        <w:t>Tenofovir</w:t>
      </w:r>
      <w:proofErr w:type="spellEnd"/>
      <w:r w:rsidRPr="00315BD2">
        <w:rPr>
          <w:szCs w:val="24"/>
        </w:rPr>
        <w:t xml:space="preserve"> </w:t>
      </w:r>
      <w:proofErr w:type="spellStart"/>
      <w:r w:rsidRPr="00315BD2">
        <w:rPr>
          <w:szCs w:val="24"/>
        </w:rPr>
        <w:t>disoproxil</w:t>
      </w:r>
      <w:proofErr w:type="spellEnd"/>
      <w:r w:rsidRPr="00315BD2">
        <w:rPr>
          <w:szCs w:val="24"/>
        </w:rPr>
        <w:t xml:space="preserve"> fumarate was </w:t>
      </w:r>
      <w:r w:rsidR="00CF7454" w:rsidRPr="00315BD2">
        <w:rPr>
          <w:szCs w:val="24"/>
        </w:rPr>
        <w:t>mutagenic</w:t>
      </w:r>
      <w:r w:rsidRPr="00315BD2">
        <w:rPr>
          <w:szCs w:val="24"/>
        </w:rPr>
        <w:t xml:space="preserve"> in an </w:t>
      </w:r>
      <w:r w:rsidRPr="00315BD2">
        <w:rPr>
          <w:i/>
          <w:szCs w:val="24"/>
        </w:rPr>
        <w:t>in vitro</w:t>
      </w:r>
      <w:r w:rsidRPr="00315BD2">
        <w:rPr>
          <w:szCs w:val="24"/>
        </w:rPr>
        <w:t xml:space="preserve"> mouse L5178Y lymphoma </w:t>
      </w:r>
      <w:r w:rsidR="001B0430" w:rsidRPr="00315BD2">
        <w:rPr>
          <w:szCs w:val="24"/>
        </w:rPr>
        <w:t xml:space="preserve">cell </w:t>
      </w:r>
      <w:r w:rsidRPr="00315BD2">
        <w:rPr>
          <w:szCs w:val="24"/>
        </w:rPr>
        <w:t>assay (</w:t>
      </w:r>
      <w:proofErr w:type="spellStart"/>
      <w:r w:rsidRPr="00315BD2">
        <w:rPr>
          <w:i/>
          <w:szCs w:val="24"/>
        </w:rPr>
        <w:t>tk</w:t>
      </w:r>
      <w:proofErr w:type="spellEnd"/>
      <w:r w:rsidRPr="00315BD2">
        <w:rPr>
          <w:szCs w:val="24"/>
        </w:rPr>
        <w:t xml:space="preserve"> locus) </w:t>
      </w:r>
      <w:r w:rsidR="001B0430" w:rsidRPr="00315BD2">
        <w:rPr>
          <w:szCs w:val="24"/>
        </w:rPr>
        <w:t xml:space="preserve">and in an </w:t>
      </w:r>
      <w:r w:rsidR="001B0430" w:rsidRPr="00315BD2">
        <w:rPr>
          <w:i/>
          <w:szCs w:val="24"/>
        </w:rPr>
        <w:t>ex vivo</w:t>
      </w:r>
      <w:r w:rsidR="001B0430" w:rsidRPr="00315BD2">
        <w:rPr>
          <w:szCs w:val="24"/>
        </w:rPr>
        <w:t xml:space="preserve"> assay for unscheduled DNA synthesis in rat hepatocytes, </w:t>
      </w:r>
      <w:r w:rsidRPr="00315BD2">
        <w:rPr>
          <w:szCs w:val="24"/>
        </w:rPr>
        <w:t xml:space="preserve">but </w:t>
      </w:r>
      <w:r w:rsidR="001B0430" w:rsidRPr="00315BD2">
        <w:rPr>
          <w:szCs w:val="24"/>
        </w:rPr>
        <w:t xml:space="preserve">it </w:t>
      </w:r>
      <w:r w:rsidRPr="00315BD2">
        <w:rPr>
          <w:szCs w:val="24"/>
        </w:rPr>
        <w:t xml:space="preserve">was negative in </w:t>
      </w:r>
      <w:r w:rsidRPr="00315BD2">
        <w:rPr>
          <w:i/>
          <w:szCs w:val="24"/>
        </w:rPr>
        <w:t>in vitro</w:t>
      </w:r>
      <w:r w:rsidRPr="00315BD2">
        <w:rPr>
          <w:szCs w:val="24"/>
        </w:rPr>
        <w:t xml:space="preserve"> bacterial assays for gene mutation and an </w:t>
      </w:r>
      <w:r w:rsidRPr="00315BD2">
        <w:rPr>
          <w:i/>
          <w:szCs w:val="24"/>
        </w:rPr>
        <w:t>in vivo</w:t>
      </w:r>
      <w:r w:rsidRPr="00315BD2">
        <w:rPr>
          <w:szCs w:val="24"/>
        </w:rPr>
        <w:t xml:space="preserve"> mouse micronucleus test for chromosomal damage.  </w:t>
      </w:r>
      <w:proofErr w:type="spellStart"/>
      <w:r w:rsidR="00BF42A8" w:rsidRPr="00315BD2">
        <w:rPr>
          <w:color w:val="000000"/>
          <w:szCs w:val="24"/>
        </w:rPr>
        <w:t>Emtricitabine</w:t>
      </w:r>
      <w:proofErr w:type="spellEnd"/>
      <w:r w:rsidR="00BF42A8" w:rsidRPr="00315BD2">
        <w:rPr>
          <w:color w:val="000000"/>
          <w:szCs w:val="24"/>
        </w:rPr>
        <w:t xml:space="preserve"> was not mutagenic </w:t>
      </w:r>
      <w:r w:rsidR="001B0430" w:rsidRPr="00315BD2">
        <w:rPr>
          <w:color w:val="000000"/>
          <w:szCs w:val="24"/>
        </w:rPr>
        <w:t xml:space="preserve">in bacteria or mouse lymphoma cell </w:t>
      </w:r>
      <w:r w:rsidR="00BF42A8" w:rsidRPr="00315BD2">
        <w:rPr>
          <w:color w:val="000000"/>
          <w:szCs w:val="24"/>
        </w:rPr>
        <w:t>assays</w:t>
      </w:r>
      <w:r w:rsidR="001B0430" w:rsidRPr="00315BD2">
        <w:rPr>
          <w:color w:val="000000"/>
          <w:szCs w:val="24"/>
        </w:rPr>
        <w:t xml:space="preserve"> </w:t>
      </w:r>
      <w:r w:rsidR="001B0430" w:rsidRPr="00315BD2">
        <w:rPr>
          <w:i/>
          <w:color w:val="000000"/>
          <w:szCs w:val="24"/>
        </w:rPr>
        <w:t>in vitro</w:t>
      </w:r>
      <w:r w:rsidR="001B0430" w:rsidRPr="00315BD2">
        <w:rPr>
          <w:color w:val="000000"/>
          <w:szCs w:val="24"/>
        </w:rPr>
        <w:t xml:space="preserve"> </w:t>
      </w:r>
      <w:proofErr w:type="gramStart"/>
      <w:r w:rsidR="001B0430" w:rsidRPr="00315BD2">
        <w:rPr>
          <w:color w:val="000000"/>
          <w:szCs w:val="24"/>
        </w:rPr>
        <w:t>nor</w:t>
      </w:r>
      <w:proofErr w:type="gramEnd"/>
      <w:r w:rsidR="001B0430" w:rsidRPr="00315BD2">
        <w:rPr>
          <w:color w:val="000000"/>
          <w:szCs w:val="24"/>
        </w:rPr>
        <w:t xml:space="preserve"> </w:t>
      </w:r>
      <w:proofErr w:type="spellStart"/>
      <w:r w:rsidR="001B0430" w:rsidRPr="00315BD2">
        <w:rPr>
          <w:color w:val="000000"/>
          <w:szCs w:val="24"/>
        </w:rPr>
        <w:t>clastogenic</w:t>
      </w:r>
      <w:proofErr w:type="spellEnd"/>
      <w:r w:rsidR="001B0430" w:rsidRPr="00315BD2">
        <w:rPr>
          <w:color w:val="000000"/>
          <w:szCs w:val="24"/>
        </w:rPr>
        <w:t xml:space="preserve"> in the mouse micronucleus test </w:t>
      </w:r>
      <w:r w:rsidR="001B0430" w:rsidRPr="00315BD2">
        <w:rPr>
          <w:i/>
          <w:color w:val="000000"/>
          <w:szCs w:val="24"/>
        </w:rPr>
        <w:t>in vivo</w:t>
      </w:r>
      <w:r w:rsidR="00BF42A8" w:rsidRPr="00315BD2">
        <w:rPr>
          <w:color w:val="000000"/>
          <w:szCs w:val="24"/>
        </w:rPr>
        <w:t>.</w:t>
      </w:r>
    </w:p>
    <w:p w:rsidR="00281CDB" w:rsidRPr="00315BD2" w:rsidRDefault="00281CDB" w:rsidP="0003333A">
      <w:pPr>
        <w:rPr>
          <w:color w:val="000000"/>
          <w:szCs w:val="24"/>
        </w:rPr>
      </w:pPr>
    </w:p>
    <w:p w:rsidR="008A13C8" w:rsidRPr="00315BD2" w:rsidRDefault="008A13C8" w:rsidP="0003333A">
      <w:pPr>
        <w:rPr>
          <w:b/>
          <w:color w:val="000000"/>
          <w:szCs w:val="24"/>
        </w:rPr>
      </w:pPr>
      <w:r w:rsidRPr="00315BD2">
        <w:rPr>
          <w:b/>
          <w:color w:val="000000"/>
          <w:szCs w:val="24"/>
        </w:rPr>
        <w:t>Impairment of fertility</w:t>
      </w:r>
    </w:p>
    <w:p w:rsidR="0003333A" w:rsidRPr="00315BD2" w:rsidRDefault="0003333A" w:rsidP="0003333A">
      <w:pPr>
        <w:rPr>
          <w:b/>
          <w:color w:val="000000"/>
          <w:szCs w:val="24"/>
        </w:rPr>
      </w:pPr>
    </w:p>
    <w:p w:rsidR="008A13C8" w:rsidRPr="00315BD2" w:rsidRDefault="00612D86" w:rsidP="0003333A">
      <w:pPr>
        <w:rPr>
          <w:color w:val="000000"/>
          <w:szCs w:val="24"/>
        </w:rPr>
      </w:pPr>
      <w:r w:rsidRPr="00315BD2">
        <w:rPr>
          <w:color w:val="000000"/>
          <w:szCs w:val="24"/>
        </w:rPr>
        <w:t xml:space="preserve">No reproductive toxicity studies have been conducted with </w:t>
      </w:r>
      <w:proofErr w:type="spellStart"/>
      <w:r w:rsidRPr="00315BD2">
        <w:rPr>
          <w:color w:val="000000"/>
          <w:szCs w:val="24"/>
        </w:rPr>
        <w:t>tenofovir</w:t>
      </w:r>
      <w:proofErr w:type="spellEnd"/>
      <w:r w:rsidRPr="00315BD2">
        <w:rPr>
          <w:color w:val="000000"/>
          <w:szCs w:val="24"/>
        </w:rPr>
        <w:t xml:space="preserve"> </w:t>
      </w:r>
      <w:proofErr w:type="spellStart"/>
      <w:r w:rsidRPr="00315BD2">
        <w:rPr>
          <w:color w:val="000000"/>
          <w:szCs w:val="24"/>
        </w:rPr>
        <w:t>disoproxil</w:t>
      </w:r>
      <w:proofErr w:type="spellEnd"/>
      <w:r w:rsidRPr="00315BD2">
        <w:rPr>
          <w:color w:val="000000"/>
          <w:szCs w:val="24"/>
        </w:rPr>
        <w:t xml:space="preserve"> fumarate and </w:t>
      </w:r>
      <w:proofErr w:type="spellStart"/>
      <w:r w:rsidRPr="00315BD2">
        <w:rPr>
          <w:color w:val="000000"/>
          <w:szCs w:val="24"/>
        </w:rPr>
        <w:t>emtricitabine</w:t>
      </w:r>
      <w:proofErr w:type="spellEnd"/>
      <w:r w:rsidRPr="00315BD2">
        <w:rPr>
          <w:color w:val="000000"/>
          <w:szCs w:val="24"/>
        </w:rPr>
        <w:t xml:space="preserve"> in combination.  </w:t>
      </w:r>
      <w:r w:rsidR="00B328D4" w:rsidRPr="00315BD2">
        <w:rPr>
          <w:color w:val="000000"/>
          <w:szCs w:val="24"/>
        </w:rPr>
        <w:t xml:space="preserve">Male and female rat fertility and mating performance </w:t>
      </w:r>
      <w:r w:rsidR="007153FE" w:rsidRPr="00315BD2">
        <w:rPr>
          <w:color w:val="000000"/>
          <w:szCs w:val="24"/>
        </w:rPr>
        <w:t xml:space="preserve">or early embryonic development </w:t>
      </w:r>
      <w:r w:rsidR="00B328D4" w:rsidRPr="00315BD2">
        <w:rPr>
          <w:color w:val="000000"/>
          <w:szCs w:val="24"/>
        </w:rPr>
        <w:t xml:space="preserve">were unaffected by an oral </w:t>
      </w:r>
      <w:proofErr w:type="spellStart"/>
      <w:r w:rsidR="00B328D4" w:rsidRPr="00315BD2">
        <w:rPr>
          <w:color w:val="000000"/>
          <w:szCs w:val="24"/>
        </w:rPr>
        <w:t>tenofovir</w:t>
      </w:r>
      <w:proofErr w:type="spellEnd"/>
      <w:r w:rsidR="00B328D4" w:rsidRPr="00315BD2">
        <w:rPr>
          <w:color w:val="000000"/>
          <w:szCs w:val="24"/>
        </w:rPr>
        <w:t xml:space="preserve"> </w:t>
      </w:r>
      <w:proofErr w:type="spellStart"/>
      <w:r w:rsidR="00B328D4" w:rsidRPr="00315BD2">
        <w:rPr>
          <w:color w:val="000000"/>
          <w:szCs w:val="24"/>
        </w:rPr>
        <w:t>disoproxil</w:t>
      </w:r>
      <w:proofErr w:type="spellEnd"/>
      <w:r w:rsidR="00B328D4" w:rsidRPr="00315BD2">
        <w:rPr>
          <w:color w:val="000000"/>
          <w:szCs w:val="24"/>
        </w:rPr>
        <w:t xml:space="preserve"> fumarate dose (600 mg/kg/day) that achieved systemic drug exposures that were in excess of the expected value in humans receiving the therapeutic dose (5-fold based on pla</w:t>
      </w:r>
      <w:r w:rsidR="0062069B" w:rsidRPr="00315BD2">
        <w:rPr>
          <w:color w:val="000000"/>
          <w:szCs w:val="24"/>
        </w:rPr>
        <w:t>s</w:t>
      </w:r>
      <w:r w:rsidR="00B328D4" w:rsidRPr="00315BD2">
        <w:rPr>
          <w:color w:val="000000"/>
          <w:szCs w:val="24"/>
        </w:rPr>
        <w:t xml:space="preserve">ma AUC).  There was, however, an alteration of the </w:t>
      </w:r>
      <w:proofErr w:type="spellStart"/>
      <w:r w:rsidR="00B328D4" w:rsidRPr="00315BD2">
        <w:rPr>
          <w:color w:val="000000"/>
          <w:szCs w:val="24"/>
        </w:rPr>
        <w:t>oestrous</w:t>
      </w:r>
      <w:proofErr w:type="spellEnd"/>
      <w:r w:rsidR="00B328D4" w:rsidRPr="00315BD2">
        <w:rPr>
          <w:color w:val="000000"/>
          <w:szCs w:val="24"/>
        </w:rPr>
        <w:t xml:space="preserve"> cycle in female rats.</w:t>
      </w:r>
    </w:p>
    <w:p w:rsidR="0003333A" w:rsidRPr="00315BD2" w:rsidRDefault="0003333A" w:rsidP="0003333A">
      <w:pPr>
        <w:rPr>
          <w:color w:val="000000"/>
          <w:szCs w:val="24"/>
        </w:rPr>
      </w:pPr>
    </w:p>
    <w:p w:rsidR="00FA3CA5" w:rsidRPr="00315BD2" w:rsidRDefault="00612D86" w:rsidP="0003333A">
      <w:pPr>
        <w:rPr>
          <w:b/>
          <w:color w:val="000000"/>
          <w:szCs w:val="24"/>
        </w:rPr>
      </w:pPr>
      <w:proofErr w:type="spellStart"/>
      <w:r w:rsidRPr="00315BD2">
        <w:rPr>
          <w:color w:val="000000"/>
          <w:szCs w:val="24"/>
        </w:rPr>
        <w:t>Emtricitabine</w:t>
      </w:r>
      <w:proofErr w:type="spellEnd"/>
      <w:r w:rsidRPr="00315BD2">
        <w:rPr>
          <w:color w:val="000000"/>
          <w:szCs w:val="24"/>
        </w:rPr>
        <w:t xml:space="preserve"> did not affect fertility in male rats or in female and male mice at respective approximate exposures (AUC) of 130 and 50-80 times the exposure in humans.  The fertility of offspring was unaffected by treatment of mice from early gestation to the end of lactation (50 times the human exposure).</w:t>
      </w:r>
    </w:p>
    <w:p w:rsidR="00FA3CA5" w:rsidRPr="00315BD2" w:rsidRDefault="00FA3CA5" w:rsidP="0003333A">
      <w:pPr>
        <w:rPr>
          <w:b/>
          <w:color w:val="000000"/>
          <w:szCs w:val="24"/>
        </w:rPr>
      </w:pPr>
    </w:p>
    <w:p w:rsidR="00BA56C7" w:rsidRPr="00315BD2" w:rsidRDefault="00BA56C7" w:rsidP="0003333A">
      <w:pPr>
        <w:rPr>
          <w:b/>
          <w:color w:val="000000"/>
          <w:szCs w:val="24"/>
        </w:rPr>
      </w:pPr>
      <w:r w:rsidRPr="00315BD2">
        <w:rPr>
          <w:b/>
          <w:color w:val="000000"/>
          <w:szCs w:val="24"/>
        </w:rPr>
        <w:t>Use in Pregnancy</w:t>
      </w:r>
    </w:p>
    <w:p w:rsidR="0003333A" w:rsidRPr="00315BD2" w:rsidRDefault="0003333A" w:rsidP="0003333A">
      <w:pPr>
        <w:rPr>
          <w:i/>
          <w:color w:val="000000"/>
          <w:szCs w:val="24"/>
        </w:rPr>
      </w:pPr>
    </w:p>
    <w:p w:rsidR="0067758A" w:rsidRPr="00315BD2" w:rsidRDefault="00BA56C7" w:rsidP="0003333A">
      <w:pPr>
        <w:rPr>
          <w:i/>
          <w:color w:val="000000"/>
          <w:szCs w:val="24"/>
        </w:rPr>
      </w:pPr>
      <w:r w:rsidRPr="00315BD2">
        <w:rPr>
          <w:i/>
          <w:color w:val="000000"/>
          <w:szCs w:val="24"/>
        </w:rPr>
        <w:t>Pregnancy Category B3</w:t>
      </w:r>
    </w:p>
    <w:p w:rsidR="00612D86" w:rsidRPr="00315BD2" w:rsidRDefault="007041CD" w:rsidP="0003333A">
      <w:pPr>
        <w:rPr>
          <w:color w:val="000000"/>
          <w:szCs w:val="24"/>
        </w:rPr>
      </w:pPr>
      <w:r w:rsidRPr="00315BD2">
        <w:rPr>
          <w:color w:val="000000"/>
          <w:szCs w:val="24"/>
        </w:rPr>
        <w:t xml:space="preserve">No clinical data are available for pregnant women being treated with </w:t>
      </w:r>
      <w:proofErr w:type="spellStart"/>
      <w:r w:rsidRPr="00315BD2">
        <w:rPr>
          <w:color w:val="000000"/>
          <w:szCs w:val="24"/>
        </w:rPr>
        <w:t>tenofovir</w:t>
      </w:r>
      <w:proofErr w:type="spellEnd"/>
      <w:r w:rsidRPr="00315BD2">
        <w:rPr>
          <w:color w:val="000000"/>
          <w:szCs w:val="24"/>
        </w:rPr>
        <w:t xml:space="preserve"> </w:t>
      </w:r>
      <w:proofErr w:type="spellStart"/>
      <w:r w:rsidRPr="00315BD2">
        <w:rPr>
          <w:color w:val="000000"/>
          <w:szCs w:val="24"/>
        </w:rPr>
        <w:t>disoproxil</w:t>
      </w:r>
      <w:proofErr w:type="spellEnd"/>
      <w:r w:rsidRPr="00315BD2">
        <w:rPr>
          <w:color w:val="000000"/>
          <w:szCs w:val="24"/>
        </w:rPr>
        <w:t xml:space="preserve"> fumarate</w:t>
      </w:r>
      <w:r w:rsidR="005164E5" w:rsidRPr="00315BD2">
        <w:rPr>
          <w:color w:val="000000"/>
          <w:szCs w:val="24"/>
        </w:rPr>
        <w:t xml:space="preserve"> or </w:t>
      </w:r>
      <w:proofErr w:type="spellStart"/>
      <w:r w:rsidR="005164E5" w:rsidRPr="00315BD2">
        <w:rPr>
          <w:color w:val="000000"/>
          <w:szCs w:val="24"/>
        </w:rPr>
        <w:t>emtricitabine</w:t>
      </w:r>
      <w:proofErr w:type="spellEnd"/>
      <w:r w:rsidRPr="00315BD2">
        <w:rPr>
          <w:color w:val="000000"/>
          <w:szCs w:val="24"/>
        </w:rPr>
        <w:t xml:space="preserve">.  </w:t>
      </w:r>
      <w:r w:rsidR="00612D86" w:rsidRPr="00315BD2">
        <w:rPr>
          <w:color w:val="000000"/>
          <w:szCs w:val="24"/>
        </w:rPr>
        <w:t xml:space="preserve">No </w:t>
      </w:r>
      <w:proofErr w:type="spellStart"/>
      <w:r w:rsidR="00612D86" w:rsidRPr="00315BD2">
        <w:rPr>
          <w:color w:val="000000"/>
          <w:szCs w:val="24"/>
        </w:rPr>
        <w:t>embryofoetal</w:t>
      </w:r>
      <w:proofErr w:type="spellEnd"/>
      <w:r w:rsidR="00612D86" w:rsidRPr="00315BD2">
        <w:rPr>
          <w:color w:val="000000"/>
          <w:szCs w:val="24"/>
        </w:rPr>
        <w:t xml:space="preserve"> development studies have been conducted with </w:t>
      </w:r>
      <w:proofErr w:type="spellStart"/>
      <w:r w:rsidR="00612D86" w:rsidRPr="00315BD2">
        <w:rPr>
          <w:color w:val="000000"/>
          <w:szCs w:val="24"/>
        </w:rPr>
        <w:t>tenofovir</w:t>
      </w:r>
      <w:proofErr w:type="spellEnd"/>
      <w:r w:rsidR="00612D86" w:rsidRPr="00315BD2">
        <w:rPr>
          <w:color w:val="000000"/>
          <w:szCs w:val="24"/>
        </w:rPr>
        <w:t xml:space="preserve"> </w:t>
      </w:r>
      <w:proofErr w:type="spellStart"/>
      <w:r w:rsidR="00612D86" w:rsidRPr="00315BD2">
        <w:rPr>
          <w:color w:val="000000"/>
          <w:szCs w:val="24"/>
        </w:rPr>
        <w:t>disoproxil</w:t>
      </w:r>
      <w:proofErr w:type="spellEnd"/>
      <w:r w:rsidR="00612D86" w:rsidRPr="00315BD2">
        <w:rPr>
          <w:color w:val="000000"/>
          <w:szCs w:val="24"/>
        </w:rPr>
        <w:t xml:space="preserve"> fumarate and </w:t>
      </w:r>
      <w:proofErr w:type="spellStart"/>
      <w:r w:rsidR="00612D86" w:rsidRPr="00315BD2">
        <w:rPr>
          <w:color w:val="000000"/>
          <w:szCs w:val="24"/>
        </w:rPr>
        <w:t>emtricitabine</w:t>
      </w:r>
      <w:proofErr w:type="spellEnd"/>
      <w:r w:rsidR="00612D86" w:rsidRPr="00315BD2">
        <w:rPr>
          <w:color w:val="000000"/>
          <w:szCs w:val="24"/>
        </w:rPr>
        <w:t xml:space="preserve"> in combination.</w:t>
      </w:r>
    </w:p>
    <w:p w:rsidR="00612D86" w:rsidRPr="00315BD2" w:rsidRDefault="00612D86" w:rsidP="0003333A">
      <w:pPr>
        <w:rPr>
          <w:color w:val="000000"/>
          <w:szCs w:val="24"/>
        </w:rPr>
      </w:pPr>
    </w:p>
    <w:p w:rsidR="005B4165" w:rsidRPr="00315BD2" w:rsidRDefault="007041CD" w:rsidP="0003333A">
      <w:pPr>
        <w:rPr>
          <w:strike/>
          <w:snapToGrid w:val="0"/>
          <w:color w:val="000000"/>
          <w:szCs w:val="24"/>
        </w:rPr>
      </w:pPr>
      <w:r w:rsidRPr="00315BD2">
        <w:rPr>
          <w:color w:val="000000"/>
          <w:szCs w:val="24"/>
        </w:rPr>
        <w:t xml:space="preserve">Reproductive toxicity studies performed in rats and rabbits did not reveal any evidence of harm to the </w:t>
      </w:r>
      <w:proofErr w:type="spellStart"/>
      <w:r w:rsidRPr="00315BD2">
        <w:rPr>
          <w:color w:val="000000"/>
          <w:szCs w:val="24"/>
        </w:rPr>
        <w:t>foetus</w:t>
      </w:r>
      <w:proofErr w:type="spellEnd"/>
      <w:r w:rsidRPr="00315BD2">
        <w:rPr>
          <w:color w:val="000000"/>
          <w:szCs w:val="24"/>
        </w:rPr>
        <w:t xml:space="preserve"> due to </w:t>
      </w:r>
      <w:proofErr w:type="spellStart"/>
      <w:r w:rsidRPr="00315BD2">
        <w:rPr>
          <w:color w:val="000000"/>
          <w:szCs w:val="24"/>
        </w:rPr>
        <w:t>tenofovir</w:t>
      </w:r>
      <w:proofErr w:type="spellEnd"/>
      <w:r w:rsidR="00174021" w:rsidRPr="00315BD2">
        <w:rPr>
          <w:color w:val="000000"/>
          <w:szCs w:val="24"/>
        </w:rPr>
        <w:t xml:space="preserve"> at </w:t>
      </w:r>
      <w:r w:rsidR="00612D86" w:rsidRPr="00315BD2">
        <w:rPr>
          <w:color w:val="000000"/>
          <w:szCs w:val="24"/>
        </w:rPr>
        <w:t xml:space="preserve">respective </w:t>
      </w:r>
      <w:r w:rsidR="00174021" w:rsidRPr="00315BD2">
        <w:rPr>
          <w:color w:val="000000"/>
          <w:szCs w:val="24"/>
        </w:rPr>
        <w:t>exposures (AUC) of 4-</w:t>
      </w:r>
      <w:r w:rsidR="00612D86" w:rsidRPr="00315BD2">
        <w:rPr>
          <w:color w:val="000000"/>
          <w:szCs w:val="24"/>
        </w:rPr>
        <w:t>1</w:t>
      </w:r>
      <w:r w:rsidR="00174021" w:rsidRPr="00315BD2">
        <w:rPr>
          <w:color w:val="000000"/>
          <w:szCs w:val="24"/>
        </w:rPr>
        <w:t xml:space="preserve">3 and 66-fold </w:t>
      </w:r>
      <w:r w:rsidR="00612D86" w:rsidRPr="00315BD2">
        <w:rPr>
          <w:color w:val="000000"/>
          <w:szCs w:val="24"/>
        </w:rPr>
        <w:t xml:space="preserve">the </w:t>
      </w:r>
      <w:r w:rsidR="005164E5" w:rsidRPr="00315BD2">
        <w:rPr>
          <w:color w:val="000000"/>
          <w:szCs w:val="24"/>
        </w:rPr>
        <w:t>human exposure</w:t>
      </w:r>
      <w:r w:rsidRPr="00315BD2">
        <w:rPr>
          <w:color w:val="000000"/>
          <w:szCs w:val="24"/>
        </w:rPr>
        <w:t xml:space="preserve">.  </w:t>
      </w:r>
      <w:r w:rsidR="00612D86" w:rsidRPr="00315BD2">
        <w:rPr>
          <w:color w:val="000000"/>
          <w:szCs w:val="24"/>
        </w:rPr>
        <w:t>Subcutaneous treatment of pregnant rhesus monkeys with a dose of 30 mg/kg/day</w:t>
      </w:r>
      <w:r w:rsidR="00614958" w:rsidRPr="00315BD2">
        <w:rPr>
          <w:color w:val="000000"/>
          <w:szCs w:val="24"/>
        </w:rPr>
        <w:t xml:space="preserve"> of the </w:t>
      </w:r>
      <w:proofErr w:type="spellStart"/>
      <w:r w:rsidR="00614958" w:rsidRPr="00315BD2">
        <w:rPr>
          <w:color w:val="000000"/>
          <w:szCs w:val="24"/>
        </w:rPr>
        <w:t>tenofovir</w:t>
      </w:r>
      <w:proofErr w:type="spellEnd"/>
      <w:r w:rsidR="00614958" w:rsidRPr="00315BD2">
        <w:rPr>
          <w:color w:val="000000"/>
          <w:szCs w:val="24"/>
        </w:rPr>
        <w:t xml:space="preserve"> base during the last half of pregnancy resulted in reduced </w:t>
      </w:r>
      <w:proofErr w:type="spellStart"/>
      <w:r w:rsidR="00614958" w:rsidRPr="00315BD2">
        <w:rPr>
          <w:color w:val="000000"/>
          <w:szCs w:val="24"/>
        </w:rPr>
        <w:t>foetal</w:t>
      </w:r>
      <w:proofErr w:type="spellEnd"/>
      <w:r w:rsidR="00614958" w:rsidRPr="00315BD2">
        <w:rPr>
          <w:color w:val="000000"/>
          <w:szCs w:val="24"/>
        </w:rPr>
        <w:t xml:space="preserve"> serum phosphorus concentrations.</w:t>
      </w:r>
      <w:r w:rsidR="0005720A" w:rsidRPr="00315BD2">
        <w:rPr>
          <w:color w:val="000000"/>
          <w:szCs w:val="24"/>
        </w:rPr>
        <w:t xml:space="preserve"> </w:t>
      </w:r>
      <w:r w:rsidR="00614958" w:rsidRPr="00315BD2">
        <w:rPr>
          <w:color w:val="000000"/>
          <w:szCs w:val="24"/>
        </w:rPr>
        <w:t xml:space="preserve"> No evidence of </w:t>
      </w:r>
      <w:proofErr w:type="spellStart"/>
      <w:r w:rsidR="00614958" w:rsidRPr="00315BD2">
        <w:rPr>
          <w:color w:val="000000"/>
          <w:szCs w:val="24"/>
        </w:rPr>
        <w:t>embryofoetal</w:t>
      </w:r>
      <w:proofErr w:type="spellEnd"/>
      <w:r w:rsidR="00614958" w:rsidRPr="00315BD2">
        <w:rPr>
          <w:color w:val="000000"/>
          <w:szCs w:val="24"/>
        </w:rPr>
        <w:t xml:space="preserve"> toxicity or teratogenicity was observed in mice or rabbits at respective </w:t>
      </w:r>
      <w:proofErr w:type="spellStart"/>
      <w:r w:rsidR="00614958" w:rsidRPr="00315BD2">
        <w:rPr>
          <w:color w:val="000000"/>
          <w:szCs w:val="24"/>
        </w:rPr>
        <w:t>emtricitabine</w:t>
      </w:r>
      <w:proofErr w:type="spellEnd"/>
      <w:r w:rsidR="00614958" w:rsidRPr="00315BD2">
        <w:rPr>
          <w:color w:val="000000"/>
          <w:szCs w:val="24"/>
        </w:rPr>
        <w:t xml:space="preserve"> exposures (AUC) of 50 and 130 fold the clinical exposure.  Impaired weight gain observed in pregnant rabbits at doses resulting in </w:t>
      </w:r>
      <w:proofErr w:type="spellStart"/>
      <w:r w:rsidR="00614958" w:rsidRPr="00315BD2">
        <w:rPr>
          <w:color w:val="000000"/>
          <w:szCs w:val="24"/>
        </w:rPr>
        <w:t>emtricitabine</w:t>
      </w:r>
      <w:proofErr w:type="spellEnd"/>
      <w:r w:rsidR="00614958" w:rsidRPr="00315BD2">
        <w:rPr>
          <w:color w:val="000000"/>
          <w:szCs w:val="24"/>
        </w:rPr>
        <w:t xml:space="preserve"> exposures (AUC) at least 33 times the clinical exposure was not associated with any adverse </w:t>
      </w:r>
      <w:proofErr w:type="spellStart"/>
      <w:r w:rsidR="00614958" w:rsidRPr="00315BD2">
        <w:rPr>
          <w:color w:val="000000"/>
          <w:szCs w:val="24"/>
        </w:rPr>
        <w:t>foetal</w:t>
      </w:r>
      <w:proofErr w:type="spellEnd"/>
      <w:r w:rsidR="00614958" w:rsidRPr="00315BD2">
        <w:rPr>
          <w:color w:val="000000"/>
          <w:szCs w:val="24"/>
        </w:rPr>
        <w:t xml:space="preserve"> effects.  </w:t>
      </w:r>
      <w:r w:rsidRPr="00315BD2">
        <w:rPr>
          <w:color w:val="000000"/>
          <w:szCs w:val="24"/>
        </w:rPr>
        <w:t xml:space="preserve">Because animal reproduction studies are not always predictive of human response, </w:t>
      </w:r>
      <w:r w:rsidR="00AC7246" w:rsidRPr="00315BD2">
        <w:rPr>
          <w:color w:val="000000"/>
          <w:szCs w:val="24"/>
        </w:rPr>
        <w:t>TRUVADA</w:t>
      </w:r>
      <w:r w:rsidRPr="00315BD2">
        <w:rPr>
          <w:color w:val="000000"/>
          <w:szCs w:val="24"/>
        </w:rPr>
        <w:t xml:space="preserve"> should be used during pregnancy only if clearly needed</w:t>
      </w:r>
      <w:r w:rsidRPr="005F4AAF">
        <w:rPr>
          <w:b/>
          <w:i/>
          <w:color w:val="000000"/>
          <w:szCs w:val="24"/>
        </w:rPr>
        <w:t xml:space="preserve">.  </w:t>
      </w:r>
      <w:r w:rsidR="005F4AAF" w:rsidRPr="005F4AAF">
        <w:rPr>
          <w:szCs w:val="24"/>
        </w:rPr>
        <w:t xml:space="preserve">If an uninfected individual becomes pregnant while taking TRUVADA for a </w:t>
      </w:r>
      <w:proofErr w:type="spellStart"/>
      <w:r w:rsidR="005F4AAF" w:rsidRPr="005F4AAF">
        <w:rPr>
          <w:szCs w:val="24"/>
        </w:rPr>
        <w:t>PrEP</w:t>
      </w:r>
      <w:proofErr w:type="spellEnd"/>
      <w:r w:rsidR="005F4AAF" w:rsidRPr="005F4AAF">
        <w:rPr>
          <w:szCs w:val="24"/>
        </w:rPr>
        <w:t xml:space="preserve"> indication, careful consideration should be given to whether use of TRUVADA should be continued, taking into account the potential increased risk of HIV-1 infection during pregnancy.</w:t>
      </w:r>
    </w:p>
    <w:p w:rsidR="00724325" w:rsidRDefault="004A4EA2" w:rsidP="0003333A">
      <w:pPr>
        <w:rPr>
          <w:b/>
          <w:color w:val="000000"/>
          <w:szCs w:val="24"/>
        </w:rPr>
      </w:pPr>
      <w:r w:rsidRPr="00315BD2">
        <w:rPr>
          <w:b/>
          <w:color w:val="000000"/>
          <w:szCs w:val="24"/>
        </w:rPr>
        <w:lastRenderedPageBreak/>
        <w:t>Use in Lactation</w:t>
      </w:r>
    </w:p>
    <w:p w:rsidR="008A7C1D" w:rsidRDefault="008A7C1D" w:rsidP="0003333A">
      <w:pPr>
        <w:rPr>
          <w:b/>
          <w:color w:val="000000"/>
          <w:szCs w:val="24"/>
        </w:rPr>
      </w:pPr>
    </w:p>
    <w:p w:rsidR="008A7C1D" w:rsidRDefault="008A7C1D" w:rsidP="0003333A">
      <w:pPr>
        <w:rPr>
          <w:szCs w:val="24"/>
        </w:rPr>
      </w:pPr>
      <w:r w:rsidRPr="00315BD2">
        <w:rPr>
          <w:szCs w:val="24"/>
        </w:rPr>
        <w:t>Because of the potential for HIV transmission and for serious adverse reactions in nursing infants, mothers should be instructed not to breast feed if they are receiving TRUVADA</w:t>
      </w:r>
      <w:r w:rsidR="00CE411D">
        <w:rPr>
          <w:szCs w:val="24"/>
        </w:rPr>
        <w:t xml:space="preserve"> for treatment or to reduce the risk of acquiring HIV-1</w:t>
      </w:r>
      <w:r>
        <w:rPr>
          <w:szCs w:val="24"/>
        </w:rPr>
        <w:t>.</w:t>
      </w:r>
    </w:p>
    <w:p w:rsidR="008A7C1D" w:rsidRPr="00315BD2" w:rsidRDefault="008A7C1D" w:rsidP="0003333A">
      <w:pPr>
        <w:rPr>
          <w:b/>
          <w:color w:val="000000"/>
          <w:szCs w:val="24"/>
        </w:rPr>
      </w:pPr>
    </w:p>
    <w:p w:rsidR="00CF5E15" w:rsidRPr="00754CB3" w:rsidRDefault="00EF2885" w:rsidP="0003333A">
      <w:pPr>
        <w:rPr>
          <w:szCs w:val="24"/>
        </w:rPr>
      </w:pPr>
      <w:proofErr w:type="spellStart"/>
      <w:r w:rsidRPr="00754CB3">
        <w:rPr>
          <w:i/>
          <w:szCs w:val="24"/>
        </w:rPr>
        <w:t>Tenofovir</w:t>
      </w:r>
      <w:proofErr w:type="spellEnd"/>
      <w:r w:rsidRPr="00754CB3">
        <w:rPr>
          <w:i/>
          <w:szCs w:val="24"/>
        </w:rPr>
        <w:t xml:space="preserve"> </w:t>
      </w:r>
      <w:proofErr w:type="spellStart"/>
      <w:r w:rsidRPr="00754CB3">
        <w:rPr>
          <w:i/>
          <w:szCs w:val="24"/>
        </w:rPr>
        <w:t>disoproxil</w:t>
      </w:r>
      <w:proofErr w:type="spellEnd"/>
      <w:r w:rsidRPr="00754CB3">
        <w:rPr>
          <w:i/>
          <w:szCs w:val="24"/>
        </w:rPr>
        <w:t xml:space="preserve"> fumarate:</w:t>
      </w:r>
      <w:r w:rsidR="00C90B4D" w:rsidRPr="00754CB3">
        <w:rPr>
          <w:szCs w:val="24"/>
        </w:rPr>
        <w:t xml:space="preserve"> In humans, samples of breast milk </w:t>
      </w:r>
      <w:r w:rsidR="00762F4A" w:rsidRPr="00754CB3">
        <w:rPr>
          <w:szCs w:val="24"/>
        </w:rPr>
        <w:t>obtained from five HIV</w:t>
      </w:r>
      <w:r w:rsidR="00B67FAE">
        <w:rPr>
          <w:szCs w:val="24"/>
        </w:rPr>
        <w:t>-1</w:t>
      </w:r>
      <w:r w:rsidR="00762F4A" w:rsidRPr="00754CB3">
        <w:rPr>
          <w:szCs w:val="24"/>
        </w:rPr>
        <w:t xml:space="preserve"> </w:t>
      </w:r>
      <w:r w:rsidR="00C90B4D" w:rsidRPr="00754CB3">
        <w:rPr>
          <w:szCs w:val="24"/>
        </w:rPr>
        <w:t xml:space="preserve">infected mothers show that </w:t>
      </w:r>
      <w:proofErr w:type="spellStart"/>
      <w:r w:rsidR="00C90B4D" w:rsidRPr="00754CB3">
        <w:rPr>
          <w:szCs w:val="24"/>
        </w:rPr>
        <w:t>tenofovir</w:t>
      </w:r>
      <w:proofErr w:type="spellEnd"/>
      <w:r w:rsidR="00C90B4D" w:rsidRPr="00754CB3">
        <w:rPr>
          <w:szCs w:val="24"/>
        </w:rPr>
        <w:t xml:space="preserve"> is secreted in human milk at low </w:t>
      </w:r>
      <w:r w:rsidR="002978F6" w:rsidRPr="00754CB3">
        <w:rPr>
          <w:szCs w:val="24"/>
        </w:rPr>
        <w:t>concentrations</w:t>
      </w:r>
      <w:r w:rsidR="00B91058" w:rsidRPr="00754CB3">
        <w:rPr>
          <w:szCs w:val="24"/>
        </w:rPr>
        <w:t xml:space="preserve"> (estimated neonatal concentrations 128 to 266 times lower </w:t>
      </w:r>
      <w:r w:rsidR="00B91058" w:rsidRPr="00754CB3">
        <w:rPr>
          <w:iCs/>
          <w:szCs w:val="24"/>
          <w:lang w:val="en-GB"/>
        </w:rPr>
        <w:t xml:space="preserve">than the </w:t>
      </w:r>
      <w:proofErr w:type="spellStart"/>
      <w:r w:rsidR="00B91058" w:rsidRPr="00754CB3">
        <w:rPr>
          <w:iCs/>
          <w:szCs w:val="24"/>
          <w:lang w:val="en-GB"/>
        </w:rPr>
        <w:t>tenofovir</w:t>
      </w:r>
      <w:proofErr w:type="spellEnd"/>
      <w:r w:rsidR="00B91058" w:rsidRPr="00754CB3">
        <w:rPr>
          <w:iCs/>
          <w:szCs w:val="24"/>
          <w:lang w:val="en-GB"/>
        </w:rPr>
        <w:t xml:space="preserve"> IC</w:t>
      </w:r>
      <w:r w:rsidR="00B91058" w:rsidRPr="00754CB3">
        <w:rPr>
          <w:iCs/>
          <w:szCs w:val="24"/>
          <w:vertAlign w:val="subscript"/>
          <w:lang w:val="en-GB"/>
        </w:rPr>
        <w:t>50</w:t>
      </w:r>
      <w:r w:rsidR="002978F6" w:rsidRPr="00754CB3">
        <w:rPr>
          <w:iCs/>
          <w:szCs w:val="24"/>
          <w:lang w:val="en-GB"/>
        </w:rPr>
        <w:t xml:space="preserve"> (</w:t>
      </w:r>
      <w:r w:rsidR="002978F6" w:rsidRPr="00754CB3">
        <w:rPr>
          <w:iCs/>
          <w:noProof/>
          <w:szCs w:val="24"/>
          <w:lang w:val="en-GB"/>
        </w:rPr>
        <w:t xml:space="preserve">50% </w:t>
      </w:r>
      <w:r w:rsidR="009F0838">
        <w:rPr>
          <w:iCs/>
          <w:noProof/>
          <w:szCs w:val="24"/>
          <w:lang w:val="en-GB"/>
        </w:rPr>
        <w:t xml:space="preserve">maximal </w:t>
      </w:r>
      <w:r w:rsidR="002978F6" w:rsidRPr="00754CB3">
        <w:rPr>
          <w:iCs/>
          <w:noProof/>
          <w:szCs w:val="24"/>
          <w:lang w:val="en-GB"/>
        </w:rPr>
        <w:t>inhibitory concentration)</w:t>
      </w:r>
      <w:r w:rsidR="00B91058" w:rsidRPr="00754CB3">
        <w:rPr>
          <w:iCs/>
          <w:szCs w:val="24"/>
          <w:lang w:val="en-GB"/>
        </w:rPr>
        <w:t xml:space="preserve">.  </w:t>
      </w:r>
      <w:proofErr w:type="spellStart"/>
      <w:r w:rsidR="00B91058" w:rsidRPr="00754CB3">
        <w:rPr>
          <w:iCs/>
          <w:szCs w:val="24"/>
          <w:lang w:val="en-GB"/>
        </w:rPr>
        <w:t>Tenofovir</w:t>
      </w:r>
      <w:proofErr w:type="spellEnd"/>
      <w:r w:rsidR="00B91058" w:rsidRPr="00754CB3">
        <w:rPr>
          <w:iCs/>
          <w:szCs w:val="24"/>
          <w:lang w:val="en-GB"/>
        </w:rPr>
        <w:t xml:space="preserve"> associated risks, including the risk of developing viral resistance to </w:t>
      </w:r>
      <w:proofErr w:type="spellStart"/>
      <w:r w:rsidR="00B91058" w:rsidRPr="00754CB3">
        <w:rPr>
          <w:iCs/>
          <w:szCs w:val="24"/>
          <w:lang w:val="en-GB"/>
        </w:rPr>
        <w:t>tenofovir</w:t>
      </w:r>
      <w:proofErr w:type="spellEnd"/>
      <w:r w:rsidR="00B91058" w:rsidRPr="00754CB3">
        <w:rPr>
          <w:iCs/>
          <w:szCs w:val="24"/>
          <w:lang w:val="en-GB"/>
        </w:rPr>
        <w:t xml:space="preserve">, in infants breastfed by mothers being treated with </w:t>
      </w:r>
      <w:proofErr w:type="spellStart"/>
      <w:r w:rsidR="00B91058" w:rsidRPr="00754CB3">
        <w:rPr>
          <w:iCs/>
          <w:szCs w:val="24"/>
          <w:lang w:val="en-GB"/>
        </w:rPr>
        <w:t>tenofovir</w:t>
      </w:r>
      <w:proofErr w:type="spellEnd"/>
      <w:r w:rsidR="00B91058" w:rsidRPr="00754CB3">
        <w:rPr>
          <w:iCs/>
          <w:szCs w:val="24"/>
          <w:lang w:val="en-GB"/>
        </w:rPr>
        <w:t xml:space="preserve"> </w:t>
      </w:r>
      <w:proofErr w:type="spellStart"/>
      <w:r w:rsidR="00B91058" w:rsidRPr="00754CB3">
        <w:rPr>
          <w:iCs/>
          <w:szCs w:val="24"/>
          <w:lang w:val="en-GB"/>
        </w:rPr>
        <w:t>disoproxil</w:t>
      </w:r>
      <w:proofErr w:type="spellEnd"/>
      <w:r w:rsidR="00B91058" w:rsidRPr="00754CB3">
        <w:rPr>
          <w:iCs/>
          <w:szCs w:val="24"/>
          <w:lang w:val="en-GB"/>
        </w:rPr>
        <w:t xml:space="preserve"> fumarate are unknown.</w:t>
      </w:r>
      <w:r w:rsidR="00B91058" w:rsidRPr="00754CB3">
        <w:rPr>
          <w:szCs w:val="24"/>
        </w:rPr>
        <w:t xml:space="preserve"> </w:t>
      </w:r>
      <w:r w:rsidR="00C90B4D" w:rsidRPr="00754CB3">
        <w:rPr>
          <w:szCs w:val="24"/>
        </w:rPr>
        <w:t xml:space="preserve"> </w:t>
      </w:r>
    </w:p>
    <w:p w:rsidR="00EF2885" w:rsidRPr="00754CB3" w:rsidRDefault="00EF2885" w:rsidP="0003333A">
      <w:pPr>
        <w:rPr>
          <w:szCs w:val="24"/>
        </w:rPr>
      </w:pPr>
    </w:p>
    <w:p w:rsidR="008A7C1D" w:rsidRPr="00754CB3" w:rsidRDefault="00EF2885" w:rsidP="00754CB3">
      <w:pPr>
        <w:pStyle w:val="Default"/>
        <w:jc w:val="both"/>
        <w:rPr>
          <w:color w:val="auto"/>
        </w:rPr>
      </w:pPr>
      <w:proofErr w:type="spellStart"/>
      <w:r w:rsidRPr="00754CB3">
        <w:rPr>
          <w:i/>
          <w:color w:val="auto"/>
        </w:rPr>
        <w:t>Emtricitabine</w:t>
      </w:r>
      <w:proofErr w:type="spellEnd"/>
      <w:r w:rsidRPr="00754CB3">
        <w:rPr>
          <w:i/>
          <w:color w:val="auto"/>
        </w:rPr>
        <w:t>:</w:t>
      </w:r>
      <w:r w:rsidR="008A7C1D" w:rsidRPr="00754CB3">
        <w:rPr>
          <w:color w:val="auto"/>
        </w:rPr>
        <w:t xml:space="preserve"> Samples of breast milk </w:t>
      </w:r>
      <w:r w:rsidR="00762F4A" w:rsidRPr="00754CB3">
        <w:rPr>
          <w:color w:val="auto"/>
        </w:rPr>
        <w:t>obtained from five HIV</w:t>
      </w:r>
      <w:r w:rsidR="00B67FAE">
        <w:rPr>
          <w:color w:val="auto"/>
        </w:rPr>
        <w:t>-1</w:t>
      </w:r>
      <w:r w:rsidR="00762F4A" w:rsidRPr="00754CB3">
        <w:rPr>
          <w:color w:val="auto"/>
        </w:rPr>
        <w:t xml:space="preserve"> </w:t>
      </w:r>
      <w:r w:rsidR="008A7C1D" w:rsidRPr="00754CB3">
        <w:rPr>
          <w:color w:val="auto"/>
        </w:rPr>
        <w:t xml:space="preserve">infected mothers show that </w:t>
      </w:r>
      <w:proofErr w:type="spellStart"/>
      <w:r w:rsidR="008A7C1D" w:rsidRPr="00754CB3">
        <w:rPr>
          <w:color w:val="auto"/>
        </w:rPr>
        <w:t>emtricitabine</w:t>
      </w:r>
      <w:proofErr w:type="spellEnd"/>
      <w:r w:rsidR="008A7C1D" w:rsidRPr="00754CB3">
        <w:rPr>
          <w:color w:val="auto"/>
        </w:rPr>
        <w:t xml:space="preserve"> is secreted in human milk at estimated neonatal concentrations 3 to 12 times higher than the </w:t>
      </w:r>
      <w:proofErr w:type="spellStart"/>
      <w:r w:rsidR="008A7C1D" w:rsidRPr="00754CB3">
        <w:rPr>
          <w:color w:val="auto"/>
        </w:rPr>
        <w:t>emtricitabine</w:t>
      </w:r>
      <w:proofErr w:type="spellEnd"/>
      <w:r w:rsidR="008A7C1D" w:rsidRPr="00754CB3">
        <w:rPr>
          <w:color w:val="auto"/>
        </w:rPr>
        <w:t xml:space="preserve"> </w:t>
      </w:r>
      <w:r w:rsidR="002F0485" w:rsidRPr="00754CB3">
        <w:rPr>
          <w:iCs/>
          <w:color w:val="auto"/>
          <w:lang w:val="en-GB"/>
        </w:rPr>
        <w:t>IC</w:t>
      </w:r>
      <w:r w:rsidR="002F0485" w:rsidRPr="00754CB3">
        <w:rPr>
          <w:iCs/>
          <w:color w:val="auto"/>
          <w:vertAlign w:val="subscript"/>
          <w:lang w:val="en-GB"/>
        </w:rPr>
        <w:t>50</w:t>
      </w:r>
      <w:r w:rsidR="008A7C1D" w:rsidRPr="00754CB3">
        <w:rPr>
          <w:color w:val="auto"/>
          <w:sz w:val="16"/>
          <w:szCs w:val="16"/>
        </w:rPr>
        <w:t xml:space="preserve"> </w:t>
      </w:r>
      <w:r w:rsidR="008A7C1D" w:rsidRPr="00754CB3">
        <w:rPr>
          <w:color w:val="auto"/>
        </w:rPr>
        <w:t xml:space="preserve">but 3 to 12 times lower than the </w:t>
      </w:r>
      <w:proofErr w:type="spellStart"/>
      <w:r w:rsidR="008A7C1D" w:rsidRPr="00754CB3">
        <w:rPr>
          <w:color w:val="auto"/>
        </w:rPr>
        <w:t>C</w:t>
      </w:r>
      <w:r w:rsidR="008A7C1D" w:rsidRPr="00754CB3">
        <w:rPr>
          <w:color w:val="auto"/>
          <w:sz w:val="16"/>
          <w:szCs w:val="16"/>
        </w:rPr>
        <w:t>min</w:t>
      </w:r>
      <w:proofErr w:type="spellEnd"/>
      <w:r w:rsidR="002978F6" w:rsidRPr="00754CB3">
        <w:rPr>
          <w:color w:val="auto"/>
        </w:rPr>
        <w:t xml:space="preserve"> (</w:t>
      </w:r>
      <w:r w:rsidR="00B67FAE">
        <w:rPr>
          <w:color w:val="auto"/>
        </w:rPr>
        <w:t xml:space="preserve">minimal expected </w:t>
      </w:r>
      <w:r w:rsidR="002978F6" w:rsidRPr="00754CB3">
        <w:rPr>
          <w:noProof/>
          <w:color w:val="auto"/>
        </w:rPr>
        <w:t>trough concentration</w:t>
      </w:r>
      <w:r w:rsidR="00B67FAE">
        <w:rPr>
          <w:noProof/>
          <w:color w:val="auto"/>
        </w:rPr>
        <w:t>s</w:t>
      </w:r>
      <w:r w:rsidR="002978F6" w:rsidRPr="00754CB3">
        <w:rPr>
          <w:noProof/>
          <w:color w:val="auto"/>
        </w:rPr>
        <w:t xml:space="preserve"> in adults)</w:t>
      </w:r>
      <w:r w:rsidR="008A7C1D" w:rsidRPr="00754CB3">
        <w:rPr>
          <w:color w:val="auto"/>
          <w:sz w:val="16"/>
          <w:szCs w:val="16"/>
        </w:rPr>
        <w:t xml:space="preserve"> </w:t>
      </w:r>
      <w:r w:rsidR="008A7C1D" w:rsidRPr="00754CB3">
        <w:rPr>
          <w:color w:val="auto"/>
        </w:rPr>
        <w:t xml:space="preserve">achieved from oral administration of </w:t>
      </w:r>
      <w:proofErr w:type="spellStart"/>
      <w:r w:rsidR="008A7C1D" w:rsidRPr="00754CB3">
        <w:rPr>
          <w:color w:val="auto"/>
        </w:rPr>
        <w:t>emtricitabine</w:t>
      </w:r>
      <w:proofErr w:type="spellEnd"/>
      <w:r w:rsidR="008A7C1D" w:rsidRPr="00754CB3">
        <w:rPr>
          <w:color w:val="auto"/>
        </w:rPr>
        <w:t xml:space="preserve">. Breastfeeding infants whose mothers are being treated with </w:t>
      </w:r>
      <w:proofErr w:type="spellStart"/>
      <w:r w:rsidR="008A7C1D" w:rsidRPr="00754CB3">
        <w:rPr>
          <w:color w:val="auto"/>
        </w:rPr>
        <w:t>emtricitabine</w:t>
      </w:r>
      <w:proofErr w:type="spellEnd"/>
      <w:r w:rsidR="008A7C1D" w:rsidRPr="00754CB3">
        <w:rPr>
          <w:color w:val="auto"/>
        </w:rPr>
        <w:t xml:space="preserve"> may be at risk for developing viral resistance to </w:t>
      </w:r>
      <w:proofErr w:type="spellStart"/>
      <w:r w:rsidR="008A7C1D" w:rsidRPr="00754CB3">
        <w:rPr>
          <w:color w:val="auto"/>
        </w:rPr>
        <w:t>emtricitabine</w:t>
      </w:r>
      <w:proofErr w:type="spellEnd"/>
      <w:r w:rsidR="008A7C1D" w:rsidRPr="00754CB3">
        <w:rPr>
          <w:color w:val="auto"/>
        </w:rPr>
        <w:t xml:space="preserve">. Other </w:t>
      </w:r>
      <w:proofErr w:type="spellStart"/>
      <w:r w:rsidR="008A7C1D" w:rsidRPr="00754CB3">
        <w:rPr>
          <w:color w:val="auto"/>
        </w:rPr>
        <w:t>emtricitabine</w:t>
      </w:r>
      <w:proofErr w:type="spellEnd"/>
      <w:r w:rsidR="008A7C1D" w:rsidRPr="00754CB3">
        <w:rPr>
          <w:color w:val="auto"/>
        </w:rPr>
        <w:t xml:space="preserve">-associated risks in </w:t>
      </w:r>
      <w:proofErr w:type="gramStart"/>
      <w:r w:rsidR="008A7C1D" w:rsidRPr="00754CB3">
        <w:rPr>
          <w:color w:val="auto"/>
        </w:rPr>
        <w:t>infants</w:t>
      </w:r>
      <w:proofErr w:type="gramEnd"/>
      <w:r w:rsidR="008A7C1D" w:rsidRPr="00754CB3">
        <w:rPr>
          <w:color w:val="auto"/>
        </w:rPr>
        <w:t xml:space="preserve"> breastfed by mothers being treated with </w:t>
      </w:r>
      <w:proofErr w:type="spellStart"/>
      <w:r w:rsidR="008A7C1D" w:rsidRPr="00754CB3">
        <w:rPr>
          <w:color w:val="auto"/>
        </w:rPr>
        <w:t>emtricitabine</w:t>
      </w:r>
      <w:proofErr w:type="spellEnd"/>
      <w:r w:rsidR="008A7C1D" w:rsidRPr="00754CB3">
        <w:rPr>
          <w:color w:val="auto"/>
        </w:rPr>
        <w:t xml:space="preserve"> are unknown. </w:t>
      </w:r>
    </w:p>
    <w:p w:rsidR="00EF2885" w:rsidRPr="008A7C1D" w:rsidRDefault="00EF2885" w:rsidP="0003333A">
      <w:pPr>
        <w:rPr>
          <w:szCs w:val="24"/>
        </w:rPr>
      </w:pPr>
    </w:p>
    <w:p w:rsidR="00CA01D5" w:rsidRPr="00315BD2" w:rsidRDefault="00CA01D5" w:rsidP="0003333A">
      <w:pPr>
        <w:rPr>
          <w:b/>
          <w:color w:val="000000"/>
          <w:szCs w:val="24"/>
        </w:rPr>
      </w:pPr>
      <w:r w:rsidRPr="00315BD2">
        <w:rPr>
          <w:b/>
          <w:color w:val="000000"/>
          <w:szCs w:val="24"/>
        </w:rPr>
        <w:t>Use</w:t>
      </w:r>
      <w:r w:rsidR="006A0A05" w:rsidRPr="00315BD2">
        <w:rPr>
          <w:b/>
          <w:color w:val="000000"/>
          <w:szCs w:val="24"/>
        </w:rPr>
        <w:t xml:space="preserve"> in Children</w:t>
      </w:r>
    </w:p>
    <w:p w:rsidR="00CF5E15" w:rsidRPr="00315BD2" w:rsidRDefault="00CF5E15" w:rsidP="0003333A">
      <w:pPr>
        <w:rPr>
          <w:color w:val="000000"/>
          <w:szCs w:val="24"/>
        </w:rPr>
      </w:pPr>
    </w:p>
    <w:p w:rsidR="00BE5DA5" w:rsidRPr="00315BD2" w:rsidRDefault="00BE5DA5" w:rsidP="0003333A">
      <w:pPr>
        <w:pStyle w:val="Text10"/>
        <w:spacing w:after="0"/>
        <w:rPr>
          <w:szCs w:val="24"/>
        </w:rPr>
      </w:pPr>
      <w:r w:rsidRPr="00315BD2">
        <w:rPr>
          <w:szCs w:val="24"/>
        </w:rPr>
        <w:t xml:space="preserve">Safety and effectiveness in </w:t>
      </w:r>
      <w:proofErr w:type="spellStart"/>
      <w:r w:rsidRPr="00315BD2">
        <w:rPr>
          <w:szCs w:val="24"/>
        </w:rPr>
        <w:t>p</w:t>
      </w:r>
      <w:r w:rsidR="008F4BCD" w:rsidRPr="00315BD2">
        <w:rPr>
          <w:szCs w:val="24"/>
        </w:rPr>
        <w:t>a</w:t>
      </w:r>
      <w:r w:rsidRPr="00315BD2">
        <w:rPr>
          <w:szCs w:val="24"/>
        </w:rPr>
        <w:t>ediatric</w:t>
      </w:r>
      <w:proofErr w:type="spellEnd"/>
      <w:r w:rsidRPr="00315BD2">
        <w:rPr>
          <w:szCs w:val="24"/>
        </w:rPr>
        <w:t xml:space="preserve"> patients have not been established. </w:t>
      </w:r>
    </w:p>
    <w:p w:rsidR="00CF5E15" w:rsidRPr="00315BD2" w:rsidRDefault="00CF5E15" w:rsidP="0003333A">
      <w:pPr>
        <w:rPr>
          <w:b/>
          <w:color w:val="000000"/>
          <w:szCs w:val="24"/>
        </w:rPr>
      </w:pPr>
    </w:p>
    <w:p w:rsidR="00CA01D5" w:rsidRPr="00315BD2" w:rsidRDefault="00CA01D5" w:rsidP="00E75E72">
      <w:pPr>
        <w:widowControl w:val="0"/>
        <w:rPr>
          <w:color w:val="000000"/>
          <w:szCs w:val="24"/>
        </w:rPr>
      </w:pPr>
      <w:r w:rsidRPr="00315BD2">
        <w:rPr>
          <w:b/>
          <w:color w:val="000000"/>
          <w:szCs w:val="24"/>
        </w:rPr>
        <w:t>Use</w:t>
      </w:r>
      <w:r w:rsidR="006A0A05" w:rsidRPr="00315BD2">
        <w:rPr>
          <w:b/>
          <w:color w:val="000000"/>
          <w:szCs w:val="24"/>
        </w:rPr>
        <w:t xml:space="preserve"> in the Elderly</w:t>
      </w:r>
    </w:p>
    <w:p w:rsidR="00CF5E15" w:rsidRPr="00315BD2" w:rsidRDefault="00CF5E15" w:rsidP="00E75E72">
      <w:pPr>
        <w:widowControl w:val="0"/>
        <w:rPr>
          <w:color w:val="000000"/>
          <w:szCs w:val="24"/>
        </w:rPr>
      </w:pPr>
    </w:p>
    <w:p w:rsidR="00CA01D5" w:rsidRPr="00315BD2" w:rsidRDefault="00934C26" w:rsidP="00E75E72">
      <w:pPr>
        <w:widowControl w:val="0"/>
        <w:rPr>
          <w:color w:val="000000"/>
          <w:szCs w:val="24"/>
        </w:rPr>
      </w:pPr>
      <w:r w:rsidRPr="00315BD2">
        <w:rPr>
          <w:color w:val="000000"/>
          <w:szCs w:val="24"/>
        </w:rPr>
        <w:t xml:space="preserve">Clinical studies of </w:t>
      </w:r>
      <w:proofErr w:type="spellStart"/>
      <w:r w:rsidRPr="00315BD2">
        <w:rPr>
          <w:color w:val="000000"/>
          <w:szCs w:val="24"/>
        </w:rPr>
        <w:t>tenofovir</w:t>
      </w:r>
      <w:proofErr w:type="spellEnd"/>
      <w:r w:rsidRPr="00315BD2">
        <w:rPr>
          <w:color w:val="000000"/>
          <w:szCs w:val="24"/>
        </w:rPr>
        <w:t xml:space="preserve"> and </w:t>
      </w:r>
      <w:proofErr w:type="spellStart"/>
      <w:r w:rsidRPr="00315BD2">
        <w:rPr>
          <w:color w:val="000000"/>
          <w:szCs w:val="24"/>
        </w:rPr>
        <w:t>emtricitabine</w:t>
      </w:r>
      <w:proofErr w:type="spellEnd"/>
      <w:r w:rsidRPr="00315BD2">
        <w:rPr>
          <w:color w:val="000000"/>
          <w:szCs w:val="24"/>
        </w:rPr>
        <w:t xml:space="preserve"> did not contain sufficient numbers of </w:t>
      </w:r>
      <w:r w:rsidR="00727FA5" w:rsidRPr="00315BD2">
        <w:rPr>
          <w:color w:val="000000"/>
          <w:szCs w:val="24"/>
        </w:rPr>
        <w:t>patient</w:t>
      </w:r>
      <w:r w:rsidRPr="00315BD2">
        <w:rPr>
          <w:color w:val="000000"/>
          <w:szCs w:val="24"/>
        </w:rPr>
        <w:t xml:space="preserve">s aged 65 years and over to determine whether they respond differently from younger </w:t>
      </w:r>
      <w:r w:rsidR="00727FA5" w:rsidRPr="00315BD2">
        <w:rPr>
          <w:color w:val="000000"/>
          <w:szCs w:val="24"/>
        </w:rPr>
        <w:t>patient</w:t>
      </w:r>
      <w:r w:rsidRPr="00315BD2">
        <w:rPr>
          <w:color w:val="000000"/>
          <w:szCs w:val="24"/>
        </w:rPr>
        <w:t>s. In general, dose selection for the elderly patient should be cautious, keeping in mind the greater frequency of decreased hepatic, renal or cardiac function, and of concomitant disease or other drug therapy (see DOSAGE AND ADMINISTRATION).</w:t>
      </w:r>
    </w:p>
    <w:p w:rsidR="00CF5E15" w:rsidRPr="00315BD2" w:rsidRDefault="00CF5E15" w:rsidP="0003333A">
      <w:pPr>
        <w:rPr>
          <w:color w:val="000000"/>
          <w:szCs w:val="24"/>
        </w:rPr>
      </w:pPr>
    </w:p>
    <w:p w:rsidR="00AD5561" w:rsidRPr="00315BD2" w:rsidRDefault="00934C26" w:rsidP="0003333A">
      <w:pPr>
        <w:rPr>
          <w:b/>
          <w:color w:val="000000"/>
          <w:szCs w:val="24"/>
        </w:rPr>
      </w:pPr>
      <w:r w:rsidRPr="00315BD2">
        <w:rPr>
          <w:b/>
          <w:color w:val="000000"/>
          <w:szCs w:val="24"/>
        </w:rPr>
        <w:t>Effects on ability to drive and use machines</w:t>
      </w:r>
    </w:p>
    <w:p w:rsidR="00CF5E15" w:rsidRPr="00315BD2" w:rsidRDefault="00CF5E15" w:rsidP="0003333A">
      <w:pPr>
        <w:rPr>
          <w:color w:val="000000"/>
          <w:szCs w:val="24"/>
        </w:rPr>
      </w:pPr>
    </w:p>
    <w:p w:rsidR="00934C26" w:rsidRPr="00315BD2" w:rsidRDefault="00934C26" w:rsidP="0003333A">
      <w:pPr>
        <w:rPr>
          <w:color w:val="000000"/>
          <w:szCs w:val="24"/>
        </w:rPr>
      </w:pPr>
      <w:r w:rsidRPr="00315BD2">
        <w:rPr>
          <w:color w:val="000000"/>
          <w:szCs w:val="24"/>
        </w:rPr>
        <w:t xml:space="preserve">No studies on the effects of </w:t>
      </w:r>
      <w:r w:rsidR="00E410F0" w:rsidRPr="00315BD2">
        <w:rPr>
          <w:szCs w:val="24"/>
        </w:rPr>
        <w:t>TRUVADA</w:t>
      </w:r>
      <w:r w:rsidRPr="00315BD2">
        <w:rPr>
          <w:color w:val="000000"/>
          <w:szCs w:val="24"/>
        </w:rPr>
        <w:t xml:space="preserve"> on the ability to drive and use machines have been performed.  However, </w:t>
      </w:r>
      <w:r w:rsidR="002A0305" w:rsidRPr="00315BD2">
        <w:rPr>
          <w:color w:val="000000"/>
          <w:szCs w:val="24"/>
        </w:rPr>
        <w:t xml:space="preserve">patients should be informed that dizziness has been reported during treatment with both </w:t>
      </w:r>
      <w:proofErr w:type="spellStart"/>
      <w:r w:rsidR="002A0305" w:rsidRPr="00315BD2">
        <w:rPr>
          <w:color w:val="000000"/>
          <w:szCs w:val="24"/>
        </w:rPr>
        <w:t>tenofovir</w:t>
      </w:r>
      <w:proofErr w:type="spellEnd"/>
      <w:r w:rsidR="002A0305" w:rsidRPr="00315BD2">
        <w:rPr>
          <w:color w:val="000000"/>
          <w:szCs w:val="24"/>
        </w:rPr>
        <w:t xml:space="preserve"> </w:t>
      </w:r>
      <w:proofErr w:type="spellStart"/>
      <w:r w:rsidR="002A0305" w:rsidRPr="00315BD2">
        <w:rPr>
          <w:color w:val="000000"/>
          <w:szCs w:val="24"/>
        </w:rPr>
        <w:t>disoproxil</w:t>
      </w:r>
      <w:proofErr w:type="spellEnd"/>
      <w:r w:rsidR="002A0305" w:rsidRPr="00315BD2">
        <w:rPr>
          <w:color w:val="000000"/>
          <w:szCs w:val="24"/>
        </w:rPr>
        <w:t xml:space="preserve"> fumarate and </w:t>
      </w:r>
      <w:proofErr w:type="spellStart"/>
      <w:r w:rsidR="002A0305" w:rsidRPr="00315BD2">
        <w:rPr>
          <w:color w:val="000000"/>
          <w:szCs w:val="24"/>
        </w:rPr>
        <w:t>emtricitabine</w:t>
      </w:r>
      <w:proofErr w:type="spellEnd"/>
      <w:r w:rsidR="002A0305" w:rsidRPr="00315BD2">
        <w:rPr>
          <w:color w:val="000000"/>
          <w:szCs w:val="24"/>
        </w:rPr>
        <w:t>.</w:t>
      </w:r>
    </w:p>
    <w:p w:rsidR="009557BD" w:rsidRPr="00315BD2" w:rsidRDefault="009557BD" w:rsidP="0003333A">
      <w:pPr>
        <w:rPr>
          <w:color w:val="000000"/>
          <w:szCs w:val="24"/>
        </w:rPr>
      </w:pPr>
    </w:p>
    <w:p w:rsidR="00BD577A" w:rsidRDefault="00BD577A" w:rsidP="0003333A">
      <w:pPr>
        <w:pStyle w:val="Heading3"/>
        <w:jc w:val="both"/>
        <w:rPr>
          <w:rFonts w:ascii="Times New Roman" w:hAnsi="Times New Roman"/>
          <w:bCs/>
          <w:i w:val="0"/>
          <w:szCs w:val="24"/>
        </w:rPr>
        <w:sectPr w:rsidR="00BD577A" w:rsidSect="00F14E84">
          <w:pgSz w:w="12240" w:h="15840" w:code="1"/>
          <w:pgMar w:top="1134" w:right="1418" w:bottom="1418" w:left="1418" w:header="720" w:footer="720" w:gutter="0"/>
          <w:cols w:space="720"/>
          <w:noEndnote/>
        </w:sectPr>
      </w:pPr>
    </w:p>
    <w:p w:rsidR="00B20B57" w:rsidRPr="00F509F7" w:rsidRDefault="00CF5E15" w:rsidP="0003333A">
      <w:pPr>
        <w:pStyle w:val="Heading3"/>
        <w:jc w:val="both"/>
        <w:rPr>
          <w:rFonts w:ascii="Times New Roman" w:hAnsi="Times New Roman"/>
          <w:bCs/>
          <w:i w:val="0"/>
          <w:szCs w:val="24"/>
        </w:rPr>
      </w:pPr>
      <w:r w:rsidRPr="00F509F7">
        <w:rPr>
          <w:rFonts w:ascii="Times New Roman" w:hAnsi="Times New Roman"/>
          <w:bCs/>
          <w:i w:val="0"/>
          <w:szCs w:val="24"/>
        </w:rPr>
        <w:lastRenderedPageBreak/>
        <w:t xml:space="preserve">ADVERSE </w:t>
      </w:r>
      <w:r w:rsidR="00DC7153" w:rsidRPr="00F509F7">
        <w:rPr>
          <w:rFonts w:ascii="Times New Roman" w:hAnsi="Times New Roman"/>
          <w:bCs/>
          <w:i w:val="0"/>
          <w:szCs w:val="24"/>
        </w:rPr>
        <w:t>EFFECTS</w:t>
      </w:r>
    </w:p>
    <w:p w:rsidR="00CF5E15" w:rsidRDefault="00CF5E15" w:rsidP="0003333A">
      <w:pPr>
        <w:rPr>
          <w:b/>
          <w:color w:val="000000"/>
          <w:szCs w:val="24"/>
        </w:rPr>
      </w:pPr>
    </w:p>
    <w:p w:rsidR="001A47BA" w:rsidRDefault="001A47BA" w:rsidP="0003333A">
      <w:pPr>
        <w:rPr>
          <w:b/>
          <w:color w:val="000000"/>
          <w:szCs w:val="24"/>
        </w:rPr>
      </w:pPr>
      <w:r>
        <w:rPr>
          <w:b/>
          <w:color w:val="000000"/>
          <w:szCs w:val="24"/>
        </w:rPr>
        <w:t>Adverse Effects for Clinical Trials Experience in HIV-1 Infected Patients</w:t>
      </w:r>
    </w:p>
    <w:p w:rsidR="001A47BA" w:rsidRPr="00315BD2" w:rsidRDefault="001A47BA" w:rsidP="0003333A">
      <w:pPr>
        <w:rPr>
          <w:b/>
          <w:color w:val="000000"/>
          <w:szCs w:val="24"/>
        </w:rPr>
      </w:pPr>
    </w:p>
    <w:p w:rsidR="005A77BC" w:rsidRPr="00315BD2" w:rsidRDefault="005A77BC" w:rsidP="005A77BC">
      <w:pPr>
        <w:autoSpaceDE w:val="0"/>
        <w:autoSpaceDN w:val="0"/>
        <w:adjustRightInd w:val="0"/>
        <w:rPr>
          <w:szCs w:val="24"/>
        </w:rPr>
      </w:pPr>
      <w:r w:rsidRPr="00315BD2">
        <w:rPr>
          <w:szCs w:val="24"/>
        </w:rPr>
        <w:t>Four hundred and forty seven HIV-1 infected patients have received combination therapy with EMTRIVA and VIREAD with either a non-nucleoside reverse transcriptase inhibitor or protease inhibitor for 48 weeks in ongoing clinical studies.</w:t>
      </w:r>
    </w:p>
    <w:p w:rsidR="005A77BC" w:rsidRPr="00315BD2" w:rsidRDefault="005A77BC" w:rsidP="005A77BC">
      <w:pPr>
        <w:autoSpaceDE w:val="0"/>
        <w:autoSpaceDN w:val="0"/>
        <w:adjustRightInd w:val="0"/>
        <w:rPr>
          <w:szCs w:val="24"/>
        </w:rPr>
      </w:pPr>
    </w:p>
    <w:p w:rsidR="005A77BC" w:rsidRPr="00315BD2" w:rsidRDefault="005A77BC" w:rsidP="005A77BC">
      <w:pPr>
        <w:autoSpaceDE w:val="0"/>
        <w:autoSpaceDN w:val="0"/>
        <w:adjustRightInd w:val="0"/>
        <w:rPr>
          <w:szCs w:val="24"/>
        </w:rPr>
      </w:pPr>
      <w:r w:rsidRPr="00315BD2">
        <w:rPr>
          <w:b/>
          <w:bCs/>
          <w:szCs w:val="24"/>
        </w:rPr>
        <w:t xml:space="preserve">Study 934 - Treatment Emergent Adverse Events: </w:t>
      </w:r>
      <w:r w:rsidRPr="00315BD2">
        <w:rPr>
          <w:szCs w:val="24"/>
        </w:rPr>
        <w:t xml:space="preserve">Study 934 was an open-label active-controlled study in which 511 antiretroviral-naïve patients received either EMTRIVA + VIREAD administered in combination with </w:t>
      </w:r>
      <w:proofErr w:type="spellStart"/>
      <w:r w:rsidRPr="00315BD2">
        <w:rPr>
          <w:szCs w:val="24"/>
        </w:rPr>
        <w:t>efavirenz</w:t>
      </w:r>
      <w:proofErr w:type="spellEnd"/>
      <w:r w:rsidRPr="00315BD2">
        <w:rPr>
          <w:szCs w:val="24"/>
        </w:rPr>
        <w:t xml:space="preserve"> (n=257) or COMBIVIR (lamivudine/zidovudine) administered in combination with </w:t>
      </w:r>
      <w:proofErr w:type="spellStart"/>
      <w:r w:rsidRPr="00315BD2">
        <w:rPr>
          <w:szCs w:val="24"/>
        </w:rPr>
        <w:t>efavirenz</w:t>
      </w:r>
      <w:proofErr w:type="spellEnd"/>
      <w:r w:rsidRPr="00315BD2">
        <w:rPr>
          <w:szCs w:val="24"/>
        </w:rPr>
        <w:t xml:space="preserve"> (n=254). Adverse events observed in this study were generally consistent with those seen in previous studies in treatment-experienced or treatment-naïve patients (</w:t>
      </w:r>
      <w:r w:rsidR="00DA5725" w:rsidRPr="00315BD2">
        <w:rPr>
          <w:szCs w:val="24"/>
        </w:rPr>
        <w:t>Table 10</w:t>
      </w:r>
      <w:r w:rsidRPr="00315BD2">
        <w:rPr>
          <w:szCs w:val="24"/>
        </w:rPr>
        <w:t>).</w:t>
      </w:r>
      <w:r w:rsidR="00793F04" w:rsidRPr="00315BD2">
        <w:rPr>
          <w:szCs w:val="24"/>
        </w:rPr>
        <w:t xml:space="preserve"> Adverse events leading to study drug discontinuation occurred in significantly smaller number of patients in the TRUVADA group compared to the COMBIVIR group (5% vs 11%, p=0.010).  The most frequently occurring adverse event leading to study drug discontinuation was </w:t>
      </w:r>
      <w:proofErr w:type="spellStart"/>
      <w:r w:rsidR="00793F04" w:rsidRPr="00315BD2">
        <w:rPr>
          <w:szCs w:val="24"/>
        </w:rPr>
        <w:t>anaemia</w:t>
      </w:r>
      <w:proofErr w:type="spellEnd"/>
      <w:r w:rsidR="00793F04" w:rsidRPr="00315BD2">
        <w:rPr>
          <w:szCs w:val="24"/>
        </w:rPr>
        <w:t xml:space="preserve"> (including decreased </w:t>
      </w:r>
      <w:proofErr w:type="spellStart"/>
      <w:r w:rsidR="00793F04" w:rsidRPr="00315BD2">
        <w:rPr>
          <w:szCs w:val="24"/>
        </w:rPr>
        <w:t>haemoglobin</w:t>
      </w:r>
      <w:proofErr w:type="spellEnd"/>
      <w:r w:rsidR="00793F04" w:rsidRPr="00315BD2">
        <w:rPr>
          <w:szCs w:val="24"/>
        </w:rPr>
        <w:t>), no patient in the TRUVADA group and 6% of patients in the COMBIVIR group.</w:t>
      </w:r>
    </w:p>
    <w:p w:rsidR="00670663" w:rsidRDefault="00670663" w:rsidP="0003333A">
      <w:pPr>
        <w:rPr>
          <w:b/>
          <w:color w:val="000000"/>
          <w:sz w:val="22"/>
          <w:szCs w:val="22"/>
        </w:rPr>
      </w:pPr>
    </w:p>
    <w:p w:rsidR="00020ACE" w:rsidRPr="00782EAC" w:rsidRDefault="00617240" w:rsidP="00F509F7">
      <w:pPr>
        <w:pStyle w:val="Caption"/>
        <w:ind w:left="1418" w:hanging="1418"/>
      </w:pPr>
      <w:bookmarkStart w:id="12" w:name="_Ref159392195"/>
      <w:proofErr w:type="gramStart"/>
      <w:r>
        <w:t xml:space="preserve">Table </w:t>
      </w:r>
      <w:r>
        <w:fldChar w:fldCharType="begin"/>
      </w:r>
      <w:r>
        <w:instrText xml:space="preserve"> SEQ Table \* ARABIC </w:instrText>
      </w:r>
      <w:r>
        <w:fldChar w:fldCharType="separate"/>
      </w:r>
      <w:r w:rsidR="00440D32">
        <w:rPr>
          <w:noProof/>
        </w:rPr>
        <w:t>10</w:t>
      </w:r>
      <w:r>
        <w:fldChar w:fldCharType="end"/>
      </w:r>
      <w:bookmarkEnd w:id="12"/>
      <w:r>
        <w:t>.</w:t>
      </w:r>
      <w:proofErr w:type="gramEnd"/>
      <w:r>
        <w:tab/>
      </w:r>
      <w:r w:rsidR="00BE1AA7">
        <w:t xml:space="preserve">Frequency of Adverse Reactions to EMTRIVA and/or VIREAD (Grade 2-4) Occurring in </w:t>
      </w:r>
      <w:r w:rsidR="00BE1AA7">
        <w:sym w:font="Symbol" w:char="F0B3"/>
      </w:r>
      <w:r w:rsidR="00BE1AA7">
        <w:t>3% of Patients Receiving EMTRIVA and VIREAD (or TRUVADA) in Study 934 (0-144 weeks</w:t>
      </w:r>
      <w:proofErr w:type="gramStart"/>
      <w:r w:rsidR="00BE1AA7">
        <w:t>)</w:t>
      </w:r>
      <w:r w:rsidR="00BE1AA7">
        <w:rPr>
          <w:rFonts w:ascii="Times New Roman Bold" w:hAnsi="Times New Roman Bold"/>
          <w:szCs w:val="22"/>
          <w:vertAlign w:val="superscript"/>
        </w:rPr>
        <w:t>1</w:t>
      </w:r>
      <w:proofErr w:type="gramEnd"/>
      <w:r w:rsidR="00BE1AA7">
        <w:rPr>
          <w:rFonts w:ascii="Times New Roman Bold" w:hAnsi="Times New Roman Bold"/>
          <w:szCs w:val="22"/>
          <w:vertAlign w:val="super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980"/>
        <w:gridCol w:w="2113"/>
      </w:tblGrid>
      <w:tr w:rsidR="00020ACE" w:rsidRPr="0074719A" w:rsidTr="0074719A">
        <w:trPr>
          <w:trHeight w:val="591"/>
        </w:trPr>
        <w:tc>
          <w:tcPr>
            <w:tcW w:w="4968" w:type="dxa"/>
            <w:shd w:val="clear" w:color="auto" w:fill="auto"/>
          </w:tcPr>
          <w:p w:rsidR="00020ACE" w:rsidRPr="0074719A" w:rsidRDefault="00BE1AA7" w:rsidP="0074719A">
            <w:pPr>
              <w:autoSpaceDE w:val="0"/>
              <w:autoSpaceDN w:val="0"/>
              <w:adjustRightInd w:val="0"/>
            </w:pPr>
            <w:r w:rsidRPr="0074719A">
              <w:rPr>
                <w:b/>
              </w:rPr>
              <w:t xml:space="preserve">Adverse </w:t>
            </w:r>
            <w:r w:rsidR="00014677" w:rsidRPr="0074719A">
              <w:rPr>
                <w:b/>
              </w:rPr>
              <w:t>Reaction</w:t>
            </w:r>
          </w:p>
        </w:tc>
        <w:tc>
          <w:tcPr>
            <w:tcW w:w="1980" w:type="dxa"/>
            <w:shd w:val="clear" w:color="auto" w:fill="auto"/>
          </w:tcPr>
          <w:p w:rsidR="00020ACE" w:rsidRPr="0074719A" w:rsidRDefault="00F033E7" w:rsidP="0074719A">
            <w:pPr>
              <w:autoSpaceDE w:val="0"/>
              <w:autoSpaceDN w:val="0"/>
              <w:adjustRightInd w:val="0"/>
              <w:jc w:val="center"/>
            </w:pPr>
            <w:r w:rsidRPr="0074719A">
              <w:rPr>
                <w:b/>
                <w:bCs/>
              </w:rPr>
              <w:t>TRUVADA</w:t>
            </w:r>
            <w:r w:rsidR="00BE1AA7" w:rsidRPr="0074719A">
              <w:rPr>
                <w:rFonts w:ascii="Times New Roman Bold" w:hAnsi="Times New Roman Bold"/>
                <w:b/>
                <w:bCs/>
                <w:vertAlign w:val="superscript"/>
              </w:rPr>
              <w:t>2</w:t>
            </w:r>
            <w:r w:rsidRPr="0074719A">
              <w:rPr>
                <w:rFonts w:ascii="Times New Roman Bold" w:hAnsi="Times New Roman Bold"/>
                <w:b/>
                <w:bCs/>
                <w:vertAlign w:val="superscript"/>
              </w:rPr>
              <w:t xml:space="preserve"> </w:t>
            </w:r>
            <w:r w:rsidR="00020ACE" w:rsidRPr="0074719A">
              <w:rPr>
                <w:b/>
                <w:bCs/>
              </w:rPr>
              <w:t>+EFV</w:t>
            </w:r>
          </w:p>
          <w:p w:rsidR="00020ACE" w:rsidRPr="0074719A" w:rsidRDefault="00020ACE" w:rsidP="0074719A">
            <w:pPr>
              <w:autoSpaceDE w:val="0"/>
              <w:autoSpaceDN w:val="0"/>
              <w:adjustRightInd w:val="0"/>
              <w:jc w:val="center"/>
            </w:pPr>
            <w:r w:rsidRPr="0074719A">
              <w:rPr>
                <w:b/>
                <w:bCs/>
              </w:rPr>
              <w:t>N=257</w:t>
            </w:r>
          </w:p>
        </w:tc>
        <w:tc>
          <w:tcPr>
            <w:tcW w:w="1908" w:type="dxa"/>
            <w:shd w:val="clear" w:color="auto" w:fill="auto"/>
          </w:tcPr>
          <w:p w:rsidR="00020ACE" w:rsidRPr="0074719A" w:rsidRDefault="00020ACE" w:rsidP="0074719A">
            <w:pPr>
              <w:autoSpaceDE w:val="0"/>
              <w:autoSpaceDN w:val="0"/>
              <w:adjustRightInd w:val="0"/>
              <w:jc w:val="center"/>
            </w:pPr>
            <w:r w:rsidRPr="0074719A">
              <w:rPr>
                <w:b/>
                <w:bCs/>
              </w:rPr>
              <w:t>COMBIVIR+EFV</w:t>
            </w:r>
          </w:p>
          <w:p w:rsidR="00020ACE" w:rsidRPr="0074719A" w:rsidRDefault="00020ACE" w:rsidP="0074719A">
            <w:pPr>
              <w:autoSpaceDE w:val="0"/>
              <w:autoSpaceDN w:val="0"/>
              <w:adjustRightInd w:val="0"/>
              <w:jc w:val="center"/>
            </w:pPr>
            <w:r w:rsidRPr="0074719A">
              <w:rPr>
                <w:b/>
                <w:bCs/>
              </w:rPr>
              <w:t>N=254</w:t>
            </w:r>
          </w:p>
        </w:tc>
      </w:tr>
      <w:tr w:rsidR="00020ACE" w:rsidRPr="0074719A" w:rsidTr="0074719A">
        <w:tc>
          <w:tcPr>
            <w:tcW w:w="4968" w:type="dxa"/>
            <w:shd w:val="clear" w:color="auto" w:fill="auto"/>
          </w:tcPr>
          <w:p w:rsidR="00020ACE" w:rsidRPr="0074719A" w:rsidRDefault="00020ACE" w:rsidP="0074719A">
            <w:pPr>
              <w:autoSpaceDE w:val="0"/>
              <w:autoSpaceDN w:val="0"/>
              <w:adjustRightInd w:val="0"/>
            </w:pPr>
            <w:r w:rsidRPr="0074719A">
              <w:t>Gastrointestinal Disorders</w:t>
            </w:r>
          </w:p>
          <w:p w:rsidR="00020ACE" w:rsidRPr="0074719A" w:rsidRDefault="00020ACE" w:rsidP="0074719A">
            <w:pPr>
              <w:autoSpaceDE w:val="0"/>
              <w:autoSpaceDN w:val="0"/>
              <w:adjustRightInd w:val="0"/>
            </w:pPr>
            <w:r w:rsidRPr="0074719A">
              <w:t xml:space="preserve">     </w:t>
            </w:r>
            <w:proofErr w:type="spellStart"/>
            <w:r w:rsidRPr="0074719A">
              <w:t>Diarrhoea</w:t>
            </w:r>
            <w:proofErr w:type="spellEnd"/>
          </w:p>
          <w:p w:rsidR="00020ACE" w:rsidRPr="0074719A" w:rsidRDefault="00020ACE" w:rsidP="0074719A">
            <w:pPr>
              <w:autoSpaceDE w:val="0"/>
              <w:autoSpaceDN w:val="0"/>
              <w:adjustRightInd w:val="0"/>
            </w:pPr>
            <w:r w:rsidRPr="0074719A">
              <w:t xml:space="preserve">     Nausea</w:t>
            </w:r>
          </w:p>
        </w:tc>
        <w:tc>
          <w:tcPr>
            <w:tcW w:w="1980" w:type="dxa"/>
            <w:shd w:val="clear" w:color="auto" w:fill="auto"/>
          </w:tcPr>
          <w:p w:rsidR="00020ACE" w:rsidRPr="0074719A" w:rsidRDefault="00020ACE" w:rsidP="0074719A">
            <w:pPr>
              <w:autoSpaceDE w:val="0"/>
              <w:autoSpaceDN w:val="0"/>
              <w:adjustRightInd w:val="0"/>
              <w:jc w:val="center"/>
            </w:pPr>
          </w:p>
          <w:p w:rsidR="00020ACE" w:rsidRPr="0074719A" w:rsidRDefault="00BE1AA7" w:rsidP="0074719A">
            <w:pPr>
              <w:autoSpaceDE w:val="0"/>
              <w:autoSpaceDN w:val="0"/>
              <w:adjustRightInd w:val="0"/>
              <w:jc w:val="center"/>
            </w:pPr>
            <w:r w:rsidRPr="0074719A">
              <w:t>9</w:t>
            </w:r>
            <w:r w:rsidR="00020ACE" w:rsidRPr="0074719A">
              <w:t>%</w:t>
            </w:r>
          </w:p>
          <w:p w:rsidR="00020ACE" w:rsidRPr="0074719A" w:rsidRDefault="00BE1AA7" w:rsidP="0074719A">
            <w:pPr>
              <w:autoSpaceDE w:val="0"/>
              <w:autoSpaceDN w:val="0"/>
              <w:adjustRightInd w:val="0"/>
              <w:jc w:val="center"/>
            </w:pPr>
            <w:r w:rsidRPr="0074719A">
              <w:t>9</w:t>
            </w:r>
            <w:r w:rsidR="00020ACE" w:rsidRPr="0074719A">
              <w:t>%</w:t>
            </w:r>
          </w:p>
        </w:tc>
        <w:tc>
          <w:tcPr>
            <w:tcW w:w="1908" w:type="dxa"/>
            <w:shd w:val="clear" w:color="auto" w:fill="auto"/>
          </w:tcPr>
          <w:p w:rsidR="00020ACE" w:rsidRPr="0074719A" w:rsidRDefault="00020ACE" w:rsidP="0074719A">
            <w:pPr>
              <w:autoSpaceDE w:val="0"/>
              <w:autoSpaceDN w:val="0"/>
              <w:adjustRightInd w:val="0"/>
              <w:jc w:val="center"/>
            </w:pPr>
          </w:p>
          <w:p w:rsidR="00020ACE" w:rsidRPr="0074719A" w:rsidRDefault="00BE1AA7" w:rsidP="0074719A">
            <w:pPr>
              <w:autoSpaceDE w:val="0"/>
              <w:autoSpaceDN w:val="0"/>
              <w:adjustRightInd w:val="0"/>
              <w:jc w:val="center"/>
            </w:pPr>
            <w:r w:rsidRPr="0074719A">
              <w:t>5</w:t>
            </w:r>
            <w:r w:rsidR="00020ACE" w:rsidRPr="0074719A">
              <w:t>%</w:t>
            </w:r>
          </w:p>
          <w:p w:rsidR="00020ACE" w:rsidRPr="0074719A" w:rsidRDefault="008D2C9D" w:rsidP="0074719A">
            <w:pPr>
              <w:autoSpaceDE w:val="0"/>
              <w:autoSpaceDN w:val="0"/>
              <w:adjustRightInd w:val="0"/>
              <w:jc w:val="center"/>
            </w:pPr>
            <w:r w:rsidRPr="0074719A">
              <w:t>7</w:t>
            </w:r>
            <w:r w:rsidR="00020ACE" w:rsidRPr="0074719A">
              <w:t>%</w:t>
            </w:r>
          </w:p>
        </w:tc>
      </w:tr>
      <w:tr w:rsidR="00020ACE" w:rsidRPr="0074719A" w:rsidTr="0074719A">
        <w:tc>
          <w:tcPr>
            <w:tcW w:w="4968" w:type="dxa"/>
            <w:shd w:val="clear" w:color="auto" w:fill="auto"/>
          </w:tcPr>
          <w:p w:rsidR="00020ACE" w:rsidRPr="0074719A" w:rsidRDefault="00020ACE" w:rsidP="0074719A">
            <w:pPr>
              <w:autoSpaceDE w:val="0"/>
              <w:autoSpaceDN w:val="0"/>
              <w:adjustRightInd w:val="0"/>
            </w:pPr>
            <w:r w:rsidRPr="0074719A">
              <w:t>Nervous System Disorders</w:t>
            </w:r>
          </w:p>
          <w:p w:rsidR="00020ACE" w:rsidRPr="0074719A" w:rsidRDefault="00020ACE" w:rsidP="0074719A">
            <w:pPr>
              <w:autoSpaceDE w:val="0"/>
              <w:autoSpaceDN w:val="0"/>
              <w:adjustRightInd w:val="0"/>
            </w:pPr>
            <w:r w:rsidRPr="0074719A">
              <w:t xml:space="preserve">     Headache</w:t>
            </w:r>
          </w:p>
          <w:p w:rsidR="00020ACE" w:rsidRPr="0074719A" w:rsidRDefault="00020ACE" w:rsidP="0074719A">
            <w:pPr>
              <w:autoSpaceDE w:val="0"/>
              <w:autoSpaceDN w:val="0"/>
              <w:adjustRightInd w:val="0"/>
            </w:pPr>
            <w:r w:rsidRPr="0074719A">
              <w:t xml:space="preserve">     Dizziness</w:t>
            </w:r>
          </w:p>
        </w:tc>
        <w:tc>
          <w:tcPr>
            <w:tcW w:w="1980" w:type="dxa"/>
            <w:shd w:val="clear" w:color="auto" w:fill="auto"/>
          </w:tcPr>
          <w:p w:rsidR="00020ACE" w:rsidRPr="0074719A" w:rsidRDefault="00BE1AA7" w:rsidP="0074719A">
            <w:pPr>
              <w:autoSpaceDE w:val="0"/>
              <w:autoSpaceDN w:val="0"/>
              <w:adjustRightInd w:val="0"/>
              <w:jc w:val="center"/>
            </w:pPr>
            <w:r w:rsidRPr="0074719A">
              <w:t>6</w:t>
            </w:r>
            <w:r w:rsidR="00020ACE" w:rsidRPr="0074719A">
              <w:t>%</w:t>
            </w:r>
          </w:p>
          <w:p w:rsidR="00020ACE" w:rsidRPr="0074719A" w:rsidRDefault="00020ACE" w:rsidP="0074719A">
            <w:pPr>
              <w:autoSpaceDE w:val="0"/>
              <w:autoSpaceDN w:val="0"/>
              <w:adjustRightInd w:val="0"/>
              <w:jc w:val="center"/>
            </w:pPr>
            <w:r w:rsidRPr="0074719A">
              <w:t>8%</w:t>
            </w:r>
          </w:p>
        </w:tc>
        <w:tc>
          <w:tcPr>
            <w:tcW w:w="1908" w:type="dxa"/>
            <w:shd w:val="clear" w:color="auto" w:fill="auto"/>
          </w:tcPr>
          <w:p w:rsidR="00020ACE" w:rsidRPr="0074719A" w:rsidRDefault="00020ACE" w:rsidP="0074719A">
            <w:pPr>
              <w:autoSpaceDE w:val="0"/>
              <w:autoSpaceDN w:val="0"/>
              <w:adjustRightInd w:val="0"/>
              <w:jc w:val="center"/>
            </w:pPr>
          </w:p>
          <w:p w:rsidR="00020ACE" w:rsidRPr="0074719A" w:rsidRDefault="00BE1AA7" w:rsidP="0074719A">
            <w:pPr>
              <w:autoSpaceDE w:val="0"/>
              <w:autoSpaceDN w:val="0"/>
              <w:adjustRightInd w:val="0"/>
              <w:jc w:val="center"/>
            </w:pPr>
            <w:r w:rsidRPr="0074719A">
              <w:t>5</w:t>
            </w:r>
            <w:r w:rsidR="00020ACE" w:rsidRPr="0074719A">
              <w:t>%</w:t>
            </w:r>
          </w:p>
          <w:p w:rsidR="00020ACE" w:rsidRPr="0074719A" w:rsidRDefault="00020ACE" w:rsidP="0074719A">
            <w:pPr>
              <w:autoSpaceDE w:val="0"/>
              <w:autoSpaceDN w:val="0"/>
              <w:adjustRightInd w:val="0"/>
              <w:jc w:val="center"/>
            </w:pPr>
            <w:r w:rsidRPr="0074719A">
              <w:t>7%</w:t>
            </w:r>
          </w:p>
        </w:tc>
      </w:tr>
      <w:tr w:rsidR="00020ACE" w:rsidRPr="0074719A" w:rsidTr="0074719A">
        <w:tc>
          <w:tcPr>
            <w:tcW w:w="4968" w:type="dxa"/>
            <w:shd w:val="clear" w:color="auto" w:fill="auto"/>
          </w:tcPr>
          <w:p w:rsidR="00020ACE" w:rsidRPr="0074719A" w:rsidRDefault="00020ACE" w:rsidP="0074719A">
            <w:pPr>
              <w:autoSpaceDE w:val="0"/>
              <w:autoSpaceDN w:val="0"/>
              <w:adjustRightInd w:val="0"/>
            </w:pPr>
            <w:r w:rsidRPr="0074719A">
              <w:t>Psychiatric Disorders</w:t>
            </w:r>
          </w:p>
          <w:p w:rsidR="00020ACE" w:rsidRPr="0074719A" w:rsidRDefault="00020ACE" w:rsidP="0074719A">
            <w:pPr>
              <w:autoSpaceDE w:val="0"/>
              <w:autoSpaceDN w:val="0"/>
              <w:adjustRightInd w:val="0"/>
            </w:pPr>
            <w:r w:rsidRPr="0074719A">
              <w:t xml:space="preserve">     Insomnia</w:t>
            </w:r>
          </w:p>
          <w:p w:rsidR="00020ACE" w:rsidRPr="0074719A" w:rsidRDefault="00020ACE" w:rsidP="0074719A">
            <w:pPr>
              <w:autoSpaceDE w:val="0"/>
              <w:autoSpaceDN w:val="0"/>
              <w:adjustRightInd w:val="0"/>
            </w:pPr>
            <w:r w:rsidRPr="0074719A">
              <w:t xml:space="preserve">     Abnormal Dreams</w:t>
            </w:r>
          </w:p>
        </w:tc>
        <w:tc>
          <w:tcPr>
            <w:tcW w:w="1980" w:type="dxa"/>
            <w:shd w:val="clear" w:color="auto" w:fill="auto"/>
          </w:tcPr>
          <w:p w:rsidR="00020ACE" w:rsidRPr="0074719A" w:rsidRDefault="00020ACE" w:rsidP="0074719A">
            <w:pPr>
              <w:autoSpaceDE w:val="0"/>
              <w:autoSpaceDN w:val="0"/>
              <w:adjustRightInd w:val="0"/>
              <w:jc w:val="center"/>
            </w:pPr>
          </w:p>
          <w:p w:rsidR="00020ACE" w:rsidRPr="0074719A" w:rsidRDefault="00BE1AA7" w:rsidP="0074719A">
            <w:pPr>
              <w:autoSpaceDE w:val="0"/>
              <w:autoSpaceDN w:val="0"/>
              <w:adjustRightInd w:val="0"/>
              <w:jc w:val="center"/>
            </w:pPr>
            <w:r w:rsidRPr="0074719A">
              <w:t>5</w:t>
            </w:r>
            <w:r w:rsidR="00020ACE" w:rsidRPr="0074719A">
              <w:t>%</w:t>
            </w:r>
          </w:p>
          <w:p w:rsidR="00020ACE" w:rsidRPr="0074719A" w:rsidRDefault="00020ACE" w:rsidP="0074719A">
            <w:pPr>
              <w:autoSpaceDE w:val="0"/>
              <w:autoSpaceDN w:val="0"/>
              <w:adjustRightInd w:val="0"/>
              <w:jc w:val="center"/>
            </w:pPr>
            <w:r w:rsidRPr="0074719A">
              <w:t>4%</w:t>
            </w:r>
          </w:p>
        </w:tc>
        <w:tc>
          <w:tcPr>
            <w:tcW w:w="1908" w:type="dxa"/>
            <w:shd w:val="clear" w:color="auto" w:fill="auto"/>
          </w:tcPr>
          <w:p w:rsidR="00020ACE" w:rsidRPr="0074719A" w:rsidRDefault="00020ACE" w:rsidP="0074719A">
            <w:pPr>
              <w:autoSpaceDE w:val="0"/>
              <w:autoSpaceDN w:val="0"/>
              <w:adjustRightInd w:val="0"/>
              <w:jc w:val="center"/>
            </w:pPr>
          </w:p>
          <w:p w:rsidR="00020ACE" w:rsidRPr="0074719A" w:rsidRDefault="00BE1AA7" w:rsidP="0074719A">
            <w:pPr>
              <w:autoSpaceDE w:val="0"/>
              <w:autoSpaceDN w:val="0"/>
              <w:adjustRightInd w:val="0"/>
              <w:jc w:val="center"/>
            </w:pPr>
            <w:r w:rsidRPr="0074719A">
              <w:t>7</w:t>
            </w:r>
            <w:r w:rsidR="00020ACE" w:rsidRPr="0074719A">
              <w:t>%</w:t>
            </w:r>
          </w:p>
          <w:p w:rsidR="00020ACE" w:rsidRPr="0074719A" w:rsidRDefault="00020ACE" w:rsidP="0074719A">
            <w:pPr>
              <w:autoSpaceDE w:val="0"/>
              <w:autoSpaceDN w:val="0"/>
              <w:adjustRightInd w:val="0"/>
              <w:jc w:val="center"/>
            </w:pPr>
            <w:r w:rsidRPr="0074719A">
              <w:t>3%</w:t>
            </w:r>
          </w:p>
        </w:tc>
      </w:tr>
      <w:tr w:rsidR="00020ACE" w:rsidRPr="0074719A" w:rsidTr="0074719A">
        <w:tc>
          <w:tcPr>
            <w:tcW w:w="4968" w:type="dxa"/>
            <w:shd w:val="clear" w:color="auto" w:fill="auto"/>
          </w:tcPr>
          <w:p w:rsidR="00020ACE" w:rsidRPr="0074719A" w:rsidRDefault="00020ACE" w:rsidP="0074719A">
            <w:pPr>
              <w:autoSpaceDE w:val="0"/>
              <w:autoSpaceDN w:val="0"/>
              <w:adjustRightInd w:val="0"/>
            </w:pPr>
            <w:r w:rsidRPr="0074719A">
              <w:t>Skin and Subcutaneous Tissue Disorders</w:t>
            </w:r>
          </w:p>
          <w:p w:rsidR="00020ACE" w:rsidRPr="0074719A" w:rsidRDefault="00020ACE" w:rsidP="0074719A">
            <w:pPr>
              <w:autoSpaceDE w:val="0"/>
              <w:autoSpaceDN w:val="0"/>
              <w:adjustRightInd w:val="0"/>
            </w:pPr>
            <w:r w:rsidRPr="0074719A">
              <w:t xml:space="preserve">     Rash</w:t>
            </w:r>
          </w:p>
        </w:tc>
        <w:tc>
          <w:tcPr>
            <w:tcW w:w="1980" w:type="dxa"/>
            <w:shd w:val="clear" w:color="auto" w:fill="auto"/>
          </w:tcPr>
          <w:p w:rsidR="00020ACE" w:rsidRPr="0074719A" w:rsidRDefault="00020ACE" w:rsidP="0074719A">
            <w:pPr>
              <w:autoSpaceDE w:val="0"/>
              <w:autoSpaceDN w:val="0"/>
              <w:adjustRightInd w:val="0"/>
              <w:jc w:val="center"/>
            </w:pPr>
          </w:p>
          <w:p w:rsidR="00020ACE" w:rsidRPr="0074719A" w:rsidRDefault="00020ACE" w:rsidP="0074719A">
            <w:pPr>
              <w:autoSpaceDE w:val="0"/>
              <w:autoSpaceDN w:val="0"/>
              <w:adjustRightInd w:val="0"/>
              <w:jc w:val="center"/>
            </w:pPr>
            <w:r w:rsidRPr="0074719A">
              <w:t>5%</w:t>
            </w:r>
          </w:p>
        </w:tc>
        <w:tc>
          <w:tcPr>
            <w:tcW w:w="1908" w:type="dxa"/>
            <w:shd w:val="clear" w:color="auto" w:fill="auto"/>
          </w:tcPr>
          <w:p w:rsidR="00020ACE" w:rsidRPr="0074719A" w:rsidRDefault="00020ACE" w:rsidP="0074719A">
            <w:pPr>
              <w:autoSpaceDE w:val="0"/>
              <w:autoSpaceDN w:val="0"/>
              <w:adjustRightInd w:val="0"/>
              <w:jc w:val="center"/>
            </w:pPr>
          </w:p>
          <w:p w:rsidR="00020ACE" w:rsidRPr="0074719A" w:rsidRDefault="00020ACE" w:rsidP="0074719A">
            <w:pPr>
              <w:autoSpaceDE w:val="0"/>
              <w:autoSpaceDN w:val="0"/>
              <w:adjustRightInd w:val="0"/>
              <w:jc w:val="center"/>
            </w:pPr>
            <w:r w:rsidRPr="0074719A">
              <w:t>4%</w:t>
            </w:r>
          </w:p>
        </w:tc>
      </w:tr>
    </w:tbl>
    <w:p w:rsidR="006D1BDC" w:rsidRPr="00D83C46" w:rsidRDefault="00BE1AA7" w:rsidP="00020ACE">
      <w:pPr>
        <w:autoSpaceDE w:val="0"/>
        <w:autoSpaceDN w:val="0"/>
        <w:adjustRightInd w:val="0"/>
        <w:rPr>
          <w:sz w:val="20"/>
        </w:rPr>
      </w:pPr>
      <w:r w:rsidRPr="00D83C46">
        <w:rPr>
          <w:sz w:val="20"/>
        </w:rPr>
        <w:t>1.</w:t>
      </w:r>
      <w:r w:rsidR="00DA5725" w:rsidRPr="00D83C46">
        <w:rPr>
          <w:sz w:val="20"/>
        </w:rPr>
        <w:t xml:space="preserve">    </w:t>
      </w:r>
      <w:r w:rsidR="006D1BDC" w:rsidRPr="00D83C46">
        <w:rPr>
          <w:sz w:val="20"/>
        </w:rPr>
        <w:t xml:space="preserve">Frequencies of adverse reactions are based on all treatment-emergent adverse events, regardless of relationship </w:t>
      </w:r>
    </w:p>
    <w:p w:rsidR="006D1BDC" w:rsidRPr="00D83C46" w:rsidRDefault="006D1BDC" w:rsidP="00020ACE">
      <w:pPr>
        <w:autoSpaceDE w:val="0"/>
        <w:autoSpaceDN w:val="0"/>
        <w:adjustRightInd w:val="0"/>
        <w:rPr>
          <w:sz w:val="20"/>
        </w:rPr>
      </w:pPr>
      <w:r w:rsidRPr="00D83C46">
        <w:rPr>
          <w:sz w:val="20"/>
        </w:rPr>
        <w:t xml:space="preserve">       </w:t>
      </w:r>
      <w:proofErr w:type="gramStart"/>
      <w:r w:rsidRPr="00D83C46">
        <w:rPr>
          <w:sz w:val="20"/>
        </w:rPr>
        <w:t>to</w:t>
      </w:r>
      <w:proofErr w:type="gramEnd"/>
      <w:r w:rsidRPr="00D83C46">
        <w:rPr>
          <w:sz w:val="20"/>
        </w:rPr>
        <w:t xml:space="preserve"> study drug</w:t>
      </w:r>
      <w:r w:rsidR="00D24ED0" w:rsidRPr="00D83C46">
        <w:rPr>
          <w:sz w:val="20"/>
        </w:rPr>
        <w:t>.</w:t>
      </w:r>
    </w:p>
    <w:p w:rsidR="008D2C9D" w:rsidRPr="00D83C46" w:rsidRDefault="00BE1AA7" w:rsidP="00020ACE">
      <w:pPr>
        <w:autoSpaceDE w:val="0"/>
        <w:autoSpaceDN w:val="0"/>
        <w:adjustRightInd w:val="0"/>
        <w:rPr>
          <w:sz w:val="20"/>
        </w:rPr>
      </w:pPr>
      <w:r w:rsidRPr="00D83C46">
        <w:rPr>
          <w:sz w:val="20"/>
        </w:rPr>
        <w:t>2.</w:t>
      </w:r>
      <w:r w:rsidR="00DA5725" w:rsidRPr="00D83C46">
        <w:rPr>
          <w:sz w:val="20"/>
        </w:rPr>
        <w:t xml:space="preserve">   </w:t>
      </w:r>
      <w:r w:rsidR="008D2C9D" w:rsidRPr="00D83C46">
        <w:rPr>
          <w:sz w:val="20"/>
        </w:rPr>
        <w:t>Patients received EMTRIVA</w:t>
      </w:r>
      <w:r w:rsidR="00DA5725" w:rsidRPr="00D83C46">
        <w:rPr>
          <w:sz w:val="20"/>
        </w:rPr>
        <w:t xml:space="preserve"> </w:t>
      </w:r>
      <w:r w:rsidR="008D2C9D" w:rsidRPr="00D83C46">
        <w:rPr>
          <w:sz w:val="20"/>
        </w:rPr>
        <w:t>+</w:t>
      </w:r>
      <w:r w:rsidR="00DA5725" w:rsidRPr="00D83C46">
        <w:rPr>
          <w:sz w:val="20"/>
        </w:rPr>
        <w:t xml:space="preserve"> </w:t>
      </w:r>
      <w:r w:rsidR="008D2C9D" w:rsidRPr="00D83C46">
        <w:rPr>
          <w:sz w:val="20"/>
        </w:rPr>
        <w:t>VIREAD up to week 96 and switched to TRUVADA from week 96 to 144.</w:t>
      </w:r>
    </w:p>
    <w:p w:rsidR="00020ACE" w:rsidRPr="00D14D84" w:rsidRDefault="00020ACE" w:rsidP="00020ACE">
      <w:pPr>
        <w:autoSpaceDE w:val="0"/>
        <w:autoSpaceDN w:val="0"/>
        <w:adjustRightInd w:val="0"/>
        <w:rPr>
          <w:sz w:val="22"/>
          <w:szCs w:val="22"/>
        </w:rPr>
      </w:pPr>
    </w:p>
    <w:p w:rsidR="00020ACE" w:rsidRPr="00315BD2" w:rsidRDefault="00020ACE" w:rsidP="00020ACE">
      <w:pPr>
        <w:autoSpaceDE w:val="0"/>
        <w:autoSpaceDN w:val="0"/>
        <w:adjustRightInd w:val="0"/>
        <w:rPr>
          <w:szCs w:val="24"/>
        </w:rPr>
      </w:pPr>
      <w:r w:rsidRPr="00315BD2">
        <w:rPr>
          <w:b/>
          <w:bCs/>
          <w:szCs w:val="24"/>
        </w:rPr>
        <w:t xml:space="preserve">Laboratory Abnormalities: </w:t>
      </w:r>
      <w:r w:rsidRPr="00315BD2">
        <w:rPr>
          <w:szCs w:val="24"/>
        </w:rPr>
        <w:t>Laboratory abnormalities observed in this study were generally consistent with those seen in previous studies (</w:t>
      </w:r>
      <w:r w:rsidR="00DA5725" w:rsidRPr="00315BD2">
        <w:rPr>
          <w:szCs w:val="24"/>
        </w:rPr>
        <w:t>Table 11</w:t>
      </w:r>
      <w:r w:rsidRPr="00315BD2">
        <w:rPr>
          <w:szCs w:val="24"/>
        </w:rPr>
        <w:t>)</w:t>
      </w:r>
      <w:r w:rsidR="002B7A86">
        <w:rPr>
          <w:szCs w:val="24"/>
        </w:rPr>
        <w:t xml:space="preserve">.  </w:t>
      </w:r>
    </w:p>
    <w:p w:rsidR="00EF451A" w:rsidRDefault="00EF451A" w:rsidP="00020ACE">
      <w:pPr>
        <w:autoSpaceDE w:val="0"/>
        <w:autoSpaceDN w:val="0"/>
        <w:adjustRightInd w:val="0"/>
        <w:rPr>
          <w:sz w:val="22"/>
          <w:szCs w:val="22"/>
        </w:rPr>
      </w:pPr>
    </w:p>
    <w:p w:rsidR="009B254B" w:rsidRPr="003E2751" w:rsidRDefault="003E2751" w:rsidP="004E5F6C">
      <w:pPr>
        <w:pStyle w:val="Caption"/>
      </w:pPr>
      <w:bookmarkStart w:id="13" w:name="_Ref159392241"/>
      <w:proofErr w:type="gramStart"/>
      <w:r w:rsidRPr="003E2751">
        <w:lastRenderedPageBreak/>
        <w:t xml:space="preserve">Table </w:t>
      </w:r>
      <w:r w:rsidRPr="003E2751">
        <w:fldChar w:fldCharType="begin"/>
      </w:r>
      <w:r w:rsidRPr="003E2751">
        <w:instrText xml:space="preserve"> SEQ Table \* ARABIC </w:instrText>
      </w:r>
      <w:r w:rsidRPr="003E2751">
        <w:fldChar w:fldCharType="separate"/>
      </w:r>
      <w:r w:rsidR="00440D32">
        <w:rPr>
          <w:noProof/>
        </w:rPr>
        <w:t>11</w:t>
      </w:r>
      <w:r w:rsidRPr="003E2751">
        <w:fldChar w:fldCharType="end"/>
      </w:r>
      <w:bookmarkEnd w:id="13"/>
      <w:r w:rsidRPr="003E2751">
        <w:t>.</w:t>
      </w:r>
      <w:proofErr w:type="gramEnd"/>
      <w:r w:rsidRPr="003E2751">
        <w:tab/>
      </w:r>
      <w:r w:rsidR="009B254B" w:rsidRPr="003E2751">
        <w:t xml:space="preserve">Grade 3/4 Laboratory Abnormalities Reported in </w:t>
      </w:r>
      <w:r w:rsidR="00953B21">
        <w:t>&gt;</w:t>
      </w:r>
      <w:r w:rsidR="009B254B" w:rsidRPr="003E2751">
        <w:t xml:space="preserve">1% of </w:t>
      </w:r>
      <w:r w:rsidR="008D2C9D">
        <w:t>Patients in Either Treatment Group,</w:t>
      </w:r>
      <w:r w:rsidR="009B254B" w:rsidRPr="003E2751">
        <w:t xml:space="preserve"> Study 934 (0–</w:t>
      </w:r>
      <w:r w:rsidR="008D2C9D">
        <w:t>144</w:t>
      </w:r>
      <w:r w:rsidR="009B254B" w:rsidRPr="003E2751">
        <w:t xml:space="preserve"> weeks)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268"/>
      </w:tblGrid>
      <w:tr w:rsidR="009B254B" w:rsidRPr="0074719A" w:rsidTr="00BD577A">
        <w:trPr>
          <w:trHeight w:val="451"/>
          <w:tblHeader/>
        </w:trPr>
        <w:tc>
          <w:tcPr>
            <w:tcW w:w="4248" w:type="dxa"/>
            <w:shd w:val="clear" w:color="auto" w:fill="auto"/>
          </w:tcPr>
          <w:p w:rsidR="009B254B" w:rsidRPr="0074719A" w:rsidRDefault="009B254B" w:rsidP="0074719A">
            <w:pPr>
              <w:autoSpaceDE w:val="0"/>
              <w:autoSpaceDN w:val="0"/>
              <w:adjustRightInd w:val="0"/>
              <w:rPr>
                <w:b/>
                <w:bCs/>
              </w:rPr>
            </w:pPr>
          </w:p>
        </w:tc>
        <w:tc>
          <w:tcPr>
            <w:tcW w:w="2340" w:type="dxa"/>
            <w:shd w:val="clear" w:color="auto" w:fill="auto"/>
          </w:tcPr>
          <w:p w:rsidR="009B254B" w:rsidRPr="0074719A" w:rsidRDefault="008D2C9D" w:rsidP="0074719A">
            <w:pPr>
              <w:autoSpaceDE w:val="0"/>
              <w:autoSpaceDN w:val="0"/>
              <w:adjustRightInd w:val="0"/>
              <w:jc w:val="center"/>
              <w:rPr>
                <w:b/>
                <w:bCs/>
              </w:rPr>
            </w:pPr>
            <w:r w:rsidRPr="0074719A">
              <w:rPr>
                <w:b/>
                <w:bCs/>
              </w:rPr>
              <w:t>TRUVADA</w:t>
            </w:r>
            <w:r w:rsidR="00D24ED0" w:rsidRPr="0074719A">
              <w:rPr>
                <w:rFonts w:ascii="Times New Roman Bold" w:hAnsi="Times New Roman Bold"/>
                <w:b/>
                <w:bCs/>
                <w:vertAlign w:val="superscript"/>
              </w:rPr>
              <w:t>1</w:t>
            </w:r>
            <w:r w:rsidRPr="0074719A" w:rsidDel="008D2C9D">
              <w:rPr>
                <w:b/>
                <w:bCs/>
              </w:rPr>
              <w:t xml:space="preserve"> </w:t>
            </w:r>
            <w:r w:rsidR="009B254B" w:rsidRPr="0074719A">
              <w:rPr>
                <w:b/>
                <w:bCs/>
              </w:rPr>
              <w:t>+EFV</w:t>
            </w:r>
          </w:p>
          <w:p w:rsidR="009B254B" w:rsidRPr="0074719A" w:rsidRDefault="009B254B" w:rsidP="0074719A">
            <w:pPr>
              <w:autoSpaceDE w:val="0"/>
              <w:autoSpaceDN w:val="0"/>
              <w:adjustRightInd w:val="0"/>
              <w:jc w:val="center"/>
              <w:rPr>
                <w:b/>
                <w:bCs/>
              </w:rPr>
            </w:pPr>
            <w:r w:rsidRPr="0074719A">
              <w:rPr>
                <w:b/>
                <w:bCs/>
              </w:rPr>
              <w:t>N=</w:t>
            </w:r>
            <w:r w:rsidR="00EC6CE9" w:rsidRPr="0074719A">
              <w:rPr>
                <w:b/>
                <w:bCs/>
              </w:rPr>
              <w:t>254</w:t>
            </w:r>
          </w:p>
        </w:tc>
        <w:tc>
          <w:tcPr>
            <w:tcW w:w="2268" w:type="dxa"/>
            <w:shd w:val="clear" w:color="auto" w:fill="auto"/>
          </w:tcPr>
          <w:p w:rsidR="009B254B" w:rsidRPr="0074719A" w:rsidRDefault="009B254B" w:rsidP="0074719A">
            <w:pPr>
              <w:autoSpaceDE w:val="0"/>
              <w:autoSpaceDN w:val="0"/>
              <w:adjustRightInd w:val="0"/>
              <w:jc w:val="center"/>
              <w:rPr>
                <w:b/>
                <w:bCs/>
              </w:rPr>
            </w:pPr>
            <w:r w:rsidRPr="0074719A">
              <w:rPr>
                <w:b/>
                <w:bCs/>
              </w:rPr>
              <w:t>COMBIVIR+EFV</w:t>
            </w:r>
          </w:p>
          <w:p w:rsidR="009B254B" w:rsidRPr="0074719A" w:rsidRDefault="009B254B" w:rsidP="0074719A">
            <w:pPr>
              <w:autoSpaceDE w:val="0"/>
              <w:autoSpaceDN w:val="0"/>
              <w:adjustRightInd w:val="0"/>
              <w:jc w:val="center"/>
              <w:rPr>
                <w:b/>
                <w:bCs/>
              </w:rPr>
            </w:pPr>
            <w:r w:rsidRPr="0074719A">
              <w:rPr>
                <w:b/>
                <w:bCs/>
              </w:rPr>
              <w:t>N=</w:t>
            </w:r>
            <w:r w:rsidR="00EC6CE9" w:rsidRPr="0074719A">
              <w:rPr>
                <w:b/>
                <w:bCs/>
              </w:rPr>
              <w:t>251</w:t>
            </w:r>
          </w:p>
        </w:tc>
      </w:tr>
      <w:tr w:rsidR="009B254B" w:rsidRPr="0074719A" w:rsidTr="0074719A">
        <w:tc>
          <w:tcPr>
            <w:tcW w:w="4248" w:type="dxa"/>
            <w:shd w:val="clear" w:color="auto" w:fill="auto"/>
          </w:tcPr>
          <w:p w:rsidR="009B254B" w:rsidRPr="0074719A" w:rsidRDefault="009B254B" w:rsidP="0074719A">
            <w:pPr>
              <w:autoSpaceDE w:val="0"/>
              <w:autoSpaceDN w:val="0"/>
              <w:adjustRightInd w:val="0"/>
            </w:pPr>
            <w:r w:rsidRPr="0074719A">
              <w:t>Any ≥ Grade 3 Laboratory</w:t>
            </w:r>
          </w:p>
          <w:p w:rsidR="009B254B" w:rsidRPr="0074719A" w:rsidRDefault="009B254B" w:rsidP="0074719A">
            <w:pPr>
              <w:autoSpaceDE w:val="0"/>
              <w:autoSpaceDN w:val="0"/>
              <w:adjustRightInd w:val="0"/>
              <w:rPr>
                <w:b/>
                <w:bCs/>
              </w:rPr>
            </w:pPr>
            <w:r w:rsidRPr="0074719A">
              <w:t>Abnormality</w:t>
            </w:r>
          </w:p>
        </w:tc>
        <w:tc>
          <w:tcPr>
            <w:tcW w:w="2340" w:type="dxa"/>
            <w:shd w:val="clear" w:color="auto" w:fill="auto"/>
          </w:tcPr>
          <w:p w:rsidR="009B254B" w:rsidRPr="0074719A" w:rsidRDefault="009B254B" w:rsidP="0074719A">
            <w:pPr>
              <w:autoSpaceDE w:val="0"/>
              <w:autoSpaceDN w:val="0"/>
              <w:adjustRightInd w:val="0"/>
              <w:jc w:val="center"/>
            </w:pPr>
          </w:p>
          <w:p w:rsidR="009B254B" w:rsidRPr="0074719A" w:rsidRDefault="008D2C9D" w:rsidP="0074719A">
            <w:pPr>
              <w:autoSpaceDE w:val="0"/>
              <w:autoSpaceDN w:val="0"/>
              <w:adjustRightInd w:val="0"/>
              <w:jc w:val="center"/>
              <w:rPr>
                <w:b/>
                <w:bCs/>
              </w:rPr>
            </w:pPr>
            <w:r w:rsidRPr="0074719A">
              <w:t>30</w:t>
            </w:r>
            <w:r w:rsidR="009B254B" w:rsidRPr="0074719A">
              <w:t>%</w:t>
            </w:r>
          </w:p>
        </w:tc>
        <w:tc>
          <w:tcPr>
            <w:tcW w:w="2268" w:type="dxa"/>
            <w:shd w:val="clear" w:color="auto" w:fill="auto"/>
          </w:tcPr>
          <w:p w:rsidR="009B254B" w:rsidRPr="0074719A" w:rsidRDefault="009B254B" w:rsidP="0074719A">
            <w:pPr>
              <w:autoSpaceDE w:val="0"/>
              <w:autoSpaceDN w:val="0"/>
              <w:adjustRightInd w:val="0"/>
              <w:jc w:val="center"/>
            </w:pPr>
          </w:p>
          <w:p w:rsidR="009B254B" w:rsidRPr="0074719A" w:rsidRDefault="008D2C9D" w:rsidP="0074719A">
            <w:pPr>
              <w:autoSpaceDE w:val="0"/>
              <w:autoSpaceDN w:val="0"/>
              <w:adjustRightInd w:val="0"/>
              <w:jc w:val="center"/>
              <w:rPr>
                <w:b/>
                <w:bCs/>
              </w:rPr>
            </w:pPr>
            <w:r w:rsidRPr="0074719A">
              <w:t>26</w:t>
            </w:r>
            <w:r w:rsidR="009B254B" w:rsidRPr="0074719A">
              <w:t>%</w:t>
            </w:r>
          </w:p>
        </w:tc>
      </w:tr>
      <w:tr w:rsidR="009B254B" w:rsidRPr="0074719A" w:rsidTr="0074719A">
        <w:tc>
          <w:tcPr>
            <w:tcW w:w="4248" w:type="dxa"/>
            <w:shd w:val="clear" w:color="auto" w:fill="auto"/>
          </w:tcPr>
          <w:p w:rsidR="009B254B" w:rsidRPr="0074719A" w:rsidRDefault="009B254B" w:rsidP="0074719A">
            <w:pPr>
              <w:autoSpaceDE w:val="0"/>
              <w:autoSpaceDN w:val="0"/>
              <w:adjustRightInd w:val="0"/>
            </w:pPr>
            <w:proofErr w:type="spellStart"/>
            <w:r w:rsidRPr="0074719A">
              <w:t>Creatine</w:t>
            </w:r>
            <w:proofErr w:type="spellEnd"/>
            <w:r w:rsidRPr="0074719A">
              <w:t xml:space="preserve"> Kinase</w:t>
            </w:r>
          </w:p>
          <w:p w:rsidR="009B254B" w:rsidRPr="0074719A" w:rsidRDefault="009B254B" w:rsidP="0074719A">
            <w:pPr>
              <w:autoSpaceDE w:val="0"/>
              <w:autoSpaceDN w:val="0"/>
              <w:adjustRightInd w:val="0"/>
            </w:pPr>
            <w:r w:rsidRPr="0074719A">
              <w:t>(M: &gt;990 U/L)</w:t>
            </w:r>
          </w:p>
          <w:p w:rsidR="009B254B" w:rsidRPr="0074719A" w:rsidRDefault="009B254B" w:rsidP="0074719A">
            <w:pPr>
              <w:autoSpaceDE w:val="0"/>
              <w:autoSpaceDN w:val="0"/>
              <w:adjustRightInd w:val="0"/>
              <w:rPr>
                <w:b/>
                <w:bCs/>
              </w:rPr>
            </w:pPr>
            <w:r w:rsidRPr="0074719A">
              <w:t>(F: &gt;845 U/L)</w:t>
            </w:r>
          </w:p>
        </w:tc>
        <w:tc>
          <w:tcPr>
            <w:tcW w:w="2340" w:type="dxa"/>
            <w:shd w:val="clear" w:color="auto" w:fill="auto"/>
          </w:tcPr>
          <w:p w:rsidR="009B254B" w:rsidRPr="0074719A" w:rsidRDefault="009B254B" w:rsidP="0074719A">
            <w:pPr>
              <w:autoSpaceDE w:val="0"/>
              <w:autoSpaceDN w:val="0"/>
              <w:adjustRightInd w:val="0"/>
              <w:jc w:val="center"/>
            </w:pPr>
          </w:p>
          <w:p w:rsidR="009B254B" w:rsidRPr="0074719A" w:rsidRDefault="008D2C9D" w:rsidP="0074719A">
            <w:pPr>
              <w:autoSpaceDE w:val="0"/>
              <w:autoSpaceDN w:val="0"/>
              <w:adjustRightInd w:val="0"/>
              <w:jc w:val="center"/>
              <w:rPr>
                <w:b/>
                <w:bCs/>
              </w:rPr>
            </w:pPr>
            <w:r w:rsidRPr="0074719A">
              <w:t>9</w:t>
            </w:r>
            <w:r w:rsidR="009B254B" w:rsidRPr="0074719A">
              <w:t>%</w:t>
            </w:r>
          </w:p>
        </w:tc>
        <w:tc>
          <w:tcPr>
            <w:tcW w:w="2268" w:type="dxa"/>
            <w:shd w:val="clear" w:color="auto" w:fill="auto"/>
          </w:tcPr>
          <w:p w:rsidR="009B254B" w:rsidRPr="0074719A" w:rsidRDefault="009B254B" w:rsidP="0074719A">
            <w:pPr>
              <w:autoSpaceDE w:val="0"/>
              <w:autoSpaceDN w:val="0"/>
              <w:adjustRightInd w:val="0"/>
              <w:jc w:val="center"/>
            </w:pPr>
          </w:p>
          <w:p w:rsidR="009B254B" w:rsidRPr="0074719A" w:rsidRDefault="008D2C9D" w:rsidP="0074719A">
            <w:pPr>
              <w:autoSpaceDE w:val="0"/>
              <w:autoSpaceDN w:val="0"/>
              <w:adjustRightInd w:val="0"/>
              <w:jc w:val="center"/>
            </w:pPr>
            <w:r w:rsidRPr="0074719A">
              <w:t>7</w:t>
            </w:r>
            <w:r w:rsidR="009B254B" w:rsidRPr="0074719A">
              <w:t>%</w:t>
            </w:r>
          </w:p>
          <w:p w:rsidR="009B254B" w:rsidRPr="0074719A" w:rsidRDefault="009B254B" w:rsidP="0074719A">
            <w:pPr>
              <w:autoSpaceDE w:val="0"/>
              <w:autoSpaceDN w:val="0"/>
              <w:adjustRightInd w:val="0"/>
              <w:jc w:val="center"/>
              <w:rPr>
                <w:b/>
                <w:bCs/>
              </w:rPr>
            </w:pPr>
          </w:p>
        </w:tc>
      </w:tr>
      <w:tr w:rsidR="009B254B" w:rsidRPr="0074719A" w:rsidTr="0074719A">
        <w:tc>
          <w:tcPr>
            <w:tcW w:w="4248" w:type="dxa"/>
            <w:shd w:val="clear" w:color="auto" w:fill="auto"/>
          </w:tcPr>
          <w:p w:rsidR="009B254B" w:rsidRPr="0074719A" w:rsidRDefault="009B254B" w:rsidP="0074719A">
            <w:pPr>
              <w:autoSpaceDE w:val="0"/>
              <w:autoSpaceDN w:val="0"/>
              <w:adjustRightInd w:val="0"/>
              <w:rPr>
                <w:b/>
                <w:bCs/>
              </w:rPr>
            </w:pPr>
            <w:r w:rsidRPr="0074719A">
              <w:t>Serum Amylase (&gt;175 U/L)</w:t>
            </w:r>
          </w:p>
        </w:tc>
        <w:tc>
          <w:tcPr>
            <w:tcW w:w="2340" w:type="dxa"/>
            <w:shd w:val="clear" w:color="auto" w:fill="auto"/>
          </w:tcPr>
          <w:p w:rsidR="009B254B" w:rsidRPr="0074719A" w:rsidRDefault="008D2C9D" w:rsidP="0074719A">
            <w:pPr>
              <w:autoSpaceDE w:val="0"/>
              <w:autoSpaceDN w:val="0"/>
              <w:adjustRightInd w:val="0"/>
              <w:jc w:val="center"/>
              <w:rPr>
                <w:b/>
                <w:bCs/>
              </w:rPr>
            </w:pPr>
            <w:r w:rsidRPr="0074719A">
              <w:t>8</w:t>
            </w:r>
            <w:r w:rsidR="009B254B" w:rsidRPr="0074719A">
              <w:t>%</w:t>
            </w:r>
          </w:p>
        </w:tc>
        <w:tc>
          <w:tcPr>
            <w:tcW w:w="2268" w:type="dxa"/>
            <w:shd w:val="clear" w:color="auto" w:fill="auto"/>
          </w:tcPr>
          <w:p w:rsidR="009B254B" w:rsidRPr="0074719A" w:rsidRDefault="008D2C9D" w:rsidP="0074719A">
            <w:pPr>
              <w:autoSpaceDE w:val="0"/>
              <w:autoSpaceDN w:val="0"/>
              <w:adjustRightInd w:val="0"/>
              <w:jc w:val="center"/>
            </w:pPr>
            <w:r w:rsidRPr="0074719A">
              <w:t>4</w:t>
            </w:r>
            <w:r w:rsidR="009B254B" w:rsidRPr="0074719A">
              <w:t>%</w:t>
            </w:r>
          </w:p>
        </w:tc>
      </w:tr>
      <w:tr w:rsidR="009B254B" w:rsidRPr="0074719A" w:rsidTr="0074719A">
        <w:tc>
          <w:tcPr>
            <w:tcW w:w="4248" w:type="dxa"/>
            <w:shd w:val="clear" w:color="auto" w:fill="auto"/>
          </w:tcPr>
          <w:p w:rsidR="009B254B" w:rsidRPr="0074719A" w:rsidRDefault="009B254B" w:rsidP="0074719A">
            <w:pPr>
              <w:autoSpaceDE w:val="0"/>
              <w:autoSpaceDN w:val="0"/>
              <w:adjustRightInd w:val="0"/>
            </w:pPr>
            <w:r w:rsidRPr="0074719A">
              <w:t>AST</w:t>
            </w:r>
          </w:p>
          <w:p w:rsidR="009B254B" w:rsidRPr="0074719A" w:rsidRDefault="009B254B" w:rsidP="0074719A">
            <w:pPr>
              <w:autoSpaceDE w:val="0"/>
              <w:autoSpaceDN w:val="0"/>
              <w:adjustRightInd w:val="0"/>
            </w:pPr>
            <w:r w:rsidRPr="0074719A">
              <w:t>(M: &gt;180 U/L)</w:t>
            </w:r>
          </w:p>
          <w:p w:rsidR="009B254B" w:rsidRPr="0074719A" w:rsidRDefault="009B254B" w:rsidP="0074719A">
            <w:pPr>
              <w:autoSpaceDE w:val="0"/>
              <w:autoSpaceDN w:val="0"/>
              <w:adjustRightInd w:val="0"/>
            </w:pPr>
            <w:r w:rsidRPr="0074719A">
              <w:t>(F: &gt;170 U/L)</w:t>
            </w:r>
          </w:p>
        </w:tc>
        <w:tc>
          <w:tcPr>
            <w:tcW w:w="2340" w:type="dxa"/>
            <w:shd w:val="clear" w:color="auto" w:fill="auto"/>
          </w:tcPr>
          <w:p w:rsidR="009B254B" w:rsidRPr="0074719A" w:rsidRDefault="009B254B" w:rsidP="0074719A">
            <w:pPr>
              <w:autoSpaceDE w:val="0"/>
              <w:autoSpaceDN w:val="0"/>
              <w:adjustRightInd w:val="0"/>
              <w:jc w:val="center"/>
            </w:pPr>
          </w:p>
          <w:p w:rsidR="009B254B" w:rsidRPr="0074719A" w:rsidRDefault="009B254B" w:rsidP="0074719A">
            <w:pPr>
              <w:autoSpaceDE w:val="0"/>
              <w:autoSpaceDN w:val="0"/>
              <w:adjustRightInd w:val="0"/>
              <w:jc w:val="center"/>
              <w:rPr>
                <w:b/>
                <w:bCs/>
              </w:rPr>
            </w:pPr>
            <w:r w:rsidRPr="0074719A">
              <w:t>3%</w:t>
            </w:r>
          </w:p>
        </w:tc>
        <w:tc>
          <w:tcPr>
            <w:tcW w:w="2268" w:type="dxa"/>
            <w:shd w:val="clear" w:color="auto" w:fill="auto"/>
          </w:tcPr>
          <w:p w:rsidR="009B254B" w:rsidRPr="0074719A" w:rsidRDefault="009B254B" w:rsidP="0074719A">
            <w:pPr>
              <w:autoSpaceDE w:val="0"/>
              <w:autoSpaceDN w:val="0"/>
              <w:adjustRightInd w:val="0"/>
              <w:jc w:val="center"/>
            </w:pPr>
          </w:p>
          <w:p w:rsidR="009B254B" w:rsidRPr="0074719A" w:rsidRDefault="008D2C9D" w:rsidP="0074719A">
            <w:pPr>
              <w:autoSpaceDE w:val="0"/>
              <w:autoSpaceDN w:val="0"/>
              <w:adjustRightInd w:val="0"/>
              <w:jc w:val="center"/>
            </w:pPr>
            <w:r w:rsidRPr="0074719A">
              <w:t>3</w:t>
            </w:r>
            <w:r w:rsidR="009B254B" w:rsidRPr="0074719A">
              <w:t>%</w:t>
            </w:r>
          </w:p>
          <w:p w:rsidR="009B254B" w:rsidRPr="0074719A" w:rsidRDefault="009B254B" w:rsidP="0074719A">
            <w:pPr>
              <w:autoSpaceDE w:val="0"/>
              <w:autoSpaceDN w:val="0"/>
              <w:adjustRightInd w:val="0"/>
              <w:jc w:val="center"/>
              <w:rPr>
                <w:b/>
                <w:bCs/>
              </w:rPr>
            </w:pPr>
          </w:p>
        </w:tc>
      </w:tr>
      <w:tr w:rsidR="009B254B" w:rsidRPr="0074719A" w:rsidTr="0074719A">
        <w:tc>
          <w:tcPr>
            <w:tcW w:w="4248" w:type="dxa"/>
            <w:shd w:val="clear" w:color="auto" w:fill="auto"/>
          </w:tcPr>
          <w:p w:rsidR="009B254B" w:rsidRPr="0074719A" w:rsidRDefault="009B254B" w:rsidP="0074719A">
            <w:pPr>
              <w:autoSpaceDE w:val="0"/>
              <w:autoSpaceDN w:val="0"/>
              <w:adjustRightInd w:val="0"/>
            </w:pPr>
            <w:r w:rsidRPr="0074719A">
              <w:t>ALT</w:t>
            </w:r>
          </w:p>
          <w:p w:rsidR="009B254B" w:rsidRPr="0074719A" w:rsidRDefault="009B254B" w:rsidP="0074719A">
            <w:pPr>
              <w:autoSpaceDE w:val="0"/>
              <w:autoSpaceDN w:val="0"/>
              <w:adjustRightInd w:val="0"/>
            </w:pPr>
            <w:r w:rsidRPr="0074719A">
              <w:t>(M: &gt;215 U/L)</w:t>
            </w:r>
          </w:p>
          <w:p w:rsidR="009B254B" w:rsidRPr="0074719A" w:rsidRDefault="009B254B" w:rsidP="0074719A">
            <w:pPr>
              <w:autoSpaceDE w:val="0"/>
              <w:autoSpaceDN w:val="0"/>
              <w:adjustRightInd w:val="0"/>
            </w:pPr>
            <w:r w:rsidRPr="0074719A">
              <w:t>(F: &gt;170 U/L)</w:t>
            </w:r>
          </w:p>
        </w:tc>
        <w:tc>
          <w:tcPr>
            <w:tcW w:w="2340" w:type="dxa"/>
            <w:shd w:val="clear" w:color="auto" w:fill="auto"/>
          </w:tcPr>
          <w:p w:rsidR="009B254B" w:rsidRPr="0074719A" w:rsidRDefault="009B254B" w:rsidP="0074719A">
            <w:pPr>
              <w:autoSpaceDE w:val="0"/>
              <w:autoSpaceDN w:val="0"/>
              <w:adjustRightInd w:val="0"/>
              <w:jc w:val="center"/>
            </w:pPr>
          </w:p>
          <w:p w:rsidR="009B254B" w:rsidRPr="0074719A" w:rsidRDefault="009B254B" w:rsidP="0074719A">
            <w:pPr>
              <w:autoSpaceDE w:val="0"/>
              <w:autoSpaceDN w:val="0"/>
              <w:adjustRightInd w:val="0"/>
              <w:jc w:val="center"/>
              <w:rPr>
                <w:b/>
                <w:bCs/>
              </w:rPr>
            </w:pPr>
            <w:r w:rsidRPr="0074719A">
              <w:t>2%</w:t>
            </w:r>
          </w:p>
        </w:tc>
        <w:tc>
          <w:tcPr>
            <w:tcW w:w="2268" w:type="dxa"/>
            <w:shd w:val="clear" w:color="auto" w:fill="auto"/>
          </w:tcPr>
          <w:p w:rsidR="009B254B" w:rsidRPr="0074719A" w:rsidRDefault="009B254B" w:rsidP="0074719A">
            <w:pPr>
              <w:autoSpaceDE w:val="0"/>
              <w:autoSpaceDN w:val="0"/>
              <w:adjustRightInd w:val="0"/>
              <w:jc w:val="center"/>
            </w:pPr>
          </w:p>
          <w:p w:rsidR="009B254B" w:rsidRPr="0074719A" w:rsidRDefault="008D2C9D" w:rsidP="0074719A">
            <w:pPr>
              <w:autoSpaceDE w:val="0"/>
              <w:autoSpaceDN w:val="0"/>
              <w:adjustRightInd w:val="0"/>
              <w:jc w:val="center"/>
            </w:pPr>
            <w:r w:rsidRPr="0074719A">
              <w:t>3</w:t>
            </w:r>
            <w:r w:rsidR="009B254B" w:rsidRPr="0074719A">
              <w:t>%</w:t>
            </w:r>
          </w:p>
          <w:p w:rsidR="009B254B" w:rsidRPr="0074719A" w:rsidRDefault="009B254B" w:rsidP="0074719A">
            <w:pPr>
              <w:autoSpaceDE w:val="0"/>
              <w:autoSpaceDN w:val="0"/>
              <w:adjustRightInd w:val="0"/>
              <w:jc w:val="center"/>
              <w:rPr>
                <w:b/>
                <w:bCs/>
              </w:rPr>
            </w:pPr>
          </w:p>
        </w:tc>
      </w:tr>
      <w:tr w:rsidR="009B254B" w:rsidRPr="0074719A" w:rsidTr="0074719A">
        <w:tc>
          <w:tcPr>
            <w:tcW w:w="4248" w:type="dxa"/>
            <w:shd w:val="clear" w:color="auto" w:fill="auto"/>
          </w:tcPr>
          <w:p w:rsidR="009B254B" w:rsidRPr="0074719A" w:rsidRDefault="009B254B" w:rsidP="0074719A">
            <w:pPr>
              <w:autoSpaceDE w:val="0"/>
              <w:autoSpaceDN w:val="0"/>
              <w:adjustRightInd w:val="0"/>
              <w:rPr>
                <w:b/>
                <w:bCs/>
              </w:rPr>
            </w:pPr>
            <w:proofErr w:type="spellStart"/>
            <w:r w:rsidRPr="0074719A">
              <w:t>Hyperglycaemia</w:t>
            </w:r>
            <w:proofErr w:type="spellEnd"/>
            <w:r w:rsidRPr="0074719A">
              <w:t xml:space="preserve"> (&gt;250 mg/</w:t>
            </w:r>
            <w:proofErr w:type="spellStart"/>
            <w:r w:rsidRPr="0074719A">
              <w:t>dL</w:t>
            </w:r>
            <w:proofErr w:type="spellEnd"/>
            <w:r w:rsidRPr="0074719A">
              <w:t>)</w:t>
            </w:r>
          </w:p>
        </w:tc>
        <w:tc>
          <w:tcPr>
            <w:tcW w:w="2340" w:type="dxa"/>
            <w:shd w:val="clear" w:color="auto" w:fill="auto"/>
          </w:tcPr>
          <w:p w:rsidR="009B254B" w:rsidRPr="0074719A" w:rsidRDefault="008D2C9D" w:rsidP="0074719A">
            <w:pPr>
              <w:autoSpaceDE w:val="0"/>
              <w:autoSpaceDN w:val="0"/>
              <w:adjustRightInd w:val="0"/>
              <w:jc w:val="center"/>
              <w:rPr>
                <w:b/>
                <w:bCs/>
              </w:rPr>
            </w:pPr>
            <w:r w:rsidRPr="0074719A">
              <w:t>2</w:t>
            </w:r>
            <w:r w:rsidR="009B254B" w:rsidRPr="0074719A">
              <w:t>%</w:t>
            </w:r>
          </w:p>
        </w:tc>
        <w:tc>
          <w:tcPr>
            <w:tcW w:w="2268" w:type="dxa"/>
            <w:shd w:val="clear" w:color="auto" w:fill="auto"/>
          </w:tcPr>
          <w:p w:rsidR="009B254B" w:rsidRPr="0074719A" w:rsidRDefault="009B254B" w:rsidP="0074719A">
            <w:pPr>
              <w:autoSpaceDE w:val="0"/>
              <w:autoSpaceDN w:val="0"/>
              <w:adjustRightInd w:val="0"/>
              <w:jc w:val="center"/>
              <w:rPr>
                <w:b/>
                <w:bCs/>
              </w:rPr>
            </w:pPr>
            <w:r w:rsidRPr="0074719A">
              <w:t>1%</w:t>
            </w:r>
          </w:p>
        </w:tc>
      </w:tr>
      <w:tr w:rsidR="009B254B" w:rsidRPr="0074719A" w:rsidTr="0074719A">
        <w:tc>
          <w:tcPr>
            <w:tcW w:w="4248" w:type="dxa"/>
            <w:shd w:val="clear" w:color="auto" w:fill="auto"/>
          </w:tcPr>
          <w:p w:rsidR="009B254B" w:rsidRPr="0074719A" w:rsidRDefault="009B254B" w:rsidP="0074719A">
            <w:pPr>
              <w:autoSpaceDE w:val="0"/>
              <w:autoSpaceDN w:val="0"/>
              <w:adjustRightInd w:val="0"/>
              <w:rPr>
                <w:b/>
                <w:bCs/>
              </w:rPr>
            </w:pPr>
            <w:proofErr w:type="spellStart"/>
            <w:r w:rsidRPr="0074719A">
              <w:t>H</w:t>
            </w:r>
            <w:r w:rsidR="00D14D84" w:rsidRPr="0074719A">
              <w:t>a</w:t>
            </w:r>
            <w:r w:rsidRPr="0074719A">
              <w:t>ematuria</w:t>
            </w:r>
            <w:proofErr w:type="spellEnd"/>
            <w:r w:rsidRPr="0074719A">
              <w:t xml:space="preserve"> (&gt;75 RBC/HPF)</w:t>
            </w:r>
          </w:p>
        </w:tc>
        <w:tc>
          <w:tcPr>
            <w:tcW w:w="2340" w:type="dxa"/>
            <w:shd w:val="clear" w:color="auto" w:fill="auto"/>
          </w:tcPr>
          <w:p w:rsidR="009B254B" w:rsidRPr="0074719A" w:rsidRDefault="008D2C9D" w:rsidP="0074719A">
            <w:pPr>
              <w:autoSpaceDE w:val="0"/>
              <w:autoSpaceDN w:val="0"/>
              <w:adjustRightInd w:val="0"/>
              <w:jc w:val="center"/>
              <w:rPr>
                <w:b/>
                <w:bCs/>
              </w:rPr>
            </w:pPr>
            <w:r w:rsidRPr="0074719A">
              <w:t>3</w:t>
            </w:r>
            <w:r w:rsidR="009B254B" w:rsidRPr="0074719A">
              <w:t>%</w:t>
            </w:r>
          </w:p>
        </w:tc>
        <w:tc>
          <w:tcPr>
            <w:tcW w:w="2268" w:type="dxa"/>
            <w:shd w:val="clear" w:color="auto" w:fill="auto"/>
          </w:tcPr>
          <w:p w:rsidR="009B254B" w:rsidRPr="0074719A" w:rsidRDefault="008D2C9D" w:rsidP="0074719A">
            <w:pPr>
              <w:autoSpaceDE w:val="0"/>
              <w:autoSpaceDN w:val="0"/>
              <w:adjustRightInd w:val="0"/>
              <w:jc w:val="center"/>
            </w:pPr>
            <w:r w:rsidRPr="0074719A">
              <w:t>2</w:t>
            </w:r>
            <w:r w:rsidR="009B254B" w:rsidRPr="0074719A">
              <w:t>%</w:t>
            </w:r>
          </w:p>
        </w:tc>
      </w:tr>
      <w:tr w:rsidR="009B254B" w:rsidRPr="0074719A" w:rsidTr="0074719A">
        <w:tc>
          <w:tcPr>
            <w:tcW w:w="4248" w:type="dxa"/>
            <w:shd w:val="clear" w:color="auto" w:fill="auto"/>
          </w:tcPr>
          <w:p w:rsidR="009B254B" w:rsidRPr="0074719A" w:rsidRDefault="009B254B" w:rsidP="0074719A">
            <w:pPr>
              <w:autoSpaceDE w:val="0"/>
              <w:autoSpaceDN w:val="0"/>
              <w:adjustRightInd w:val="0"/>
              <w:rPr>
                <w:b/>
                <w:bCs/>
              </w:rPr>
            </w:pPr>
            <w:r w:rsidRPr="0074719A">
              <w:t>Neutrophil (&lt;750/mm</w:t>
            </w:r>
            <w:r w:rsidRPr="0074719A">
              <w:rPr>
                <w:vertAlign w:val="superscript"/>
              </w:rPr>
              <w:t>3</w:t>
            </w:r>
            <w:r w:rsidRPr="0074719A">
              <w:t>)</w:t>
            </w:r>
          </w:p>
        </w:tc>
        <w:tc>
          <w:tcPr>
            <w:tcW w:w="2340" w:type="dxa"/>
            <w:shd w:val="clear" w:color="auto" w:fill="auto"/>
          </w:tcPr>
          <w:p w:rsidR="009B254B" w:rsidRPr="0074719A" w:rsidRDefault="009B254B" w:rsidP="0074719A">
            <w:pPr>
              <w:autoSpaceDE w:val="0"/>
              <w:autoSpaceDN w:val="0"/>
              <w:adjustRightInd w:val="0"/>
              <w:jc w:val="center"/>
              <w:rPr>
                <w:b/>
                <w:bCs/>
              </w:rPr>
            </w:pPr>
            <w:r w:rsidRPr="0074719A">
              <w:t>3%</w:t>
            </w:r>
          </w:p>
        </w:tc>
        <w:tc>
          <w:tcPr>
            <w:tcW w:w="2268" w:type="dxa"/>
            <w:shd w:val="clear" w:color="auto" w:fill="auto"/>
          </w:tcPr>
          <w:p w:rsidR="009B254B" w:rsidRPr="0074719A" w:rsidRDefault="008D2C9D" w:rsidP="0074719A">
            <w:pPr>
              <w:autoSpaceDE w:val="0"/>
              <w:autoSpaceDN w:val="0"/>
              <w:adjustRightInd w:val="0"/>
              <w:jc w:val="center"/>
            </w:pPr>
            <w:r w:rsidRPr="0074719A">
              <w:t>5</w:t>
            </w:r>
            <w:r w:rsidR="009B254B" w:rsidRPr="0074719A">
              <w:t>%</w:t>
            </w:r>
          </w:p>
        </w:tc>
      </w:tr>
      <w:tr w:rsidR="009B254B" w:rsidRPr="0074719A" w:rsidTr="0074719A">
        <w:tc>
          <w:tcPr>
            <w:tcW w:w="4248" w:type="dxa"/>
            <w:shd w:val="clear" w:color="auto" w:fill="auto"/>
          </w:tcPr>
          <w:p w:rsidR="009B254B" w:rsidRPr="0074719A" w:rsidRDefault="009B254B" w:rsidP="0074719A">
            <w:pPr>
              <w:autoSpaceDE w:val="0"/>
              <w:autoSpaceDN w:val="0"/>
              <w:adjustRightInd w:val="0"/>
              <w:rPr>
                <w:b/>
                <w:bCs/>
              </w:rPr>
            </w:pPr>
            <w:r w:rsidRPr="0074719A">
              <w:t>Triglyceride (&gt;750 mg/</w:t>
            </w:r>
            <w:proofErr w:type="spellStart"/>
            <w:r w:rsidRPr="0074719A">
              <w:t>dL</w:t>
            </w:r>
            <w:proofErr w:type="spellEnd"/>
            <w:r w:rsidRPr="0074719A">
              <w:t>)</w:t>
            </w:r>
          </w:p>
        </w:tc>
        <w:tc>
          <w:tcPr>
            <w:tcW w:w="2340" w:type="dxa"/>
            <w:shd w:val="clear" w:color="auto" w:fill="auto"/>
          </w:tcPr>
          <w:p w:rsidR="009B254B" w:rsidRPr="0074719A" w:rsidRDefault="008D2C9D" w:rsidP="0074719A">
            <w:pPr>
              <w:autoSpaceDE w:val="0"/>
              <w:autoSpaceDN w:val="0"/>
              <w:adjustRightInd w:val="0"/>
              <w:jc w:val="center"/>
              <w:rPr>
                <w:b/>
                <w:bCs/>
              </w:rPr>
            </w:pPr>
            <w:r w:rsidRPr="0074719A">
              <w:t>5</w:t>
            </w:r>
            <w:r w:rsidR="009B254B" w:rsidRPr="0074719A">
              <w:t>%</w:t>
            </w:r>
          </w:p>
        </w:tc>
        <w:tc>
          <w:tcPr>
            <w:tcW w:w="2268" w:type="dxa"/>
            <w:shd w:val="clear" w:color="auto" w:fill="auto"/>
          </w:tcPr>
          <w:p w:rsidR="009B254B" w:rsidRPr="0074719A" w:rsidRDefault="009B254B" w:rsidP="0074719A">
            <w:pPr>
              <w:autoSpaceDE w:val="0"/>
              <w:autoSpaceDN w:val="0"/>
              <w:adjustRightInd w:val="0"/>
              <w:jc w:val="center"/>
            </w:pPr>
            <w:r w:rsidRPr="0074719A">
              <w:t>3%</w:t>
            </w:r>
          </w:p>
        </w:tc>
      </w:tr>
      <w:tr w:rsidR="008D2C9D" w:rsidRPr="0074719A" w:rsidTr="0074719A">
        <w:tc>
          <w:tcPr>
            <w:tcW w:w="4248" w:type="dxa"/>
            <w:shd w:val="clear" w:color="auto" w:fill="auto"/>
          </w:tcPr>
          <w:p w:rsidR="008D2C9D" w:rsidRPr="0074719A" w:rsidRDefault="008D2C9D" w:rsidP="0074719A">
            <w:pPr>
              <w:autoSpaceDE w:val="0"/>
              <w:autoSpaceDN w:val="0"/>
              <w:adjustRightInd w:val="0"/>
            </w:pPr>
            <w:proofErr w:type="spellStart"/>
            <w:r w:rsidRPr="0074719A">
              <w:t>Haemoglobin</w:t>
            </w:r>
            <w:proofErr w:type="spellEnd"/>
            <w:r w:rsidRPr="0074719A">
              <w:t xml:space="preserve"> (</w:t>
            </w:r>
            <w:r w:rsidR="00953B21" w:rsidRPr="0074719A">
              <w:t xml:space="preserve">&lt;7.0 </w:t>
            </w:r>
            <w:r w:rsidRPr="0074719A">
              <w:t>g/</w:t>
            </w:r>
            <w:proofErr w:type="spellStart"/>
            <w:r w:rsidRPr="0074719A">
              <w:t>dL</w:t>
            </w:r>
            <w:proofErr w:type="spellEnd"/>
            <w:r w:rsidRPr="0074719A">
              <w:t>)</w:t>
            </w:r>
          </w:p>
        </w:tc>
        <w:tc>
          <w:tcPr>
            <w:tcW w:w="2340" w:type="dxa"/>
            <w:shd w:val="clear" w:color="auto" w:fill="auto"/>
          </w:tcPr>
          <w:p w:rsidR="008D2C9D" w:rsidRPr="0074719A" w:rsidRDefault="008D2C9D" w:rsidP="0074719A">
            <w:pPr>
              <w:autoSpaceDE w:val="0"/>
              <w:autoSpaceDN w:val="0"/>
              <w:adjustRightInd w:val="0"/>
              <w:jc w:val="center"/>
            </w:pPr>
            <w:r w:rsidRPr="0074719A">
              <w:t>0%</w:t>
            </w:r>
          </w:p>
        </w:tc>
        <w:tc>
          <w:tcPr>
            <w:tcW w:w="2268" w:type="dxa"/>
            <w:shd w:val="clear" w:color="auto" w:fill="auto"/>
          </w:tcPr>
          <w:p w:rsidR="008D2C9D" w:rsidRPr="0074719A" w:rsidRDefault="008D2C9D" w:rsidP="0074719A">
            <w:pPr>
              <w:autoSpaceDE w:val="0"/>
              <w:autoSpaceDN w:val="0"/>
              <w:adjustRightInd w:val="0"/>
              <w:jc w:val="center"/>
            </w:pPr>
            <w:r w:rsidRPr="0074719A">
              <w:t>2%</w:t>
            </w:r>
          </w:p>
        </w:tc>
      </w:tr>
    </w:tbl>
    <w:p w:rsidR="00020ACE" w:rsidRPr="00D83C46" w:rsidRDefault="00D24ED0" w:rsidP="00020ACE">
      <w:pPr>
        <w:autoSpaceDE w:val="0"/>
        <w:autoSpaceDN w:val="0"/>
        <w:adjustRightInd w:val="0"/>
        <w:rPr>
          <w:sz w:val="20"/>
        </w:rPr>
      </w:pPr>
      <w:r w:rsidRPr="00D83C46">
        <w:rPr>
          <w:sz w:val="20"/>
        </w:rPr>
        <w:t>1.</w:t>
      </w:r>
      <w:r w:rsidR="00DA5725" w:rsidRPr="00D83C46">
        <w:rPr>
          <w:sz w:val="20"/>
        </w:rPr>
        <w:t xml:space="preserve">   </w:t>
      </w:r>
      <w:r w:rsidR="008D2C9D" w:rsidRPr="00D83C46">
        <w:rPr>
          <w:sz w:val="20"/>
        </w:rPr>
        <w:t>Patients received EMTRIVA</w:t>
      </w:r>
      <w:r w:rsidR="00DA5725" w:rsidRPr="00D83C46">
        <w:rPr>
          <w:sz w:val="20"/>
        </w:rPr>
        <w:t xml:space="preserve"> </w:t>
      </w:r>
      <w:r w:rsidR="008D2C9D" w:rsidRPr="00D83C46">
        <w:rPr>
          <w:sz w:val="20"/>
        </w:rPr>
        <w:t>+</w:t>
      </w:r>
      <w:r w:rsidR="00DA5725" w:rsidRPr="00D83C46">
        <w:rPr>
          <w:sz w:val="20"/>
        </w:rPr>
        <w:t xml:space="preserve"> </w:t>
      </w:r>
      <w:r w:rsidR="008D2C9D" w:rsidRPr="00D83C46">
        <w:rPr>
          <w:sz w:val="20"/>
        </w:rPr>
        <w:t>VIREAD up to week 96 and switched to TRUVADA from week 96 to 144.</w:t>
      </w:r>
    </w:p>
    <w:p w:rsidR="00670663" w:rsidRPr="0064484A" w:rsidRDefault="00670663" w:rsidP="0003333A">
      <w:pPr>
        <w:rPr>
          <w:b/>
          <w:color w:val="000000"/>
          <w:sz w:val="22"/>
          <w:szCs w:val="22"/>
        </w:rPr>
      </w:pPr>
    </w:p>
    <w:p w:rsidR="00F40EEF" w:rsidRPr="00315BD2" w:rsidRDefault="00F40EEF" w:rsidP="0003333A">
      <w:pPr>
        <w:rPr>
          <w:b/>
          <w:color w:val="000000"/>
          <w:szCs w:val="24"/>
        </w:rPr>
      </w:pPr>
      <w:r w:rsidRPr="00315BD2">
        <w:rPr>
          <w:b/>
          <w:color w:val="000000"/>
          <w:szCs w:val="24"/>
        </w:rPr>
        <w:t>VIREAD</w:t>
      </w:r>
    </w:p>
    <w:p w:rsidR="00CF5E15" w:rsidRPr="00315BD2" w:rsidRDefault="00CF5E15" w:rsidP="0003333A">
      <w:pPr>
        <w:pStyle w:val="Heading7"/>
        <w:rPr>
          <w:szCs w:val="24"/>
        </w:rPr>
      </w:pPr>
    </w:p>
    <w:p w:rsidR="004F534F" w:rsidRPr="00F509F7" w:rsidRDefault="004F534F" w:rsidP="00F509F7">
      <w:pPr>
        <w:pStyle w:val="expl"/>
        <w:rPr>
          <w:b/>
          <w:sz w:val="24"/>
          <w:szCs w:val="24"/>
        </w:rPr>
      </w:pPr>
      <w:r w:rsidRPr="00F509F7">
        <w:rPr>
          <w:b/>
          <w:sz w:val="24"/>
          <w:szCs w:val="24"/>
        </w:rPr>
        <w:t>From Clinical Studies</w:t>
      </w:r>
    </w:p>
    <w:p w:rsidR="00CF5E15" w:rsidRPr="00315BD2" w:rsidRDefault="00CF5E15" w:rsidP="00CF5E15">
      <w:pPr>
        <w:rPr>
          <w:szCs w:val="24"/>
        </w:rPr>
      </w:pPr>
    </w:p>
    <w:p w:rsidR="004F534F" w:rsidRPr="00315BD2" w:rsidRDefault="004F534F" w:rsidP="0003333A">
      <w:pPr>
        <w:rPr>
          <w:szCs w:val="24"/>
        </w:rPr>
      </w:pPr>
      <w:r w:rsidRPr="00315BD2">
        <w:rPr>
          <w:szCs w:val="24"/>
        </w:rPr>
        <w:t>More than 12,000 patients have been treated with VIREAD alone or in combination with other antiretroviral medicinal products for periods of 28 days to 215 weeks in Phase I-III clinical trials and expanded access studies.  A total of 1,544 patients have received VIREAD 300 mg once daily in Phase I-III clinical trials; over 11,000 patients have received VIREAD in expanded access studies.</w:t>
      </w:r>
    </w:p>
    <w:p w:rsidR="004F534F" w:rsidRPr="00315BD2" w:rsidRDefault="004F534F" w:rsidP="0003333A">
      <w:pPr>
        <w:tabs>
          <w:tab w:val="left" w:pos="8820"/>
        </w:tabs>
        <w:rPr>
          <w:color w:val="000000"/>
          <w:szCs w:val="24"/>
        </w:rPr>
      </w:pPr>
    </w:p>
    <w:p w:rsidR="004F534F" w:rsidRPr="00315BD2" w:rsidRDefault="004F534F" w:rsidP="0003333A">
      <w:pPr>
        <w:rPr>
          <w:b/>
          <w:i/>
          <w:szCs w:val="24"/>
        </w:rPr>
      </w:pPr>
      <w:r w:rsidRPr="00315BD2">
        <w:rPr>
          <w:b/>
          <w:i/>
          <w:szCs w:val="24"/>
        </w:rPr>
        <w:t>Treatment-Experienced Patients</w:t>
      </w:r>
    </w:p>
    <w:p w:rsidR="004F534F" w:rsidRPr="00315BD2" w:rsidRDefault="004F534F" w:rsidP="0003333A">
      <w:pPr>
        <w:rPr>
          <w:szCs w:val="24"/>
        </w:rPr>
      </w:pPr>
      <w:r w:rsidRPr="00315BD2">
        <w:rPr>
          <w:b/>
          <w:szCs w:val="24"/>
        </w:rPr>
        <w:t>Treatment-Emergent Adverse Events:</w:t>
      </w:r>
      <w:r w:rsidRPr="00315BD2">
        <w:rPr>
          <w:szCs w:val="24"/>
        </w:rPr>
        <w:t xml:space="preserve">  The most common adverse events that occurred in patients receiving VIREAD with other antiretroviral agents in clinical trials were mild to moderate gastrointestinal events, such as nausea, </w:t>
      </w:r>
      <w:proofErr w:type="spellStart"/>
      <w:r w:rsidRPr="00315BD2">
        <w:rPr>
          <w:szCs w:val="24"/>
        </w:rPr>
        <w:t>diarrhoea</w:t>
      </w:r>
      <w:proofErr w:type="spellEnd"/>
      <w:r w:rsidRPr="00315BD2">
        <w:rPr>
          <w:szCs w:val="24"/>
        </w:rPr>
        <w:t>, vomiting and flatulence.  Less than 1% of patients discontinued participation in the clinical studies due to gastrointestinal adverse events (Study 907).</w:t>
      </w:r>
    </w:p>
    <w:p w:rsidR="00CF5E15" w:rsidRPr="00315BD2" w:rsidRDefault="00CF5E15" w:rsidP="0003333A">
      <w:pPr>
        <w:rPr>
          <w:szCs w:val="24"/>
        </w:rPr>
      </w:pPr>
    </w:p>
    <w:p w:rsidR="00EF451A" w:rsidRPr="00BD577A" w:rsidRDefault="004F534F" w:rsidP="0003333A">
      <w:pPr>
        <w:rPr>
          <w:szCs w:val="24"/>
        </w:rPr>
      </w:pPr>
      <w:r w:rsidRPr="00315BD2">
        <w:rPr>
          <w:szCs w:val="24"/>
        </w:rPr>
        <w:t>A summary of treatment-emergent adverse events that occurred during the first 48 weeks of Study 907 is provided in</w:t>
      </w:r>
      <w:r w:rsidR="00DA5725" w:rsidRPr="00315BD2">
        <w:rPr>
          <w:szCs w:val="24"/>
        </w:rPr>
        <w:t xml:space="preserve"> Table 12</w:t>
      </w:r>
      <w:r w:rsidRPr="00315BD2">
        <w:rPr>
          <w:szCs w:val="24"/>
        </w:rPr>
        <w:t>.</w:t>
      </w:r>
    </w:p>
    <w:p w:rsidR="00BD577A" w:rsidRDefault="00BD577A" w:rsidP="00F509F7">
      <w:pPr>
        <w:pStyle w:val="Caption"/>
        <w:ind w:left="1418" w:hanging="1418"/>
        <w:sectPr w:rsidR="00BD577A" w:rsidSect="00F14E84">
          <w:pgSz w:w="12240" w:h="15840" w:code="1"/>
          <w:pgMar w:top="1134" w:right="1418" w:bottom="1418" w:left="1418" w:header="720" w:footer="720" w:gutter="0"/>
          <w:cols w:space="720"/>
          <w:noEndnote/>
        </w:sectPr>
      </w:pPr>
      <w:bookmarkStart w:id="14" w:name="_Ref159392277"/>
    </w:p>
    <w:p w:rsidR="004F534F" w:rsidRPr="003E2751" w:rsidRDefault="003E2751" w:rsidP="00F509F7">
      <w:pPr>
        <w:pStyle w:val="Caption"/>
        <w:ind w:left="1418" w:hanging="1418"/>
      </w:pPr>
      <w:proofErr w:type="gramStart"/>
      <w:r w:rsidRPr="003E2751">
        <w:lastRenderedPageBreak/>
        <w:t xml:space="preserve">Table </w:t>
      </w:r>
      <w:r w:rsidRPr="003E2751">
        <w:fldChar w:fldCharType="begin"/>
      </w:r>
      <w:r w:rsidRPr="003E2751">
        <w:instrText xml:space="preserve"> SEQ Table \* ARABIC </w:instrText>
      </w:r>
      <w:r w:rsidRPr="003E2751">
        <w:fldChar w:fldCharType="separate"/>
      </w:r>
      <w:r w:rsidR="00440D32">
        <w:rPr>
          <w:noProof/>
        </w:rPr>
        <w:t>12</w:t>
      </w:r>
      <w:r w:rsidRPr="003E2751">
        <w:fldChar w:fldCharType="end"/>
      </w:r>
      <w:bookmarkEnd w:id="14"/>
      <w:r w:rsidR="004F534F" w:rsidRPr="003E2751">
        <w:t>.</w:t>
      </w:r>
      <w:proofErr w:type="gramEnd"/>
      <w:r w:rsidR="004F534F" w:rsidRPr="003E2751">
        <w:tab/>
        <w:t>Selected Treatment-Emergent Adverse Events (Grades 2–4) Reported in ≥3% in Any Treatment Group in Study 907 (0–48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642"/>
        <w:gridCol w:w="1643"/>
        <w:gridCol w:w="1642"/>
        <w:gridCol w:w="1643"/>
      </w:tblGrid>
      <w:tr w:rsidR="004F534F" w:rsidRPr="00BD577A" w:rsidTr="00BD577A">
        <w:trPr>
          <w:tblHead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4F534F" w:rsidRPr="00BD577A" w:rsidRDefault="004F534F">
            <w:pPr>
              <w:spacing w:before="60" w:after="60"/>
              <w:rPr>
                <w:sz w:val="20"/>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BD577A" w:rsidRDefault="004F534F">
            <w:pPr>
              <w:spacing w:before="60" w:after="60"/>
              <w:jc w:val="center"/>
              <w:rPr>
                <w:b/>
                <w:sz w:val="20"/>
              </w:rPr>
            </w:pPr>
            <w:r w:rsidRPr="00BD577A">
              <w:rPr>
                <w:b/>
                <w:sz w:val="20"/>
              </w:rPr>
              <w:t>VIREAD</w:t>
            </w:r>
            <w:r w:rsidRPr="00BD577A">
              <w:rPr>
                <w:b/>
                <w:sz w:val="20"/>
              </w:rPr>
              <w:br/>
              <w:t>(N=368)</w:t>
            </w:r>
            <w:r w:rsidRPr="00BD577A">
              <w:rPr>
                <w:b/>
                <w:sz w:val="20"/>
              </w:rPr>
              <w:br/>
              <w:t>(Week 0–24)</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BD577A" w:rsidRDefault="004F534F">
            <w:pPr>
              <w:spacing w:before="60" w:after="60"/>
              <w:jc w:val="center"/>
              <w:rPr>
                <w:b/>
                <w:sz w:val="20"/>
              </w:rPr>
            </w:pPr>
            <w:r w:rsidRPr="00BD577A">
              <w:rPr>
                <w:b/>
                <w:sz w:val="20"/>
              </w:rPr>
              <w:t>Placebo</w:t>
            </w:r>
            <w:r w:rsidRPr="00BD577A">
              <w:rPr>
                <w:b/>
                <w:sz w:val="20"/>
              </w:rPr>
              <w:br/>
              <w:t>(N=182)</w:t>
            </w:r>
            <w:r w:rsidRPr="00BD577A">
              <w:rPr>
                <w:b/>
                <w:sz w:val="20"/>
              </w:rPr>
              <w:br/>
              <w:t>(Week 0–24)</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BD577A" w:rsidRDefault="004F534F">
            <w:pPr>
              <w:spacing w:before="60" w:after="60"/>
              <w:jc w:val="center"/>
              <w:rPr>
                <w:b/>
                <w:sz w:val="20"/>
              </w:rPr>
            </w:pPr>
            <w:r w:rsidRPr="00BD577A">
              <w:rPr>
                <w:b/>
                <w:sz w:val="20"/>
              </w:rPr>
              <w:t>VIREAD</w:t>
            </w:r>
            <w:r w:rsidRPr="00BD577A">
              <w:rPr>
                <w:b/>
                <w:sz w:val="20"/>
              </w:rPr>
              <w:br/>
              <w:t>(N=368)</w:t>
            </w:r>
            <w:r w:rsidRPr="00BD577A">
              <w:rPr>
                <w:b/>
                <w:sz w:val="20"/>
              </w:rPr>
              <w:br/>
              <w:t>(Week 0–48)</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BD577A" w:rsidRDefault="004F534F">
            <w:pPr>
              <w:spacing w:before="60" w:after="60"/>
              <w:jc w:val="center"/>
              <w:rPr>
                <w:b/>
                <w:sz w:val="20"/>
              </w:rPr>
            </w:pPr>
            <w:r w:rsidRPr="00BD577A">
              <w:rPr>
                <w:b/>
                <w:sz w:val="20"/>
              </w:rPr>
              <w:t>Placebo Crossover to VIREAD</w:t>
            </w:r>
            <w:r w:rsidRPr="00BD577A">
              <w:rPr>
                <w:b/>
                <w:sz w:val="20"/>
              </w:rPr>
              <w:br/>
              <w:t>(N=170)</w:t>
            </w:r>
            <w:r w:rsidRPr="00BD577A">
              <w:rPr>
                <w:b/>
                <w:sz w:val="20"/>
              </w:rPr>
              <w:br/>
              <w:t>(Week 24–48)</w:t>
            </w:r>
          </w:p>
        </w:tc>
      </w:tr>
      <w:tr w:rsidR="004F534F" w:rsidRPr="00BD577A" w:rsidTr="00BD577A">
        <w:trPr>
          <w:tblHeader/>
        </w:trPr>
        <w:tc>
          <w:tcPr>
            <w:tcW w:w="2340" w:type="dxa"/>
            <w:tcBorders>
              <w:top w:val="single" w:sz="4" w:space="0" w:color="auto"/>
              <w:left w:val="single" w:sz="4" w:space="0" w:color="auto"/>
              <w:bottom w:val="nil"/>
              <w:right w:val="nil"/>
            </w:tcBorders>
            <w:shd w:val="clear" w:color="auto" w:fill="auto"/>
            <w:vAlign w:val="center"/>
          </w:tcPr>
          <w:p w:rsidR="004F534F" w:rsidRPr="00BD577A" w:rsidRDefault="004F534F">
            <w:pPr>
              <w:pStyle w:val="CommentText"/>
              <w:spacing w:before="40" w:after="40"/>
              <w:rPr>
                <w:lang w:val="en-AU"/>
              </w:rPr>
            </w:pPr>
            <w:r w:rsidRPr="00BD577A">
              <w:rPr>
                <w:lang w:val="en-AU"/>
              </w:rPr>
              <w:t>Body as a Whole</w:t>
            </w: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p>
        </w:tc>
        <w:tc>
          <w:tcPr>
            <w:tcW w:w="1643" w:type="dxa"/>
            <w:tcBorders>
              <w:top w:val="single" w:sz="4" w:space="0" w:color="auto"/>
              <w:left w:val="nil"/>
              <w:bottom w:val="nil"/>
              <w:right w:val="single" w:sz="4" w:space="0" w:color="auto"/>
            </w:tcBorders>
            <w:shd w:val="clear" w:color="auto" w:fill="auto"/>
          </w:tcPr>
          <w:p w:rsidR="004F534F" w:rsidRPr="00BD577A" w:rsidRDefault="004F534F">
            <w:pPr>
              <w:tabs>
                <w:tab w:val="left" w:pos="0"/>
              </w:tabs>
              <w:spacing w:before="40" w:after="40"/>
              <w:ind w:right="-63"/>
              <w:jc w:val="center"/>
              <w:rPr>
                <w:sz w:val="20"/>
              </w:rPr>
            </w:pPr>
          </w:p>
        </w:tc>
        <w:tc>
          <w:tcPr>
            <w:tcW w:w="1642" w:type="dxa"/>
            <w:tcBorders>
              <w:top w:val="single" w:sz="4" w:space="0" w:color="auto"/>
              <w:left w:val="nil"/>
              <w:bottom w:val="nil"/>
              <w:right w:val="single" w:sz="4" w:space="0" w:color="auto"/>
            </w:tcBorders>
            <w:shd w:val="clear" w:color="auto" w:fill="auto"/>
          </w:tcPr>
          <w:p w:rsidR="004F534F" w:rsidRPr="00BD577A" w:rsidRDefault="004F534F">
            <w:pPr>
              <w:tabs>
                <w:tab w:val="right" w:pos="794"/>
              </w:tabs>
              <w:spacing w:before="40" w:after="40"/>
              <w:ind w:right="358"/>
              <w:jc w:val="center"/>
              <w:rPr>
                <w:sz w:val="20"/>
              </w:rPr>
            </w:pPr>
          </w:p>
        </w:tc>
        <w:tc>
          <w:tcPr>
            <w:tcW w:w="1643" w:type="dxa"/>
            <w:tcBorders>
              <w:top w:val="single" w:sz="4" w:space="0" w:color="auto"/>
              <w:left w:val="nil"/>
              <w:bottom w:val="nil"/>
              <w:right w:val="single" w:sz="4" w:space="0" w:color="auto"/>
            </w:tcBorders>
            <w:shd w:val="clear" w:color="auto" w:fill="auto"/>
          </w:tcPr>
          <w:p w:rsidR="004F534F" w:rsidRPr="00BD577A" w:rsidRDefault="004F534F">
            <w:pPr>
              <w:tabs>
                <w:tab w:val="right" w:pos="660"/>
              </w:tabs>
              <w:spacing w:before="40" w:after="40"/>
              <w:ind w:right="339"/>
              <w:jc w:val="center"/>
              <w:rPr>
                <w:sz w:val="20"/>
              </w:rPr>
            </w:pP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Asthenia</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7%</w:t>
            </w:r>
          </w:p>
        </w:tc>
        <w:tc>
          <w:tcPr>
            <w:tcW w:w="1643" w:type="dxa"/>
            <w:tcBorders>
              <w:top w:val="nil"/>
              <w:left w:val="nil"/>
              <w:bottom w:val="nil"/>
              <w:right w:val="single" w:sz="4" w:space="0" w:color="auto"/>
            </w:tcBorders>
            <w:shd w:val="clear" w:color="auto" w:fill="auto"/>
          </w:tcPr>
          <w:p w:rsidR="004F534F" w:rsidRPr="00BD577A" w:rsidRDefault="004F534F">
            <w:pPr>
              <w:tabs>
                <w:tab w:val="left" w:pos="0"/>
              </w:tabs>
              <w:spacing w:before="40" w:after="40"/>
              <w:jc w:val="center"/>
              <w:rPr>
                <w:sz w:val="20"/>
              </w:rPr>
            </w:pPr>
            <w:r w:rsidRPr="00BD577A">
              <w:rPr>
                <w:sz w:val="20"/>
              </w:rPr>
              <w:t>6%</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243"/>
              </w:tabs>
              <w:spacing w:before="40" w:after="40"/>
              <w:ind w:right="49"/>
              <w:jc w:val="center"/>
              <w:rPr>
                <w:sz w:val="20"/>
              </w:rPr>
            </w:pPr>
            <w:r w:rsidRPr="00BD577A">
              <w:rPr>
                <w:sz w:val="20"/>
              </w:rPr>
              <w:t>11%</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s>
              <w:spacing w:before="40" w:after="40"/>
              <w:jc w:val="center"/>
              <w:rPr>
                <w:sz w:val="20"/>
              </w:rPr>
            </w:pPr>
            <w:r w:rsidRPr="00BD577A">
              <w:rPr>
                <w:sz w:val="20"/>
              </w:rPr>
              <w:t>1%</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Pain</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7%</w:t>
            </w:r>
          </w:p>
        </w:tc>
        <w:tc>
          <w:tcPr>
            <w:tcW w:w="1643" w:type="dxa"/>
            <w:tcBorders>
              <w:top w:val="nil"/>
              <w:left w:val="nil"/>
              <w:bottom w:val="nil"/>
              <w:right w:val="single" w:sz="4" w:space="0" w:color="auto"/>
            </w:tcBorders>
            <w:shd w:val="clear" w:color="auto" w:fill="auto"/>
          </w:tcPr>
          <w:p w:rsidR="004F534F" w:rsidRPr="00BD577A" w:rsidRDefault="004F534F">
            <w:pPr>
              <w:tabs>
                <w:tab w:val="left" w:pos="0"/>
              </w:tabs>
              <w:spacing w:before="40" w:after="40"/>
              <w:jc w:val="center"/>
              <w:rPr>
                <w:sz w:val="20"/>
              </w:rPr>
            </w:pPr>
            <w:r w:rsidRPr="00BD577A">
              <w:rPr>
                <w:sz w:val="20"/>
              </w:rPr>
              <w:t>7%</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243"/>
              </w:tabs>
              <w:spacing w:before="40" w:after="40"/>
              <w:ind w:right="49"/>
              <w:jc w:val="center"/>
              <w:rPr>
                <w:sz w:val="20"/>
              </w:rPr>
            </w:pPr>
            <w:r w:rsidRPr="00BD577A">
              <w:rPr>
                <w:sz w:val="20"/>
              </w:rPr>
              <w:t>12%</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s>
              <w:spacing w:before="40" w:after="40"/>
              <w:jc w:val="center"/>
              <w:rPr>
                <w:sz w:val="20"/>
              </w:rPr>
            </w:pPr>
            <w:r w:rsidRPr="00BD577A">
              <w:rPr>
                <w:sz w:val="20"/>
              </w:rPr>
              <w:t>4%</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Headache</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5%</w:t>
            </w:r>
          </w:p>
        </w:tc>
        <w:tc>
          <w:tcPr>
            <w:tcW w:w="1643" w:type="dxa"/>
            <w:tcBorders>
              <w:top w:val="nil"/>
              <w:left w:val="nil"/>
              <w:bottom w:val="nil"/>
              <w:right w:val="single" w:sz="4" w:space="0" w:color="auto"/>
            </w:tcBorders>
            <w:shd w:val="clear" w:color="auto" w:fill="auto"/>
          </w:tcPr>
          <w:p w:rsidR="004F534F" w:rsidRPr="00BD577A" w:rsidRDefault="004F534F">
            <w:pPr>
              <w:tabs>
                <w:tab w:val="left" w:pos="0"/>
              </w:tabs>
              <w:spacing w:before="40" w:after="40"/>
              <w:jc w:val="center"/>
              <w:rPr>
                <w:sz w:val="20"/>
              </w:rPr>
            </w:pPr>
            <w:r w:rsidRPr="00BD577A">
              <w:rPr>
                <w:sz w:val="20"/>
              </w:rPr>
              <w:t>5%</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243"/>
              </w:tabs>
              <w:spacing w:before="40" w:after="40"/>
              <w:ind w:right="49"/>
              <w:jc w:val="center"/>
              <w:rPr>
                <w:sz w:val="20"/>
              </w:rPr>
            </w:pPr>
            <w:r w:rsidRPr="00BD577A">
              <w:rPr>
                <w:sz w:val="20"/>
              </w:rPr>
              <w:t>8%</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s>
              <w:spacing w:before="40" w:after="40"/>
              <w:jc w:val="center"/>
              <w:rPr>
                <w:sz w:val="20"/>
              </w:rPr>
            </w:pPr>
            <w:r w:rsidRPr="00BD577A">
              <w:rPr>
                <w:sz w:val="20"/>
              </w:rPr>
              <w:t>2%</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Abdominal Pain</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4%</w:t>
            </w:r>
          </w:p>
        </w:tc>
        <w:tc>
          <w:tcPr>
            <w:tcW w:w="1643" w:type="dxa"/>
            <w:tcBorders>
              <w:top w:val="nil"/>
              <w:left w:val="nil"/>
              <w:bottom w:val="nil"/>
              <w:right w:val="single" w:sz="4" w:space="0" w:color="auto"/>
            </w:tcBorders>
            <w:shd w:val="clear" w:color="auto" w:fill="auto"/>
          </w:tcPr>
          <w:p w:rsidR="004F534F" w:rsidRPr="00BD577A" w:rsidRDefault="004F534F">
            <w:pPr>
              <w:tabs>
                <w:tab w:val="left" w:pos="0"/>
              </w:tabs>
              <w:spacing w:before="40" w:after="40"/>
              <w:jc w:val="center"/>
              <w:rPr>
                <w:sz w:val="20"/>
              </w:rPr>
            </w:pPr>
            <w:r w:rsidRPr="00BD577A">
              <w:rPr>
                <w:sz w:val="20"/>
              </w:rPr>
              <w:t>3%</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243"/>
              </w:tabs>
              <w:spacing w:before="40" w:after="40"/>
              <w:ind w:right="49"/>
              <w:jc w:val="center"/>
              <w:rPr>
                <w:sz w:val="20"/>
              </w:rPr>
            </w:pPr>
            <w:r w:rsidRPr="00BD577A">
              <w:rPr>
                <w:sz w:val="20"/>
              </w:rPr>
              <w:t>7%</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s>
              <w:spacing w:before="40" w:after="40"/>
              <w:jc w:val="center"/>
              <w:rPr>
                <w:sz w:val="20"/>
              </w:rPr>
            </w:pPr>
            <w:r w:rsidRPr="00BD577A">
              <w:rPr>
                <w:sz w:val="20"/>
              </w:rPr>
              <w:t>6%</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Back Pain</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3%</w:t>
            </w:r>
          </w:p>
        </w:tc>
        <w:tc>
          <w:tcPr>
            <w:tcW w:w="1643" w:type="dxa"/>
            <w:tcBorders>
              <w:top w:val="nil"/>
              <w:left w:val="nil"/>
              <w:bottom w:val="nil"/>
              <w:right w:val="single" w:sz="4" w:space="0" w:color="auto"/>
            </w:tcBorders>
            <w:shd w:val="clear" w:color="auto" w:fill="auto"/>
          </w:tcPr>
          <w:p w:rsidR="004F534F" w:rsidRPr="00BD577A" w:rsidRDefault="004F534F">
            <w:pPr>
              <w:tabs>
                <w:tab w:val="left" w:pos="0"/>
              </w:tabs>
              <w:spacing w:before="40" w:after="40"/>
              <w:jc w:val="center"/>
              <w:rPr>
                <w:sz w:val="20"/>
              </w:rPr>
            </w:pPr>
            <w:r w:rsidRPr="00BD577A">
              <w:rPr>
                <w:sz w:val="20"/>
              </w:rPr>
              <w:t>3%</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243"/>
              </w:tabs>
              <w:spacing w:before="40" w:after="40"/>
              <w:ind w:right="49"/>
              <w:jc w:val="center"/>
              <w:rPr>
                <w:sz w:val="20"/>
              </w:rPr>
            </w:pPr>
            <w:r w:rsidRPr="00BD577A">
              <w:rPr>
                <w:sz w:val="20"/>
              </w:rPr>
              <w:t>4%</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s>
              <w:spacing w:before="40" w:after="40"/>
              <w:jc w:val="center"/>
              <w:rPr>
                <w:sz w:val="20"/>
              </w:rPr>
            </w:pPr>
            <w:r w:rsidRPr="00BD577A">
              <w:rPr>
                <w:sz w:val="20"/>
              </w:rPr>
              <w:t>2%</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Chest Pain</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3%</w:t>
            </w:r>
          </w:p>
        </w:tc>
        <w:tc>
          <w:tcPr>
            <w:tcW w:w="1643" w:type="dxa"/>
            <w:tcBorders>
              <w:top w:val="nil"/>
              <w:left w:val="nil"/>
              <w:bottom w:val="nil"/>
              <w:right w:val="single" w:sz="4" w:space="0" w:color="auto"/>
            </w:tcBorders>
            <w:shd w:val="clear" w:color="auto" w:fill="auto"/>
          </w:tcPr>
          <w:p w:rsidR="004F534F" w:rsidRPr="00BD577A" w:rsidRDefault="004F534F">
            <w:pPr>
              <w:tabs>
                <w:tab w:val="left" w:pos="0"/>
              </w:tabs>
              <w:spacing w:before="40" w:after="40"/>
              <w:jc w:val="center"/>
              <w:rPr>
                <w:sz w:val="20"/>
              </w:rPr>
            </w:pPr>
            <w:r w:rsidRPr="00BD577A">
              <w:rPr>
                <w:sz w:val="20"/>
              </w:rPr>
              <w:t>1%</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243"/>
              </w:tabs>
              <w:spacing w:before="40" w:after="40"/>
              <w:ind w:right="49"/>
              <w:jc w:val="center"/>
              <w:rPr>
                <w:sz w:val="20"/>
              </w:rPr>
            </w:pPr>
            <w:r w:rsidRPr="00BD577A">
              <w:rPr>
                <w:sz w:val="20"/>
              </w:rPr>
              <w:t>3%</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s>
              <w:spacing w:before="40" w:after="40"/>
              <w:jc w:val="center"/>
              <w:rPr>
                <w:sz w:val="20"/>
              </w:rPr>
            </w:pPr>
            <w:r w:rsidRPr="00BD577A">
              <w:rPr>
                <w:sz w:val="20"/>
              </w:rPr>
              <w:t>2%</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Fever</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2%</w:t>
            </w:r>
          </w:p>
        </w:tc>
        <w:tc>
          <w:tcPr>
            <w:tcW w:w="1643" w:type="dxa"/>
            <w:tcBorders>
              <w:top w:val="nil"/>
              <w:left w:val="nil"/>
              <w:bottom w:val="nil"/>
              <w:right w:val="single" w:sz="4" w:space="0" w:color="auto"/>
            </w:tcBorders>
            <w:shd w:val="clear" w:color="auto" w:fill="auto"/>
          </w:tcPr>
          <w:p w:rsidR="004F534F" w:rsidRPr="00BD577A" w:rsidRDefault="004F534F">
            <w:pPr>
              <w:tabs>
                <w:tab w:val="left" w:pos="0"/>
              </w:tabs>
              <w:spacing w:before="40" w:after="40"/>
              <w:jc w:val="center"/>
              <w:rPr>
                <w:sz w:val="20"/>
              </w:rPr>
            </w:pPr>
            <w:r w:rsidRPr="00BD577A">
              <w:rPr>
                <w:sz w:val="20"/>
              </w:rPr>
              <w:t>2%</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243"/>
              </w:tabs>
              <w:spacing w:before="40" w:after="40"/>
              <w:ind w:right="49"/>
              <w:jc w:val="center"/>
              <w:rPr>
                <w:sz w:val="20"/>
              </w:rPr>
            </w:pPr>
            <w:r w:rsidRPr="00BD577A">
              <w:rPr>
                <w:sz w:val="20"/>
              </w:rPr>
              <w:t>4%</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s>
              <w:spacing w:before="40" w:after="40"/>
              <w:jc w:val="center"/>
              <w:rPr>
                <w:sz w:val="20"/>
              </w:rPr>
            </w:pPr>
            <w:r w:rsidRPr="00BD577A">
              <w:rPr>
                <w:sz w:val="20"/>
              </w:rPr>
              <w:t>2%</w:t>
            </w:r>
          </w:p>
        </w:tc>
      </w:tr>
      <w:tr w:rsidR="004F534F" w:rsidRPr="00BD577A" w:rsidTr="00BD577A">
        <w:trPr>
          <w:tblHeader/>
        </w:trPr>
        <w:tc>
          <w:tcPr>
            <w:tcW w:w="2340" w:type="dxa"/>
            <w:tcBorders>
              <w:top w:val="single" w:sz="4" w:space="0" w:color="auto"/>
              <w:left w:val="single" w:sz="4" w:space="0" w:color="auto"/>
              <w:bottom w:val="nil"/>
              <w:right w:val="nil"/>
            </w:tcBorders>
            <w:shd w:val="clear" w:color="auto" w:fill="auto"/>
            <w:vAlign w:val="center"/>
          </w:tcPr>
          <w:p w:rsidR="004F534F" w:rsidRPr="00BD577A" w:rsidRDefault="004F534F">
            <w:pPr>
              <w:spacing w:before="40" w:after="40"/>
              <w:rPr>
                <w:sz w:val="20"/>
              </w:rPr>
            </w:pPr>
            <w:r w:rsidRPr="00BD577A">
              <w:rPr>
                <w:sz w:val="20"/>
              </w:rPr>
              <w:t>Digestive System</w:t>
            </w: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p>
        </w:tc>
        <w:tc>
          <w:tcPr>
            <w:tcW w:w="1643" w:type="dxa"/>
            <w:tcBorders>
              <w:top w:val="single" w:sz="4" w:space="0" w:color="auto"/>
              <w:left w:val="nil"/>
              <w:bottom w:val="nil"/>
              <w:right w:val="single" w:sz="4" w:space="0" w:color="auto"/>
            </w:tcBorders>
            <w:shd w:val="clear" w:color="auto" w:fill="auto"/>
          </w:tcPr>
          <w:p w:rsidR="004F534F" w:rsidRPr="00BD577A" w:rsidRDefault="004F534F">
            <w:pPr>
              <w:tabs>
                <w:tab w:val="left" w:pos="658"/>
              </w:tabs>
              <w:spacing w:before="40" w:after="40"/>
              <w:ind w:right="340"/>
              <w:jc w:val="center"/>
              <w:rPr>
                <w:sz w:val="20"/>
              </w:rPr>
            </w:pPr>
          </w:p>
        </w:tc>
        <w:tc>
          <w:tcPr>
            <w:tcW w:w="1642" w:type="dxa"/>
            <w:tcBorders>
              <w:top w:val="single" w:sz="4" w:space="0" w:color="auto"/>
              <w:left w:val="nil"/>
              <w:bottom w:val="nil"/>
              <w:right w:val="single" w:sz="4" w:space="0" w:color="auto"/>
            </w:tcBorders>
            <w:shd w:val="clear" w:color="auto" w:fill="auto"/>
          </w:tcPr>
          <w:p w:rsidR="004F534F" w:rsidRPr="00BD577A" w:rsidRDefault="004F534F">
            <w:pPr>
              <w:tabs>
                <w:tab w:val="right" w:pos="794"/>
              </w:tabs>
              <w:spacing w:before="40" w:after="40"/>
              <w:ind w:right="358"/>
              <w:jc w:val="center"/>
              <w:rPr>
                <w:sz w:val="20"/>
              </w:rPr>
            </w:pPr>
          </w:p>
        </w:tc>
        <w:tc>
          <w:tcPr>
            <w:tcW w:w="1643" w:type="dxa"/>
            <w:tcBorders>
              <w:top w:val="single" w:sz="4" w:space="0" w:color="auto"/>
              <w:left w:val="nil"/>
              <w:bottom w:val="nil"/>
              <w:right w:val="single" w:sz="4" w:space="0" w:color="auto"/>
            </w:tcBorders>
            <w:shd w:val="clear" w:color="auto" w:fill="auto"/>
          </w:tcPr>
          <w:p w:rsidR="004F534F" w:rsidRPr="00BD577A" w:rsidRDefault="004F534F">
            <w:pPr>
              <w:tabs>
                <w:tab w:val="right" w:pos="660"/>
              </w:tabs>
              <w:spacing w:before="40" w:after="40"/>
              <w:ind w:right="339"/>
              <w:jc w:val="center"/>
              <w:rPr>
                <w:sz w:val="20"/>
              </w:rPr>
            </w:pP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proofErr w:type="spellStart"/>
            <w:r w:rsidRPr="00BD577A">
              <w:rPr>
                <w:sz w:val="20"/>
              </w:rPr>
              <w:t>Diarrhoea</w:t>
            </w:r>
            <w:proofErr w:type="spellEnd"/>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11%</w:t>
            </w:r>
          </w:p>
        </w:tc>
        <w:tc>
          <w:tcPr>
            <w:tcW w:w="1643" w:type="dxa"/>
            <w:tcBorders>
              <w:top w:val="nil"/>
              <w:left w:val="nil"/>
              <w:bottom w:val="nil"/>
              <w:right w:val="single" w:sz="4" w:space="0" w:color="auto"/>
            </w:tcBorders>
            <w:shd w:val="clear" w:color="auto" w:fill="auto"/>
          </w:tcPr>
          <w:p w:rsidR="004F534F" w:rsidRPr="00BD577A" w:rsidRDefault="004F534F">
            <w:pPr>
              <w:tabs>
                <w:tab w:val="left" w:pos="-40"/>
              </w:tabs>
              <w:spacing w:before="40" w:after="40"/>
              <w:ind w:right="-63"/>
              <w:jc w:val="center"/>
              <w:rPr>
                <w:sz w:val="20"/>
              </w:rPr>
            </w:pPr>
            <w:r w:rsidRPr="00BD577A">
              <w:rPr>
                <w:sz w:val="20"/>
              </w:rPr>
              <w:t>10%</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0"/>
              </w:tabs>
              <w:spacing w:before="40" w:after="40"/>
              <w:ind w:right="-131"/>
              <w:jc w:val="center"/>
              <w:rPr>
                <w:sz w:val="20"/>
              </w:rPr>
            </w:pPr>
            <w:r w:rsidRPr="00BD577A">
              <w:rPr>
                <w:sz w:val="20"/>
              </w:rPr>
              <w:t>16%</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 w:val="left" w:pos="1427"/>
              </w:tabs>
              <w:spacing w:before="40" w:after="40"/>
              <w:jc w:val="center"/>
              <w:rPr>
                <w:sz w:val="20"/>
              </w:rPr>
            </w:pPr>
            <w:r w:rsidRPr="00BD577A">
              <w:rPr>
                <w:sz w:val="20"/>
              </w:rPr>
              <w:t>11%</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Nausea</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8%</w:t>
            </w:r>
          </w:p>
        </w:tc>
        <w:tc>
          <w:tcPr>
            <w:tcW w:w="1643" w:type="dxa"/>
            <w:tcBorders>
              <w:top w:val="nil"/>
              <w:left w:val="nil"/>
              <w:bottom w:val="nil"/>
              <w:right w:val="single" w:sz="4" w:space="0" w:color="auto"/>
            </w:tcBorders>
            <w:shd w:val="clear" w:color="auto" w:fill="auto"/>
          </w:tcPr>
          <w:p w:rsidR="004F534F" w:rsidRPr="00BD577A" w:rsidRDefault="004F534F">
            <w:pPr>
              <w:tabs>
                <w:tab w:val="left" w:pos="-40"/>
              </w:tabs>
              <w:spacing w:before="40" w:after="40"/>
              <w:ind w:right="-63"/>
              <w:jc w:val="center"/>
              <w:rPr>
                <w:sz w:val="20"/>
              </w:rPr>
            </w:pPr>
            <w:r w:rsidRPr="00BD577A">
              <w:rPr>
                <w:sz w:val="20"/>
              </w:rPr>
              <w:t>5%</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0"/>
              </w:tabs>
              <w:spacing w:before="40" w:after="40"/>
              <w:ind w:right="-131"/>
              <w:jc w:val="center"/>
              <w:rPr>
                <w:sz w:val="20"/>
              </w:rPr>
            </w:pPr>
            <w:r w:rsidRPr="00BD577A">
              <w:rPr>
                <w:sz w:val="20"/>
              </w:rPr>
              <w:t>11%</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 w:val="left" w:pos="1427"/>
              </w:tabs>
              <w:spacing w:before="40" w:after="40"/>
              <w:jc w:val="center"/>
              <w:rPr>
                <w:sz w:val="20"/>
              </w:rPr>
            </w:pPr>
            <w:r w:rsidRPr="00BD577A">
              <w:rPr>
                <w:sz w:val="20"/>
              </w:rPr>
              <w:t>7%</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Vomiting</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4%</w:t>
            </w:r>
          </w:p>
        </w:tc>
        <w:tc>
          <w:tcPr>
            <w:tcW w:w="1643" w:type="dxa"/>
            <w:tcBorders>
              <w:top w:val="nil"/>
              <w:left w:val="nil"/>
              <w:bottom w:val="nil"/>
              <w:right w:val="single" w:sz="4" w:space="0" w:color="auto"/>
            </w:tcBorders>
            <w:shd w:val="clear" w:color="auto" w:fill="auto"/>
          </w:tcPr>
          <w:p w:rsidR="004F534F" w:rsidRPr="00BD577A" w:rsidRDefault="004F534F">
            <w:pPr>
              <w:tabs>
                <w:tab w:val="left" w:pos="-40"/>
              </w:tabs>
              <w:spacing w:before="40" w:after="40"/>
              <w:ind w:right="-63"/>
              <w:jc w:val="center"/>
              <w:rPr>
                <w:sz w:val="20"/>
              </w:rPr>
            </w:pPr>
            <w:r w:rsidRPr="00BD577A">
              <w:rPr>
                <w:sz w:val="20"/>
              </w:rPr>
              <w:t>1%</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0"/>
              </w:tabs>
              <w:spacing w:before="40" w:after="40"/>
              <w:ind w:right="-131"/>
              <w:jc w:val="center"/>
              <w:rPr>
                <w:sz w:val="20"/>
              </w:rPr>
            </w:pPr>
            <w:r w:rsidRPr="00BD577A">
              <w:rPr>
                <w:sz w:val="20"/>
              </w:rPr>
              <w:t>7%</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 w:val="left" w:pos="1427"/>
              </w:tabs>
              <w:spacing w:before="40" w:after="40"/>
              <w:jc w:val="center"/>
              <w:rPr>
                <w:sz w:val="20"/>
              </w:rPr>
            </w:pPr>
            <w:r w:rsidRPr="00BD577A">
              <w:rPr>
                <w:sz w:val="20"/>
              </w:rPr>
              <w:t>5%</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Anorexia</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3%</w:t>
            </w:r>
          </w:p>
        </w:tc>
        <w:tc>
          <w:tcPr>
            <w:tcW w:w="1643" w:type="dxa"/>
            <w:tcBorders>
              <w:top w:val="nil"/>
              <w:left w:val="nil"/>
              <w:bottom w:val="nil"/>
              <w:right w:val="single" w:sz="4" w:space="0" w:color="auto"/>
            </w:tcBorders>
            <w:shd w:val="clear" w:color="auto" w:fill="auto"/>
          </w:tcPr>
          <w:p w:rsidR="004F534F" w:rsidRPr="00BD577A" w:rsidRDefault="004F534F">
            <w:pPr>
              <w:tabs>
                <w:tab w:val="left" w:pos="-40"/>
              </w:tabs>
              <w:spacing w:before="40" w:after="40"/>
              <w:ind w:right="-63"/>
              <w:jc w:val="center"/>
              <w:rPr>
                <w:sz w:val="20"/>
              </w:rPr>
            </w:pPr>
            <w:r w:rsidRPr="00BD577A">
              <w:rPr>
                <w:sz w:val="20"/>
              </w:rPr>
              <w:t>2%</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0"/>
              </w:tabs>
              <w:spacing w:before="40" w:after="40"/>
              <w:ind w:right="-131"/>
              <w:jc w:val="center"/>
              <w:rPr>
                <w:sz w:val="20"/>
              </w:rPr>
            </w:pPr>
            <w:r w:rsidRPr="00BD577A">
              <w:rPr>
                <w:sz w:val="20"/>
              </w:rPr>
              <w:t>4%</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 w:val="left" w:pos="1427"/>
              </w:tabs>
              <w:spacing w:before="40" w:after="40"/>
              <w:jc w:val="center"/>
              <w:rPr>
                <w:sz w:val="20"/>
              </w:rPr>
            </w:pPr>
            <w:r w:rsidRPr="00BD577A">
              <w:rPr>
                <w:sz w:val="20"/>
              </w:rPr>
              <w:t>1%</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Dyspepsia</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3%</w:t>
            </w:r>
          </w:p>
        </w:tc>
        <w:tc>
          <w:tcPr>
            <w:tcW w:w="1643" w:type="dxa"/>
            <w:tcBorders>
              <w:top w:val="nil"/>
              <w:left w:val="nil"/>
              <w:bottom w:val="nil"/>
              <w:right w:val="single" w:sz="4" w:space="0" w:color="auto"/>
            </w:tcBorders>
            <w:shd w:val="clear" w:color="auto" w:fill="auto"/>
          </w:tcPr>
          <w:p w:rsidR="004F534F" w:rsidRPr="00BD577A" w:rsidRDefault="004F534F">
            <w:pPr>
              <w:tabs>
                <w:tab w:val="left" w:pos="-40"/>
              </w:tabs>
              <w:spacing w:before="40" w:after="40"/>
              <w:ind w:right="-63"/>
              <w:jc w:val="center"/>
              <w:rPr>
                <w:sz w:val="20"/>
              </w:rPr>
            </w:pPr>
            <w:r w:rsidRPr="00BD577A">
              <w:rPr>
                <w:sz w:val="20"/>
              </w:rPr>
              <w:t>2%</w:t>
            </w:r>
          </w:p>
        </w:tc>
        <w:tc>
          <w:tcPr>
            <w:tcW w:w="1642" w:type="dxa"/>
            <w:tcBorders>
              <w:top w:val="nil"/>
              <w:left w:val="nil"/>
              <w:bottom w:val="nil"/>
              <w:right w:val="single" w:sz="4" w:space="0" w:color="auto"/>
            </w:tcBorders>
            <w:shd w:val="clear" w:color="auto" w:fill="auto"/>
          </w:tcPr>
          <w:p w:rsidR="004F534F" w:rsidRPr="00BD577A" w:rsidRDefault="004F534F">
            <w:pPr>
              <w:tabs>
                <w:tab w:val="right" w:pos="0"/>
              </w:tabs>
              <w:spacing w:before="40" w:after="40"/>
              <w:ind w:right="-131"/>
              <w:jc w:val="center"/>
              <w:rPr>
                <w:sz w:val="20"/>
              </w:rPr>
            </w:pPr>
            <w:r w:rsidRPr="00BD577A">
              <w:rPr>
                <w:sz w:val="20"/>
              </w:rPr>
              <w:t>4%</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 w:val="left" w:pos="1427"/>
              </w:tabs>
              <w:spacing w:before="40" w:after="40"/>
              <w:jc w:val="center"/>
              <w:rPr>
                <w:sz w:val="20"/>
              </w:rPr>
            </w:pPr>
            <w:r w:rsidRPr="00BD577A">
              <w:rPr>
                <w:sz w:val="20"/>
              </w:rPr>
              <w:t>2%</w:t>
            </w:r>
          </w:p>
        </w:tc>
      </w:tr>
      <w:tr w:rsidR="004F534F" w:rsidRPr="00BD577A" w:rsidTr="00BD577A">
        <w:trPr>
          <w:trHeight w:val="240"/>
          <w:tblHeader/>
        </w:trPr>
        <w:tc>
          <w:tcPr>
            <w:tcW w:w="2340" w:type="dxa"/>
            <w:tcBorders>
              <w:top w:val="nil"/>
              <w:left w:val="single" w:sz="4" w:space="0" w:color="auto"/>
              <w:bottom w:val="single" w:sz="4" w:space="0" w:color="auto"/>
              <w:right w:val="nil"/>
            </w:tcBorders>
            <w:shd w:val="clear" w:color="auto" w:fill="auto"/>
          </w:tcPr>
          <w:p w:rsidR="004F534F" w:rsidRPr="00BD577A" w:rsidRDefault="004F534F">
            <w:pPr>
              <w:spacing w:before="40" w:after="40"/>
              <w:ind w:left="360"/>
              <w:rPr>
                <w:sz w:val="20"/>
              </w:rPr>
            </w:pPr>
            <w:r w:rsidRPr="00BD577A">
              <w:rPr>
                <w:sz w:val="20"/>
              </w:rPr>
              <w:t>Flatulence</w:t>
            </w:r>
          </w:p>
        </w:tc>
        <w:tc>
          <w:tcPr>
            <w:tcW w:w="1642" w:type="dxa"/>
            <w:tcBorders>
              <w:top w:val="nil"/>
              <w:left w:val="single" w:sz="4" w:space="0" w:color="auto"/>
              <w:bottom w:val="single" w:sz="4" w:space="0" w:color="auto"/>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3%</w:t>
            </w:r>
          </w:p>
        </w:tc>
        <w:tc>
          <w:tcPr>
            <w:tcW w:w="1643" w:type="dxa"/>
            <w:tcBorders>
              <w:top w:val="nil"/>
              <w:left w:val="nil"/>
              <w:bottom w:val="single" w:sz="4" w:space="0" w:color="auto"/>
              <w:right w:val="single" w:sz="4" w:space="0" w:color="auto"/>
            </w:tcBorders>
            <w:shd w:val="clear" w:color="auto" w:fill="auto"/>
          </w:tcPr>
          <w:p w:rsidR="004F534F" w:rsidRPr="00BD577A" w:rsidRDefault="004F534F">
            <w:pPr>
              <w:tabs>
                <w:tab w:val="left" w:pos="-40"/>
              </w:tabs>
              <w:spacing w:before="40" w:after="40"/>
              <w:ind w:right="-63"/>
              <w:jc w:val="center"/>
              <w:rPr>
                <w:sz w:val="20"/>
              </w:rPr>
            </w:pPr>
            <w:r w:rsidRPr="00BD577A">
              <w:rPr>
                <w:sz w:val="20"/>
              </w:rPr>
              <w:t>1%</w:t>
            </w:r>
          </w:p>
        </w:tc>
        <w:tc>
          <w:tcPr>
            <w:tcW w:w="1642" w:type="dxa"/>
            <w:tcBorders>
              <w:top w:val="nil"/>
              <w:left w:val="nil"/>
              <w:bottom w:val="single" w:sz="4" w:space="0" w:color="auto"/>
              <w:right w:val="single" w:sz="4" w:space="0" w:color="auto"/>
            </w:tcBorders>
            <w:shd w:val="clear" w:color="auto" w:fill="auto"/>
          </w:tcPr>
          <w:p w:rsidR="004F534F" w:rsidRPr="00BD577A" w:rsidRDefault="004F534F">
            <w:pPr>
              <w:tabs>
                <w:tab w:val="right" w:pos="0"/>
              </w:tabs>
              <w:spacing w:before="40" w:after="40"/>
              <w:ind w:right="-131"/>
              <w:jc w:val="center"/>
              <w:rPr>
                <w:sz w:val="20"/>
              </w:rPr>
            </w:pPr>
            <w:r w:rsidRPr="00BD577A">
              <w:rPr>
                <w:sz w:val="20"/>
              </w:rPr>
              <w:t>4%</w:t>
            </w:r>
          </w:p>
        </w:tc>
        <w:tc>
          <w:tcPr>
            <w:tcW w:w="1643" w:type="dxa"/>
            <w:tcBorders>
              <w:top w:val="nil"/>
              <w:left w:val="nil"/>
              <w:bottom w:val="single" w:sz="4" w:space="0" w:color="auto"/>
              <w:right w:val="single" w:sz="4" w:space="0" w:color="auto"/>
            </w:tcBorders>
            <w:shd w:val="clear" w:color="auto" w:fill="auto"/>
          </w:tcPr>
          <w:p w:rsidR="004F534F" w:rsidRPr="00BD577A" w:rsidRDefault="004F534F">
            <w:pPr>
              <w:tabs>
                <w:tab w:val="right" w:pos="5"/>
                <w:tab w:val="left" w:pos="1427"/>
              </w:tabs>
              <w:spacing w:before="40" w:after="40"/>
              <w:jc w:val="center"/>
              <w:rPr>
                <w:sz w:val="20"/>
              </w:rPr>
            </w:pPr>
            <w:r w:rsidRPr="00BD577A">
              <w:rPr>
                <w:sz w:val="20"/>
              </w:rPr>
              <w:t>1%</w:t>
            </w:r>
          </w:p>
        </w:tc>
      </w:tr>
      <w:tr w:rsidR="004F534F" w:rsidRPr="00BD577A" w:rsidTr="00BD577A">
        <w:trPr>
          <w:tblHeader/>
        </w:trPr>
        <w:tc>
          <w:tcPr>
            <w:tcW w:w="2340" w:type="dxa"/>
            <w:tcBorders>
              <w:top w:val="single" w:sz="4" w:space="0" w:color="auto"/>
              <w:left w:val="single" w:sz="4" w:space="0" w:color="auto"/>
              <w:bottom w:val="nil"/>
              <w:right w:val="nil"/>
            </w:tcBorders>
            <w:shd w:val="clear" w:color="auto" w:fill="auto"/>
            <w:vAlign w:val="center"/>
          </w:tcPr>
          <w:p w:rsidR="004F534F" w:rsidRPr="00BD577A" w:rsidRDefault="004F534F">
            <w:pPr>
              <w:spacing w:before="40" w:after="40"/>
              <w:rPr>
                <w:sz w:val="20"/>
              </w:rPr>
            </w:pPr>
            <w:r w:rsidRPr="00BD577A">
              <w:rPr>
                <w:sz w:val="20"/>
              </w:rPr>
              <w:t>Respiratory</w:t>
            </w: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p>
        </w:tc>
        <w:tc>
          <w:tcPr>
            <w:tcW w:w="1643" w:type="dxa"/>
            <w:tcBorders>
              <w:top w:val="single" w:sz="4" w:space="0" w:color="auto"/>
              <w:left w:val="nil"/>
              <w:bottom w:val="nil"/>
              <w:right w:val="nil"/>
            </w:tcBorders>
            <w:shd w:val="clear" w:color="auto" w:fill="auto"/>
          </w:tcPr>
          <w:p w:rsidR="004F534F" w:rsidRPr="00BD577A" w:rsidRDefault="004F534F">
            <w:pPr>
              <w:tabs>
                <w:tab w:val="left" w:pos="658"/>
              </w:tabs>
              <w:spacing w:before="40" w:after="40"/>
              <w:ind w:right="340"/>
              <w:jc w:val="center"/>
              <w:rPr>
                <w:sz w:val="20"/>
              </w:rPr>
            </w:pP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794"/>
              </w:tabs>
              <w:spacing w:before="40" w:after="40"/>
              <w:ind w:right="358"/>
              <w:jc w:val="center"/>
              <w:rPr>
                <w:sz w:val="20"/>
              </w:rPr>
            </w:pPr>
          </w:p>
        </w:tc>
        <w:tc>
          <w:tcPr>
            <w:tcW w:w="1643" w:type="dxa"/>
            <w:tcBorders>
              <w:top w:val="single" w:sz="4" w:space="0" w:color="auto"/>
              <w:left w:val="nil"/>
              <w:bottom w:val="nil"/>
              <w:right w:val="single" w:sz="4" w:space="0" w:color="auto"/>
            </w:tcBorders>
            <w:shd w:val="clear" w:color="auto" w:fill="auto"/>
          </w:tcPr>
          <w:p w:rsidR="004F534F" w:rsidRPr="00BD577A" w:rsidRDefault="004F534F">
            <w:pPr>
              <w:tabs>
                <w:tab w:val="right" w:pos="660"/>
              </w:tabs>
              <w:spacing w:before="40" w:after="40"/>
              <w:ind w:right="339"/>
              <w:jc w:val="center"/>
              <w:rPr>
                <w:sz w:val="20"/>
              </w:rPr>
            </w:pPr>
          </w:p>
        </w:tc>
      </w:tr>
      <w:tr w:rsidR="004F534F" w:rsidRPr="00BD577A" w:rsidTr="00BD577A">
        <w:trPr>
          <w:trHeight w:val="240"/>
          <w:tblHeader/>
        </w:trPr>
        <w:tc>
          <w:tcPr>
            <w:tcW w:w="2340" w:type="dxa"/>
            <w:tcBorders>
              <w:top w:val="nil"/>
              <w:left w:val="single" w:sz="4" w:space="0" w:color="auto"/>
              <w:bottom w:val="single" w:sz="4" w:space="0" w:color="auto"/>
              <w:right w:val="nil"/>
            </w:tcBorders>
            <w:shd w:val="clear" w:color="auto" w:fill="auto"/>
          </w:tcPr>
          <w:p w:rsidR="004F534F" w:rsidRPr="00BD577A" w:rsidRDefault="004F534F">
            <w:pPr>
              <w:spacing w:before="40" w:after="40"/>
              <w:ind w:left="360"/>
              <w:rPr>
                <w:sz w:val="20"/>
              </w:rPr>
            </w:pPr>
            <w:r w:rsidRPr="00BD577A">
              <w:rPr>
                <w:sz w:val="20"/>
              </w:rPr>
              <w:t>Pneumonia</w:t>
            </w:r>
          </w:p>
        </w:tc>
        <w:tc>
          <w:tcPr>
            <w:tcW w:w="1642" w:type="dxa"/>
            <w:tcBorders>
              <w:top w:val="nil"/>
              <w:left w:val="single" w:sz="4" w:space="0" w:color="auto"/>
              <w:bottom w:val="single" w:sz="4" w:space="0" w:color="auto"/>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2%</w:t>
            </w:r>
          </w:p>
        </w:tc>
        <w:tc>
          <w:tcPr>
            <w:tcW w:w="1643" w:type="dxa"/>
            <w:tcBorders>
              <w:top w:val="nil"/>
              <w:left w:val="nil"/>
              <w:bottom w:val="single" w:sz="4" w:space="0" w:color="auto"/>
              <w:right w:val="nil"/>
            </w:tcBorders>
            <w:shd w:val="clear" w:color="auto" w:fill="auto"/>
          </w:tcPr>
          <w:p w:rsidR="004F534F" w:rsidRPr="00BD577A" w:rsidRDefault="004F534F">
            <w:pPr>
              <w:tabs>
                <w:tab w:val="left" w:pos="-40"/>
              </w:tabs>
              <w:spacing w:before="40" w:after="40"/>
              <w:ind w:right="-63"/>
              <w:jc w:val="center"/>
              <w:rPr>
                <w:sz w:val="20"/>
              </w:rPr>
            </w:pPr>
            <w:r w:rsidRPr="00BD577A">
              <w:rPr>
                <w:sz w:val="20"/>
              </w:rPr>
              <w:t>0%</w:t>
            </w:r>
          </w:p>
        </w:tc>
        <w:tc>
          <w:tcPr>
            <w:tcW w:w="1642" w:type="dxa"/>
            <w:tcBorders>
              <w:top w:val="nil"/>
              <w:left w:val="single" w:sz="4" w:space="0" w:color="auto"/>
              <w:bottom w:val="single" w:sz="4" w:space="0" w:color="auto"/>
              <w:right w:val="single" w:sz="4" w:space="0" w:color="auto"/>
            </w:tcBorders>
            <w:shd w:val="clear" w:color="auto" w:fill="auto"/>
          </w:tcPr>
          <w:p w:rsidR="004F534F" w:rsidRPr="00BD577A" w:rsidRDefault="004F534F">
            <w:pPr>
              <w:tabs>
                <w:tab w:val="right" w:pos="0"/>
              </w:tabs>
              <w:spacing w:before="40" w:after="40"/>
              <w:ind w:right="-131"/>
              <w:jc w:val="center"/>
              <w:rPr>
                <w:sz w:val="20"/>
              </w:rPr>
            </w:pPr>
            <w:r w:rsidRPr="00BD577A">
              <w:rPr>
                <w:sz w:val="20"/>
              </w:rPr>
              <w:t>3%</w:t>
            </w:r>
          </w:p>
        </w:tc>
        <w:tc>
          <w:tcPr>
            <w:tcW w:w="1643" w:type="dxa"/>
            <w:tcBorders>
              <w:top w:val="nil"/>
              <w:left w:val="nil"/>
              <w:bottom w:val="single" w:sz="4" w:space="0" w:color="auto"/>
              <w:right w:val="single" w:sz="4" w:space="0" w:color="auto"/>
            </w:tcBorders>
            <w:shd w:val="clear" w:color="auto" w:fill="auto"/>
          </w:tcPr>
          <w:p w:rsidR="004F534F" w:rsidRPr="00BD577A" w:rsidRDefault="004F534F">
            <w:pPr>
              <w:tabs>
                <w:tab w:val="right" w:pos="5"/>
              </w:tabs>
              <w:spacing w:before="40" w:after="40"/>
              <w:ind w:right="-108"/>
              <w:jc w:val="center"/>
              <w:rPr>
                <w:sz w:val="20"/>
              </w:rPr>
            </w:pPr>
            <w:r w:rsidRPr="00BD577A">
              <w:rPr>
                <w:sz w:val="20"/>
              </w:rPr>
              <w:t>2%</w:t>
            </w:r>
          </w:p>
        </w:tc>
      </w:tr>
      <w:tr w:rsidR="004F534F" w:rsidRPr="00BD577A" w:rsidTr="00BD577A">
        <w:trPr>
          <w:tblHeader/>
        </w:trPr>
        <w:tc>
          <w:tcPr>
            <w:tcW w:w="2340" w:type="dxa"/>
            <w:tcBorders>
              <w:top w:val="single" w:sz="4" w:space="0" w:color="auto"/>
              <w:left w:val="single" w:sz="4" w:space="0" w:color="auto"/>
              <w:bottom w:val="nil"/>
              <w:right w:val="nil"/>
            </w:tcBorders>
            <w:shd w:val="clear" w:color="auto" w:fill="auto"/>
            <w:vAlign w:val="center"/>
          </w:tcPr>
          <w:p w:rsidR="004F534F" w:rsidRPr="00BD577A" w:rsidRDefault="004F534F">
            <w:pPr>
              <w:spacing w:before="40" w:after="40"/>
              <w:rPr>
                <w:sz w:val="20"/>
              </w:rPr>
            </w:pPr>
            <w:r w:rsidRPr="00BD577A">
              <w:rPr>
                <w:sz w:val="20"/>
              </w:rPr>
              <w:t>Nervous System</w:t>
            </w: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p>
        </w:tc>
        <w:tc>
          <w:tcPr>
            <w:tcW w:w="1643" w:type="dxa"/>
            <w:tcBorders>
              <w:top w:val="single" w:sz="4" w:space="0" w:color="auto"/>
              <w:left w:val="nil"/>
              <w:bottom w:val="nil"/>
              <w:right w:val="nil"/>
            </w:tcBorders>
            <w:shd w:val="clear" w:color="auto" w:fill="auto"/>
          </w:tcPr>
          <w:p w:rsidR="004F534F" w:rsidRPr="00BD577A" w:rsidRDefault="004F534F">
            <w:pPr>
              <w:tabs>
                <w:tab w:val="left" w:pos="658"/>
              </w:tabs>
              <w:spacing w:before="40" w:after="40"/>
              <w:ind w:right="340"/>
              <w:jc w:val="center"/>
              <w:rPr>
                <w:sz w:val="20"/>
              </w:rPr>
            </w:pP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794"/>
              </w:tabs>
              <w:spacing w:before="40" w:after="40"/>
              <w:ind w:right="358"/>
              <w:jc w:val="center"/>
              <w:rPr>
                <w:sz w:val="20"/>
              </w:rPr>
            </w:pPr>
          </w:p>
        </w:tc>
        <w:tc>
          <w:tcPr>
            <w:tcW w:w="1643" w:type="dxa"/>
            <w:tcBorders>
              <w:top w:val="single" w:sz="4" w:space="0" w:color="auto"/>
              <w:left w:val="nil"/>
              <w:bottom w:val="nil"/>
              <w:right w:val="single" w:sz="4" w:space="0" w:color="auto"/>
            </w:tcBorders>
            <w:shd w:val="clear" w:color="auto" w:fill="auto"/>
          </w:tcPr>
          <w:p w:rsidR="004F534F" w:rsidRPr="00BD577A" w:rsidRDefault="004F534F">
            <w:pPr>
              <w:tabs>
                <w:tab w:val="right" w:pos="660"/>
              </w:tabs>
              <w:spacing w:before="40" w:after="40"/>
              <w:ind w:right="339"/>
              <w:jc w:val="center"/>
              <w:rPr>
                <w:sz w:val="20"/>
              </w:rPr>
            </w:pP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Depression</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4%</w:t>
            </w:r>
          </w:p>
        </w:tc>
        <w:tc>
          <w:tcPr>
            <w:tcW w:w="1643" w:type="dxa"/>
            <w:tcBorders>
              <w:top w:val="nil"/>
              <w:left w:val="nil"/>
              <w:bottom w:val="nil"/>
              <w:right w:val="nil"/>
            </w:tcBorders>
            <w:shd w:val="clear" w:color="auto" w:fill="auto"/>
          </w:tcPr>
          <w:p w:rsidR="004F534F" w:rsidRPr="00BD577A" w:rsidRDefault="004F534F">
            <w:pPr>
              <w:tabs>
                <w:tab w:val="left" w:pos="0"/>
                <w:tab w:val="left" w:pos="1427"/>
              </w:tabs>
              <w:spacing w:before="40" w:after="40"/>
              <w:ind w:right="-63"/>
              <w:jc w:val="center"/>
              <w:rPr>
                <w:sz w:val="20"/>
              </w:rPr>
            </w:pPr>
            <w:r w:rsidRPr="00BD577A">
              <w:rPr>
                <w:sz w:val="20"/>
              </w:rPr>
              <w:t>3%</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0"/>
              </w:tabs>
              <w:spacing w:before="40" w:after="40"/>
              <w:ind w:right="-131"/>
              <w:jc w:val="center"/>
              <w:rPr>
                <w:sz w:val="20"/>
              </w:rPr>
            </w:pPr>
            <w:r w:rsidRPr="00BD577A">
              <w:rPr>
                <w:sz w:val="20"/>
              </w:rPr>
              <w:t>8%</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 w:val="left" w:pos="1445"/>
              </w:tabs>
              <w:spacing w:before="40" w:after="40"/>
              <w:ind w:right="-18"/>
              <w:jc w:val="center"/>
              <w:rPr>
                <w:sz w:val="20"/>
              </w:rPr>
            </w:pPr>
            <w:r w:rsidRPr="00BD577A">
              <w:rPr>
                <w:sz w:val="20"/>
              </w:rPr>
              <w:t>4%</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Insomnia</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3%</w:t>
            </w:r>
          </w:p>
        </w:tc>
        <w:tc>
          <w:tcPr>
            <w:tcW w:w="1643" w:type="dxa"/>
            <w:tcBorders>
              <w:top w:val="nil"/>
              <w:left w:val="nil"/>
              <w:bottom w:val="nil"/>
              <w:right w:val="nil"/>
            </w:tcBorders>
            <w:shd w:val="clear" w:color="auto" w:fill="auto"/>
          </w:tcPr>
          <w:p w:rsidR="004F534F" w:rsidRPr="00BD577A" w:rsidRDefault="004F534F">
            <w:pPr>
              <w:tabs>
                <w:tab w:val="left" w:pos="0"/>
                <w:tab w:val="left" w:pos="1427"/>
              </w:tabs>
              <w:spacing w:before="40" w:after="40"/>
              <w:ind w:right="-63"/>
              <w:jc w:val="center"/>
              <w:rPr>
                <w:sz w:val="20"/>
              </w:rPr>
            </w:pPr>
            <w:r w:rsidRPr="00BD577A">
              <w:rPr>
                <w:sz w:val="20"/>
              </w:rPr>
              <w:t>2%</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0"/>
              </w:tabs>
              <w:spacing w:before="40" w:after="40"/>
              <w:ind w:right="-131"/>
              <w:jc w:val="center"/>
              <w:rPr>
                <w:sz w:val="20"/>
              </w:rPr>
            </w:pPr>
            <w:r w:rsidRPr="00BD577A">
              <w:rPr>
                <w:sz w:val="20"/>
              </w:rPr>
              <w:t>4%</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 w:val="left" w:pos="1445"/>
              </w:tabs>
              <w:spacing w:before="40" w:after="40"/>
              <w:ind w:right="-18"/>
              <w:jc w:val="center"/>
              <w:rPr>
                <w:sz w:val="20"/>
              </w:rPr>
            </w:pPr>
            <w:r w:rsidRPr="00BD577A">
              <w:rPr>
                <w:sz w:val="20"/>
              </w:rPr>
              <w:t>4%</w:t>
            </w:r>
          </w:p>
        </w:tc>
      </w:tr>
      <w:tr w:rsidR="004F534F" w:rsidRPr="00BD577A" w:rsidTr="00BD577A">
        <w:trPr>
          <w:trHeight w:val="441"/>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Peripheral Neuropathy</w:t>
            </w:r>
            <w:r w:rsidRPr="00BD577A">
              <w:rPr>
                <w:sz w:val="20"/>
                <w:vertAlign w:val="superscript"/>
              </w:rPr>
              <w:t>1</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3%</w:t>
            </w:r>
          </w:p>
        </w:tc>
        <w:tc>
          <w:tcPr>
            <w:tcW w:w="1643" w:type="dxa"/>
            <w:tcBorders>
              <w:top w:val="nil"/>
              <w:left w:val="nil"/>
              <w:bottom w:val="nil"/>
              <w:right w:val="nil"/>
            </w:tcBorders>
            <w:shd w:val="clear" w:color="auto" w:fill="auto"/>
          </w:tcPr>
          <w:p w:rsidR="004F534F" w:rsidRPr="00BD577A" w:rsidRDefault="004F534F">
            <w:pPr>
              <w:tabs>
                <w:tab w:val="left" w:pos="0"/>
                <w:tab w:val="left" w:pos="1427"/>
              </w:tabs>
              <w:spacing w:before="40" w:after="40"/>
              <w:ind w:right="-63"/>
              <w:jc w:val="center"/>
              <w:rPr>
                <w:sz w:val="20"/>
              </w:rPr>
            </w:pPr>
            <w:r w:rsidRPr="00BD577A">
              <w:rPr>
                <w:sz w:val="20"/>
              </w:rPr>
              <w:t>3%</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0"/>
              </w:tabs>
              <w:spacing w:before="40" w:after="40"/>
              <w:ind w:right="-131"/>
              <w:jc w:val="center"/>
              <w:rPr>
                <w:sz w:val="20"/>
              </w:rPr>
            </w:pPr>
            <w:r w:rsidRPr="00BD577A">
              <w:rPr>
                <w:sz w:val="20"/>
              </w:rPr>
              <w:t>5%</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 w:val="left" w:pos="1445"/>
              </w:tabs>
              <w:spacing w:before="40" w:after="40"/>
              <w:ind w:right="-18"/>
              <w:jc w:val="center"/>
              <w:rPr>
                <w:sz w:val="20"/>
              </w:rPr>
            </w:pPr>
            <w:r w:rsidRPr="00BD577A">
              <w:rPr>
                <w:sz w:val="20"/>
              </w:rPr>
              <w:t>2%</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Dizziness</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1%</w:t>
            </w:r>
          </w:p>
        </w:tc>
        <w:tc>
          <w:tcPr>
            <w:tcW w:w="1643" w:type="dxa"/>
            <w:tcBorders>
              <w:top w:val="nil"/>
              <w:left w:val="nil"/>
              <w:bottom w:val="nil"/>
              <w:right w:val="nil"/>
            </w:tcBorders>
            <w:shd w:val="clear" w:color="auto" w:fill="auto"/>
          </w:tcPr>
          <w:p w:rsidR="004F534F" w:rsidRPr="00BD577A" w:rsidRDefault="004F534F">
            <w:pPr>
              <w:tabs>
                <w:tab w:val="left" w:pos="0"/>
                <w:tab w:val="left" w:pos="1427"/>
              </w:tabs>
              <w:spacing w:before="40" w:after="40"/>
              <w:ind w:right="-63"/>
              <w:jc w:val="center"/>
              <w:rPr>
                <w:sz w:val="20"/>
              </w:rPr>
            </w:pPr>
            <w:r w:rsidRPr="00BD577A">
              <w:rPr>
                <w:sz w:val="20"/>
              </w:rPr>
              <w:t>3%</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0"/>
              </w:tabs>
              <w:spacing w:before="40" w:after="40"/>
              <w:ind w:right="-131"/>
              <w:jc w:val="center"/>
              <w:rPr>
                <w:sz w:val="20"/>
              </w:rPr>
            </w:pPr>
            <w:r w:rsidRPr="00BD577A">
              <w:rPr>
                <w:sz w:val="20"/>
              </w:rPr>
              <w:t>3%</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 w:val="left" w:pos="1445"/>
              </w:tabs>
              <w:spacing w:before="40" w:after="40"/>
              <w:ind w:right="-18"/>
              <w:jc w:val="center"/>
              <w:rPr>
                <w:sz w:val="20"/>
              </w:rPr>
            </w:pPr>
            <w:r w:rsidRPr="00BD577A">
              <w:rPr>
                <w:sz w:val="20"/>
              </w:rPr>
              <w:t>1%</w:t>
            </w:r>
          </w:p>
        </w:tc>
      </w:tr>
      <w:tr w:rsidR="004F534F" w:rsidRPr="00BD577A" w:rsidTr="00BD577A">
        <w:trPr>
          <w:tblHeader/>
        </w:trPr>
        <w:tc>
          <w:tcPr>
            <w:tcW w:w="2340" w:type="dxa"/>
            <w:tcBorders>
              <w:top w:val="single" w:sz="4" w:space="0" w:color="auto"/>
              <w:left w:val="single" w:sz="4" w:space="0" w:color="auto"/>
              <w:bottom w:val="nil"/>
              <w:right w:val="nil"/>
            </w:tcBorders>
            <w:shd w:val="clear" w:color="auto" w:fill="auto"/>
            <w:vAlign w:val="center"/>
          </w:tcPr>
          <w:p w:rsidR="004F534F" w:rsidRPr="00BD577A" w:rsidRDefault="004F534F">
            <w:pPr>
              <w:pStyle w:val="CommentText"/>
              <w:spacing w:before="40" w:after="40"/>
              <w:rPr>
                <w:lang w:val="en-AU"/>
              </w:rPr>
            </w:pPr>
            <w:r w:rsidRPr="00BD577A">
              <w:rPr>
                <w:lang w:val="en-AU"/>
              </w:rPr>
              <w:t>Skin and Appendage</w:t>
            </w: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p>
        </w:tc>
        <w:tc>
          <w:tcPr>
            <w:tcW w:w="1643" w:type="dxa"/>
            <w:tcBorders>
              <w:top w:val="single" w:sz="4" w:space="0" w:color="auto"/>
              <w:left w:val="nil"/>
              <w:bottom w:val="nil"/>
              <w:right w:val="nil"/>
            </w:tcBorders>
            <w:shd w:val="clear" w:color="auto" w:fill="auto"/>
          </w:tcPr>
          <w:p w:rsidR="004F534F" w:rsidRPr="00BD577A" w:rsidRDefault="004F534F">
            <w:pPr>
              <w:tabs>
                <w:tab w:val="left" w:pos="658"/>
              </w:tabs>
              <w:spacing w:before="40" w:after="40"/>
              <w:ind w:right="340"/>
              <w:jc w:val="center"/>
              <w:rPr>
                <w:sz w:val="20"/>
              </w:rPr>
            </w:pP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794"/>
              </w:tabs>
              <w:spacing w:before="40" w:after="40"/>
              <w:ind w:right="358"/>
              <w:jc w:val="center"/>
              <w:rPr>
                <w:sz w:val="20"/>
              </w:rPr>
            </w:pPr>
          </w:p>
        </w:tc>
        <w:tc>
          <w:tcPr>
            <w:tcW w:w="1643" w:type="dxa"/>
            <w:tcBorders>
              <w:top w:val="single" w:sz="4" w:space="0" w:color="auto"/>
              <w:left w:val="nil"/>
              <w:bottom w:val="nil"/>
              <w:right w:val="single" w:sz="4" w:space="0" w:color="auto"/>
            </w:tcBorders>
            <w:shd w:val="clear" w:color="auto" w:fill="auto"/>
          </w:tcPr>
          <w:p w:rsidR="004F534F" w:rsidRPr="00BD577A" w:rsidRDefault="004F534F">
            <w:pPr>
              <w:tabs>
                <w:tab w:val="right" w:pos="660"/>
              </w:tabs>
              <w:spacing w:before="40" w:after="40"/>
              <w:ind w:right="339"/>
              <w:jc w:val="center"/>
              <w:rPr>
                <w:sz w:val="20"/>
              </w:rPr>
            </w:pP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Rash Event</w:t>
            </w:r>
            <w:r w:rsidRPr="00BD577A">
              <w:rPr>
                <w:sz w:val="20"/>
                <w:vertAlign w:val="superscript"/>
              </w:rPr>
              <w:t>2</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5%</w:t>
            </w:r>
          </w:p>
        </w:tc>
        <w:tc>
          <w:tcPr>
            <w:tcW w:w="1643" w:type="dxa"/>
            <w:tcBorders>
              <w:top w:val="nil"/>
              <w:left w:val="nil"/>
              <w:bottom w:val="nil"/>
              <w:right w:val="nil"/>
            </w:tcBorders>
            <w:shd w:val="clear" w:color="auto" w:fill="auto"/>
          </w:tcPr>
          <w:p w:rsidR="004F534F" w:rsidRPr="00BD577A" w:rsidRDefault="004F534F">
            <w:pPr>
              <w:tabs>
                <w:tab w:val="left" w:pos="-40"/>
              </w:tabs>
              <w:spacing w:before="40" w:after="40"/>
              <w:jc w:val="center"/>
              <w:rPr>
                <w:sz w:val="20"/>
              </w:rPr>
            </w:pPr>
            <w:r w:rsidRPr="00BD577A">
              <w:rPr>
                <w:sz w:val="20"/>
              </w:rPr>
              <w:t>4%</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spacing w:before="40" w:after="40"/>
              <w:ind w:right="-131"/>
              <w:jc w:val="center"/>
              <w:rPr>
                <w:sz w:val="20"/>
              </w:rPr>
            </w:pPr>
            <w:r w:rsidRPr="00BD577A">
              <w:rPr>
                <w:sz w:val="20"/>
              </w:rPr>
              <w:t>7%</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s>
              <w:spacing w:before="40" w:after="40"/>
              <w:ind w:right="-108"/>
              <w:jc w:val="center"/>
              <w:rPr>
                <w:sz w:val="20"/>
              </w:rPr>
            </w:pPr>
            <w:r w:rsidRPr="00BD577A">
              <w:rPr>
                <w:sz w:val="20"/>
              </w:rPr>
              <w:t>1%</w:t>
            </w:r>
          </w:p>
        </w:tc>
      </w:tr>
      <w:tr w:rsidR="004F534F" w:rsidRPr="00BD577A" w:rsidTr="00BD577A">
        <w:trPr>
          <w:trHeight w:val="240"/>
          <w:tblHeader/>
        </w:trPr>
        <w:tc>
          <w:tcPr>
            <w:tcW w:w="2340" w:type="dxa"/>
            <w:tcBorders>
              <w:top w:val="nil"/>
              <w:left w:val="single" w:sz="4" w:space="0" w:color="auto"/>
              <w:bottom w:val="nil"/>
              <w:right w:val="nil"/>
            </w:tcBorders>
            <w:shd w:val="clear" w:color="auto" w:fill="auto"/>
          </w:tcPr>
          <w:p w:rsidR="004F534F" w:rsidRPr="00BD577A" w:rsidRDefault="004F534F">
            <w:pPr>
              <w:spacing w:before="40" w:after="40"/>
              <w:ind w:left="360"/>
              <w:rPr>
                <w:sz w:val="20"/>
              </w:rPr>
            </w:pPr>
            <w:r w:rsidRPr="00BD577A">
              <w:rPr>
                <w:sz w:val="20"/>
              </w:rPr>
              <w:t>Sweating</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3%</w:t>
            </w:r>
          </w:p>
        </w:tc>
        <w:tc>
          <w:tcPr>
            <w:tcW w:w="1643" w:type="dxa"/>
            <w:tcBorders>
              <w:top w:val="nil"/>
              <w:left w:val="nil"/>
              <w:bottom w:val="nil"/>
              <w:right w:val="nil"/>
            </w:tcBorders>
            <w:shd w:val="clear" w:color="auto" w:fill="auto"/>
          </w:tcPr>
          <w:p w:rsidR="004F534F" w:rsidRPr="00BD577A" w:rsidRDefault="004F534F">
            <w:pPr>
              <w:tabs>
                <w:tab w:val="left" w:pos="-40"/>
              </w:tabs>
              <w:spacing w:before="40" w:after="40"/>
              <w:jc w:val="center"/>
              <w:rPr>
                <w:sz w:val="20"/>
              </w:rPr>
            </w:pPr>
            <w:r w:rsidRPr="00BD577A">
              <w:rPr>
                <w:sz w:val="20"/>
              </w:rPr>
              <w:t>2%</w:t>
            </w:r>
          </w:p>
        </w:tc>
        <w:tc>
          <w:tcPr>
            <w:tcW w:w="1642" w:type="dxa"/>
            <w:tcBorders>
              <w:top w:val="nil"/>
              <w:left w:val="single" w:sz="4" w:space="0" w:color="auto"/>
              <w:bottom w:val="nil"/>
              <w:right w:val="single" w:sz="4" w:space="0" w:color="auto"/>
            </w:tcBorders>
            <w:shd w:val="clear" w:color="auto" w:fill="auto"/>
          </w:tcPr>
          <w:p w:rsidR="004F534F" w:rsidRPr="00BD577A" w:rsidRDefault="004F534F">
            <w:pPr>
              <w:spacing w:before="40" w:after="40"/>
              <w:ind w:right="-131"/>
              <w:jc w:val="center"/>
              <w:rPr>
                <w:sz w:val="20"/>
              </w:rPr>
            </w:pPr>
            <w:r w:rsidRPr="00BD577A">
              <w:rPr>
                <w:sz w:val="20"/>
              </w:rPr>
              <w:t>3%</w:t>
            </w:r>
          </w:p>
        </w:tc>
        <w:tc>
          <w:tcPr>
            <w:tcW w:w="1643" w:type="dxa"/>
            <w:tcBorders>
              <w:top w:val="nil"/>
              <w:left w:val="nil"/>
              <w:bottom w:val="nil"/>
              <w:right w:val="single" w:sz="4" w:space="0" w:color="auto"/>
            </w:tcBorders>
            <w:shd w:val="clear" w:color="auto" w:fill="auto"/>
          </w:tcPr>
          <w:p w:rsidR="004F534F" w:rsidRPr="00BD577A" w:rsidRDefault="004F534F">
            <w:pPr>
              <w:tabs>
                <w:tab w:val="right" w:pos="5"/>
              </w:tabs>
              <w:spacing w:before="40" w:after="40"/>
              <w:ind w:right="-108"/>
              <w:jc w:val="center"/>
              <w:rPr>
                <w:sz w:val="20"/>
              </w:rPr>
            </w:pPr>
            <w:r w:rsidRPr="00BD577A">
              <w:rPr>
                <w:sz w:val="20"/>
              </w:rPr>
              <w:t>1%</w:t>
            </w:r>
          </w:p>
        </w:tc>
      </w:tr>
      <w:tr w:rsidR="004F534F" w:rsidRPr="00BD577A" w:rsidTr="00BD577A">
        <w:trPr>
          <w:tblHeader/>
        </w:trPr>
        <w:tc>
          <w:tcPr>
            <w:tcW w:w="2340" w:type="dxa"/>
            <w:tcBorders>
              <w:top w:val="single" w:sz="4" w:space="0" w:color="auto"/>
              <w:left w:val="single" w:sz="4" w:space="0" w:color="auto"/>
              <w:bottom w:val="nil"/>
              <w:right w:val="nil"/>
            </w:tcBorders>
            <w:shd w:val="clear" w:color="auto" w:fill="auto"/>
            <w:vAlign w:val="center"/>
          </w:tcPr>
          <w:p w:rsidR="004F534F" w:rsidRPr="00BD577A" w:rsidRDefault="004F534F">
            <w:pPr>
              <w:spacing w:before="60" w:after="40"/>
              <w:rPr>
                <w:sz w:val="20"/>
              </w:rPr>
            </w:pPr>
            <w:r w:rsidRPr="00BD577A">
              <w:rPr>
                <w:sz w:val="20"/>
              </w:rPr>
              <w:t>Musculoskeletal</w:t>
            </w: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p>
        </w:tc>
        <w:tc>
          <w:tcPr>
            <w:tcW w:w="1643" w:type="dxa"/>
            <w:tcBorders>
              <w:top w:val="single" w:sz="4" w:space="0" w:color="auto"/>
              <w:left w:val="nil"/>
              <w:bottom w:val="nil"/>
              <w:right w:val="nil"/>
            </w:tcBorders>
            <w:shd w:val="clear" w:color="auto" w:fill="auto"/>
          </w:tcPr>
          <w:p w:rsidR="004F534F" w:rsidRPr="00BD577A" w:rsidRDefault="004F534F">
            <w:pPr>
              <w:tabs>
                <w:tab w:val="left" w:pos="658"/>
              </w:tabs>
              <w:spacing w:before="40" w:after="40"/>
              <w:ind w:right="340"/>
              <w:jc w:val="center"/>
              <w:rPr>
                <w:sz w:val="20"/>
              </w:rPr>
            </w:pP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794"/>
              </w:tabs>
              <w:spacing w:before="40" w:after="40"/>
              <w:ind w:right="358"/>
              <w:jc w:val="center"/>
              <w:rPr>
                <w:sz w:val="20"/>
              </w:rPr>
            </w:pPr>
          </w:p>
        </w:tc>
        <w:tc>
          <w:tcPr>
            <w:tcW w:w="1643" w:type="dxa"/>
            <w:tcBorders>
              <w:top w:val="single" w:sz="4" w:space="0" w:color="auto"/>
              <w:left w:val="nil"/>
              <w:bottom w:val="nil"/>
              <w:right w:val="single" w:sz="4" w:space="0" w:color="auto"/>
            </w:tcBorders>
            <w:shd w:val="clear" w:color="auto" w:fill="auto"/>
          </w:tcPr>
          <w:p w:rsidR="004F534F" w:rsidRPr="00BD577A" w:rsidRDefault="004F534F">
            <w:pPr>
              <w:tabs>
                <w:tab w:val="right" w:pos="660"/>
              </w:tabs>
              <w:spacing w:before="40" w:after="40"/>
              <w:ind w:right="339"/>
              <w:jc w:val="center"/>
              <w:rPr>
                <w:sz w:val="20"/>
              </w:rPr>
            </w:pPr>
          </w:p>
        </w:tc>
      </w:tr>
      <w:tr w:rsidR="004F534F" w:rsidRPr="00BD577A" w:rsidTr="00BD577A">
        <w:trPr>
          <w:trHeight w:val="240"/>
          <w:tblHeader/>
        </w:trPr>
        <w:tc>
          <w:tcPr>
            <w:tcW w:w="2340" w:type="dxa"/>
            <w:tcBorders>
              <w:top w:val="nil"/>
              <w:left w:val="single" w:sz="4" w:space="0" w:color="auto"/>
              <w:bottom w:val="single" w:sz="4" w:space="0" w:color="auto"/>
              <w:right w:val="nil"/>
            </w:tcBorders>
            <w:shd w:val="clear" w:color="auto" w:fill="auto"/>
          </w:tcPr>
          <w:p w:rsidR="004F534F" w:rsidRPr="00BD577A" w:rsidRDefault="004F534F">
            <w:pPr>
              <w:spacing w:before="40" w:after="40"/>
              <w:ind w:left="360"/>
              <w:rPr>
                <w:sz w:val="20"/>
              </w:rPr>
            </w:pPr>
            <w:r w:rsidRPr="00BD577A">
              <w:rPr>
                <w:sz w:val="20"/>
              </w:rPr>
              <w:t>Myalgia</w:t>
            </w:r>
          </w:p>
        </w:tc>
        <w:tc>
          <w:tcPr>
            <w:tcW w:w="1642" w:type="dxa"/>
            <w:tcBorders>
              <w:top w:val="nil"/>
              <w:left w:val="single" w:sz="4" w:space="0" w:color="auto"/>
              <w:bottom w:val="single" w:sz="4" w:space="0" w:color="auto"/>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3%</w:t>
            </w:r>
          </w:p>
        </w:tc>
        <w:tc>
          <w:tcPr>
            <w:tcW w:w="1643" w:type="dxa"/>
            <w:tcBorders>
              <w:top w:val="nil"/>
              <w:left w:val="nil"/>
              <w:bottom w:val="single" w:sz="4" w:space="0" w:color="auto"/>
              <w:right w:val="nil"/>
            </w:tcBorders>
            <w:shd w:val="clear" w:color="auto" w:fill="auto"/>
          </w:tcPr>
          <w:p w:rsidR="004F534F" w:rsidRPr="00BD577A" w:rsidRDefault="004F534F">
            <w:pPr>
              <w:tabs>
                <w:tab w:val="left" w:pos="0"/>
                <w:tab w:val="left" w:pos="1427"/>
              </w:tabs>
              <w:spacing w:before="40" w:after="40"/>
              <w:ind w:right="-63"/>
              <w:jc w:val="center"/>
              <w:rPr>
                <w:sz w:val="20"/>
              </w:rPr>
            </w:pPr>
            <w:r w:rsidRPr="00BD577A">
              <w:rPr>
                <w:sz w:val="20"/>
              </w:rPr>
              <w:t>3%</w:t>
            </w:r>
          </w:p>
        </w:tc>
        <w:tc>
          <w:tcPr>
            <w:tcW w:w="1642" w:type="dxa"/>
            <w:tcBorders>
              <w:top w:val="nil"/>
              <w:left w:val="single" w:sz="4" w:space="0" w:color="auto"/>
              <w:bottom w:val="single" w:sz="4" w:space="0" w:color="auto"/>
              <w:right w:val="single" w:sz="4" w:space="0" w:color="auto"/>
            </w:tcBorders>
            <w:shd w:val="clear" w:color="auto" w:fill="auto"/>
          </w:tcPr>
          <w:p w:rsidR="004F534F" w:rsidRPr="00BD577A" w:rsidRDefault="004F534F">
            <w:pPr>
              <w:tabs>
                <w:tab w:val="right" w:pos="-63"/>
              </w:tabs>
              <w:spacing w:before="40" w:after="40"/>
              <w:ind w:right="-41"/>
              <w:jc w:val="center"/>
              <w:rPr>
                <w:sz w:val="20"/>
              </w:rPr>
            </w:pPr>
            <w:r w:rsidRPr="00BD577A">
              <w:rPr>
                <w:sz w:val="20"/>
              </w:rPr>
              <w:t>4%</w:t>
            </w:r>
          </w:p>
        </w:tc>
        <w:tc>
          <w:tcPr>
            <w:tcW w:w="1643" w:type="dxa"/>
            <w:tcBorders>
              <w:top w:val="nil"/>
              <w:left w:val="nil"/>
              <w:bottom w:val="single" w:sz="4" w:space="0" w:color="auto"/>
              <w:right w:val="single" w:sz="4" w:space="0" w:color="auto"/>
            </w:tcBorders>
            <w:shd w:val="clear" w:color="auto" w:fill="auto"/>
          </w:tcPr>
          <w:p w:rsidR="004F534F" w:rsidRPr="00BD577A" w:rsidRDefault="004F534F">
            <w:pPr>
              <w:tabs>
                <w:tab w:val="right" w:pos="5"/>
              </w:tabs>
              <w:spacing w:before="40" w:after="40"/>
              <w:ind w:right="-108"/>
              <w:jc w:val="center"/>
              <w:rPr>
                <w:sz w:val="20"/>
              </w:rPr>
            </w:pPr>
            <w:r w:rsidRPr="00BD577A">
              <w:rPr>
                <w:sz w:val="20"/>
              </w:rPr>
              <w:t>1%</w:t>
            </w:r>
          </w:p>
        </w:tc>
      </w:tr>
      <w:tr w:rsidR="004F534F" w:rsidRPr="00BD577A" w:rsidTr="00BD577A">
        <w:trPr>
          <w:tblHeader/>
        </w:trPr>
        <w:tc>
          <w:tcPr>
            <w:tcW w:w="2340" w:type="dxa"/>
            <w:tcBorders>
              <w:top w:val="single" w:sz="4" w:space="0" w:color="auto"/>
              <w:left w:val="single" w:sz="4" w:space="0" w:color="auto"/>
              <w:bottom w:val="nil"/>
              <w:right w:val="nil"/>
            </w:tcBorders>
            <w:shd w:val="clear" w:color="auto" w:fill="auto"/>
            <w:vAlign w:val="center"/>
          </w:tcPr>
          <w:p w:rsidR="004F534F" w:rsidRPr="00BD577A" w:rsidRDefault="004F534F">
            <w:pPr>
              <w:pStyle w:val="CommentText"/>
              <w:spacing w:before="40" w:after="40"/>
              <w:rPr>
                <w:lang w:val="en-AU"/>
              </w:rPr>
            </w:pPr>
            <w:r w:rsidRPr="00BD577A">
              <w:rPr>
                <w:lang w:val="en-AU"/>
              </w:rPr>
              <w:t>Metabolic</w:t>
            </w: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18"/>
              </w:tabs>
              <w:spacing w:before="40" w:after="40"/>
              <w:jc w:val="center"/>
              <w:rPr>
                <w:sz w:val="20"/>
              </w:rPr>
            </w:pPr>
          </w:p>
        </w:tc>
        <w:tc>
          <w:tcPr>
            <w:tcW w:w="1643" w:type="dxa"/>
            <w:tcBorders>
              <w:top w:val="single" w:sz="4" w:space="0" w:color="auto"/>
              <w:left w:val="nil"/>
              <w:bottom w:val="nil"/>
              <w:right w:val="nil"/>
            </w:tcBorders>
            <w:shd w:val="clear" w:color="auto" w:fill="auto"/>
          </w:tcPr>
          <w:p w:rsidR="004F534F" w:rsidRPr="00BD577A" w:rsidRDefault="004F534F">
            <w:pPr>
              <w:tabs>
                <w:tab w:val="left" w:pos="658"/>
              </w:tabs>
              <w:spacing w:before="40" w:after="40"/>
              <w:ind w:right="340"/>
              <w:jc w:val="center"/>
              <w:rPr>
                <w:sz w:val="20"/>
              </w:rPr>
            </w:pPr>
          </w:p>
        </w:tc>
        <w:tc>
          <w:tcPr>
            <w:tcW w:w="1642" w:type="dxa"/>
            <w:tcBorders>
              <w:top w:val="single" w:sz="4" w:space="0" w:color="auto"/>
              <w:left w:val="single" w:sz="4" w:space="0" w:color="auto"/>
              <w:bottom w:val="nil"/>
              <w:right w:val="single" w:sz="4" w:space="0" w:color="auto"/>
            </w:tcBorders>
            <w:shd w:val="clear" w:color="auto" w:fill="auto"/>
          </w:tcPr>
          <w:p w:rsidR="004F534F" w:rsidRPr="00BD577A" w:rsidRDefault="004F534F">
            <w:pPr>
              <w:tabs>
                <w:tab w:val="right" w:pos="794"/>
              </w:tabs>
              <w:spacing w:before="40" w:after="40"/>
              <w:ind w:right="358"/>
              <w:jc w:val="center"/>
              <w:rPr>
                <w:sz w:val="20"/>
              </w:rPr>
            </w:pPr>
          </w:p>
        </w:tc>
        <w:tc>
          <w:tcPr>
            <w:tcW w:w="1643" w:type="dxa"/>
            <w:tcBorders>
              <w:top w:val="single" w:sz="4" w:space="0" w:color="auto"/>
              <w:left w:val="nil"/>
              <w:bottom w:val="nil"/>
              <w:right w:val="single" w:sz="4" w:space="0" w:color="auto"/>
            </w:tcBorders>
            <w:shd w:val="clear" w:color="auto" w:fill="auto"/>
          </w:tcPr>
          <w:p w:rsidR="004F534F" w:rsidRPr="00BD577A" w:rsidRDefault="004F534F">
            <w:pPr>
              <w:tabs>
                <w:tab w:val="right" w:pos="660"/>
              </w:tabs>
              <w:spacing w:before="40" w:after="40"/>
              <w:ind w:right="339"/>
              <w:jc w:val="center"/>
              <w:rPr>
                <w:sz w:val="20"/>
              </w:rPr>
            </w:pPr>
          </w:p>
        </w:tc>
      </w:tr>
      <w:tr w:rsidR="004F534F" w:rsidRPr="00BD577A" w:rsidTr="00BD577A">
        <w:trPr>
          <w:trHeight w:val="240"/>
          <w:tblHeader/>
        </w:trPr>
        <w:tc>
          <w:tcPr>
            <w:tcW w:w="2340" w:type="dxa"/>
            <w:tcBorders>
              <w:top w:val="nil"/>
              <w:left w:val="single" w:sz="4" w:space="0" w:color="auto"/>
              <w:bottom w:val="single" w:sz="4" w:space="0" w:color="auto"/>
              <w:right w:val="nil"/>
            </w:tcBorders>
            <w:shd w:val="clear" w:color="auto" w:fill="auto"/>
          </w:tcPr>
          <w:p w:rsidR="004F534F" w:rsidRPr="00BD577A" w:rsidRDefault="004F534F">
            <w:pPr>
              <w:spacing w:before="40" w:after="40"/>
              <w:ind w:left="360"/>
              <w:rPr>
                <w:sz w:val="20"/>
              </w:rPr>
            </w:pPr>
            <w:r w:rsidRPr="00BD577A">
              <w:rPr>
                <w:sz w:val="20"/>
              </w:rPr>
              <w:t>Weight Loss</w:t>
            </w:r>
          </w:p>
        </w:tc>
        <w:tc>
          <w:tcPr>
            <w:tcW w:w="1642" w:type="dxa"/>
            <w:tcBorders>
              <w:top w:val="nil"/>
              <w:left w:val="single" w:sz="4" w:space="0" w:color="auto"/>
              <w:bottom w:val="single" w:sz="4" w:space="0" w:color="auto"/>
              <w:right w:val="single" w:sz="4" w:space="0" w:color="auto"/>
            </w:tcBorders>
            <w:shd w:val="clear" w:color="auto" w:fill="auto"/>
          </w:tcPr>
          <w:p w:rsidR="004F534F" w:rsidRPr="00BD577A" w:rsidRDefault="004F534F">
            <w:pPr>
              <w:tabs>
                <w:tab w:val="right" w:pos="-18"/>
              </w:tabs>
              <w:spacing w:before="40" w:after="40"/>
              <w:jc w:val="center"/>
              <w:rPr>
                <w:sz w:val="20"/>
              </w:rPr>
            </w:pPr>
            <w:r w:rsidRPr="00BD577A">
              <w:rPr>
                <w:sz w:val="20"/>
              </w:rPr>
              <w:t>2%</w:t>
            </w:r>
          </w:p>
        </w:tc>
        <w:tc>
          <w:tcPr>
            <w:tcW w:w="1643" w:type="dxa"/>
            <w:tcBorders>
              <w:top w:val="nil"/>
              <w:left w:val="nil"/>
              <w:bottom w:val="single" w:sz="4" w:space="0" w:color="auto"/>
              <w:right w:val="nil"/>
            </w:tcBorders>
            <w:shd w:val="clear" w:color="auto" w:fill="auto"/>
          </w:tcPr>
          <w:p w:rsidR="004F534F" w:rsidRPr="00BD577A" w:rsidRDefault="004F534F">
            <w:pPr>
              <w:tabs>
                <w:tab w:val="left" w:pos="0"/>
              </w:tabs>
              <w:spacing w:before="40" w:after="40"/>
              <w:ind w:right="-63"/>
              <w:jc w:val="center"/>
              <w:rPr>
                <w:sz w:val="20"/>
              </w:rPr>
            </w:pPr>
            <w:r w:rsidRPr="00BD577A">
              <w:rPr>
                <w:sz w:val="20"/>
              </w:rPr>
              <w:t>1%</w:t>
            </w:r>
          </w:p>
        </w:tc>
        <w:tc>
          <w:tcPr>
            <w:tcW w:w="1642" w:type="dxa"/>
            <w:tcBorders>
              <w:top w:val="nil"/>
              <w:left w:val="single" w:sz="4" w:space="0" w:color="auto"/>
              <w:bottom w:val="single" w:sz="4" w:space="0" w:color="auto"/>
              <w:right w:val="single" w:sz="4" w:space="0" w:color="auto"/>
            </w:tcBorders>
            <w:shd w:val="clear" w:color="auto" w:fill="auto"/>
          </w:tcPr>
          <w:p w:rsidR="004F534F" w:rsidRPr="00BD577A" w:rsidRDefault="004F534F">
            <w:pPr>
              <w:tabs>
                <w:tab w:val="right" w:pos="-153"/>
              </w:tabs>
              <w:spacing w:before="40" w:after="40"/>
              <w:ind w:right="-41"/>
              <w:jc w:val="center"/>
              <w:rPr>
                <w:sz w:val="20"/>
              </w:rPr>
            </w:pPr>
            <w:r w:rsidRPr="00BD577A">
              <w:rPr>
                <w:sz w:val="20"/>
              </w:rPr>
              <w:t>4%</w:t>
            </w:r>
          </w:p>
        </w:tc>
        <w:tc>
          <w:tcPr>
            <w:tcW w:w="1643" w:type="dxa"/>
            <w:tcBorders>
              <w:top w:val="nil"/>
              <w:left w:val="nil"/>
              <w:bottom w:val="single" w:sz="4" w:space="0" w:color="auto"/>
              <w:right w:val="single" w:sz="4" w:space="0" w:color="auto"/>
            </w:tcBorders>
            <w:shd w:val="clear" w:color="auto" w:fill="auto"/>
          </w:tcPr>
          <w:p w:rsidR="004F534F" w:rsidRPr="00BD577A" w:rsidRDefault="004F534F">
            <w:pPr>
              <w:tabs>
                <w:tab w:val="right" w:pos="5"/>
              </w:tabs>
              <w:spacing w:before="40" w:after="40"/>
              <w:ind w:right="-108"/>
              <w:jc w:val="center"/>
              <w:rPr>
                <w:sz w:val="20"/>
              </w:rPr>
            </w:pPr>
            <w:r w:rsidRPr="00BD577A">
              <w:rPr>
                <w:sz w:val="20"/>
              </w:rPr>
              <w:t>2%</w:t>
            </w:r>
          </w:p>
        </w:tc>
      </w:tr>
    </w:tbl>
    <w:p w:rsidR="004F534F" w:rsidRPr="00D83C46" w:rsidRDefault="004F534F" w:rsidP="004F534F">
      <w:pPr>
        <w:spacing w:before="60"/>
        <w:ind w:left="360" w:right="979" w:hanging="360"/>
        <w:rPr>
          <w:sz w:val="20"/>
        </w:rPr>
      </w:pPr>
      <w:r w:rsidRPr="00D83C46">
        <w:rPr>
          <w:sz w:val="20"/>
        </w:rPr>
        <w:t xml:space="preserve">1. </w:t>
      </w:r>
      <w:r w:rsidRPr="00D83C46">
        <w:rPr>
          <w:sz w:val="20"/>
        </w:rPr>
        <w:tab/>
        <w:t>Peripheral neuropathy includes peripheral neuritis and neuropathy.</w:t>
      </w:r>
    </w:p>
    <w:p w:rsidR="004F534F" w:rsidRPr="00D83C46" w:rsidRDefault="004F534F" w:rsidP="004F534F">
      <w:pPr>
        <w:spacing w:after="120"/>
        <w:ind w:left="360" w:right="979" w:hanging="360"/>
        <w:rPr>
          <w:sz w:val="20"/>
        </w:rPr>
      </w:pPr>
      <w:r w:rsidRPr="00D83C46">
        <w:rPr>
          <w:sz w:val="20"/>
        </w:rPr>
        <w:t xml:space="preserve">2. </w:t>
      </w:r>
      <w:r w:rsidRPr="00D83C46">
        <w:rPr>
          <w:sz w:val="20"/>
        </w:rPr>
        <w:tab/>
        <w:t xml:space="preserve">Rash event includes rash, pruritus, maculopapular rash, </w:t>
      </w:r>
      <w:proofErr w:type="spellStart"/>
      <w:r w:rsidRPr="00D83C46">
        <w:rPr>
          <w:sz w:val="20"/>
        </w:rPr>
        <w:t>urticaria</w:t>
      </w:r>
      <w:proofErr w:type="spellEnd"/>
      <w:r w:rsidRPr="00D83C46">
        <w:rPr>
          <w:sz w:val="20"/>
        </w:rPr>
        <w:t xml:space="preserve">, </w:t>
      </w:r>
      <w:proofErr w:type="spellStart"/>
      <w:r w:rsidRPr="00D83C46">
        <w:rPr>
          <w:sz w:val="20"/>
        </w:rPr>
        <w:t>vesiculobullous</w:t>
      </w:r>
      <w:proofErr w:type="spellEnd"/>
      <w:r w:rsidRPr="00D83C46">
        <w:rPr>
          <w:sz w:val="20"/>
        </w:rPr>
        <w:t xml:space="preserve"> rash, and pustular rash.</w:t>
      </w:r>
    </w:p>
    <w:p w:rsidR="00DD5949" w:rsidRPr="0064484A" w:rsidRDefault="00DD5949" w:rsidP="00CF5E15">
      <w:pPr>
        <w:rPr>
          <w:b/>
          <w:sz w:val="22"/>
          <w:szCs w:val="22"/>
        </w:rPr>
      </w:pPr>
    </w:p>
    <w:p w:rsidR="004F534F" w:rsidRPr="00315BD2" w:rsidRDefault="004F534F" w:rsidP="00CF5E15">
      <w:pPr>
        <w:rPr>
          <w:szCs w:val="24"/>
        </w:rPr>
      </w:pPr>
      <w:r w:rsidRPr="00315BD2">
        <w:rPr>
          <w:b/>
          <w:szCs w:val="24"/>
        </w:rPr>
        <w:lastRenderedPageBreak/>
        <w:t>Laboratory Abnormalities:</w:t>
      </w:r>
      <w:r w:rsidRPr="00315BD2">
        <w:rPr>
          <w:szCs w:val="24"/>
        </w:rPr>
        <w:t xml:space="preserve">  Laboratory abnormalities observed in this study occurred with similar frequency in the VIREAD and placebo-treated groups.  A summary of Grade 3 and 4 laboratory abnormalities is provided in</w:t>
      </w:r>
      <w:r w:rsidR="00DA5725" w:rsidRPr="00315BD2">
        <w:rPr>
          <w:szCs w:val="24"/>
        </w:rPr>
        <w:t xml:space="preserve"> Table 13</w:t>
      </w:r>
      <w:r w:rsidRPr="00315BD2">
        <w:rPr>
          <w:szCs w:val="24"/>
        </w:rPr>
        <w:t>.</w:t>
      </w:r>
    </w:p>
    <w:p w:rsidR="006972C1" w:rsidRPr="0064484A" w:rsidRDefault="006972C1" w:rsidP="00CF5E15">
      <w:pPr>
        <w:rPr>
          <w:sz w:val="22"/>
          <w:szCs w:val="22"/>
        </w:rPr>
      </w:pPr>
    </w:p>
    <w:p w:rsidR="004F534F" w:rsidRPr="0064484A" w:rsidRDefault="006972C1" w:rsidP="001A47BA">
      <w:pPr>
        <w:pStyle w:val="Caption"/>
      </w:pPr>
      <w:bookmarkStart w:id="15" w:name="_Ref159392315"/>
      <w:proofErr w:type="gramStart"/>
      <w:r>
        <w:t xml:space="preserve">Table </w:t>
      </w:r>
      <w:r>
        <w:fldChar w:fldCharType="begin"/>
      </w:r>
      <w:r>
        <w:instrText xml:space="preserve"> SEQ Table \* ARABIC </w:instrText>
      </w:r>
      <w:r>
        <w:fldChar w:fldCharType="separate"/>
      </w:r>
      <w:r w:rsidR="00440D32">
        <w:rPr>
          <w:noProof/>
        </w:rPr>
        <w:t>13</w:t>
      </w:r>
      <w:r>
        <w:fldChar w:fldCharType="end"/>
      </w:r>
      <w:bookmarkEnd w:id="15"/>
      <w:r w:rsidR="004F534F" w:rsidRPr="0064484A">
        <w:t>.</w:t>
      </w:r>
      <w:proofErr w:type="gramEnd"/>
      <w:r w:rsidR="004F534F" w:rsidRPr="0064484A">
        <w:tab/>
        <w:t xml:space="preserve">Grade 3 / 4 Laboratory Abnormalities Reported in </w:t>
      </w:r>
      <w:r w:rsidR="004F534F" w:rsidRPr="0064484A">
        <w:sym w:font="Symbol" w:char="00B3"/>
      </w:r>
      <w:r w:rsidR="004F534F" w:rsidRPr="0064484A">
        <w:t>1% of VIREAD-Treated Patients in Study 907 (0–48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394"/>
        <w:gridCol w:w="1394"/>
        <w:gridCol w:w="1394"/>
        <w:gridCol w:w="1395"/>
      </w:tblGrid>
      <w:tr w:rsidR="001E73C3" w:rsidRPr="00E7636B" w:rsidTr="00A72E9F">
        <w:tc>
          <w:tcPr>
            <w:tcW w:w="3420" w:type="dxa"/>
            <w:vMerge w:val="restart"/>
            <w:tcBorders>
              <w:top w:val="single" w:sz="4" w:space="0" w:color="auto"/>
              <w:left w:val="single" w:sz="4" w:space="0" w:color="auto"/>
              <w:right w:val="single" w:sz="4" w:space="0" w:color="auto"/>
            </w:tcBorders>
            <w:shd w:val="clear" w:color="auto" w:fill="auto"/>
          </w:tcPr>
          <w:p w:rsidR="001E73C3" w:rsidRPr="00D83C46" w:rsidRDefault="001E73C3">
            <w:pPr>
              <w:spacing w:before="60" w:after="60"/>
              <w:rPr>
                <w:szCs w:val="24"/>
              </w:rPr>
            </w:pP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1E73C3" w:rsidRPr="00D83C46" w:rsidRDefault="001E73C3">
            <w:pPr>
              <w:spacing w:before="60" w:after="60"/>
              <w:jc w:val="center"/>
              <w:rPr>
                <w:b/>
                <w:szCs w:val="24"/>
              </w:rPr>
            </w:pPr>
            <w:r w:rsidRPr="00D83C46">
              <w:rPr>
                <w:b/>
                <w:szCs w:val="24"/>
              </w:rPr>
              <w:t>VIREAD</w:t>
            </w:r>
            <w:r w:rsidRPr="00D83C46">
              <w:rPr>
                <w:b/>
                <w:szCs w:val="24"/>
              </w:rPr>
              <w:br/>
              <w:t>(N=368)</w:t>
            </w:r>
            <w:r w:rsidRPr="00D83C46">
              <w:rPr>
                <w:b/>
                <w:szCs w:val="24"/>
              </w:rPr>
              <w:br/>
              <w:t>(Week 0–24)</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1E73C3" w:rsidRPr="00D83C46" w:rsidRDefault="001E73C3">
            <w:pPr>
              <w:spacing w:before="60" w:after="60"/>
              <w:jc w:val="center"/>
              <w:rPr>
                <w:b/>
                <w:szCs w:val="24"/>
              </w:rPr>
            </w:pPr>
            <w:r w:rsidRPr="00D83C46">
              <w:rPr>
                <w:b/>
                <w:szCs w:val="24"/>
              </w:rPr>
              <w:t>Placebo</w:t>
            </w:r>
            <w:r w:rsidRPr="00D83C46">
              <w:rPr>
                <w:b/>
                <w:szCs w:val="24"/>
              </w:rPr>
              <w:br/>
              <w:t>(N=182)</w:t>
            </w:r>
            <w:r w:rsidRPr="00D83C46">
              <w:rPr>
                <w:b/>
                <w:szCs w:val="24"/>
              </w:rPr>
              <w:br/>
              <w:t>(Week 0–24)</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1E73C3" w:rsidRPr="00D83C46" w:rsidRDefault="001E73C3">
            <w:pPr>
              <w:spacing w:before="60" w:after="60"/>
              <w:jc w:val="center"/>
              <w:rPr>
                <w:b/>
                <w:szCs w:val="24"/>
              </w:rPr>
            </w:pPr>
            <w:r w:rsidRPr="00D83C46">
              <w:rPr>
                <w:b/>
                <w:szCs w:val="24"/>
              </w:rPr>
              <w:t>VIREAD</w:t>
            </w:r>
            <w:r w:rsidRPr="00D83C46">
              <w:rPr>
                <w:b/>
                <w:szCs w:val="24"/>
              </w:rPr>
              <w:br/>
              <w:t>(N=368)</w:t>
            </w:r>
            <w:r w:rsidRPr="00D83C46">
              <w:rPr>
                <w:b/>
                <w:szCs w:val="24"/>
              </w:rPr>
              <w:br/>
              <w:t>(Week 0–48)</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E73C3" w:rsidRPr="00D83C46" w:rsidRDefault="001E73C3">
            <w:pPr>
              <w:spacing w:before="60" w:after="60"/>
              <w:jc w:val="center"/>
              <w:rPr>
                <w:b/>
                <w:szCs w:val="24"/>
              </w:rPr>
            </w:pPr>
            <w:r w:rsidRPr="00D83C46">
              <w:rPr>
                <w:b/>
                <w:szCs w:val="24"/>
              </w:rPr>
              <w:t>Placebo Crossover to VIREAD</w:t>
            </w:r>
            <w:r w:rsidRPr="00D83C46">
              <w:rPr>
                <w:b/>
                <w:szCs w:val="24"/>
              </w:rPr>
              <w:br/>
              <w:t>(N=170)</w:t>
            </w:r>
            <w:r w:rsidRPr="00D83C46">
              <w:rPr>
                <w:b/>
                <w:szCs w:val="24"/>
              </w:rPr>
              <w:br/>
              <w:t>(Week 24–48)</w:t>
            </w:r>
          </w:p>
        </w:tc>
      </w:tr>
      <w:tr w:rsidR="001E73C3" w:rsidRPr="00E7636B" w:rsidTr="00A72E9F">
        <w:tc>
          <w:tcPr>
            <w:tcW w:w="3420" w:type="dxa"/>
            <w:vMerge/>
            <w:tcBorders>
              <w:left w:val="single" w:sz="4" w:space="0" w:color="auto"/>
              <w:bottom w:val="single" w:sz="4" w:space="0" w:color="auto"/>
              <w:right w:val="single" w:sz="4" w:space="0" w:color="auto"/>
            </w:tcBorders>
            <w:shd w:val="clear" w:color="auto" w:fill="auto"/>
          </w:tcPr>
          <w:p w:rsidR="001E73C3" w:rsidRPr="00D83C46" w:rsidRDefault="001E73C3">
            <w:pPr>
              <w:spacing w:before="60" w:after="60"/>
              <w:rPr>
                <w:szCs w:val="24"/>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1E73C3" w:rsidRPr="00D83C46" w:rsidRDefault="001E73C3">
            <w:pPr>
              <w:spacing w:before="60" w:after="60"/>
              <w:jc w:val="center"/>
              <w:rPr>
                <w:szCs w:val="24"/>
              </w:rPr>
            </w:pPr>
            <w:r w:rsidRPr="00D83C46">
              <w:rPr>
                <w:b/>
                <w:szCs w:val="24"/>
              </w:rPr>
              <w:t>(%)</w:t>
            </w: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1E73C3" w:rsidRPr="00D83C46" w:rsidRDefault="001E73C3">
            <w:pPr>
              <w:spacing w:before="60" w:after="60"/>
              <w:ind w:right="-110"/>
              <w:jc w:val="center"/>
              <w:rPr>
                <w:szCs w:val="24"/>
              </w:rPr>
            </w:pPr>
            <w:r w:rsidRPr="00D83C46">
              <w:rPr>
                <w:b/>
                <w:szCs w:val="24"/>
              </w:rPr>
              <w:t>(%)</w:t>
            </w: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1E73C3" w:rsidRPr="00D83C46" w:rsidRDefault="001E73C3">
            <w:pPr>
              <w:spacing w:before="60" w:after="60"/>
              <w:ind w:right="-66"/>
              <w:jc w:val="center"/>
              <w:rPr>
                <w:szCs w:val="24"/>
              </w:rPr>
            </w:pPr>
            <w:r w:rsidRPr="00D83C46">
              <w:rPr>
                <w:b/>
                <w:szCs w:val="24"/>
              </w:rPr>
              <w:t>(%)</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1E73C3" w:rsidRPr="00D83C46" w:rsidRDefault="001E73C3">
            <w:pPr>
              <w:spacing w:before="60" w:after="60"/>
              <w:ind w:right="-156"/>
              <w:jc w:val="center"/>
              <w:rPr>
                <w:szCs w:val="24"/>
              </w:rPr>
            </w:pPr>
            <w:r w:rsidRPr="00D83C46">
              <w:rPr>
                <w:b/>
                <w:szCs w:val="24"/>
              </w:rPr>
              <w:t>(%)</w:t>
            </w:r>
          </w:p>
        </w:tc>
      </w:tr>
      <w:tr w:rsidR="004F534F" w:rsidRPr="00E7636B">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rPr>
                <w:szCs w:val="24"/>
              </w:rPr>
            </w:pPr>
            <w:r w:rsidRPr="00D83C46">
              <w:rPr>
                <w:szCs w:val="24"/>
              </w:rPr>
              <w:t xml:space="preserve">Any </w:t>
            </w:r>
            <w:r w:rsidRPr="00D83C46">
              <w:rPr>
                <w:szCs w:val="24"/>
              </w:rPr>
              <w:sym w:font="Symbol" w:char="00B3"/>
            </w:r>
            <w:r w:rsidRPr="00D83C46">
              <w:rPr>
                <w:szCs w:val="24"/>
              </w:rPr>
              <w:t xml:space="preserve"> Grade 3 Laboratory Abnormality</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jc w:val="center"/>
              <w:rPr>
                <w:szCs w:val="24"/>
              </w:rPr>
            </w:pPr>
            <w:r w:rsidRPr="00D83C46">
              <w:rPr>
                <w:szCs w:val="24"/>
              </w:rPr>
              <w:t>25%</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ind w:right="-110"/>
              <w:jc w:val="center"/>
              <w:rPr>
                <w:szCs w:val="24"/>
              </w:rPr>
            </w:pPr>
            <w:r w:rsidRPr="00D83C46">
              <w:rPr>
                <w:szCs w:val="24"/>
              </w:rPr>
              <w:t>38%</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64"/>
              </w:tabs>
              <w:spacing w:before="60" w:after="60"/>
              <w:ind w:right="-156"/>
              <w:jc w:val="center"/>
              <w:rPr>
                <w:szCs w:val="24"/>
              </w:rPr>
            </w:pPr>
            <w:r w:rsidRPr="00D83C46">
              <w:rPr>
                <w:szCs w:val="24"/>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20"/>
              </w:tabs>
              <w:spacing w:before="60" w:after="60"/>
              <w:ind w:right="-156"/>
              <w:jc w:val="center"/>
              <w:rPr>
                <w:szCs w:val="24"/>
              </w:rPr>
            </w:pPr>
            <w:r w:rsidRPr="00D83C46">
              <w:rPr>
                <w:szCs w:val="24"/>
              </w:rPr>
              <w:t>34%</w:t>
            </w:r>
          </w:p>
        </w:tc>
      </w:tr>
      <w:tr w:rsidR="004F534F" w:rsidRPr="00E7636B">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rPr>
                <w:szCs w:val="24"/>
              </w:rPr>
            </w:pPr>
            <w:r w:rsidRPr="00D83C46">
              <w:rPr>
                <w:szCs w:val="24"/>
              </w:rPr>
              <w:t>Triglycerides (&gt;750 mg/</w:t>
            </w:r>
            <w:proofErr w:type="spellStart"/>
            <w:r w:rsidRPr="00D83C46">
              <w:rPr>
                <w:szCs w:val="24"/>
              </w:rPr>
              <w:t>dL</w:t>
            </w:r>
            <w:proofErr w:type="spellEnd"/>
            <w:r w:rsidRPr="00D83C46">
              <w:rPr>
                <w:szCs w:val="24"/>
              </w:rPr>
              <w:t>)</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jc w:val="center"/>
              <w:rPr>
                <w:szCs w:val="24"/>
              </w:rPr>
            </w:pPr>
            <w:r w:rsidRPr="00D83C46">
              <w:rPr>
                <w:szCs w:val="24"/>
              </w:rPr>
              <w:t>8%</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ind w:right="-110"/>
              <w:jc w:val="center"/>
              <w:rPr>
                <w:szCs w:val="24"/>
              </w:rPr>
            </w:pPr>
            <w:r w:rsidRPr="00D83C46">
              <w:rPr>
                <w:szCs w:val="24"/>
              </w:rPr>
              <w:t>13%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64"/>
              </w:tabs>
              <w:spacing w:before="60" w:after="60"/>
              <w:ind w:right="-156"/>
              <w:jc w:val="center"/>
              <w:rPr>
                <w:szCs w:val="24"/>
              </w:rPr>
            </w:pPr>
            <w:r w:rsidRPr="00D83C46">
              <w:rPr>
                <w:szCs w:val="24"/>
              </w:rPr>
              <w:t>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20"/>
              </w:tabs>
              <w:spacing w:before="60" w:after="60"/>
              <w:ind w:right="-156"/>
              <w:jc w:val="center"/>
              <w:rPr>
                <w:szCs w:val="24"/>
              </w:rPr>
            </w:pPr>
            <w:r w:rsidRPr="00D83C46">
              <w:rPr>
                <w:szCs w:val="24"/>
              </w:rPr>
              <w:t>9%</w:t>
            </w:r>
          </w:p>
        </w:tc>
      </w:tr>
      <w:tr w:rsidR="004F534F" w:rsidRPr="00E7636B">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left" w:pos="342"/>
              </w:tabs>
              <w:spacing w:before="60"/>
              <w:rPr>
                <w:szCs w:val="24"/>
                <w:lang w:val="es-ES"/>
              </w:rPr>
            </w:pPr>
            <w:proofErr w:type="spellStart"/>
            <w:r w:rsidRPr="00D83C46">
              <w:rPr>
                <w:szCs w:val="24"/>
                <w:lang w:val="es-ES"/>
              </w:rPr>
              <w:t>Creatine</w:t>
            </w:r>
            <w:proofErr w:type="spellEnd"/>
            <w:r w:rsidRPr="00D83C46">
              <w:rPr>
                <w:szCs w:val="24"/>
                <w:lang w:val="es-ES"/>
              </w:rPr>
              <w:t xml:space="preserve"> </w:t>
            </w:r>
            <w:proofErr w:type="spellStart"/>
            <w:r w:rsidRPr="00D83C46">
              <w:rPr>
                <w:szCs w:val="24"/>
                <w:lang w:val="es-ES"/>
              </w:rPr>
              <w:t>Kinase</w:t>
            </w:r>
            <w:proofErr w:type="spellEnd"/>
          </w:p>
          <w:p w:rsidR="004F534F" w:rsidRPr="00D83C46" w:rsidRDefault="004F534F">
            <w:pPr>
              <w:tabs>
                <w:tab w:val="left" w:pos="342"/>
              </w:tabs>
              <w:rPr>
                <w:szCs w:val="24"/>
                <w:lang w:val="es-ES"/>
              </w:rPr>
            </w:pPr>
            <w:r w:rsidRPr="00D83C46">
              <w:rPr>
                <w:szCs w:val="24"/>
                <w:lang w:val="es-ES"/>
              </w:rPr>
              <w:t>(M:</w:t>
            </w:r>
            <w:r w:rsidR="005B161B">
              <w:rPr>
                <w:szCs w:val="24"/>
                <w:lang w:val="es-ES"/>
              </w:rPr>
              <w:t xml:space="preserve"> </w:t>
            </w:r>
            <w:r w:rsidRPr="00D83C46">
              <w:rPr>
                <w:szCs w:val="24"/>
                <w:lang w:val="es-ES"/>
              </w:rPr>
              <w:t>&gt;990U/L)</w:t>
            </w:r>
          </w:p>
          <w:p w:rsidR="004F534F" w:rsidRPr="00D83C46" w:rsidRDefault="004F534F">
            <w:pPr>
              <w:tabs>
                <w:tab w:val="left" w:pos="342"/>
              </w:tabs>
              <w:spacing w:after="60"/>
              <w:rPr>
                <w:szCs w:val="24"/>
              </w:rPr>
            </w:pPr>
            <w:r w:rsidRPr="00D83C46">
              <w:rPr>
                <w:szCs w:val="24"/>
              </w:rPr>
              <w:t>(F:</w:t>
            </w:r>
            <w:r w:rsidRPr="00D83C46">
              <w:rPr>
                <w:szCs w:val="24"/>
              </w:rPr>
              <w:tab/>
              <w:t>&gt;845 U/L)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jc w:val="center"/>
              <w:rPr>
                <w:szCs w:val="24"/>
              </w:rPr>
            </w:pPr>
            <w:r w:rsidRPr="00D83C46">
              <w:rPr>
                <w:szCs w:val="24"/>
              </w:rPr>
              <w:t>7%</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ind w:right="-110"/>
              <w:jc w:val="center"/>
              <w:rPr>
                <w:szCs w:val="24"/>
              </w:rPr>
            </w:pPr>
            <w:r w:rsidRPr="00D83C46">
              <w:rPr>
                <w:szCs w:val="24"/>
              </w:rPr>
              <w:t>14%</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64"/>
              </w:tabs>
              <w:spacing w:before="60" w:after="60"/>
              <w:ind w:right="-156"/>
              <w:jc w:val="center"/>
              <w:rPr>
                <w:szCs w:val="24"/>
              </w:rPr>
            </w:pPr>
            <w:r w:rsidRPr="00D83C46">
              <w:rPr>
                <w:szCs w:val="24"/>
              </w:rPr>
              <w:t>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20"/>
              </w:tabs>
              <w:spacing w:before="60" w:after="60"/>
              <w:ind w:right="-156"/>
              <w:jc w:val="center"/>
              <w:rPr>
                <w:szCs w:val="24"/>
              </w:rPr>
            </w:pPr>
            <w:r w:rsidRPr="00D83C46">
              <w:rPr>
                <w:szCs w:val="24"/>
              </w:rPr>
              <w:t>12%</w:t>
            </w:r>
          </w:p>
        </w:tc>
      </w:tr>
      <w:tr w:rsidR="004F534F" w:rsidRPr="00E7636B">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left" w:pos="342"/>
              </w:tabs>
              <w:spacing w:before="80" w:after="60"/>
              <w:rPr>
                <w:szCs w:val="24"/>
              </w:rPr>
            </w:pPr>
            <w:r w:rsidRPr="00D83C46">
              <w:rPr>
                <w:szCs w:val="24"/>
              </w:rPr>
              <w:t>Serum Amylase (&gt;175 U/L)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80" w:after="60"/>
              <w:jc w:val="center"/>
              <w:rPr>
                <w:szCs w:val="24"/>
              </w:rPr>
            </w:pPr>
            <w:r w:rsidRPr="00D83C46">
              <w:rPr>
                <w:szCs w:val="24"/>
              </w:rPr>
              <w:t>6%</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80" w:after="60"/>
              <w:ind w:right="-110"/>
              <w:jc w:val="center"/>
              <w:rPr>
                <w:szCs w:val="24"/>
              </w:rPr>
            </w:pPr>
            <w:r w:rsidRPr="00D83C46">
              <w:rPr>
                <w:szCs w:val="24"/>
              </w:rPr>
              <w:t>7%</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64"/>
              </w:tabs>
              <w:spacing w:before="80" w:after="60"/>
              <w:ind w:right="-156"/>
              <w:jc w:val="center"/>
              <w:rPr>
                <w:szCs w:val="24"/>
              </w:rPr>
            </w:pPr>
            <w:r w:rsidRPr="00D83C46">
              <w:rPr>
                <w:szCs w:val="24"/>
              </w:rPr>
              <w:t>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20"/>
              </w:tabs>
              <w:spacing w:before="80" w:after="60"/>
              <w:ind w:right="-156"/>
              <w:jc w:val="center"/>
              <w:rPr>
                <w:szCs w:val="24"/>
              </w:rPr>
            </w:pPr>
            <w:r w:rsidRPr="00D83C46">
              <w:rPr>
                <w:szCs w:val="24"/>
              </w:rPr>
              <w:t>6%</w:t>
            </w:r>
          </w:p>
        </w:tc>
      </w:tr>
      <w:tr w:rsidR="004F534F" w:rsidRPr="00E7636B">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left" w:pos="342"/>
              </w:tabs>
              <w:spacing w:before="60" w:after="60"/>
              <w:rPr>
                <w:szCs w:val="24"/>
              </w:rPr>
            </w:pPr>
            <w:r w:rsidRPr="00D83C46">
              <w:rPr>
                <w:szCs w:val="24"/>
              </w:rPr>
              <w:t>Urine Glucose (≥3+)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jc w:val="center"/>
              <w:rPr>
                <w:szCs w:val="24"/>
              </w:rPr>
            </w:pPr>
            <w:r w:rsidRPr="00D83C46">
              <w:rPr>
                <w:szCs w:val="24"/>
              </w:rPr>
              <w:t>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ind w:right="-110"/>
              <w:jc w:val="center"/>
              <w:rPr>
                <w:szCs w:val="24"/>
              </w:rPr>
            </w:pPr>
            <w:r w:rsidRPr="00D83C46">
              <w:rPr>
                <w:szCs w:val="24"/>
              </w:rPr>
              <w:t>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64"/>
              </w:tabs>
              <w:spacing w:before="60" w:after="60"/>
              <w:ind w:right="-156"/>
              <w:jc w:val="center"/>
              <w:rPr>
                <w:szCs w:val="24"/>
              </w:rPr>
            </w:pPr>
            <w:r w:rsidRPr="00D83C46">
              <w:rPr>
                <w:szCs w:val="24"/>
              </w:rPr>
              <w:t>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20"/>
              </w:tabs>
              <w:spacing w:before="60" w:after="60"/>
              <w:ind w:right="-156"/>
              <w:jc w:val="center"/>
              <w:rPr>
                <w:szCs w:val="24"/>
              </w:rPr>
            </w:pPr>
            <w:r w:rsidRPr="00D83C46">
              <w:rPr>
                <w:szCs w:val="24"/>
              </w:rPr>
              <w:t>2%</w:t>
            </w:r>
          </w:p>
        </w:tc>
      </w:tr>
      <w:tr w:rsidR="004F534F" w:rsidRPr="00E7636B">
        <w:tc>
          <w:tcPr>
            <w:tcW w:w="3420" w:type="dxa"/>
            <w:tcBorders>
              <w:top w:val="single" w:sz="4" w:space="0" w:color="auto"/>
              <w:left w:val="single" w:sz="4" w:space="0" w:color="auto"/>
              <w:bottom w:val="single" w:sz="4" w:space="0" w:color="auto"/>
              <w:right w:val="single" w:sz="4" w:space="0" w:color="auto"/>
            </w:tcBorders>
            <w:shd w:val="clear" w:color="auto" w:fill="auto"/>
          </w:tcPr>
          <w:p w:rsidR="004F534F" w:rsidRPr="00D83C46" w:rsidRDefault="004F534F" w:rsidP="005B161B">
            <w:pPr>
              <w:tabs>
                <w:tab w:val="left" w:pos="342"/>
              </w:tabs>
              <w:spacing w:before="60" w:after="60"/>
              <w:jc w:val="left"/>
              <w:rPr>
                <w:szCs w:val="24"/>
              </w:rPr>
            </w:pPr>
            <w:r w:rsidRPr="00D83C46">
              <w:rPr>
                <w:szCs w:val="24"/>
              </w:rPr>
              <w:t>AST</w:t>
            </w:r>
            <w:r w:rsidRPr="00D83C46">
              <w:rPr>
                <w:szCs w:val="24"/>
              </w:rPr>
              <w:br/>
              <w:t>(M:</w:t>
            </w:r>
            <w:r w:rsidR="005B161B">
              <w:rPr>
                <w:szCs w:val="24"/>
              </w:rPr>
              <w:t xml:space="preserve"> </w:t>
            </w:r>
            <w:r w:rsidRPr="00D83C46">
              <w:rPr>
                <w:szCs w:val="24"/>
              </w:rPr>
              <w:t>&gt;180 U/L)</w:t>
            </w:r>
            <w:r w:rsidRPr="00D83C46">
              <w:rPr>
                <w:szCs w:val="24"/>
              </w:rPr>
              <w:br/>
              <w:t>(F:</w:t>
            </w:r>
            <w:r w:rsidRPr="00D83C46">
              <w:rPr>
                <w:szCs w:val="24"/>
              </w:rPr>
              <w:tab/>
              <w:t>&gt;170 U/L)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jc w:val="center"/>
              <w:rPr>
                <w:szCs w:val="24"/>
              </w:rPr>
            </w:pPr>
            <w:r w:rsidRPr="00D83C46">
              <w:rPr>
                <w:szCs w:val="24"/>
              </w:rPr>
              <w:t>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ind w:right="-110"/>
              <w:jc w:val="center"/>
              <w:rPr>
                <w:szCs w:val="24"/>
              </w:rPr>
            </w:pPr>
            <w:r w:rsidRPr="00D83C46">
              <w:rPr>
                <w:szCs w:val="24"/>
              </w:rPr>
              <w:t>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64"/>
              </w:tabs>
              <w:spacing w:before="60" w:after="60"/>
              <w:ind w:right="-156"/>
              <w:jc w:val="center"/>
              <w:rPr>
                <w:szCs w:val="24"/>
              </w:rPr>
            </w:pPr>
            <w:r w:rsidRPr="00D83C46">
              <w:rPr>
                <w:szCs w:val="24"/>
              </w:rPr>
              <w:t>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20"/>
              </w:tabs>
              <w:spacing w:before="60" w:after="60"/>
              <w:ind w:right="-156"/>
              <w:jc w:val="center"/>
              <w:rPr>
                <w:szCs w:val="24"/>
              </w:rPr>
            </w:pPr>
            <w:r w:rsidRPr="00D83C46">
              <w:rPr>
                <w:szCs w:val="24"/>
              </w:rPr>
              <w:t>5%</w:t>
            </w:r>
          </w:p>
        </w:tc>
      </w:tr>
      <w:tr w:rsidR="004F534F" w:rsidRPr="00E7636B">
        <w:tc>
          <w:tcPr>
            <w:tcW w:w="3420" w:type="dxa"/>
            <w:tcBorders>
              <w:top w:val="single" w:sz="4" w:space="0" w:color="auto"/>
              <w:left w:val="single" w:sz="4" w:space="0" w:color="auto"/>
              <w:bottom w:val="single" w:sz="4" w:space="0" w:color="auto"/>
              <w:right w:val="single" w:sz="4" w:space="0" w:color="auto"/>
            </w:tcBorders>
            <w:shd w:val="clear" w:color="auto" w:fill="auto"/>
          </w:tcPr>
          <w:p w:rsidR="004F534F" w:rsidRPr="00D83C46" w:rsidRDefault="004F534F" w:rsidP="005B161B">
            <w:pPr>
              <w:tabs>
                <w:tab w:val="left" w:pos="342"/>
              </w:tabs>
              <w:spacing w:before="60" w:after="60"/>
              <w:jc w:val="left"/>
              <w:rPr>
                <w:szCs w:val="24"/>
              </w:rPr>
            </w:pPr>
            <w:r w:rsidRPr="00D83C46">
              <w:rPr>
                <w:szCs w:val="24"/>
              </w:rPr>
              <w:t>ALT</w:t>
            </w:r>
            <w:r w:rsidRPr="00D83C46">
              <w:rPr>
                <w:szCs w:val="24"/>
              </w:rPr>
              <w:br/>
              <w:t>(M:</w:t>
            </w:r>
            <w:r w:rsidR="005B161B">
              <w:rPr>
                <w:szCs w:val="24"/>
              </w:rPr>
              <w:t xml:space="preserve"> </w:t>
            </w:r>
            <w:r w:rsidRPr="00D83C46">
              <w:rPr>
                <w:szCs w:val="24"/>
              </w:rPr>
              <w:t>&gt;215</w:t>
            </w:r>
            <w:r w:rsidR="005B161B">
              <w:rPr>
                <w:szCs w:val="24"/>
              </w:rPr>
              <w:t xml:space="preserve"> </w:t>
            </w:r>
            <w:r w:rsidRPr="00D83C46">
              <w:rPr>
                <w:szCs w:val="24"/>
              </w:rPr>
              <w:t>U/L)</w:t>
            </w:r>
            <w:r w:rsidRPr="00D83C46">
              <w:rPr>
                <w:szCs w:val="24"/>
              </w:rPr>
              <w:br/>
              <w:t>(F:</w:t>
            </w:r>
            <w:r w:rsidRPr="00D83C46">
              <w:rPr>
                <w:szCs w:val="24"/>
              </w:rPr>
              <w:tab/>
              <w:t>&gt;170 U/L)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jc w:val="center"/>
              <w:rPr>
                <w:szCs w:val="24"/>
              </w:rPr>
            </w:pPr>
            <w:r w:rsidRPr="00D83C46">
              <w:rPr>
                <w:szCs w:val="24"/>
              </w:rPr>
              <w:t>2%</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ind w:right="-110"/>
              <w:jc w:val="center"/>
              <w:rPr>
                <w:szCs w:val="24"/>
              </w:rPr>
            </w:pPr>
            <w:r w:rsidRPr="00D83C46">
              <w:rPr>
                <w:szCs w:val="24"/>
              </w:rPr>
              <w:t>2%</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64"/>
              </w:tabs>
              <w:spacing w:before="60" w:after="60"/>
              <w:ind w:right="-156"/>
              <w:jc w:val="center"/>
              <w:rPr>
                <w:szCs w:val="24"/>
              </w:rPr>
            </w:pPr>
            <w:r w:rsidRPr="00D83C46">
              <w:rPr>
                <w:szCs w:val="24"/>
              </w:rPr>
              <w:t>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20"/>
              </w:tabs>
              <w:spacing w:before="60" w:after="60"/>
              <w:ind w:right="-156"/>
              <w:jc w:val="center"/>
              <w:rPr>
                <w:szCs w:val="24"/>
              </w:rPr>
            </w:pPr>
            <w:r w:rsidRPr="00D83C46">
              <w:rPr>
                <w:szCs w:val="24"/>
              </w:rPr>
              <w:t>5%</w:t>
            </w:r>
          </w:p>
        </w:tc>
      </w:tr>
      <w:tr w:rsidR="004F534F" w:rsidRPr="00E7636B">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rPr>
                <w:szCs w:val="24"/>
              </w:rPr>
            </w:pPr>
            <w:r w:rsidRPr="00D83C46">
              <w:rPr>
                <w:szCs w:val="24"/>
              </w:rPr>
              <w:t>Serum Glucose (&gt;250 U/L)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jc w:val="center"/>
              <w:rPr>
                <w:szCs w:val="24"/>
              </w:rPr>
            </w:pPr>
            <w:r w:rsidRPr="00D83C46">
              <w:rPr>
                <w:szCs w:val="24"/>
              </w:rPr>
              <w:t>2%</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ind w:right="-110"/>
              <w:jc w:val="center"/>
              <w:rPr>
                <w:szCs w:val="24"/>
              </w:rPr>
            </w:pPr>
            <w:r w:rsidRPr="00D83C46">
              <w:rPr>
                <w:szCs w:val="24"/>
              </w:rPr>
              <w:t>4%</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64"/>
              </w:tabs>
              <w:spacing w:before="60" w:after="60"/>
              <w:ind w:right="-156"/>
              <w:jc w:val="center"/>
              <w:rPr>
                <w:szCs w:val="24"/>
              </w:rPr>
            </w:pPr>
            <w:r w:rsidRPr="00D83C46">
              <w:rPr>
                <w:szCs w:val="24"/>
              </w:rPr>
              <w:t>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20"/>
              </w:tabs>
              <w:spacing w:before="60" w:after="60"/>
              <w:ind w:right="-156"/>
              <w:jc w:val="center"/>
              <w:rPr>
                <w:szCs w:val="24"/>
              </w:rPr>
            </w:pPr>
            <w:r w:rsidRPr="00D83C46">
              <w:rPr>
                <w:szCs w:val="24"/>
              </w:rPr>
              <w:t>3%</w:t>
            </w:r>
          </w:p>
        </w:tc>
      </w:tr>
      <w:tr w:rsidR="004F534F" w:rsidRPr="00E7636B">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rPr>
                <w:szCs w:val="24"/>
              </w:rPr>
            </w:pPr>
            <w:r w:rsidRPr="00D83C46">
              <w:rPr>
                <w:szCs w:val="24"/>
              </w:rPr>
              <w:t>Neutrophils (&lt;750 mg/</w:t>
            </w:r>
            <w:proofErr w:type="spellStart"/>
            <w:r w:rsidRPr="00D83C46">
              <w:rPr>
                <w:szCs w:val="24"/>
              </w:rPr>
              <w:t>dL</w:t>
            </w:r>
            <w:proofErr w:type="spellEnd"/>
            <w:r w:rsidRPr="00D83C46">
              <w:rPr>
                <w:szCs w:val="24"/>
              </w:rPr>
              <w:t>)</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jc w:val="center"/>
              <w:rPr>
                <w:szCs w:val="24"/>
              </w:rPr>
            </w:pPr>
            <w:r w:rsidRPr="00D83C46">
              <w:rPr>
                <w:szCs w:val="24"/>
              </w:rPr>
              <w:t>1%</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spacing w:before="60" w:after="60"/>
              <w:ind w:right="-110"/>
              <w:jc w:val="center"/>
              <w:rPr>
                <w:szCs w:val="24"/>
              </w:rPr>
            </w:pPr>
            <w:r w:rsidRPr="00D83C46">
              <w:rPr>
                <w:szCs w:val="24"/>
              </w:rPr>
              <w:t>1%</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64"/>
              </w:tabs>
              <w:spacing w:before="60" w:after="60"/>
              <w:ind w:right="-156"/>
              <w:jc w:val="center"/>
              <w:rPr>
                <w:szCs w:val="24"/>
              </w:rPr>
            </w:pPr>
            <w:r w:rsidRPr="00D83C46">
              <w:rPr>
                <w:szCs w:val="24"/>
              </w:rPr>
              <w:t>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4F534F" w:rsidRPr="00D83C46" w:rsidRDefault="004F534F">
            <w:pPr>
              <w:tabs>
                <w:tab w:val="right" w:pos="1020"/>
              </w:tabs>
              <w:spacing w:before="60" w:after="60"/>
              <w:ind w:right="-156"/>
              <w:jc w:val="center"/>
              <w:rPr>
                <w:szCs w:val="24"/>
              </w:rPr>
            </w:pPr>
            <w:r w:rsidRPr="00D83C46">
              <w:rPr>
                <w:szCs w:val="24"/>
              </w:rPr>
              <w:t>1%</w:t>
            </w:r>
          </w:p>
        </w:tc>
      </w:tr>
    </w:tbl>
    <w:p w:rsidR="004F534F" w:rsidRPr="0064484A" w:rsidRDefault="004F534F" w:rsidP="00CF5E15">
      <w:pPr>
        <w:rPr>
          <w:b/>
          <w:i/>
          <w:sz w:val="22"/>
          <w:szCs w:val="22"/>
        </w:rPr>
      </w:pPr>
    </w:p>
    <w:p w:rsidR="00CF5E15" w:rsidRPr="00315BD2" w:rsidRDefault="00CF5E15" w:rsidP="00CF5E15">
      <w:pPr>
        <w:rPr>
          <w:b/>
          <w:i/>
          <w:szCs w:val="24"/>
        </w:rPr>
      </w:pPr>
    </w:p>
    <w:p w:rsidR="004F534F" w:rsidRPr="00315BD2" w:rsidRDefault="004F534F" w:rsidP="00CF5E15">
      <w:pPr>
        <w:rPr>
          <w:b/>
          <w:i/>
          <w:szCs w:val="24"/>
        </w:rPr>
      </w:pPr>
      <w:r w:rsidRPr="00315BD2">
        <w:rPr>
          <w:b/>
          <w:i/>
          <w:szCs w:val="24"/>
        </w:rPr>
        <w:t>Treatment-Naïve Patients</w:t>
      </w:r>
    </w:p>
    <w:p w:rsidR="004F534F" w:rsidRPr="00315BD2" w:rsidRDefault="004F534F" w:rsidP="00CF5E15">
      <w:pPr>
        <w:rPr>
          <w:szCs w:val="24"/>
        </w:rPr>
      </w:pPr>
      <w:r w:rsidRPr="00315BD2">
        <w:rPr>
          <w:b/>
          <w:szCs w:val="24"/>
        </w:rPr>
        <w:t>Treatment-Emergent Adverse Events:</w:t>
      </w:r>
      <w:r w:rsidRPr="00315BD2">
        <w:rPr>
          <w:szCs w:val="24"/>
        </w:rPr>
        <w:t xml:space="preserve">  The adverse reactions seen in a double</w:t>
      </w:r>
      <w:r w:rsidRPr="00315BD2">
        <w:rPr>
          <w:szCs w:val="24"/>
        </w:rPr>
        <w:noBreakHyphen/>
        <w:t xml:space="preserve">blind active controlled study in which 600 treatment-naïve patients received VIREAD (N=299) or </w:t>
      </w:r>
      <w:r w:rsidR="002665B4" w:rsidRPr="00315BD2">
        <w:rPr>
          <w:szCs w:val="24"/>
        </w:rPr>
        <w:t>d4T</w:t>
      </w:r>
      <w:r w:rsidRPr="00315BD2">
        <w:rPr>
          <w:szCs w:val="24"/>
        </w:rPr>
        <w:t xml:space="preserve"> (N=301) in combination with lamivudine and </w:t>
      </w:r>
      <w:proofErr w:type="spellStart"/>
      <w:r w:rsidRPr="00315BD2">
        <w:rPr>
          <w:szCs w:val="24"/>
        </w:rPr>
        <w:t>efavirenz</w:t>
      </w:r>
      <w:proofErr w:type="spellEnd"/>
      <w:r w:rsidRPr="00315BD2">
        <w:rPr>
          <w:szCs w:val="24"/>
        </w:rPr>
        <w:t xml:space="preserve"> for 144 weeks (Study 903) were generally consistent, with the addition of dizziness, with those seen in treatment-experienced patients (</w:t>
      </w:r>
      <w:r w:rsidR="00DA5725" w:rsidRPr="00315BD2">
        <w:rPr>
          <w:szCs w:val="24"/>
        </w:rPr>
        <w:t>Table 14</w:t>
      </w:r>
      <w:r w:rsidRPr="00315BD2">
        <w:rPr>
          <w:szCs w:val="24"/>
        </w:rPr>
        <w:t>).</w:t>
      </w:r>
    </w:p>
    <w:p w:rsidR="00CF5E15" w:rsidRPr="00315BD2" w:rsidRDefault="00CF5E15" w:rsidP="00CF5E15">
      <w:pPr>
        <w:rPr>
          <w:szCs w:val="24"/>
        </w:rPr>
      </w:pPr>
    </w:p>
    <w:p w:rsidR="004F534F" w:rsidRPr="00315BD2" w:rsidRDefault="004F534F" w:rsidP="00CF5E15">
      <w:pPr>
        <w:pStyle w:val="Text10"/>
        <w:spacing w:after="0"/>
        <w:rPr>
          <w:szCs w:val="24"/>
          <w:lang w:val="en-AU"/>
        </w:rPr>
      </w:pPr>
      <w:r w:rsidRPr="00315BD2">
        <w:rPr>
          <w:szCs w:val="24"/>
          <w:lang w:val="en-AU"/>
        </w:rPr>
        <w:lastRenderedPageBreak/>
        <w:t xml:space="preserve">Mild adverse events (Grade 1) were common with a similar incidence in </w:t>
      </w:r>
      <w:proofErr w:type="gramStart"/>
      <w:r w:rsidRPr="00315BD2">
        <w:rPr>
          <w:szCs w:val="24"/>
          <w:lang w:val="en-AU"/>
        </w:rPr>
        <w:t>both arms</w:t>
      </w:r>
      <w:proofErr w:type="gramEnd"/>
      <w:r w:rsidRPr="00315BD2">
        <w:rPr>
          <w:szCs w:val="24"/>
          <w:lang w:val="en-AU"/>
        </w:rPr>
        <w:t>, and included dizziness, diarrhoea and nausea.</w:t>
      </w:r>
    </w:p>
    <w:p w:rsidR="00FA3CA5" w:rsidRPr="00315BD2" w:rsidRDefault="00FA3CA5" w:rsidP="004F534F">
      <w:pPr>
        <w:pStyle w:val="BodyText"/>
        <w:tabs>
          <w:tab w:val="left" w:pos="720"/>
        </w:tabs>
        <w:spacing w:after="60"/>
        <w:ind w:left="1267" w:right="72" w:hanging="1267"/>
        <w:rPr>
          <w:b w:val="0"/>
          <w:szCs w:val="24"/>
        </w:rPr>
      </w:pPr>
    </w:p>
    <w:p w:rsidR="004F534F" w:rsidRPr="00412642" w:rsidRDefault="00412642" w:rsidP="001A47BA">
      <w:pPr>
        <w:pStyle w:val="Caption"/>
      </w:pPr>
      <w:bookmarkStart w:id="16" w:name="_Ref159392357"/>
      <w:proofErr w:type="gramStart"/>
      <w:r w:rsidRPr="00412642">
        <w:t xml:space="preserve">Table </w:t>
      </w:r>
      <w:r w:rsidRPr="00412642">
        <w:fldChar w:fldCharType="begin"/>
      </w:r>
      <w:r w:rsidRPr="00412642">
        <w:instrText xml:space="preserve"> SEQ Table \* ARABIC </w:instrText>
      </w:r>
      <w:r w:rsidRPr="00412642">
        <w:fldChar w:fldCharType="separate"/>
      </w:r>
      <w:r w:rsidR="00440D32">
        <w:rPr>
          <w:noProof/>
        </w:rPr>
        <w:t>14</w:t>
      </w:r>
      <w:r w:rsidRPr="00412642">
        <w:fldChar w:fldCharType="end"/>
      </w:r>
      <w:bookmarkEnd w:id="16"/>
      <w:r w:rsidR="004F534F" w:rsidRPr="00412642">
        <w:t>.</w:t>
      </w:r>
      <w:proofErr w:type="gramEnd"/>
      <w:r w:rsidR="004F534F" w:rsidRPr="00412642">
        <w:tab/>
        <w:t>Selected Treatment-Emergent Adverse Events (Grades 2–4) Reported in ≥5% in Any Treatment Group in Study 903 (0–144 weeks)</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2992"/>
        <w:gridCol w:w="3180"/>
        <w:gridCol w:w="3180"/>
      </w:tblGrid>
      <w:tr w:rsidR="001E73C3" w:rsidRPr="00E7636B" w:rsidTr="00A72E9F">
        <w:trPr>
          <w:trHeight w:val="371"/>
        </w:trPr>
        <w:tc>
          <w:tcPr>
            <w:tcW w:w="2992" w:type="dxa"/>
            <w:vMerge w:val="restart"/>
            <w:tcBorders>
              <w:top w:val="single" w:sz="4" w:space="0" w:color="auto"/>
              <w:left w:val="single" w:sz="4" w:space="0" w:color="auto"/>
              <w:right w:val="single" w:sz="6" w:space="0" w:color="000000"/>
            </w:tcBorders>
            <w:shd w:val="clear" w:color="auto" w:fill="auto"/>
            <w:vAlign w:val="center"/>
          </w:tcPr>
          <w:p w:rsidR="001E73C3" w:rsidRPr="00D83C46" w:rsidRDefault="001E73C3">
            <w:pPr>
              <w:spacing w:before="60" w:after="60"/>
              <w:jc w:val="center"/>
              <w:rPr>
                <w:b/>
                <w:szCs w:val="24"/>
              </w:rPr>
            </w:pPr>
          </w:p>
        </w:tc>
        <w:tc>
          <w:tcPr>
            <w:tcW w:w="3180" w:type="dxa"/>
            <w:tcBorders>
              <w:top w:val="single" w:sz="4" w:space="0" w:color="auto"/>
              <w:left w:val="single" w:sz="6" w:space="0" w:color="000000"/>
              <w:bottom w:val="single" w:sz="6" w:space="0" w:color="000000"/>
              <w:right w:val="single" w:sz="6" w:space="0" w:color="000000"/>
            </w:tcBorders>
            <w:shd w:val="clear" w:color="auto" w:fill="auto"/>
            <w:vAlign w:val="center"/>
          </w:tcPr>
          <w:p w:rsidR="001E73C3" w:rsidRPr="00D83C46" w:rsidRDefault="001E73C3">
            <w:pPr>
              <w:pStyle w:val="Table-Text"/>
              <w:spacing w:before="60" w:after="60"/>
              <w:jc w:val="center"/>
              <w:rPr>
                <w:b/>
                <w:sz w:val="24"/>
                <w:szCs w:val="24"/>
                <w:lang w:val="en-AU"/>
              </w:rPr>
            </w:pPr>
            <w:r w:rsidRPr="00D83C46">
              <w:rPr>
                <w:b/>
                <w:sz w:val="24"/>
                <w:szCs w:val="24"/>
                <w:lang w:val="en-AU"/>
              </w:rPr>
              <w:t>VIREAD+3TC+EFV</w:t>
            </w:r>
          </w:p>
        </w:tc>
        <w:tc>
          <w:tcPr>
            <w:tcW w:w="3180" w:type="dxa"/>
            <w:tcBorders>
              <w:top w:val="single" w:sz="4" w:space="0" w:color="auto"/>
              <w:left w:val="single" w:sz="6" w:space="0" w:color="000000"/>
              <w:bottom w:val="single" w:sz="6" w:space="0" w:color="000000"/>
              <w:right w:val="single" w:sz="4" w:space="0" w:color="auto"/>
            </w:tcBorders>
            <w:shd w:val="clear" w:color="auto" w:fill="auto"/>
            <w:vAlign w:val="center"/>
          </w:tcPr>
          <w:p w:rsidR="001E73C3" w:rsidRPr="00D83C46" w:rsidRDefault="001E73C3">
            <w:pPr>
              <w:spacing w:before="60" w:after="60"/>
              <w:jc w:val="center"/>
              <w:rPr>
                <w:b/>
                <w:szCs w:val="24"/>
              </w:rPr>
            </w:pPr>
            <w:r w:rsidRPr="00D83C46">
              <w:rPr>
                <w:b/>
                <w:szCs w:val="24"/>
              </w:rPr>
              <w:t>d4T+3TC+EFV</w:t>
            </w:r>
          </w:p>
        </w:tc>
      </w:tr>
      <w:tr w:rsidR="001E73C3" w:rsidRPr="00E7636B" w:rsidTr="00A72E9F">
        <w:trPr>
          <w:trHeight w:val="371"/>
        </w:trPr>
        <w:tc>
          <w:tcPr>
            <w:tcW w:w="2992" w:type="dxa"/>
            <w:vMerge/>
            <w:tcBorders>
              <w:left w:val="single" w:sz="4" w:space="0" w:color="auto"/>
              <w:bottom w:val="single" w:sz="4" w:space="0" w:color="auto"/>
              <w:right w:val="single" w:sz="6" w:space="0" w:color="000000"/>
            </w:tcBorders>
            <w:shd w:val="clear" w:color="auto" w:fill="auto"/>
            <w:vAlign w:val="center"/>
          </w:tcPr>
          <w:p w:rsidR="001E73C3" w:rsidRPr="00D83C46" w:rsidRDefault="001E73C3">
            <w:pPr>
              <w:spacing w:before="60" w:after="60"/>
              <w:rPr>
                <w:szCs w:val="24"/>
              </w:rPr>
            </w:pPr>
          </w:p>
        </w:tc>
        <w:tc>
          <w:tcPr>
            <w:tcW w:w="3180" w:type="dxa"/>
            <w:tcBorders>
              <w:top w:val="single" w:sz="6" w:space="0" w:color="000000"/>
              <w:left w:val="single" w:sz="6" w:space="0" w:color="000000"/>
              <w:bottom w:val="single" w:sz="4" w:space="0" w:color="auto"/>
              <w:right w:val="single" w:sz="6" w:space="0" w:color="000000"/>
            </w:tcBorders>
            <w:shd w:val="clear" w:color="auto" w:fill="auto"/>
            <w:vAlign w:val="center"/>
          </w:tcPr>
          <w:p w:rsidR="001E73C3" w:rsidRPr="00D83C46" w:rsidRDefault="001E73C3">
            <w:pPr>
              <w:spacing w:before="60" w:after="60"/>
              <w:jc w:val="center"/>
              <w:rPr>
                <w:b/>
                <w:szCs w:val="24"/>
              </w:rPr>
            </w:pPr>
            <w:r w:rsidRPr="00D83C46">
              <w:rPr>
                <w:b/>
                <w:szCs w:val="24"/>
              </w:rPr>
              <w:t>N=299</w:t>
            </w:r>
          </w:p>
        </w:tc>
        <w:tc>
          <w:tcPr>
            <w:tcW w:w="3180" w:type="dxa"/>
            <w:tcBorders>
              <w:top w:val="single" w:sz="6" w:space="0" w:color="000000"/>
              <w:left w:val="single" w:sz="6" w:space="0" w:color="000000"/>
              <w:bottom w:val="single" w:sz="4" w:space="0" w:color="auto"/>
              <w:right w:val="single" w:sz="4" w:space="0" w:color="auto"/>
            </w:tcBorders>
            <w:shd w:val="clear" w:color="auto" w:fill="auto"/>
            <w:vAlign w:val="center"/>
          </w:tcPr>
          <w:p w:rsidR="001E73C3" w:rsidRPr="00D83C46" w:rsidRDefault="001E73C3">
            <w:pPr>
              <w:spacing w:before="60" w:after="60"/>
              <w:jc w:val="center"/>
              <w:rPr>
                <w:b/>
                <w:szCs w:val="24"/>
              </w:rPr>
            </w:pPr>
            <w:r w:rsidRPr="00D83C46">
              <w:rPr>
                <w:b/>
                <w:szCs w:val="24"/>
              </w:rPr>
              <w:t>N=301</w:t>
            </w:r>
          </w:p>
        </w:tc>
      </w:tr>
      <w:tr w:rsidR="004F534F" w:rsidRPr="00E7636B">
        <w:trPr>
          <w:trHeight w:val="322"/>
        </w:trPr>
        <w:tc>
          <w:tcPr>
            <w:tcW w:w="2992" w:type="dxa"/>
            <w:tcBorders>
              <w:top w:val="single" w:sz="4" w:space="0" w:color="auto"/>
              <w:left w:val="single" w:sz="4" w:space="0" w:color="auto"/>
              <w:bottom w:val="nil"/>
              <w:right w:val="nil"/>
            </w:tcBorders>
            <w:shd w:val="clear" w:color="auto" w:fill="auto"/>
            <w:vAlign w:val="center"/>
          </w:tcPr>
          <w:p w:rsidR="004F534F" w:rsidRPr="00D83C46" w:rsidRDefault="004F534F">
            <w:pPr>
              <w:pStyle w:val="CommentText"/>
              <w:spacing w:before="40" w:after="40"/>
              <w:rPr>
                <w:sz w:val="24"/>
                <w:szCs w:val="24"/>
                <w:lang w:val="en-AU"/>
              </w:rPr>
            </w:pPr>
            <w:r w:rsidRPr="00D83C46">
              <w:rPr>
                <w:sz w:val="24"/>
                <w:szCs w:val="24"/>
                <w:lang w:val="en-AU"/>
              </w:rPr>
              <w:t>Body as a Whole</w:t>
            </w:r>
          </w:p>
        </w:tc>
        <w:tc>
          <w:tcPr>
            <w:tcW w:w="3180" w:type="dxa"/>
            <w:tcBorders>
              <w:top w:val="single" w:sz="4" w:space="0" w:color="auto"/>
              <w:left w:val="single" w:sz="4" w:space="0" w:color="auto"/>
              <w:bottom w:val="nil"/>
              <w:right w:val="single" w:sz="4" w:space="0" w:color="auto"/>
            </w:tcBorders>
            <w:shd w:val="clear" w:color="auto" w:fill="auto"/>
          </w:tcPr>
          <w:p w:rsidR="004F534F" w:rsidRPr="00D83C46" w:rsidRDefault="004F534F">
            <w:pPr>
              <w:tabs>
                <w:tab w:val="left" w:pos="-18"/>
                <w:tab w:val="left" w:pos="2844"/>
              </w:tabs>
              <w:jc w:val="center"/>
              <w:rPr>
                <w:szCs w:val="24"/>
              </w:rPr>
            </w:pPr>
          </w:p>
        </w:tc>
        <w:tc>
          <w:tcPr>
            <w:tcW w:w="3180" w:type="dxa"/>
            <w:tcBorders>
              <w:top w:val="single" w:sz="4" w:space="0" w:color="auto"/>
              <w:left w:val="nil"/>
              <w:bottom w:val="nil"/>
              <w:right w:val="single" w:sz="4" w:space="0" w:color="auto"/>
            </w:tcBorders>
            <w:shd w:val="clear" w:color="auto" w:fill="auto"/>
          </w:tcPr>
          <w:p w:rsidR="004F534F" w:rsidRPr="00D83C46" w:rsidRDefault="004F534F">
            <w:pPr>
              <w:jc w:val="center"/>
              <w:rPr>
                <w:szCs w:val="24"/>
              </w:rPr>
            </w:pPr>
          </w:p>
        </w:tc>
      </w:tr>
      <w:tr w:rsidR="004F534F" w:rsidRPr="00E7636B">
        <w:trPr>
          <w:trHeight w:val="274"/>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Headache</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14%</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17%</w:t>
            </w:r>
          </w:p>
        </w:tc>
      </w:tr>
      <w:tr w:rsidR="004F534F" w:rsidRPr="00E7636B">
        <w:trPr>
          <w:trHeight w:val="274"/>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Pain</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13%</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12%</w:t>
            </w:r>
          </w:p>
        </w:tc>
      </w:tr>
      <w:tr w:rsidR="004F534F" w:rsidRPr="00E7636B">
        <w:trPr>
          <w:trHeight w:val="274"/>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Back Pain</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9%</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8%</w:t>
            </w:r>
          </w:p>
        </w:tc>
      </w:tr>
      <w:tr w:rsidR="004F534F" w:rsidRPr="00E7636B">
        <w:trPr>
          <w:trHeight w:val="258"/>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Fever</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8%</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7%</w:t>
            </w:r>
          </w:p>
        </w:tc>
      </w:tr>
      <w:tr w:rsidR="004F534F" w:rsidRPr="00E7636B">
        <w:trPr>
          <w:trHeight w:val="274"/>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Abdominal Pain</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7%</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12%</w:t>
            </w:r>
          </w:p>
        </w:tc>
      </w:tr>
      <w:tr w:rsidR="004F534F" w:rsidRPr="00E7636B">
        <w:trPr>
          <w:trHeight w:val="258"/>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Asthenia</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6%</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7%</w:t>
            </w:r>
          </w:p>
        </w:tc>
      </w:tr>
      <w:tr w:rsidR="004F534F" w:rsidRPr="00E7636B">
        <w:trPr>
          <w:trHeight w:val="338"/>
        </w:trPr>
        <w:tc>
          <w:tcPr>
            <w:tcW w:w="2992" w:type="dxa"/>
            <w:tcBorders>
              <w:top w:val="single" w:sz="4" w:space="0" w:color="auto"/>
              <w:left w:val="single" w:sz="4" w:space="0" w:color="auto"/>
              <w:bottom w:val="nil"/>
              <w:right w:val="nil"/>
            </w:tcBorders>
            <w:shd w:val="clear" w:color="auto" w:fill="auto"/>
            <w:vAlign w:val="center"/>
          </w:tcPr>
          <w:p w:rsidR="004F534F" w:rsidRPr="00D83C46" w:rsidRDefault="004F534F">
            <w:pPr>
              <w:pStyle w:val="CommentText"/>
              <w:spacing w:before="40" w:after="40"/>
              <w:rPr>
                <w:sz w:val="24"/>
                <w:szCs w:val="24"/>
                <w:lang w:val="en-AU"/>
              </w:rPr>
            </w:pPr>
            <w:r w:rsidRPr="00D83C46">
              <w:rPr>
                <w:sz w:val="24"/>
                <w:szCs w:val="24"/>
                <w:lang w:val="en-AU"/>
              </w:rPr>
              <w:t>Digestive System</w:t>
            </w:r>
          </w:p>
        </w:tc>
        <w:tc>
          <w:tcPr>
            <w:tcW w:w="3180" w:type="dxa"/>
            <w:tcBorders>
              <w:top w:val="single" w:sz="4" w:space="0" w:color="auto"/>
              <w:left w:val="single" w:sz="4" w:space="0" w:color="auto"/>
              <w:bottom w:val="nil"/>
              <w:right w:val="single" w:sz="4" w:space="0" w:color="auto"/>
            </w:tcBorders>
            <w:shd w:val="clear" w:color="auto" w:fill="auto"/>
          </w:tcPr>
          <w:p w:rsidR="004F534F" w:rsidRPr="00D83C46" w:rsidRDefault="004F534F">
            <w:pPr>
              <w:tabs>
                <w:tab w:val="left" w:pos="-18"/>
                <w:tab w:val="left" w:pos="2844"/>
              </w:tabs>
              <w:jc w:val="center"/>
              <w:rPr>
                <w:szCs w:val="24"/>
              </w:rPr>
            </w:pPr>
          </w:p>
        </w:tc>
        <w:tc>
          <w:tcPr>
            <w:tcW w:w="3180" w:type="dxa"/>
            <w:tcBorders>
              <w:top w:val="single" w:sz="4" w:space="0" w:color="auto"/>
              <w:left w:val="nil"/>
              <w:bottom w:val="nil"/>
              <w:right w:val="single" w:sz="4" w:space="0" w:color="auto"/>
            </w:tcBorders>
            <w:shd w:val="clear" w:color="auto" w:fill="auto"/>
          </w:tcPr>
          <w:p w:rsidR="004F534F" w:rsidRPr="00D83C46" w:rsidRDefault="004F534F">
            <w:pPr>
              <w:jc w:val="center"/>
              <w:rPr>
                <w:szCs w:val="24"/>
              </w:rPr>
            </w:pPr>
          </w:p>
        </w:tc>
      </w:tr>
      <w:tr w:rsidR="004F534F" w:rsidRPr="00E7636B">
        <w:trPr>
          <w:trHeight w:val="258"/>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proofErr w:type="spellStart"/>
            <w:r w:rsidRPr="00D83C46">
              <w:rPr>
                <w:szCs w:val="24"/>
              </w:rPr>
              <w:t>Diarrhoea</w:t>
            </w:r>
            <w:proofErr w:type="spellEnd"/>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11%</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13%</w:t>
            </w:r>
          </w:p>
        </w:tc>
      </w:tr>
      <w:tr w:rsidR="004F534F" w:rsidRPr="00E7636B">
        <w:trPr>
          <w:trHeight w:val="274"/>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Nausea</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8%</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9%</w:t>
            </w:r>
          </w:p>
        </w:tc>
      </w:tr>
      <w:tr w:rsidR="004F534F" w:rsidRPr="00E7636B">
        <w:trPr>
          <w:trHeight w:val="258"/>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Vomiting</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5%</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9%</w:t>
            </w:r>
          </w:p>
        </w:tc>
      </w:tr>
      <w:tr w:rsidR="004F534F" w:rsidRPr="00E7636B">
        <w:trPr>
          <w:trHeight w:val="274"/>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Dyspepsia</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4%</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5%</w:t>
            </w:r>
          </w:p>
        </w:tc>
      </w:tr>
      <w:tr w:rsidR="004F534F" w:rsidRPr="00E7636B">
        <w:trPr>
          <w:trHeight w:val="338"/>
        </w:trPr>
        <w:tc>
          <w:tcPr>
            <w:tcW w:w="2992" w:type="dxa"/>
            <w:tcBorders>
              <w:top w:val="single" w:sz="4" w:space="0" w:color="auto"/>
              <w:left w:val="single" w:sz="4" w:space="0" w:color="auto"/>
              <w:bottom w:val="nil"/>
              <w:right w:val="nil"/>
            </w:tcBorders>
            <w:shd w:val="clear" w:color="auto" w:fill="auto"/>
            <w:vAlign w:val="center"/>
          </w:tcPr>
          <w:p w:rsidR="004F534F" w:rsidRPr="00D83C46" w:rsidRDefault="004F534F">
            <w:pPr>
              <w:pStyle w:val="CommentText"/>
              <w:spacing w:before="40" w:after="40"/>
              <w:rPr>
                <w:sz w:val="24"/>
                <w:szCs w:val="24"/>
                <w:lang w:val="en-AU"/>
              </w:rPr>
            </w:pPr>
            <w:r w:rsidRPr="00D83C46">
              <w:rPr>
                <w:sz w:val="24"/>
                <w:szCs w:val="24"/>
                <w:lang w:val="en-AU"/>
              </w:rPr>
              <w:t>Metabolic Disorders</w:t>
            </w:r>
          </w:p>
        </w:tc>
        <w:tc>
          <w:tcPr>
            <w:tcW w:w="3180" w:type="dxa"/>
            <w:tcBorders>
              <w:top w:val="single" w:sz="4" w:space="0" w:color="auto"/>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jc w:val="center"/>
              <w:rPr>
                <w:szCs w:val="24"/>
              </w:rPr>
            </w:pPr>
          </w:p>
        </w:tc>
        <w:tc>
          <w:tcPr>
            <w:tcW w:w="3180" w:type="dxa"/>
            <w:tcBorders>
              <w:top w:val="single" w:sz="4" w:space="0" w:color="auto"/>
              <w:left w:val="nil"/>
              <w:bottom w:val="nil"/>
              <w:right w:val="single" w:sz="4" w:space="0" w:color="auto"/>
            </w:tcBorders>
            <w:shd w:val="clear" w:color="auto" w:fill="auto"/>
            <w:vAlign w:val="center"/>
          </w:tcPr>
          <w:p w:rsidR="004F534F" w:rsidRPr="00D83C46" w:rsidRDefault="004F534F">
            <w:pPr>
              <w:jc w:val="center"/>
              <w:rPr>
                <w:szCs w:val="24"/>
              </w:rPr>
            </w:pPr>
          </w:p>
        </w:tc>
      </w:tr>
      <w:tr w:rsidR="004F534F" w:rsidRPr="00E7636B">
        <w:trPr>
          <w:trHeight w:val="242"/>
        </w:trPr>
        <w:tc>
          <w:tcPr>
            <w:tcW w:w="2992" w:type="dxa"/>
            <w:tcBorders>
              <w:top w:val="nil"/>
              <w:left w:val="single" w:sz="4" w:space="0" w:color="auto"/>
              <w:bottom w:val="single" w:sz="4" w:space="0" w:color="auto"/>
              <w:right w:val="nil"/>
            </w:tcBorders>
            <w:shd w:val="clear" w:color="auto" w:fill="auto"/>
            <w:vAlign w:val="center"/>
          </w:tcPr>
          <w:p w:rsidR="004F534F" w:rsidRPr="00D83C46" w:rsidRDefault="004F534F">
            <w:pPr>
              <w:ind w:firstLine="180"/>
              <w:rPr>
                <w:szCs w:val="24"/>
              </w:rPr>
            </w:pPr>
            <w:r w:rsidRPr="00D83C46">
              <w:rPr>
                <w:szCs w:val="24"/>
              </w:rPr>
              <w:t>Lipodystrophy</w:t>
            </w:r>
          </w:p>
        </w:tc>
        <w:tc>
          <w:tcPr>
            <w:tcW w:w="3180" w:type="dxa"/>
            <w:tcBorders>
              <w:top w:val="nil"/>
              <w:left w:val="single" w:sz="4" w:space="0" w:color="auto"/>
              <w:bottom w:val="single" w:sz="4" w:space="0" w:color="auto"/>
              <w:right w:val="single" w:sz="4" w:space="0" w:color="auto"/>
            </w:tcBorders>
            <w:shd w:val="clear" w:color="auto" w:fill="auto"/>
            <w:vAlign w:val="center"/>
          </w:tcPr>
          <w:p w:rsidR="004F534F" w:rsidRPr="00D83C46" w:rsidRDefault="004F534F">
            <w:pPr>
              <w:tabs>
                <w:tab w:val="left" w:pos="-18"/>
                <w:tab w:val="left" w:pos="2844"/>
              </w:tabs>
              <w:jc w:val="center"/>
              <w:rPr>
                <w:szCs w:val="24"/>
              </w:rPr>
            </w:pPr>
            <w:r w:rsidRPr="00D83C46">
              <w:rPr>
                <w:szCs w:val="24"/>
              </w:rPr>
              <w:t>1%</w:t>
            </w:r>
          </w:p>
        </w:tc>
        <w:tc>
          <w:tcPr>
            <w:tcW w:w="3180" w:type="dxa"/>
            <w:tcBorders>
              <w:top w:val="nil"/>
              <w:left w:val="nil"/>
              <w:bottom w:val="single" w:sz="4" w:space="0" w:color="auto"/>
              <w:right w:val="single" w:sz="4" w:space="0" w:color="auto"/>
            </w:tcBorders>
            <w:shd w:val="clear" w:color="auto" w:fill="auto"/>
            <w:vAlign w:val="center"/>
          </w:tcPr>
          <w:p w:rsidR="004F534F" w:rsidRPr="00D83C46" w:rsidRDefault="004F534F">
            <w:pPr>
              <w:jc w:val="center"/>
              <w:rPr>
                <w:szCs w:val="24"/>
              </w:rPr>
            </w:pPr>
            <w:r w:rsidRPr="00D83C46">
              <w:rPr>
                <w:szCs w:val="24"/>
              </w:rPr>
              <w:t>8%</w:t>
            </w:r>
          </w:p>
        </w:tc>
      </w:tr>
      <w:tr w:rsidR="004F534F" w:rsidRPr="00E7636B">
        <w:trPr>
          <w:trHeight w:val="322"/>
        </w:trPr>
        <w:tc>
          <w:tcPr>
            <w:tcW w:w="2992" w:type="dxa"/>
            <w:tcBorders>
              <w:top w:val="single" w:sz="4" w:space="0" w:color="auto"/>
              <w:left w:val="single" w:sz="4" w:space="0" w:color="auto"/>
              <w:bottom w:val="nil"/>
              <w:right w:val="nil"/>
            </w:tcBorders>
            <w:shd w:val="clear" w:color="auto" w:fill="auto"/>
            <w:vAlign w:val="center"/>
          </w:tcPr>
          <w:p w:rsidR="004F534F" w:rsidRPr="00D83C46" w:rsidRDefault="004F534F">
            <w:pPr>
              <w:pStyle w:val="CommentText"/>
              <w:spacing w:before="40" w:after="40"/>
              <w:rPr>
                <w:sz w:val="24"/>
                <w:szCs w:val="24"/>
                <w:lang w:val="en-AU"/>
              </w:rPr>
            </w:pPr>
            <w:r w:rsidRPr="00D83C46">
              <w:rPr>
                <w:sz w:val="24"/>
                <w:szCs w:val="24"/>
                <w:lang w:val="en-AU"/>
              </w:rPr>
              <w:t>Musculoskeletal</w:t>
            </w:r>
          </w:p>
        </w:tc>
        <w:tc>
          <w:tcPr>
            <w:tcW w:w="3180" w:type="dxa"/>
            <w:tcBorders>
              <w:top w:val="single" w:sz="4" w:space="0" w:color="auto"/>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jc w:val="center"/>
              <w:rPr>
                <w:szCs w:val="24"/>
              </w:rPr>
            </w:pPr>
          </w:p>
        </w:tc>
        <w:tc>
          <w:tcPr>
            <w:tcW w:w="3180" w:type="dxa"/>
            <w:tcBorders>
              <w:top w:val="single" w:sz="4" w:space="0" w:color="auto"/>
              <w:left w:val="nil"/>
              <w:bottom w:val="nil"/>
              <w:right w:val="single" w:sz="4" w:space="0" w:color="auto"/>
            </w:tcBorders>
            <w:shd w:val="clear" w:color="auto" w:fill="auto"/>
            <w:vAlign w:val="center"/>
          </w:tcPr>
          <w:p w:rsidR="004F534F" w:rsidRPr="00D83C46" w:rsidRDefault="004F534F">
            <w:pPr>
              <w:jc w:val="center"/>
              <w:rPr>
                <w:szCs w:val="24"/>
              </w:rPr>
            </w:pPr>
          </w:p>
        </w:tc>
      </w:tr>
      <w:tr w:rsidR="004F534F" w:rsidRPr="00E7636B">
        <w:trPr>
          <w:trHeight w:val="258"/>
        </w:trPr>
        <w:tc>
          <w:tcPr>
            <w:tcW w:w="2992" w:type="dxa"/>
            <w:tcBorders>
              <w:top w:val="nil"/>
              <w:left w:val="single" w:sz="4" w:space="0" w:color="auto"/>
              <w:bottom w:val="nil"/>
              <w:right w:val="nil"/>
            </w:tcBorders>
            <w:shd w:val="clear" w:color="auto" w:fill="auto"/>
            <w:vAlign w:val="center"/>
          </w:tcPr>
          <w:p w:rsidR="004F534F" w:rsidRPr="00D83C46" w:rsidRDefault="004F534F">
            <w:pPr>
              <w:ind w:firstLine="180"/>
              <w:rPr>
                <w:szCs w:val="24"/>
              </w:rPr>
            </w:pPr>
            <w:r w:rsidRPr="00D83C46">
              <w:rPr>
                <w:szCs w:val="24"/>
              </w:rPr>
              <w:t>Arthralgia</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jc w:val="center"/>
              <w:rPr>
                <w:szCs w:val="24"/>
              </w:rPr>
            </w:pPr>
            <w:r w:rsidRPr="00D83C46">
              <w:rPr>
                <w:szCs w:val="24"/>
              </w:rPr>
              <w:t>5%</w:t>
            </w:r>
          </w:p>
        </w:tc>
        <w:tc>
          <w:tcPr>
            <w:tcW w:w="3180" w:type="dxa"/>
            <w:tcBorders>
              <w:top w:val="nil"/>
              <w:left w:val="nil"/>
              <w:bottom w:val="nil"/>
              <w:right w:val="single" w:sz="4" w:space="0" w:color="auto"/>
            </w:tcBorders>
            <w:shd w:val="clear" w:color="auto" w:fill="auto"/>
            <w:vAlign w:val="center"/>
          </w:tcPr>
          <w:p w:rsidR="004F534F" w:rsidRPr="00D83C46" w:rsidRDefault="004F534F">
            <w:pPr>
              <w:jc w:val="center"/>
              <w:rPr>
                <w:szCs w:val="24"/>
              </w:rPr>
            </w:pPr>
            <w:r w:rsidRPr="00D83C46">
              <w:rPr>
                <w:szCs w:val="24"/>
              </w:rPr>
              <w:t>7%</w:t>
            </w:r>
          </w:p>
        </w:tc>
      </w:tr>
      <w:tr w:rsidR="004F534F" w:rsidRPr="00E7636B">
        <w:trPr>
          <w:trHeight w:val="242"/>
        </w:trPr>
        <w:tc>
          <w:tcPr>
            <w:tcW w:w="2992" w:type="dxa"/>
            <w:tcBorders>
              <w:top w:val="nil"/>
              <w:left w:val="single" w:sz="4" w:space="0" w:color="auto"/>
              <w:bottom w:val="single" w:sz="4" w:space="0" w:color="auto"/>
              <w:right w:val="nil"/>
            </w:tcBorders>
            <w:shd w:val="clear" w:color="auto" w:fill="auto"/>
            <w:vAlign w:val="center"/>
          </w:tcPr>
          <w:p w:rsidR="004F534F" w:rsidRPr="00D83C46" w:rsidRDefault="004F534F">
            <w:pPr>
              <w:ind w:firstLine="180"/>
              <w:rPr>
                <w:szCs w:val="24"/>
              </w:rPr>
            </w:pPr>
            <w:r w:rsidRPr="00D83C46">
              <w:rPr>
                <w:szCs w:val="24"/>
              </w:rPr>
              <w:t>Myalgia</w:t>
            </w:r>
          </w:p>
        </w:tc>
        <w:tc>
          <w:tcPr>
            <w:tcW w:w="3180" w:type="dxa"/>
            <w:tcBorders>
              <w:top w:val="nil"/>
              <w:left w:val="single" w:sz="4" w:space="0" w:color="auto"/>
              <w:bottom w:val="single" w:sz="4" w:space="0" w:color="auto"/>
              <w:right w:val="single" w:sz="4" w:space="0" w:color="auto"/>
            </w:tcBorders>
            <w:shd w:val="clear" w:color="auto" w:fill="auto"/>
            <w:vAlign w:val="center"/>
          </w:tcPr>
          <w:p w:rsidR="004F534F" w:rsidRPr="00D83C46" w:rsidRDefault="004F534F">
            <w:pPr>
              <w:tabs>
                <w:tab w:val="left" w:pos="-18"/>
                <w:tab w:val="left" w:pos="2844"/>
              </w:tabs>
              <w:jc w:val="center"/>
              <w:rPr>
                <w:szCs w:val="24"/>
              </w:rPr>
            </w:pPr>
            <w:r w:rsidRPr="00D83C46">
              <w:rPr>
                <w:szCs w:val="24"/>
              </w:rPr>
              <w:t>3%</w:t>
            </w:r>
          </w:p>
        </w:tc>
        <w:tc>
          <w:tcPr>
            <w:tcW w:w="3180" w:type="dxa"/>
            <w:tcBorders>
              <w:top w:val="nil"/>
              <w:left w:val="nil"/>
              <w:bottom w:val="single" w:sz="4" w:space="0" w:color="auto"/>
              <w:right w:val="single" w:sz="4" w:space="0" w:color="auto"/>
            </w:tcBorders>
            <w:shd w:val="clear" w:color="auto" w:fill="auto"/>
            <w:vAlign w:val="center"/>
          </w:tcPr>
          <w:p w:rsidR="004F534F" w:rsidRPr="00D83C46" w:rsidRDefault="004F534F">
            <w:pPr>
              <w:jc w:val="center"/>
              <w:rPr>
                <w:szCs w:val="24"/>
              </w:rPr>
            </w:pPr>
            <w:r w:rsidRPr="00D83C46">
              <w:rPr>
                <w:szCs w:val="24"/>
              </w:rPr>
              <w:t>5%</w:t>
            </w:r>
          </w:p>
        </w:tc>
      </w:tr>
      <w:tr w:rsidR="004F534F" w:rsidRPr="00E7636B">
        <w:trPr>
          <w:trHeight w:val="322"/>
        </w:trPr>
        <w:tc>
          <w:tcPr>
            <w:tcW w:w="2992" w:type="dxa"/>
            <w:tcBorders>
              <w:top w:val="single" w:sz="4" w:space="0" w:color="auto"/>
              <w:left w:val="single" w:sz="4" w:space="0" w:color="auto"/>
              <w:bottom w:val="nil"/>
              <w:right w:val="nil"/>
            </w:tcBorders>
            <w:shd w:val="clear" w:color="auto" w:fill="auto"/>
            <w:vAlign w:val="center"/>
          </w:tcPr>
          <w:p w:rsidR="004F534F" w:rsidRPr="00D83C46" w:rsidRDefault="004F534F">
            <w:pPr>
              <w:pStyle w:val="CommentText"/>
              <w:spacing w:before="40" w:after="40"/>
              <w:rPr>
                <w:sz w:val="24"/>
                <w:szCs w:val="24"/>
                <w:lang w:val="en-AU"/>
              </w:rPr>
            </w:pPr>
            <w:r w:rsidRPr="00D83C46">
              <w:rPr>
                <w:sz w:val="24"/>
                <w:szCs w:val="24"/>
                <w:lang w:val="en-AU"/>
              </w:rPr>
              <w:t>Nervous System</w:t>
            </w:r>
          </w:p>
        </w:tc>
        <w:tc>
          <w:tcPr>
            <w:tcW w:w="3180" w:type="dxa"/>
            <w:tcBorders>
              <w:top w:val="single" w:sz="4" w:space="0" w:color="auto"/>
              <w:left w:val="single" w:sz="4" w:space="0" w:color="auto"/>
              <w:bottom w:val="nil"/>
              <w:right w:val="single" w:sz="4" w:space="0" w:color="auto"/>
            </w:tcBorders>
            <w:shd w:val="clear" w:color="auto" w:fill="auto"/>
          </w:tcPr>
          <w:p w:rsidR="004F534F" w:rsidRPr="00D83C46" w:rsidRDefault="004F534F">
            <w:pPr>
              <w:tabs>
                <w:tab w:val="left" w:pos="-18"/>
                <w:tab w:val="left" w:pos="2844"/>
              </w:tabs>
              <w:jc w:val="center"/>
              <w:rPr>
                <w:szCs w:val="24"/>
              </w:rPr>
            </w:pPr>
          </w:p>
        </w:tc>
        <w:tc>
          <w:tcPr>
            <w:tcW w:w="3180" w:type="dxa"/>
            <w:tcBorders>
              <w:top w:val="single" w:sz="4" w:space="0" w:color="auto"/>
              <w:left w:val="nil"/>
              <w:bottom w:val="nil"/>
              <w:right w:val="single" w:sz="4" w:space="0" w:color="auto"/>
            </w:tcBorders>
            <w:shd w:val="clear" w:color="auto" w:fill="auto"/>
          </w:tcPr>
          <w:p w:rsidR="004F534F" w:rsidRPr="00D83C46" w:rsidRDefault="004F534F">
            <w:pPr>
              <w:jc w:val="center"/>
              <w:rPr>
                <w:szCs w:val="24"/>
              </w:rPr>
            </w:pPr>
          </w:p>
        </w:tc>
      </w:tr>
      <w:tr w:rsidR="004F534F" w:rsidRPr="00E7636B">
        <w:trPr>
          <w:trHeight w:val="274"/>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Depression</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11%</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10%</w:t>
            </w:r>
          </w:p>
        </w:tc>
      </w:tr>
      <w:tr w:rsidR="004F534F" w:rsidRPr="00E7636B">
        <w:trPr>
          <w:trHeight w:val="260"/>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40"/>
              <w:ind w:firstLine="158"/>
              <w:rPr>
                <w:szCs w:val="24"/>
              </w:rPr>
            </w:pPr>
            <w:r w:rsidRPr="00D83C46">
              <w:rPr>
                <w:szCs w:val="24"/>
              </w:rPr>
              <w:t>Anxiety</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40"/>
              <w:jc w:val="center"/>
              <w:rPr>
                <w:szCs w:val="24"/>
              </w:rPr>
            </w:pPr>
            <w:r w:rsidRPr="00D83C46">
              <w:rPr>
                <w:szCs w:val="24"/>
              </w:rPr>
              <w:t>6%</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40"/>
              <w:jc w:val="center"/>
              <w:rPr>
                <w:szCs w:val="24"/>
              </w:rPr>
            </w:pPr>
            <w:r w:rsidRPr="00D83C46">
              <w:rPr>
                <w:szCs w:val="24"/>
              </w:rPr>
              <w:t>6%</w:t>
            </w:r>
          </w:p>
        </w:tc>
      </w:tr>
      <w:tr w:rsidR="004F534F" w:rsidRPr="00E7636B">
        <w:trPr>
          <w:trHeight w:val="274"/>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Insomnia</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5%</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8%</w:t>
            </w:r>
          </w:p>
        </w:tc>
      </w:tr>
      <w:tr w:rsidR="004F534F" w:rsidRPr="00E7636B">
        <w:trPr>
          <w:trHeight w:val="258"/>
        </w:trPr>
        <w:tc>
          <w:tcPr>
            <w:tcW w:w="2992" w:type="dxa"/>
            <w:tcBorders>
              <w:top w:val="nil"/>
              <w:left w:val="single" w:sz="4" w:space="0" w:color="auto"/>
              <w:bottom w:val="nil"/>
              <w:right w:val="nil"/>
            </w:tcBorders>
            <w:shd w:val="clear" w:color="auto" w:fill="auto"/>
            <w:vAlign w:val="center"/>
          </w:tcPr>
          <w:p w:rsidR="004F534F" w:rsidRPr="00D83C46" w:rsidRDefault="004F534F">
            <w:pPr>
              <w:spacing w:before="20"/>
              <w:ind w:firstLine="180"/>
              <w:rPr>
                <w:szCs w:val="24"/>
              </w:rPr>
            </w:pPr>
            <w:r w:rsidRPr="00D83C46">
              <w:rPr>
                <w:szCs w:val="24"/>
              </w:rPr>
              <w:t>Dizziness</w:t>
            </w:r>
          </w:p>
        </w:tc>
        <w:tc>
          <w:tcPr>
            <w:tcW w:w="3180" w:type="dxa"/>
            <w:tcBorders>
              <w:top w:val="nil"/>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3%</w:t>
            </w:r>
          </w:p>
        </w:tc>
        <w:tc>
          <w:tcPr>
            <w:tcW w:w="3180" w:type="dxa"/>
            <w:tcBorders>
              <w:top w:val="nil"/>
              <w:left w:val="nil"/>
              <w:bottom w:val="nil"/>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6%</w:t>
            </w:r>
          </w:p>
        </w:tc>
      </w:tr>
      <w:tr w:rsidR="004F534F" w:rsidRPr="00E7636B">
        <w:trPr>
          <w:trHeight w:val="260"/>
        </w:trPr>
        <w:tc>
          <w:tcPr>
            <w:tcW w:w="2992" w:type="dxa"/>
            <w:tcBorders>
              <w:top w:val="nil"/>
              <w:left w:val="single" w:sz="4" w:space="0" w:color="auto"/>
              <w:bottom w:val="single" w:sz="4" w:space="0" w:color="auto"/>
              <w:right w:val="nil"/>
            </w:tcBorders>
            <w:shd w:val="clear" w:color="auto" w:fill="auto"/>
            <w:vAlign w:val="center"/>
          </w:tcPr>
          <w:p w:rsidR="004F534F" w:rsidRPr="00D83C46" w:rsidRDefault="004F534F">
            <w:pPr>
              <w:spacing w:before="40"/>
              <w:ind w:firstLine="158"/>
              <w:rPr>
                <w:szCs w:val="24"/>
              </w:rPr>
            </w:pPr>
            <w:r w:rsidRPr="00D83C46">
              <w:rPr>
                <w:szCs w:val="24"/>
              </w:rPr>
              <w:t xml:space="preserve">Peripheral </w:t>
            </w:r>
            <w:r w:rsidR="00A50400" w:rsidRPr="00D83C46">
              <w:rPr>
                <w:szCs w:val="24"/>
              </w:rPr>
              <w:t>N</w:t>
            </w:r>
            <w:r w:rsidRPr="00D83C46">
              <w:rPr>
                <w:szCs w:val="24"/>
              </w:rPr>
              <w:t>europathy</w:t>
            </w:r>
            <w:r w:rsidRPr="00D83C46">
              <w:rPr>
                <w:szCs w:val="24"/>
                <w:vertAlign w:val="superscript"/>
              </w:rPr>
              <w:t>1</w:t>
            </w:r>
          </w:p>
        </w:tc>
        <w:tc>
          <w:tcPr>
            <w:tcW w:w="3180" w:type="dxa"/>
            <w:tcBorders>
              <w:top w:val="nil"/>
              <w:left w:val="single" w:sz="4" w:space="0" w:color="auto"/>
              <w:bottom w:val="single" w:sz="4" w:space="0" w:color="auto"/>
              <w:right w:val="single" w:sz="4" w:space="0" w:color="auto"/>
            </w:tcBorders>
            <w:shd w:val="clear" w:color="auto" w:fill="auto"/>
            <w:vAlign w:val="center"/>
          </w:tcPr>
          <w:p w:rsidR="004F534F" w:rsidRPr="00D83C46" w:rsidRDefault="004F534F">
            <w:pPr>
              <w:tabs>
                <w:tab w:val="left" w:pos="-18"/>
                <w:tab w:val="left" w:pos="2844"/>
              </w:tabs>
              <w:spacing w:before="40"/>
              <w:jc w:val="center"/>
              <w:rPr>
                <w:szCs w:val="24"/>
              </w:rPr>
            </w:pPr>
            <w:r w:rsidRPr="00D83C46">
              <w:rPr>
                <w:szCs w:val="24"/>
              </w:rPr>
              <w:t>1%</w:t>
            </w:r>
          </w:p>
        </w:tc>
        <w:tc>
          <w:tcPr>
            <w:tcW w:w="3180" w:type="dxa"/>
            <w:tcBorders>
              <w:top w:val="nil"/>
              <w:left w:val="nil"/>
              <w:bottom w:val="single" w:sz="4" w:space="0" w:color="auto"/>
              <w:right w:val="single" w:sz="4" w:space="0" w:color="auto"/>
            </w:tcBorders>
            <w:shd w:val="clear" w:color="auto" w:fill="auto"/>
            <w:vAlign w:val="center"/>
          </w:tcPr>
          <w:p w:rsidR="004F534F" w:rsidRPr="00D83C46" w:rsidRDefault="004F534F">
            <w:pPr>
              <w:spacing w:before="40"/>
              <w:jc w:val="center"/>
              <w:rPr>
                <w:szCs w:val="24"/>
              </w:rPr>
            </w:pPr>
            <w:r w:rsidRPr="00D83C46">
              <w:rPr>
                <w:szCs w:val="24"/>
              </w:rPr>
              <w:t>5%</w:t>
            </w:r>
          </w:p>
        </w:tc>
      </w:tr>
      <w:tr w:rsidR="004F534F" w:rsidRPr="00E7636B">
        <w:trPr>
          <w:trHeight w:val="338"/>
        </w:trPr>
        <w:tc>
          <w:tcPr>
            <w:tcW w:w="2992" w:type="dxa"/>
            <w:tcBorders>
              <w:top w:val="single" w:sz="4" w:space="0" w:color="auto"/>
              <w:left w:val="single" w:sz="4" w:space="0" w:color="auto"/>
              <w:bottom w:val="nil"/>
              <w:right w:val="nil"/>
            </w:tcBorders>
            <w:shd w:val="clear" w:color="auto" w:fill="auto"/>
            <w:vAlign w:val="center"/>
          </w:tcPr>
          <w:p w:rsidR="004F534F" w:rsidRPr="00D83C46" w:rsidRDefault="004F534F">
            <w:pPr>
              <w:pStyle w:val="CommentText"/>
              <w:spacing w:before="40" w:after="40"/>
              <w:rPr>
                <w:sz w:val="24"/>
                <w:szCs w:val="24"/>
                <w:lang w:val="en-AU"/>
              </w:rPr>
            </w:pPr>
            <w:r w:rsidRPr="00D83C46">
              <w:rPr>
                <w:sz w:val="24"/>
                <w:szCs w:val="24"/>
                <w:lang w:val="en-AU"/>
              </w:rPr>
              <w:t>Respiratory</w:t>
            </w:r>
          </w:p>
        </w:tc>
        <w:tc>
          <w:tcPr>
            <w:tcW w:w="3180" w:type="dxa"/>
            <w:tcBorders>
              <w:top w:val="single" w:sz="4" w:space="0" w:color="auto"/>
              <w:left w:val="single" w:sz="4" w:space="0" w:color="auto"/>
              <w:bottom w:val="nil"/>
              <w:right w:val="single" w:sz="4" w:space="0" w:color="auto"/>
            </w:tcBorders>
            <w:shd w:val="clear" w:color="auto" w:fill="auto"/>
            <w:vAlign w:val="center"/>
          </w:tcPr>
          <w:p w:rsidR="004F534F" w:rsidRPr="00D83C46" w:rsidRDefault="004F534F">
            <w:pPr>
              <w:tabs>
                <w:tab w:val="left" w:pos="-18"/>
                <w:tab w:val="left" w:pos="2844"/>
              </w:tabs>
              <w:jc w:val="center"/>
              <w:rPr>
                <w:szCs w:val="24"/>
              </w:rPr>
            </w:pPr>
          </w:p>
        </w:tc>
        <w:tc>
          <w:tcPr>
            <w:tcW w:w="3180" w:type="dxa"/>
            <w:tcBorders>
              <w:top w:val="single" w:sz="4" w:space="0" w:color="auto"/>
              <w:left w:val="nil"/>
              <w:bottom w:val="nil"/>
              <w:right w:val="single" w:sz="4" w:space="0" w:color="auto"/>
            </w:tcBorders>
            <w:shd w:val="clear" w:color="auto" w:fill="auto"/>
            <w:vAlign w:val="center"/>
          </w:tcPr>
          <w:p w:rsidR="004F534F" w:rsidRPr="00D83C46" w:rsidRDefault="004F534F">
            <w:pPr>
              <w:jc w:val="center"/>
              <w:rPr>
                <w:szCs w:val="24"/>
              </w:rPr>
            </w:pPr>
          </w:p>
        </w:tc>
      </w:tr>
      <w:tr w:rsidR="004F534F" w:rsidRPr="00E7636B">
        <w:trPr>
          <w:trHeight w:val="258"/>
        </w:trPr>
        <w:tc>
          <w:tcPr>
            <w:tcW w:w="2992" w:type="dxa"/>
            <w:tcBorders>
              <w:top w:val="nil"/>
              <w:left w:val="single" w:sz="4" w:space="0" w:color="auto"/>
              <w:bottom w:val="single" w:sz="4" w:space="0" w:color="auto"/>
              <w:right w:val="nil"/>
            </w:tcBorders>
            <w:shd w:val="clear" w:color="auto" w:fill="auto"/>
            <w:vAlign w:val="center"/>
          </w:tcPr>
          <w:p w:rsidR="004F534F" w:rsidRPr="00D83C46" w:rsidRDefault="004F534F">
            <w:pPr>
              <w:spacing w:before="20"/>
              <w:ind w:firstLine="180"/>
              <w:rPr>
                <w:szCs w:val="24"/>
              </w:rPr>
            </w:pPr>
            <w:r w:rsidRPr="00D83C46">
              <w:rPr>
                <w:szCs w:val="24"/>
              </w:rPr>
              <w:t>Pneumonia</w:t>
            </w:r>
          </w:p>
        </w:tc>
        <w:tc>
          <w:tcPr>
            <w:tcW w:w="3180" w:type="dxa"/>
            <w:tcBorders>
              <w:top w:val="nil"/>
              <w:left w:val="single" w:sz="4" w:space="0" w:color="auto"/>
              <w:bottom w:val="single" w:sz="4" w:space="0" w:color="auto"/>
              <w:right w:val="single" w:sz="4" w:space="0" w:color="auto"/>
            </w:tcBorders>
            <w:shd w:val="clear" w:color="auto" w:fill="auto"/>
            <w:vAlign w:val="center"/>
          </w:tcPr>
          <w:p w:rsidR="004F534F" w:rsidRPr="00D83C46" w:rsidRDefault="004F534F">
            <w:pPr>
              <w:tabs>
                <w:tab w:val="left" w:pos="-18"/>
                <w:tab w:val="left" w:pos="2844"/>
              </w:tabs>
              <w:spacing w:before="20"/>
              <w:jc w:val="center"/>
              <w:rPr>
                <w:szCs w:val="24"/>
              </w:rPr>
            </w:pPr>
            <w:r w:rsidRPr="00D83C46">
              <w:rPr>
                <w:szCs w:val="24"/>
              </w:rPr>
              <w:t>5%</w:t>
            </w:r>
          </w:p>
        </w:tc>
        <w:tc>
          <w:tcPr>
            <w:tcW w:w="3180" w:type="dxa"/>
            <w:tcBorders>
              <w:top w:val="nil"/>
              <w:left w:val="nil"/>
              <w:bottom w:val="single" w:sz="4" w:space="0" w:color="auto"/>
              <w:right w:val="single" w:sz="4" w:space="0" w:color="auto"/>
            </w:tcBorders>
            <w:shd w:val="clear" w:color="auto" w:fill="auto"/>
            <w:vAlign w:val="center"/>
          </w:tcPr>
          <w:p w:rsidR="004F534F" w:rsidRPr="00D83C46" w:rsidRDefault="004F534F">
            <w:pPr>
              <w:spacing w:before="20"/>
              <w:jc w:val="center"/>
              <w:rPr>
                <w:szCs w:val="24"/>
              </w:rPr>
            </w:pPr>
            <w:r w:rsidRPr="00D83C46">
              <w:rPr>
                <w:szCs w:val="24"/>
              </w:rPr>
              <w:t>5%</w:t>
            </w:r>
          </w:p>
        </w:tc>
      </w:tr>
      <w:tr w:rsidR="004F534F" w:rsidRPr="00E7636B">
        <w:trPr>
          <w:trHeight w:val="338"/>
        </w:trPr>
        <w:tc>
          <w:tcPr>
            <w:tcW w:w="2992" w:type="dxa"/>
            <w:tcBorders>
              <w:top w:val="single" w:sz="4" w:space="0" w:color="auto"/>
              <w:left w:val="single" w:sz="4" w:space="0" w:color="auto"/>
              <w:bottom w:val="nil"/>
              <w:right w:val="nil"/>
            </w:tcBorders>
            <w:shd w:val="clear" w:color="auto" w:fill="auto"/>
            <w:vAlign w:val="center"/>
          </w:tcPr>
          <w:p w:rsidR="004F534F" w:rsidRPr="00D83C46" w:rsidRDefault="004F534F">
            <w:pPr>
              <w:pStyle w:val="CommentText"/>
              <w:spacing w:before="40" w:after="40"/>
              <w:rPr>
                <w:sz w:val="24"/>
                <w:szCs w:val="24"/>
                <w:lang w:val="en-AU"/>
              </w:rPr>
            </w:pPr>
            <w:r w:rsidRPr="00D83C46">
              <w:rPr>
                <w:sz w:val="24"/>
                <w:szCs w:val="24"/>
                <w:lang w:val="en-AU"/>
              </w:rPr>
              <w:t>Skin and Appendages</w:t>
            </w:r>
          </w:p>
        </w:tc>
        <w:tc>
          <w:tcPr>
            <w:tcW w:w="3180" w:type="dxa"/>
            <w:tcBorders>
              <w:top w:val="single" w:sz="4" w:space="0" w:color="auto"/>
              <w:left w:val="single" w:sz="4" w:space="0" w:color="auto"/>
              <w:bottom w:val="nil"/>
              <w:right w:val="single" w:sz="4" w:space="0" w:color="auto"/>
            </w:tcBorders>
            <w:shd w:val="clear" w:color="auto" w:fill="auto"/>
          </w:tcPr>
          <w:p w:rsidR="004F534F" w:rsidRPr="00D83C46" w:rsidRDefault="004F534F">
            <w:pPr>
              <w:tabs>
                <w:tab w:val="left" w:pos="-18"/>
                <w:tab w:val="left" w:pos="2844"/>
              </w:tabs>
              <w:jc w:val="center"/>
              <w:rPr>
                <w:szCs w:val="24"/>
              </w:rPr>
            </w:pPr>
          </w:p>
        </w:tc>
        <w:tc>
          <w:tcPr>
            <w:tcW w:w="3180" w:type="dxa"/>
            <w:tcBorders>
              <w:top w:val="single" w:sz="4" w:space="0" w:color="auto"/>
              <w:left w:val="nil"/>
              <w:bottom w:val="nil"/>
              <w:right w:val="single" w:sz="4" w:space="0" w:color="auto"/>
            </w:tcBorders>
            <w:shd w:val="clear" w:color="auto" w:fill="auto"/>
          </w:tcPr>
          <w:p w:rsidR="004F534F" w:rsidRPr="00D83C46" w:rsidRDefault="004F534F">
            <w:pPr>
              <w:jc w:val="center"/>
              <w:rPr>
                <w:szCs w:val="24"/>
              </w:rPr>
            </w:pPr>
          </w:p>
        </w:tc>
      </w:tr>
      <w:tr w:rsidR="004F534F" w:rsidRPr="00E7636B">
        <w:trPr>
          <w:trHeight w:val="300"/>
        </w:trPr>
        <w:tc>
          <w:tcPr>
            <w:tcW w:w="2992" w:type="dxa"/>
            <w:tcBorders>
              <w:top w:val="nil"/>
              <w:left w:val="single" w:sz="4" w:space="0" w:color="auto"/>
              <w:bottom w:val="single" w:sz="4" w:space="0" w:color="auto"/>
              <w:right w:val="nil"/>
            </w:tcBorders>
            <w:shd w:val="clear" w:color="auto" w:fill="auto"/>
            <w:vAlign w:val="center"/>
          </w:tcPr>
          <w:p w:rsidR="004F534F" w:rsidRPr="00D83C46" w:rsidRDefault="004F534F">
            <w:pPr>
              <w:spacing w:before="40"/>
              <w:ind w:firstLine="180"/>
              <w:rPr>
                <w:szCs w:val="24"/>
              </w:rPr>
            </w:pPr>
            <w:r w:rsidRPr="00D83C46">
              <w:rPr>
                <w:szCs w:val="24"/>
              </w:rPr>
              <w:t>Rash Event</w:t>
            </w:r>
            <w:r w:rsidRPr="00D83C46">
              <w:rPr>
                <w:szCs w:val="24"/>
                <w:vertAlign w:val="superscript"/>
              </w:rPr>
              <w:t>2</w:t>
            </w:r>
          </w:p>
        </w:tc>
        <w:tc>
          <w:tcPr>
            <w:tcW w:w="3180" w:type="dxa"/>
            <w:tcBorders>
              <w:top w:val="nil"/>
              <w:left w:val="single" w:sz="4" w:space="0" w:color="auto"/>
              <w:bottom w:val="single" w:sz="4" w:space="0" w:color="auto"/>
              <w:right w:val="single" w:sz="4" w:space="0" w:color="auto"/>
            </w:tcBorders>
            <w:shd w:val="clear" w:color="auto" w:fill="auto"/>
            <w:vAlign w:val="center"/>
          </w:tcPr>
          <w:p w:rsidR="004F534F" w:rsidRPr="00D83C46" w:rsidRDefault="004F534F">
            <w:pPr>
              <w:tabs>
                <w:tab w:val="left" w:pos="-18"/>
                <w:tab w:val="left" w:pos="2844"/>
              </w:tabs>
              <w:spacing w:before="40"/>
              <w:jc w:val="center"/>
              <w:rPr>
                <w:szCs w:val="24"/>
              </w:rPr>
            </w:pPr>
            <w:r w:rsidRPr="00D83C46">
              <w:rPr>
                <w:szCs w:val="24"/>
              </w:rPr>
              <w:t>18%</w:t>
            </w:r>
          </w:p>
        </w:tc>
        <w:tc>
          <w:tcPr>
            <w:tcW w:w="3180" w:type="dxa"/>
            <w:tcBorders>
              <w:top w:val="nil"/>
              <w:left w:val="nil"/>
              <w:bottom w:val="single" w:sz="4" w:space="0" w:color="auto"/>
              <w:right w:val="single" w:sz="4" w:space="0" w:color="auto"/>
            </w:tcBorders>
            <w:shd w:val="clear" w:color="auto" w:fill="auto"/>
            <w:vAlign w:val="center"/>
          </w:tcPr>
          <w:p w:rsidR="004F534F" w:rsidRPr="00D83C46" w:rsidRDefault="004F534F">
            <w:pPr>
              <w:spacing w:before="40"/>
              <w:jc w:val="center"/>
              <w:rPr>
                <w:szCs w:val="24"/>
              </w:rPr>
            </w:pPr>
            <w:r w:rsidRPr="00D83C46">
              <w:rPr>
                <w:szCs w:val="24"/>
              </w:rPr>
              <w:t>12%</w:t>
            </w:r>
          </w:p>
        </w:tc>
      </w:tr>
    </w:tbl>
    <w:p w:rsidR="004F534F" w:rsidRPr="00D83C46" w:rsidRDefault="004F534F" w:rsidP="00CD44FB">
      <w:pPr>
        <w:numPr>
          <w:ilvl w:val="0"/>
          <w:numId w:val="19"/>
        </w:numPr>
        <w:tabs>
          <w:tab w:val="num" w:pos="270"/>
        </w:tabs>
        <w:ind w:left="360" w:right="1958"/>
        <w:rPr>
          <w:sz w:val="20"/>
        </w:rPr>
      </w:pPr>
      <w:r w:rsidRPr="00D83C46">
        <w:rPr>
          <w:sz w:val="20"/>
        </w:rPr>
        <w:t>Peripheral neuropathy includes peripheral neuritis and neuropathy</w:t>
      </w:r>
    </w:p>
    <w:p w:rsidR="004F534F" w:rsidRPr="00D83C46" w:rsidRDefault="004F534F" w:rsidP="00CD44FB">
      <w:pPr>
        <w:numPr>
          <w:ilvl w:val="0"/>
          <w:numId w:val="19"/>
        </w:numPr>
        <w:tabs>
          <w:tab w:val="num" w:pos="270"/>
        </w:tabs>
        <w:ind w:left="360" w:right="1958"/>
        <w:rPr>
          <w:sz w:val="20"/>
        </w:rPr>
      </w:pPr>
      <w:r w:rsidRPr="00D83C46">
        <w:rPr>
          <w:sz w:val="20"/>
        </w:rPr>
        <w:t xml:space="preserve">Rash event includes rash, pruritus, maculopapular rash, </w:t>
      </w:r>
      <w:proofErr w:type="spellStart"/>
      <w:r w:rsidRPr="00D83C46">
        <w:rPr>
          <w:sz w:val="20"/>
        </w:rPr>
        <w:t>urticaria</w:t>
      </w:r>
      <w:proofErr w:type="spellEnd"/>
      <w:r w:rsidRPr="00D83C46">
        <w:rPr>
          <w:sz w:val="20"/>
        </w:rPr>
        <w:t xml:space="preserve">, </w:t>
      </w:r>
      <w:proofErr w:type="spellStart"/>
      <w:r w:rsidRPr="00D83C46">
        <w:rPr>
          <w:sz w:val="20"/>
        </w:rPr>
        <w:t>vesiculobullous</w:t>
      </w:r>
      <w:proofErr w:type="spellEnd"/>
      <w:r w:rsidRPr="00D83C46">
        <w:rPr>
          <w:sz w:val="20"/>
        </w:rPr>
        <w:t xml:space="preserve"> rash, </w:t>
      </w:r>
      <w:r w:rsidR="00D83C46">
        <w:rPr>
          <w:sz w:val="20"/>
        </w:rPr>
        <w:t>an</w:t>
      </w:r>
      <w:r w:rsidRPr="00D83C46">
        <w:rPr>
          <w:sz w:val="20"/>
        </w:rPr>
        <w:t>d pustular rash</w:t>
      </w:r>
    </w:p>
    <w:p w:rsidR="004F534F" w:rsidRPr="00315BD2" w:rsidRDefault="004F534F" w:rsidP="004F534F">
      <w:pPr>
        <w:tabs>
          <w:tab w:val="num" w:pos="270"/>
        </w:tabs>
        <w:spacing w:after="120"/>
        <w:ind w:left="360" w:right="1958" w:hanging="360"/>
        <w:rPr>
          <w:szCs w:val="24"/>
        </w:rPr>
      </w:pPr>
    </w:p>
    <w:p w:rsidR="004F534F" w:rsidRPr="00315BD2" w:rsidRDefault="004F534F" w:rsidP="004F534F">
      <w:pPr>
        <w:spacing w:after="120"/>
        <w:rPr>
          <w:szCs w:val="24"/>
        </w:rPr>
      </w:pPr>
      <w:r w:rsidRPr="00315BD2">
        <w:rPr>
          <w:b/>
          <w:szCs w:val="24"/>
        </w:rPr>
        <w:t>Laboratory Abnormalities:</w:t>
      </w:r>
      <w:r w:rsidRPr="00315BD2">
        <w:rPr>
          <w:szCs w:val="24"/>
        </w:rPr>
        <w:t xml:space="preserve">  With the exception of triglyceride elevations that were more common in the </w:t>
      </w:r>
      <w:r w:rsidR="002665B4" w:rsidRPr="00315BD2">
        <w:rPr>
          <w:szCs w:val="24"/>
        </w:rPr>
        <w:t>d4T</w:t>
      </w:r>
      <w:r w:rsidRPr="00315BD2">
        <w:rPr>
          <w:szCs w:val="24"/>
        </w:rPr>
        <w:t xml:space="preserve"> group (14%) compared with VIREAD (3%), laboratory abnormalities </w:t>
      </w:r>
      <w:r w:rsidRPr="00315BD2">
        <w:rPr>
          <w:szCs w:val="24"/>
        </w:rPr>
        <w:lastRenderedPageBreak/>
        <w:t xml:space="preserve">observed in this study occurred with similar frequency in the VIREAD and </w:t>
      </w:r>
      <w:r w:rsidR="002665B4" w:rsidRPr="00315BD2">
        <w:rPr>
          <w:szCs w:val="24"/>
        </w:rPr>
        <w:t>d4T</w:t>
      </w:r>
      <w:r w:rsidRPr="00315BD2">
        <w:rPr>
          <w:szCs w:val="24"/>
        </w:rPr>
        <w:t xml:space="preserve"> treatment arms.  A summary of Grade 3 and 4 laboratory abnormalities is provided in</w:t>
      </w:r>
      <w:r w:rsidR="00DA5725" w:rsidRPr="00315BD2">
        <w:rPr>
          <w:szCs w:val="24"/>
        </w:rPr>
        <w:t xml:space="preserve"> Table 15</w:t>
      </w:r>
      <w:r w:rsidRPr="00315BD2">
        <w:rPr>
          <w:szCs w:val="24"/>
        </w:rPr>
        <w:t>.</w:t>
      </w:r>
    </w:p>
    <w:p w:rsidR="004F534F" w:rsidRPr="00315BD2" w:rsidRDefault="004F534F" w:rsidP="004F534F">
      <w:pPr>
        <w:tabs>
          <w:tab w:val="left" w:pos="8820"/>
        </w:tabs>
        <w:rPr>
          <w:color w:val="000000"/>
          <w:szCs w:val="24"/>
        </w:rPr>
      </w:pPr>
    </w:p>
    <w:p w:rsidR="004F534F" w:rsidRPr="007A6D8B" w:rsidRDefault="007A6D8B" w:rsidP="00F509F7">
      <w:pPr>
        <w:pStyle w:val="Caption"/>
        <w:ind w:left="1418" w:hanging="1418"/>
      </w:pPr>
      <w:bookmarkStart w:id="17" w:name="_Ref159392388"/>
      <w:proofErr w:type="gramStart"/>
      <w:r w:rsidRPr="007A6D8B">
        <w:t xml:space="preserve">Table </w:t>
      </w:r>
      <w:r w:rsidRPr="007A6D8B">
        <w:fldChar w:fldCharType="begin"/>
      </w:r>
      <w:r w:rsidRPr="007A6D8B">
        <w:instrText xml:space="preserve"> SEQ Table \* ARABIC </w:instrText>
      </w:r>
      <w:r w:rsidRPr="007A6D8B">
        <w:fldChar w:fldCharType="separate"/>
      </w:r>
      <w:r w:rsidR="00440D32">
        <w:rPr>
          <w:noProof/>
        </w:rPr>
        <w:t>15</w:t>
      </w:r>
      <w:r w:rsidRPr="007A6D8B">
        <w:fldChar w:fldCharType="end"/>
      </w:r>
      <w:bookmarkEnd w:id="17"/>
      <w:r w:rsidR="004F534F" w:rsidRPr="007A6D8B">
        <w:t>.</w:t>
      </w:r>
      <w:proofErr w:type="gramEnd"/>
      <w:r w:rsidR="004F534F" w:rsidRPr="007A6D8B">
        <w:tab/>
        <w:t xml:space="preserve">Grade 3/4 Laboratory Abnormalities Reported in </w:t>
      </w:r>
      <w:r w:rsidR="004F534F" w:rsidRPr="007A6D8B">
        <w:sym w:font="Symbol" w:char="00B3"/>
      </w:r>
      <w:r w:rsidR="004F534F" w:rsidRPr="007A6D8B">
        <w:t> 1% of VIREAD-Treated Patients in Study 903 (0–144 weeks)</w:t>
      </w:r>
    </w:p>
    <w:tbl>
      <w:tblPr>
        <w:tblW w:w="0" w:type="auto"/>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3150"/>
        <w:gridCol w:w="2925"/>
        <w:gridCol w:w="2925"/>
      </w:tblGrid>
      <w:tr w:rsidR="001E73C3" w:rsidRPr="00E7636B" w:rsidTr="00A72E9F">
        <w:tc>
          <w:tcPr>
            <w:tcW w:w="3150" w:type="dxa"/>
            <w:vMerge w:val="restart"/>
            <w:tcBorders>
              <w:top w:val="single" w:sz="4" w:space="0" w:color="auto"/>
              <w:left w:val="single" w:sz="4" w:space="0" w:color="auto"/>
              <w:right w:val="single" w:sz="6" w:space="0" w:color="000000"/>
            </w:tcBorders>
            <w:shd w:val="clear" w:color="auto" w:fill="auto"/>
            <w:vAlign w:val="center"/>
          </w:tcPr>
          <w:p w:rsidR="001E73C3" w:rsidRPr="00D83C46" w:rsidRDefault="001E73C3">
            <w:pPr>
              <w:pStyle w:val="Table-Text"/>
              <w:spacing w:before="60"/>
              <w:jc w:val="center"/>
              <w:rPr>
                <w:b/>
                <w:sz w:val="24"/>
                <w:szCs w:val="24"/>
                <w:lang w:val="en-AU"/>
              </w:rPr>
            </w:pPr>
          </w:p>
        </w:tc>
        <w:tc>
          <w:tcPr>
            <w:tcW w:w="2925" w:type="dxa"/>
            <w:tcBorders>
              <w:top w:val="single" w:sz="4" w:space="0" w:color="auto"/>
              <w:left w:val="single" w:sz="6" w:space="0" w:color="000000"/>
              <w:bottom w:val="single" w:sz="4" w:space="0" w:color="auto"/>
              <w:right w:val="single" w:sz="6" w:space="0" w:color="000000"/>
            </w:tcBorders>
            <w:shd w:val="clear" w:color="auto" w:fill="auto"/>
            <w:vAlign w:val="center"/>
          </w:tcPr>
          <w:p w:rsidR="001E73C3" w:rsidRPr="00D83C46" w:rsidRDefault="001E73C3">
            <w:pPr>
              <w:pStyle w:val="Table-Text"/>
              <w:spacing w:before="60"/>
              <w:jc w:val="center"/>
              <w:rPr>
                <w:b/>
                <w:sz w:val="24"/>
                <w:szCs w:val="24"/>
                <w:lang w:val="en-AU"/>
              </w:rPr>
            </w:pPr>
            <w:r w:rsidRPr="00D83C46">
              <w:rPr>
                <w:b/>
                <w:sz w:val="24"/>
                <w:szCs w:val="24"/>
                <w:lang w:val="en-AU"/>
              </w:rPr>
              <w:t>VIREAD+3TC+EFV</w:t>
            </w:r>
          </w:p>
        </w:tc>
        <w:tc>
          <w:tcPr>
            <w:tcW w:w="2925" w:type="dxa"/>
            <w:tcBorders>
              <w:top w:val="single" w:sz="4" w:space="0" w:color="auto"/>
              <w:left w:val="single" w:sz="6" w:space="0" w:color="000000"/>
              <w:bottom w:val="single" w:sz="4" w:space="0" w:color="auto"/>
              <w:right w:val="single" w:sz="4" w:space="0" w:color="auto"/>
            </w:tcBorders>
            <w:shd w:val="clear" w:color="auto" w:fill="auto"/>
            <w:vAlign w:val="center"/>
          </w:tcPr>
          <w:p w:rsidR="001E73C3" w:rsidRPr="00D83C46" w:rsidRDefault="001E73C3">
            <w:pPr>
              <w:spacing w:before="60"/>
              <w:jc w:val="center"/>
              <w:rPr>
                <w:b/>
                <w:szCs w:val="24"/>
              </w:rPr>
            </w:pPr>
            <w:r w:rsidRPr="00D83C46">
              <w:rPr>
                <w:b/>
                <w:szCs w:val="24"/>
              </w:rPr>
              <w:t>d4T+3TC+EFV</w:t>
            </w:r>
          </w:p>
        </w:tc>
      </w:tr>
      <w:tr w:rsidR="001E73C3" w:rsidRPr="00E7636B" w:rsidTr="00A72E9F">
        <w:tc>
          <w:tcPr>
            <w:tcW w:w="3150" w:type="dxa"/>
            <w:vMerge/>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1E73C3" w:rsidRPr="00D83C46" w:rsidRDefault="001E73C3">
            <w:pPr>
              <w:pStyle w:val="Table-Text"/>
              <w:spacing w:before="60"/>
              <w:rPr>
                <w:sz w:val="24"/>
                <w:szCs w:val="24"/>
                <w:lang w:val="en-AU"/>
              </w:rPr>
            </w:pPr>
          </w:p>
        </w:tc>
        <w:tc>
          <w:tcPr>
            <w:tcW w:w="2925" w:type="dxa"/>
            <w:tcBorders>
              <w:top w:val="nil"/>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E73C3" w:rsidRPr="00D83C46" w:rsidRDefault="001E73C3">
            <w:pPr>
              <w:spacing w:before="60"/>
              <w:jc w:val="center"/>
              <w:rPr>
                <w:b/>
                <w:szCs w:val="24"/>
              </w:rPr>
            </w:pPr>
            <w:r w:rsidRPr="00D83C46">
              <w:rPr>
                <w:b/>
                <w:szCs w:val="24"/>
              </w:rPr>
              <w:t>N=299</w:t>
            </w:r>
          </w:p>
        </w:tc>
        <w:tc>
          <w:tcPr>
            <w:tcW w:w="2925" w:type="dxa"/>
            <w:tcBorders>
              <w:top w:val="nil"/>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E73C3" w:rsidRPr="00D83C46" w:rsidRDefault="001E73C3">
            <w:pPr>
              <w:spacing w:before="60"/>
              <w:jc w:val="center"/>
              <w:rPr>
                <w:b/>
                <w:szCs w:val="24"/>
              </w:rPr>
            </w:pPr>
            <w:r w:rsidRPr="00D83C46">
              <w:rPr>
                <w:b/>
                <w:szCs w:val="24"/>
              </w:rPr>
              <w:t>N=301</w:t>
            </w:r>
          </w:p>
        </w:tc>
      </w:tr>
      <w:tr w:rsidR="004F534F" w:rsidRPr="00E7636B">
        <w:trPr>
          <w:trHeight w:val="597"/>
        </w:trPr>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rsidP="00D83C46">
            <w:pPr>
              <w:pStyle w:val="Table-Text"/>
              <w:spacing w:before="40" w:after="40"/>
              <w:jc w:val="left"/>
              <w:rPr>
                <w:sz w:val="24"/>
                <w:szCs w:val="24"/>
                <w:lang w:val="en-AU"/>
              </w:rPr>
            </w:pPr>
            <w:r w:rsidRPr="00D83C46">
              <w:rPr>
                <w:sz w:val="24"/>
                <w:szCs w:val="24"/>
                <w:lang w:val="en-AU"/>
              </w:rPr>
              <w:t xml:space="preserve">Any </w:t>
            </w:r>
            <w:r w:rsidRPr="00D83C46">
              <w:rPr>
                <w:sz w:val="24"/>
                <w:szCs w:val="24"/>
                <w:lang w:val="en-AU"/>
              </w:rPr>
              <w:sym w:font="Symbol" w:char="00B3"/>
            </w:r>
            <w:r w:rsidRPr="00D83C46">
              <w:rPr>
                <w:sz w:val="24"/>
                <w:szCs w:val="24"/>
                <w:lang w:val="en-AU"/>
              </w:rPr>
              <w:t xml:space="preserve"> Grade 3 Laboratory Abnormality</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pPr>
              <w:pStyle w:val="Table-Text"/>
              <w:spacing w:before="40" w:after="40"/>
              <w:jc w:val="center"/>
              <w:rPr>
                <w:sz w:val="24"/>
                <w:szCs w:val="24"/>
                <w:lang w:val="en-AU"/>
              </w:rPr>
            </w:pPr>
            <w:r w:rsidRPr="00D83C46">
              <w:rPr>
                <w:sz w:val="24"/>
                <w:szCs w:val="24"/>
                <w:lang w:val="en-AU"/>
              </w:rPr>
              <w:t>36%</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4F534F" w:rsidRPr="00D83C46" w:rsidRDefault="004F534F">
            <w:pPr>
              <w:pStyle w:val="Table-Text"/>
              <w:spacing w:before="40" w:after="40"/>
              <w:jc w:val="center"/>
              <w:rPr>
                <w:sz w:val="24"/>
                <w:szCs w:val="24"/>
                <w:lang w:val="en-AU"/>
              </w:rPr>
            </w:pPr>
            <w:r w:rsidRPr="00D83C46">
              <w:rPr>
                <w:sz w:val="24"/>
                <w:szCs w:val="24"/>
                <w:lang w:val="en-AU"/>
              </w:rPr>
              <w:t>42%</w:t>
            </w:r>
          </w:p>
        </w:tc>
      </w:tr>
      <w:tr w:rsidR="004F534F" w:rsidRPr="00E7636B">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4F534F" w:rsidRPr="00D83C46" w:rsidRDefault="004F534F" w:rsidP="00D83C46">
            <w:pPr>
              <w:pStyle w:val="TOC4"/>
              <w:ind w:left="0"/>
              <w:jc w:val="left"/>
              <w:rPr>
                <w:szCs w:val="24"/>
                <w:lang w:val="es-ES"/>
              </w:rPr>
            </w:pPr>
            <w:proofErr w:type="spellStart"/>
            <w:r w:rsidRPr="00D83C46">
              <w:rPr>
                <w:szCs w:val="24"/>
                <w:lang w:val="es-ES"/>
              </w:rPr>
              <w:t>Creatine</w:t>
            </w:r>
            <w:proofErr w:type="spellEnd"/>
            <w:r w:rsidRPr="00D83C46">
              <w:rPr>
                <w:szCs w:val="24"/>
                <w:lang w:val="es-ES"/>
              </w:rPr>
              <w:t xml:space="preserve"> </w:t>
            </w:r>
            <w:proofErr w:type="spellStart"/>
            <w:r w:rsidRPr="00D83C46">
              <w:rPr>
                <w:szCs w:val="24"/>
                <w:lang w:val="es-ES"/>
              </w:rPr>
              <w:t>Kinase</w:t>
            </w:r>
            <w:proofErr w:type="spellEnd"/>
            <w:r w:rsidRPr="00D83C46">
              <w:rPr>
                <w:szCs w:val="24"/>
                <w:lang w:val="es-ES"/>
              </w:rPr>
              <w:br/>
              <w:t>(M: &gt; 990 U/L)</w:t>
            </w:r>
          </w:p>
          <w:p w:rsidR="004F534F" w:rsidRPr="00D83C46" w:rsidRDefault="004F534F" w:rsidP="00D83C46">
            <w:pPr>
              <w:pStyle w:val="TOC4"/>
              <w:ind w:left="0"/>
              <w:jc w:val="left"/>
              <w:rPr>
                <w:szCs w:val="24"/>
              </w:rPr>
            </w:pPr>
            <w:r w:rsidRPr="00D83C46">
              <w:rPr>
                <w:szCs w:val="24"/>
              </w:rPr>
              <w:t>(F: &gt; 845 U/L)</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pPr>
              <w:pStyle w:val="Table-Text"/>
              <w:spacing w:before="40" w:after="40"/>
              <w:jc w:val="center"/>
              <w:rPr>
                <w:sz w:val="24"/>
                <w:szCs w:val="24"/>
                <w:lang w:val="en-AU"/>
              </w:rPr>
            </w:pPr>
            <w:r w:rsidRPr="00D83C46">
              <w:rPr>
                <w:sz w:val="24"/>
                <w:szCs w:val="24"/>
                <w:lang w:val="en-AU"/>
              </w:rPr>
              <w:t>12%</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4F534F" w:rsidRPr="00D83C46" w:rsidRDefault="004F534F">
            <w:pPr>
              <w:pStyle w:val="Table-Text"/>
              <w:spacing w:before="40" w:after="40"/>
              <w:jc w:val="center"/>
              <w:rPr>
                <w:sz w:val="24"/>
                <w:szCs w:val="24"/>
                <w:lang w:val="en-AU"/>
              </w:rPr>
            </w:pPr>
            <w:r w:rsidRPr="00D83C46">
              <w:rPr>
                <w:sz w:val="24"/>
                <w:szCs w:val="24"/>
                <w:lang w:val="en-AU"/>
              </w:rPr>
              <w:t>12%</w:t>
            </w:r>
          </w:p>
        </w:tc>
      </w:tr>
      <w:tr w:rsidR="004F534F" w:rsidRPr="00E7636B">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rsidP="00D83C46">
            <w:pPr>
              <w:pStyle w:val="Table-Text"/>
              <w:tabs>
                <w:tab w:val="clear" w:pos="360"/>
              </w:tabs>
              <w:spacing w:before="40" w:after="40"/>
              <w:jc w:val="left"/>
              <w:rPr>
                <w:sz w:val="24"/>
                <w:szCs w:val="24"/>
                <w:lang w:val="en-AU"/>
              </w:rPr>
            </w:pPr>
            <w:r w:rsidRPr="00D83C46">
              <w:rPr>
                <w:sz w:val="24"/>
                <w:szCs w:val="24"/>
                <w:lang w:val="en-AU"/>
              </w:rPr>
              <w:t>Serum Amylase (&gt;175 U/L)</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pPr>
              <w:pStyle w:val="Table-Text"/>
              <w:spacing w:before="40" w:after="40"/>
              <w:jc w:val="center"/>
              <w:rPr>
                <w:sz w:val="24"/>
                <w:szCs w:val="24"/>
                <w:lang w:val="en-AU"/>
              </w:rPr>
            </w:pPr>
            <w:r w:rsidRPr="00D83C46">
              <w:rPr>
                <w:sz w:val="24"/>
                <w:szCs w:val="24"/>
                <w:lang w:val="en-AU"/>
              </w:rPr>
              <w:t>9%</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4F534F" w:rsidRPr="00D83C46" w:rsidRDefault="004F534F">
            <w:pPr>
              <w:pStyle w:val="Table-Text"/>
              <w:spacing w:before="40" w:after="40"/>
              <w:jc w:val="center"/>
              <w:rPr>
                <w:sz w:val="24"/>
                <w:szCs w:val="24"/>
                <w:lang w:val="en-AU"/>
              </w:rPr>
            </w:pPr>
            <w:r w:rsidRPr="00D83C46">
              <w:rPr>
                <w:sz w:val="24"/>
                <w:szCs w:val="24"/>
                <w:lang w:val="en-AU"/>
              </w:rPr>
              <w:t>8%</w:t>
            </w:r>
          </w:p>
        </w:tc>
      </w:tr>
      <w:tr w:rsidR="004F534F" w:rsidRPr="00E7636B">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rsidP="00D83C46">
            <w:pPr>
              <w:pStyle w:val="CommentText"/>
              <w:tabs>
                <w:tab w:val="left" w:pos="342"/>
              </w:tabs>
              <w:spacing w:before="60" w:after="60"/>
              <w:jc w:val="left"/>
              <w:rPr>
                <w:sz w:val="24"/>
                <w:szCs w:val="24"/>
                <w:lang w:val="en-AU"/>
              </w:rPr>
            </w:pPr>
            <w:r w:rsidRPr="00D83C46">
              <w:rPr>
                <w:sz w:val="24"/>
                <w:szCs w:val="24"/>
                <w:lang w:val="en-AU"/>
              </w:rPr>
              <w:t>AST</w:t>
            </w:r>
            <w:r w:rsidRPr="00D83C46">
              <w:rPr>
                <w:sz w:val="24"/>
                <w:szCs w:val="24"/>
                <w:lang w:val="en-AU"/>
              </w:rPr>
              <w:br/>
              <w:t>(M:</w:t>
            </w:r>
            <w:r w:rsidR="00D83C46">
              <w:rPr>
                <w:sz w:val="24"/>
                <w:szCs w:val="24"/>
                <w:lang w:val="en-AU"/>
              </w:rPr>
              <w:t xml:space="preserve"> </w:t>
            </w:r>
            <w:r w:rsidRPr="00D83C46">
              <w:rPr>
                <w:sz w:val="24"/>
                <w:szCs w:val="24"/>
                <w:lang w:val="en-AU"/>
              </w:rPr>
              <w:t>&gt;180 U/L)</w:t>
            </w:r>
            <w:r w:rsidRPr="00D83C46">
              <w:rPr>
                <w:sz w:val="24"/>
                <w:szCs w:val="24"/>
                <w:lang w:val="en-AU"/>
              </w:rPr>
              <w:br/>
              <w:t>(F:</w:t>
            </w:r>
            <w:r w:rsidRPr="00D83C46">
              <w:rPr>
                <w:sz w:val="24"/>
                <w:szCs w:val="24"/>
                <w:lang w:val="en-AU"/>
              </w:rPr>
              <w:tab/>
              <w:t>&gt;170 U/L)</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pPr>
              <w:pStyle w:val="Table-Text"/>
              <w:spacing w:before="40" w:after="40"/>
              <w:jc w:val="center"/>
              <w:rPr>
                <w:sz w:val="24"/>
                <w:szCs w:val="24"/>
                <w:lang w:val="en-AU"/>
              </w:rPr>
            </w:pPr>
            <w:r w:rsidRPr="00D83C46">
              <w:rPr>
                <w:sz w:val="24"/>
                <w:szCs w:val="24"/>
                <w:lang w:val="en-AU"/>
              </w:rPr>
              <w:t>5%</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4F534F" w:rsidRPr="00D83C46" w:rsidRDefault="004F534F">
            <w:pPr>
              <w:pStyle w:val="Table-Text"/>
              <w:spacing w:before="40" w:after="40"/>
              <w:jc w:val="center"/>
              <w:rPr>
                <w:sz w:val="24"/>
                <w:szCs w:val="24"/>
                <w:lang w:val="en-AU"/>
              </w:rPr>
            </w:pPr>
            <w:r w:rsidRPr="00D83C46">
              <w:rPr>
                <w:sz w:val="24"/>
                <w:szCs w:val="24"/>
                <w:lang w:val="en-AU"/>
              </w:rPr>
              <w:t>7%</w:t>
            </w:r>
          </w:p>
        </w:tc>
      </w:tr>
      <w:tr w:rsidR="004F534F" w:rsidRPr="00E7636B">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rsidP="00D83C46">
            <w:pPr>
              <w:pStyle w:val="CommentText"/>
              <w:tabs>
                <w:tab w:val="left" w:pos="342"/>
              </w:tabs>
              <w:spacing w:before="60" w:after="60"/>
              <w:jc w:val="left"/>
              <w:rPr>
                <w:sz w:val="24"/>
                <w:szCs w:val="24"/>
                <w:lang w:val="en-AU"/>
              </w:rPr>
            </w:pPr>
            <w:r w:rsidRPr="00D83C46">
              <w:rPr>
                <w:sz w:val="24"/>
                <w:szCs w:val="24"/>
                <w:lang w:val="en-AU"/>
              </w:rPr>
              <w:t>ALT</w:t>
            </w:r>
            <w:r w:rsidRPr="00D83C46">
              <w:rPr>
                <w:sz w:val="24"/>
                <w:szCs w:val="24"/>
                <w:lang w:val="en-AU"/>
              </w:rPr>
              <w:br/>
              <w:t>(M:</w:t>
            </w:r>
            <w:r w:rsidR="00D83C46">
              <w:rPr>
                <w:sz w:val="24"/>
                <w:szCs w:val="24"/>
                <w:lang w:val="en-AU"/>
              </w:rPr>
              <w:t xml:space="preserve"> </w:t>
            </w:r>
            <w:r w:rsidRPr="00D83C46">
              <w:rPr>
                <w:sz w:val="24"/>
                <w:szCs w:val="24"/>
                <w:lang w:val="en-AU"/>
              </w:rPr>
              <w:t>&gt;215 U/L)</w:t>
            </w:r>
            <w:r w:rsidRPr="00D83C46">
              <w:rPr>
                <w:sz w:val="24"/>
                <w:szCs w:val="24"/>
                <w:lang w:val="en-AU"/>
              </w:rPr>
              <w:br/>
              <w:t>(F:</w:t>
            </w:r>
            <w:r w:rsidRPr="00D83C46">
              <w:rPr>
                <w:sz w:val="24"/>
                <w:szCs w:val="24"/>
                <w:lang w:val="en-AU"/>
              </w:rPr>
              <w:tab/>
              <w:t>&gt;170 U/L)</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pPr>
              <w:pStyle w:val="Table-Text"/>
              <w:spacing w:before="40" w:after="40"/>
              <w:jc w:val="center"/>
              <w:rPr>
                <w:sz w:val="24"/>
                <w:szCs w:val="24"/>
                <w:lang w:val="en-AU"/>
              </w:rPr>
            </w:pPr>
            <w:r w:rsidRPr="00D83C46">
              <w:rPr>
                <w:sz w:val="24"/>
                <w:szCs w:val="24"/>
                <w:lang w:val="en-AU"/>
              </w:rPr>
              <w:t>4%</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4F534F" w:rsidRPr="00D83C46" w:rsidRDefault="004F534F">
            <w:pPr>
              <w:pStyle w:val="Table-Text"/>
              <w:spacing w:before="40" w:after="40"/>
              <w:jc w:val="center"/>
              <w:rPr>
                <w:sz w:val="24"/>
                <w:szCs w:val="24"/>
                <w:lang w:val="en-AU"/>
              </w:rPr>
            </w:pPr>
            <w:r w:rsidRPr="00D83C46">
              <w:rPr>
                <w:sz w:val="24"/>
                <w:szCs w:val="24"/>
                <w:lang w:val="en-AU"/>
              </w:rPr>
              <w:t>5%</w:t>
            </w:r>
          </w:p>
        </w:tc>
      </w:tr>
      <w:tr w:rsidR="004F534F" w:rsidRPr="00E7636B">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rsidP="00D83C46">
            <w:pPr>
              <w:spacing w:before="60" w:after="60"/>
              <w:jc w:val="left"/>
              <w:rPr>
                <w:szCs w:val="24"/>
              </w:rPr>
            </w:pPr>
            <w:proofErr w:type="spellStart"/>
            <w:r w:rsidRPr="00D83C46">
              <w:rPr>
                <w:szCs w:val="24"/>
              </w:rPr>
              <w:t>Haematuria</w:t>
            </w:r>
            <w:proofErr w:type="spellEnd"/>
            <w:r w:rsidRPr="00D83C46">
              <w:rPr>
                <w:szCs w:val="24"/>
              </w:rPr>
              <w:t xml:space="preserve"> </w:t>
            </w:r>
            <w:r w:rsidRPr="00D83C46">
              <w:rPr>
                <w:snapToGrid w:val="0"/>
                <w:szCs w:val="24"/>
              </w:rPr>
              <w:t>(</w:t>
            </w:r>
            <w:r w:rsidRPr="00D83C46">
              <w:rPr>
                <w:szCs w:val="24"/>
              </w:rPr>
              <w:t>&gt;</w:t>
            </w:r>
            <w:r w:rsidRPr="00D83C46">
              <w:rPr>
                <w:snapToGrid w:val="0"/>
                <w:szCs w:val="24"/>
              </w:rPr>
              <w:t>100 RBC/HPF)</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pPr>
              <w:pStyle w:val="Table-Text"/>
              <w:spacing w:before="60" w:after="60"/>
              <w:jc w:val="center"/>
              <w:rPr>
                <w:sz w:val="24"/>
                <w:szCs w:val="24"/>
                <w:lang w:val="en-AU"/>
              </w:rPr>
            </w:pPr>
            <w:r w:rsidRPr="00D83C46">
              <w:rPr>
                <w:sz w:val="24"/>
                <w:szCs w:val="24"/>
                <w:lang w:val="en-AU"/>
              </w:rPr>
              <w:t>7%</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4F534F" w:rsidRPr="00D83C46" w:rsidRDefault="004F534F">
            <w:pPr>
              <w:pStyle w:val="Table-Text"/>
              <w:spacing w:before="60" w:after="60"/>
              <w:jc w:val="center"/>
              <w:rPr>
                <w:sz w:val="24"/>
                <w:szCs w:val="24"/>
                <w:lang w:val="en-AU"/>
              </w:rPr>
            </w:pPr>
            <w:r w:rsidRPr="00D83C46">
              <w:rPr>
                <w:sz w:val="24"/>
                <w:szCs w:val="24"/>
                <w:lang w:val="en-AU"/>
              </w:rPr>
              <w:t>7%</w:t>
            </w:r>
          </w:p>
        </w:tc>
      </w:tr>
      <w:tr w:rsidR="004F534F" w:rsidRPr="00E7636B" w:rsidTr="00D83C46">
        <w:trPr>
          <w:trHeight w:val="72"/>
        </w:trPr>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rsidP="00D83C46">
            <w:pPr>
              <w:spacing w:before="60" w:after="60"/>
              <w:jc w:val="left"/>
              <w:rPr>
                <w:szCs w:val="24"/>
              </w:rPr>
            </w:pPr>
            <w:r w:rsidRPr="00D83C46">
              <w:rPr>
                <w:szCs w:val="24"/>
              </w:rPr>
              <w:t>Neutrophil (&lt;750/mm</w:t>
            </w:r>
            <w:r w:rsidRPr="00D83C46">
              <w:rPr>
                <w:szCs w:val="24"/>
                <w:vertAlign w:val="superscript"/>
              </w:rPr>
              <w:t>3</w:t>
            </w:r>
            <w:r w:rsidRPr="00D83C46">
              <w:rPr>
                <w:szCs w:val="24"/>
              </w:rPr>
              <w:t>)</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pPr>
              <w:pStyle w:val="Table-Text"/>
              <w:spacing w:before="60" w:after="60"/>
              <w:jc w:val="center"/>
              <w:rPr>
                <w:sz w:val="24"/>
                <w:szCs w:val="24"/>
                <w:lang w:val="en-AU"/>
              </w:rPr>
            </w:pPr>
            <w:r w:rsidRPr="00D83C46">
              <w:rPr>
                <w:sz w:val="24"/>
                <w:szCs w:val="24"/>
                <w:lang w:val="en-AU"/>
              </w:rPr>
              <w:t>3%</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4F534F" w:rsidRPr="00D83C46" w:rsidRDefault="004F534F">
            <w:pPr>
              <w:pStyle w:val="Table-Text"/>
              <w:spacing w:before="60" w:after="60"/>
              <w:jc w:val="center"/>
              <w:rPr>
                <w:sz w:val="24"/>
                <w:szCs w:val="24"/>
                <w:lang w:val="en-AU"/>
              </w:rPr>
            </w:pPr>
            <w:r w:rsidRPr="00D83C46">
              <w:rPr>
                <w:sz w:val="24"/>
                <w:szCs w:val="24"/>
                <w:lang w:val="en-AU"/>
              </w:rPr>
              <w:t>1%</w:t>
            </w:r>
          </w:p>
        </w:tc>
      </w:tr>
      <w:tr w:rsidR="004F534F" w:rsidRPr="00E7636B">
        <w:tc>
          <w:tcPr>
            <w:tcW w:w="3150" w:type="dxa"/>
            <w:tcBorders>
              <w:top w:val="single" w:sz="6" w:space="0" w:color="000000"/>
              <w:left w:val="single" w:sz="4" w:space="0" w:color="auto"/>
              <w:bottom w:val="single" w:sz="12"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rsidP="00D83C46">
            <w:pPr>
              <w:pStyle w:val="TOC4"/>
              <w:ind w:left="0"/>
              <w:jc w:val="left"/>
              <w:rPr>
                <w:szCs w:val="24"/>
              </w:rPr>
            </w:pPr>
            <w:r w:rsidRPr="00D83C46">
              <w:rPr>
                <w:szCs w:val="24"/>
              </w:rPr>
              <w:t>Triglyceride (&gt;750 mg/</w:t>
            </w:r>
            <w:proofErr w:type="spellStart"/>
            <w:r w:rsidRPr="00D83C46">
              <w:rPr>
                <w:szCs w:val="24"/>
              </w:rPr>
              <w:t>dL</w:t>
            </w:r>
            <w:proofErr w:type="spellEnd"/>
            <w:r w:rsidRPr="00D83C46">
              <w:rPr>
                <w:szCs w:val="24"/>
              </w:rPr>
              <w:t>)</w:t>
            </w:r>
          </w:p>
        </w:tc>
        <w:tc>
          <w:tcPr>
            <w:tcW w:w="2925"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F534F" w:rsidRPr="00D83C46" w:rsidRDefault="004F534F">
            <w:pPr>
              <w:pStyle w:val="Table-Text"/>
              <w:spacing w:before="60" w:after="60"/>
              <w:jc w:val="center"/>
              <w:rPr>
                <w:sz w:val="24"/>
                <w:szCs w:val="24"/>
                <w:lang w:val="en-AU"/>
              </w:rPr>
            </w:pPr>
            <w:r w:rsidRPr="00D83C46">
              <w:rPr>
                <w:sz w:val="24"/>
                <w:szCs w:val="24"/>
                <w:lang w:val="en-AU"/>
              </w:rPr>
              <w:t>3%</w:t>
            </w:r>
          </w:p>
        </w:tc>
        <w:tc>
          <w:tcPr>
            <w:tcW w:w="2925" w:type="dxa"/>
            <w:tcBorders>
              <w:top w:val="single" w:sz="6" w:space="0" w:color="000000"/>
              <w:left w:val="single" w:sz="6" w:space="0" w:color="000000"/>
              <w:bottom w:val="single" w:sz="12" w:space="0" w:color="000000"/>
              <w:right w:val="single" w:sz="4" w:space="0" w:color="auto"/>
            </w:tcBorders>
            <w:shd w:val="clear" w:color="auto" w:fill="auto"/>
            <w:tcMar>
              <w:top w:w="0" w:type="dxa"/>
              <w:left w:w="108" w:type="dxa"/>
              <w:bottom w:w="0" w:type="dxa"/>
              <w:right w:w="108" w:type="dxa"/>
            </w:tcMar>
            <w:vAlign w:val="center"/>
          </w:tcPr>
          <w:p w:rsidR="004F534F" w:rsidRPr="00D83C46" w:rsidRDefault="00953B21">
            <w:pPr>
              <w:pStyle w:val="Table-Text"/>
              <w:spacing w:before="60" w:after="60"/>
              <w:jc w:val="center"/>
              <w:rPr>
                <w:sz w:val="24"/>
                <w:szCs w:val="24"/>
                <w:lang w:val="en-AU"/>
              </w:rPr>
            </w:pPr>
            <w:r w:rsidRPr="00D83C46">
              <w:rPr>
                <w:sz w:val="24"/>
                <w:szCs w:val="24"/>
                <w:lang w:val="en-AU"/>
              </w:rPr>
              <w:t>13</w:t>
            </w:r>
            <w:r w:rsidR="004F534F" w:rsidRPr="00D83C46">
              <w:rPr>
                <w:sz w:val="24"/>
                <w:szCs w:val="24"/>
                <w:lang w:val="en-AU"/>
              </w:rPr>
              <w:t>%</w:t>
            </w:r>
          </w:p>
        </w:tc>
      </w:tr>
    </w:tbl>
    <w:p w:rsidR="004F534F" w:rsidRDefault="004F534F" w:rsidP="00CF5E15">
      <w:pPr>
        <w:pStyle w:val="TOCHeadings"/>
        <w:widowControl/>
        <w:tabs>
          <w:tab w:val="left" w:pos="720"/>
        </w:tabs>
        <w:spacing w:before="0" w:after="0"/>
        <w:rPr>
          <w:sz w:val="24"/>
          <w:u w:val="single"/>
          <w:lang w:val="en-AU"/>
        </w:rPr>
      </w:pPr>
    </w:p>
    <w:p w:rsidR="00CF5E15" w:rsidRDefault="00CF5E15" w:rsidP="00CF5E15">
      <w:pPr>
        <w:pStyle w:val="TOCHeadings"/>
        <w:widowControl/>
        <w:tabs>
          <w:tab w:val="left" w:pos="720"/>
        </w:tabs>
        <w:spacing w:before="0" w:after="0"/>
        <w:rPr>
          <w:sz w:val="24"/>
          <w:szCs w:val="24"/>
          <w:u w:val="single"/>
          <w:lang w:val="en-AU"/>
        </w:rPr>
      </w:pPr>
    </w:p>
    <w:p w:rsidR="001A47BA" w:rsidRPr="00F509F7" w:rsidRDefault="001A47BA" w:rsidP="00F509F7">
      <w:pPr>
        <w:pStyle w:val="expl"/>
        <w:rPr>
          <w:b/>
          <w:sz w:val="24"/>
          <w:szCs w:val="24"/>
        </w:rPr>
      </w:pPr>
      <w:r w:rsidRPr="00F509F7">
        <w:rPr>
          <w:b/>
          <w:sz w:val="24"/>
          <w:szCs w:val="24"/>
        </w:rPr>
        <w:t>Adverse Reactions from Clinical Trial Experience in HIV-1 Uninfected Adult Subjects</w:t>
      </w:r>
    </w:p>
    <w:p w:rsidR="001A47BA" w:rsidRPr="001A47BA" w:rsidRDefault="001A47BA" w:rsidP="001A47BA"/>
    <w:p w:rsidR="001A47BA" w:rsidRPr="008E09DE" w:rsidRDefault="001A47BA" w:rsidP="001A47BA">
      <w:pPr>
        <w:pStyle w:val="Text10"/>
      </w:pPr>
      <w:r w:rsidRPr="008E09DE">
        <w:t xml:space="preserve">No new adverse reactions to TRUVADA were identified from two </w:t>
      </w:r>
      <w:proofErr w:type="spellStart"/>
      <w:r w:rsidRPr="008E09DE">
        <w:t>randomi</w:t>
      </w:r>
      <w:r w:rsidR="002D4A56">
        <w:t>s</w:t>
      </w:r>
      <w:r w:rsidRPr="008E09DE">
        <w:t>ed</w:t>
      </w:r>
      <w:proofErr w:type="spellEnd"/>
      <w:r w:rsidRPr="008E09DE">
        <w:t xml:space="preserve"> placebo-controlled clinical trials (</w:t>
      </w:r>
      <w:proofErr w:type="spellStart"/>
      <w:r w:rsidRPr="008E09DE">
        <w:t>iPrEx</w:t>
      </w:r>
      <w:proofErr w:type="spellEnd"/>
      <w:r w:rsidRPr="008E09DE">
        <w:t xml:space="preserve">, Partners </w:t>
      </w:r>
      <w:proofErr w:type="spellStart"/>
      <w:r w:rsidRPr="008E09DE">
        <w:t>PrEP</w:t>
      </w:r>
      <w:proofErr w:type="spellEnd"/>
      <w:r w:rsidRPr="008E09DE">
        <w:t xml:space="preserve">) in which 2830 HIV-1 uninfected adults received TRUVADA once daily for pre-exposure prophylaxis. </w:t>
      </w:r>
      <w:r>
        <w:rPr>
          <w:szCs w:val="24"/>
        </w:rPr>
        <w:t>S</w:t>
      </w:r>
      <w:r w:rsidRPr="008E09DE">
        <w:rPr>
          <w:szCs w:val="24"/>
        </w:rPr>
        <w:t>ubjects</w:t>
      </w:r>
      <w:r w:rsidRPr="008E09DE">
        <w:t xml:space="preserve"> were followed for a median of 71 weeks and 87 weeks, respectively. These trials enrolled HIV-negative individuals ranging in age from 18 to 67 years.  The </w:t>
      </w:r>
      <w:proofErr w:type="spellStart"/>
      <w:r w:rsidRPr="008E09DE">
        <w:t>iPrEx</w:t>
      </w:r>
      <w:proofErr w:type="spellEnd"/>
      <w:r w:rsidRPr="008E09DE">
        <w:t xml:space="preserve"> trial enrolled only males or transgender females of Hispanic/Latino (72%), White (18%), Black (9%) and Asian (5%) race.  The Partners </w:t>
      </w:r>
      <w:proofErr w:type="spellStart"/>
      <w:r w:rsidRPr="008E09DE">
        <w:t>PrEP</w:t>
      </w:r>
      <w:proofErr w:type="spellEnd"/>
      <w:r w:rsidRPr="008E09DE">
        <w:t xml:space="preserve"> trial enrolled both males (61-64% across treatment groups) and females in Kenya and Uganda. Table </w:t>
      </w:r>
      <w:r w:rsidR="001E73C3">
        <w:t>16</w:t>
      </w:r>
      <w:r w:rsidRPr="008E09DE">
        <w:t xml:space="preserve"> provides a list of all adverse events that occurred</w:t>
      </w:r>
      <w:r>
        <w:t xml:space="preserve"> in</w:t>
      </w:r>
      <w:r w:rsidRPr="008E09DE">
        <w:t xml:space="preserve"> ≥2% of </w:t>
      </w:r>
      <w:r>
        <w:t>patients</w:t>
      </w:r>
      <w:r w:rsidRPr="008E09DE">
        <w:t xml:space="preserve"> in any treatment group in the </w:t>
      </w:r>
      <w:proofErr w:type="spellStart"/>
      <w:r w:rsidRPr="008E09DE">
        <w:t>iPrEx</w:t>
      </w:r>
      <w:proofErr w:type="spellEnd"/>
      <w:r w:rsidRPr="008E09DE">
        <w:t xml:space="preserve"> and Partners </w:t>
      </w:r>
      <w:proofErr w:type="spellStart"/>
      <w:r w:rsidRPr="008E09DE">
        <w:t>PrEP</w:t>
      </w:r>
      <w:proofErr w:type="spellEnd"/>
      <w:r w:rsidRPr="008E09DE">
        <w:t xml:space="preserve"> trials. </w:t>
      </w:r>
    </w:p>
    <w:p w:rsidR="001A47BA" w:rsidRPr="008E09DE" w:rsidRDefault="001A47BA" w:rsidP="001A47BA">
      <w:pPr>
        <w:pStyle w:val="Text10"/>
      </w:pPr>
      <w:r w:rsidRPr="008E09DE">
        <w:rPr>
          <w:i/>
        </w:rPr>
        <w:t xml:space="preserve">Laboratory Abnormalities: </w:t>
      </w:r>
      <w:r w:rsidRPr="008E09DE">
        <w:t xml:space="preserve">Table </w:t>
      </w:r>
      <w:r w:rsidR="001E73C3">
        <w:t>17</w:t>
      </w:r>
      <w:r w:rsidRPr="008E09DE">
        <w:t xml:space="preserve"> provides a list of laboratory abnormalities observed in both trials. Six </w:t>
      </w:r>
      <w:r w:rsidRPr="008E09DE">
        <w:rPr>
          <w:szCs w:val="24"/>
        </w:rPr>
        <w:t>subjects</w:t>
      </w:r>
      <w:r>
        <w:t xml:space="preserve"> </w:t>
      </w:r>
      <w:r w:rsidRPr="008E09DE">
        <w:t xml:space="preserve">in the TDF-containing arms of the Partners </w:t>
      </w:r>
      <w:proofErr w:type="spellStart"/>
      <w:r w:rsidRPr="008E09DE">
        <w:t>PrEP</w:t>
      </w:r>
      <w:proofErr w:type="spellEnd"/>
      <w:r w:rsidRPr="008E09DE">
        <w:t xml:space="preserve"> trial discontinued participation in the study due to an increase in blood creatinine compared with no discontinuations in the placebo group. One </w:t>
      </w:r>
      <w:r>
        <w:t>patient</w:t>
      </w:r>
      <w:r w:rsidRPr="008E09DE">
        <w:t xml:space="preserve"> in the TRUVADA arm of the </w:t>
      </w:r>
      <w:proofErr w:type="spellStart"/>
      <w:r w:rsidRPr="008E09DE">
        <w:t>iPrEx</w:t>
      </w:r>
      <w:proofErr w:type="spellEnd"/>
      <w:r w:rsidRPr="008E09DE">
        <w:t xml:space="preserve"> trial </w:t>
      </w:r>
      <w:r w:rsidRPr="008E09DE">
        <w:lastRenderedPageBreak/>
        <w:t>discontinued from the study due to an increase in blood creatinine and another due to low phosphorous.</w:t>
      </w:r>
    </w:p>
    <w:p w:rsidR="001A47BA" w:rsidRPr="00125985" w:rsidRDefault="001A47BA" w:rsidP="00125985">
      <w:pPr>
        <w:pStyle w:val="Text10"/>
        <w:rPr>
          <w:szCs w:val="24"/>
        </w:rPr>
      </w:pPr>
      <w:r w:rsidRPr="008E09DE">
        <w:rPr>
          <w:szCs w:val="24"/>
        </w:rPr>
        <w:t xml:space="preserve">In addition to the laboratory abnormalities described above, Grade 1 proteinuria (1+) occurred in 6% of subjects receiving TRUVADA in the </w:t>
      </w:r>
      <w:proofErr w:type="spellStart"/>
      <w:r w:rsidRPr="008E09DE">
        <w:rPr>
          <w:szCs w:val="24"/>
        </w:rPr>
        <w:t>iPrEx</w:t>
      </w:r>
      <w:proofErr w:type="spellEnd"/>
      <w:r w:rsidRPr="008E09DE">
        <w:rPr>
          <w:szCs w:val="24"/>
        </w:rPr>
        <w:t xml:space="preserve"> trial. Grades 2-3 proteinuria (2-4+) and glycosuria (3+) </w:t>
      </w:r>
      <w:r w:rsidRPr="008E09DE">
        <w:rPr>
          <w:rFonts w:cs="Arial"/>
          <w:szCs w:val="24"/>
        </w:rPr>
        <w:t>occurred</w:t>
      </w:r>
      <w:r w:rsidRPr="008E09DE">
        <w:rPr>
          <w:szCs w:val="24"/>
        </w:rPr>
        <w:t xml:space="preserve"> in less than 1% of </w:t>
      </w:r>
      <w:r w:rsidRPr="00086D13">
        <w:rPr>
          <w:rStyle w:val="DeltaViewInsertion"/>
          <w:color w:val="auto"/>
          <w:u w:val="none"/>
        </w:rPr>
        <w:t>subjects</w:t>
      </w:r>
      <w:r w:rsidRPr="008E09DE">
        <w:rPr>
          <w:szCs w:val="24"/>
        </w:rPr>
        <w:t xml:space="preserve"> treated with TRUVADA in the </w:t>
      </w:r>
      <w:proofErr w:type="spellStart"/>
      <w:r w:rsidRPr="008E09DE">
        <w:rPr>
          <w:szCs w:val="24"/>
        </w:rPr>
        <w:t>iPrEx</w:t>
      </w:r>
      <w:proofErr w:type="spellEnd"/>
      <w:r w:rsidRPr="008E09DE">
        <w:rPr>
          <w:szCs w:val="24"/>
        </w:rPr>
        <w:t xml:space="preserve"> trial and Partners </w:t>
      </w:r>
      <w:proofErr w:type="spellStart"/>
      <w:r w:rsidRPr="008E09DE">
        <w:rPr>
          <w:szCs w:val="24"/>
        </w:rPr>
        <w:t>PrEP</w:t>
      </w:r>
      <w:proofErr w:type="spellEnd"/>
      <w:r w:rsidRPr="008E09DE">
        <w:rPr>
          <w:szCs w:val="24"/>
        </w:rPr>
        <w:t xml:space="preserve"> trial.  </w:t>
      </w:r>
    </w:p>
    <w:p w:rsidR="001A47BA" w:rsidRPr="001A47BA" w:rsidRDefault="001A47BA" w:rsidP="00F509F7">
      <w:pPr>
        <w:pStyle w:val="Caption"/>
        <w:ind w:left="1418" w:hanging="1418"/>
      </w:pPr>
      <w:r w:rsidRPr="001A47BA">
        <w:t xml:space="preserve">Table </w:t>
      </w:r>
      <w:r w:rsidR="001E73C3">
        <w:t>16</w:t>
      </w:r>
      <w:r w:rsidRPr="001A47BA">
        <w:tab/>
        <w:t>Selected Adverse</w:t>
      </w:r>
      <w:r w:rsidRPr="001A47BA">
        <w:rPr>
          <w:rFonts w:ascii="Arial Bold" w:hAnsi="Arial Bold"/>
          <w:strike/>
        </w:rPr>
        <w:t xml:space="preserve"> </w:t>
      </w:r>
      <w:r w:rsidRPr="001A47BA">
        <w:t xml:space="preserve">Events (All Grades) Reported in </w:t>
      </w:r>
      <w:r w:rsidRPr="001A47BA">
        <w:sym w:font="Symbol" w:char="F0B3"/>
      </w:r>
      <w:r w:rsidRPr="001A47BA">
        <w:t xml:space="preserve">2% in Any Treatment Group in the </w:t>
      </w:r>
      <w:proofErr w:type="spellStart"/>
      <w:r w:rsidRPr="001A47BA">
        <w:t>iPrEx</w:t>
      </w:r>
      <w:proofErr w:type="spellEnd"/>
      <w:r w:rsidRPr="001A47BA">
        <w:t xml:space="preserve"> Trial and Partners </w:t>
      </w:r>
      <w:proofErr w:type="spellStart"/>
      <w:r w:rsidRPr="001A47BA">
        <w:t>PrEP</w:t>
      </w:r>
      <w:proofErr w:type="spellEnd"/>
      <w:r w:rsidRPr="001A47BA">
        <w:t xml:space="preserve"> Trial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157"/>
        <w:gridCol w:w="1372"/>
        <w:gridCol w:w="1418"/>
        <w:gridCol w:w="1327"/>
        <w:gridCol w:w="1373"/>
      </w:tblGrid>
      <w:tr w:rsidR="001A47BA" w:rsidRPr="008E09DE" w:rsidTr="00B066CE">
        <w:trPr>
          <w:tblHeader/>
        </w:trPr>
        <w:tc>
          <w:tcPr>
            <w:tcW w:w="3157" w:type="dxa"/>
            <w:shd w:val="clear" w:color="auto" w:fill="auto"/>
            <w:vAlign w:val="center"/>
          </w:tcPr>
          <w:p w:rsidR="001A47BA" w:rsidRPr="00D83C46" w:rsidRDefault="001A47BA" w:rsidP="00B066CE">
            <w:pPr>
              <w:keepNext/>
              <w:keepLines/>
              <w:spacing w:before="40" w:after="40"/>
              <w:rPr>
                <w:b/>
                <w:szCs w:val="24"/>
              </w:rPr>
            </w:pPr>
          </w:p>
        </w:tc>
        <w:tc>
          <w:tcPr>
            <w:tcW w:w="2790" w:type="dxa"/>
            <w:gridSpan w:val="2"/>
            <w:shd w:val="clear" w:color="auto" w:fill="auto"/>
            <w:vAlign w:val="center"/>
          </w:tcPr>
          <w:p w:rsidR="001A47BA" w:rsidRPr="00D83C46" w:rsidRDefault="001A47BA" w:rsidP="00B066CE">
            <w:pPr>
              <w:pStyle w:val="Table-Text"/>
              <w:spacing w:before="40" w:after="40"/>
              <w:jc w:val="center"/>
              <w:rPr>
                <w:b/>
                <w:sz w:val="24"/>
                <w:szCs w:val="24"/>
              </w:rPr>
            </w:pPr>
            <w:proofErr w:type="spellStart"/>
            <w:r w:rsidRPr="00D83C46">
              <w:rPr>
                <w:b/>
                <w:sz w:val="24"/>
                <w:szCs w:val="24"/>
              </w:rPr>
              <w:t>iPrEx</w:t>
            </w:r>
            <w:proofErr w:type="spellEnd"/>
            <w:r w:rsidRPr="00D83C46">
              <w:rPr>
                <w:b/>
                <w:sz w:val="24"/>
                <w:szCs w:val="24"/>
              </w:rPr>
              <w:t xml:space="preserve"> Trial</w:t>
            </w:r>
          </w:p>
        </w:tc>
        <w:tc>
          <w:tcPr>
            <w:tcW w:w="2700" w:type="dxa"/>
            <w:gridSpan w:val="2"/>
            <w:shd w:val="clear" w:color="auto" w:fill="auto"/>
            <w:vAlign w:val="center"/>
          </w:tcPr>
          <w:p w:rsidR="001A47BA" w:rsidRPr="00D83C46" w:rsidRDefault="001A47BA" w:rsidP="00B066CE">
            <w:pPr>
              <w:keepNext/>
              <w:keepLines/>
              <w:spacing w:before="40" w:after="40"/>
              <w:jc w:val="center"/>
              <w:rPr>
                <w:b/>
                <w:szCs w:val="24"/>
              </w:rPr>
            </w:pPr>
            <w:r w:rsidRPr="00D83C46">
              <w:rPr>
                <w:b/>
                <w:szCs w:val="24"/>
              </w:rPr>
              <w:t xml:space="preserve">Partners </w:t>
            </w:r>
            <w:proofErr w:type="spellStart"/>
            <w:r w:rsidRPr="00D83C46">
              <w:rPr>
                <w:b/>
                <w:szCs w:val="24"/>
              </w:rPr>
              <w:t>PrEP</w:t>
            </w:r>
            <w:proofErr w:type="spellEnd"/>
            <w:r w:rsidRPr="00D83C46">
              <w:rPr>
                <w:b/>
                <w:szCs w:val="24"/>
              </w:rPr>
              <w:t xml:space="preserve"> Trial</w:t>
            </w:r>
          </w:p>
        </w:tc>
      </w:tr>
      <w:tr w:rsidR="001A47BA" w:rsidRPr="008E09DE" w:rsidTr="00B066CE">
        <w:tc>
          <w:tcPr>
            <w:tcW w:w="3157" w:type="dxa"/>
            <w:shd w:val="clear" w:color="auto" w:fill="auto"/>
            <w:vAlign w:val="center"/>
          </w:tcPr>
          <w:p w:rsidR="001A47BA" w:rsidRPr="00D83C46" w:rsidRDefault="001A47BA" w:rsidP="00B066CE">
            <w:pPr>
              <w:pStyle w:val="CommentText"/>
              <w:keepNext/>
              <w:keepLines/>
              <w:spacing w:before="40" w:after="40"/>
              <w:rPr>
                <w:sz w:val="24"/>
                <w:szCs w:val="24"/>
              </w:rPr>
            </w:pP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b/>
                <w:szCs w:val="24"/>
              </w:rPr>
            </w:pPr>
            <w:r w:rsidRPr="00D83C46">
              <w:rPr>
                <w:b/>
                <w:szCs w:val="24"/>
              </w:rPr>
              <w:t>FTC/TDF</w:t>
            </w:r>
          </w:p>
          <w:p w:rsidR="001A47BA" w:rsidRPr="00D83C46" w:rsidRDefault="001A47BA" w:rsidP="00B066CE">
            <w:pPr>
              <w:keepNext/>
              <w:keepLines/>
              <w:tabs>
                <w:tab w:val="left" w:pos="-18"/>
                <w:tab w:val="left" w:pos="2844"/>
              </w:tabs>
              <w:spacing w:before="40" w:after="40"/>
              <w:jc w:val="center"/>
              <w:rPr>
                <w:b/>
                <w:szCs w:val="24"/>
              </w:rPr>
            </w:pPr>
            <w:r w:rsidRPr="00D83C46">
              <w:rPr>
                <w:b/>
                <w:szCs w:val="24"/>
              </w:rPr>
              <w:t>(N=1251)</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b/>
                <w:szCs w:val="24"/>
              </w:rPr>
            </w:pPr>
            <w:r w:rsidRPr="00D83C46">
              <w:rPr>
                <w:b/>
                <w:szCs w:val="24"/>
              </w:rPr>
              <w:t>Placebo</w:t>
            </w:r>
          </w:p>
          <w:p w:rsidR="001A47BA" w:rsidRPr="00D83C46" w:rsidRDefault="001A47BA" w:rsidP="00B066CE">
            <w:pPr>
              <w:keepNext/>
              <w:keepLines/>
              <w:tabs>
                <w:tab w:val="left" w:pos="-18"/>
                <w:tab w:val="left" w:pos="2844"/>
              </w:tabs>
              <w:spacing w:before="40" w:after="40"/>
              <w:jc w:val="center"/>
              <w:rPr>
                <w:b/>
                <w:szCs w:val="24"/>
              </w:rPr>
            </w:pPr>
            <w:r w:rsidRPr="00D83C46">
              <w:rPr>
                <w:b/>
                <w:szCs w:val="24"/>
              </w:rPr>
              <w:t>(N=1248)</w:t>
            </w:r>
          </w:p>
        </w:tc>
        <w:tc>
          <w:tcPr>
            <w:tcW w:w="1327" w:type="dxa"/>
            <w:shd w:val="clear" w:color="auto" w:fill="auto"/>
            <w:vAlign w:val="center"/>
          </w:tcPr>
          <w:p w:rsidR="001A47BA" w:rsidRPr="00D83C46" w:rsidRDefault="001A47BA" w:rsidP="00B066CE">
            <w:pPr>
              <w:keepNext/>
              <w:keepLines/>
              <w:spacing w:before="40" w:after="40"/>
              <w:jc w:val="center"/>
              <w:rPr>
                <w:b/>
                <w:szCs w:val="24"/>
              </w:rPr>
            </w:pPr>
            <w:r w:rsidRPr="00D83C46">
              <w:rPr>
                <w:b/>
                <w:szCs w:val="24"/>
              </w:rPr>
              <w:t>FTC/TDF</w:t>
            </w:r>
          </w:p>
          <w:p w:rsidR="001A47BA" w:rsidRPr="00D83C46" w:rsidRDefault="001A47BA" w:rsidP="00B066CE">
            <w:pPr>
              <w:keepNext/>
              <w:keepLines/>
              <w:spacing w:before="40" w:after="40"/>
              <w:jc w:val="center"/>
              <w:rPr>
                <w:b/>
                <w:szCs w:val="24"/>
              </w:rPr>
            </w:pPr>
            <w:r w:rsidRPr="00D83C46">
              <w:rPr>
                <w:b/>
                <w:szCs w:val="24"/>
              </w:rPr>
              <w:t>(N=1579)</w:t>
            </w:r>
          </w:p>
        </w:tc>
        <w:tc>
          <w:tcPr>
            <w:tcW w:w="1373" w:type="dxa"/>
            <w:shd w:val="clear" w:color="auto" w:fill="auto"/>
            <w:vAlign w:val="center"/>
          </w:tcPr>
          <w:p w:rsidR="001A47BA" w:rsidRPr="00D83C46" w:rsidRDefault="001A47BA" w:rsidP="00B066CE">
            <w:pPr>
              <w:keepNext/>
              <w:keepLines/>
              <w:spacing w:before="40" w:after="40"/>
              <w:jc w:val="center"/>
              <w:rPr>
                <w:b/>
                <w:szCs w:val="24"/>
              </w:rPr>
            </w:pPr>
            <w:r w:rsidRPr="00D83C46">
              <w:rPr>
                <w:b/>
                <w:szCs w:val="24"/>
              </w:rPr>
              <w:t>Placebo</w:t>
            </w:r>
          </w:p>
          <w:p w:rsidR="001A47BA" w:rsidRPr="00D83C46" w:rsidRDefault="001A47BA" w:rsidP="00B066CE">
            <w:pPr>
              <w:keepNext/>
              <w:keepLines/>
              <w:spacing w:before="40" w:after="40"/>
              <w:jc w:val="center"/>
              <w:rPr>
                <w:b/>
                <w:szCs w:val="24"/>
              </w:rPr>
            </w:pPr>
            <w:r w:rsidRPr="00D83C46">
              <w:rPr>
                <w:b/>
                <w:szCs w:val="24"/>
              </w:rPr>
              <w:t xml:space="preserve">(N=1584) </w:t>
            </w:r>
          </w:p>
        </w:tc>
      </w:tr>
      <w:tr w:rsidR="001A47BA" w:rsidRPr="008E09DE" w:rsidTr="00B066CE">
        <w:tc>
          <w:tcPr>
            <w:tcW w:w="3157" w:type="dxa"/>
            <w:shd w:val="clear" w:color="auto" w:fill="auto"/>
            <w:vAlign w:val="center"/>
          </w:tcPr>
          <w:p w:rsidR="001A47BA" w:rsidRPr="00D83C46" w:rsidRDefault="001A47BA" w:rsidP="00B066CE">
            <w:pPr>
              <w:pStyle w:val="CommentText"/>
              <w:keepNext/>
              <w:keepLines/>
              <w:spacing w:before="40" w:after="40"/>
              <w:rPr>
                <w:sz w:val="24"/>
                <w:szCs w:val="24"/>
              </w:rPr>
            </w:pPr>
            <w:r w:rsidRPr="00D83C46">
              <w:rPr>
                <w:sz w:val="24"/>
                <w:szCs w:val="24"/>
              </w:rPr>
              <w:t>Gastrointestinal Disorders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327" w:type="dxa"/>
            <w:shd w:val="clear" w:color="auto" w:fill="auto"/>
            <w:vAlign w:val="center"/>
          </w:tcPr>
          <w:p w:rsidR="001A47BA" w:rsidRPr="00D83C46" w:rsidRDefault="001A47BA" w:rsidP="00B066CE">
            <w:pPr>
              <w:keepNext/>
              <w:keepLines/>
              <w:spacing w:before="40" w:after="40"/>
              <w:jc w:val="center"/>
              <w:rPr>
                <w:szCs w:val="24"/>
              </w:rPr>
            </w:pPr>
          </w:p>
        </w:tc>
        <w:tc>
          <w:tcPr>
            <w:tcW w:w="1373" w:type="dxa"/>
            <w:shd w:val="clear" w:color="auto" w:fill="auto"/>
            <w:vAlign w:val="center"/>
          </w:tcPr>
          <w:p w:rsidR="001A47BA" w:rsidRPr="00D83C46" w:rsidRDefault="001A47BA" w:rsidP="00B066CE">
            <w:pPr>
              <w:keepNext/>
              <w:keepLines/>
              <w:spacing w:before="40" w:after="40"/>
              <w:jc w:val="center"/>
              <w:rPr>
                <w:szCs w:val="24"/>
              </w:rPr>
            </w:pP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proofErr w:type="spellStart"/>
            <w:r w:rsidRPr="00D83C46">
              <w:rPr>
                <w:szCs w:val="24"/>
              </w:rPr>
              <w:t>Diarrhoea</w:t>
            </w:r>
            <w:proofErr w:type="spellEnd"/>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7%</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8%</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2%</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3%</w:t>
            </w: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r w:rsidRPr="00D83C46">
              <w:rPr>
                <w:szCs w:val="24"/>
              </w:rPr>
              <w:t>Abdominal pain</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4%</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2%</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r w:rsidRPr="00D83C46">
              <w:rPr>
                <w:szCs w:val="24"/>
                <w:vertAlign w:val="superscript"/>
              </w:rPr>
              <w:t>a</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r>
      <w:tr w:rsidR="001A47BA" w:rsidRPr="008E09DE" w:rsidTr="00B066CE">
        <w:tc>
          <w:tcPr>
            <w:tcW w:w="3157" w:type="dxa"/>
            <w:shd w:val="clear" w:color="auto" w:fill="auto"/>
            <w:vAlign w:val="center"/>
          </w:tcPr>
          <w:p w:rsidR="001A47BA" w:rsidRPr="00D83C46" w:rsidRDefault="001A47BA" w:rsidP="00B066CE">
            <w:pPr>
              <w:pStyle w:val="CommentText"/>
              <w:keepNext/>
              <w:keepLines/>
              <w:spacing w:before="40" w:after="40"/>
              <w:rPr>
                <w:sz w:val="24"/>
                <w:szCs w:val="24"/>
              </w:rPr>
            </w:pPr>
            <w:r w:rsidRPr="00D83C46">
              <w:rPr>
                <w:sz w:val="24"/>
                <w:szCs w:val="24"/>
              </w:rPr>
              <w:t>Infections and Infestations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327" w:type="dxa"/>
            <w:shd w:val="clear" w:color="auto" w:fill="auto"/>
            <w:vAlign w:val="center"/>
          </w:tcPr>
          <w:p w:rsidR="001A47BA" w:rsidRPr="00D83C46" w:rsidRDefault="001A47BA" w:rsidP="00B066CE">
            <w:pPr>
              <w:keepNext/>
              <w:keepLines/>
              <w:spacing w:before="40" w:after="40"/>
              <w:jc w:val="center"/>
              <w:rPr>
                <w:szCs w:val="24"/>
              </w:rPr>
            </w:pPr>
          </w:p>
        </w:tc>
        <w:tc>
          <w:tcPr>
            <w:tcW w:w="1373" w:type="dxa"/>
            <w:shd w:val="clear" w:color="auto" w:fill="auto"/>
            <w:vAlign w:val="center"/>
          </w:tcPr>
          <w:p w:rsidR="001A47BA" w:rsidRPr="00D83C46" w:rsidRDefault="001A47BA" w:rsidP="00B066CE">
            <w:pPr>
              <w:keepNext/>
              <w:keepLines/>
              <w:spacing w:before="40" w:after="40"/>
              <w:jc w:val="center"/>
              <w:rPr>
                <w:szCs w:val="24"/>
              </w:rPr>
            </w:pP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r w:rsidRPr="00D83C46">
              <w:rPr>
                <w:szCs w:val="24"/>
              </w:rPr>
              <w:t>Pharyngitis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13%</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16%</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r w:rsidRPr="00D83C46">
              <w:rPr>
                <w:szCs w:val="24"/>
              </w:rPr>
              <w:t>Urethritis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5%</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7%</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r w:rsidRPr="00D83C46">
              <w:rPr>
                <w:szCs w:val="24"/>
              </w:rPr>
              <w:t>Urinary tract infection</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2%</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2%</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5%</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7%</w:t>
            </w: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r w:rsidRPr="00D83C46">
              <w:rPr>
                <w:szCs w:val="24"/>
              </w:rPr>
              <w:t>Syphilis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6%</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5%</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r w:rsidRPr="00D83C46">
              <w:rPr>
                <w:szCs w:val="24"/>
              </w:rPr>
              <w:t>Secondary syphilis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6%</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4%</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proofErr w:type="spellStart"/>
            <w:r w:rsidRPr="00D83C46">
              <w:rPr>
                <w:szCs w:val="24"/>
              </w:rPr>
              <w:t>Anogenital</w:t>
            </w:r>
            <w:proofErr w:type="spellEnd"/>
            <w:r w:rsidRPr="00D83C46">
              <w:rPr>
                <w:szCs w:val="24"/>
              </w:rPr>
              <w:t xml:space="preserve"> warts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2%</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3%</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r>
      <w:tr w:rsidR="001A47BA" w:rsidRPr="008E09DE" w:rsidTr="00B066CE">
        <w:tc>
          <w:tcPr>
            <w:tcW w:w="3157" w:type="dxa"/>
            <w:shd w:val="clear" w:color="auto" w:fill="auto"/>
            <w:vAlign w:val="center"/>
          </w:tcPr>
          <w:p w:rsidR="001A47BA" w:rsidRPr="00D83C46" w:rsidRDefault="001A47BA" w:rsidP="00B066CE">
            <w:pPr>
              <w:pStyle w:val="CommentText"/>
              <w:keepNext/>
              <w:keepLines/>
              <w:spacing w:before="40" w:after="40"/>
              <w:rPr>
                <w:sz w:val="24"/>
                <w:szCs w:val="24"/>
              </w:rPr>
            </w:pPr>
            <w:r w:rsidRPr="00D83C46">
              <w:rPr>
                <w:sz w:val="24"/>
                <w:szCs w:val="24"/>
              </w:rPr>
              <w:t>Musculoskeletal and Connective Tissue Disorders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327" w:type="dxa"/>
            <w:shd w:val="clear" w:color="auto" w:fill="auto"/>
            <w:vAlign w:val="center"/>
          </w:tcPr>
          <w:p w:rsidR="001A47BA" w:rsidRPr="00D83C46" w:rsidRDefault="001A47BA" w:rsidP="00B066CE">
            <w:pPr>
              <w:keepNext/>
              <w:keepLines/>
              <w:spacing w:before="40" w:after="40"/>
              <w:jc w:val="center"/>
              <w:rPr>
                <w:szCs w:val="24"/>
              </w:rPr>
            </w:pPr>
          </w:p>
        </w:tc>
        <w:tc>
          <w:tcPr>
            <w:tcW w:w="1373" w:type="dxa"/>
            <w:shd w:val="clear" w:color="auto" w:fill="auto"/>
            <w:vAlign w:val="center"/>
          </w:tcPr>
          <w:p w:rsidR="001A47BA" w:rsidRPr="00D83C46" w:rsidRDefault="001A47BA" w:rsidP="00B066CE">
            <w:pPr>
              <w:keepNext/>
              <w:keepLines/>
              <w:spacing w:before="40" w:after="40"/>
              <w:jc w:val="center"/>
              <w:rPr>
                <w:szCs w:val="24"/>
              </w:rPr>
            </w:pP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r w:rsidRPr="00D83C46">
              <w:rPr>
                <w:szCs w:val="24"/>
              </w:rPr>
              <w:t>Back pain</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5%</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5%</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r>
      <w:tr w:rsidR="001A47BA" w:rsidRPr="008E09DE" w:rsidTr="00B066CE">
        <w:tc>
          <w:tcPr>
            <w:tcW w:w="3157" w:type="dxa"/>
            <w:shd w:val="clear" w:color="auto" w:fill="auto"/>
            <w:vAlign w:val="center"/>
          </w:tcPr>
          <w:p w:rsidR="001A47BA" w:rsidRPr="00D83C46" w:rsidRDefault="001A47BA" w:rsidP="00B066CE">
            <w:pPr>
              <w:pStyle w:val="CommentText"/>
              <w:keepNext/>
              <w:keepLines/>
              <w:spacing w:before="40" w:after="40"/>
              <w:rPr>
                <w:sz w:val="24"/>
                <w:szCs w:val="24"/>
              </w:rPr>
            </w:pPr>
            <w:r w:rsidRPr="00D83C46">
              <w:rPr>
                <w:sz w:val="24"/>
                <w:szCs w:val="24"/>
              </w:rPr>
              <w:t>Nervous System Disorders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327" w:type="dxa"/>
            <w:shd w:val="clear" w:color="auto" w:fill="auto"/>
            <w:vAlign w:val="center"/>
          </w:tcPr>
          <w:p w:rsidR="001A47BA" w:rsidRPr="00D83C46" w:rsidRDefault="001A47BA" w:rsidP="00B066CE">
            <w:pPr>
              <w:keepNext/>
              <w:keepLines/>
              <w:spacing w:before="40" w:after="40"/>
              <w:jc w:val="center"/>
              <w:rPr>
                <w:szCs w:val="24"/>
              </w:rPr>
            </w:pPr>
          </w:p>
        </w:tc>
        <w:tc>
          <w:tcPr>
            <w:tcW w:w="1373" w:type="dxa"/>
            <w:shd w:val="clear" w:color="auto" w:fill="auto"/>
            <w:vAlign w:val="center"/>
          </w:tcPr>
          <w:p w:rsidR="001A47BA" w:rsidRPr="00D83C46" w:rsidRDefault="001A47BA" w:rsidP="00B066CE">
            <w:pPr>
              <w:keepNext/>
              <w:keepLines/>
              <w:spacing w:before="40" w:after="40"/>
              <w:jc w:val="center"/>
              <w:rPr>
                <w:szCs w:val="24"/>
              </w:rPr>
            </w:pP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7"/>
              <w:rPr>
                <w:szCs w:val="24"/>
              </w:rPr>
            </w:pPr>
            <w:r w:rsidRPr="00D83C46">
              <w:rPr>
                <w:szCs w:val="24"/>
              </w:rPr>
              <w:t>Headache</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7%</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6%</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r>
      <w:tr w:rsidR="001A47BA" w:rsidRPr="008E09DE" w:rsidTr="00B066CE">
        <w:tc>
          <w:tcPr>
            <w:tcW w:w="3157" w:type="dxa"/>
            <w:shd w:val="clear" w:color="auto" w:fill="auto"/>
            <w:vAlign w:val="center"/>
          </w:tcPr>
          <w:p w:rsidR="001A47BA" w:rsidRPr="00D83C46" w:rsidRDefault="001A47BA" w:rsidP="00B066CE">
            <w:pPr>
              <w:pStyle w:val="CommentText"/>
              <w:keepNext/>
              <w:keepLines/>
              <w:spacing w:before="40" w:after="40"/>
              <w:rPr>
                <w:sz w:val="24"/>
                <w:szCs w:val="24"/>
              </w:rPr>
            </w:pPr>
            <w:r w:rsidRPr="00D83C46">
              <w:rPr>
                <w:sz w:val="24"/>
                <w:szCs w:val="24"/>
              </w:rPr>
              <w:t>Psychiatric Disorders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327" w:type="dxa"/>
            <w:shd w:val="clear" w:color="auto" w:fill="auto"/>
            <w:vAlign w:val="center"/>
          </w:tcPr>
          <w:p w:rsidR="001A47BA" w:rsidRPr="00D83C46" w:rsidRDefault="001A47BA" w:rsidP="00B066CE">
            <w:pPr>
              <w:keepNext/>
              <w:keepLines/>
              <w:spacing w:before="40" w:after="40"/>
              <w:jc w:val="center"/>
              <w:rPr>
                <w:szCs w:val="24"/>
              </w:rPr>
            </w:pPr>
          </w:p>
        </w:tc>
        <w:tc>
          <w:tcPr>
            <w:tcW w:w="1373" w:type="dxa"/>
            <w:shd w:val="clear" w:color="auto" w:fill="auto"/>
            <w:vAlign w:val="center"/>
          </w:tcPr>
          <w:p w:rsidR="001A47BA" w:rsidRPr="00D83C46" w:rsidRDefault="001A47BA" w:rsidP="00B066CE">
            <w:pPr>
              <w:keepNext/>
              <w:keepLines/>
              <w:spacing w:before="40" w:after="40"/>
              <w:jc w:val="center"/>
              <w:rPr>
                <w:szCs w:val="24"/>
              </w:rPr>
            </w:pP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r w:rsidRPr="00D83C46">
              <w:rPr>
                <w:szCs w:val="24"/>
              </w:rPr>
              <w:t>Depression</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6%</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7%</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r w:rsidRPr="00D83C46">
              <w:rPr>
                <w:szCs w:val="24"/>
              </w:rPr>
              <w:t>Anxiety</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3%</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3%</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r>
      <w:tr w:rsidR="001A47BA" w:rsidRPr="008E09DE" w:rsidTr="00B066CE">
        <w:tc>
          <w:tcPr>
            <w:tcW w:w="3157" w:type="dxa"/>
            <w:shd w:val="clear" w:color="auto" w:fill="auto"/>
            <w:vAlign w:val="center"/>
          </w:tcPr>
          <w:p w:rsidR="001A47BA" w:rsidRPr="00D83C46" w:rsidRDefault="001A47BA" w:rsidP="00B066CE">
            <w:pPr>
              <w:pStyle w:val="CommentText"/>
              <w:keepNext/>
              <w:keepLines/>
              <w:spacing w:before="40" w:after="40"/>
              <w:rPr>
                <w:sz w:val="24"/>
                <w:szCs w:val="24"/>
              </w:rPr>
            </w:pPr>
            <w:r w:rsidRPr="00D83C46">
              <w:rPr>
                <w:sz w:val="24"/>
                <w:szCs w:val="24"/>
              </w:rPr>
              <w:t>Reproductive System and Breast Disorders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327" w:type="dxa"/>
            <w:shd w:val="clear" w:color="auto" w:fill="auto"/>
            <w:vAlign w:val="center"/>
          </w:tcPr>
          <w:p w:rsidR="001A47BA" w:rsidRPr="00D83C46" w:rsidRDefault="001A47BA" w:rsidP="00B066CE">
            <w:pPr>
              <w:keepNext/>
              <w:keepLines/>
              <w:spacing w:before="40" w:after="40"/>
              <w:jc w:val="center"/>
              <w:rPr>
                <w:szCs w:val="24"/>
              </w:rPr>
            </w:pPr>
          </w:p>
        </w:tc>
        <w:tc>
          <w:tcPr>
            <w:tcW w:w="1373" w:type="dxa"/>
            <w:shd w:val="clear" w:color="auto" w:fill="auto"/>
            <w:vAlign w:val="center"/>
          </w:tcPr>
          <w:p w:rsidR="001A47BA" w:rsidRPr="00D83C46" w:rsidRDefault="001A47BA" w:rsidP="00B066CE">
            <w:pPr>
              <w:keepNext/>
              <w:keepLines/>
              <w:spacing w:before="40" w:after="40"/>
              <w:jc w:val="center"/>
              <w:rPr>
                <w:szCs w:val="24"/>
              </w:rPr>
            </w:pP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r w:rsidRPr="00D83C46">
              <w:rPr>
                <w:szCs w:val="24"/>
              </w:rPr>
              <w:t>Genital ulceration</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2%</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2%</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2%</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2%</w:t>
            </w:r>
          </w:p>
        </w:tc>
      </w:tr>
      <w:tr w:rsidR="001A47BA" w:rsidRPr="008E09DE" w:rsidTr="00B066CE">
        <w:tc>
          <w:tcPr>
            <w:tcW w:w="3157" w:type="dxa"/>
            <w:shd w:val="clear" w:color="auto" w:fill="auto"/>
            <w:vAlign w:val="center"/>
          </w:tcPr>
          <w:p w:rsidR="001A47BA" w:rsidRPr="00D83C46" w:rsidRDefault="001A47BA" w:rsidP="00B066CE">
            <w:pPr>
              <w:pStyle w:val="CommentText"/>
              <w:keepNext/>
              <w:keepLines/>
              <w:spacing w:before="40" w:after="40"/>
              <w:rPr>
                <w:sz w:val="24"/>
                <w:szCs w:val="24"/>
              </w:rPr>
            </w:pPr>
            <w:r w:rsidRPr="00D83C46">
              <w:rPr>
                <w:sz w:val="24"/>
                <w:szCs w:val="24"/>
              </w:rPr>
              <w:t>Investigations</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p>
        </w:tc>
        <w:tc>
          <w:tcPr>
            <w:tcW w:w="1327" w:type="dxa"/>
            <w:shd w:val="clear" w:color="auto" w:fill="auto"/>
            <w:vAlign w:val="center"/>
          </w:tcPr>
          <w:p w:rsidR="001A47BA" w:rsidRPr="00D83C46" w:rsidRDefault="001A47BA" w:rsidP="00B066CE">
            <w:pPr>
              <w:keepNext/>
              <w:keepLines/>
              <w:spacing w:before="40" w:after="40"/>
              <w:jc w:val="center"/>
              <w:rPr>
                <w:szCs w:val="24"/>
              </w:rPr>
            </w:pPr>
          </w:p>
        </w:tc>
        <w:tc>
          <w:tcPr>
            <w:tcW w:w="1373" w:type="dxa"/>
            <w:shd w:val="clear" w:color="auto" w:fill="auto"/>
            <w:vAlign w:val="center"/>
          </w:tcPr>
          <w:p w:rsidR="001A47BA" w:rsidRPr="00D83C46" w:rsidRDefault="001A47BA" w:rsidP="00B066CE">
            <w:pPr>
              <w:keepNext/>
              <w:keepLines/>
              <w:spacing w:before="40" w:after="40"/>
              <w:jc w:val="center"/>
              <w:rPr>
                <w:szCs w:val="24"/>
              </w:rPr>
            </w:pPr>
          </w:p>
        </w:tc>
      </w:tr>
      <w:tr w:rsidR="001A47BA" w:rsidRPr="008E09DE" w:rsidTr="00B066CE">
        <w:tc>
          <w:tcPr>
            <w:tcW w:w="3157" w:type="dxa"/>
            <w:shd w:val="clear" w:color="auto" w:fill="auto"/>
            <w:vAlign w:val="center"/>
          </w:tcPr>
          <w:p w:rsidR="001A47BA" w:rsidRPr="00D83C46" w:rsidRDefault="001A47BA" w:rsidP="00B066CE">
            <w:pPr>
              <w:keepNext/>
              <w:keepLines/>
              <w:spacing w:before="40" w:after="40"/>
              <w:ind w:firstLine="180"/>
              <w:rPr>
                <w:szCs w:val="24"/>
              </w:rPr>
            </w:pPr>
            <w:r w:rsidRPr="00D83C46">
              <w:rPr>
                <w:szCs w:val="24"/>
              </w:rPr>
              <w:t>Weight decreased</w:t>
            </w:r>
          </w:p>
        </w:tc>
        <w:tc>
          <w:tcPr>
            <w:tcW w:w="1372"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3%</w:t>
            </w:r>
          </w:p>
        </w:tc>
        <w:tc>
          <w:tcPr>
            <w:tcW w:w="1418" w:type="dxa"/>
            <w:shd w:val="clear" w:color="auto" w:fill="auto"/>
            <w:vAlign w:val="center"/>
          </w:tcPr>
          <w:p w:rsidR="001A47BA" w:rsidRPr="00D83C46" w:rsidRDefault="001A47BA" w:rsidP="00B066CE">
            <w:pPr>
              <w:keepNext/>
              <w:keepLines/>
              <w:tabs>
                <w:tab w:val="left" w:pos="-18"/>
                <w:tab w:val="left" w:pos="2844"/>
              </w:tabs>
              <w:spacing w:before="40" w:after="40"/>
              <w:jc w:val="center"/>
              <w:rPr>
                <w:szCs w:val="24"/>
              </w:rPr>
            </w:pPr>
            <w:r w:rsidRPr="00D83C46">
              <w:rPr>
                <w:szCs w:val="24"/>
              </w:rPr>
              <w:t>2%</w:t>
            </w:r>
          </w:p>
        </w:tc>
        <w:tc>
          <w:tcPr>
            <w:tcW w:w="1327"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c>
          <w:tcPr>
            <w:tcW w:w="1373" w:type="dxa"/>
            <w:shd w:val="clear" w:color="auto" w:fill="auto"/>
            <w:vAlign w:val="center"/>
          </w:tcPr>
          <w:p w:rsidR="001A47BA" w:rsidRPr="00D83C46" w:rsidRDefault="001A47BA" w:rsidP="00B066CE">
            <w:pPr>
              <w:keepNext/>
              <w:keepLines/>
              <w:spacing w:before="40" w:after="40"/>
              <w:jc w:val="center"/>
              <w:rPr>
                <w:szCs w:val="24"/>
              </w:rPr>
            </w:pPr>
            <w:r w:rsidRPr="00D83C46">
              <w:rPr>
                <w:szCs w:val="24"/>
              </w:rPr>
              <w:t>-</w:t>
            </w:r>
          </w:p>
        </w:tc>
      </w:tr>
    </w:tbl>
    <w:p w:rsidR="001A47BA" w:rsidRPr="00D83C46" w:rsidRDefault="001A47BA" w:rsidP="001A47BA">
      <w:pPr>
        <w:pStyle w:val="Text10"/>
        <w:rPr>
          <w:sz w:val="20"/>
        </w:rPr>
      </w:pPr>
      <w:r w:rsidRPr="00D83C46">
        <w:rPr>
          <w:sz w:val="20"/>
        </w:rPr>
        <w:t xml:space="preserve">a. </w:t>
      </w:r>
      <w:r w:rsidRPr="00D83C46">
        <w:rPr>
          <w:sz w:val="20"/>
        </w:rPr>
        <w:tab/>
        <w:t xml:space="preserve"> Not reported or reported below 2%.</w:t>
      </w:r>
    </w:p>
    <w:p w:rsidR="001A47BA" w:rsidRDefault="001A47BA" w:rsidP="001A47BA">
      <w:pPr>
        <w:pStyle w:val="Caption"/>
      </w:pPr>
    </w:p>
    <w:p w:rsidR="001A47BA" w:rsidRPr="008E09DE" w:rsidRDefault="001A47BA" w:rsidP="001A47BA">
      <w:pPr>
        <w:pStyle w:val="Caption"/>
      </w:pPr>
      <w:bookmarkStart w:id="18" w:name="_GoBack"/>
      <w:bookmarkEnd w:id="18"/>
      <w:r w:rsidRPr="008E09DE">
        <w:t xml:space="preserve">Table </w:t>
      </w:r>
      <w:r w:rsidR="001E73C3">
        <w:t>17</w:t>
      </w:r>
      <w:r w:rsidRPr="008E09DE">
        <w:tab/>
        <w:t xml:space="preserve">Laboratory Abnormalities (Highest Toxicity Grade) Reported for Each </w:t>
      </w:r>
      <w:r w:rsidRPr="00086D13">
        <w:rPr>
          <w:rStyle w:val="DeltaViewInsertion"/>
          <w:rFonts w:ascii="Times New Roman Bold" w:hAnsi="Times New Roman Bold"/>
          <w:color w:val="auto"/>
          <w:u w:val="none"/>
        </w:rPr>
        <w:t>Subject</w:t>
      </w:r>
      <w:r w:rsidRPr="008E09DE">
        <w:t xml:space="preserve"> in the </w:t>
      </w:r>
      <w:proofErr w:type="spellStart"/>
      <w:r w:rsidRPr="008E09DE">
        <w:t>iPrEx</w:t>
      </w:r>
      <w:proofErr w:type="spellEnd"/>
      <w:r w:rsidRPr="008E09DE">
        <w:t xml:space="preserve"> Trial and Partners </w:t>
      </w:r>
      <w:proofErr w:type="spellStart"/>
      <w:r w:rsidRPr="008E09DE">
        <w:t>PrEP</w:t>
      </w:r>
      <w:proofErr w:type="spellEnd"/>
      <w:r w:rsidRPr="008E09DE">
        <w:t xml:space="preserve"> Trial</w:t>
      </w:r>
    </w:p>
    <w:tbl>
      <w:tblPr>
        <w:tblW w:w="9000"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1560"/>
        <w:gridCol w:w="2400"/>
        <w:gridCol w:w="1260"/>
        <w:gridCol w:w="1260"/>
        <w:gridCol w:w="1260"/>
        <w:gridCol w:w="1260"/>
      </w:tblGrid>
      <w:tr w:rsidR="001A47BA" w:rsidRPr="008E09DE" w:rsidTr="00D83C46">
        <w:tc>
          <w:tcPr>
            <w:tcW w:w="1560" w:type="dxa"/>
            <w:tcBorders>
              <w:top w:val="single" w:sz="4" w:space="0" w:color="auto"/>
              <w:left w:val="single" w:sz="4" w:space="0" w:color="auto"/>
              <w:bottom w:val="nil"/>
              <w:right w:val="single" w:sz="4" w:space="0" w:color="auto"/>
            </w:tcBorders>
            <w:shd w:val="clear" w:color="auto" w:fill="auto"/>
            <w:vAlign w:val="center"/>
          </w:tcPr>
          <w:p w:rsidR="001A47BA" w:rsidRPr="00D83C46" w:rsidRDefault="001A47BA" w:rsidP="00B066CE">
            <w:pPr>
              <w:pStyle w:val="Table-Text"/>
              <w:jc w:val="center"/>
              <w:rPr>
                <w:sz w:val="24"/>
                <w:szCs w:val="24"/>
              </w:rPr>
            </w:pPr>
          </w:p>
        </w:tc>
        <w:tc>
          <w:tcPr>
            <w:tcW w:w="2400" w:type="dxa"/>
            <w:tcBorders>
              <w:top w:val="single" w:sz="4" w:space="0" w:color="auto"/>
              <w:left w:val="single" w:sz="4" w:space="0" w:color="auto"/>
              <w:bottom w:val="nil"/>
              <w:right w:val="single" w:sz="6" w:space="0" w:color="000000"/>
            </w:tcBorders>
            <w:shd w:val="clear" w:color="auto" w:fill="auto"/>
            <w:vAlign w:val="center"/>
          </w:tcPr>
          <w:p w:rsidR="001A47BA" w:rsidRPr="00D83C46" w:rsidRDefault="001A47BA" w:rsidP="00B066CE">
            <w:pPr>
              <w:pStyle w:val="Table-Text"/>
              <w:jc w:val="center"/>
              <w:rPr>
                <w:sz w:val="24"/>
                <w:szCs w:val="24"/>
              </w:rPr>
            </w:pPr>
          </w:p>
        </w:tc>
        <w:tc>
          <w:tcPr>
            <w:tcW w:w="2520"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rsidR="001A47BA" w:rsidRPr="00D83C46" w:rsidRDefault="001A47BA" w:rsidP="00B066CE">
            <w:pPr>
              <w:pStyle w:val="Table-Text"/>
              <w:jc w:val="center"/>
              <w:rPr>
                <w:b/>
                <w:sz w:val="24"/>
                <w:szCs w:val="24"/>
              </w:rPr>
            </w:pPr>
            <w:proofErr w:type="spellStart"/>
            <w:r w:rsidRPr="00D83C46">
              <w:rPr>
                <w:b/>
                <w:sz w:val="24"/>
                <w:szCs w:val="24"/>
              </w:rPr>
              <w:t>iPrEx</w:t>
            </w:r>
            <w:proofErr w:type="spellEnd"/>
            <w:r w:rsidRPr="00D83C46">
              <w:rPr>
                <w:b/>
                <w:sz w:val="24"/>
                <w:szCs w:val="24"/>
              </w:rPr>
              <w:t xml:space="preserve"> Trial</w:t>
            </w:r>
          </w:p>
        </w:tc>
        <w:tc>
          <w:tcPr>
            <w:tcW w:w="2520" w:type="dxa"/>
            <w:gridSpan w:val="2"/>
            <w:tcBorders>
              <w:top w:val="single" w:sz="4" w:space="0" w:color="auto"/>
              <w:left w:val="single" w:sz="6" w:space="0" w:color="000000"/>
              <w:bottom w:val="single" w:sz="4" w:space="0" w:color="auto"/>
              <w:right w:val="single" w:sz="4" w:space="0" w:color="auto"/>
            </w:tcBorders>
            <w:shd w:val="clear" w:color="auto" w:fill="auto"/>
            <w:vAlign w:val="center"/>
          </w:tcPr>
          <w:p w:rsidR="001A47BA" w:rsidRPr="00D83C46" w:rsidRDefault="001A47BA" w:rsidP="00B066CE">
            <w:pPr>
              <w:keepNext/>
              <w:keepLines/>
              <w:spacing w:before="60" w:after="60"/>
              <w:jc w:val="center"/>
              <w:rPr>
                <w:b/>
                <w:szCs w:val="24"/>
              </w:rPr>
            </w:pPr>
            <w:r w:rsidRPr="00D83C46">
              <w:rPr>
                <w:b/>
                <w:szCs w:val="24"/>
              </w:rPr>
              <w:t xml:space="preserve">Partners </w:t>
            </w:r>
            <w:proofErr w:type="spellStart"/>
            <w:r w:rsidRPr="00D83C46">
              <w:rPr>
                <w:b/>
                <w:szCs w:val="24"/>
              </w:rPr>
              <w:t>PrEP</w:t>
            </w:r>
            <w:proofErr w:type="spellEnd"/>
            <w:r w:rsidRPr="00D83C46">
              <w:rPr>
                <w:b/>
                <w:szCs w:val="24"/>
              </w:rPr>
              <w:t xml:space="preserve"> Trial</w:t>
            </w:r>
          </w:p>
        </w:tc>
      </w:tr>
      <w:tr w:rsidR="001A47BA" w:rsidRPr="001A47BA" w:rsidTr="00D83C46">
        <w:tc>
          <w:tcPr>
            <w:tcW w:w="1560" w:type="dxa"/>
            <w:tcBorders>
              <w:top w:val="nil"/>
              <w:left w:val="single" w:sz="4" w:space="0" w:color="auto"/>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p>
        </w:tc>
        <w:tc>
          <w:tcPr>
            <w:tcW w:w="2400" w:type="dxa"/>
            <w:tcBorders>
              <w:top w:val="nil"/>
              <w:left w:val="single" w:sz="4" w:space="0" w:color="auto"/>
              <w:bottom w:val="single" w:sz="6" w:space="0" w:color="000000"/>
              <w:right w:val="single" w:sz="6" w:space="0" w:color="000000"/>
            </w:tcBorders>
            <w:shd w:val="clear" w:color="auto" w:fill="auto"/>
            <w:vAlign w:val="center"/>
          </w:tcPr>
          <w:p w:rsidR="001A47BA" w:rsidRPr="00D83C46" w:rsidRDefault="001A47BA" w:rsidP="00B066CE">
            <w:pPr>
              <w:pStyle w:val="Table-Text"/>
              <w:jc w:val="center"/>
              <w:rPr>
                <w:b/>
                <w:sz w:val="24"/>
                <w:szCs w:val="24"/>
              </w:rPr>
            </w:pPr>
            <w:proofErr w:type="spellStart"/>
            <w:r w:rsidRPr="00D83C46">
              <w:rPr>
                <w:b/>
                <w:sz w:val="24"/>
                <w:szCs w:val="24"/>
              </w:rPr>
              <w:t>Grade</w:t>
            </w:r>
            <w:r w:rsidRPr="00D83C46">
              <w:rPr>
                <w:b/>
                <w:sz w:val="24"/>
                <w:szCs w:val="24"/>
                <w:vertAlign w:val="superscript"/>
              </w:rPr>
              <w:t>b</w:t>
            </w:r>
            <w:proofErr w:type="spellEnd"/>
          </w:p>
        </w:tc>
        <w:tc>
          <w:tcPr>
            <w:tcW w:w="1260" w:type="dxa"/>
            <w:tcBorders>
              <w:top w:val="nil"/>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keepNext/>
              <w:keepLines/>
              <w:spacing w:before="60" w:after="60"/>
              <w:jc w:val="center"/>
              <w:rPr>
                <w:b/>
                <w:szCs w:val="24"/>
              </w:rPr>
            </w:pPr>
            <w:r w:rsidRPr="00D83C46">
              <w:rPr>
                <w:b/>
                <w:szCs w:val="24"/>
              </w:rPr>
              <w:t>FTC/TDF</w:t>
            </w:r>
          </w:p>
          <w:p w:rsidR="001A47BA" w:rsidRPr="00D83C46" w:rsidRDefault="001A47BA" w:rsidP="00B066CE">
            <w:pPr>
              <w:keepNext/>
              <w:keepLines/>
              <w:spacing w:before="60" w:after="60"/>
              <w:jc w:val="center"/>
              <w:rPr>
                <w:b/>
                <w:szCs w:val="24"/>
              </w:rPr>
            </w:pPr>
            <w:r w:rsidRPr="00D83C46">
              <w:rPr>
                <w:b/>
                <w:szCs w:val="24"/>
              </w:rPr>
              <w:t>N= 1251</w:t>
            </w:r>
          </w:p>
        </w:tc>
        <w:tc>
          <w:tcPr>
            <w:tcW w:w="1260" w:type="dxa"/>
            <w:tcBorders>
              <w:top w:val="nil"/>
              <w:left w:val="single" w:sz="4" w:space="0" w:color="auto"/>
              <w:bottom w:val="single" w:sz="6" w:space="0" w:color="000000"/>
              <w:right w:val="single" w:sz="6" w:space="0" w:color="000000"/>
            </w:tcBorders>
            <w:shd w:val="clear" w:color="auto" w:fill="auto"/>
            <w:vAlign w:val="center"/>
          </w:tcPr>
          <w:p w:rsidR="001A47BA" w:rsidRPr="00D83C46" w:rsidRDefault="001A47BA" w:rsidP="00B066CE">
            <w:pPr>
              <w:keepNext/>
              <w:keepLines/>
              <w:spacing w:before="60" w:after="60"/>
              <w:jc w:val="center"/>
              <w:rPr>
                <w:b/>
                <w:szCs w:val="24"/>
              </w:rPr>
            </w:pPr>
            <w:r w:rsidRPr="00D83C46">
              <w:rPr>
                <w:b/>
                <w:szCs w:val="24"/>
              </w:rPr>
              <w:t>Placebo</w:t>
            </w:r>
          </w:p>
          <w:p w:rsidR="001A47BA" w:rsidRPr="00D83C46" w:rsidRDefault="001A47BA" w:rsidP="00B066CE">
            <w:pPr>
              <w:keepNext/>
              <w:keepLines/>
              <w:spacing w:before="60" w:after="60"/>
              <w:jc w:val="center"/>
              <w:rPr>
                <w:b/>
                <w:szCs w:val="24"/>
              </w:rPr>
            </w:pPr>
            <w:r w:rsidRPr="00D83C46">
              <w:rPr>
                <w:b/>
                <w:szCs w:val="24"/>
              </w:rPr>
              <w:t>N= 1248</w:t>
            </w:r>
          </w:p>
        </w:tc>
        <w:tc>
          <w:tcPr>
            <w:tcW w:w="1260" w:type="dxa"/>
            <w:tcBorders>
              <w:top w:val="nil"/>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keepNext/>
              <w:keepLines/>
              <w:spacing w:before="60" w:after="60"/>
              <w:jc w:val="center"/>
              <w:rPr>
                <w:b/>
                <w:szCs w:val="24"/>
              </w:rPr>
            </w:pPr>
            <w:r w:rsidRPr="00D83C46">
              <w:rPr>
                <w:b/>
                <w:szCs w:val="24"/>
              </w:rPr>
              <w:t>FTC/TDF</w:t>
            </w:r>
          </w:p>
          <w:p w:rsidR="001A47BA" w:rsidRPr="00D83C46" w:rsidRDefault="001A47BA" w:rsidP="00B066CE">
            <w:pPr>
              <w:keepNext/>
              <w:keepLines/>
              <w:spacing w:before="60" w:after="60"/>
              <w:jc w:val="center"/>
              <w:rPr>
                <w:b/>
                <w:szCs w:val="24"/>
              </w:rPr>
            </w:pPr>
            <w:r w:rsidRPr="00D83C46">
              <w:rPr>
                <w:b/>
                <w:szCs w:val="24"/>
              </w:rPr>
              <w:t>N=1579</w:t>
            </w:r>
          </w:p>
        </w:tc>
        <w:tc>
          <w:tcPr>
            <w:tcW w:w="1260" w:type="dxa"/>
            <w:tcBorders>
              <w:top w:val="nil"/>
              <w:left w:val="single" w:sz="4" w:space="0" w:color="auto"/>
              <w:bottom w:val="single" w:sz="6" w:space="0" w:color="000000"/>
              <w:right w:val="single" w:sz="4" w:space="0" w:color="auto"/>
            </w:tcBorders>
            <w:shd w:val="clear" w:color="auto" w:fill="auto"/>
            <w:vAlign w:val="center"/>
          </w:tcPr>
          <w:p w:rsidR="001A47BA" w:rsidRPr="00D83C46" w:rsidRDefault="001A47BA" w:rsidP="00B066CE">
            <w:pPr>
              <w:keepNext/>
              <w:keepLines/>
              <w:spacing w:before="60" w:after="60"/>
              <w:jc w:val="center"/>
              <w:rPr>
                <w:b/>
                <w:szCs w:val="24"/>
              </w:rPr>
            </w:pPr>
            <w:r w:rsidRPr="00D83C46">
              <w:rPr>
                <w:b/>
                <w:szCs w:val="24"/>
              </w:rPr>
              <w:t>Placebo</w:t>
            </w:r>
          </w:p>
          <w:p w:rsidR="001A47BA" w:rsidRPr="00D83C46" w:rsidRDefault="001A47BA" w:rsidP="00B066CE">
            <w:pPr>
              <w:keepNext/>
              <w:keepLines/>
              <w:spacing w:before="60" w:after="60"/>
              <w:jc w:val="center"/>
              <w:rPr>
                <w:b/>
                <w:szCs w:val="24"/>
              </w:rPr>
            </w:pPr>
            <w:r w:rsidRPr="00D83C46">
              <w:rPr>
                <w:b/>
                <w:szCs w:val="24"/>
              </w:rPr>
              <w:t>N=1584</w:t>
            </w:r>
          </w:p>
        </w:tc>
      </w:tr>
      <w:tr w:rsidR="001A47BA" w:rsidRPr="001A47BA" w:rsidTr="00D83C46">
        <w:trPr>
          <w:trHeight w:val="375"/>
        </w:trPr>
        <w:tc>
          <w:tcPr>
            <w:tcW w:w="1560" w:type="dxa"/>
            <w:vMerge w:val="restart"/>
            <w:tcBorders>
              <w:top w:val="single" w:sz="6" w:space="0" w:color="000000"/>
              <w:left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rPr>
                <w:sz w:val="24"/>
                <w:szCs w:val="24"/>
              </w:rPr>
            </w:pPr>
            <w:r w:rsidRPr="00D83C46">
              <w:rPr>
                <w:sz w:val="24"/>
                <w:szCs w:val="24"/>
              </w:rPr>
              <w:t xml:space="preserve">Creatinine </w:t>
            </w:r>
            <w:r w:rsidRPr="00D83C46">
              <w:rPr>
                <w:sz w:val="24"/>
                <w:szCs w:val="24"/>
              </w:rPr>
              <w:br/>
            </w:r>
          </w:p>
        </w:tc>
        <w:tc>
          <w:tcPr>
            <w:tcW w:w="240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1  (1.1-1.3 X ULN)</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27 (2%)</w:t>
            </w:r>
          </w:p>
        </w:tc>
        <w:tc>
          <w:tcPr>
            <w:tcW w:w="126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21 (2%)</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18 (1%)</w:t>
            </w:r>
          </w:p>
        </w:tc>
        <w:tc>
          <w:tcPr>
            <w:tcW w:w="1260" w:type="dxa"/>
            <w:tcBorders>
              <w:top w:val="single" w:sz="6" w:space="0" w:color="000000"/>
              <w:left w:val="single" w:sz="4" w:space="0" w:color="auto"/>
              <w:bottom w:val="single" w:sz="4" w:space="0" w:color="auto"/>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12 (&lt;1%)</w:t>
            </w:r>
          </w:p>
        </w:tc>
      </w:tr>
      <w:tr w:rsidR="001A47BA" w:rsidRPr="001A47BA" w:rsidTr="00D83C46">
        <w:trPr>
          <w:trHeight w:val="376"/>
        </w:trPr>
        <w:tc>
          <w:tcPr>
            <w:tcW w:w="1560" w:type="dxa"/>
            <w:vMerge/>
            <w:tcBorders>
              <w:left w:val="single" w:sz="4" w:space="0" w:color="auto"/>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rPr>
                <w:sz w:val="24"/>
                <w:szCs w:val="24"/>
              </w:rPr>
            </w:pPr>
          </w:p>
        </w:tc>
        <w:tc>
          <w:tcPr>
            <w:tcW w:w="240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2-4 (&gt; 1.4 x ULN)</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5 (&lt;1%)</w:t>
            </w:r>
          </w:p>
        </w:tc>
        <w:tc>
          <w:tcPr>
            <w:tcW w:w="126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3 (&lt;1%)</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2 (&lt;1%)</w:t>
            </w:r>
          </w:p>
        </w:tc>
        <w:tc>
          <w:tcPr>
            <w:tcW w:w="1260" w:type="dxa"/>
            <w:tcBorders>
              <w:top w:val="single" w:sz="4" w:space="0" w:color="auto"/>
              <w:left w:val="single" w:sz="4" w:space="0" w:color="auto"/>
              <w:bottom w:val="single" w:sz="6" w:space="0" w:color="000000"/>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1 (&lt;1%)</w:t>
            </w:r>
          </w:p>
        </w:tc>
      </w:tr>
      <w:tr w:rsidR="001A47BA" w:rsidRPr="001A47BA" w:rsidTr="00D83C46">
        <w:trPr>
          <w:trHeight w:val="376"/>
        </w:trPr>
        <w:tc>
          <w:tcPr>
            <w:tcW w:w="1560" w:type="dxa"/>
            <w:vMerge w:val="restart"/>
            <w:tcBorders>
              <w:top w:val="single" w:sz="6" w:space="0" w:color="000000"/>
              <w:left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rPr>
                <w:sz w:val="24"/>
                <w:szCs w:val="24"/>
              </w:rPr>
            </w:pPr>
            <w:r w:rsidRPr="00D83C46">
              <w:rPr>
                <w:sz w:val="24"/>
                <w:szCs w:val="24"/>
              </w:rPr>
              <w:t>Phosphorus</w:t>
            </w:r>
          </w:p>
        </w:tc>
        <w:tc>
          <w:tcPr>
            <w:tcW w:w="240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1 (2.5 - &lt;LLN mg/</w:t>
            </w:r>
            <w:proofErr w:type="spellStart"/>
            <w:r w:rsidRPr="00D83C46">
              <w:rPr>
                <w:sz w:val="24"/>
                <w:szCs w:val="24"/>
              </w:rPr>
              <w:t>dL</w:t>
            </w:r>
            <w:proofErr w:type="spellEnd"/>
            <w:r w:rsidRPr="00D83C46">
              <w:rPr>
                <w:sz w:val="24"/>
                <w:szCs w:val="24"/>
              </w:rPr>
              <w:t>)</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81 (7%)</w:t>
            </w:r>
          </w:p>
        </w:tc>
        <w:tc>
          <w:tcPr>
            <w:tcW w:w="126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110 (9%)</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 xml:space="preserve">NR </w:t>
            </w:r>
            <w:r w:rsidRPr="00D83C46">
              <w:rPr>
                <w:sz w:val="24"/>
                <w:szCs w:val="24"/>
                <w:vertAlign w:val="superscript"/>
              </w:rPr>
              <w:t>a</w:t>
            </w:r>
          </w:p>
        </w:tc>
        <w:tc>
          <w:tcPr>
            <w:tcW w:w="1260" w:type="dxa"/>
            <w:tcBorders>
              <w:top w:val="single" w:sz="6" w:space="0" w:color="000000"/>
              <w:left w:val="single" w:sz="4" w:space="0" w:color="auto"/>
              <w:bottom w:val="single" w:sz="4" w:space="0" w:color="auto"/>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 xml:space="preserve">NR </w:t>
            </w:r>
            <w:r w:rsidRPr="00D83C46">
              <w:rPr>
                <w:sz w:val="24"/>
                <w:szCs w:val="24"/>
                <w:vertAlign w:val="superscript"/>
              </w:rPr>
              <w:t>a</w:t>
            </w:r>
          </w:p>
        </w:tc>
      </w:tr>
      <w:tr w:rsidR="001A47BA" w:rsidRPr="001A47BA" w:rsidTr="00D83C46">
        <w:trPr>
          <w:trHeight w:val="375"/>
        </w:trPr>
        <w:tc>
          <w:tcPr>
            <w:tcW w:w="1560" w:type="dxa"/>
            <w:vMerge/>
            <w:tcBorders>
              <w:left w:val="single" w:sz="4" w:space="0" w:color="auto"/>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rPr>
                <w:sz w:val="24"/>
                <w:szCs w:val="24"/>
              </w:rPr>
            </w:pPr>
          </w:p>
        </w:tc>
        <w:tc>
          <w:tcPr>
            <w:tcW w:w="240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2-4 (&lt;2.0 mg/</w:t>
            </w:r>
            <w:proofErr w:type="spellStart"/>
            <w:r w:rsidRPr="00D83C46">
              <w:rPr>
                <w:sz w:val="24"/>
                <w:szCs w:val="24"/>
              </w:rPr>
              <w:t>dL</w:t>
            </w:r>
            <w:proofErr w:type="spellEnd"/>
            <w:r w:rsidRPr="00D83C46">
              <w:rPr>
                <w:sz w:val="24"/>
                <w:szCs w:val="24"/>
              </w:rPr>
              <w:t>)</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123 (10%)</w:t>
            </w:r>
          </w:p>
        </w:tc>
        <w:tc>
          <w:tcPr>
            <w:tcW w:w="126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101 (8%)</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140 (9%)</w:t>
            </w:r>
          </w:p>
        </w:tc>
        <w:tc>
          <w:tcPr>
            <w:tcW w:w="1260" w:type="dxa"/>
            <w:tcBorders>
              <w:top w:val="single" w:sz="4" w:space="0" w:color="auto"/>
              <w:left w:val="single" w:sz="4" w:space="0" w:color="auto"/>
              <w:bottom w:val="single" w:sz="6" w:space="0" w:color="000000"/>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136 (9%)</w:t>
            </w:r>
          </w:p>
        </w:tc>
      </w:tr>
      <w:tr w:rsidR="001A47BA" w:rsidRPr="001A47BA" w:rsidTr="00D83C46">
        <w:trPr>
          <w:trHeight w:val="376"/>
        </w:trPr>
        <w:tc>
          <w:tcPr>
            <w:tcW w:w="1560" w:type="dxa"/>
            <w:vMerge w:val="restart"/>
            <w:tcBorders>
              <w:top w:val="single" w:sz="6" w:space="0" w:color="000000"/>
              <w:left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rPr>
                <w:sz w:val="24"/>
                <w:szCs w:val="24"/>
              </w:rPr>
            </w:pPr>
            <w:r w:rsidRPr="00D83C46">
              <w:rPr>
                <w:sz w:val="24"/>
                <w:szCs w:val="24"/>
              </w:rPr>
              <w:t>AST</w:t>
            </w:r>
          </w:p>
        </w:tc>
        <w:tc>
          <w:tcPr>
            <w:tcW w:w="240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1 (1.25-&lt;2.5 x ULN)</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175 (14%)</w:t>
            </w:r>
          </w:p>
        </w:tc>
        <w:tc>
          <w:tcPr>
            <w:tcW w:w="126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175 (14%)</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20 (1%)</w:t>
            </w:r>
          </w:p>
        </w:tc>
        <w:tc>
          <w:tcPr>
            <w:tcW w:w="1260" w:type="dxa"/>
            <w:tcBorders>
              <w:top w:val="single" w:sz="6" w:space="0" w:color="000000"/>
              <w:left w:val="single" w:sz="4" w:space="0" w:color="auto"/>
              <w:bottom w:val="single" w:sz="4" w:space="0" w:color="auto"/>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25 (2%)</w:t>
            </w:r>
          </w:p>
        </w:tc>
      </w:tr>
      <w:tr w:rsidR="001A47BA" w:rsidRPr="001A47BA" w:rsidTr="00D83C46">
        <w:trPr>
          <w:trHeight w:val="376"/>
        </w:trPr>
        <w:tc>
          <w:tcPr>
            <w:tcW w:w="1560" w:type="dxa"/>
            <w:vMerge/>
            <w:tcBorders>
              <w:left w:val="single" w:sz="4" w:space="0" w:color="auto"/>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rPr>
                <w:sz w:val="24"/>
                <w:szCs w:val="24"/>
              </w:rPr>
            </w:pPr>
          </w:p>
        </w:tc>
        <w:tc>
          <w:tcPr>
            <w:tcW w:w="240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2-4 (&gt; 2.6 x ULN)</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57 (5%)</w:t>
            </w:r>
          </w:p>
        </w:tc>
        <w:tc>
          <w:tcPr>
            <w:tcW w:w="126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61 (5%)</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10 (&lt;1%)</w:t>
            </w:r>
          </w:p>
        </w:tc>
        <w:tc>
          <w:tcPr>
            <w:tcW w:w="1260" w:type="dxa"/>
            <w:tcBorders>
              <w:top w:val="single" w:sz="4" w:space="0" w:color="auto"/>
              <w:left w:val="single" w:sz="4" w:space="0" w:color="auto"/>
              <w:bottom w:val="single" w:sz="6" w:space="0" w:color="000000"/>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4 (&lt;1%)</w:t>
            </w:r>
          </w:p>
        </w:tc>
      </w:tr>
      <w:tr w:rsidR="001A47BA" w:rsidRPr="001A47BA" w:rsidTr="00D83C46">
        <w:trPr>
          <w:trHeight w:val="375"/>
        </w:trPr>
        <w:tc>
          <w:tcPr>
            <w:tcW w:w="1560" w:type="dxa"/>
            <w:vMerge w:val="restart"/>
            <w:tcBorders>
              <w:top w:val="single" w:sz="6" w:space="0" w:color="000000"/>
              <w:left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rPr>
                <w:sz w:val="24"/>
                <w:szCs w:val="24"/>
              </w:rPr>
            </w:pPr>
            <w:r w:rsidRPr="00D83C46">
              <w:rPr>
                <w:sz w:val="24"/>
                <w:szCs w:val="24"/>
              </w:rPr>
              <w:t>ALT</w:t>
            </w:r>
          </w:p>
        </w:tc>
        <w:tc>
          <w:tcPr>
            <w:tcW w:w="240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1 (1.25-&lt;2.5 x ULN)</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178 (14%)</w:t>
            </w:r>
          </w:p>
        </w:tc>
        <w:tc>
          <w:tcPr>
            <w:tcW w:w="126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194 (16%)</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21 (1%)</w:t>
            </w:r>
          </w:p>
        </w:tc>
        <w:tc>
          <w:tcPr>
            <w:tcW w:w="1260" w:type="dxa"/>
            <w:tcBorders>
              <w:top w:val="single" w:sz="6" w:space="0" w:color="000000"/>
              <w:left w:val="single" w:sz="4" w:space="0" w:color="auto"/>
              <w:bottom w:val="single" w:sz="4" w:space="0" w:color="auto"/>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13 (&lt;1%)</w:t>
            </w:r>
          </w:p>
        </w:tc>
      </w:tr>
      <w:tr w:rsidR="001A47BA" w:rsidRPr="001A47BA" w:rsidTr="00D83C46">
        <w:trPr>
          <w:trHeight w:val="376"/>
        </w:trPr>
        <w:tc>
          <w:tcPr>
            <w:tcW w:w="1560" w:type="dxa"/>
            <w:vMerge/>
            <w:tcBorders>
              <w:left w:val="single" w:sz="4" w:space="0" w:color="auto"/>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rPr>
                <w:sz w:val="24"/>
                <w:szCs w:val="24"/>
              </w:rPr>
            </w:pPr>
          </w:p>
        </w:tc>
        <w:tc>
          <w:tcPr>
            <w:tcW w:w="240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2-4 (&gt; 2.6 x ULN)</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84 (7%)</w:t>
            </w:r>
          </w:p>
        </w:tc>
        <w:tc>
          <w:tcPr>
            <w:tcW w:w="126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82 (7%)</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4 (&lt;1%)</w:t>
            </w:r>
          </w:p>
        </w:tc>
        <w:tc>
          <w:tcPr>
            <w:tcW w:w="1260" w:type="dxa"/>
            <w:tcBorders>
              <w:top w:val="single" w:sz="4" w:space="0" w:color="auto"/>
              <w:left w:val="single" w:sz="4" w:space="0" w:color="auto"/>
              <w:bottom w:val="single" w:sz="6" w:space="0" w:color="000000"/>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6 (&lt;1%)</w:t>
            </w:r>
          </w:p>
        </w:tc>
      </w:tr>
      <w:tr w:rsidR="001A47BA" w:rsidRPr="001A47BA" w:rsidTr="00D83C46">
        <w:trPr>
          <w:trHeight w:val="376"/>
        </w:trPr>
        <w:tc>
          <w:tcPr>
            <w:tcW w:w="1560" w:type="dxa"/>
            <w:vMerge w:val="restart"/>
            <w:tcBorders>
              <w:top w:val="single" w:sz="6" w:space="0" w:color="000000"/>
              <w:left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rPr>
                <w:sz w:val="24"/>
                <w:szCs w:val="24"/>
              </w:rPr>
            </w:pPr>
            <w:r w:rsidRPr="00D83C46">
              <w:rPr>
                <w:sz w:val="24"/>
                <w:szCs w:val="24"/>
              </w:rPr>
              <w:t xml:space="preserve">Hemoglobin </w:t>
            </w:r>
          </w:p>
        </w:tc>
        <w:tc>
          <w:tcPr>
            <w:tcW w:w="240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1 (8.5 - 10 mg/</w:t>
            </w:r>
            <w:proofErr w:type="spellStart"/>
            <w:r w:rsidRPr="00D83C46">
              <w:rPr>
                <w:sz w:val="24"/>
                <w:szCs w:val="24"/>
              </w:rPr>
              <w:t>dL</w:t>
            </w:r>
            <w:proofErr w:type="spellEnd"/>
            <w:r w:rsidRPr="00D83C46">
              <w:rPr>
                <w:sz w:val="24"/>
                <w:szCs w:val="24"/>
              </w:rPr>
              <w:t>)</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49 (4%)</w:t>
            </w:r>
          </w:p>
        </w:tc>
        <w:tc>
          <w:tcPr>
            <w:tcW w:w="126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62 (5%)</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56 (4%)</w:t>
            </w:r>
          </w:p>
        </w:tc>
        <w:tc>
          <w:tcPr>
            <w:tcW w:w="1260" w:type="dxa"/>
            <w:tcBorders>
              <w:top w:val="single" w:sz="6" w:space="0" w:color="000000"/>
              <w:left w:val="single" w:sz="4" w:space="0" w:color="auto"/>
              <w:bottom w:val="single" w:sz="4" w:space="0" w:color="auto"/>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39 (2%)</w:t>
            </w:r>
          </w:p>
        </w:tc>
      </w:tr>
      <w:tr w:rsidR="001A47BA" w:rsidRPr="001A47BA" w:rsidTr="00D83C46">
        <w:trPr>
          <w:trHeight w:val="375"/>
        </w:trPr>
        <w:tc>
          <w:tcPr>
            <w:tcW w:w="1560" w:type="dxa"/>
            <w:vMerge/>
            <w:tcBorders>
              <w:left w:val="single" w:sz="4" w:space="0" w:color="auto"/>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rPr>
                <w:sz w:val="24"/>
                <w:szCs w:val="24"/>
              </w:rPr>
            </w:pPr>
          </w:p>
        </w:tc>
        <w:tc>
          <w:tcPr>
            <w:tcW w:w="240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2-4</w:t>
            </w:r>
            <w:r w:rsidRPr="00D83C46">
              <w:rPr>
                <w:sz w:val="24"/>
                <w:szCs w:val="24"/>
              </w:rPr>
              <w:tab/>
              <w:t>(&lt;9.4 mg/</w:t>
            </w:r>
            <w:proofErr w:type="spellStart"/>
            <w:r w:rsidRPr="00D83C46">
              <w:rPr>
                <w:sz w:val="24"/>
                <w:szCs w:val="24"/>
              </w:rPr>
              <w:t>dL</w:t>
            </w:r>
            <w:proofErr w:type="spellEnd"/>
            <w:r w:rsidRPr="00D83C46">
              <w:rPr>
                <w:sz w:val="24"/>
                <w:szCs w:val="24"/>
              </w:rPr>
              <w:t>)</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13 (1%)</w:t>
            </w:r>
          </w:p>
        </w:tc>
        <w:tc>
          <w:tcPr>
            <w:tcW w:w="126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19 (2%)</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28 (2%)</w:t>
            </w:r>
          </w:p>
        </w:tc>
        <w:tc>
          <w:tcPr>
            <w:tcW w:w="1260" w:type="dxa"/>
            <w:tcBorders>
              <w:top w:val="single" w:sz="4" w:space="0" w:color="auto"/>
              <w:left w:val="single" w:sz="4" w:space="0" w:color="auto"/>
              <w:bottom w:val="single" w:sz="6" w:space="0" w:color="000000"/>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39 (2%)</w:t>
            </w:r>
          </w:p>
        </w:tc>
      </w:tr>
      <w:tr w:rsidR="001A47BA" w:rsidRPr="001A47BA" w:rsidTr="00D83C46">
        <w:trPr>
          <w:trHeight w:val="376"/>
        </w:trPr>
        <w:tc>
          <w:tcPr>
            <w:tcW w:w="1560" w:type="dxa"/>
            <w:vMerge w:val="restart"/>
            <w:tcBorders>
              <w:top w:val="single" w:sz="6" w:space="0" w:color="000000"/>
              <w:left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rPr>
                <w:sz w:val="24"/>
                <w:szCs w:val="24"/>
              </w:rPr>
            </w:pPr>
            <w:r w:rsidRPr="00D83C46">
              <w:rPr>
                <w:sz w:val="24"/>
                <w:szCs w:val="24"/>
              </w:rPr>
              <w:t xml:space="preserve">Neutrophils </w:t>
            </w:r>
          </w:p>
        </w:tc>
        <w:tc>
          <w:tcPr>
            <w:tcW w:w="240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1 (1000-1300/mm</w:t>
            </w:r>
            <w:r w:rsidRPr="00D83C46">
              <w:rPr>
                <w:sz w:val="24"/>
                <w:szCs w:val="24"/>
                <w:vertAlign w:val="superscript"/>
              </w:rPr>
              <w:t>3</w:t>
            </w:r>
            <w:r w:rsidRPr="00D83C46">
              <w:rPr>
                <w:sz w:val="24"/>
                <w:szCs w:val="24"/>
              </w:rPr>
              <w:t>)</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23 (2%)</w:t>
            </w:r>
          </w:p>
        </w:tc>
        <w:tc>
          <w:tcPr>
            <w:tcW w:w="1260" w:type="dxa"/>
            <w:tcBorders>
              <w:top w:val="single" w:sz="6" w:space="0" w:color="000000"/>
              <w:left w:val="single" w:sz="4" w:space="0" w:color="auto"/>
              <w:bottom w:val="single" w:sz="4" w:space="0" w:color="auto"/>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25 (2%)</w:t>
            </w:r>
          </w:p>
        </w:tc>
        <w:tc>
          <w:tcPr>
            <w:tcW w:w="1260"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208 (13%)</w:t>
            </w:r>
          </w:p>
        </w:tc>
        <w:tc>
          <w:tcPr>
            <w:tcW w:w="1260" w:type="dxa"/>
            <w:tcBorders>
              <w:top w:val="single" w:sz="6" w:space="0" w:color="000000"/>
              <w:left w:val="single" w:sz="4" w:space="0" w:color="auto"/>
              <w:bottom w:val="single" w:sz="4" w:space="0" w:color="auto"/>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163 (10%)</w:t>
            </w:r>
          </w:p>
        </w:tc>
      </w:tr>
      <w:tr w:rsidR="001A47BA" w:rsidRPr="001A47BA" w:rsidTr="00D83C46">
        <w:trPr>
          <w:trHeight w:val="376"/>
        </w:trPr>
        <w:tc>
          <w:tcPr>
            <w:tcW w:w="1560" w:type="dxa"/>
            <w:vMerge/>
            <w:tcBorders>
              <w:left w:val="single" w:sz="4" w:space="0" w:color="auto"/>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p>
        </w:tc>
        <w:tc>
          <w:tcPr>
            <w:tcW w:w="240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D83C46">
            <w:pPr>
              <w:pStyle w:val="Table-Text"/>
              <w:jc w:val="left"/>
              <w:rPr>
                <w:sz w:val="24"/>
                <w:szCs w:val="24"/>
              </w:rPr>
            </w:pPr>
            <w:r w:rsidRPr="00D83C46">
              <w:rPr>
                <w:sz w:val="24"/>
                <w:szCs w:val="24"/>
              </w:rPr>
              <w:t>2-4</w:t>
            </w:r>
            <w:r w:rsidRPr="00D83C46">
              <w:rPr>
                <w:sz w:val="24"/>
                <w:szCs w:val="24"/>
              </w:rPr>
              <w:tab/>
              <w:t>(&lt;750/mm</w:t>
            </w:r>
            <w:r w:rsidRPr="00D83C46">
              <w:rPr>
                <w:sz w:val="24"/>
                <w:szCs w:val="24"/>
                <w:vertAlign w:val="superscript"/>
              </w:rPr>
              <w:t>3</w:t>
            </w:r>
            <w:r w:rsidRPr="00D83C46">
              <w:rPr>
                <w:sz w:val="24"/>
                <w:szCs w:val="24"/>
              </w:rPr>
              <w:t>)</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7 (&lt;1%)</w:t>
            </w:r>
          </w:p>
        </w:tc>
        <w:tc>
          <w:tcPr>
            <w:tcW w:w="1260" w:type="dxa"/>
            <w:tcBorders>
              <w:top w:val="single" w:sz="4" w:space="0" w:color="auto"/>
              <w:left w:val="single" w:sz="4" w:space="0" w:color="auto"/>
              <w:bottom w:val="single" w:sz="6" w:space="0" w:color="000000"/>
              <w:right w:val="single" w:sz="6" w:space="0" w:color="000000"/>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7 (&lt;1%)</w:t>
            </w:r>
          </w:p>
        </w:tc>
        <w:tc>
          <w:tcPr>
            <w:tcW w:w="1260" w:type="dxa"/>
            <w:tcBorders>
              <w:top w:val="single" w:sz="4" w:space="0" w:color="auto"/>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A47BA" w:rsidRPr="00D83C46" w:rsidRDefault="001A47BA" w:rsidP="00B066CE">
            <w:pPr>
              <w:pStyle w:val="Table-Text"/>
              <w:jc w:val="center"/>
              <w:rPr>
                <w:sz w:val="24"/>
                <w:szCs w:val="24"/>
              </w:rPr>
            </w:pPr>
            <w:r w:rsidRPr="00D83C46">
              <w:rPr>
                <w:sz w:val="24"/>
                <w:szCs w:val="24"/>
              </w:rPr>
              <w:t>73 (5%)</w:t>
            </w:r>
          </w:p>
        </w:tc>
        <w:tc>
          <w:tcPr>
            <w:tcW w:w="1260" w:type="dxa"/>
            <w:tcBorders>
              <w:top w:val="single" w:sz="4" w:space="0" w:color="auto"/>
              <w:left w:val="single" w:sz="4" w:space="0" w:color="auto"/>
              <w:bottom w:val="single" w:sz="6" w:space="0" w:color="000000"/>
              <w:right w:val="single" w:sz="4" w:space="0" w:color="auto"/>
            </w:tcBorders>
            <w:shd w:val="clear" w:color="auto" w:fill="auto"/>
            <w:vAlign w:val="center"/>
          </w:tcPr>
          <w:p w:rsidR="001A47BA" w:rsidRPr="00D83C46" w:rsidRDefault="001A47BA" w:rsidP="00B066CE">
            <w:pPr>
              <w:pStyle w:val="Table-Text"/>
              <w:jc w:val="center"/>
              <w:rPr>
                <w:sz w:val="24"/>
                <w:szCs w:val="24"/>
              </w:rPr>
            </w:pPr>
            <w:r w:rsidRPr="00D83C46">
              <w:rPr>
                <w:sz w:val="24"/>
                <w:szCs w:val="24"/>
              </w:rPr>
              <w:t>56 (3%)</w:t>
            </w:r>
          </w:p>
        </w:tc>
      </w:tr>
    </w:tbl>
    <w:p w:rsidR="001A47BA" w:rsidRPr="00D83C46" w:rsidRDefault="001A47BA" w:rsidP="001A47BA">
      <w:pPr>
        <w:rPr>
          <w:sz w:val="20"/>
        </w:rPr>
      </w:pPr>
      <w:r w:rsidRPr="00D83C46">
        <w:rPr>
          <w:sz w:val="20"/>
        </w:rPr>
        <w:t>a.</w:t>
      </w:r>
      <w:r w:rsidRPr="00D83C46">
        <w:rPr>
          <w:sz w:val="20"/>
        </w:rPr>
        <w:tab/>
        <w:t xml:space="preserve">Grade 1 phosphorus was not reported for the Partners </w:t>
      </w:r>
      <w:proofErr w:type="spellStart"/>
      <w:r w:rsidRPr="00D83C46">
        <w:rPr>
          <w:sz w:val="20"/>
        </w:rPr>
        <w:t>PrEP</w:t>
      </w:r>
      <w:proofErr w:type="spellEnd"/>
      <w:r w:rsidRPr="00D83C46">
        <w:rPr>
          <w:sz w:val="20"/>
        </w:rPr>
        <w:t xml:space="preserve"> trial.</w:t>
      </w:r>
    </w:p>
    <w:p w:rsidR="001A47BA" w:rsidRPr="00D83C46" w:rsidRDefault="001A47BA" w:rsidP="001A47BA">
      <w:pPr>
        <w:rPr>
          <w:sz w:val="20"/>
        </w:rPr>
      </w:pPr>
      <w:proofErr w:type="gramStart"/>
      <w:r w:rsidRPr="00D83C46">
        <w:rPr>
          <w:sz w:val="20"/>
        </w:rPr>
        <w:t>b</w:t>
      </w:r>
      <w:proofErr w:type="gramEnd"/>
      <w:r w:rsidRPr="00D83C46">
        <w:rPr>
          <w:sz w:val="20"/>
        </w:rPr>
        <w:t>.</w:t>
      </w:r>
      <w:r w:rsidRPr="00D83C46">
        <w:rPr>
          <w:sz w:val="20"/>
        </w:rPr>
        <w:tab/>
        <w:t>Grading is per DAIDS criteria.</w:t>
      </w:r>
    </w:p>
    <w:p w:rsidR="001A47BA" w:rsidRPr="00D62A29" w:rsidRDefault="001A47BA" w:rsidP="001A47BA">
      <w:pPr>
        <w:pStyle w:val="Text10"/>
        <w:rPr>
          <w:i/>
          <w:highlight w:val="lightGray"/>
        </w:rPr>
      </w:pPr>
    </w:p>
    <w:p w:rsidR="001A47BA" w:rsidRPr="00024552" w:rsidRDefault="001A47BA" w:rsidP="001A47BA">
      <w:pPr>
        <w:pStyle w:val="Text10"/>
        <w:rPr>
          <w:i/>
        </w:rPr>
      </w:pPr>
      <w:r w:rsidRPr="00024552">
        <w:rPr>
          <w:i/>
        </w:rPr>
        <w:t>Changes in Bone Mineral Density:</w:t>
      </w:r>
    </w:p>
    <w:p w:rsidR="001A47BA" w:rsidRPr="002F408D" w:rsidRDefault="001A47BA" w:rsidP="001A47BA">
      <w:pPr>
        <w:pStyle w:val="Text10"/>
        <w:rPr>
          <w:sz w:val="16"/>
          <w:szCs w:val="16"/>
        </w:rPr>
      </w:pPr>
      <w:r w:rsidRPr="00024552">
        <w:t xml:space="preserve">In clinical trials of HIV-1 uninfected individuals, decreases in BMD were observed. In the </w:t>
      </w:r>
      <w:proofErr w:type="spellStart"/>
      <w:r w:rsidRPr="00024552">
        <w:t>iPrEx</w:t>
      </w:r>
      <w:proofErr w:type="spellEnd"/>
      <w:r w:rsidRPr="00024552">
        <w:t xml:space="preserve"> trial, a </w:t>
      </w:r>
      <w:proofErr w:type="spellStart"/>
      <w:r w:rsidRPr="00024552">
        <w:t>substudy</w:t>
      </w:r>
      <w:proofErr w:type="spellEnd"/>
      <w:r w:rsidRPr="00024552">
        <w:t xml:space="preserve"> of 503 subjects found mean changes from baseline in BMD ranging from -0.4% to -1.0% across total hip, spine, femoral neck, and trochanter in the TRUVADA group compared with the placebo group, which returned toward baseline after discontinuation of treatment.</w:t>
      </w:r>
      <w:r w:rsidRPr="00024552">
        <w:rPr>
          <w:rStyle w:val="DeltaViewInsertion"/>
          <w:rFonts w:cs="Arial"/>
          <w:w w:val="0"/>
          <w:szCs w:val="24"/>
        </w:rPr>
        <w:t xml:space="preserve"> </w:t>
      </w:r>
      <w:r w:rsidRPr="00086D13">
        <w:rPr>
          <w:rStyle w:val="DeltaViewInsertion"/>
          <w:rFonts w:cs="Arial"/>
          <w:color w:val="auto"/>
          <w:w w:val="0"/>
          <w:szCs w:val="24"/>
          <w:u w:val="none"/>
        </w:rPr>
        <w:t xml:space="preserve">Thirteen percent of </w:t>
      </w:r>
      <w:r w:rsidRPr="00086D13">
        <w:rPr>
          <w:rStyle w:val="DeltaViewInsertion"/>
          <w:color w:val="auto"/>
          <w:u w:val="none"/>
        </w:rPr>
        <w:t>subjects receiving TRUVADA</w:t>
      </w:r>
      <w:r w:rsidRPr="00086D13">
        <w:rPr>
          <w:rStyle w:val="DeltaViewInsertion"/>
          <w:rFonts w:cs="Arial"/>
          <w:color w:val="auto"/>
          <w:w w:val="0"/>
          <w:szCs w:val="24"/>
          <w:u w:val="none"/>
        </w:rPr>
        <w:t xml:space="preserve"> vs. 6% of </w:t>
      </w:r>
      <w:r w:rsidRPr="00086D13">
        <w:rPr>
          <w:rStyle w:val="DeltaViewInsertion"/>
          <w:color w:val="auto"/>
          <w:u w:val="none"/>
        </w:rPr>
        <w:t>subjects receiving placebo</w:t>
      </w:r>
      <w:r w:rsidRPr="00086D13">
        <w:rPr>
          <w:rStyle w:val="DeltaViewInsertion"/>
          <w:rFonts w:cs="Arial"/>
          <w:color w:val="auto"/>
          <w:w w:val="0"/>
          <w:szCs w:val="24"/>
          <w:u w:val="none"/>
        </w:rPr>
        <w:t xml:space="preserve"> lost at least 5% of BMD at the spine during treatment.</w:t>
      </w:r>
      <w:r w:rsidRPr="00086D13">
        <w:t xml:space="preserve"> </w:t>
      </w:r>
      <w:r w:rsidRPr="00024552">
        <w:t xml:space="preserve">Bone fractures were reported in 1.7% of the TRUVADA group compared with 1.4% in the placebo group. No correlation between BMD and fractures was noted </w:t>
      </w:r>
      <w:r>
        <w:t>(see CLINICAL TRIALS)</w:t>
      </w:r>
      <w:r w:rsidRPr="00024552">
        <w:t xml:space="preserve">. The Partners </w:t>
      </w:r>
      <w:proofErr w:type="spellStart"/>
      <w:r w:rsidRPr="00024552">
        <w:t>PrEP</w:t>
      </w:r>
      <w:proofErr w:type="spellEnd"/>
      <w:r w:rsidRPr="00024552">
        <w:t xml:space="preserve"> trial found similar fracture rates between treatment and placebo groups (0.8% and 0.6%, respectively). No BMD evaluations were conducted during this trial </w:t>
      </w:r>
      <w:r>
        <w:t>(see CLINICAL TRIALS)</w:t>
      </w:r>
      <w:r w:rsidRPr="00024552">
        <w:t>.</w:t>
      </w:r>
    </w:p>
    <w:p w:rsidR="00046320" w:rsidRDefault="00046320" w:rsidP="00CF5E15">
      <w:pPr>
        <w:pStyle w:val="BodyText3"/>
        <w:rPr>
          <w:rFonts w:ascii="Times New Roman" w:hAnsi="Times New Roman"/>
          <w:b/>
          <w:i/>
          <w:color w:val="000000"/>
          <w:szCs w:val="24"/>
          <w:u w:val="single"/>
        </w:rPr>
      </w:pPr>
    </w:p>
    <w:p w:rsidR="00BD577A" w:rsidRDefault="00BD577A" w:rsidP="00CF5E15">
      <w:pPr>
        <w:pStyle w:val="BodyText3"/>
        <w:rPr>
          <w:rFonts w:ascii="Times New Roman" w:hAnsi="Times New Roman"/>
          <w:b/>
          <w:i/>
          <w:color w:val="000000"/>
          <w:szCs w:val="24"/>
          <w:u w:val="single"/>
        </w:rPr>
        <w:sectPr w:rsidR="00BD577A" w:rsidSect="00F14E84">
          <w:pgSz w:w="12240" w:h="15840" w:code="1"/>
          <w:pgMar w:top="1134" w:right="1418" w:bottom="1418" w:left="1418" w:header="720" w:footer="720" w:gutter="0"/>
          <w:cols w:space="720"/>
          <w:noEndnote/>
        </w:sectPr>
      </w:pPr>
    </w:p>
    <w:p w:rsidR="004F534F" w:rsidRPr="005B161B" w:rsidRDefault="004F534F" w:rsidP="00CF5E15">
      <w:pPr>
        <w:pStyle w:val="BodyText3"/>
        <w:rPr>
          <w:rFonts w:ascii="Times New Roman" w:hAnsi="Times New Roman"/>
          <w:b/>
          <w:i/>
          <w:color w:val="000000"/>
          <w:szCs w:val="24"/>
          <w:u w:val="single"/>
        </w:rPr>
      </w:pPr>
      <w:r w:rsidRPr="005B161B">
        <w:rPr>
          <w:rFonts w:ascii="Times New Roman" w:hAnsi="Times New Roman"/>
          <w:b/>
          <w:i/>
          <w:color w:val="000000"/>
          <w:szCs w:val="24"/>
          <w:u w:val="single"/>
        </w:rPr>
        <w:lastRenderedPageBreak/>
        <w:t>From Post Marketing Surveillance</w:t>
      </w:r>
    </w:p>
    <w:p w:rsidR="00CF5E15" w:rsidRPr="00315BD2" w:rsidRDefault="00CF5E15" w:rsidP="00CF5E15">
      <w:pPr>
        <w:pStyle w:val="TOCHeadings"/>
        <w:widowControl/>
        <w:tabs>
          <w:tab w:val="left" w:pos="720"/>
        </w:tabs>
        <w:spacing w:before="0" w:after="0"/>
        <w:rPr>
          <w:b w:val="0"/>
          <w:sz w:val="24"/>
          <w:szCs w:val="24"/>
          <w:lang w:val="en-AU"/>
        </w:rPr>
      </w:pPr>
    </w:p>
    <w:p w:rsidR="004F534F" w:rsidRPr="00315BD2" w:rsidRDefault="004F534F" w:rsidP="00CF5E15">
      <w:pPr>
        <w:pStyle w:val="TOCHeadings"/>
        <w:widowControl/>
        <w:tabs>
          <w:tab w:val="left" w:pos="720"/>
        </w:tabs>
        <w:spacing w:before="0" w:after="0"/>
        <w:rPr>
          <w:b w:val="0"/>
          <w:sz w:val="24"/>
          <w:szCs w:val="24"/>
          <w:lang w:val="en-AU"/>
        </w:rPr>
      </w:pPr>
      <w:r w:rsidRPr="00315BD2">
        <w:rPr>
          <w:b w:val="0"/>
          <w:sz w:val="24"/>
          <w:szCs w:val="24"/>
          <w:lang w:val="en-AU"/>
        </w:rPr>
        <w:t xml:space="preserve">In addition to adverse events reported from clinical trials, the following events have been identified during post-approval use of VIREAD.  </w:t>
      </w:r>
    </w:p>
    <w:p w:rsidR="00CF5E15" w:rsidRPr="00315BD2" w:rsidRDefault="00CF5E15" w:rsidP="00CF5E15">
      <w:pPr>
        <w:pStyle w:val="TOCHeadings"/>
        <w:widowControl/>
        <w:tabs>
          <w:tab w:val="left" w:pos="720"/>
        </w:tabs>
        <w:spacing w:before="0" w:after="0"/>
        <w:rPr>
          <w:b w:val="0"/>
          <w:sz w:val="24"/>
          <w:szCs w:val="24"/>
          <w:lang w:val="en-AU"/>
        </w:rPr>
      </w:pPr>
    </w:p>
    <w:p w:rsidR="004F534F" w:rsidRPr="00315BD2" w:rsidRDefault="004F534F" w:rsidP="00CF5E15">
      <w:pPr>
        <w:rPr>
          <w:snapToGrid w:val="0"/>
          <w:color w:val="000000"/>
          <w:szCs w:val="24"/>
        </w:rPr>
      </w:pPr>
      <w:r w:rsidRPr="00315BD2">
        <w:rPr>
          <w:snapToGrid w:val="0"/>
          <w:color w:val="000000"/>
          <w:szCs w:val="24"/>
        </w:rPr>
        <w:t>IMMUNE SYSTEM DISORDERS</w:t>
      </w:r>
    </w:p>
    <w:p w:rsidR="004F534F" w:rsidRPr="00315BD2" w:rsidRDefault="004F534F" w:rsidP="00CF5E15">
      <w:pPr>
        <w:rPr>
          <w:snapToGrid w:val="0"/>
          <w:color w:val="000000"/>
          <w:szCs w:val="24"/>
        </w:rPr>
      </w:pPr>
      <w:r w:rsidRPr="00315BD2">
        <w:rPr>
          <w:snapToGrid w:val="0"/>
          <w:color w:val="000000"/>
          <w:szCs w:val="24"/>
        </w:rPr>
        <w:t>Allergic reaction</w:t>
      </w:r>
      <w:r w:rsidR="00D407BD" w:rsidRPr="00315BD2">
        <w:rPr>
          <w:snapToGrid w:val="0"/>
          <w:color w:val="000000"/>
          <w:szCs w:val="24"/>
        </w:rPr>
        <w:t xml:space="preserve"> (including angioedema)</w:t>
      </w:r>
    </w:p>
    <w:p w:rsidR="004F534F" w:rsidRPr="00315BD2" w:rsidRDefault="004F534F" w:rsidP="00CF5E15">
      <w:pPr>
        <w:rPr>
          <w:snapToGrid w:val="0"/>
          <w:color w:val="000000"/>
          <w:szCs w:val="24"/>
        </w:rPr>
      </w:pPr>
    </w:p>
    <w:p w:rsidR="004F534F" w:rsidRPr="00315BD2" w:rsidRDefault="004F534F" w:rsidP="00CF5E15">
      <w:pPr>
        <w:rPr>
          <w:snapToGrid w:val="0"/>
          <w:color w:val="000000"/>
          <w:szCs w:val="24"/>
        </w:rPr>
      </w:pPr>
      <w:r w:rsidRPr="00315BD2">
        <w:rPr>
          <w:snapToGrid w:val="0"/>
          <w:color w:val="000000"/>
          <w:szCs w:val="24"/>
        </w:rPr>
        <w:t>METABOLISM AND NUTRITION DISORDERS</w:t>
      </w:r>
    </w:p>
    <w:p w:rsidR="004F534F" w:rsidRPr="00315BD2" w:rsidRDefault="004F410E" w:rsidP="00CF5E15">
      <w:pPr>
        <w:rPr>
          <w:snapToGrid w:val="0"/>
          <w:color w:val="000000"/>
          <w:szCs w:val="24"/>
        </w:rPr>
      </w:pPr>
      <w:proofErr w:type="spellStart"/>
      <w:r w:rsidRPr="00315BD2">
        <w:rPr>
          <w:snapToGrid w:val="0"/>
          <w:color w:val="000000"/>
          <w:szCs w:val="24"/>
        </w:rPr>
        <w:t>Hypokalaemia</w:t>
      </w:r>
      <w:proofErr w:type="spellEnd"/>
      <w:r w:rsidRPr="00315BD2">
        <w:rPr>
          <w:snapToGrid w:val="0"/>
          <w:color w:val="000000"/>
          <w:szCs w:val="24"/>
        </w:rPr>
        <w:t xml:space="preserve">, </w:t>
      </w:r>
      <w:proofErr w:type="spellStart"/>
      <w:r w:rsidRPr="00315BD2">
        <w:rPr>
          <w:snapToGrid w:val="0"/>
          <w:color w:val="000000"/>
          <w:szCs w:val="24"/>
        </w:rPr>
        <w:t>h</w:t>
      </w:r>
      <w:r w:rsidR="004F534F" w:rsidRPr="00315BD2">
        <w:rPr>
          <w:snapToGrid w:val="0"/>
          <w:color w:val="000000"/>
          <w:szCs w:val="24"/>
        </w:rPr>
        <w:t>ypophosphataemia</w:t>
      </w:r>
      <w:proofErr w:type="spellEnd"/>
      <w:r w:rsidR="004F534F" w:rsidRPr="00315BD2">
        <w:rPr>
          <w:snapToGrid w:val="0"/>
          <w:color w:val="000000"/>
          <w:szCs w:val="24"/>
        </w:rPr>
        <w:t>, lactic acidosis</w:t>
      </w:r>
    </w:p>
    <w:p w:rsidR="004F534F" w:rsidRPr="00315BD2" w:rsidRDefault="004F534F" w:rsidP="00CF5E15">
      <w:pPr>
        <w:rPr>
          <w:snapToGrid w:val="0"/>
          <w:color w:val="000000"/>
          <w:szCs w:val="24"/>
        </w:rPr>
      </w:pPr>
    </w:p>
    <w:p w:rsidR="004F534F" w:rsidRPr="00315BD2" w:rsidRDefault="004F534F" w:rsidP="00CF5E15">
      <w:pPr>
        <w:rPr>
          <w:snapToGrid w:val="0"/>
          <w:color w:val="000000"/>
          <w:szCs w:val="24"/>
        </w:rPr>
      </w:pPr>
      <w:r w:rsidRPr="00315BD2">
        <w:rPr>
          <w:snapToGrid w:val="0"/>
          <w:color w:val="000000"/>
          <w:szCs w:val="24"/>
        </w:rPr>
        <w:t>RESPIRATORY, THORACIC, AND MEDIASTINAL DISORDERS</w:t>
      </w:r>
    </w:p>
    <w:p w:rsidR="004F534F" w:rsidRPr="00315BD2" w:rsidRDefault="004F534F" w:rsidP="00CF5E15">
      <w:pPr>
        <w:rPr>
          <w:snapToGrid w:val="0"/>
          <w:color w:val="000000"/>
          <w:szCs w:val="24"/>
        </w:rPr>
      </w:pPr>
      <w:proofErr w:type="spellStart"/>
      <w:r w:rsidRPr="00315BD2">
        <w:rPr>
          <w:snapToGrid w:val="0"/>
          <w:color w:val="000000"/>
          <w:szCs w:val="24"/>
        </w:rPr>
        <w:t>Dyspnoea</w:t>
      </w:r>
      <w:proofErr w:type="spellEnd"/>
    </w:p>
    <w:p w:rsidR="004F534F" w:rsidRPr="00315BD2" w:rsidRDefault="004F534F" w:rsidP="00CF5E15">
      <w:pPr>
        <w:rPr>
          <w:snapToGrid w:val="0"/>
          <w:color w:val="000000"/>
          <w:szCs w:val="24"/>
        </w:rPr>
      </w:pPr>
    </w:p>
    <w:p w:rsidR="004F534F" w:rsidRPr="00315BD2" w:rsidRDefault="004F534F" w:rsidP="00CF5E15">
      <w:pPr>
        <w:rPr>
          <w:snapToGrid w:val="0"/>
          <w:color w:val="000000"/>
          <w:szCs w:val="24"/>
        </w:rPr>
      </w:pPr>
      <w:r w:rsidRPr="00315BD2">
        <w:rPr>
          <w:snapToGrid w:val="0"/>
          <w:color w:val="000000"/>
          <w:szCs w:val="24"/>
        </w:rPr>
        <w:t>GASTROINTESTINAL DISORDERS</w:t>
      </w:r>
    </w:p>
    <w:p w:rsidR="004F534F" w:rsidRPr="00315BD2" w:rsidRDefault="004F534F" w:rsidP="00CF5E15">
      <w:pPr>
        <w:rPr>
          <w:strike/>
          <w:snapToGrid w:val="0"/>
          <w:szCs w:val="24"/>
          <w:highlight w:val="yellow"/>
        </w:rPr>
      </w:pPr>
      <w:r w:rsidRPr="00315BD2">
        <w:rPr>
          <w:snapToGrid w:val="0"/>
          <w:color w:val="000000"/>
          <w:szCs w:val="24"/>
        </w:rPr>
        <w:t>Increased amylase, abdominal pain, pancreatitis</w:t>
      </w:r>
      <w:r w:rsidRPr="00315BD2">
        <w:rPr>
          <w:snapToGrid w:val="0"/>
          <w:szCs w:val="24"/>
        </w:rPr>
        <w:t xml:space="preserve"> </w:t>
      </w:r>
    </w:p>
    <w:p w:rsidR="004F534F" w:rsidRPr="00315BD2" w:rsidRDefault="004F534F" w:rsidP="00CF5E15">
      <w:pPr>
        <w:rPr>
          <w:strike/>
          <w:snapToGrid w:val="0"/>
          <w:szCs w:val="24"/>
          <w:highlight w:val="yellow"/>
        </w:rPr>
      </w:pPr>
    </w:p>
    <w:p w:rsidR="004F534F" w:rsidRPr="00315BD2" w:rsidRDefault="004F534F" w:rsidP="00CF5E15">
      <w:pPr>
        <w:rPr>
          <w:snapToGrid w:val="0"/>
          <w:color w:val="000000"/>
          <w:szCs w:val="24"/>
        </w:rPr>
      </w:pPr>
      <w:r w:rsidRPr="00315BD2">
        <w:rPr>
          <w:snapToGrid w:val="0"/>
          <w:szCs w:val="24"/>
        </w:rPr>
        <w:t>HEPATOBILIARY</w:t>
      </w:r>
      <w:r w:rsidRPr="00315BD2">
        <w:rPr>
          <w:snapToGrid w:val="0"/>
          <w:color w:val="000000"/>
          <w:szCs w:val="24"/>
        </w:rPr>
        <w:t xml:space="preserve"> DISORDERS</w:t>
      </w:r>
    </w:p>
    <w:p w:rsidR="004F534F" w:rsidRPr="00315BD2" w:rsidRDefault="004F410E" w:rsidP="00CF5E15">
      <w:pPr>
        <w:rPr>
          <w:snapToGrid w:val="0"/>
          <w:color w:val="000000"/>
          <w:szCs w:val="24"/>
        </w:rPr>
      </w:pPr>
      <w:r w:rsidRPr="00315BD2">
        <w:rPr>
          <w:snapToGrid w:val="0"/>
          <w:color w:val="000000"/>
          <w:szCs w:val="24"/>
        </w:rPr>
        <w:t>Hepatic steatosis, i</w:t>
      </w:r>
      <w:r w:rsidR="004F534F" w:rsidRPr="00315BD2">
        <w:rPr>
          <w:snapToGrid w:val="0"/>
          <w:color w:val="000000"/>
          <w:szCs w:val="24"/>
        </w:rPr>
        <w:t xml:space="preserve">ncreased liver enzymes (most commonly </w:t>
      </w:r>
      <w:r w:rsidR="004F534F" w:rsidRPr="00315BD2">
        <w:rPr>
          <w:snapToGrid w:val="0"/>
          <w:szCs w:val="24"/>
        </w:rPr>
        <w:t>AST, ALT, gamma GT)</w:t>
      </w:r>
      <w:r w:rsidR="004F534F" w:rsidRPr="00315BD2">
        <w:rPr>
          <w:snapToGrid w:val="0"/>
          <w:color w:val="000000"/>
          <w:szCs w:val="24"/>
        </w:rPr>
        <w:t>, hepatitis</w:t>
      </w:r>
    </w:p>
    <w:p w:rsidR="00CF5E15" w:rsidRPr="00315BD2" w:rsidRDefault="00CF5E15" w:rsidP="00CF5E15">
      <w:pPr>
        <w:rPr>
          <w:snapToGrid w:val="0"/>
          <w:color w:val="000000"/>
          <w:szCs w:val="24"/>
        </w:rPr>
      </w:pPr>
    </w:p>
    <w:p w:rsidR="004F534F" w:rsidRPr="00315BD2" w:rsidRDefault="004F534F" w:rsidP="00CF5E15">
      <w:pPr>
        <w:rPr>
          <w:snapToGrid w:val="0"/>
          <w:color w:val="000000"/>
          <w:szCs w:val="24"/>
        </w:rPr>
      </w:pPr>
      <w:r w:rsidRPr="00315BD2">
        <w:rPr>
          <w:snapToGrid w:val="0"/>
          <w:color w:val="000000"/>
          <w:szCs w:val="24"/>
        </w:rPr>
        <w:t>SKIN AND SUBCUTANEOUS TISSUE DISORDERS</w:t>
      </w:r>
    </w:p>
    <w:p w:rsidR="004F534F" w:rsidRPr="00315BD2" w:rsidRDefault="004F534F" w:rsidP="00CF5E15">
      <w:pPr>
        <w:rPr>
          <w:snapToGrid w:val="0"/>
          <w:color w:val="000000"/>
          <w:szCs w:val="24"/>
        </w:rPr>
      </w:pPr>
      <w:r w:rsidRPr="00315BD2">
        <w:rPr>
          <w:snapToGrid w:val="0"/>
          <w:color w:val="000000"/>
          <w:szCs w:val="24"/>
        </w:rPr>
        <w:t>Rash</w:t>
      </w:r>
    </w:p>
    <w:p w:rsidR="00DB46C2" w:rsidRPr="00315BD2" w:rsidRDefault="00DB46C2" w:rsidP="00CF5E15">
      <w:pPr>
        <w:rPr>
          <w:snapToGrid w:val="0"/>
          <w:color w:val="000000"/>
          <w:szCs w:val="24"/>
        </w:rPr>
      </w:pPr>
    </w:p>
    <w:p w:rsidR="00DB46C2" w:rsidRPr="00315BD2" w:rsidRDefault="00DB46C2" w:rsidP="00CF5E15">
      <w:pPr>
        <w:rPr>
          <w:snapToGrid w:val="0"/>
          <w:color w:val="000000"/>
          <w:szCs w:val="24"/>
        </w:rPr>
      </w:pPr>
      <w:r w:rsidRPr="00315BD2">
        <w:rPr>
          <w:snapToGrid w:val="0"/>
          <w:color w:val="000000"/>
          <w:szCs w:val="24"/>
        </w:rPr>
        <w:t>MUSCULOSKELETAL AND CONNECTIVE TISSUE DISORDERS</w:t>
      </w:r>
    </w:p>
    <w:p w:rsidR="00DB46C2" w:rsidRPr="00315BD2" w:rsidRDefault="004F410E" w:rsidP="00CF5E15">
      <w:pPr>
        <w:rPr>
          <w:snapToGrid w:val="0"/>
          <w:color w:val="000000"/>
          <w:szCs w:val="24"/>
        </w:rPr>
      </w:pPr>
      <w:r w:rsidRPr="00315BD2">
        <w:rPr>
          <w:snapToGrid w:val="0"/>
          <w:color w:val="000000"/>
          <w:szCs w:val="24"/>
        </w:rPr>
        <w:t>Rhabdomyolysis, muscular weakness, m</w:t>
      </w:r>
      <w:r w:rsidR="00DB46C2" w:rsidRPr="00315BD2">
        <w:rPr>
          <w:snapToGrid w:val="0"/>
          <w:color w:val="000000"/>
          <w:szCs w:val="24"/>
        </w:rPr>
        <w:t xml:space="preserve">yopathy, </w:t>
      </w:r>
      <w:proofErr w:type="spellStart"/>
      <w:r w:rsidR="00DB46C2" w:rsidRPr="00315BD2">
        <w:rPr>
          <w:snapToGrid w:val="0"/>
          <w:color w:val="000000"/>
          <w:szCs w:val="24"/>
        </w:rPr>
        <w:t>osteomalacia</w:t>
      </w:r>
      <w:proofErr w:type="spellEnd"/>
      <w:r w:rsidR="00DB46C2" w:rsidRPr="00315BD2">
        <w:rPr>
          <w:snapToGrid w:val="0"/>
          <w:color w:val="000000"/>
          <w:szCs w:val="24"/>
        </w:rPr>
        <w:t xml:space="preserve"> (</w:t>
      </w:r>
      <w:r w:rsidRPr="00315BD2">
        <w:rPr>
          <w:snapToGrid w:val="0"/>
          <w:color w:val="000000"/>
          <w:szCs w:val="24"/>
        </w:rPr>
        <w:t>manifested as bone pain and infrequently contributing to fractures</w:t>
      </w:r>
      <w:r w:rsidR="00DB46C2" w:rsidRPr="00315BD2">
        <w:rPr>
          <w:snapToGrid w:val="0"/>
          <w:color w:val="000000"/>
          <w:szCs w:val="24"/>
        </w:rPr>
        <w:t>)</w:t>
      </w:r>
    </w:p>
    <w:p w:rsidR="00E75E72" w:rsidRPr="00315BD2" w:rsidRDefault="00E75E72" w:rsidP="00CF5E15">
      <w:pPr>
        <w:rPr>
          <w:snapToGrid w:val="0"/>
          <w:color w:val="000000"/>
          <w:szCs w:val="24"/>
        </w:rPr>
      </w:pPr>
    </w:p>
    <w:p w:rsidR="004F534F" w:rsidRPr="00315BD2" w:rsidRDefault="004F534F" w:rsidP="00CF5E15">
      <w:pPr>
        <w:rPr>
          <w:snapToGrid w:val="0"/>
          <w:color w:val="000000"/>
          <w:szCs w:val="24"/>
          <w:u w:val="single"/>
        </w:rPr>
      </w:pPr>
      <w:r w:rsidRPr="00315BD2">
        <w:rPr>
          <w:snapToGrid w:val="0"/>
          <w:color w:val="000000"/>
          <w:szCs w:val="24"/>
        </w:rPr>
        <w:t>RENAL AND URINARY DISORDERS</w:t>
      </w:r>
    </w:p>
    <w:p w:rsidR="004F534F" w:rsidRPr="00315BD2" w:rsidRDefault="004F534F" w:rsidP="00CF5E15">
      <w:pPr>
        <w:rPr>
          <w:snapToGrid w:val="0"/>
          <w:szCs w:val="24"/>
        </w:rPr>
      </w:pPr>
      <w:proofErr w:type="gramStart"/>
      <w:r w:rsidRPr="00315BD2">
        <w:rPr>
          <w:snapToGrid w:val="0"/>
          <w:color w:val="000000"/>
          <w:szCs w:val="24"/>
        </w:rPr>
        <w:t xml:space="preserve">Increased creatinine, renal insufficiency, renal failure, acute renal failure, </w:t>
      </w:r>
      <w:proofErr w:type="spellStart"/>
      <w:r w:rsidRPr="00315BD2">
        <w:rPr>
          <w:snapToGrid w:val="0"/>
          <w:color w:val="000000"/>
          <w:szCs w:val="24"/>
        </w:rPr>
        <w:t>Fanconi</w:t>
      </w:r>
      <w:proofErr w:type="spellEnd"/>
      <w:r w:rsidRPr="00315BD2">
        <w:rPr>
          <w:snapToGrid w:val="0"/>
          <w:color w:val="000000"/>
          <w:szCs w:val="24"/>
        </w:rPr>
        <w:t xml:space="preserve"> syndrome, proximal </w:t>
      </w:r>
      <w:r w:rsidR="004F410E" w:rsidRPr="00315BD2">
        <w:rPr>
          <w:snapToGrid w:val="0"/>
          <w:color w:val="000000"/>
          <w:szCs w:val="24"/>
        </w:rPr>
        <w:t xml:space="preserve">renal </w:t>
      </w:r>
      <w:proofErr w:type="spellStart"/>
      <w:r w:rsidRPr="00315BD2">
        <w:rPr>
          <w:snapToGrid w:val="0"/>
          <w:color w:val="000000"/>
          <w:szCs w:val="24"/>
        </w:rPr>
        <w:t>tubulopathy</w:t>
      </w:r>
      <w:proofErr w:type="spellEnd"/>
      <w:r w:rsidRPr="00315BD2">
        <w:rPr>
          <w:snapToGrid w:val="0"/>
          <w:color w:val="000000"/>
          <w:szCs w:val="24"/>
        </w:rPr>
        <w:t>,</w:t>
      </w:r>
      <w:r w:rsidR="00344DF9" w:rsidRPr="00315BD2">
        <w:rPr>
          <w:snapToGrid w:val="0"/>
          <w:color w:val="000000"/>
          <w:szCs w:val="24"/>
        </w:rPr>
        <w:t xml:space="preserve"> nephrogenic diabetes insipidus,</w:t>
      </w:r>
      <w:r w:rsidRPr="00315BD2">
        <w:rPr>
          <w:snapToGrid w:val="0"/>
          <w:color w:val="000000"/>
          <w:szCs w:val="24"/>
        </w:rPr>
        <w:t xml:space="preserve"> proteinuria, a</w:t>
      </w:r>
      <w:r w:rsidRPr="00315BD2">
        <w:rPr>
          <w:snapToGrid w:val="0"/>
          <w:szCs w:val="24"/>
        </w:rPr>
        <w:t>cute tubular necrosis, polyuria</w:t>
      </w:r>
      <w:r w:rsidR="00344DF9" w:rsidRPr="00315BD2">
        <w:rPr>
          <w:snapToGrid w:val="0"/>
          <w:szCs w:val="24"/>
        </w:rPr>
        <w:t xml:space="preserve">, </w:t>
      </w:r>
      <w:r w:rsidR="00DB46C2" w:rsidRPr="00315BD2">
        <w:rPr>
          <w:snapToGrid w:val="0"/>
          <w:szCs w:val="24"/>
        </w:rPr>
        <w:t>interstitial nephritis (including acute cases)</w:t>
      </w:r>
      <w:r w:rsidR="00344DF9" w:rsidRPr="00315BD2">
        <w:rPr>
          <w:snapToGrid w:val="0"/>
          <w:szCs w:val="24"/>
        </w:rPr>
        <w:t>.</w:t>
      </w:r>
      <w:proofErr w:type="gramEnd"/>
    </w:p>
    <w:p w:rsidR="004F534F" w:rsidRPr="00315BD2" w:rsidRDefault="004F534F" w:rsidP="00CF5E15">
      <w:pPr>
        <w:rPr>
          <w:snapToGrid w:val="0"/>
          <w:szCs w:val="24"/>
        </w:rPr>
      </w:pPr>
    </w:p>
    <w:p w:rsidR="004F534F" w:rsidRPr="00315BD2" w:rsidRDefault="004F534F" w:rsidP="00CF5E15">
      <w:pPr>
        <w:rPr>
          <w:snapToGrid w:val="0"/>
          <w:color w:val="000000"/>
          <w:szCs w:val="24"/>
        </w:rPr>
      </w:pPr>
      <w:r w:rsidRPr="00315BD2">
        <w:rPr>
          <w:snapToGrid w:val="0"/>
          <w:color w:val="000000"/>
          <w:szCs w:val="24"/>
        </w:rPr>
        <w:t>GENERAL DISORDERS AND ADMINISTRATION SITE CONDITIONS</w:t>
      </w:r>
    </w:p>
    <w:p w:rsidR="004F534F" w:rsidRPr="00315BD2" w:rsidRDefault="004F534F" w:rsidP="00CF5E15">
      <w:pPr>
        <w:rPr>
          <w:snapToGrid w:val="0"/>
          <w:color w:val="000000"/>
          <w:szCs w:val="24"/>
        </w:rPr>
      </w:pPr>
      <w:proofErr w:type="spellStart"/>
      <w:r w:rsidRPr="00315BD2">
        <w:rPr>
          <w:snapToGrid w:val="0"/>
          <w:color w:val="000000"/>
          <w:szCs w:val="24"/>
        </w:rPr>
        <w:t>Asth</w:t>
      </w:r>
      <w:r w:rsidR="004F410E" w:rsidRPr="00315BD2">
        <w:rPr>
          <w:snapToGrid w:val="0"/>
          <w:color w:val="000000"/>
          <w:szCs w:val="24"/>
        </w:rPr>
        <w:t>a</w:t>
      </w:r>
      <w:r w:rsidRPr="00315BD2">
        <w:rPr>
          <w:snapToGrid w:val="0"/>
          <w:color w:val="000000"/>
          <w:szCs w:val="24"/>
        </w:rPr>
        <w:t>enia</w:t>
      </w:r>
      <w:proofErr w:type="spellEnd"/>
    </w:p>
    <w:p w:rsidR="00E6589B" w:rsidRPr="00315BD2" w:rsidRDefault="00E6589B" w:rsidP="00E6589B">
      <w:pPr>
        <w:rPr>
          <w:color w:val="000000"/>
          <w:szCs w:val="24"/>
        </w:rPr>
      </w:pPr>
    </w:p>
    <w:p w:rsidR="004F410E" w:rsidRPr="00315BD2" w:rsidRDefault="004F410E" w:rsidP="00E6589B">
      <w:pPr>
        <w:rPr>
          <w:snapToGrid w:val="0"/>
          <w:color w:val="000000"/>
          <w:szCs w:val="24"/>
        </w:rPr>
      </w:pPr>
      <w:r w:rsidRPr="00315BD2">
        <w:rPr>
          <w:color w:val="000000"/>
          <w:szCs w:val="24"/>
        </w:rPr>
        <w:t xml:space="preserve">The following </w:t>
      </w:r>
      <w:r w:rsidRPr="00315BD2">
        <w:rPr>
          <w:snapToGrid w:val="0"/>
          <w:color w:val="000000"/>
          <w:szCs w:val="24"/>
        </w:rPr>
        <w:t xml:space="preserve">adverse reactions, listed under the body system headings above, may occur as a consequence of proximal renal </w:t>
      </w:r>
      <w:proofErr w:type="spellStart"/>
      <w:r w:rsidRPr="00315BD2">
        <w:rPr>
          <w:snapToGrid w:val="0"/>
          <w:color w:val="000000"/>
          <w:szCs w:val="24"/>
        </w:rPr>
        <w:t>tubulopathy</w:t>
      </w:r>
      <w:proofErr w:type="spellEnd"/>
      <w:r w:rsidRPr="00315BD2">
        <w:rPr>
          <w:snapToGrid w:val="0"/>
          <w:color w:val="000000"/>
          <w:szCs w:val="24"/>
        </w:rPr>
        <w:t xml:space="preserve">: rhabdomyolysis, </w:t>
      </w:r>
      <w:proofErr w:type="spellStart"/>
      <w:r w:rsidRPr="00315BD2">
        <w:rPr>
          <w:snapToGrid w:val="0"/>
          <w:color w:val="000000"/>
          <w:szCs w:val="24"/>
        </w:rPr>
        <w:t>osteomalacia</w:t>
      </w:r>
      <w:proofErr w:type="spellEnd"/>
      <w:r w:rsidRPr="00315BD2">
        <w:rPr>
          <w:snapToGrid w:val="0"/>
          <w:color w:val="000000"/>
          <w:szCs w:val="24"/>
        </w:rPr>
        <w:t xml:space="preserve"> (manifested as bone pain and infrequently contributing to fractures), </w:t>
      </w:r>
      <w:proofErr w:type="spellStart"/>
      <w:r w:rsidRPr="00315BD2">
        <w:rPr>
          <w:snapToGrid w:val="0"/>
          <w:color w:val="000000"/>
          <w:szCs w:val="24"/>
        </w:rPr>
        <w:t>hypokalaemia</w:t>
      </w:r>
      <w:proofErr w:type="spellEnd"/>
      <w:r w:rsidRPr="00315BD2">
        <w:rPr>
          <w:snapToGrid w:val="0"/>
          <w:color w:val="000000"/>
          <w:szCs w:val="24"/>
        </w:rPr>
        <w:t xml:space="preserve">, muscular weakness, myopathy, </w:t>
      </w:r>
      <w:proofErr w:type="spellStart"/>
      <w:r w:rsidRPr="00315BD2">
        <w:rPr>
          <w:snapToGrid w:val="0"/>
          <w:color w:val="000000"/>
          <w:szCs w:val="24"/>
        </w:rPr>
        <w:t>hypophosphataemia</w:t>
      </w:r>
      <w:proofErr w:type="spellEnd"/>
      <w:r w:rsidRPr="00315BD2">
        <w:rPr>
          <w:snapToGrid w:val="0"/>
          <w:color w:val="000000"/>
          <w:szCs w:val="24"/>
        </w:rPr>
        <w:t xml:space="preserve">.  These events are not considered to be causally associated with </w:t>
      </w:r>
      <w:proofErr w:type="spellStart"/>
      <w:r w:rsidRPr="00315BD2">
        <w:rPr>
          <w:snapToGrid w:val="0"/>
          <w:color w:val="000000"/>
          <w:szCs w:val="24"/>
        </w:rPr>
        <w:t>tenofovir</w:t>
      </w:r>
      <w:proofErr w:type="spellEnd"/>
      <w:r w:rsidRPr="00315BD2">
        <w:rPr>
          <w:snapToGrid w:val="0"/>
          <w:color w:val="000000"/>
          <w:szCs w:val="24"/>
        </w:rPr>
        <w:t xml:space="preserve"> DF therapy in the absence of proximal renal </w:t>
      </w:r>
      <w:proofErr w:type="spellStart"/>
      <w:r w:rsidRPr="00315BD2">
        <w:rPr>
          <w:snapToGrid w:val="0"/>
          <w:color w:val="000000"/>
          <w:szCs w:val="24"/>
        </w:rPr>
        <w:t>tubulopathy</w:t>
      </w:r>
      <w:proofErr w:type="spellEnd"/>
      <w:r w:rsidRPr="00315BD2">
        <w:rPr>
          <w:color w:val="000000"/>
          <w:szCs w:val="24"/>
        </w:rPr>
        <w:t>.</w:t>
      </w:r>
    </w:p>
    <w:p w:rsidR="004F410E" w:rsidRPr="00315BD2" w:rsidRDefault="004F410E" w:rsidP="00E6589B">
      <w:pPr>
        <w:rPr>
          <w:color w:val="000000"/>
          <w:szCs w:val="24"/>
        </w:rPr>
      </w:pPr>
    </w:p>
    <w:p w:rsidR="00046320" w:rsidRPr="00BD577A" w:rsidRDefault="00E6589B" w:rsidP="00CF5E15">
      <w:pPr>
        <w:rPr>
          <w:color w:val="000000"/>
          <w:szCs w:val="24"/>
        </w:rPr>
      </w:pPr>
      <w:r w:rsidRPr="00315BD2">
        <w:rPr>
          <w:b/>
          <w:i/>
          <w:color w:val="000000"/>
          <w:szCs w:val="24"/>
        </w:rPr>
        <w:t>Adverse reactions attendant to class:</w:t>
      </w:r>
      <w:r w:rsidRPr="00315BD2">
        <w:rPr>
          <w:color w:val="000000"/>
          <w:szCs w:val="24"/>
        </w:rPr>
        <w:t xml:space="preserve">  Nephrotoxicity (elevation in serum creatinine and urine protein, and decrease in serum phosphorus) is the dose-limiting toxicity associated with other nucleotide analogues (</w:t>
      </w:r>
      <w:proofErr w:type="spellStart"/>
      <w:r w:rsidRPr="00315BD2">
        <w:rPr>
          <w:color w:val="000000"/>
          <w:szCs w:val="24"/>
        </w:rPr>
        <w:t>cidofovir</w:t>
      </w:r>
      <w:proofErr w:type="spellEnd"/>
      <w:r w:rsidRPr="00315BD2">
        <w:rPr>
          <w:color w:val="000000"/>
          <w:szCs w:val="24"/>
        </w:rPr>
        <w:t xml:space="preserve"> and high doses of </w:t>
      </w:r>
      <w:proofErr w:type="spellStart"/>
      <w:r w:rsidRPr="00315BD2">
        <w:rPr>
          <w:color w:val="000000"/>
          <w:szCs w:val="24"/>
        </w:rPr>
        <w:t>adefovir</w:t>
      </w:r>
      <w:proofErr w:type="spellEnd"/>
      <w:r w:rsidRPr="00315BD2">
        <w:rPr>
          <w:color w:val="000000"/>
          <w:szCs w:val="24"/>
        </w:rPr>
        <w:t xml:space="preserve"> </w:t>
      </w:r>
      <w:proofErr w:type="spellStart"/>
      <w:r w:rsidRPr="00315BD2">
        <w:rPr>
          <w:color w:val="000000"/>
          <w:szCs w:val="24"/>
        </w:rPr>
        <w:t>dipivoxil</w:t>
      </w:r>
      <w:proofErr w:type="spellEnd"/>
      <w:r w:rsidRPr="00315BD2">
        <w:rPr>
          <w:color w:val="000000"/>
          <w:szCs w:val="24"/>
        </w:rPr>
        <w:t xml:space="preserve"> evaluated for HIV disease (60 mg and 120 mg)).</w:t>
      </w:r>
    </w:p>
    <w:p w:rsidR="00F40EEF" w:rsidRPr="00315BD2" w:rsidRDefault="00B81658" w:rsidP="00CF5E15">
      <w:pPr>
        <w:rPr>
          <w:b/>
          <w:color w:val="000000"/>
          <w:szCs w:val="24"/>
        </w:rPr>
      </w:pPr>
      <w:r w:rsidRPr="00315BD2">
        <w:rPr>
          <w:b/>
          <w:color w:val="000000"/>
          <w:szCs w:val="24"/>
        </w:rPr>
        <w:lastRenderedPageBreak/>
        <w:t>EMTRIVA</w:t>
      </w:r>
    </w:p>
    <w:p w:rsidR="00CF5E15" w:rsidRPr="00315BD2" w:rsidRDefault="00CF5E15" w:rsidP="00CF5E15">
      <w:pPr>
        <w:rPr>
          <w:szCs w:val="24"/>
        </w:rPr>
      </w:pPr>
    </w:p>
    <w:p w:rsidR="003159FD" w:rsidRPr="00315BD2" w:rsidRDefault="003159FD" w:rsidP="00CF5E15">
      <w:pPr>
        <w:rPr>
          <w:szCs w:val="24"/>
        </w:rPr>
      </w:pPr>
      <w:r w:rsidRPr="00315BD2">
        <w:rPr>
          <w:szCs w:val="24"/>
        </w:rPr>
        <w:t>More than 2000 adult patients with HIV infection have been treated with EMTRIVA alone or in combination with other antiretroviral agents for periods of 10 days to 200 weeks in Phase I-III clinical trials.</w:t>
      </w:r>
    </w:p>
    <w:p w:rsidR="003159FD" w:rsidRPr="00315BD2" w:rsidRDefault="003159FD" w:rsidP="00CF5E15">
      <w:pPr>
        <w:rPr>
          <w:szCs w:val="24"/>
        </w:rPr>
      </w:pPr>
    </w:p>
    <w:p w:rsidR="003159FD" w:rsidRPr="00315BD2" w:rsidRDefault="003159FD" w:rsidP="00CF5E15">
      <w:pPr>
        <w:rPr>
          <w:strike/>
          <w:szCs w:val="24"/>
        </w:rPr>
      </w:pPr>
      <w:r w:rsidRPr="00315BD2">
        <w:rPr>
          <w:szCs w:val="24"/>
        </w:rPr>
        <w:t xml:space="preserve">Assessment of adverse reactions is based on data from studies 303 and 301A in which 440 treatment experienced (303) and 571 treatment naïve (301A) patients received EMTRIVA 200 mg (N=580) or comparator drug (N=431) for 48 weeks. </w:t>
      </w:r>
      <w:r w:rsidRPr="00315BD2">
        <w:rPr>
          <w:strike/>
          <w:szCs w:val="24"/>
        </w:rPr>
        <w:t xml:space="preserve"> </w:t>
      </w:r>
    </w:p>
    <w:p w:rsidR="003159FD" w:rsidRPr="00315BD2" w:rsidRDefault="003159FD" w:rsidP="00CF5E15">
      <w:pPr>
        <w:rPr>
          <w:b/>
          <w:szCs w:val="24"/>
        </w:rPr>
      </w:pPr>
    </w:p>
    <w:p w:rsidR="003159FD" w:rsidRPr="00315BD2" w:rsidRDefault="003159FD" w:rsidP="00CF5E15">
      <w:pPr>
        <w:rPr>
          <w:szCs w:val="24"/>
          <w:u w:val="single"/>
        </w:rPr>
      </w:pPr>
      <w:r w:rsidRPr="00315BD2">
        <w:rPr>
          <w:szCs w:val="24"/>
        </w:rPr>
        <w:t xml:space="preserve">The most common adverse events that occurred in patients receiving EMTRIVA with other antiretroviral agents in clinical trials were headache, </w:t>
      </w:r>
      <w:proofErr w:type="spellStart"/>
      <w:r w:rsidR="009F3522" w:rsidRPr="00315BD2">
        <w:rPr>
          <w:szCs w:val="24"/>
        </w:rPr>
        <w:t>diarrhoea</w:t>
      </w:r>
      <w:proofErr w:type="spellEnd"/>
      <w:r w:rsidR="00D07795" w:rsidRPr="00315BD2">
        <w:rPr>
          <w:szCs w:val="24"/>
        </w:rPr>
        <w:t>,</w:t>
      </w:r>
      <w:r w:rsidR="009F3522" w:rsidRPr="00315BD2">
        <w:rPr>
          <w:szCs w:val="24"/>
        </w:rPr>
        <w:t xml:space="preserve"> </w:t>
      </w:r>
      <w:r w:rsidRPr="00315BD2">
        <w:rPr>
          <w:szCs w:val="24"/>
        </w:rPr>
        <w:t xml:space="preserve">nausea, and rash, which were generally of mild to moderate severity.  Approximately 1% of patients discontinued participation in the clinical studies because of to these events. All adverse events were reported with similar frequency in EMTRIVA and control treatment groups with the exception of skin </w:t>
      </w:r>
      <w:proofErr w:type="spellStart"/>
      <w:r w:rsidRPr="00315BD2">
        <w:rPr>
          <w:szCs w:val="24"/>
        </w:rPr>
        <w:t>discolo</w:t>
      </w:r>
      <w:r w:rsidR="008F4BCD" w:rsidRPr="00315BD2">
        <w:rPr>
          <w:szCs w:val="24"/>
        </w:rPr>
        <w:t>u</w:t>
      </w:r>
      <w:r w:rsidRPr="00315BD2">
        <w:rPr>
          <w:szCs w:val="24"/>
        </w:rPr>
        <w:t>ration</w:t>
      </w:r>
      <w:proofErr w:type="spellEnd"/>
      <w:r w:rsidRPr="00315BD2">
        <w:rPr>
          <w:szCs w:val="24"/>
        </w:rPr>
        <w:t xml:space="preserve"> which was reported with higher frequency in the EMTRIVA treated group.</w:t>
      </w:r>
      <w:r w:rsidRPr="00315BD2">
        <w:rPr>
          <w:szCs w:val="24"/>
          <w:u w:val="single"/>
        </w:rPr>
        <w:t xml:space="preserve"> </w:t>
      </w:r>
    </w:p>
    <w:p w:rsidR="003159FD" w:rsidRPr="00315BD2" w:rsidRDefault="003159FD" w:rsidP="00CF5E15">
      <w:pPr>
        <w:rPr>
          <w:szCs w:val="24"/>
          <w:u w:val="single"/>
        </w:rPr>
      </w:pPr>
    </w:p>
    <w:p w:rsidR="00CF5E15" w:rsidRPr="00315BD2" w:rsidRDefault="003159FD" w:rsidP="00CF5E15">
      <w:pPr>
        <w:rPr>
          <w:szCs w:val="24"/>
        </w:rPr>
      </w:pPr>
      <w:r w:rsidRPr="00315BD2">
        <w:rPr>
          <w:szCs w:val="24"/>
        </w:rPr>
        <w:t xml:space="preserve">Skin </w:t>
      </w:r>
      <w:proofErr w:type="spellStart"/>
      <w:r w:rsidRPr="00315BD2">
        <w:rPr>
          <w:szCs w:val="24"/>
        </w:rPr>
        <w:t>discolo</w:t>
      </w:r>
      <w:r w:rsidR="008F4BCD" w:rsidRPr="00315BD2">
        <w:rPr>
          <w:szCs w:val="24"/>
        </w:rPr>
        <w:t>u</w:t>
      </w:r>
      <w:r w:rsidRPr="00315BD2">
        <w:rPr>
          <w:szCs w:val="24"/>
        </w:rPr>
        <w:t>ration</w:t>
      </w:r>
      <w:proofErr w:type="spellEnd"/>
      <w:r w:rsidRPr="00315BD2">
        <w:rPr>
          <w:szCs w:val="24"/>
        </w:rPr>
        <w:t>, manifested by hyperpigmentation on the palms and/or soles was generally mild and asymptomatic.  The mechanism and clinical significance are unknown.</w:t>
      </w:r>
    </w:p>
    <w:p w:rsidR="003159FD" w:rsidRPr="00315BD2" w:rsidRDefault="003159FD" w:rsidP="00CF5E15">
      <w:pPr>
        <w:rPr>
          <w:b/>
          <w:szCs w:val="24"/>
        </w:rPr>
      </w:pPr>
    </w:p>
    <w:p w:rsidR="00B01599" w:rsidRPr="00315BD2" w:rsidRDefault="00B01599" w:rsidP="00CF5E15">
      <w:pPr>
        <w:rPr>
          <w:szCs w:val="24"/>
        </w:rPr>
      </w:pPr>
      <w:r w:rsidRPr="00315BD2">
        <w:rPr>
          <w:szCs w:val="24"/>
        </w:rPr>
        <w:t xml:space="preserve">In addition to the adverse reactions reported in adults, </w:t>
      </w:r>
      <w:proofErr w:type="spellStart"/>
      <w:r w:rsidRPr="00315BD2">
        <w:rPr>
          <w:szCs w:val="24"/>
        </w:rPr>
        <w:t>anaemia</w:t>
      </w:r>
      <w:proofErr w:type="spellEnd"/>
      <w:r w:rsidRPr="00315BD2">
        <w:rPr>
          <w:szCs w:val="24"/>
        </w:rPr>
        <w:t xml:space="preserve"> has been reported commonly and hyperpigmentation very commonly, in </w:t>
      </w:r>
      <w:proofErr w:type="spellStart"/>
      <w:r w:rsidRPr="00315BD2">
        <w:rPr>
          <w:szCs w:val="24"/>
        </w:rPr>
        <w:t>paediatric</w:t>
      </w:r>
      <w:proofErr w:type="spellEnd"/>
      <w:r w:rsidRPr="00315BD2">
        <w:rPr>
          <w:szCs w:val="24"/>
        </w:rPr>
        <w:t xml:space="preserve"> patients.</w:t>
      </w:r>
    </w:p>
    <w:p w:rsidR="00B01599" w:rsidRPr="00315BD2" w:rsidRDefault="00B01599" w:rsidP="00CF5E15">
      <w:pPr>
        <w:rPr>
          <w:b/>
          <w:szCs w:val="24"/>
        </w:rPr>
      </w:pPr>
    </w:p>
    <w:p w:rsidR="003159FD" w:rsidRPr="00315BD2" w:rsidRDefault="003159FD" w:rsidP="00CF5E15">
      <w:pPr>
        <w:rPr>
          <w:szCs w:val="24"/>
        </w:rPr>
      </w:pPr>
      <w:r w:rsidRPr="00315BD2">
        <w:rPr>
          <w:szCs w:val="24"/>
        </w:rPr>
        <w:t>A summary of EMTRIVA treatment emergent clinical adverse events in studies 303 and 301A is provided in</w:t>
      </w:r>
      <w:r w:rsidR="00DA5725" w:rsidRPr="00315BD2">
        <w:rPr>
          <w:szCs w:val="24"/>
        </w:rPr>
        <w:t xml:space="preserve"> Table 1</w:t>
      </w:r>
      <w:r w:rsidR="001E73C3">
        <w:rPr>
          <w:szCs w:val="24"/>
        </w:rPr>
        <w:t>8</w:t>
      </w:r>
      <w:r w:rsidRPr="00315BD2">
        <w:rPr>
          <w:szCs w:val="24"/>
        </w:rPr>
        <w:t>.</w:t>
      </w:r>
    </w:p>
    <w:p w:rsidR="003159FD" w:rsidRPr="00E7636B" w:rsidRDefault="008822C6" w:rsidP="008822C6">
      <w:r>
        <w:br w:type="page"/>
      </w:r>
    </w:p>
    <w:p w:rsidR="003159FD" w:rsidRPr="006725C8" w:rsidRDefault="006725C8" w:rsidP="00F509F7">
      <w:pPr>
        <w:pStyle w:val="Caption"/>
        <w:ind w:left="1418" w:hanging="1418"/>
      </w:pPr>
      <w:bookmarkStart w:id="19" w:name="_Ref159392432"/>
      <w:proofErr w:type="gramStart"/>
      <w:r w:rsidRPr="006725C8">
        <w:lastRenderedPageBreak/>
        <w:t xml:space="preserve">Table </w:t>
      </w:r>
      <w:r w:rsidR="001E73C3">
        <w:t>18</w:t>
      </w:r>
      <w:bookmarkEnd w:id="19"/>
      <w:r w:rsidR="003159FD" w:rsidRPr="006725C8">
        <w:t>.</w:t>
      </w:r>
      <w:proofErr w:type="gramEnd"/>
      <w:r w:rsidR="003159FD" w:rsidRPr="006725C8">
        <w:tab/>
        <w:t xml:space="preserve">Selected Treatment-Emergent Adverse Events (All Grades, Regardless of Causality) Reported in </w:t>
      </w:r>
      <w:r w:rsidR="003159FD" w:rsidRPr="006725C8">
        <w:sym w:font="Symbol" w:char="00B3"/>
      </w:r>
      <w:r w:rsidR="003159FD" w:rsidRPr="006725C8">
        <w:t>3% of EMTRIVA-Treated Patients in Either Study 303 or 301A (0-48 Weeks)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575"/>
        <w:gridCol w:w="1575"/>
        <w:gridCol w:w="1575"/>
        <w:gridCol w:w="1575"/>
      </w:tblGrid>
      <w:tr w:rsidR="003159FD" w:rsidRPr="00E7636B">
        <w:trPr>
          <w:cantSplit/>
          <w:trHeight w:val="170"/>
        </w:trPr>
        <w:tc>
          <w:tcPr>
            <w:tcW w:w="2880" w:type="dxa"/>
            <w:vMerge w:val="restart"/>
            <w:tcBorders>
              <w:top w:val="single" w:sz="4" w:space="0" w:color="auto"/>
              <w:left w:val="single" w:sz="4" w:space="0" w:color="auto"/>
              <w:bottom w:val="nil"/>
              <w:right w:val="single" w:sz="4" w:space="0" w:color="auto"/>
            </w:tcBorders>
            <w:shd w:val="clear" w:color="auto" w:fill="auto"/>
          </w:tcPr>
          <w:p w:rsidR="003159FD" w:rsidRPr="00D83C46" w:rsidRDefault="003159FD">
            <w:pPr>
              <w:pStyle w:val="TOC4"/>
              <w:spacing w:before="20" w:after="20"/>
              <w:rPr>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D83C46" w:rsidRDefault="003159FD">
            <w:pPr>
              <w:pStyle w:val="Normal-text"/>
              <w:spacing w:before="20" w:after="20"/>
              <w:jc w:val="center"/>
              <w:rPr>
                <w:b/>
                <w:szCs w:val="24"/>
              </w:rPr>
            </w:pPr>
            <w:r w:rsidRPr="00D83C46">
              <w:rPr>
                <w:b/>
                <w:szCs w:val="24"/>
              </w:rPr>
              <w:t>303</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D83C46" w:rsidRDefault="003159FD">
            <w:pPr>
              <w:pStyle w:val="Normal-text"/>
              <w:spacing w:before="20" w:after="20"/>
              <w:jc w:val="center"/>
              <w:rPr>
                <w:b/>
                <w:szCs w:val="24"/>
              </w:rPr>
            </w:pPr>
            <w:r w:rsidRPr="00D83C46">
              <w:rPr>
                <w:b/>
                <w:szCs w:val="24"/>
              </w:rPr>
              <w:t>301A</w:t>
            </w:r>
          </w:p>
        </w:tc>
      </w:tr>
      <w:tr w:rsidR="003159FD" w:rsidRPr="00E7636B">
        <w:trPr>
          <w:cantSplit/>
          <w:trHeight w:val="278"/>
        </w:trPr>
        <w:tc>
          <w:tcPr>
            <w:tcW w:w="2880" w:type="dxa"/>
            <w:vMerge/>
            <w:tcBorders>
              <w:top w:val="single" w:sz="4" w:space="0" w:color="auto"/>
              <w:left w:val="single" w:sz="4" w:space="0" w:color="auto"/>
              <w:bottom w:val="nil"/>
              <w:right w:val="single" w:sz="4" w:space="0" w:color="auto"/>
            </w:tcBorders>
            <w:shd w:val="clear" w:color="auto" w:fill="auto"/>
            <w:vAlign w:val="center"/>
          </w:tcPr>
          <w:p w:rsidR="003159FD" w:rsidRPr="00D83C46" w:rsidRDefault="003159FD">
            <w:pPr>
              <w:rPr>
                <w:b/>
                <w:strike/>
                <w:szCs w:val="24"/>
                <w:lang w:val="en-GB"/>
              </w:rPr>
            </w:pPr>
          </w:p>
        </w:tc>
        <w:tc>
          <w:tcPr>
            <w:tcW w:w="1575" w:type="dxa"/>
            <w:tcBorders>
              <w:top w:val="nil"/>
              <w:left w:val="single" w:sz="4" w:space="0" w:color="auto"/>
              <w:bottom w:val="nil"/>
              <w:right w:val="single" w:sz="4" w:space="0" w:color="auto"/>
            </w:tcBorders>
            <w:shd w:val="clear" w:color="auto" w:fill="auto"/>
          </w:tcPr>
          <w:p w:rsidR="003159FD" w:rsidRPr="008C3E6C" w:rsidRDefault="003159FD">
            <w:pPr>
              <w:pStyle w:val="Header"/>
              <w:spacing w:before="20" w:after="20"/>
              <w:ind w:left="-108" w:right="-108"/>
              <w:jc w:val="center"/>
              <w:rPr>
                <w:b/>
                <w:szCs w:val="24"/>
                <w:lang w:val="fr-FR"/>
              </w:rPr>
            </w:pPr>
            <w:r w:rsidRPr="008C3E6C">
              <w:rPr>
                <w:b/>
                <w:szCs w:val="24"/>
                <w:lang w:val="fr-FR"/>
              </w:rPr>
              <w:t>EMTRIVA</w:t>
            </w:r>
            <w:r w:rsidRPr="008C3E6C">
              <w:rPr>
                <w:b/>
                <w:szCs w:val="24"/>
                <w:lang w:val="fr-FR"/>
              </w:rPr>
              <w:br/>
              <w:t xml:space="preserve">+ ZDV/d4T </w:t>
            </w:r>
            <w:r w:rsidRPr="008C3E6C">
              <w:rPr>
                <w:b/>
                <w:szCs w:val="24"/>
                <w:lang w:val="fr-FR"/>
              </w:rPr>
              <w:br/>
              <w:t>+ NNRTI/PI</w:t>
            </w:r>
          </w:p>
          <w:p w:rsidR="003159FD" w:rsidRPr="008C3E6C" w:rsidRDefault="003159FD">
            <w:pPr>
              <w:pStyle w:val="Header"/>
              <w:spacing w:before="20" w:after="20"/>
              <w:ind w:left="-108" w:right="-108"/>
              <w:jc w:val="center"/>
              <w:rPr>
                <w:b/>
                <w:szCs w:val="24"/>
                <w:lang w:val="fr-FR"/>
              </w:rPr>
            </w:pPr>
            <w:r w:rsidRPr="008C3E6C">
              <w:rPr>
                <w:b/>
                <w:szCs w:val="24"/>
                <w:lang w:val="fr-FR"/>
              </w:rPr>
              <w:t>(N=294)</w:t>
            </w:r>
          </w:p>
        </w:tc>
        <w:tc>
          <w:tcPr>
            <w:tcW w:w="1575" w:type="dxa"/>
            <w:tcBorders>
              <w:top w:val="nil"/>
              <w:left w:val="single" w:sz="4" w:space="0" w:color="auto"/>
              <w:bottom w:val="nil"/>
              <w:right w:val="single" w:sz="4" w:space="0" w:color="auto"/>
            </w:tcBorders>
            <w:shd w:val="clear" w:color="auto" w:fill="auto"/>
          </w:tcPr>
          <w:p w:rsidR="003159FD" w:rsidRPr="008C3E6C" w:rsidRDefault="003159FD">
            <w:pPr>
              <w:pStyle w:val="Header"/>
              <w:spacing w:before="20" w:after="20"/>
              <w:ind w:left="-108" w:right="-108"/>
              <w:jc w:val="center"/>
              <w:rPr>
                <w:b/>
                <w:szCs w:val="24"/>
                <w:lang w:val="fr-FR"/>
              </w:rPr>
            </w:pPr>
            <w:proofErr w:type="spellStart"/>
            <w:r w:rsidRPr="008C3E6C">
              <w:rPr>
                <w:b/>
                <w:szCs w:val="24"/>
                <w:lang w:val="fr-FR"/>
              </w:rPr>
              <w:t>Lamivudine</w:t>
            </w:r>
            <w:proofErr w:type="spellEnd"/>
            <w:r w:rsidRPr="008C3E6C">
              <w:rPr>
                <w:b/>
                <w:szCs w:val="24"/>
                <w:lang w:val="fr-FR"/>
              </w:rPr>
              <w:br/>
              <w:t xml:space="preserve">+ ZDV/d4T </w:t>
            </w:r>
            <w:r w:rsidRPr="008C3E6C">
              <w:rPr>
                <w:b/>
                <w:szCs w:val="24"/>
                <w:lang w:val="fr-FR"/>
              </w:rPr>
              <w:br/>
              <w:t>+ NNRTI/</w:t>
            </w:r>
            <w:proofErr w:type="gramStart"/>
            <w:r w:rsidRPr="008C3E6C">
              <w:rPr>
                <w:b/>
                <w:szCs w:val="24"/>
                <w:lang w:val="fr-FR"/>
              </w:rPr>
              <w:t>PI</w:t>
            </w:r>
            <w:proofErr w:type="gramEnd"/>
            <w:r w:rsidRPr="008C3E6C">
              <w:rPr>
                <w:b/>
                <w:szCs w:val="24"/>
                <w:lang w:val="fr-FR"/>
              </w:rPr>
              <w:br/>
              <w:t>(N=146)</w:t>
            </w:r>
          </w:p>
        </w:tc>
        <w:tc>
          <w:tcPr>
            <w:tcW w:w="1575" w:type="dxa"/>
            <w:tcBorders>
              <w:top w:val="nil"/>
              <w:left w:val="single" w:sz="4" w:space="0" w:color="auto"/>
              <w:bottom w:val="nil"/>
              <w:right w:val="single" w:sz="4" w:space="0" w:color="auto"/>
            </w:tcBorders>
            <w:shd w:val="clear" w:color="auto" w:fill="auto"/>
          </w:tcPr>
          <w:p w:rsidR="003159FD" w:rsidRPr="008C3E6C" w:rsidRDefault="003159FD">
            <w:pPr>
              <w:pStyle w:val="Header"/>
              <w:spacing w:before="20" w:after="20"/>
              <w:ind w:left="-18" w:right="-63"/>
              <w:jc w:val="center"/>
              <w:rPr>
                <w:b/>
                <w:szCs w:val="24"/>
              </w:rPr>
            </w:pPr>
            <w:r w:rsidRPr="008C3E6C">
              <w:rPr>
                <w:b/>
                <w:szCs w:val="24"/>
              </w:rPr>
              <w:t xml:space="preserve">EMTRIVA </w:t>
            </w:r>
            <w:r w:rsidRPr="008C3E6C">
              <w:rPr>
                <w:b/>
                <w:szCs w:val="24"/>
              </w:rPr>
              <w:br/>
              <w:t xml:space="preserve">+ </w:t>
            </w:r>
            <w:proofErr w:type="spellStart"/>
            <w:r w:rsidRPr="008C3E6C">
              <w:rPr>
                <w:b/>
                <w:szCs w:val="24"/>
              </w:rPr>
              <w:t>Didanosine</w:t>
            </w:r>
            <w:proofErr w:type="spellEnd"/>
            <w:r w:rsidRPr="008C3E6C">
              <w:rPr>
                <w:b/>
                <w:szCs w:val="24"/>
              </w:rPr>
              <w:t xml:space="preserve"> </w:t>
            </w:r>
            <w:r w:rsidRPr="008C3E6C">
              <w:rPr>
                <w:b/>
                <w:szCs w:val="24"/>
              </w:rPr>
              <w:br/>
              <w:t xml:space="preserve">+ </w:t>
            </w:r>
            <w:proofErr w:type="spellStart"/>
            <w:r w:rsidRPr="008C3E6C">
              <w:rPr>
                <w:b/>
                <w:szCs w:val="24"/>
              </w:rPr>
              <w:t>Efavirenz</w:t>
            </w:r>
            <w:proofErr w:type="spellEnd"/>
            <w:r w:rsidRPr="008C3E6C">
              <w:rPr>
                <w:b/>
                <w:szCs w:val="24"/>
              </w:rPr>
              <w:br/>
              <w:t>(N=286)</w:t>
            </w:r>
          </w:p>
        </w:tc>
        <w:tc>
          <w:tcPr>
            <w:tcW w:w="1575" w:type="dxa"/>
            <w:tcBorders>
              <w:top w:val="nil"/>
              <w:left w:val="single" w:sz="4" w:space="0" w:color="auto"/>
              <w:bottom w:val="nil"/>
              <w:right w:val="single" w:sz="4" w:space="0" w:color="auto"/>
            </w:tcBorders>
            <w:shd w:val="clear" w:color="auto" w:fill="auto"/>
          </w:tcPr>
          <w:p w:rsidR="003159FD" w:rsidRPr="008C3E6C" w:rsidRDefault="002665B4">
            <w:pPr>
              <w:pStyle w:val="Header"/>
              <w:spacing w:before="20" w:after="20"/>
              <w:ind w:left="-108" w:right="-108"/>
              <w:jc w:val="center"/>
              <w:rPr>
                <w:b/>
                <w:szCs w:val="24"/>
              </w:rPr>
            </w:pPr>
            <w:r w:rsidRPr="008C3E6C">
              <w:rPr>
                <w:b/>
                <w:szCs w:val="24"/>
              </w:rPr>
              <w:t>d4T</w:t>
            </w:r>
            <w:r w:rsidR="003159FD" w:rsidRPr="008C3E6C">
              <w:rPr>
                <w:b/>
                <w:szCs w:val="24"/>
              </w:rPr>
              <w:t xml:space="preserve"> </w:t>
            </w:r>
            <w:r w:rsidR="003159FD" w:rsidRPr="008C3E6C">
              <w:rPr>
                <w:b/>
                <w:szCs w:val="24"/>
              </w:rPr>
              <w:br/>
              <w:t xml:space="preserve">+ </w:t>
            </w:r>
            <w:proofErr w:type="spellStart"/>
            <w:r w:rsidR="003159FD" w:rsidRPr="008C3E6C">
              <w:rPr>
                <w:b/>
                <w:szCs w:val="24"/>
              </w:rPr>
              <w:t>Didanosine</w:t>
            </w:r>
            <w:proofErr w:type="spellEnd"/>
            <w:r w:rsidR="003159FD" w:rsidRPr="008C3E6C">
              <w:rPr>
                <w:b/>
                <w:szCs w:val="24"/>
              </w:rPr>
              <w:br/>
              <w:t xml:space="preserve">+ </w:t>
            </w:r>
            <w:proofErr w:type="spellStart"/>
            <w:r w:rsidR="003159FD" w:rsidRPr="008C3E6C">
              <w:rPr>
                <w:b/>
                <w:szCs w:val="24"/>
              </w:rPr>
              <w:t>Efavirenz</w:t>
            </w:r>
            <w:proofErr w:type="spellEnd"/>
            <w:r w:rsidR="003159FD" w:rsidRPr="008C3E6C">
              <w:rPr>
                <w:b/>
                <w:szCs w:val="24"/>
              </w:rPr>
              <w:br/>
              <w:t>(N=285)</w:t>
            </w:r>
          </w:p>
        </w:tc>
      </w:tr>
      <w:tr w:rsidR="003159FD" w:rsidRPr="00E7636B">
        <w:trPr>
          <w:cantSplit/>
        </w:trPr>
        <w:tc>
          <w:tcPr>
            <w:tcW w:w="2880"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4" w:right="-14"/>
              <w:rPr>
                <w:szCs w:val="24"/>
              </w:rPr>
            </w:pPr>
            <w:r w:rsidRPr="00D83C46">
              <w:rPr>
                <w:szCs w:val="24"/>
              </w:rPr>
              <w:t>Body as a Whole</w:t>
            </w: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u w:val="single"/>
              </w:rPr>
            </w:pP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u w:val="single"/>
              </w:rPr>
            </w:pP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u w:val="single"/>
              </w:rPr>
            </w:pP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u w:val="single"/>
              </w:rPr>
            </w:pP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Abdominal Pain</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r w:rsidRPr="00D83C46">
              <w:rPr>
                <w:szCs w:val="24"/>
              </w:rPr>
              <w:t>8%</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r w:rsidRPr="00D83C46">
              <w:rPr>
                <w:szCs w:val="24"/>
              </w:rPr>
              <w:t>11%</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r w:rsidRPr="00D83C46">
              <w:rPr>
                <w:szCs w:val="24"/>
              </w:rPr>
              <w:t>14%</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r w:rsidRPr="00D83C46">
              <w:rPr>
                <w:szCs w:val="24"/>
              </w:rPr>
              <w:t>17%</w:t>
            </w: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Asthenia</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r w:rsidRPr="00D83C46">
              <w:rPr>
                <w:szCs w:val="24"/>
              </w:rPr>
              <w:t>16%</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r w:rsidRPr="00D83C46">
              <w:rPr>
                <w:szCs w:val="24"/>
              </w:rPr>
              <w:t>10%</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r w:rsidRPr="00D83C46">
              <w:rPr>
                <w:szCs w:val="24"/>
              </w:rPr>
              <w:t>12%</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r w:rsidRPr="00D83C46">
              <w:rPr>
                <w:szCs w:val="24"/>
              </w:rPr>
              <w:t>17%</w:t>
            </w:r>
          </w:p>
        </w:tc>
      </w:tr>
      <w:tr w:rsidR="003159FD" w:rsidRPr="00E7636B">
        <w:trPr>
          <w:cantSplit/>
          <w:trHeight w:val="369"/>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Headache</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r w:rsidRPr="00D83C46">
              <w:rPr>
                <w:szCs w:val="24"/>
              </w:rPr>
              <w:t>13%</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r w:rsidRPr="00D83C46">
              <w:rPr>
                <w:szCs w:val="24"/>
              </w:rPr>
              <w:t>6%</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r w:rsidRPr="00D83C46">
              <w:rPr>
                <w:szCs w:val="24"/>
              </w:rPr>
              <w:t>22%</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r w:rsidRPr="00D83C46">
              <w:rPr>
                <w:szCs w:val="24"/>
              </w:rPr>
              <w:t>25%</w:t>
            </w:r>
          </w:p>
        </w:tc>
      </w:tr>
      <w:tr w:rsidR="003159FD" w:rsidRPr="00E7636B">
        <w:trPr>
          <w:cantSplit/>
        </w:trPr>
        <w:tc>
          <w:tcPr>
            <w:tcW w:w="2880"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4" w:right="-14"/>
              <w:rPr>
                <w:szCs w:val="24"/>
              </w:rPr>
            </w:pPr>
            <w:r w:rsidRPr="00D83C46">
              <w:rPr>
                <w:szCs w:val="24"/>
              </w:rPr>
              <w:t>Digestive System</w:t>
            </w: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p>
        </w:tc>
      </w:tr>
      <w:tr w:rsidR="003159FD" w:rsidRPr="00E7636B">
        <w:trPr>
          <w:cantSplit/>
        </w:trPr>
        <w:tc>
          <w:tcPr>
            <w:tcW w:w="2880" w:type="dxa"/>
            <w:tcBorders>
              <w:top w:val="nil"/>
              <w:left w:val="single" w:sz="4" w:space="0" w:color="auto"/>
              <w:bottom w:val="nil"/>
              <w:right w:val="nil"/>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proofErr w:type="spellStart"/>
            <w:r w:rsidRPr="00D83C46">
              <w:rPr>
                <w:szCs w:val="24"/>
              </w:rPr>
              <w:t>Diarrh</w:t>
            </w:r>
            <w:r w:rsidR="009F3522" w:rsidRPr="00D83C46">
              <w:rPr>
                <w:szCs w:val="24"/>
              </w:rPr>
              <w:t>o</w:t>
            </w:r>
            <w:r w:rsidRPr="00D83C46">
              <w:rPr>
                <w:szCs w:val="24"/>
              </w:rPr>
              <w:t>ea</w:t>
            </w:r>
            <w:proofErr w:type="spellEnd"/>
          </w:p>
        </w:tc>
        <w:tc>
          <w:tcPr>
            <w:tcW w:w="1575" w:type="dxa"/>
            <w:tcBorders>
              <w:top w:val="nil"/>
              <w:left w:val="single" w:sz="4" w:space="0" w:color="auto"/>
              <w:bottom w:val="nil"/>
              <w:right w:val="nil"/>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r w:rsidRPr="00D83C46">
              <w:rPr>
                <w:szCs w:val="24"/>
              </w:rPr>
              <w:t>23%</w:t>
            </w:r>
          </w:p>
        </w:tc>
        <w:tc>
          <w:tcPr>
            <w:tcW w:w="1575" w:type="dxa"/>
            <w:tcBorders>
              <w:top w:val="nil"/>
              <w:left w:val="single" w:sz="4" w:space="0" w:color="auto"/>
              <w:bottom w:val="nil"/>
              <w:right w:val="nil"/>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r w:rsidRPr="00D83C46">
              <w:rPr>
                <w:szCs w:val="24"/>
              </w:rPr>
              <w:t>18%</w:t>
            </w:r>
          </w:p>
        </w:tc>
        <w:tc>
          <w:tcPr>
            <w:tcW w:w="1575" w:type="dxa"/>
            <w:tcBorders>
              <w:top w:val="nil"/>
              <w:left w:val="single" w:sz="4" w:space="0" w:color="auto"/>
              <w:bottom w:val="nil"/>
              <w:right w:val="nil"/>
            </w:tcBorders>
            <w:shd w:val="clear" w:color="auto" w:fill="auto"/>
          </w:tcPr>
          <w:p w:rsidR="003159FD" w:rsidRPr="00D83C46" w:rsidRDefault="003159FD">
            <w:pPr>
              <w:pStyle w:val="Normal-text"/>
              <w:keepNext/>
              <w:keepLines/>
              <w:spacing w:before="20" w:after="20"/>
              <w:jc w:val="center"/>
              <w:rPr>
                <w:szCs w:val="24"/>
              </w:rPr>
            </w:pPr>
            <w:r w:rsidRPr="00D83C46">
              <w:rPr>
                <w:szCs w:val="24"/>
              </w:rPr>
              <w:t>23%</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r w:rsidRPr="00D83C46">
              <w:rPr>
                <w:szCs w:val="24"/>
              </w:rPr>
              <w:t>32%</w:t>
            </w:r>
          </w:p>
        </w:tc>
      </w:tr>
      <w:tr w:rsidR="003159FD" w:rsidRPr="00E7636B">
        <w:trPr>
          <w:cantSplit/>
        </w:trPr>
        <w:tc>
          <w:tcPr>
            <w:tcW w:w="2880" w:type="dxa"/>
            <w:tcBorders>
              <w:top w:val="nil"/>
              <w:left w:val="single" w:sz="4" w:space="0" w:color="auto"/>
              <w:bottom w:val="nil"/>
              <w:right w:val="nil"/>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Dyspepsia</w:t>
            </w:r>
          </w:p>
        </w:tc>
        <w:tc>
          <w:tcPr>
            <w:tcW w:w="1575" w:type="dxa"/>
            <w:tcBorders>
              <w:top w:val="nil"/>
              <w:left w:val="single" w:sz="4" w:space="0" w:color="auto"/>
              <w:bottom w:val="nil"/>
              <w:right w:val="nil"/>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r w:rsidRPr="00D83C46">
              <w:rPr>
                <w:szCs w:val="24"/>
              </w:rPr>
              <w:t>4%</w:t>
            </w:r>
          </w:p>
        </w:tc>
        <w:tc>
          <w:tcPr>
            <w:tcW w:w="1575" w:type="dxa"/>
            <w:tcBorders>
              <w:top w:val="nil"/>
              <w:left w:val="single" w:sz="4" w:space="0" w:color="auto"/>
              <w:bottom w:val="nil"/>
              <w:right w:val="nil"/>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r w:rsidRPr="00D83C46">
              <w:rPr>
                <w:szCs w:val="24"/>
              </w:rPr>
              <w:t>5%</w:t>
            </w:r>
          </w:p>
        </w:tc>
        <w:tc>
          <w:tcPr>
            <w:tcW w:w="1575" w:type="dxa"/>
            <w:tcBorders>
              <w:top w:val="nil"/>
              <w:left w:val="single" w:sz="4" w:space="0" w:color="auto"/>
              <w:bottom w:val="nil"/>
              <w:right w:val="nil"/>
            </w:tcBorders>
            <w:shd w:val="clear" w:color="auto" w:fill="auto"/>
          </w:tcPr>
          <w:p w:rsidR="003159FD" w:rsidRPr="00D83C46" w:rsidRDefault="003159FD">
            <w:pPr>
              <w:pStyle w:val="Normal-text"/>
              <w:keepNext/>
              <w:keepLines/>
              <w:spacing w:before="20" w:after="20"/>
              <w:jc w:val="center"/>
              <w:rPr>
                <w:szCs w:val="24"/>
              </w:rPr>
            </w:pPr>
            <w:r w:rsidRPr="00D83C46">
              <w:rPr>
                <w:szCs w:val="24"/>
              </w:rPr>
              <w:t>8%</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r w:rsidRPr="00D83C46">
              <w:rPr>
                <w:szCs w:val="24"/>
              </w:rPr>
              <w:t>12%</w:t>
            </w:r>
          </w:p>
        </w:tc>
      </w:tr>
      <w:tr w:rsidR="003159FD" w:rsidRPr="00E7636B">
        <w:trPr>
          <w:cantSplit/>
        </w:trPr>
        <w:tc>
          <w:tcPr>
            <w:tcW w:w="2880" w:type="dxa"/>
            <w:tcBorders>
              <w:top w:val="nil"/>
              <w:left w:val="single" w:sz="4" w:space="0" w:color="auto"/>
              <w:bottom w:val="nil"/>
              <w:right w:val="nil"/>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Nausea</w:t>
            </w:r>
          </w:p>
        </w:tc>
        <w:tc>
          <w:tcPr>
            <w:tcW w:w="1575" w:type="dxa"/>
            <w:tcBorders>
              <w:top w:val="nil"/>
              <w:left w:val="single" w:sz="4" w:space="0" w:color="auto"/>
              <w:bottom w:val="nil"/>
              <w:right w:val="nil"/>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r w:rsidRPr="00D83C46">
              <w:rPr>
                <w:szCs w:val="24"/>
              </w:rPr>
              <w:t>18%</w:t>
            </w:r>
          </w:p>
        </w:tc>
        <w:tc>
          <w:tcPr>
            <w:tcW w:w="1575" w:type="dxa"/>
            <w:tcBorders>
              <w:top w:val="nil"/>
              <w:left w:val="single" w:sz="4" w:space="0" w:color="auto"/>
              <w:bottom w:val="nil"/>
              <w:right w:val="nil"/>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r w:rsidRPr="00D83C46">
              <w:rPr>
                <w:szCs w:val="24"/>
              </w:rPr>
              <w:t>12%</w:t>
            </w:r>
          </w:p>
        </w:tc>
        <w:tc>
          <w:tcPr>
            <w:tcW w:w="1575" w:type="dxa"/>
            <w:tcBorders>
              <w:top w:val="nil"/>
              <w:left w:val="single" w:sz="4" w:space="0" w:color="auto"/>
              <w:bottom w:val="nil"/>
              <w:right w:val="nil"/>
            </w:tcBorders>
            <w:shd w:val="clear" w:color="auto" w:fill="auto"/>
          </w:tcPr>
          <w:p w:rsidR="003159FD" w:rsidRPr="00D83C46" w:rsidRDefault="003159FD">
            <w:pPr>
              <w:pStyle w:val="Normal-text"/>
              <w:keepNext/>
              <w:keepLines/>
              <w:spacing w:before="20" w:after="20"/>
              <w:jc w:val="center"/>
              <w:rPr>
                <w:szCs w:val="24"/>
              </w:rPr>
            </w:pPr>
            <w:r w:rsidRPr="00D83C46">
              <w:rPr>
                <w:szCs w:val="24"/>
              </w:rPr>
              <w:t>13%</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r w:rsidRPr="00D83C46">
              <w:rPr>
                <w:szCs w:val="24"/>
              </w:rPr>
              <w:t>23%</w:t>
            </w:r>
          </w:p>
        </w:tc>
      </w:tr>
      <w:tr w:rsidR="003159FD" w:rsidRPr="00E7636B">
        <w:trPr>
          <w:cantSplit/>
          <w:trHeight w:val="297"/>
        </w:trPr>
        <w:tc>
          <w:tcPr>
            <w:tcW w:w="2880" w:type="dxa"/>
            <w:tcBorders>
              <w:top w:val="nil"/>
              <w:left w:val="single" w:sz="4" w:space="0" w:color="auto"/>
              <w:bottom w:val="single" w:sz="4" w:space="0" w:color="auto"/>
              <w:right w:val="nil"/>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Vomiting</w:t>
            </w:r>
          </w:p>
        </w:tc>
        <w:tc>
          <w:tcPr>
            <w:tcW w:w="1575" w:type="dxa"/>
            <w:tcBorders>
              <w:top w:val="nil"/>
              <w:left w:val="single" w:sz="4" w:space="0" w:color="auto"/>
              <w:bottom w:val="single" w:sz="4" w:space="0" w:color="auto"/>
              <w:right w:val="nil"/>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r w:rsidRPr="00D83C46">
              <w:rPr>
                <w:szCs w:val="24"/>
              </w:rPr>
              <w:t>9%</w:t>
            </w:r>
          </w:p>
        </w:tc>
        <w:tc>
          <w:tcPr>
            <w:tcW w:w="1575" w:type="dxa"/>
            <w:tcBorders>
              <w:top w:val="nil"/>
              <w:left w:val="single" w:sz="4" w:space="0" w:color="auto"/>
              <w:bottom w:val="single" w:sz="4" w:space="0" w:color="auto"/>
              <w:right w:val="nil"/>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r w:rsidRPr="00D83C46">
              <w:rPr>
                <w:szCs w:val="24"/>
              </w:rPr>
              <w:t>7%</w:t>
            </w:r>
          </w:p>
        </w:tc>
        <w:tc>
          <w:tcPr>
            <w:tcW w:w="1575" w:type="dxa"/>
            <w:tcBorders>
              <w:top w:val="nil"/>
              <w:left w:val="single" w:sz="4" w:space="0" w:color="auto"/>
              <w:bottom w:val="single" w:sz="4" w:space="0" w:color="auto"/>
              <w:right w:val="nil"/>
            </w:tcBorders>
            <w:shd w:val="clear" w:color="auto" w:fill="auto"/>
          </w:tcPr>
          <w:p w:rsidR="003159FD" w:rsidRPr="00D83C46" w:rsidRDefault="003159FD">
            <w:pPr>
              <w:pStyle w:val="Normal-text"/>
              <w:keepNext/>
              <w:keepLines/>
              <w:spacing w:before="20" w:after="20"/>
              <w:jc w:val="center"/>
              <w:rPr>
                <w:szCs w:val="24"/>
              </w:rPr>
            </w:pPr>
            <w:r w:rsidRPr="00D83C46">
              <w:rPr>
                <w:szCs w:val="24"/>
              </w:rPr>
              <w:t>9%</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spacing w:before="20" w:after="20"/>
              <w:jc w:val="center"/>
              <w:rPr>
                <w:szCs w:val="24"/>
              </w:rPr>
            </w:pPr>
            <w:r w:rsidRPr="00D83C46">
              <w:rPr>
                <w:szCs w:val="24"/>
              </w:rPr>
              <w:t>12%</w:t>
            </w: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4" w:right="-14"/>
              <w:rPr>
                <w:szCs w:val="24"/>
              </w:rPr>
            </w:pPr>
            <w:r w:rsidRPr="00D83C46">
              <w:rPr>
                <w:szCs w:val="24"/>
              </w:rPr>
              <w:t>Musculoskeletal</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Arthralgia</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3%</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4%</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5%</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6%</w:t>
            </w:r>
          </w:p>
        </w:tc>
      </w:tr>
      <w:tr w:rsidR="003159FD" w:rsidRPr="00E7636B">
        <w:trPr>
          <w:cantSplit/>
          <w:trHeight w:val="333"/>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Myalgia</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4%</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4%</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6%</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3%</w:t>
            </w:r>
          </w:p>
        </w:tc>
      </w:tr>
      <w:tr w:rsidR="003159FD" w:rsidRPr="00E7636B">
        <w:trPr>
          <w:cantSplit/>
        </w:trPr>
        <w:tc>
          <w:tcPr>
            <w:tcW w:w="2880"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4" w:right="-14"/>
              <w:rPr>
                <w:szCs w:val="24"/>
              </w:rPr>
            </w:pPr>
            <w:r w:rsidRPr="00D83C46">
              <w:rPr>
                <w:szCs w:val="24"/>
              </w:rPr>
              <w:t>Nervous System</w:t>
            </w: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p>
        </w:tc>
        <w:tc>
          <w:tcPr>
            <w:tcW w:w="1575" w:type="dxa"/>
            <w:tcBorders>
              <w:top w:val="single" w:sz="4" w:space="0" w:color="auto"/>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Abnormal Dreams</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2%</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&lt;1%</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11%</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19%</w:t>
            </w: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Depressive Disorders</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6%</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10%</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9%</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13%</w:t>
            </w: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Dizziness</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4%</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5%</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25%</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26%</w:t>
            </w: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Insomnia</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7%</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3%</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16%</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21%</w:t>
            </w: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Neuropathy/Peripheral Neuritis</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4%</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3%</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4%</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13%</w:t>
            </w:r>
          </w:p>
        </w:tc>
      </w:tr>
      <w:tr w:rsidR="003159FD" w:rsidRPr="00E7636B">
        <w:trPr>
          <w:cantSplit/>
          <w:trHeight w:val="342"/>
        </w:trPr>
        <w:tc>
          <w:tcPr>
            <w:tcW w:w="2880"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proofErr w:type="spellStart"/>
            <w:r w:rsidRPr="00D83C46">
              <w:rPr>
                <w:szCs w:val="24"/>
              </w:rPr>
              <w:t>Paresth</w:t>
            </w:r>
            <w:r w:rsidR="009F3522" w:rsidRPr="00D83C46">
              <w:rPr>
                <w:szCs w:val="24"/>
              </w:rPr>
              <w:t>a</w:t>
            </w:r>
            <w:r w:rsidRPr="00D83C46">
              <w:rPr>
                <w:szCs w:val="24"/>
              </w:rPr>
              <w:t>esia</w:t>
            </w:r>
            <w:proofErr w:type="spellEnd"/>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5%</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7%</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6%</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12%</w:t>
            </w: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4" w:right="-14"/>
              <w:rPr>
                <w:szCs w:val="24"/>
              </w:rPr>
            </w:pPr>
            <w:r w:rsidRPr="00D83C46">
              <w:rPr>
                <w:szCs w:val="24"/>
              </w:rPr>
              <w:t>Respiratory</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Increased Cough</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14%</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11%</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14%</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8%</w:t>
            </w:r>
          </w:p>
        </w:tc>
      </w:tr>
      <w:tr w:rsidR="003159FD" w:rsidRPr="00E7636B">
        <w:trPr>
          <w:cantSplit/>
          <w:trHeight w:val="297"/>
        </w:trPr>
        <w:tc>
          <w:tcPr>
            <w:tcW w:w="2880"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Rhinitis</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18%</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12%</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12%</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10%</w:t>
            </w:r>
          </w:p>
        </w:tc>
      </w:tr>
      <w:tr w:rsidR="003159FD" w:rsidRPr="00E7636B">
        <w:trPr>
          <w:cantSplit/>
        </w:trPr>
        <w:tc>
          <w:tcPr>
            <w:tcW w:w="2880"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4" w:right="-14"/>
              <w:rPr>
                <w:szCs w:val="24"/>
              </w:rPr>
            </w:pPr>
            <w:r w:rsidRPr="00D83C46">
              <w:rPr>
                <w:szCs w:val="24"/>
              </w:rPr>
              <w:t>Skin</w:t>
            </w: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08"/>
              <w:jc w:val="center"/>
              <w:rPr>
                <w:szCs w:val="24"/>
              </w:rPr>
            </w:pP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tabs>
                <w:tab w:val="clear" w:pos="0"/>
                <w:tab w:val="left" w:pos="720"/>
              </w:tabs>
              <w:spacing w:before="20" w:after="20"/>
              <w:ind w:left="-108" w:right="-115" w:hanging="7"/>
              <w:jc w:val="center"/>
              <w:rPr>
                <w:szCs w:val="24"/>
              </w:rPr>
            </w:pP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p>
        </w:tc>
        <w:tc>
          <w:tcPr>
            <w:tcW w:w="1575" w:type="dxa"/>
            <w:tcBorders>
              <w:top w:val="nil"/>
              <w:left w:val="single" w:sz="4" w:space="0" w:color="auto"/>
              <w:bottom w:val="nil"/>
              <w:right w:val="single" w:sz="4" w:space="0" w:color="auto"/>
            </w:tcBorders>
            <w:shd w:val="clear" w:color="auto" w:fill="auto"/>
          </w:tcPr>
          <w:p w:rsidR="003159FD" w:rsidRPr="00D83C46" w:rsidRDefault="003159FD">
            <w:pPr>
              <w:pStyle w:val="Normal-text"/>
              <w:keepNext/>
              <w:keepLines/>
              <w:spacing w:before="20" w:after="20"/>
              <w:jc w:val="center"/>
              <w:rPr>
                <w:szCs w:val="24"/>
              </w:rPr>
            </w:pPr>
          </w:p>
        </w:tc>
      </w:tr>
      <w:tr w:rsidR="003159FD" w:rsidRPr="00E7636B">
        <w:trPr>
          <w:cantSplit/>
          <w:trHeight w:val="279"/>
        </w:trPr>
        <w:tc>
          <w:tcPr>
            <w:tcW w:w="2880"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rPr>
                <w:szCs w:val="24"/>
              </w:rPr>
            </w:pPr>
            <w:r w:rsidRPr="00D83C46">
              <w:rPr>
                <w:szCs w:val="24"/>
              </w:rPr>
              <w:t>Rash Event</w:t>
            </w:r>
            <w:r w:rsidRPr="00D83C46">
              <w:rPr>
                <w:szCs w:val="24"/>
                <w:vertAlign w:val="superscript"/>
              </w:rPr>
              <w:t>1</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17%</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14%</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30%</w:t>
            </w:r>
          </w:p>
        </w:tc>
        <w:tc>
          <w:tcPr>
            <w:tcW w:w="1575" w:type="dxa"/>
            <w:tcBorders>
              <w:top w:val="nil"/>
              <w:left w:val="single" w:sz="4" w:space="0" w:color="auto"/>
              <w:bottom w:val="single" w:sz="4" w:space="0" w:color="auto"/>
              <w:right w:val="single" w:sz="4" w:space="0" w:color="auto"/>
            </w:tcBorders>
            <w:shd w:val="clear" w:color="auto" w:fill="auto"/>
          </w:tcPr>
          <w:p w:rsidR="003159FD" w:rsidRPr="00D83C46" w:rsidRDefault="003159FD">
            <w:pPr>
              <w:pStyle w:val="Normal-text"/>
              <w:keepNext/>
              <w:keepLines/>
              <w:tabs>
                <w:tab w:val="clear" w:pos="0"/>
                <w:tab w:val="left" w:pos="-2995"/>
              </w:tabs>
              <w:spacing w:before="20" w:after="20"/>
              <w:ind w:left="162" w:right="-18"/>
              <w:jc w:val="center"/>
              <w:rPr>
                <w:szCs w:val="24"/>
              </w:rPr>
            </w:pPr>
            <w:r w:rsidRPr="00D83C46">
              <w:rPr>
                <w:szCs w:val="24"/>
              </w:rPr>
              <w:t>33%</w:t>
            </w:r>
          </w:p>
        </w:tc>
      </w:tr>
      <w:tr w:rsidR="003159FD" w:rsidRPr="002E04F6">
        <w:trPr>
          <w:cantSplit/>
          <w:trHeight w:val="287"/>
        </w:trPr>
        <w:tc>
          <w:tcPr>
            <w:tcW w:w="9180" w:type="dxa"/>
            <w:gridSpan w:val="5"/>
            <w:tcBorders>
              <w:top w:val="single" w:sz="4" w:space="0" w:color="auto"/>
              <w:left w:val="nil"/>
              <w:bottom w:val="nil"/>
              <w:right w:val="nil"/>
            </w:tcBorders>
            <w:shd w:val="clear" w:color="auto" w:fill="auto"/>
          </w:tcPr>
          <w:p w:rsidR="003159FD" w:rsidRPr="002E04F6" w:rsidRDefault="003159FD">
            <w:pPr>
              <w:pStyle w:val="Table"/>
              <w:tabs>
                <w:tab w:val="left" w:pos="162"/>
              </w:tabs>
              <w:spacing w:before="60"/>
              <w:ind w:left="173" w:hanging="187"/>
              <w:rPr>
                <w:sz w:val="20"/>
                <w:vertAlign w:val="superscript"/>
              </w:rPr>
            </w:pPr>
            <w:r w:rsidRPr="002E04F6">
              <w:rPr>
                <w:sz w:val="20"/>
              </w:rPr>
              <w:t xml:space="preserve">1. Rash event includes rash, pruritus, maculopapular rash, </w:t>
            </w:r>
            <w:proofErr w:type="spellStart"/>
            <w:r w:rsidRPr="002E04F6">
              <w:rPr>
                <w:sz w:val="20"/>
              </w:rPr>
              <w:t>urticaria</w:t>
            </w:r>
            <w:proofErr w:type="spellEnd"/>
            <w:r w:rsidRPr="002E04F6">
              <w:rPr>
                <w:sz w:val="20"/>
              </w:rPr>
              <w:t xml:space="preserve">, </w:t>
            </w:r>
            <w:proofErr w:type="spellStart"/>
            <w:r w:rsidRPr="002E04F6">
              <w:rPr>
                <w:sz w:val="20"/>
              </w:rPr>
              <w:t>vesiculobullous</w:t>
            </w:r>
            <w:proofErr w:type="spellEnd"/>
            <w:r w:rsidRPr="002E04F6">
              <w:rPr>
                <w:sz w:val="20"/>
              </w:rPr>
              <w:t xml:space="preserve"> rash, pustular rash, and allergic reaction.</w:t>
            </w:r>
          </w:p>
        </w:tc>
      </w:tr>
    </w:tbl>
    <w:p w:rsidR="003159FD" w:rsidRPr="002E04F6" w:rsidRDefault="003159FD" w:rsidP="00CF5E15">
      <w:pPr>
        <w:pStyle w:val="CommentText"/>
        <w:rPr>
          <w:b/>
        </w:rPr>
      </w:pPr>
    </w:p>
    <w:p w:rsidR="003159FD" w:rsidRPr="00315BD2" w:rsidRDefault="003159FD" w:rsidP="00CF5E15">
      <w:pPr>
        <w:pStyle w:val="CommentText"/>
        <w:rPr>
          <w:b/>
          <w:sz w:val="24"/>
          <w:szCs w:val="24"/>
        </w:rPr>
      </w:pPr>
      <w:r w:rsidRPr="00315BD2">
        <w:rPr>
          <w:b/>
          <w:sz w:val="24"/>
          <w:szCs w:val="24"/>
        </w:rPr>
        <w:t>Laboratory Abnormalities</w:t>
      </w:r>
      <w:r w:rsidRPr="00315BD2">
        <w:rPr>
          <w:b/>
          <w:i/>
          <w:sz w:val="24"/>
          <w:szCs w:val="24"/>
        </w:rPr>
        <w:t>:</w:t>
      </w:r>
      <w:r w:rsidRPr="00315BD2">
        <w:rPr>
          <w:b/>
          <w:sz w:val="24"/>
          <w:szCs w:val="24"/>
        </w:rPr>
        <w:t xml:space="preserve"> </w:t>
      </w:r>
    </w:p>
    <w:p w:rsidR="00CF5E15" w:rsidRPr="00315BD2" w:rsidRDefault="00CF5E15" w:rsidP="00CF5E15">
      <w:pPr>
        <w:rPr>
          <w:szCs w:val="24"/>
        </w:rPr>
      </w:pPr>
    </w:p>
    <w:p w:rsidR="00247C8B" w:rsidRPr="00315BD2" w:rsidRDefault="00247C8B" w:rsidP="00CF5E15">
      <w:pPr>
        <w:rPr>
          <w:szCs w:val="24"/>
        </w:rPr>
      </w:pPr>
      <w:r w:rsidRPr="00315BD2">
        <w:rPr>
          <w:szCs w:val="24"/>
        </w:rPr>
        <w:t>Laboratory abnormalities observed in the EMTRIVA studies occurred with similar frequency in the treatment and placebo-treated/comparator groups.</w:t>
      </w:r>
    </w:p>
    <w:p w:rsidR="00CF5E15" w:rsidRPr="00315BD2" w:rsidRDefault="00CF5E15" w:rsidP="00CF5E15">
      <w:pPr>
        <w:rPr>
          <w:szCs w:val="24"/>
        </w:rPr>
      </w:pPr>
    </w:p>
    <w:p w:rsidR="00CF5E15" w:rsidRPr="00315BD2" w:rsidRDefault="00247C8B" w:rsidP="00CF5E15">
      <w:pPr>
        <w:rPr>
          <w:szCs w:val="24"/>
        </w:rPr>
      </w:pPr>
      <w:r w:rsidRPr="00315BD2">
        <w:rPr>
          <w:szCs w:val="24"/>
        </w:rPr>
        <w:lastRenderedPageBreak/>
        <w:t>A summary of Grade 3 and 4 laboratory abnormalities is provided in</w:t>
      </w:r>
      <w:r w:rsidR="006D7525" w:rsidRPr="00315BD2">
        <w:rPr>
          <w:szCs w:val="24"/>
        </w:rPr>
        <w:t xml:space="preserve"> Table 1</w:t>
      </w:r>
      <w:r w:rsidR="001E73C3">
        <w:rPr>
          <w:szCs w:val="24"/>
        </w:rPr>
        <w:t>9</w:t>
      </w:r>
      <w:r w:rsidRPr="00315BD2">
        <w:rPr>
          <w:szCs w:val="24"/>
        </w:rPr>
        <w:t>.</w:t>
      </w:r>
    </w:p>
    <w:p w:rsidR="00247C8B" w:rsidRPr="00E7636B" w:rsidRDefault="00247C8B" w:rsidP="00CF5E15">
      <w:pPr>
        <w:rPr>
          <w:szCs w:val="24"/>
        </w:rPr>
      </w:pPr>
    </w:p>
    <w:p w:rsidR="003159FD" w:rsidRPr="002B51D0" w:rsidRDefault="002B51D0" w:rsidP="00F509F7">
      <w:pPr>
        <w:pStyle w:val="Caption"/>
        <w:ind w:left="1418" w:hanging="1418"/>
      </w:pPr>
      <w:bookmarkStart w:id="20" w:name="_Ref159392483"/>
      <w:proofErr w:type="gramStart"/>
      <w:r w:rsidRPr="002B51D0">
        <w:t xml:space="preserve">Table </w:t>
      </w:r>
      <w:r w:rsidR="001E73C3">
        <w:t>19</w:t>
      </w:r>
      <w:bookmarkEnd w:id="20"/>
      <w:r w:rsidR="003159FD" w:rsidRPr="002B51D0">
        <w:t>.</w:t>
      </w:r>
      <w:proofErr w:type="gramEnd"/>
      <w:r w:rsidR="003159FD" w:rsidRPr="002B51D0">
        <w:tab/>
        <w:t xml:space="preserve">Treatment-Emergent Grade 3/4 Laboratory Abnormalities Reported in </w:t>
      </w:r>
      <w:r w:rsidR="003159FD" w:rsidRPr="002B51D0">
        <w:sym w:font="Symbol" w:char="00B3"/>
      </w:r>
      <w:r w:rsidR="003159FD" w:rsidRPr="002B51D0">
        <w:t>1% of EMTRIVA-Treated Patients in Either Study 303 or 301A</w:t>
      </w:r>
    </w:p>
    <w:tbl>
      <w:tblPr>
        <w:tblW w:w="0" w:type="auto"/>
        <w:jc w:val="center"/>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2083"/>
        <w:gridCol w:w="1241"/>
        <w:gridCol w:w="12"/>
        <w:gridCol w:w="1455"/>
        <w:gridCol w:w="1467"/>
        <w:gridCol w:w="12"/>
        <w:gridCol w:w="1455"/>
        <w:gridCol w:w="1467"/>
        <w:gridCol w:w="12"/>
        <w:gridCol w:w="2083"/>
      </w:tblGrid>
      <w:tr w:rsidR="003159FD" w:rsidRPr="00E7636B">
        <w:trPr>
          <w:gridBefore w:val="1"/>
          <w:gridAfter w:val="1"/>
          <w:wBefore w:w="12" w:type="dxa"/>
          <w:wAfter w:w="2083" w:type="dxa"/>
          <w:cantSplit/>
          <w:trHeight w:val="180"/>
          <w:jc w:val="center"/>
        </w:trPr>
        <w:tc>
          <w:tcPr>
            <w:tcW w:w="3336" w:type="dxa"/>
            <w:gridSpan w:val="3"/>
            <w:tcBorders>
              <w:top w:val="single" w:sz="4" w:space="0" w:color="auto"/>
              <w:left w:val="single" w:sz="4" w:space="0" w:color="auto"/>
              <w:bottom w:val="nil"/>
              <w:right w:val="single" w:sz="4" w:space="0" w:color="auto"/>
            </w:tcBorders>
            <w:shd w:val="clear" w:color="auto" w:fill="auto"/>
          </w:tcPr>
          <w:p w:rsidR="003159FD" w:rsidRPr="002E04F6" w:rsidRDefault="003159FD">
            <w:pPr>
              <w:spacing w:before="20" w:after="20"/>
              <w:ind w:right="-108"/>
              <w:rPr>
                <w:b/>
                <w:strike/>
                <w:szCs w:val="24"/>
              </w:rPr>
            </w:pPr>
          </w:p>
        </w:tc>
        <w:tc>
          <w:tcPr>
            <w:tcW w:w="2934"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33"/>
              <w:jc w:val="center"/>
              <w:rPr>
                <w:b/>
                <w:szCs w:val="24"/>
              </w:rPr>
            </w:pPr>
            <w:r w:rsidRPr="002E04F6">
              <w:rPr>
                <w:b/>
                <w:szCs w:val="24"/>
              </w:rPr>
              <w:t>303</w:t>
            </w:r>
          </w:p>
        </w:tc>
        <w:tc>
          <w:tcPr>
            <w:tcW w:w="2934"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jc w:val="center"/>
              <w:rPr>
                <w:b/>
                <w:szCs w:val="24"/>
                <w:lang w:val="fr-FR"/>
              </w:rPr>
            </w:pPr>
            <w:r w:rsidRPr="002E04F6">
              <w:rPr>
                <w:b/>
                <w:szCs w:val="24"/>
                <w:lang w:val="fr-FR"/>
              </w:rPr>
              <w:t>301A</w:t>
            </w:r>
          </w:p>
        </w:tc>
      </w:tr>
      <w:tr w:rsidR="003159FD" w:rsidRPr="00E7636B">
        <w:trPr>
          <w:gridAfter w:val="2"/>
          <w:wAfter w:w="2095" w:type="dxa"/>
          <w:cantSplit/>
          <w:trHeight w:val="260"/>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2995"/>
              </w:tabs>
              <w:spacing w:before="20" w:after="20"/>
              <w:ind w:right="-108"/>
              <w:rPr>
                <w:szCs w:val="24"/>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14"/>
              <w:jc w:val="center"/>
              <w:rPr>
                <w:b/>
                <w:szCs w:val="24"/>
                <w:lang w:val="fr-FR"/>
              </w:rPr>
            </w:pPr>
            <w:r w:rsidRPr="002E04F6">
              <w:rPr>
                <w:b/>
                <w:szCs w:val="24"/>
                <w:lang w:val="fr-FR"/>
              </w:rPr>
              <w:t>EMTRIVA</w:t>
            </w:r>
          </w:p>
          <w:p w:rsidR="003159FD" w:rsidRPr="002E04F6" w:rsidRDefault="003159FD">
            <w:pPr>
              <w:pStyle w:val="Normal-text"/>
              <w:keepNext/>
              <w:keepLines/>
              <w:tabs>
                <w:tab w:val="clear" w:pos="0"/>
                <w:tab w:val="left" w:pos="720"/>
              </w:tabs>
              <w:spacing w:before="20" w:after="20"/>
              <w:ind w:left="-14"/>
              <w:jc w:val="center"/>
              <w:rPr>
                <w:b/>
                <w:szCs w:val="24"/>
                <w:lang w:val="fr-FR"/>
              </w:rPr>
            </w:pPr>
            <w:r w:rsidRPr="002E04F6">
              <w:rPr>
                <w:b/>
                <w:szCs w:val="24"/>
                <w:lang w:val="fr-FR"/>
              </w:rPr>
              <w:t>+ ZDV/d4T</w:t>
            </w:r>
          </w:p>
          <w:p w:rsidR="003159FD" w:rsidRPr="002E04F6" w:rsidRDefault="003159FD">
            <w:pPr>
              <w:pStyle w:val="Normal-text"/>
              <w:keepNext/>
              <w:keepLines/>
              <w:tabs>
                <w:tab w:val="clear" w:pos="0"/>
                <w:tab w:val="left" w:pos="720"/>
              </w:tabs>
              <w:spacing w:before="20" w:after="20"/>
              <w:ind w:left="-14"/>
              <w:jc w:val="center"/>
              <w:rPr>
                <w:b/>
                <w:szCs w:val="24"/>
                <w:lang w:val="fr-FR"/>
              </w:rPr>
            </w:pPr>
            <w:r w:rsidRPr="002E04F6">
              <w:rPr>
                <w:b/>
                <w:szCs w:val="24"/>
                <w:lang w:val="fr-FR"/>
              </w:rPr>
              <w:t>+ NNRTI/</w:t>
            </w:r>
            <w:proofErr w:type="gramStart"/>
            <w:r w:rsidRPr="002E04F6">
              <w:rPr>
                <w:b/>
                <w:szCs w:val="24"/>
                <w:lang w:val="fr-FR"/>
              </w:rPr>
              <w:t>PI</w:t>
            </w:r>
            <w:proofErr w:type="gramEnd"/>
            <w:r w:rsidRPr="002E04F6">
              <w:rPr>
                <w:b/>
                <w:szCs w:val="24"/>
                <w:lang w:val="fr-FR"/>
              </w:rPr>
              <w:br/>
              <w:t>(N=294)</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33"/>
              <w:jc w:val="center"/>
              <w:rPr>
                <w:b/>
                <w:szCs w:val="24"/>
                <w:lang w:val="fr-FR"/>
              </w:rPr>
            </w:pPr>
            <w:proofErr w:type="spellStart"/>
            <w:r w:rsidRPr="002E04F6">
              <w:rPr>
                <w:b/>
                <w:szCs w:val="24"/>
                <w:lang w:val="fr-FR"/>
              </w:rPr>
              <w:t>Lamivudine</w:t>
            </w:r>
            <w:proofErr w:type="spellEnd"/>
            <w:r w:rsidRPr="002E04F6">
              <w:rPr>
                <w:b/>
                <w:szCs w:val="24"/>
                <w:lang w:val="fr-FR"/>
              </w:rPr>
              <w:br/>
              <w:t>+ ZDV/d4T</w:t>
            </w:r>
          </w:p>
          <w:p w:rsidR="003159FD" w:rsidRPr="002E04F6" w:rsidRDefault="003159FD">
            <w:pPr>
              <w:pStyle w:val="Normal-text"/>
              <w:keepNext/>
              <w:keepLines/>
              <w:tabs>
                <w:tab w:val="clear" w:pos="0"/>
                <w:tab w:val="left" w:pos="720"/>
              </w:tabs>
              <w:spacing w:before="20" w:after="20"/>
              <w:ind w:left="-33"/>
              <w:jc w:val="center"/>
              <w:rPr>
                <w:b/>
                <w:szCs w:val="24"/>
                <w:lang w:val="fr-FR"/>
              </w:rPr>
            </w:pPr>
            <w:r w:rsidRPr="002E04F6">
              <w:rPr>
                <w:b/>
                <w:szCs w:val="24"/>
                <w:lang w:val="fr-FR"/>
              </w:rPr>
              <w:t>+ NNRTI/PI</w:t>
            </w:r>
          </w:p>
          <w:p w:rsidR="003159FD" w:rsidRPr="002E04F6" w:rsidRDefault="003159FD">
            <w:pPr>
              <w:pStyle w:val="Normal-text"/>
              <w:keepNext/>
              <w:keepLines/>
              <w:tabs>
                <w:tab w:val="clear" w:pos="0"/>
                <w:tab w:val="left" w:pos="720"/>
              </w:tabs>
              <w:spacing w:before="20" w:after="20"/>
              <w:ind w:left="-33"/>
              <w:jc w:val="center"/>
              <w:rPr>
                <w:b/>
                <w:szCs w:val="24"/>
                <w:lang w:val="fr-FR"/>
              </w:rPr>
            </w:pPr>
            <w:r w:rsidRPr="002E04F6">
              <w:rPr>
                <w:b/>
                <w:szCs w:val="24"/>
                <w:lang w:val="fr-FR"/>
              </w:rPr>
              <w:t>(N=146)</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143" w:right="-101"/>
              <w:jc w:val="center"/>
              <w:rPr>
                <w:b/>
                <w:szCs w:val="24"/>
                <w:lang w:val="fr-FR"/>
              </w:rPr>
            </w:pPr>
            <w:r w:rsidRPr="002E04F6">
              <w:rPr>
                <w:b/>
                <w:szCs w:val="24"/>
                <w:lang w:val="fr-FR"/>
              </w:rPr>
              <w:t>EMTRIVA</w:t>
            </w:r>
          </w:p>
          <w:p w:rsidR="003159FD" w:rsidRPr="002E04F6" w:rsidRDefault="003159FD">
            <w:pPr>
              <w:pStyle w:val="Normal-text"/>
              <w:keepNext/>
              <w:keepLines/>
              <w:tabs>
                <w:tab w:val="clear" w:pos="0"/>
                <w:tab w:val="left" w:pos="720"/>
              </w:tabs>
              <w:spacing w:before="20" w:after="20"/>
              <w:ind w:left="-143" w:right="-101"/>
              <w:jc w:val="center"/>
              <w:rPr>
                <w:b/>
                <w:szCs w:val="24"/>
                <w:lang w:val="fr-FR"/>
              </w:rPr>
            </w:pPr>
            <w:r w:rsidRPr="002E04F6">
              <w:rPr>
                <w:b/>
                <w:szCs w:val="24"/>
                <w:lang w:val="fr-FR"/>
              </w:rPr>
              <w:t>+ Didanosine</w:t>
            </w:r>
          </w:p>
          <w:p w:rsidR="003159FD" w:rsidRPr="002E04F6" w:rsidRDefault="003159FD">
            <w:pPr>
              <w:pStyle w:val="Normal-text"/>
              <w:keepNext/>
              <w:keepLines/>
              <w:tabs>
                <w:tab w:val="clear" w:pos="0"/>
                <w:tab w:val="left" w:pos="720"/>
              </w:tabs>
              <w:spacing w:before="20" w:after="20"/>
              <w:ind w:left="-143" w:right="-101"/>
              <w:jc w:val="center"/>
              <w:rPr>
                <w:b/>
                <w:szCs w:val="24"/>
                <w:lang w:val="fr-FR"/>
              </w:rPr>
            </w:pPr>
            <w:r w:rsidRPr="002E04F6">
              <w:rPr>
                <w:b/>
                <w:szCs w:val="24"/>
                <w:lang w:val="fr-FR"/>
              </w:rPr>
              <w:t xml:space="preserve">+ </w:t>
            </w:r>
            <w:proofErr w:type="spellStart"/>
            <w:proofErr w:type="gramStart"/>
            <w:r w:rsidRPr="002E04F6">
              <w:rPr>
                <w:b/>
                <w:szCs w:val="24"/>
                <w:lang w:val="fr-FR"/>
              </w:rPr>
              <w:t>Efavirenz</w:t>
            </w:r>
            <w:proofErr w:type="spellEnd"/>
            <w:proofErr w:type="gramEnd"/>
            <w:r w:rsidRPr="002E04F6">
              <w:rPr>
                <w:b/>
                <w:szCs w:val="24"/>
                <w:lang w:val="fr-FR"/>
              </w:rPr>
              <w:br/>
              <w:t>(N=286)</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2665B4">
            <w:pPr>
              <w:pStyle w:val="Normal-text"/>
              <w:keepNext/>
              <w:keepLines/>
              <w:tabs>
                <w:tab w:val="clear" w:pos="0"/>
                <w:tab w:val="left" w:pos="720"/>
              </w:tabs>
              <w:spacing w:before="20" w:after="20"/>
              <w:ind w:left="-70" w:right="-38"/>
              <w:jc w:val="center"/>
              <w:rPr>
                <w:b/>
                <w:szCs w:val="24"/>
                <w:lang w:val="fr-FR"/>
              </w:rPr>
            </w:pPr>
            <w:r w:rsidRPr="002E04F6">
              <w:rPr>
                <w:b/>
                <w:szCs w:val="24"/>
                <w:lang w:val="fr-FR"/>
              </w:rPr>
              <w:t>d4T</w:t>
            </w:r>
          </w:p>
          <w:p w:rsidR="003159FD" w:rsidRPr="002E04F6" w:rsidRDefault="003159FD">
            <w:pPr>
              <w:pStyle w:val="Normal-text"/>
              <w:keepNext/>
              <w:keepLines/>
              <w:tabs>
                <w:tab w:val="clear" w:pos="0"/>
                <w:tab w:val="left" w:pos="720"/>
              </w:tabs>
              <w:spacing w:before="20" w:after="20"/>
              <w:ind w:left="-70" w:right="-38"/>
              <w:jc w:val="center"/>
              <w:rPr>
                <w:b/>
                <w:szCs w:val="24"/>
                <w:lang w:val="fr-FR"/>
              </w:rPr>
            </w:pPr>
            <w:r w:rsidRPr="002E04F6">
              <w:rPr>
                <w:b/>
                <w:szCs w:val="24"/>
                <w:lang w:val="fr-FR"/>
              </w:rPr>
              <w:t>+ Didanosine</w:t>
            </w:r>
          </w:p>
          <w:p w:rsidR="003159FD" w:rsidRPr="002E04F6" w:rsidRDefault="003159FD">
            <w:pPr>
              <w:pStyle w:val="Normal-text"/>
              <w:keepNext/>
              <w:keepLines/>
              <w:tabs>
                <w:tab w:val="clear" w:pos="0"/>
                <w:tab w:val="left" w:pos="720"/>
              </w:tabs>
              <w:spacing w:before="20" w:after="20"/>
              <w:ind w:left="-70" w:right="-38"/>
              <w:jc w:val="center"/>
              <w:rPr>
                <w:b/>
                <w:szCs w:val="24"/>
                <w:lang w:val="fr-FR"/>
              </w:rPr>
            </w:pPr>
            <w:r w:rsidRPr="002E04F6">
              <w:rPr>
                <w:b/>
                <w:szCs w:val="24"/>
                <w:lang w:val="fr-FR"/>
              </w:rPr>
              <w:t xml:space="preserve">+ </w:t>
            </w:r>
            <w:proofErr w:type="spellStart"/>
            <w:proofErr w:type="gramStart"/>
            <w:r w:rsidRPr="002E04F6">
              <w:rPr>
                <w:b/>
                <w:szCs w:val="24"/>
                <w:lang w:val="fr-FR"/>
              </w:rPr>
              <w:t>Efavirenz</w:t>
            </w:r>
            <w:proofErr w:type="spellEnd"/>
            <w:proofErr w:type="gramEnd"/>
            <w:r w:rsidRPr="002E04F6">
              <w:rPr>
                <w:b/>
                <w:szCs w:val="24"/>
                <w:lang w:val="fr-FR"/>
              </w:rPr>
              <w:br/>
              <w:t>(N=285)</w:t>
            </w:r>
          </w:p>
        </w:tc>
      </w:tr>
      <w:tr w:rsidR="003159FD" w:rsidRPr="00E7636B">
        <w:trPr>
          <w:gridAfter w:val="2"/>
          <w:wAfter w:w="2095" w:type="dxa"/>
          <w:cantSplit/>
          <w:trHeight w:val="260"/>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rsidP="002E04F6">
            <w:pPr>
              <w:pStyle w:val="Normal-text"/>
              <w:keepNext/>
              <w:keepLines/>
              <w:tabs>
                <w:tab w:val="clear" w:pos="0"/>
                <w:tab w:val="left" w:pos="-2995"/>
              </w:tabs>
              <w:spacing w:before="20" w:after="20"/>
              <w:ind w:right="-108"/>
              <w:rPr>
                <w:szCs w:val="24"/>
              </w:rPr>
            </w:pPr>
            <w:r w:rsidRPr="002E04F6">
              <w:rPr>
                <w:szCs w:val="24"/>
              </w:rPr>
              <w:t>Percentage with Grade 3 or Grade 4 laboratory abnormality</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9" w:right="-3"/>
              <w:jc w:val="center"/>
              <w:rPr>
                <w:szCs w:val="24"/>
              </w:rPr>
            </w:pPr>
            <w:r w:rsidRPr="002E04F6">
              <w:rPr>
                <w:szCs w:val="24"/>
              </w:rPr>
              <w:t>31%</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33"/>
              <w:jc w:val="center"/>
              <w:rPr>
                <w:szCs w:val="24"/>
              </w:rPr>
            </w:pPr>
            <w:r w:rsidRPr="002E04F6">
              <w:rPr>
                <w:szCs w:val="24"/>
              </w:rPr>
              <w:t>28%</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spacing w:before="20" w:after="20"/>
              <w:jc w:val="center"/>
              <w:rPr>
                <w:szCs w:val="24"/>
                <w:lang w:val="fr-FR"/>
              </w:rPr>
            </w:pPr>
            <w:r w:rsidRPr="002E04F6">
              <w:rPr>
                <w:szCs w:val="24"/>
                <w:lang w:val="fr-FR"/>
              </w:rPr>
              <w:t>34%</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jc w:val="center"/>
              <w:rPr>
                <w:szCs w:val="24"/>
                <w:lang w:val="fr-FR"/>
              </w:rPr>
            </w:pPr>
            <w:r w:rsidRPr="002E04F6">
              <w:rPr>
                <w:szCs w:val="24"/>
                <w:lang w:val="fr-FR"/>
              </w:rPr>
              <w:t>38%</w:t>
            </w:r>
          </w:p>
        </w:tc>
      </w:tr>
      <w:tr w:rsidR="003159FD" w:rsidRPr="00E7636B">
        <w:trPr>
          <w:gridAfter w:val="2"/>
          <w:wAfter w:w="2095" w:type="dxa"/>
          <w:cantSplit/>
          <w:trHeight w:val="307"/>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2995"/>
              </w:tabs>
              <w:spacing w:before="20" w:after="20"/>
              <w:ind w:right="-108"/>
              <w:rPr>
                <w:szCs w:val="24"/>
              </w:rPr>
            </w:pPr>
            <w:r w:rsidRPr="002E04F6">
              <w:rPr>
                <w:szCs w:val="24"/>
              </w:rPr>
              <w:t>ALT (&gt;5.0 x ULN</w:t>
            </w:r>
            <w:r w:rsidRPr="002E04F6">
              <w:rPr>
                <w:szCs w:val="24"/>
                <w:vertAlign w:val="superscript"/>
              </w:rPr>
              <w:t>1</w:t>
            </w:r>
            <w:r w:rsidRPr="002E04F6">
              <w:rPr>
                <w:szCs w:val="24"/>
              </w:rPr>
              <w:t>)</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9" w:right="-3"/>
              <w:jc w:val="center"/>
              <w:rPr>
                <w:szCs w:val="24"/>
              </w:rPr>
            </w:pPr>
            <w:r w:rsidRPr="002E04F6">
              <w:rPr>
                <w:szCs w:val="24"/>
              </w:rPr>
              <w:t>2%</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33"/>
              <w:jc w:val="center"/>
              <w:rPr>
                <w:szCs w:val="24"/>
              </w:rPr>
            </w:pPr>
            <w:r w:rsidRPr="002E04F6">
              <w:rPr>
                <w:szCs w:val="24"/>
              </w:rPr>
              <w:t>1%</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spacing w:before="20" w:after="20"/>
              <w:jc w:val="center"/>
              <w:rPr>
                <w:szCs w:val="24"/>
                <w:lang w:val="fr-FR"/>
              </w:rPr>
            </w:pPr>
            <w:r w:rsidRPr="002E04F6">
              <w:rPr>
                <w:szCs w:val="24"/>
                <w:lang w:val="fr-FR"/>
              </w:rPr>
              <w:t>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jc w:val="center"/>
              <w:rPr>
                <w:szCs w:val="24"/>
                <w:lang w:val="fr-FR"/>
              </w:rPr>
            </w:pPr>
            <w:r w:rsidRPr="002E04F6">
              <w:rPr>
                <w:szCs w:val="24"/>
                <w:lang w:val="fr-FR"/>
              </w:rPr>
              <w:t>6%</w:t>
            </w:r>
          </w:p>
        </w:tc>
      </w:tr>
      <w:tr w:rsidR="003159FD" w:rsidRPr="00E7636B">
        <w:trPr>
          <w:gridAfter w:val="2"/>
          <w:wAfter w:w="2095" w:type="dxa"/>
          <w:cantSplit/>
          <w:trHeight w:val="260"/>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2995"/>
              </w:tabs>
              <w:spacing w:before="20" w:after="20"/>
              <w:ind w:right="-108"/>
              <w:rPr>
                <w:szCs w:val="24"/>
              </w:rPr>
            </w:pPr>
            <w:r w:rsidRPr="002E04F6">
              <w:rPr>
                <w:szCs w:val="24"/>
              </w:rPr>
              <w:t>AST (&gt;5.0 x ULN)</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9" w:right="-3"/>
              <w:jc w:val="center"/>
              <w:rPr>
                <w:szCs w:val="24"/>
              </w:rPr>
            </w:pPr>
            <w:r w:rsidRPr="002E04F6">
              <w:rPr>
                <w:szCs w:val="24"/>
              </w:rPr>
              <w:t>3%</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33"/>
              <w:jc w:val="center"/>
              <w:rPr>
                <w:szCs w:val="24"/>
              </w:rPr>
            </w:pPr>
            <w:r w:rsidRPr="002E04F6">
              <w:rPr>
                <w:szCs w:val="24"/>
              </w:rPr>
              <w:t>&lt;1%</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spacing w:before="20" w:after="20"/>
              <w:jc w:val="center"/>
              <w:rPr>
                <w:szCs w:val="24"/>
              </w:rPr>
            </w:pPr>
            <w:r w:rsidRPr="002E04F6">
              <w:rPr>
                <w:szCs w:val="24"/>
              </w:rPr>
              <w:t>6%</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jc w:val="center"/>
              <w:rPr>
                <w:szCs w:val="24"/>
              </w:rPr>
            </w:pPr>
            <w:r w:rsidRPr="002E04F6">
              <w:rPr>
                <w:szCs w:val="24"/>
              </w:rPr>
              <w:t>9%</w:t>
            </w:r>
          </w:p>
        </w:tc>
      </w:tr>
      <w:tr w:rsidR="003159FD" w:rsidRPr="00E7636B">
        <w:trPr>
          <w:gridAfter w:val="2"/>
          <w:wAfter w:w="2095" w:type="dxa"/>
          <w:cantSplit/>
          <w:trHeight w:val="316"/>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2995"/>
              </w:tabs>
              <w:spacing w:before="20" w:after="20"/>
              <w:ind w:right="-108"/>
              <w:rPr>
                <w:szCs w:val="24"/>
              </w:rPr>
            </w:pPr>
            <w:r w:rsidRPr="002E04F6">
              <w:rPr>
                <w:szCs w:val="24"/>
              </w:rPr>
              <w:t>Bilirubin (&gt;2.5 x ULN)</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9" w:right="-3"/>
              <w:jc w:val="center"/>
              <w:rPr>
                <w:szCs w:val="24"/>
              </w:rPr>
            </w:pPr>
            <w:r w:rsidRPr="002E04F6">
              <w:rPr>
                <w:szCs w:val="24"/>
              </w:rPr>
              <w:t>1%</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33"/>
              <w:jc w:val="center"/>
              <w:rPr>
                <w:szCs w:val="24"/>
              </w:rPr>
            </w:pPr>
            <w:r w:rsidRPr="002E04F6">
              <w:rPr>
                <w:szCs w:val="24"/>
              </w:rPr>
              <w:t>2%</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spacing w:before="20" w:after="20"/>
              <w:jc w:val="center"/>
              <w:rPr>
                <w:szCs w:val="24"/>
                <w:lang w:val="fr-FR"/>
              </w:rPr>
            </w:pPr>
            <w:r w:rsidRPr="002E04F6">
              <w:rPr>
                <w:szCs w:val="24"/>
                <w:lang w:val="fr-FR"/>
              </w:rPr>
              <w:t>&lt;1%</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jc w:val="center"/>
              <w:rPr>
                <w:szCs w:val="24"/>
                <w:lang w:val="fr-FR"/>
              </w:rPr>
            </w:pPr>
            <w:r w:rsidRPr="002E04F6">
              <w:rPr>
                <w:szCs w:val="24"/>
                <w:lang w:val="fr-FR"/>
              </w:rPr>
              <w:t>&lt;1%</w:t>
            </w:r>
          </w:p>
        </w:tc>
      </w:tr>
      <w:tr w:rsidR="003159FD" w:rsidRPr="00E7636B">
        <w:trPr>
          <w:gridAfter w:val="2"/>
          <w:wAfter w:w="2095" w:type="dxa"/>
          <w:cantSplit/>
          <w:trHeight w:val="307"/>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2995"/>
              </w:tabs>
              <w:spacing w:before="20" w:after="20"/>
              <w:ind w:right="-108"/>
              <w:rPr>
                <w:szCs w:val="24"/>
              </w:rPr>
            </w:pPr>
            <w:proofErr w:type="spellStart"/>
            <w:r w:rsidRPr="002E04F6">
              <w:rPr>
                <w:szCs w:val="24"/>
              </w:rPr>
              <w:t>Creatine</w:t>
            </w:r>
            <w:proofErr w:type="spellEnd"/>
            <w:r w:rsidRPr="002E04F6">
              <w:rPr>
                <w:szCs w:val="24"/>
              </w:rPr>
              <w:t xml:space="preserve"> Kinase (&gt;4.0 x ULN)</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9" w:right="-3"/>
              <w:jc w:val="center"/>
              <w:rPr>
                <w:szCs w:val="24"/>
              </w:rPr>
            </w:pPr>
            <w:r w:rsidRPr="002E04F6">
              <w:rPr>
                <w:szCs w:val="24"/>
              </w:rPr>
              <w:t>11%</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33"/>
              <w:jc w:val="center"/>
              <w:rPr>
                <w:szCs w:val="24"/>
              </w:rPr>
            </w:pPr>
            <w:r w:rsidRPr="002E04F6">
              <w:rPr>
                <w:szCs w:val="24"/>
              </w:rPr>
              <w:t>14%</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spacing w:before="20" w:after="20"/>
              <w:jc w:val="center"/>
              <w:rPr>
                <w:szCs w:val="24"/>
                <w:lang w:val="fr-FR"/>
              </w:rPr>
            </w:pPr>
            <w:r w:rsidRPr="002E04F6">
              <w:rPr>
                <w:szCs w:val="24"/>
                <w:lang w:val="fr-FR"/>
              </w:rPr>
              <w:t>12%</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jc w:val="center"/>
              <w:rPr>
                <w:szCs w:val="24"/>
                <w:lang w:val="fr-FR"/>
              </w:rPr>
            </w:pPr>
            <w:r w:rsidRPr="002E04F6">
              <w:rPr>
                <w:szCs w:val="24"/>
                <w:lang w:val="fr-FR"/>
              </w:rPr>
              <w:t>11%</w:t>
            </w:r>
          </w:p>
        </w:tc>
      </w:tr>
      <w:tr w:rsidR="003159FD" w:rsidRPr="00E7636B">
        <w:trPr>
          <w:gridAfter w:val="2"/>
          <w:wAfter w:w="2095" w:type="dxa"/>
          <w:cantSplit/>
          <w:trHeight w:val="287"/>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ind w:right="-108"/>
              <w:rPr>
                <w:sz w:val="24"/>
                <w:szCs w:val="24"/>
              </w:rPr>
            </w:pPr>
            <w:r w:rsidRPr="002E04F6">
              <w:rPr>
                <w:sz w:val="24"/>
                <w:szCs w:val="24"/>
              </w:rPr>
              <w:t>Neutrophils (&lt;750</w:t>
            </w:r>
            <w:r w:rsidR="00BB253E" w:rsidRPr="002E04F6">
              <w:rPr>
                <w:sz w:val="24"/>
                <w:szCs w:val="24"/>
              </w:rPr>
              <w:t>/</w:t>
            </w:r>
            <w:r w:rsidRPr="002E04F6">
              <w:rPr>
                <w:sz w:val="24"/>
                <w:szCs w:val="24"/>
              </w:rPr>
              <w:t>mm</w:t>
            </w:r>
            <w:r w:rsidRPr="002E04F6">
              <w:rPr>
                <w:sz w:val="24"/>
                <w:szCs w:val="24"/>
                <w:vertAlign w:val="superscript"/>
              </w:rPr>
              <w:t>3</w:t>
            </w:r>
            <w:r w:rsidRPr="002E04F6">
              <w:rPr>
                <w:sz w:val="24"/>
                <w:szCs w:val="24"/>
              </w:rPr>
              <w:t>)</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ind w:left="-9" w:right="-3"/>
              <w:jc w:val="center"/>
              <w:rPr>
                <w:sz w:val="24"/>
                <w:szCs w:val="24"/>
              </w:rPr>
            </w:pPr>
            <w:r w:rsidRPr="002E04F6">
              <w:rPr>
                <w:sz w:val="24"/>
                <w:szCs w:val="24"/>
              </w:rPr>
              <w:t>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ind w:left="-33"/>
              <w:jc w:val="center"/>
              <w:rPr>
                <w:sz w:val="24"/>
                <w:szCs w:val="24"/>
              </w:rPr>
            </w:pPr>
            <w:r w:rsidRPr="002E04F6">
              <w:rPr>
                <w:sz w:val="24"/>
                <w:szCs w:val="24"/>
              </w:rPr>
              <w:t>3%</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jc w:val="center"/>
              <w:rPr>
                <w:sz w:val="24"/>
                <w:szCs w:val="24"/>
              </w:rPr>
            </w:pPr>
            <w:r w:rsidRPr="002E04F6">
              <w:rPr>
                <w:sz w:val="24"/>
                <w:szCs w:val="24"/>
              </w:rPr>
              <w:t>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jc w:val="center"/>
              <w:rPr>
                <w:sz w:val="24"/>
                <w:szCs w:val="24"/>
              </w:rPr>
            </w:pPr>
            <w:r w:rsidRPr="002E04F6">
              <w:rPr>
                <w:sz w:val="24"/>
                <w:szCs w:val="24"/>
              </w:rPr>
              <w:t>7%</w:t>
            </w:r>
          </w:p>
        </w:tc>
      </w:tr>
      <w:tr w:rsidR="003159FD" w:rsidRPr="00E7636B">
        <w:trPr>
          <w:gridAfter w:val="2"/>
          <w:wAfter w:w="2095" w:type="dxa"/>
          <w:cantSplit/>
          <w:trHeight w:val="287"/>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2995"/>
              </w:tabs>
              <w:spacing w:before="20" w:after="20"/>
              <w:ind w:right="-108"/>
              <w:rPr>
                <w:szCs w:val="24"/>
              </w:rPr>
            </w:pPr>
            <w:r w:rsidRPr="002E04F6">
              <w:rPr>
                <w:szCs w:val="24"/>
              </w:rPr>
              <w:t>Pancreatic Amylase (&gt;2.0 x ULN)</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ind w:left="-9" w:right="-3"/>
              <w:jc w:val="center"/>
              <w:rPr>
                <w:sz w:val="24"/>
                <w:szCs w:val="24"/>
              </w:rPr>
            </w:pPr>
            <w:r w:rsidRPr="002E04F6">
              <w:rPr>
                <w:sz w:val="24"/>
                <w:szCs w:val="24"/>
              </w:rPr>
              <w:t>2%</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ind w:left="-33"/>
              <w:jc w:val="center"/>
              <w:rPr>
                <w:sz w:val="24"/>
                <w:szCs w:val="24"/>
              </w:rPr>
            </w:pPr>
            <w:r w:rsidRPr="002E04F6">
              <w:rPr>
                <w:sz w:val="24"/>
                <w:szCs w:val="24"/>
              </w:rPr>
              <w:t>2%</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jc w:val="center"/>
              <w:rPr>
                <w:sz w:val="24"/>
                <w:szCs w:val="24"/>
              </w:rPr>
            </w:pPr>
            <w:r w:rsidRPr="002E04F6">
              <w:rPr>
                <w:sz w:val="24"/>
                <w:szCs w:val="24"/>
              </w:rPr>
              <w:t>&lt;1%</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jc w:val="center"/>
              <w:rPr>
                <w:sz w:val="24"/>
                <w:szCs w:val="24"/>
              </w:rPr>
            </w:pPr>
            <w:r w:rsidRPr="002E04F6">
              <w:rPr>
                <w:sz w:val="24"/>
                <w:szCs w:val="24"/>
              </w:rPr>
              <w:t>1%</w:t>
            </w:r>
          </w:p>
        </w:tc>
      </w:tr>
      <w:tr w:rsidR="003159FD" w:rsidRPr="00E7636B">
        <w:trPr>
          <w:gridAfter w:val="2"/>
          <w:wAfter w:w="2095" w:type="dxa"/>
          <w:cantSplit/>
          <w:trHeight w:val="287"/>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2995"/>
              </w:tabs>
              <w:spacing w:before="20" w:after="20"/>
              <w:ind w:right="-108"/>
              <w:rPr>
                <w:szCs w:val="24"/>
              </w:rPr>
            </w:pPr>
            <w:r w:rsidRPr="002E04F6">
              <w:rPr>
                <w:szCs w:val="24"/>
              </w:rPr>
              <w:t>Serum Amylase (&gt;2.0 x ULN)</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9" w:right="-3"/>
              <w:jc w:val="center"/>
              <w:rPr>
                <w:szCs w:val="24"/>
              </w:rPr>
            </w:pPr>
            <w:r w:rsidRPr="002E04F6">
              <w:rPr>
                <w:szCs w:val="24"/>
              </w:rPr>
              <w:t>2%</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33"/>
              <w:jc w:val="center"/>
              <w:rPr>
                <w:szCs w:val="24"/>
              </w:rPr>
            </w:pPr>
            <w:r w:rsidRPr="002E04F6">
              <w:rPr>
                <w:szCs w:val="24"/>
              </w:rPr>
              <w:t>2%</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spacing w:before="20" w:after="20"/>
              <w:jc w:val="center"/>
              <w:rPr>
                <w:szCs w:val="24"/>
                <w:lang w:val="fr-FR"/>
              </w:rPr>
            </w:pPr>
            <w:r w:rsidRPr="002E04F6">
              <w:rPr>
                <w:szCs w:val="24"/>
                <w:lang w:val="fr-FR"/>
              </w:rPr>
              <w:t>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jc w:val="center"/>
              <w:rPr>
                <w:szCs w:val="24"/>
                <w:lang w:val="fr-FR"/>
              </w:rPr>
            </w:pPr>
            <w:r w:rsidRPr="002E04F6">
              <w:rPr>
                <w:szCs w:val="24"/>
                <w:lang w:val="fr-FR"/>
              </w:rPr>
              <w:t>10%</w:t>
            </w:r>
          </w:p>
        </w:tc>
      </w:tr>
      <w:tr w:rsidR="003159FD" w:rsidRPr="00E7636B">
        <w:trPr>
          <w:gridAfter w:val="2"/>
          <w:wAfter w:w="2095" w:type="dxa"/>
          <w:cantSplit/>
          <w:trHeight w:val="287"/>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ind w:right="-108"/>
              <w:rPr>
                <w:sz w:val="24"/>
                <w:szCs w:val="24"/>
              </w:rPr>
            </w:pPr>
            <w:r w:rsidRPr="002E04F6">
              <w:rPr>
                <w:sz w:val="24"/>
                <w:szCs w:val="24"/>
              </w:rPr>
              <w:t>Serum Glucose (&lt;40 or &gt;250 mg/</w:t>
            </w:r>
            <w:proofErr w:type="spellStart"/>
            <w:r w:rsidRPr="002E04F6">
              <w:rPr>
                <w:sz w:val="24"/>
                <w:szCs w:val="24"/>
              </w:rPr>
              <w:t>dL</w:t>
            </w:r>
            <w:proofErr w:type="spellEnd"/>
            <w:r w:rsidRPr="002E04F6">
              <w:rPr>
                <w:sz w:val="24"/>
                <w:szCs w:val="24"/>
              </w:rPr>
              <w:t>)</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ind w:left="-9" w:right="-3"/>
              <w:jc w:val="center"/>
              <w:rPr>
                <w:sz w:val="24"/>
                <w:szCs w:val="24"/>
              </w:rPr>
            </w:pPr>
            <w:r w:rsidRPr="002E04F6">
              <w:rPr>
                <w:sz w:val="24"/>
                <w:szCs w:val="24"/>
              </w:rPr>
              <w:t>3%</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ind w:left="-33"/>
              <w:jc w:val="center"/>
              <w:rPr>
                <w:sz w:val="24"/>
                <w:szCs w:val="24"/>
              </w:rPr>
            </w:pPr>
            <w:r w:rsidRPr="002E04F6">
              <w:rPr>
                <w:sz w:val="24"/>
                <w:szCs w:val="24"/>
              </w:rPr>
              <w:t>3%</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jc w:val="center"/>
              <w:rPr>
                <w:sz w:val="24"/>
                <w:szCs w:val="24"/>
              </w:rPr>
            </w:pPr>
            <w:r w:rsidRPr="002E04F6">
              <w:rPr>
                <w:sz w:val="24"/>
                <w:szCs w:val="24"/>
              </w:rPr>
              <w:t>2%</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jc w:val="center"/>
              <w:rPr>
                <w:sz w:val="24"/>
                <w:szCs w:val="24"/>
              </w:rPr>
            </w:pPr>
            <w:r w:rsidRPr="002E04F6">
              <w:rPr>
                <w:sz w:val="24"/>
                <w:szCs w:val="24"/>
              </w:rPr>
              <w:t>3%</w:t>
            </w:r>
          </w:p>
        </w:tc>
      </w:tr>
      <w:tr w:rsidR="003159FD" w:rsidRPr="00E7636B">
        <w:trPr>
          <w:gridAfter w:val="2"/>
          <w:wAfter w:w="2095" w:type="dxa"/>
          <w:cantSplit/>
          <w:trHeight w:val="287"/>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2995"/>
              </w:tabs>
              <w:spacing w:before="20" w:after="20"/>
              <w:ind w:right="-108"/>
              <w:rPr>
                <w:szCs w:val="24"/>
              </w:rPr>
            </w:pPr>
            <w:r w:rsidRPr="002E04F6">
              <w:rPr>
                <w:szCs w:val="24"/>
              </w:rPr>
              <w:t>Serum Lipase (&gt;2.0 x ULN)</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9" w:right="-3"/>
              <w:jc w:val="center"/>
              <w:rPr>
                <w:szCs w:val="24"/>
              </w:rPr>
            </w:pPr>
            <w:r w:rsidRPr="002E04F6">
              <w:rPr>
                <w:szCs w:val="24"/>
              </w:rPr>
              <w:t>&lt;1%</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ind w:left="-33"/>
              <w:jc w:val="center"/>
              <w:rPr>
                <w:szCs w:val="24"/>
              </w:rPr>
            </w:pPr>
            <w:r w:rsidRPr="002E04F6">
              <w:rPr>
                <w:szCs w:val="24"/>
              </w:rPr>
              <w:t>&lt;1%</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spacing w:before="20" w:after="20"/>
              <w:jc w:val="center"/>
              <w:rPr>
                <w:szCs w:val="24"/>
                <w:lang w:val="fr-FR"/>
              </w:rPr>
            </w:pPr>
            <w:r w:rsidRPr="002E04F6">
              <w:rPr>
                <w:szCs w:val="24"/>
                <w:lang w:val="fr-FR"/>
              </w:rPr>
              <w:t>1%</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Normal-text"/>
              <w:keepNext/>
              <w:keepLines/>
              <w:tabs>
                <w:tab w:val="clear" w:pos="0"/>
                <w:tab w:val="left" w:pos="720"/>
              </w:tabs>
              <w:spacing w:before="20" w:after="20"/>
              <w:jc w:val="center"/>
              <w:rPr>
                <w:szCs w:val="24"/>
                <w:lang w:val="fr-FR"/>
              </w:rPr>
            </w:pPr>
            <w:r w:rsidRPr="002E04F6">
              <w:rPr>
                <w:szCs w:val="24"/>
                <w:lang w:val="fr-FR"/>
              </w:rPr>
              <w:t>2%</w:t>
            </w:r>
          </w:p>
        </w:tc>
      </w:tr>
      <w:tr w:rsidR="003159FD" w:rsidRPr="00E7636B">
        <w:trPr>
          <w:gridAfter w:val="2"/>
          <w:wAfter w:w="2095" w:type="dxa"/>
          <w:cantSplit/>
          <w:trHeight w:val="287"/>
          <w:jc w:val="center"/>
        </w:trPr>
        <w:tc>
          <w:tcPr>
            <w:tcW w:w="3336" w:type="dxa"/>
            <w:gridSpan w:val="3"/>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ind w:right="-108"/>
              <w:rPr>
                <w:sz w:val="24"/>
                <w:szCs w:val="24"/>
              </w:rPr>
            </w:pPr>
            <w:r w:rsidRPr="002E04F6">
              <w:rPr>
                <w:sz w:val="24"/>
                <w:szCs w:val="24"/>
              </w:rPr>
              <w:t>Triglycerides (&gt;750 mg/</w:t>
            </w:r>
            <w:proofErr w:type="spellStart"/>
            <w:r w:rsidRPr="002E04F6">
              <w:rPr>
                <w:sz w:val="24"/>
                <w:szCs w:val="24"/>
              </w:rPr>
              <w:t>dL</w:t>
            </w:r>
            <w:proofErr w:type="spellEnd"/>
            <w:r w:rsidRPr="002E04F6">
              <w:rPr>
                <w:sz w:val="24"/>
                <w:szCs w:val="24"/>
              </w:rPr>
              <w:t>)</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ind w:left="-9" w:right="-3"/>
              <w:jc w:val="center"/>
              <w:rPr>
                <w:sz w:val="24"/>
                <w:szCs w:val="24"/>
              </w:rPr>
            </w:pPr>
            <w:r w:rsidRPr="002E04F6">
              <w:rPr>
                <w:sz w:val="24"/>
                <w:szCs w:val="24"/>
              </w:rPr>
              <w:t>10%</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ind w:left="-33"/>
              <w:jc w:val="center"/>
              <w:rPr>
                <w:sz w:val="24"/>
                <w:szCs w:val="24"/>
              </w:rPr>
            </w:pPr>
            <w:r w:rsidRPr="002E04F6">
              <w:rPr>
                <w:sz w:val="24"/>
                <w:szCs w:val="24"/>
              </w:rPr>
              <w:t>8%</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jc w:val="center"/>
              <w:rPr>
                <w:sz w:val="24"/>
                <w:szCs w:val="24"/>
              </w:rPr>
            </w:pPr>
            <w:r w:rsidRPr="002E04F6">
              <w:rPr>
                <w:sz w:val="24"/>
                <w:szCs w:val="24"/>
              </w:rPr>
              <w:t>9%</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3159FD" w:rsidRPr="002E04F6" w:rsidRDefault="003159FD">
            <w:pPr>
              <w:pStyle w:val="Table"/>
              <w:spacing w:before="20" w:after="20"/>
              <w:jc w:val="center"/>
              <w:rPr>
                <w:sz w:val="24"/>
                <w:szCs w:val="24"/>
              </w:rPr>
            </w:pPr>
            <w:r w:rsidRPr="002E04F6">
              <w:rPr>
                <w:sz w:val="24"/>
                <w:szCs w:val="24"/>
              </w:rPr>
              <w:t>6%</w:t>
            </w:r>
          </w:p>
        </w:tc>
      </w:tr>
      <w:tr w:rsidR="003159FD" w:rsidRPr="00E7636B">
        <w:trPr>
          <w:gridBefore w:val="2"/>
          <w:wBefore w:w="2095" w:type="dxa"/>
          <w:cantSplit/>
          <w:trHeight w:val="345"/>
          <w:jc w:val="center"/>
        </w:trPr>
        <w:tc>
          <w:tcPr>
            <w:tcW w:w="9204" w:type="dxa"/>
            <w:gridSpan w:val="9"/>
            <w:tcBorders>
              <w:top w:val="single" w:sz="4" w:space="0" w:color="auto"/>
              <w:left w:val="nil"/>
              <w:bottom w:val="nil"/>
              <w:right w:val="nil"/>
            </w:tcBorders>
            <w:shd w:val="clear" w:color="auto" w:fill="auto"/>
          </w:tcPr>
          <w:p w:rsidR="003159FD" w:rsidRPr="002E04F6" w:rsidRDefault="003159FD">
            <w:pPr>
              <w:pStyle w:val="Table"/>
              <w:tabs>
                <w:tab w:val="left" w:pos="162"/>
              </w:tabs>
              <w:spacing w:before="60"/>
              <w:rPr>
                <w:sz w:val="20"/>
                <w:vertAlign w:val="superscript"/>
              </w:rPr>
            </w:pPr>
            <w:r w:rsidRPr="002E04F6">
              <w:rPr>
                <w:sz w:val="20"/>
              </w:rPr>
              <w:t>1. ULN=Upper limit of normal.</w:t>
            </w:r>
          </w:p>
        </w:tc>
      </w:tr>
    </w:tbl>
    <w:p w:rsidR="00B81658" w:rsidRPr="00315BD2" w:rsidRDefault="00B81658" w:rsidP="00CF5E15">
      <w:pPr>
        <w:rPr>
          <w:color w:val="000000"/>
          <w:szCs w:val="24"/>
        </w:rPr>
      </w:pPr>
    </w:p>
    <w:p w:rsidR="000768EA" w:rsidRPr="005B161B" w:rsidRDefault="000768EA" w:rsidP="00CF5E15">
      <w:pPr>
        <w:pStyle w:val="BodyText3"/>
        <w:rPr>
          <w:rFonts w:ascii="Times New Roman" w:hAnsi="Times New Roman"/>
          <w:b/>
          <w:i/>
          <w:color w:val="000000"/>
          <w:szCs w:val="24"/>
          <w:u w:val="single"/>
        </w:rPr>
      </w:pPr>
      <w:r w:rsidRPr="005B161B">
        <w:rPr>
          <w:rFonts w:ascii="Times New Roman" w:hAnsi="Times New Roman"/>
          <w:b/>
          <w:i/>
          <w:color w:val="000000"/>
          <w:szCs w:val="24"/>
          <w:u w:val="single"/>
        </w:rPr>
        <w:t>From Post Marketing Surveillance</w:t>
      </w:r>
    </w:p>
    <w:p w:rsidR="00CF5E15" w:rsidRPr="00315BD2" w:rsidRDefault="00CF5E15" w:rsidP="00CF5E15">
      <w:pPr>
        <w:pStyle w:val="BodyText3"/>
        <w:rPr>
          <w:color w:val="000000"/>
          <w:szCs w:val="24"/>
          <w:u w:val="single"/>
        </w:rPr>
      </w:pPr>
    </w:p>
    <w:p w:rsidR="000768EA" w:rsidRPr="00315BD2" w:rsidRDefault="00A97636" w:rsidP="00CF5E15">
      <w:pPr>
        <w:rPr>
          <w:color w:val="000000"/>
          <w:szCs w:val="24"/>
        </w:rPr>
      </w:pPr>
      <w:r w:rsidRPr="00315BD2">
        <w:rPr>
          <w:color w:val="000000"/>
          <w:szCs w:val="24"/>
        </w:rPr>
        <w:t>No additional events have been identified for inclusion in this section.</w:t>
      </w:r>
    </w:p>
    <w:p w:rsidR="00CF5E15" w:rsidRPr="00315BD2" w:rsidRDefault="00CF5E15" w:rsidP="00CF5E15">
      <w:pPr>
        <w:pStyle w:val="Heading3"/>
        <w:jc w:val="both"/>
        <w:rPr>
          <w:bCs/>
          <w:szCs w:val="24"/>
        </w:rPr>
      </w:pPr>
    </w:p>
    <w:p w:rsidR="00DB46C2" w:rsidRPr="00315BD2" w:rsidRDefault="00DB46C2" w:rsidP="00DB46C2">
      <w:pPr>
        <w:rPr>
          <w:b/>
          <w:szCs w:val="24"/>
        </w:rPr>
      </w:pPr>
      <w:r w:rsidRPr="00315BD2">
        <w:rPr>
          <w:b/>
          <w:szCs w:val="24"/>
        </w:rPr>
        <w:t>TRUVADA</w:t>
      </w:r>
    </w:p>
    <w:p w:rsidR="00DB46C2" w:rsidRPr="00315BD2" w:rsidRDefault="00DB46C2" w:rsidP="00DB46C2">
      <w:pPr>
        <w:rPr>
          <w:szCs w:val="24"/>
        </w:rPr>
      </w:pPr>
    </w:p>
    <w:p w:rsidR="00DB46C2" w:rsidRPr="005B161B" w:rsidRDefault="00DB46C2" w:rsidP="00DB46C2">
      <w:pPr>
        <w:pStyle w:val="BodyText3"/>
        <w:rPr>
          <w:rFonts w:ascii="Times New Roman" w:hAnsi="Times New Roman"/>
          <w:b/>
          <w:i/>
          <w:color w:val="000000"/>
          <w:szCs w:val="24"/>
          <w:u w:val="single"/>
        </w:rPr>
      </w:pPr>
      <w:r w:rsidRPr="005B161B">
        <w:rPr>
          <w:rFonts w:ascii="Times New Roman" w:hAnsi="Times New Roman"/>
          <w:b/>
          <w:i/>
          <w:color w:val="000000"/>
          <w:szCs w:val="24"/>
          <w:u w:val="single"/>
        </w:rPr>
        <w:t>From Post Marketing Surveillance</w:t>
      </w:r>
    </w:p>
    <w:p w:rsidR="00DB46C2" w:rsidRPr="00315BD2" w:rsidRDefault="00DB46C2" w:rsidP="00DB46C2">
      <w:pPr>
        <w:rPr>
          <w:szCs w:val="24"/>
        </w:rPr>
      </w:pPr>
    </w:p>
    <w:p w:rsidR="00DB46C2" w:rsidRPr="00315BD2" w:rsidRDefault="00DB46C2" w:rsidP="00DB46C2">
      <w:pPr>
        <w:autoSpaceDE w:val="0"/>
        <w:autoSpaceDN w:val="0"/>
        <w:adjustRightInd w:val="0"/>
        <w:rPr>
          <w:szCs w:val="24"/>
        </w:rPr>
      </w:pPr>
      <w:r w:rsidRPr="00315BD2">
        <w:rPr>
          <w:iCs/>
          <w:szCs w:val="24"/>
        </w:rPr>
        <w:t xml:space="preserve">Immune Reconstitution Syndrome: </w:t>
      </w:r>
      <w:r w:rsidRPr="00315BD2">
        <w:rPr>
          <w:szCs w:val="24"/>
        </w:rPr>
        <w:t xml:space="preserve">In HIV-infected patients with severe immune deficiency at the time of initiation of antiretroviral therapy, an inflammatory reaction to infectious pathogens (active or inactive) may arise (see </w:t>
      </w:r>
      <w:r w:rsidR="008D2C9D" w:rsidRPr="00315BD2">
        <w:rPr>
          <w:szCs w:val="24"/>
        </w:rPr>
        <w:t>PRECAUTIONS</w:t>
      </w:r>
      <w:r w:rsidRPr="00315BD2">
        <w:rPr>
          <w:szCs w:val="24"/>
        </w:rPr>
        <w:t>).</w:t>
      </w:r>
    </w:p>
    <w:p w:rsidR="00DB46C2" w:rsidRPr="00315BD2" w:rsidRDefault="00DB46C2" w:rsidP="00DB46C2">
      <w:pPr>
        <w:rPr>
          <w:b/>
          <w:bCs/>
          <w:szCs w:val="24"/>
        </w:rPr>
      </w:pPr>
    </w:p>
    <w:p w:rsidR="00CF5E15" w:rsidRDefault="00CF5E15" w:rsidP="00CF5E15">
      <w:pPr>
        <w:rPr>
          <w:szCs w:val="24"/>
        </w:rPr>
      </w:pPr>
    </w:p>
    <w:p w:rsidR="00125985" w:rsidRPr="00315BD2" w:rsidRDefault="00125985" w:rsidP="00CF5E15">
      <w:pPr>
        <w:rPr>
          <w:szCs w:val="24"/>
        </w:rPr>
      </w:pPr>
    </w:p>
    <w:p w:rsidR="00DA1597" w:rsidRPr="00F509F7" w:rsidRDefault="00CF5E15" w:rsidP="00CF5E15">
      <w:pPr>
        <w:pStyle w:val="Heading3"/>
        <w:jc w:val="both"/>
        <w:rPr>
          <w:rFonts w:ascii="Times New Roman" w:hAnsi="Times New Roman"/>
          <w:i w:val="0"/>
          <w:sz w:val="24"/>
          <w:szCs w:val="24"/>
          <w:lang w:val="en-US"/>
        </w:rPr>
      </w:pPr>
      <w:r w:rsidRPr="00F509F7">
        <w:rPr>
          <w:rFonts w:ascii="Times New Roman" w:hAnsi="Times New Roman"/>
          <w:i w:val="0"/>
          <w:sz w:val="24"/>
          <w:szCs w:val="24"/>
          <w:lang w:val="en-US"/>
        </w:rPr>
        <w:lastRenderedPageBreak/>
        <w:t>DOSAGE AND ADMINISTRATION</w:t>
      </w:r>
    </w:p>
    <w:p w:rsidR="00CF5E15" w:rsidRDefault="00CF5E15" w:rsidP="00CF5E15">
      <w:pPr>
        <w:rPr>
          <w:b/>
          <w:color w:val="000000"/>
          <w:szCs w:val="24"/>
        </w:rPr>
      </w:pPr>
    </w:p>
    <w:p w:rsidR="00487739" w:rsidRPr="00315BD2" w:rsidRDefault="00487739" w:rsidP="00CF5E15">
      <w:pPr>
        <w:rPr>
          <w:b/>
          <w:color w:val="000000"/>
          <w:szCs w:val="24"/>
        </w:rPr>
      </w:pPr>
      <w:r>
        <w:rPr>
          <w:b/>
          <w:color w:val="000000"/>
          <w:szCs w:val="24"/>
        </w:rPr>
        <w:t>Recommended Dose for Treatment of HIV-1 Infection</w:t>
      </w:r>
    </w:p>
    <w:p w:rsidR="00CF5E15" w:rsidRDefault="00B5303E" w:rsidP="00CF5E15">
      <w:pPr>
        <w:rPr>
          <w:color w:val="000000"/>
          <w:szCs w:val="24"/>
        </w:rPr>
      </w:pPr>
      <w:r w:rsidRPr="00315BD2">
        <w:rPr>
          <w:b/>
          <w:color w:val="000000"/>
          <w:szCs w:val="24"/>
        </w:rPr>
        <w:t>Adults</w:t>
      </w:r>
      <w:r w:rsidRPr="00315BD2">
        <w:rPr>
          <w:color w:val="000000"/>
          <w:szCs w:val="24"/>
        </w:rPr>
        <w:t xml:space="preserve">: </w:t>
      </w:r>
      <w:r w:rsidR="00E1578D" w:rsidRPr="00315BD2">
        <w:rPr>
          <w:color w:val="000000"/>
          <w:szCs w:val="24"/>
        </w:rPr>
        <w:t xml:space="preserve">The recommended dose of </w:t>
      </w:r>
      <w:r w:rsidR="00E1578D" w:rsidRPr="00315BD2">
        <w:rPr>
          <w:szCs w:val="24"/>
        </w:rPr>
        <w:t>TRUVADA</w:t>
      </w:r>
      <w:r w:rsidR="00E1578D" w:rsidRPr="00315BD2">
        <w:rPr>
          <w:color w:val="000000"/>
          <w:szCs w:val="24"/>
        </w:rPr>
        <w:t xml:space="preserve"> is one tablet</w:t>
      </w:r>
      <w:r w:rsidR="00A55386" w:rsidRPr="00315BD2">
        <w:rPr>
          <w:color w:val="000000"/>
          <w:szCs w:val="24"/>
        </w:rPr>
        <w:t xml:space="preserve"> (containing 300 mg </w:t>
      </w:r>
      <w:proofErr w:type="spellStart"/>
      <w:r w:rsidR="00A55386" w:rsidRPr="00315BD2">
        <w:rPr>
          <w:color w:val="000000"/>
          <w:szCs w:val="24"/>
        </w:rPr>
        <w:t>tenofovir</w:t>
      </w:r>
      <w:proofErr w:type="spellEnd"/>
      <w:r w:rsidR="00A55386" w:rsidRPr="00315BD2">
        <w:rPr>
          <w:color w:val="000000"/>
          <w:szCs w:val="24"/>
        </w:rPr>
        <w:t xml:space="preserve"> </w:t>
      </w:r>
      <w:proofErr w:type="spellStart"/>
      <w:r w:rsidR="00A55386" w:rsidRPr="00315BD2">
        <w:rPr>
          <w:color w:val="000000"/>
          <w:szCs w:val="24"/>
        </w:rPr>
        <w:t>disoproxil</w:t>
      </w:r>
      <w:proofErr w:type="spellEnd"/>
      <w:r w:rsidR="00A55386" w:rsidRPr="00315BD2">
        <w:rPr>
          <w:color w:val="000000"/>
          <w:szCs w:val="24"/>
        </w:rPr>
        <w:t xml:space="preserve"> fumarate and 200 mg </w:t>
      </w:r>
      <w:proofErr w:type="spellStart"/>
      <w:r w:rsidR="00A55386" w:rsidRPr="00315BD2">
        <w:rPr>
          <w:color w:val="000000"/>
          <w:szCs w:val="24"/>
        </w:rPr>
        <w:t>emtricitabine</w:t>
      </w:r>
      <w:proofErr w:type="spellEnd"/>
      <w:r w:rsidR="00A55386" w:rsidRPr="00315BD2">
        <w:rPr>
          <w:color w:val="000000"/>
          <w:szCs w:val="24"/>
        </w:rPr>
        <w:t>)</w:t>
      </w:r>
      <w:r w:rsidR="00E1578D" w:rsidRPr="00315BD2">
        <w:rPr>
          <w:color w:val="000000"/>
          <w:szCs w:val="24"/>
        </w:rPr>
        <w:t>, taken orally, once daily</w:t>
      </w:r>
      <w:r w:rsidR="00024E08" w:rsidRPr="00315BD2">
        <w:rPr>
          <w:color w:val="000000"/>
          <w:szCs w:val="24"/>
        </w:rPr>
        <w:t xml:space="preserve">.  In order to </w:t>
      </w:r>
      <w:proofErr w:type="spellStart"/>
      <w:r w:rsidR="00024E08" w:rsidRPr="00315BD2">
        <w:rPr>
          <w:color w:val="000000"/>
          <w:szCs w:val="24"/>
        </w:rPr>
        <w:t>optimise</w:t>
      </w:r>
      <w:proofErr w:type="spellEnd"/>
      <w:r w:rsidR="00024E08" w:rsidRPr="00315BD2">
        <w:rPr>
          <w:color w:val="000000"/>
          <w:szCs w:val="24"/>
        </w:rPr>
        <w:t xml:space="preserve"> the absorption of </w:t>
      </w:r>
      <w:proofErr w:type="spellStart"/>
      <w:r w:rsidR="00024E08" w:rsidRPr="00315BD2">
        <w:rPr>
          <w:color w:val="000000"/>
          <w:szCs w:val="24"/>
        </w:rPr>
        <w:t>tenofovir</w:t>
      </w:r>
      <w:proofErr w:type="spellEnd"/>
      <w:r w:rsidR="00024E08" w:rsidRPr="00315BD2">
        <w:rPr>
          <w:color w:val="000000"/>
          <w:szCs w:val="24"/>
        </w:rPr>
        <w:t xml:space="preserve">, it is recommended that </w:t>
      </w:r>
      <w:r w:rsidR="00487739">
        <w:rPr>
          <w:color w:val="000000"/>
          <w:szCs w:val="24"/>
        </w:rPr>
        <w:t>TRUVADA</w:t>
      </w:r>
      <w:r w:rsidR="00024E08" w:rsidRPr="00315BD2">
        <w:rPr>
          <w:color w:val="000000"/>
          <w:szCs w:val="24"/>
        </w:rPr>
        <w:t xml:space="preserve"> should be taken with food.</w:t>
      </w:r>
    </w:p>
    <w:p w:rsidR="00487739" w:rsidRPr="00F509F7" w:rsidRDefault="00487739" w:rsidP="00F509F7">
      <w:pPr>
        <w:pStyle w:val="Heading3"/>
        <w:jc w:val="both"/>
        <w:rPr>
          <w:rFonts w:ascii="Times New Roman" w:hAnsi="Times New Roman"/>
          <w:i w:val="0"/>
          <w:sz w:val="24"/>
          <w:szCs w:val="24"/>
          <w:lang w:val="en-US"/>
        </w:rPr>
      </w:pPr>
      <w:r w:rsidRPr="00F509F7">
        <w:rPr>
          <w:rFonts w:ascii="Times New Roman" w:hAnsi="Times New Roman"/>
          <w:i w:val="0"/>
          <w:sz w:val="24"/>
          <w:szCs w:val="24"/>
          <w:lang w:val="en-US"/>
        </w:rPr>
        <w:t xml:space="preserve">Recommended Dose for Pre-exposure Prophylaxis </w:t>
      </w:r>
    </w:p>
    <w:p w:rsidR="000C4EAC" w:rsidRPr="00315BD2" w:rsidRDefault="00487739" w:rsidP="00487739">
      <w:pPr>
        <w:pStyle w:val="Text10"/>
        <w:rPr>
          <w:color w:val="000000"/>
          <w:szCs w:val="24"/>
        </w:rPr>
      </w:pPr>
      <w:r>
        <w:rPr>
          <w:b/>
        </w:rPr>
        <w:t xml:space="preserve">Adults: </w:t>
      </w:r>
      <w:r w:rsidRPr="008E09DE">
        <w:t xml:space="preserve">The dose of TRUVADA in HIV-1 uninfected adults is one tablet (containing </w:t>
      </w:r>
      <w:r w:rsidR="00130392">
        <w:t xml:space="preserve">300 mg </w:t>
      </w:r>
      <w:proofErr w:type="spellStart"/>
      <w:r w:rsidR="00130392">
        <w:t>tenofovir</w:t>
      </w:r>
      <w:proofErr w:type="spellEnd"/>
      <w:r w:rsidR="00130392">
        <w:t xml:space="preserve"> </w:t>
      </w:r>
      <w:proofErr w:type="spellStart"/>
      <w:r w:rsidR="00130392">
        <w:t>disoproxil</w:t>
      </w:r>
      <w:proofErr w:type="spellEnd"/>
      <w:r w:rsidR="00130392">
        <w:t xml:space="preserve"> fumarate and </w:t>
      </w:r>
      <w:r w:rsidRPr="008E09DE">
        <w:t xml:space="preserve">200 mg of </w:t>
      </w:r>
      <w:proofErr w:type="spellStart"/>
      <w:r w:rsidRPr="008E09DE">
        <w:t>emtricitabine</w:t>
      </w:r>
      <w:proofErr w:type="spellEnd"/>
      <w:r w:rsidR="00130392">
        <w:t>), t</w:t>
      </w:r>
      <w:r>
        <w:t xml:space="preserve">aken orally, </w:t>
      </w:r>
      <w:r w:rsidRPr="008E09DE">
        <w:t>once daily</w:t>
      </w:r>
      <w:r>
        <w:t xml:space="preserve">. </w:t>
      </w:r>
      <w:r w:rsidRPr="008E09DE">
        <w:t xml:space="preserve"> </w:t>
      </w:r>
      <w:r w:rsidRPr="00315BD2">
        <w:rPr>
          <w:color w:val="000000"/>
          <w:szCs w:val="24"/>
        </w:rPr>
        <w:t xml:space="preserve">In order to </w:t>
      </w:r>
      <w:proofErr w:type="spellStart"/>
      <w:r w:rsidRPr="00315BD2">
        <w:rPr>
          <w:color w:val="000000"/>
          <w:szCs w:val="24"/>
        </w:rPr>
        <w:t>optimise</w:t>
      </w:r>
      <w:proofErr w:type="spellEnd"/>
      <w:r w:rsidRPr="00315BD2">
        <w:rPr>
          <w:color w:val="000000"/>
          <w:szCs w:val="24"/>
        </w:rPr>
        <w:t xml:space="preserve"> the absorption of </w:t>
      </w:r>
      <w:proofErr w:type="spellStart"/>
      <w:r w:rsidRPr="00315BD2">
        <w:rPr>
          <w:color w:val="000000"/>
          <w:szCs w:val="24"/>
        </w:rPr>
        <w:t>tenofovir</w:t>
      </w:r>
      <w:proofErr w:type="spellEnd"/>
      <w:r w:rsidRPr="00315BD2">
        <w:rPr>
          <w:color w:val="000000"/>
          <w:szCs w:val="24"/>
        </w:rPr>
        <w:t>, it is recommended that T</w:t>
      </w:r>
      <w:r>
        <w:rPr>
          <w:color w:val="000000"/>
          <w:szCs w:val="24"/>
        </w:rPr>
        <w:t>RUVADA</w:t>
      </w:r>
      <w:r w:rsidRPr="00315BD2">
        <w:rPr>
          <w:color w:val="000000"/>
          <w:szCs w:val="24"/>
        </w:rPr>
        <w:t xml:space="preserve"> should be taken with food.</w:t>
      </w:r>
    </w:p>
    <w:p w:rsidR="008F108F" w:rsidRPr="00315BD2" w:rsidRDefault="008F108F" w:rsidP="00086D13">
      <w:pPr>
        <w:rPr>
          <w:color w:val="000000"/>
          <w:szCs w:val="24"/>
        </w:rPr>
      </w:pPr>
      <w:r w:rsidRPr="00315BD2">
        <w:rPr>
          <w:b/>
          <w:color w:val="000000"/>
          <w:szCs w:val="24"/>
        </w:rPr>
        <w:t>Children</w:t>
      </w:r>
      <w:r w:rsidRPr="00315BD2">
        <w:rPr>
          <w:i/>
          <w:color w:val="000000"/>
          <w:szCs w:val="24"/>
        </w:rPr>
        <w:t>:</w:t>
      </w:r>
      <w:r w:rsidRPr="00315BD2">
        <w:rPr>
          <w:color w:val="000000"/>
          <w:szCs w:val="24"/>
        </w:rPr>
        <w:t xml:space="preserve"> The safety and efficacy of </w:t>
      </w:r>
      <w:r w:rsidR="00E410F0" w:rsidRPr="00315BD2">
        <w:rPr>
          <w:szCs w:val="24"/>
        </w:rPr>
        <w:t>TRUVADA</w:t>
      </w:r>
      <w:r w:rsidRPr="00315BD2">
        <w:rPr>
          <w:color w:val="000000"/>
          <w:szCs w:val="24"/>
        </w:rPr>
        <w:t xml:space="preserve"> </w:t>
      </w:r>
      <w:r w:rsidR="000C4EAC" w:rsidRPr="00315BD2">
        <w:rPr>
          <w:color w:val="000000"/>
          <w:szCs w:val="24"/>
        </w:rPr>
        <w:t>ha</w:t>
      </w:r>
      <w:r w:rsidR="000C4EAC">
        <w:rPr>
          <w:color w:val="000000"/>
          <w:szCs w:val="24"/>
        </w:rPr>
        <w:t>s</w:t>
      </w:r>
      <w:r w:rsidR="000C4EAC" w:rsidRPr="00315BD2">
        <w:rPr>
          <w:color w:val="000000"/>
          <w:szCs w:val="24"/>
        </w:rPr>
        <w:t xml:space="preserve"> </w:t>
      </w:r>
      <w:r w:rsidRPr="00315BD2">
        <w:rPr>
          <w:color w:val="000000"/>
          <w:szCs w:val="24"/>
        </w:rPr>
        <w:t xml:space="preserve">not been established in patients under the age of 18 years.  Consequently, </w:t>
      </w:r>
      <w:r w:rsidR="00E410F0" w:rsidRPr="00315BD2">
        <w:rPr>
          <w:szCs w:val="24"/>
        </w:rPr>
        <w:t>TRUVADA</w:t>
      </w:r>
      <w:r w:rsidRPr="00315BD2">
        <w:rPr>
          <w:color w:val="000000"/>
          <w:szCs w:val="24"/>
        </w:rPr>
        <w:t xml:space="preserve"> should not be administered to children or adolescents.</w:t>
      </w:r>
    </w:p>
    <w:p w:rsidR="00CF5E15" w:rsidRPr="00315BD2" w:rsidRDefault="00CF5E15" w:rsidP="00CF5E15">
      <w:pPr>
        <w:rPr>
          <w:b/>
          <w:color w:val="000000"/>
          <w:szCs w:val="24"/>
        </w:rPr>
      </w:pPr>
    </w:p>
    <w:p w:rsidR="008F108F" w:rsidRPr="00315BD2" w:rsidRDefault="008F108F" w:rsidP="00CF5E15">
      <w:pPr>
        <w:rPr>
          <w:color w:val="000000"/>
          <w:szCs w:val="24"/>
        </w:rPr>
      </w:pPr>
      <w:r w:rsidRPr="00315BD2">
        <w:rPr>
          <w:b/>
          <w:color w:val="000000"/>
          <w:szCs w:val="24"/>
        </w:rPr>
        <w:t>Elderly</w:t>
      </w:r>
      <w:r w:rsidRPr="00315BD2">
        <w:rPr>
          <w:i/>
          <w:color w:val="000000"/>
          <w:szCs w:val="24"/>
        </w:rPr>
        <w:t>:</w:t>
      </w:r>
      <w:r w:rsidRPr="00315BD2">
        <w:rPr>
          <w:color w:val="000000"/>
          <w:szCs w:val="24"/>
        </w:rPr>
        <w:t xml:space="preserve"> No data are available on which to make a dose recommendation for patients over the age of 65 years</w:t>
      </w:r>
      <w:r w:rsidRPr="00315BD2">
        <w:rPr>
          <w:szCs w:val="24"/>
        </w:rPr>
        <w:t>.</w:t>
      </w:r>
    </w:p>
    <w:p w:rsidR="00CF5E15" w:rsidRPr="00315BD2" w:rsidRDefault="00CF5E15" w:rsidP="00CF5E15">
      <w:pPr>
        <w:pStyle w:val="TOCHeadings"/>
        <w:widowControl/>
        <w:tabs>
          <w:tab w:val="left" w:pos="720"/>
        </w:tabs>
        <w:spacing w:before="0" w:after="0"/>
        <w:rPr>
          <w:sz w:val="24"/>
          <w:szCs w:val="24"/>
          <w:lang w:val="en-AU"/>
        </w:rPr>
      </w:pPr>
    </w:p>
    <w:p w:rsidR="000C4EAC" w:rsidRDefault="00980085" w:rsidP="00CF5E15">
      <w:pPr>
        <w:pStyle w:val="TOCHeadings"/>
        <w:widowControl/>
        <w:tabs>
          <w:tab w:val="left" w:pos="720"/>
        </w:tabs>
        <w:spacing w:before="0" w:after="0"/>
        <w:rPr>
          <w:b w:val="0"/>
          <w:sz w:val="24"/>
          <w:szCs w:val="24"/>
        </w:rPr>
      </w:pPr>
      <w:r w:rsidRPr="00315BD2">
        <w:rPr>
          <w:sz w:val="24"/>
          <w:szCs w:val="24"/>
        </w:rPr>
        <w:t>Renal Insufficiency</w:t>
      </w:r>
      <w:r w:rsidRPr="00315BD2">
        <w:rPr>
          <w:b w:val="0"/>
          <w:sz w:val="24"/>
          <w:szCs w:val="24"/>
        </w:rPr>
        <w:t xml:space="preserve">: </w:t>
      </w:r>
    </w:p>
    <w:p w:rsidR="000C4EAC" w:rsidRPr="000C4EAC" w:rsidRDefault="000C4EAC" w:rsidP="00CF5E15">
      <w:pPr>
        <w:pStyle w:val="TOCHeadings"/>
        <w:widowControl/>
        <w:tabs>
          <w:tab w:val="left" w:pos="720"/>
        </w:tabs>
        <w:spacing w:before="0" w:after="0"/>
        <w:rPr>
          <w:sz w:val="24"/>
          <w:szCs w:val="24"/>
        </w:rPr>
      </w:pPr>
      <w:r w:rsidRPr="000C4EAC">
        <w:rPr>
          <w:color w:val="000000"/>
          <w:sz w:val="24"/>
          <w:szCs w:val="24"/>
        </w:rPr>
        <w:t>Treatment of HIV-1 Infection</w:t>
      </w:r>
    </w:p>
    <w:p w:rsidR="00CF5E15" w:rsidRDefault="003B4472" w:rsidP="008C1AD6">
      <w:pPr>
        <w:pStyle w:val="TOCHeadings"/>
        <w:widowControl/>
        <w:tabs>
          <w:tab w:val="left" w:pos="720"/>
        </w:tabs>
        <w:spacing w:before="0" w:after="0"/>
        <w:rPr>
          <w:b w:val="0"/>
          <w:sz w:val="24"/>
          <w:szCs w:val="24"/>
        </w:rPr>
      </w:pPr>
      <w:r w:rsidRPr="00315BD2">
        <w:rPr>
          <w:b w:val="0"/>
          <w:sz w:val="24"/>
          <w:szCs w:val="24"/>
        </w:rPr>
        <w:t xml:space="preserve">Significantly increased drug exposures occurred when VIREAD or EMTRIVA were administered to patients with moderate to severe renal impairment (See VIREAD and EMTRIVA </w:t>
      </w:r>
      <w:r w:rsidR="008431E7" w:rsidRPr="00315BD2">
        <w:rPr>
          <w:b w:val="0"/>
          <w:sz w:val="24"/>
          <w:szCs w:val="24"/>
        </w:rPr>
        <w:t>Product Information</w:t>
      </w:r>
      <w:r w:rsidRPr="00315BD2">
        <w:rPr>
          <w:b w:val="0"/>
          <w:sz w:val="24"/>
          <w:szCs w:val="24"/>
        </w:rPr>
        <w:t>).  Therefore, the dosing interval of TR</w:t>
      </w:r>
      <w:r w:rsidR="00641537" w:rsidRPr="00315BD2">
        <w:rPr>
          <w:b w:val="0"/>
          <w:sz w:val="24"/>
          <w:szCs w:val="24"/>
        </w:rPr>
        <w:t>UVADA</w:t>
      </w:r>
      <w:r w:rsidRPr="00315BD2">
        <w:rPr>
          <w:b w:val="0"/>
          <w:sz w:val="24"/>
          <w:szCs w:val="24"/>
        </w:rPr>
        <w:t xml:space="preserve"> should be adjusted in patients with baseline creatinine clearance &lt;</w:t>
      </w:r>
      <w:r w:rsidR="00313FDC">
        <w:rPr>
          <w:b w:val="0"/>
          <w:sz w:val="24"/>
          <w:szCs w:val="24"/>
        </w:rPr>
        <w:t>6</w:t>
      </w:r>
      <w:r w:rsidRPr="00315BD2">
        <w:rPr>
          <w:b w:val="0"/>
          <w:sz w:val="24"/>
          <w:szCs w:val="24"/>
        </w:rPr>
        <w:t>0 mL/min using the recommendations in</w:t>
      </w:r>
      <w:r w:rsidR="006D7525" w:rsidRPr="00315BD2">
        <w:rPr>
          <w:b w:val="0"/>
          <w:sz w:val="24"/>
          <w:szCs w:val="24"/>
        </w:rPr>
        <w:t xml:space="preserve"> Table </w:t>
      </w:r>
      <w:r w:rsidR="001E73C3">
        <w:rPr>
          <w:b w:val="0"/>
          <w:sz w:val="24"/>
          <w:szCs w:val="24"/>
        </w:rPr>
        <w:t>20</w:t>
      </w:r>
      <w:r w:rsidRPr="00315BD2">
        <w:rPr>
          <w:b w:val="0"/>
          <w:sz w:val="24"/>
          <w:szCs w:val="24"/>
        </w:rPr>
        <w:t xml:space="preserve">.  The safety and effectiveness of these dosing interval adjustment recommendations have not been clinically </w:t>
      </w:r>
      <w:proofErr w:type="gramStart"/>
      <w:r w:rsidRPr="00315BD2">
        <w:rPr>
          <w:b w:val="0"/>
          <w:sz w:val="24"/>
          <w:szCs w:val="24"/>
        </w:rPr>
        <w:t>evaluated,</w:t>
      </w:r>
      <w:proofErr w:type="gramEnd"/>
      <w:r w:rsidRPr="00315BD2">
        <w:rPr>
          <w:b w:val="0"/>
          <w:sz w:val="24"/>
          <w:szCs w:val="24"/>
        </w:rPr>
        <w:t xml:space="preserve"> therefore, clinical response to treatment and renal function should be closely monitored in these patients.</w:t>
      </w:r>
    </w:p>
    <w:p w:rsidR="00EF451A" w:rsidRPr="00315BD2" w:rsidRDefault="00EF451A" w:rsidP="008C1AD6">
      <w:pPr>
        <w:pStyle w:val="TOCHeadings"/>
        <w:widowControl/>
        <w:tabs>
          <w:tab w:val="left" w:pos="720"/>
        </w:tabs>
        <w:spacing w:before="0" w:after="0"/>
        <w:rPr>
          <w:b w:val="0"/>
          <w:sz w:val="24"/>
          <w:szCs w:val="24"/>
        </w:rPr>
      </w:pPr>
    </w:p>
    <w:p w:rsidR="003B4472" w:rsidRPr="002B51D0" w:rsidRDefault="002B51D0" w:rsidP="008C1AD6">
      <w:pPr>
        <w:pStyle w:val="TOCHeadings"/>
        <w:widowControl/>
        <w:tabs>
          <w:tab w:val="left" w:pos="720"/>
        </w:tabs>
        <w:spacing w:before="0" w:after="0"/>
      </w:pPr>
      <w:bookmarkStart w:id="21" w:name="_Ref159392528"/>
      <w:proofErr w:type="gramStart"/>
      <w:r w:rsidRPr="002B51D0">
        <w:t xml:space="preserve">Table </w:t>
      </w:r>
      <w:r w:rsidR="001E73C3">
        <w:t>20</w:t>
      </w:r>
      <w:bookmarkEnd w:id="21"/>
      <w:r w:rsidR="003B4472" w:rsidRPr="002B51D0">
        <w:t>.</w:t>
      </w:r>
      <w:proofErr w:type="gramEnd"/>
      <w:r w:rsidR="003B4472" w:rsidRPr="002B51D0">
        <w:tab/>
        <w:t xml:space="preserve">Dosage Adjustment for Patients with Altered Creatinine Clearance </w:t>
      </w:r>
    </w:p>
    <w:tbl>
      <w:tblPr>
        <w:tblW w:w="0" w:type="auto"/>
        <w:tblInd w:w="108" w:type="dxa"/>
        <w:tblLayout w:type="fixed"/>
        <w:tblLook w:val="0000" w:firstRow="0" w:lastRow="0" w:firstColumn="0" w:lastColumn="0" w:noHBand="0" w:noVBand="0"/>
      </w:tblPr>
      <w:tblGrid>
        <w:gridCol w:w="2700"/>
        <w:gridCol w:w="1980"/>
        <w:gridCol w:w="1980"/>
        <w:gridCol w:w="2160"/>
      </w:tblGrid>
      <w:tr w:rsidR="003B4472" w:rsidRPr="00E7636B">
        <w:trPr>
          <w:cantSplit/>
          <w:trHeight w:val="155"/>
        </w:trPr>
        <w:tc>
          <w:tcPr>
            <w:tcW w:w="2700" w:type="dxa"/>
            <w:tcBorders>
              <w:top w:val="single" w:sz="4" w:space="0" w:color="auto"/>
              <w:left w:val="single" w:sz="4" w:space="0" w:color="auto"/>
              <w:bottom w:val="nil"/>
              <w:right w:val="nil"/>
            </w:tcBorders>
            <w:shd w:val="clear" w:color="auto" w:fill="auto"/>
          </w:tcPr>
          <w:p w:rsidR="003B4472" w:rsidRPr="00E7636B" w:rsidRDefault="003B4472" w:rsidP="00D26EC7">
            <w:pPr>
              <w:keepNext/>
              <w:spacing w:before="60" w:after="60"/>
              <w:ind w:left="42" w:right="12"/>
              <w:rPr>
                <w:b/>
              </w:rPr>
            </w:pPr>
          </w:p>
        </w:tc>
        <w:tc>
          <w:tcPr>
            <w:tcW w:w="6120" w:type="dxa"/>
            <w:gridSpan w:val="3"/>
            <w:tcBorders>
              <w:top w:val="single" w:sz="4" w:space="0" w:color="auto"/>
              <w:left w:val="single" w:sz="4" w:space="0" w:color="auto"/>
              <w:bottom w:val="single" w:sz="4" w:space="0" w:color="auto"/>
              <w:right w:val="single" w:sz="4" w:space="0" w:color="auto"/>
            </w:tcBorders>
            <w:shd w:val="clear" w:color="auto" w:fill="auto"/>
          </w:tcPr>
          <w:p w:rsidR="003B4472" w:rsidRPr="00E7636B" w:rsidRDefault="003B4472" w:rsidP="00D26EC7">
            <w:pPr>
              <w:keepNext/>
              <w:spacing w:before="60" w:after="60"/>
              <w:jc w:val="center"/>
              <w:rPr>
                <w:b/>
              </w:rPr>
            </w:pPr>
            <w:r w:rsidRPr="00E7636B">
              <w:rPr>
                <w:b/>
              </w:rPr>
              <w:t>Creatinine Clearance (mL/min)</w:t>
            </w:r>
            <w:r w:rsidRPr="00E7636B">
              <w:rPr>
                <w:b/>
                <w:vertAlign w:val="superscript"/>
              </w:rPr>
              <w:t>a</w:t>
            </w:r>
          </w:p>
        </w:tc>
      </w:tr>
      <w:tr w:rsidR="003B4472" w:rsidRPr="00E7636B">
        <w:trPr>
          <w:cantSplit/>
          <w:trHeight w:val="155"/>
        </w:trPr>
        <w:tc>
          <w:tcPr>
            <w:tcW w:w="2700" w:type="dxa"/>
            <w:tcBorders>
              <w:top w:val="nil"/>
              <w:left w:val="single" w:sz="4" w:space="0" w:color="auto"/>
              <w:bottom w:val="single" w:sz="4" w:space="0" w:color="auto"/>
              <w:right w:val="nil"/>
            </w:tcBorders>
            <w:shd w:val="clear" w:color="auto" w:fill="auto"/>
          </w:tcPr>
          <w:p w:rsidR="003B4472" w:rsidRPr="00E7636B" w:rsidRDefault="003B4472" w:rsidP="00D26EC7">
            <w:pPr>
              <w:keepNext/>
              <w:spacing w:before="20" w:after="20"/>
              <w:ind w:left="42" w:right="12"/>
              <w:rPr>
                <w:b/>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B4472" w:rsidRPr="00E7636B" w:rsidRDefault="003B4472" w:rsidP="00313FDC">
            <w:pPr>
              <w:keepNext/>
              <w:spacing w:before="20" w:after="20"/>
              <w:jc w:val="center"/>
              <w:rPr>
                <w:b/>
              </w:rPr>
            </w:pPr>
            <w:r w:rsidRPr="00E7636B">
              <w:rPr>
                <w:b/>
              </w:rPr>
              <w:t>≥</w:t>
            </w:r>
            <w:r w:rsidR="00313FDC">
              <w:rPr>
                <w:b/>
              </w:rPr>
              <w:t>6</w:t>
            </w:r>
            <w:r w:rsidRPr="00E7636B">
              <w:rPr>
                <w:b/>
              </w:rPr>
              <w:t>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B4472" w:rsidRPr="00E7636B" w:rsidRDefault="003B4472" w:rsidP="00313FDC">
            <w:pPr>
              <w:keepNext/>
              <w:spacing w:before="20" w:after="20"/>
              <w:jc w:val="center"/>
              <w:rPr>
                <w:b/>
              </w:rPr>
            </w:pPr>
            <w:r w:rsidRPr="00E7636B">
              <w:rPr>
                <w:b/>
              </w:rPr>
              <w:t>30–</w:t>
            </w:r>
            <w:r w:rsidR="00313FDC">
              <w:rPr>
                <w:b/>
              </w:rPr>
              <w:t>5</w:t>
            </w:r>
            <w:r w:rsidRPr="00E7636B">
              <w:rPr>
                <w:b/>
              </w:rPr>
              <w:t>9</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B4472" w:rsidRPr="00E7636B" w:rsidRDefault="003B4472" w:rsidP="00D26EC7">
            <w:pPr>
              <w:keepNext/>
              <w:spacing w:before="20" w:after="20"/>
              <w:jc w:val="center"/>
              <w:rPr>
                <w:b/>
              </w:rPr>
            </w:pPr>
            <w:r w:rsidRPr="00E7636B">
              <w:rPr>
                <w:b/>
              </w:rPr>
              <w:t xml:space="preserve">&lt;30 </w:t>
            </w:r>
            <w:r w:rsidRPr="00E7636B">
              <w:rPr>
                <w:b/>
              </w:rPr>
              <w:br/>
              <w:t xml:space="preserve">(Including Patients Requiring </w:t>
            </w:r>
            <w:proofErr w:type="spellStart"/>
            <w:r w:rsidRPr="00E7636B">
              <w:rPr>
                <w:b/>
              </w:rPr>
              <w:t>H</w:t>
            </w:r>
            <w:r w:rsidR="00B217A0" w:rsidRPr="00E7636B">
              <w:rPr>
                <w:b/>
              </w:rPr>
              <w:t>a</w:t>
            </w:r>
            <w:r w:rsidRPr="00E7636B">
              <w:rPr>
                <w:b/>
              </w:rPr>
              <w:t>emodialysis</w:t>
            </w:r>
            <w:proofErr w:type="spellEnd"/>
            <w:r w:rsidRPr="00E7636B">
              <w:rPr>
                <w:b/>
              </w:rPr>
              <w:t>)</w:t>
            </w:r>
          </w:p>
        </w:tc>
      </w:tr>
      <w:tr w:rsidR="003B4472" w:rsidRPr="00E7636B">
        <w:trPr>
          <w:cantSplit/>
          <w:trHeight w:val="155"/>
        </w:trPr>
        <w:tc>
          <w:tcPr>
            <w:tcW w:w="2700" w:type="dxa"/>
            <w:tcBorders>
              <w:top w:val="single" w:sz="4" w:space="0" w:color="auto"/>
              <w:left w:val="single" w:sz="4" w:space="0" w:color="auto"/>
              <w:bottom w:val="single" w:sz="4" w:space="0" w:color="auto"/>
              <w:right w:val="nil"/>
            </w:tcBorders>
            <w:shd w:val="clear" w:color="auto" w:fill="auto"/>
          </w:tcPr>
          <w:p w:rsidR="003B4472" w:rsidRPr="00E7636B" w:rsidRDefault="003B4472" w:rsidP="00D26EC7">
            <w:pPr>
              <w:spacing w:before="20" w:after="20"/>
              <w:ind w:left="42" w:right="-108"/>
              <w:jc w:val="left"/>
              <w:rPr>
                <w:b/>
              </w:rPr>
            </w:pPr>
            <w:r w:rsidRPr="00E7636B">
              <w:rPr>
                <w:b/>
              </w:rPr>
              <w:t>Recommended Dosing Interval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B4472" w:rsidRPr="00E7636B" w:rsidRDefault="003B4472" w:rsidP="00D26EC7">
            <w:pPr>
              <w:spacing w:before="20" w:after="20"/>
              <w:jc w:val="center"/>
            </w:pPr>
            <w:r w:rsidRPr="00E7636B">
              <w:t>Every 24 hours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B4472" w:rsidRPr="00E7636B" w:rsidRDefault="003B4472" w:rsidP="00D26EC7">
            <w:pPr>
              <w:spacing w:before="20" w:after="20"/>
              <w:jc w:val="center"/>
            </w:pPr>
            <w:r w:rsidRPr="00E7636B">
              <w:t>Every 48 hours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B4472" w:rsidRPr="00E7636B" w:rsidRDefault="003B4472" w:rsidP="00D26EC7">
            <w:pPr>
              <w:spacing w:before="20" w:after="20"/>
              <w:jc w:val="center"/>
            </w:pPr>
            <w:r w:rsidRPr="00E7636B">
              <w:t>TR</w:t>
            </w:r>
            <w:r w:rsidR="009714DF" w:rsidRPr="00E7636B">
              <w:t>UVADA</w:t>
            </w:r>
            <w:r w:rsidRPr="00E7636B">
              <w:t xml:space="preserve"> should not be administered.</w:t>
            </w:r>
          </w:p>
        </w:tc>
      </w:tr>
    </w:tbl>
    <w:p w:rsidR="003B4472" w:rsidRPr="002E04F6" w:rsidRDefault="003B4472" w:rsidP="008C1AD6">
      <w:pPr>
        <w:pStyle w:val="TOCHeadings"/>
        <w:widowControl/>
        <w:tabs>
          <w:tab w:val="left" w:pos="720"/>
        </w:tabs>
        <w:spacing w:before="0" w:after="0"/>
        <w:rPr>
          <w:sz w:val="20"/>
        </w:rPr>
      </w:pPr>
      <w:proofErr w:type="gramStart"/>
      <w:r w:rsidRPr="002E04F6">
        <w:rPr>
          <w:b w:val="0"/>
          <w:sz w:val="20"/>
          <w:vertAlign w:val="superscript"/>
        </w:rPr>
        <w:t>a</w:t>
      </w:r>
      <w:proofErr w:type="gramEnd"/>
      <w:r w:rsidRPr="002E04F6">
        <w:rPr>
          <w:b w:val="0"/>
          <w:sz w:val="20"/>
          <w:vertAlign w:val="superscript"/>
        </w:rPr>
        <w:tab/>
      </w:r>
      <w:r w:rsidRPr="002E04F6">
        <w:rPr>
          <w:b w:val="0"/>
          <w:sz w:val="20"/>
        </w:rPr>
        <w:t>Calculated</w:t>
      </w:r>
      <w:r w:rsidR="000C618F" w:rsidRPr="002E04F6">
        <w:rPr>
          <w:b w:val="0"/>
          <w:sz w:val="20"/>
        </w:rPr>
        <w:t xml:space="preserve"> with Cockcroft Gault equation</w:t>
      </w:r>
      <w:r w:rsidRPr="002E04F6">
        <w:rPr>
          <w:b w:val="0"/>
          <w:sz w:val="20"/>
        </w:rPr>
        <w:t xml:space="preserve"> using ideal (lean) body weight</w:t>
      </w:r>
      <w:r w:rsidRPr="002E04F6">
        <w:rPr>
          <w:sz w:val="20"/>
        </w:rPr>
        <w:t>.</w:t>
      </w:r>
    </w:p>
    <w:p w:rsidR="00044F2B" w:rsidRPr="0064484A" w:rsidRDefault="00044F2B" w:rsidP="008C1AD6">
      <w:pPr>
        <w:pStyle w:val="TOCHeadings"/>
        <w:widowControl/>
        <w:tabs>
          <w:tab w:val="left" w:pos="720"/>
        </w:tabs>
        <w:spacing w:before="0" w:after="0"/>
        <w:rPr>
          <w:szCs w:val="22"/>
        </w:rPr>
      </w:pPr>
    </w:p>
    <w:p w:rsidR="000C4EAC" w:rsidRPr="000C4EAC" w:rsidRDefault="000C4EAC" w:rsidP="008C1AD6">
      <w:pPr>
        <w:pStyle w:val="TOCHeadings"/>
        <w:widowControl/>
        <w:tabs>
          <w:tab w:val="left" w:pos="720"/>
        </w:tabs>
        <w:spacing w:before="0" w:after="0"/>
        <w:rPr>
          <w:b w:val="0"/>
        </w:rPr>
      </w:pPr>
      <w:r w:rsidRPr="000C4EAC">
        <w:rPr>
          <w:b w:val="0"/>
        </w:rPr>
        <w:t xml:space="preserve">Pre-exposure Prophylaxis </w:t>
      </w:r>
    </w:p>
    <w:p w:rsidR="000C4EAC" w:rsidRPr="008E09DE" w:rsidRDefault="000C4EAC" w:rsidP="000C4EAC">
      <w:pPr>
        <w:pStyle w:val="Text10"/>
      </w:pPr>
      <w:r w:rsidRPr="008E09DE">
        <w:t xml:space="preserve">Do not use TRUVADA for a </w:t>
      </w:r>
      <w:proofErr w:type="spellStart"/>
      <w:r w:rsidRPr="008E09DE">
        <w:t>PrEP</w:t>
      </w:r>
      <w:proofErr w:type="spellEnd"/>
      <w:r w:rsidRPr="008E09DE">
        <w:t xml:space="preserve"> indication in HIV-1 uninfected individuals with </w:t>
      </w:r>
      <w:r>
        <w:t xml:space="preserve">estimated </w:t>
      </w:r>
      <w:r w:rsidRPr="008E09DE">
        <w:t xml:space="preserve">creatinine clearance below 60 mL/min </w:t>
      </w:r>
      <w:r>
        <w:t>(see PRECAUTIONS)</w:t>
      </w:r>
      <w:r w:rsidRPr="008E09DE">
        <w:t>.</w:t>
      </w:r>
    </w:p>
    <w:p w:rsidR="000C4EAC" w:rsidRPr="00E8503C" w:rsidRDefault="000C4EAC" w:rsidP="000C4EAC">
      <w:pPr>
        <w:pStyle w:val="Text10"/>
        <w:rPr>
          <w:szCs w:val="24"/>
        </w:rPr>
      </w:pPr>
      <w:r w:rsidRPr="008E09DE">
        <w:rPr>
          <w:szCs w:val="24"/>
        </w:rPr>
        <w:lastRenderedPageBreak/>
        <w:t xml:space="preserve">Routine monitoring of </w:t>
      </w:r>
      <w:r>
        <w:rPr>
          <w:szCs w:val="24"/>
        </w:rPr>
        <w:t xml:space="preserve">estimated </w:t>
      </w:r>
      <w:r w:rsidRPr="008E09DE">
        <w:rPr>
          <w:szCs w:val="24"/>
        </w:rPr>
        <w:t xml:space="preserve">creatinine clearance should be performed in all individuals with mild renal impairment. If a decrease in </w:t>
      </w:r>
      <w:r>
        <w:rPr>
          <w:szCs w:val="24"/>
        </w:rPr>
        <w:t xml:space="preserve">estimated </w:t>
      </w:r>
      <w:r w:rsidRPr="008E09DE">
        <w:rPr>
          <w:szCs w:val="24"/>
        </w:rPr>
        <w:t xml:space="preserve">creatinine clearance is observed in uninfected individuals while using TRUVADA for </w:t>
      </w:r>
      <w:proofErr w:type="spellStart"/>
      <w:r w:rsidRPr="008E09DE">
        <w:rPr>
          <w:szCs w:val="24"/>
        </w:rPr>
        <w:t>PrEP</w:t>
      </w:r>
      <w:proofErr w:type="spellEnd"/>
      <w:r w:rsidRPr="008E09DE">
        <w:rPr>
          <w:szCs w:val="24"/>
        </w:rPr>
        <w:t xml:space="preserve">, evaluate potential causes and re-assess potential risks and benefits of </w:t>
      </w:r>
      <w:r w:rsidRPr="000C4EAC">
        <w:rPr>
          <w:szCs w:val="24"/>
        </w:rPr>
        <w:t xml:space="preserve">continued use (see PRECAUTIONS). </w:t>
      </w:r>
    </w:p>
    <w:p w:rsidR="000B704A" w:rsidRDefault="000B704A" w:rsidP="00CF5E15">
      <w:pPr>
        <w:rPr>
          <w:b/>
          <w:color w:val="000000"/>
          <w:szCs w:val="24"/>
        </w:rPr>
      </w:pPr>
    </w:p>
    <w:p w:rsidR="00CF5E15" w:rsidRDefault="008F108F" w:rsidP="00CF5E15">
      <w:pPr>
        <w:rPr>
          <w:color w:val="000000"/>
          <w:szCs w:val="24"/>
        </w:rPr>
      </w:pPr>
      <w:r w:rsidRPr="00315BD2">
        <w:rPr>
          <w:b/>
          <w:color w:val="000000"/>
          <w:szCs w:val="24"/>
        </w:rPr>
        <w:t>Hepatic impairment</w:t>
      </w:r>
      <w:r w:rsidRPr="00315BD2">
        <w:rPr>
          <w:i/>
          <w:color w:val="000000"/>
          <w:szCs w:val="24"/>
        </w:rPr>
        <w:t>:</w:t>
      </w:r>
      <w:r w:rsidRPr="00315BD2">
        <w:rPr>
          <w:color w:val="000000"/>
          <w:szCs w:val="24"/>
        </w:rPr>
        <w:t xml:space="preserve"> The pharmacokinetics of </w:t>
      </w:r>
      <w:r w:rsidR="00E410F0" w:rsidRPr="00315BD2">
        <w:rPr>
          <w:color w:val="000000"/>
          <w:szCs w:val="24"/>
        </w:rPr>
        <w:t>TRUVADA</w:t>
      </w:r>
      <w:r w:rsidRPr="00315BD2">
        <w:rPr>
          <w:color w:val="000000"/>
          <w:szCs w:val="24"/>
        </w:rPr>
        <w:t xml:space="preserve"> </w:t>
      </w:r>
      <w:r w:rsidR="00243320" w:rsidRPr="00315BD2">
        <w:rPr>
          <w:color w:val="000000"/>
          <w:szCs w:val="24"/>
        </w:rPr>
        <w:t xml:space="preserve">or </w:t>
      </w:r>
      <w:proofErr w:type="spellStart"/>
      <w:r w:rsidR="00243320" w:rsidRPr="00315BD2">
        <w:rPr>
          <w:color w:val="000000"/>
          <w:szCs w:val="24"/>
        </w:rPr>
        <w:t>emtricitabine</w:t>
      </w:r>
      <w:proofErr w:type="spellEnd"/>
      <w:r w:rsidR="00243320" w:rsidRPr="00315BD2">
        <w:rPr>
          <w:color w:val="000000"/>
          <w:szCs w:val="24"/>
        </w:rPr>
        <w:t xml:space="preserve"> </w:t>
      </w:r>
      <w:proofErr w:type="gramStart"/>
      <w:r w:rsidRPr="00315BD2">
        <w:rPr>
          <w:color w:val="000000"/>
          <w:szCs w:val="24"/>
        </w:rPr>
        <w:t>have</w:t>
      </w:r>
      <w:proofErr w:type="gramEnd"/>
      <w:r w:rsidRPr="00315BD2">
        <w:rPr>
          <w:color w:val="000000"/>
          <w:szCs w:val="24"/>
        </w:rPr>
        <w:t xml:space="preserve"> not been studied in </w:t>
      </w:r>
      <w:r w:rsidR="007D7AC6" w:rsidRPr="00315BD2">
        <w:rPr>
          <w:color w:val="000000"/>
          <w:szCs w:val="24"/>
        </w:rPr>
        <w:t xml:space="preserve">subjects </w:t>
      </w:r>
      <w:r w:rsidRPr="00315BD2">
        <w:rPr>
          <w:color w:val="000000"/>
          <w:szCs w:val="24"/>
        </w:rPr>
        <w:t>with hepatic impairment</w:t>
      </w:r>
      <w:r w:rsidR="007D2657" w:rsidRPr="00315BD2">
        <w:rPr>
          <w:color w:val="000000"/>
          <w:szCs w:val="24"/>
        </w:rPr>
        <w:t xml:space="preserve">.  </w:t>
      </w:r>
      <w:r w:rsidR="007D2657" w:rsidRPr="00315BD2">
        <w:rPr>
          <w:szCs w:val="24"/>
        </w:rPr>
        <w:t xml:space="preserve">There were no substantial alterations in </w:t>
      </w:r>
      <w:proofErr w:type="spellStart"/>
      <w:r w:rsidR="007D2657" w:rsidRPr="00315BD2">
        <w:rPr>
          <w:szCs w:val="24"/>
        </w:rPr>
        <w:t>tenofovir</w:t>
      </w:r>
      <w:proofErr w:type="spellEnd"/>
      <w:r w:rsidR="007D2657" w:rsidRPr="00315BD2">
        <w:rPr>
          <w:szCs w:val="24"/>
        </w:rPr>
        <w:t xml:space="preserve"> pharmacokinetics in subjects with hepatic impairment compared with unimpaired subjects.  No change in </w:t>
      </w:r>
      <w:proofErr w:type="spellStart"/>
      <w:r w:rsidR="007D2657" w:rsidRPr="00315BD2">
        <w:rPr>
          <w:szCs w:val="24"/>
        </w:rPr>
        <w:t>tenofovir</w:t>
      </w:r>
      <w:proofErr w:type="spellEnd"/>
      <w:r w:rsidR="007D2657" w:rsidRPr="00315BD2">
        <w:rPr>
          <w:szCs w:val="24"/>
        </w:rPr>
        <w:t xml:space="preserve"> </w:t>
      </w:r>
      <w:proofErr w:type="spellStart"/>
      <w:r w:rsidR="007D2657" w:rsidRPr="00315BD2">
        <w:rPr>
          <w:szCs w:val="24"/>
        </w:rPr>
        <w:t>disoproxil</w:t>
      </w:r>
      <w:proofErr w:type="spellEnd"/>
      <w:r w:rsidR="007D2657" w:rsidRPr="00315BD2">
        <w:rPr>
          <w:szCs w:val="24"/>
        </w:rPr>
        <w:t xml:space="preserve"> fumarate dosing is required in patients with hepatic impairment.  </w:t>
      </w:r>
      <w:proofErr w:type="spellStart"/>
      <w:r w:rsidR="00286C68" w:rsidRPr="00315BD2">
        <w:rPr>
          <w:color w:val="000000"/>
          <w:szCs w:val="24"/>
        </w:rPr>
        <w:t>E</w:t>
      </w:r>
      <w:r w:rsidR="008E6380" w:rsidRPr="00315BD2">
        <w:rPr>
          <w:color w:val="000000"/>
          <w:szCs w:val="24"/>
        </w:rPr>
        <w:t>mtricitabine</w:t>
      </w:r>
      <w:proofErr w:type="spellEnd"/>
      <w:r w:rsidR="008E6380" w:rsidRPr="00315BD2">
        <w:rPr>
          <w:color w:val="000000"/>
          <w:szCs w:val="24"/>
        </w:rPr>
        <w:t xml:space="preserve"> is not significantly </w:t>
      </w:r>
      <w:proofErr w:type="spellStart"/>
      <w:r w:rsidR="008E6380" w:rsidRPr="00315BD2">
        <w:rPr>
          <w:color w:val="000000"/>
          <w:szCs w:val="24"/>
        </w:rPr>
        <w:t>metaboli</w:t>
      </w:r>
      <w:r w:rsidR="009F3522" w:rsidRPr="00315BD2">
        <w:rPr>
          <w:color w:val="000000"/>
          <w:szCs w:val="24"/>
        </w:rPr>
        <w:t>s</w:t>
      </w:r>
      <w:r w:rsidR="008E6380" w:rsidRPr="00315BD2">
        <w:rPr>
          <w:color w:val="000000"/>
          <w:szCs w:val="24"/>
        </w:rPr>
        <w:t>ed</w:t>
      </w:r>
      <w:proofErr w:type="spellEnd"/>
      <w:r w:rsidR="008E6380" w:rsidRPr="00315BD2">
        <w:rPr>
          <w:color w:val="000000"/>
          <w:szCs w:val="24"/>
        </w:rPr>
        <w:t xml:space="preserve"> by liver enzymes, so the impact of hepatic impairment should be limite</w:t>
      </w:r>
      <w:r w:rsidR="005B2636" w:rsidRPr="00315BD2">
        <w:rPr>
          <w:color w:val="000000"/>
          <w:szCs w:val="24"/>
        </w:rPr>
        <w:t>d</w:t>
      </w:r>
      <w:r w:rsidR="00CF5E15" w:rsidRPr="00315BD2">
        <w:rPr>
          <w:color w:val="000000"/>
          <w:szCs w:val="24"/>
        </w:rPr>
        <w:t>.</w:t>
      </w:r>
    </w:p>
    <w:p w:rsidR="00125985" w:rsidRPr="00315BD2" w:rsidRDefault="00125985" w:rsidP="00CF5E15">
      <w:pPr>
        <w:rPr>
          <w:color w:val="000000"/>
          <w:szCs w:val="24"/>
        </w:rPr>
      </w:pPr>
    </w:p>
    <w:p w:rsidR="00CA01D5" w:rsidRPr="00F509F7" w:rsidRDefault="00CF5E15" w:rsidP="00CF5E15">
      <w:pPr>
        <w:pStyle w:val="Heading3"/>
        <w:jc w:val="both"/>
        <w:rPr>
          <w:rFonts w:ascii="Times New Roman" w:hAnsi="Times New Roman"/>
          <w:i w:val="0"/>
          <w:sz w:val="24"/>
          <w:szCs w:val="24"/>
          <w:lang w:val="en-US"/>
        </w:rPr>
      </w:pPr>
      <w:r w:rsidRPr="00F509F7">
        <w:rPr>
          <w:rFonts w:ascii="Times New Roman" w:hAnsi="Times New Roman"/>
          <w:i w:val="0"/>
          <w:sz w:val="24"/>
          <w:szCs w:val="24"/>
          <w:lang w:val="en-US"/>
        </w:rPr>
        <w:t>OVERDOSAGE</w:t>
      </w:r>
    </w:p>
    <w:p w:rsidR="00CF5E15" w:rsidRPr="00315BD2" w:rsidRDefault="00CF5E15" w:rsidP="00CF5E15">
      <w:pPr>
        <w:rPr>
          <w:szCs w:val="24"/>
        </w:rPr>
      </w:pPr>
    </w:p>
    <w:p w:rsidR="00CA3DAF" w:rsidRPr="00315BD2" w:rsidRDefault="0098487B" w:rsidP="00CF5E15">
      <w:pPr>
        <w:rPr>
          <w:color w:val="000000"/>
          <w:szCs w:val="24"/>
        </w:rPr>
      </w:pPr>
      <w:r w:rsidRPr="00315BD2">
        <w:rPr>
          <w:szCs w:val="24"/>
        </w:rPr>
        <w:t xml:space="preserve">There is no known antidote for </w:t>
      </w:r>
      <w:r w:rsidR="00E410F0" w:rsidRPr="00315BD2">
        <w:rPr>
          <w:szCs w:val="24"/>
        </w:rPr>
        <w:t>TRUVADA</w:t>
      </w:r>
      <w:r w:rsidRPr="00315BD2">
        <w:rPr>
          <w:szCs w:val="24"/>
        </w:rPr>
        <w:t>.</w:t>
      </w:r>
      <w:r w:rsidR="00CA3DAF" w:rsidRPr="00315BD2">
        <w:rPr>
          <w:szCs w:val="24"/>
        </w:rPr>
        <w:t xml:space="preserve">  </w:t>
      </w:r>
      <w:r w:rsidR="00CA3DAF" w:rsidRPr="00315BD2">
        <w:rPr>
          <w:color w:val="000000"/>
          <w:szCs w:val="24"/>
        </w:rPr>
        <w:t xml:space="preserve">If overdose occurs the patient must be monitored for evidence of toxicity, and standard supportive treatment applied as necessary. </w:t>
      </w:r>
    </w:p>
    <w:p w:rsidR="00044F2B" w:rsidRPr="00315BD2" w:rsidRDefault="00044F2B" w:rsidP="00CF5E15">
      <w:pPr>
        <w:rPr>
          <w:color w:val="000000"/>
          <w:szCs w:val="24"/>
        </w:rPr>
      </w:pPr>
    </w:p>
    <w:p w:rsidR="00BD699C" w:rsidRPr="00315BD2" w:rsidRDefault="00BD699C" w:rsidP="00CF5E15">
      <w:pPr>
        <w:rPr>
          <w:b/>
          <w:i/>
          <w:szCs w:val="24"/>
        </w:rPr>
      </w:pPr>
      <w:proofErr w:type="spellStart"/>
      <w:r w:rsidRPr="00315BD2">
        <w:rPr>
          <w:b/>
          <w:i/>
          <w:szCs w:val="24"/>
        </w:rPr>
        <w:t>Tenofovir</w:t>
      </w:r>
      <w:proofErr w:type="spellEnd"/>
      <w:r w:rsidRPr="00315BD2">
        <w:rPr>
          <w:b/>
          <w:i/>
          <w:szCs w:val="24"/>
        </w:rPr>
        <w:t xml:space="preserve"> </w:t>
      </w:r>
      <w:proofErr w:type="spellStart"/>
      <w:r w:rsidRPr="00315BD2">
        <w:rPr>
          <w:b/>
          <w:i/>
          <w:szCs w:val="24"/>
        </w:rPr>
        <w:t>disoproxil</w:t>
      </w:r>
      <w:proofErr w:type="spellEnd"/>
      <w:r w:rsidRPr="00315BD2">
        <w:rPr>
          <w:b/>
          <w:i/>
          <w:szCs w:val="24"/>
        </w:rPr>
        <w:t xml:space="preserve"> fumarate</w:t>
      </w:r>
    </w:p>
    <w:p w:rsidR="00CF5E15" w:rsidRPr="00315BD2" w:rsidRDefault="00CF5E15" w:rsidP="00CF5E15">
      <w:pPr>
        <w:rPr>
          <w:b/>
          <w:i/>
          <w:szCs w:val="24"/>
        </w:rPr>
      </w:pPr>
    </w:p>
    <w:p w:rsidR="00FA3CA5" w:rsidRPr="00315BD2" w:rsidRDefault="0098487B" w:rsidP="00CF5E15">
      <w:pPr>
        <w:rPr>
          <w:szCs w:val="24"/>
        </w:rPr>
      </w:pPr>
      <w:r w:rsidRPr="00315BD2">
        <w:rPr>
          <w:szCs w:val="24"/>
        </w:rPr>
        <w:t xml:space="preserve">Clinical experience of doses higher than the </w:t>
      </w:r>
      <w:r w:rsidR="00044570" w:rsidRPr="00315BD2">
        <w:rPr>
          <w:szCs w:val="24"/>
        </w:rPr>
        <w:t xml:space="preserve">therapeutic dose of </w:t>
      </w:r>
      <w:proofErr w:type="spellStart"/>
      <w:r w:rsidR="00044570" w:rsidRPr="00315BD2">
        <w:rPr>
          <w:szCs w:val="24"/>
        </w:rPr>
        <w:t>tenofovir</w:t>
      </w:r>
      <w:proofErr w:type="spellEnd"/>
      <w:r w:rsidR="00044570" w:rsidRPr="00315BD2">
        <w:rPr>
          <w:szCs w:val="24"/>
        </w:rPr>
        <w:t xml:space="preserve"> </w:t>
      </w:r>
      <w:proofErr w:type="spellStart"/>
      <w:r w:rsidR="00044570" w:rsidRPr="00315BD2">
        <w:rPr>
          <w:szCs w:val="24"/>
        </w:rPr>
        <w:t>disoproxil</w:t>
      </w:r>
      <w:proofErr w:type="spellEnd"/>
      <w:r w:rsidR="00044570" w:rsidRPr="00315BD2">
        <w:rPr>
          <w:szCs w:val="24"/>
        </w:rPr>
        <w:t xml:space="preserve"> fumarate is available</w:t>
      </w:r>
      <w:r w:rsidR="00A76E6D" w:rsidRPr="00315BD2">
        <w:rPr>
          <w:szCs w:val="24"/>
        </w:rPr>
        <w:t xml:space="preserve"> from two studies</w:t>
      </w:r>
      <w:r w:rsidR="00044570" w:rsidRPr="00315BD2">
        <w:rPr>
          <w:szCs w:val="24"/>
        </w:rPr>
        <w:t xml:space="preserve">. In one study, intravenous </w:t>
      </w:r>
      <w:proofErr w:type="spellStart"/>
      <w:r w:rsidR="00044570" w:rsidRPr="00315BD2">
        <w:rPr>
          <w:szCs w:val="24"/>
        </w:rPr>
        <w:t>tenofovir</w:t>
      </w:r>
      <w:proofErr w:type="spellEnd"/>
      <w:r w:rsidR="00044570" w:rsidRPr="00315BD2">
        <w:rPr>
          <w:szCs w:val="24"/>
        </w:rPr>
        <w:t xml:space="preserve">, equivalent to 16.7 mg/kg/day of </w:t>
      </w:r>
      <w:proofErr w:type="spellStart"/>
      <w:r w:rsidR="00044570" w:rsidRPr="00315BD2">
        <w:rPr>
          <w:szCs w:val="24"/>
        </w:rPr>
        <w:t>tenofovir</w:t>
      </w:r>
      <w:proofErr w:type="spellEnd"/>
      <w:r w:rsidR="00044570" w:rsidRPr="00315BD2">
        <w:rPr>
          <w:szCs w:val="24"/>
        </w:rPr>
        <w:t xml:space="preserve"> </w:t>
      </w:r>
      <w:proofErr w:type="spellStart"/>
      <w:r w:rsidR="00044570" w:rsidRPr="00315BD2">
        <w:rPr>
          <w:szCs w:val="24"/>
        </w:rPr>
        <w:t>disoproxil</w:t>
      </w:r>
      <w:proofErr w:type="spellEnd"/>
      <w:r w:rsidR="00044570" w:rsidRPr="00315BD2">
        <w:rPr>
          <w:szCs w:val="24"/>
        </w:rPr>
        <w:t xml:space="preserve"> fumarate, was administered </w:t>
      </w:r>
      <w:r w:rsidR="00A76E6D" w:rsidRPr="00315BD2">
        <w:rPr>
          <w:szCs w:val="24"/>
        </w:rPr>
        <w:t xml:space="preserve">daily for 7 days.  </w:t>
      </w:r>
      <w:r w:rsidR="00A76E6D" w:rsidRPr="00315BD2">
        <w:rPr>
          <w:color w:val="000000"/>
          <w:szCs w:val="24"/>
        </w:rPr>
        <w:t xml:space="preserve">In the second study, 600 mg of </w:t>
      </w:r>
      <w:proofErr w:type="spellStart"/>
      <w:r w:rsidR="00A76E6D" w:rsidRPr="00315BD2">
        <w:rPr>
          <w:color w:val="000000"/>
          <w:szCs w:val="24"/>
        </w:rPr>
        <w:t>tenofovir</w:t>
      </w:r>
      <w:proofErr w:type="spellEnd"/>
      <w:r w:rsidR="00A76E6D" w:rsidRPr="00315BD2">
        <w:rPr>
          <w:color w:val="000000"/>
          <w:szCs w:val="24"/>
        </w:rPr>
        <w:t xml:space="preserve"> </w:t>
      </w:r>
      <w:proofErr w:type="spellStart"/>
      <w:r w:rsidR="00A76E6D" w:rsidRPr="00315BD2">
        <w:rPr>
          <w:color w:val="000000"/>
          <w:szCs w:val="24"/>
        </w:rPr>
        <w:t>disoproxil</w:t>
      </w:r>
      <w:proofErr w:type="spellEnd"/>
      <w:r w:rsidR="00A76E6D" w:rsidRPr="00315BD2">
        <w:rPr>
          <w:color w:val="000000"/>
          <w:szCs w:val="24"/>
        </w:rPr>
        <w:t xml:space="preserve"> fumarate was administered </w:t>
      </w:r>
      <w:r w:rsidR="00044570" w:rsidRPr="00315BD2">
        <w:rPr>
          <w:szCs w:val="24"/>
        </w:rPr>
        <w:t xml:space="preserve">to patients orally for 28 days.  No unexpected or severe adverse reactions were reported in either study. </w:t>
      </w:r>
      <w:r w:rsidR="00BD699C" w:rsidRPr="00315BD2">
        <w:rPr>
          <w:szCs w:val="24"/>
        </w:rPr>
        <w:t xml:space="preserve"> The effects of higher doses are not known.</w:t>
      </w:r>
    </w:p>
    <w:p w:rsidR="00044570" w:rsidRPr="00315BD2" w:rsidRDefault="00044570" w:rsidP="00CF5E15">
      <w:pPr>
        <w:rPr>
          <w:szCs w:val="24"/>
        </w:rPr>
      </w:pPr>
    </w:p>
    <w:p w:rsidR="00943570" w:rsidRPr="00315BD2" w:rsidRDefault="00943570" w:rsidP="00CF5E15">
      <w:pPr>
        <w:rPr>
          <w:szCs w:val="24"/>
        </w:rPr>
      </w:pPr>
      <w:proofErr w:type="spellStart"/>
      <w:r w:rsidRPr="00315BD2">
        <w:rPr>
          <w:szCs w:val="24"/>
        </w:rPr>
        <w:t>Tenofovir</w:t>
      </w:r>
      <w:proofErr w:type="spellEnd"/>
      <w:r w:rsidRPr="00315BD2">
        <w:rPr>
          <w:szCs w:val="24"/>
        </w:rPr>
        <w:t xml:space="preserve"> is efficiently removed by </w:t>
      </w:r>
      <w:proofErr w:type="spellStart"/>
      <w:r w:rsidRPr="00315BD2">
        <w:rPr>
          <w:szCs w:val="24"/>
        </w:rPr>
        <w:t>haemodialysis</w:t>
      </w:r>
      <w:proofErr w:type="spellEnd"/>
      <w:r w:rsidRPr="00315BD2">
        <w:rPr>
          <w:szCs w:val="24"/>
        </w:rPr>
        <w:t xml:space="preserve"> with an extraction coefficient of approximately 54%.  Following a single 300 mg dose of VIREAD, a four-hour </w:t>
      </w:r>
      <w:proofErr w:type="spellStart"/>
      <w:r w:rsidRPr="00315BD2">
        <w:rPr>
          <w:szCs w:val="24"/>
        </w:rPr>
        <w:t>h</w:t>
      </w:r>
      <w:r w:rsidR="00B217A0" w:rsidRPr="00315BD2">
        <w:rPr>
          <w:szCs w:val="24"/>
        </w:rPr>
        <w:t>a</w:t>
      </w:r>
      <w:r w:rsidRPr="00315BD2">
        <w:rPr>
          <w:szCs w:val="24"/>
        </w:rPr>
        <w:t>emodialysis</w:t>
      </w:r>
      <w:proofErr w:type="spellEnd"/>
      <w:r w:rsidRPr="00315BD2">
        <w:rPr>
          <w:szCs w:val="24"/>
        </w:rPr>
        <w:t xml:space="preserve"> session removed approximately 10% of the administered </w:t>
      </w:r>
      <w:proofErr w:type="spellStart"/>
      <w:r w:rsidRPr="00315BD2">
        <w:rPr>
          <w:szCs w:val="24"/>
        </w:rPr>
        <w:t>tenofovir</w:t>
      </w:r>
      <w:proofErr w:type="spellEnd"/>
      <w:r w:rsidRPr="00315BD2">
        <w:rPr>
          <w:szCs w:val="24"/>
        </w:rPr>
        <w:t xml:space="preserve"> dose.</w:t>
      </w:r>
    </w:p>
    <w:p w:rsidR="00CF5E15" w:rsidRPr="00315BD2" w:rsidRDefault="00CF5E15" w:rsidP="00CF5E15">
      <w:pPr>
        <w:rPr>
          <w:szCs w:val="24"/>
        </w:rPr>
      </w:pPr>
    </w:p>
    <w:p w:rsidR="0041479A" w:rsidRPr="00315BD2" w:rsidRDefault="0041479A" w:rsidP="00CF5E15">
      <w:pPr>
        <w:rPr>
          <w:szCs w:val="24"/>
        </w:rPr>
      </w:pPr>
      <w:proofErr w:type="spellStart"/>
      <w:r w:rsidRPr="00315BD2">
        <w:rPr>
          <w:b/>
          <w:i/>
          <w:szCs w:val="24"/>
        </w:rPr>
        <w:t>Emtricitabine</w:t>
      </w:r>
      <w:proofErr w:type="spellEnd"/>
    </w:p>
    <w:p w:rsidR="00CF5E15" w:rsidRPr="00315BD2" w:rsidRDefault="00CF5E15" w:rsidP="00CF5E15">
      <w:pPr>
        <w:rPr>
          <w:szCs w:val="24"/>
        </w:rPr>
      </w:pPr>
    </w:p>
    <w:p w:rsidR="00CF5E15" w:rsidRPr="00315BD2" w:rsidRDefault="00044570" w:rsidP="00CF5E15">
      <w:pPr>
        <w:rPr>
          <w:szCs w:val="24"/>
        </w:rPr>
      </w:pPr>
      <w:r w:rsidRPr="00315BD2">
        <w:rPr>
          <w:szCs w:val="24"/>
        </w:rPr>
        <w:t xml:space="preserve">Limited clinical experience </w:t>
      </w:r>
      <w:r w:rsidR="005C6C8E" w:rsidRPr="00315BD2">
        <w:rPr>
          <w:szCs w:val="24"/>
        </w:rPr>
        <w:t xml:space="preserve">is available </w:t>
      </w:r>
      <w:r w:rsidRPr="00315BD2">
        <w:rPr>
          <w:szCs w:val="24"/>
        </w:rPr>
        <w:t xml:space="preserve">at doses higher than the therapeutic dose of </w:t>
      </w:r>
      <w:proofErr w:type="spellStart"/>
      <w:r w:rsidRPr="00315BD2">
        <w:rPr>
          <w:szCs w:val="24"/>
        </w:rPr>
        <w:t>emtricitabine</w:t>
      </w:r>
      <w:proofErr w:type="spellEnd"/>
      <w:r w:rsidR="005C6C8E" w:rsidRPr="00315BD2">
        <w:rPr>
          <w:szCs w:val="24"/>
        </w:rPr>
        <w:t xml:space="preserve">. </w:t>
      </w:r>
      <w:r w:rsidR="00C13AA9" w:rsidRPr="00315BD2">
        <w:rPr>
          <w:szCs w:val="24"/>
        </w:rPr>
        <w:t xml:space="preserve"> </w:t>
      </w:r>
      <w:r w:rsidRPr="00315BD2">
        <w:rPr>
          <w:szCs w:val="24"/>
        </w:rPr>
        <w:t xml:space="preserve">In once clinical pharmacology study, single doses of </w:t>
      </w:r>
      <w:proofErr w:type="spellStart"/>
      <w:r w:rsidRPr="00315BD2">
        <w:rPr>
          <w:szCs w:val="24"/>
        </w:rPr>
        <w:t>emtricitabine</w:t>
      </w:r>
      <w:proofErr w:type="spellEnd"/>
      <w:r w:rsidRPr="00315BD2">
        <w:rPr>
          <w:szCs w:val="24"/>
        </w:rPr>
        <w:t xml:space="preserve"> 1200 mg were administered to 11 patients. No severe adverse reactions were reported.</w:t>
      </w:r>
      <w:r w:rsidR="00BD16ED" w:rsidRPr="00315BD2">
        <w:rPr>
          <w:szCs w:val="24"/>
        </w:rPr>
        <w:t xml:space="preserve">  The effects of higher doses are not known.</w:t>
      </w:r>
    </w:p>
    <w:p w:rsidR="00044570" w:rsidRPr="00315BD2" w:rsidRDefault="00044570" w:rsidP="00CF5E15">
      <w:pPr>
        <w:rPr>
          <w:szCs w:val="24"/>
        </w:rPr>
      </w:pPr>
    </w:p>
    <w:p w:rsidR="00CF5E15" w:rsidRPr="00315BD2" w:rsidRDefault="00EF15A3" w:rsidP="00CF5E15">
      <w:pPr>
        <w:rPr>
          <w:szCs w:val="24"/>
        </w:rPr>
      </w:pPr>
      <w:proofErr w:type="spellStart"/>
      <w:r w:rsidRPr="00315BD2">
        <w:rPr>
          <w:szCs w:val="24"/>
        </w:rPr>
        <w:t>H</w:t>
      </w:r>
      <w:r w:rsidR="00B217A0" w:rsidRPr="00315BD2">
        <w:rPr>
          <w:szCs w:val="24"/>
        </w:rPr>
        <w:t>a</w:t>
      </w:r>
      <w:r w:rsidRPr="00315BD2">
        <w:rPr>
          <w:szCs w:val="24"/>
        </w:rPr>
        <w:t>emodialysis</w:t>
      </w:r>
      <w:proofErr w:type="spellEnd"/>
      <w:r w:rsidRPr="00315BD2">
        <w:rPr>
          <w:szCs w:val="24"/>
        </w:rPr>
        <w:t xml:space="preserve"> treatment removes approximately 30% of the </w:t>
      </w:r>
      <w:proofErr w:type="spellStart"/>
      <w:r w:rsidRPr="00315BD2">
        <w:rPr>
          <w:szCs w:val="24"/>
        </w:rPr>
        <w:t>emtricitabine</w:t>
      </w:r>
      <w:proofErr w:type="spellEnd"/>
      <w:r w:rsidRPr="00315BD2">
        <w:rPr>
          <w:szCs w:val="24"/>
        </w:rPr>
        <w:t xml:space="preserve"> dose over a 3-hour dialysis period starting within 1.5 hours of </w:t>
      </w:r>
      <w:proofErr w:type="spellStart"/>
      <w:r w:rsidRPr="00315BD2">
        <w:rPr>
          <w:szCs w:val="24"/>
        </w:rPr>
        <w:t>emtricitabine</w:t>
      </w:r>
      <w:proofErr w:type="spellEnd"/>
      <w:r w:rsidRPr="00315BD2">
        <w:rPr>
          <w:szCs w:val="24"/>
        </w:rPr>
        <w:t xml:space="preserve"> dosing (blood flow rate of 400 mL/min and a dialysate flow rate of 600 mL/min).  It is not known whether </w:t>
      </w:r>
      <w:proofErr w:type="spellStart"/>
      <w:r w:rsidRPr="00315BD2">
        <w:rPr>
          <w:szCs w:val="24"/>
        </w:rPr>
        <w:t>emtricitabine</w:t>
      </w:r>
      <w:proofErr w:type="spellEnd"/>
      <w:r w:rsidRPr="00315BD2">
        <w:rPr>
          <w:szCs w:val="24"/>
        </w:rPr>
        <w:t xml:space="preserve"> can be removed by peritoneal dialysis.</w:t>
      </w:r>
    </w:p>
    <w:p w:rsidR="0064484A" w:rsidRPr="00315BD2" w:rsidRDefault="0064484A" w:rsidP="008822C6">
      <w:pPr>
        <w:rPr>
          <w:bCs/>
          <w:szCs w:val="24"/>
        </w:rPr>
      </w:pPr>
    </w:p>
    <w:p w:rsidR="00044570" w:rsidRPr="00F509F7" w:rsidRDefault="0064484A" w:rsidP="00CF5E15">
      <w:pPr>
        <w:pStyle w:val="Heading3"/>
        <w:jc w:val="both"/>
        <w:rPr>
          <w:rFonts w:ascii="Times New Roman" w:hAnsi="Times New Roman"/>
          <w:i w:val="0"/>
          <w:sz w:val="24"/>
          <w:szCs w:val="24"/>
          <w:lang w:val="en-US"/>
        </w:rPr>
      </w:pPr>
      <w:r w:rsidRPr="00F509F7">
        <w:rPr>
          <w:rFonts w:ascii="Times New Roman" w:hAnsi="Times New Roman"/>
          <w:i w:val="0"/>
          <w:sz w:val="24"/>
          <w:szCs w:val="24"/>
          <w:lang w:val="en-US"/>
        </w:rPr>
        <w:lastRenderedPageBreak/>
        <w:t>PRESENTATION</w:t>
      </w:r>
      <w:r w:rsidR="00DC7153" w:rsidRPr="00F509F7">
        <w:rPr>
          <w:rFonts w:ascii="Times New Roman" w:hAnsi="Times New Roman"/>
          <w:i w:val="0"/>
          <w:sz w:val="24"/>
          <w:szCs w:val="24"/>
          <w:lang w:val="en-US"/>
        </w:rPr>
        <w:t xml:space="preserve"> AND STORAGE CONDITIONS</w:t>
      </w:r>
    </w:p>
    <w:p w:rsidR="0064484A" w:rsidRPr="00315BD2" w:rsidRDefault="0064484A" w:rsidP="0064484A">
      <w:pPr>
        <w:rPr>
          <w:szCs w:val="24"/>
        </w:rPr>
      </w:pPr>
    </w:p>
    <w:p w:rsidR="00144322" w:rsidRPr="00315BD2" w:rsidRDefault="00DB3D2B" w:rsidP="00CF5E15">
      <w:pPr>
        <w:rPr>
          <w:szCs w:val="24"/>
        </w:rPr>
      </w:pPr>
      <w:r w:rsidRPr="00315BD2">
        <w:rPr>
          <w:szCs w:val="24"/>
        </w:rPr>
        <w:t>TR</w:t>
      </w:r>
      <w:r w:rsidR="00F127DD" w:rsidRPr="00315BD2">
        <w:rPr>
          <w:szCs w:val="24"/>
        </w:rPr>
        <w:t>UVADA</w:t>
      </w:r>
      <w:r w:rsidRPr="00315BD2">
        <w:rPr>
          <w:szCs w:val="24"/>
        </w:rPr>
        <w:t xml:space="preserve"> is available as tablets.  Each tablet contains 300 mg </w:t>
      </w:r>
      <w:proofErr w:type="spellStart"/>
      <w:r w:rsidRPr="00315BD2">
        <w:rPr>
          <w:szCs w:val="24"/>
        </w:rPr>
        <w:t>tenofovir</w:t>
      </w:r>
      <w:proofErr w:type="spellEnd"/>
      <w:r w:rsidRPr="00315BD2">
        <w:rPr>
          <w:szCs w:val="24"/>
        </w:rPr>
        <w:t xml:space="preserve"> </w:t>
      </w:r>
      <w:proofErr w:type="spellStart"/>
      <w:r w:rsidRPr="00315BD2">
        <w:rPr>
          <w:szCs w:val="24"/>
        </w:rPr>
        <w:t>disoproxil</w:t>
      </w:r>
      <w:proofErr w:type="spellEnd"/>
      <w:r w:rsidRPr="00315BD2">
        <w:rPr>
          <w:szCs w:val="24"/>
        </w:rPr>
        <w:t xml:space="preserve"> fumarate (which is equivalent to 245 mg of </w:t>
      </w:r>
      <w:proofErr w:type="spellStart"/>
      <w:r w:rsidRPr="00315BD2">
        <w:rPr>
          <w:szCs w:val="24"/>
        </w:rPr>
        <w:t>tenofovir</w:t>
      </w:r>
      <w:proofErr w:type="spellEnd"/>
      <w:r w:rsidRPr="00315BD2">
        <w:rPr>
          <w:szCs w:val="24"/>
        </w:rPr>
        <w:t xml:space="preserve"> </w:t>
      </w:r>
      <w:proofErr w:type="spellStart"/>
      <w:r w:rsidRPr="00315BD2">
        <w:rPr>
          <w:szCs w:val="24"/>
        </w:rPr>
        <w:t>disoproxil</w:t>
      </w:r>
      <w:proofErr w:type="spellEnd"/>
      <w:r w:rsidRPr="00315BD2">
        <w:rPr>
          <w:szCs w:val="24"/>
        </w:rPr>
        <w:t>), and 200 mg</w:t>
      </w:r>
      <w:r w:rsidR="0087656C" w:rsidRPr="00315BD2">
        <w:rPr>
          <w:szCs w:val="24"/>
        </w:rPr>
        <w:t xml:space="preserve"> </w:t>
      </w:r>
      <w:proofErr w:type="spellStart"/>
      <w:r w:rsidRPr="00315BD2">
        <w:rPr>
          <w:szCs w:val="24"/>
        </w:rPr>
        <w:t>emtricitabine</w:t>
      </w:r>
      <w:proofErr w:type="spellEnd"/>
      <w:r w:rsidRPr="00315BD2">
        <w:rPr>
          <w:szCs w:val="24"/>
        </w:rPr>
        <w:t xml:space="preserve">.  The tablets are blue, capsule-shaped, film-coated, debossed with “GILEAD” on one side and with “701” on the other side.  </w:t>
      </w:r>
    </w:p>
    <w:p w:rsidR="0064484A" w:rsidRPr="00315BD2" w:rsidRDefault="0064484A" w:rsidP="00CF5E15">
      <w:pPr>
        <w:rPr>
          <w:szCs w:val="24"/>
        </w:rPr>
      </w:pPr>
    </w:p>
    <w:p w:rsidR="00FA3CA5" w:rsidRPr="00315BD2" w:rsidRDefault="00144322" w:rsidP="00CF5E15">
      <w:pPr>
        <w:rPr>
          <w:szCs w:val="24"/>
        </w:rPr>
      </w:pPr>
      <w:r w:rsidRPr="00315BD2">
        <w:rPr>
          <w:szCs w:val="24"/>
        </w:rPr>
        <w:t>TRUVADA is supplied in high density polyethylene (HDPE) bottles containing</w:t>
      </w:r>
      <w:r w:rsidR="00DB3D2B" w:rsidRPr="00315BD2">
        <w:rPr>
          <w:szCs w:val="24"/>
        </w:rPr>
        <w:t xml:space="preserve"> 30 tablets and a desiccant (silica gel canister or sachet) and is closed with </w:t>
      </w:r>
      <w:r w:rsidR="00406E51" w:rsidRPr="00315BD2">
        <w:rPr>
          <w:szCs w:val="24"/>
        </w:rPr>
        <w:t xml:space="preserve">a </w:t>
      </w:r>
      <w:r w:rsidR="0029502C" w:rsidRPr="00315BD2">
        <w:rPr>
          <w:szCs w:val="24"/>
        </w:rPr>
        <w:t>screw cap</w:t>
      </w:r>
      <w:r w:rsidR="00DB3D2B" w:rsidRPr="00315BD2">
        <w:rPr>
          <w:szCs w:val="24"/>
        </w:rPr>
        <w:t xml:space="preserve"> closure.</w:t>
      </w:r>
    </w:p>
    <w:p w:rsidR="00DB3D2B" w:rsidRPr="00315BD2" w:rsidRDefault="00DB3D2B" w:rsidP="00CF5E15">
      <w:pPr>
        <w:rPr>
          <w:szCs w:val="24"/>
        </w:rPr>
      </w:pPr>
    </w:p>
    <w:p w:rsidR="00DC7153" w:rsidRPr="00315BD2" w:rsidRDefault="00DC7153" w:rsidP="00CF5E15">
      <w:pPr>
        <w:rPr>
          <w:szCs w:val="24"/>
        </w:rPr>
      </w:pPr>
      <w:r w:rsidRPr="00315BD2">
        <w:rPr>
          <w:szCs w:val="24"/>
        </w:rPr>
        <w:t xml:space="preserve">Store below </w:t>
      </w:r>
      <w:r w:rsidR="00B9174C">
        <w:rPr>
          <w:szCs w:val="24"/>
        </w:rPr>
        <w:t>25</w:t>
      </w:r>
      <w:r w:rsidR="007421A5" w:rsidRPr="00315BD2">
        <w:rPr>
          <w:szCs w:val="24"/>
        </w:rPr>
        <w:t xml:space="preserve"> </w:t>
      </w:r>
      <w:r w:rsidRPr="00315BD2">
        <w:rPr>
          <w:szCs w:val="24"/>
        </w:rPr>
        <w:sym w:font="Symbol" w:char="F0B0"/>
      </w:r>
      <w:r w:rsidRPr="00315BD2">
        <w:rPr>
          <w:szCs w:val="24"/>
        </w:rPr>
        <w:t>C.</w:t>
      </w:r>
    </w:p>
    <w:p w:rsidR="00FA3CA5" w:rsidRPr="00315BD2" w:rsidRDefault="00FA3CA5" w:rsidP="0064484A">
      <w:pPr>
        <w:rPr>
          <w:szCs w:val="24"/>
        </w:rPr>
      </w:pPr>
    </w:p>
    <w:p w:rsidR="007F553A" w:rsidRPr="00315BD2" w:rsidRDefault="0064484A" w:rsidP="0064484A">
      <w:pPr>
        <w:rPr>
          <w:b/>
          <w:color w:val="000000"/>
          <w:szCs w:val="24"/>
        </w:rPr>
      </w:pPr>
      <w:r w:rsidRPr="00315BD2">
        <w:rPr>
          <w:b/>
          <w:color w:val="000000"/>
          <w:szCs w:val="24"/>
        </w:rPr>
        <w:t>NAME AND ADDRESS OF THE SPONSOR:</w:t>
      </w:r>
    </w:p>
    <w:p w:rsidR="002B138C" w:rsidRPr="00315BD2" w:rsidRDefault="002B138C" w:rsidP="002B138C">
      <w:pPr>
        <w:ind w:left="567" w:right="1829" w:hanging="567"/>
        <w:rPr>
          <w:color w:val="000000"/>
          <w:szCs w:val="24"/>
        </w:rPr>
      </w:pPr>
    </w:p>
    <w:p w:rsidR="002B138C" w:rsidRPr="00315BD2" w:rsidRDefault="002B138C" w:rsidP="002B138C">
      <w:pPr>
        <w:rPr>
          <w:szCs w:val="24"/>
        </w:rPr>
      </w:pPr>
      <w:r w:rsidRPr="00315BD2">
        <w:rPr>
          <w:szCs w:val="24"/>
        </w:rPr>
        <w:t xml:space="preserve">Gilead Sciences Pty </w:t>
      </w:r>
      <w:r w:rsidR="00DA5725" w:rsidRPr="00315BD2">
        <w:rPr>
          <w:szCs w:val="24"/>
        </w:rPr>
        <w:t>Ltd</w:t>
      </w:r>
    </w:p>
    <w:p w:rsidR="002B138C" w:rsidRDefault="00864D46" w:rsidP="002B138C">
      <w:pPr>
        <w:rPr>
          <w:szCs w:val="24"/>
        </w:rPr>
      </w:pPr>
      <w:r>
        <w:rPr>
          <w:szCs w:val="24"/>
        </w:rPr>
        <w:t>Level 6, 417 St Kilda Road</w:t>
      </w:r>
    </w:p>
    <w:p w:rsidR="00864D46" w:rsidRPr="00315BD2" w:rsidRDefault="00864D46" w:rsidP="002B138C">
      <w:pPr>
        <w:rPr>
          <w:szCs w:val="24"/>
        </w:rPr>
      </w:pPr>
      <w:r>
        <w:rPr>
          <w:szCs w:val="24"/>
        </w:rPr>
        <w:t>Melbourne, Victoria 3004</w:t>
      </w:r>
    </w:p>
    <w:p w:rsidR="0064484A" w:rsidRPr="00315BD2" w:rsidRDefault="0064484A" w:rsidP="00CF5E15">
      <w:pPr>
        <w:rPr>
          <w:b/>
          <w:color w:val="000000"/>
          <w:szCs w:val="24"/>
        </w:rPr>
      </w:pPr>
    </w:p>
    <w:p w:rsidR="00DC7153" w:rsidRPr="00F509F7" w:rsidRDefault="00DC7153" w:rsidP="00DC7153">
      <w:pPr>
        <w:pStyle w:val="Heading3"/>
        <w:jc w:val="both"/>
        <w:rPr>
          <w:rFonts w:ascii="Times New Roman" w:hAnsi="Times New Roman"/>
          <w:i w:val="0"/>
          <w:sz w:val="24"/>
          <w:szCs w:val="24"/>
          <w:lang w:val="en-US"/>
        </w:rPr>
      </w:pPr>
      <w:r w:rsidRPr="00F509F7">
        <w:rPr>
          <w:rFonts w:ascii="Times New Roman" w:hAnsi="Times New Roman"/>
          <w:i w:val="0"/>
          <w:sz w:val="24"/>
          <w:szCs w:val="24"/>
          <w:lang w:val="en-US"/>
        </w:rPr>
        <w:t>POISONS SCHEDULE OF THE DRUG: S4</w:t>
      </w:r>
    </w:p>
    <w:p w:rsidR="00DC7153" w:rsidRPr="00315BD2" w:rsidRDefault="00DC7153" w:rsidP="00CF5E15">
      <w:pPr>
        <w:rPr>
          <w:b/>
          <w:color w:val="000000"/>
          <w:szCs w:val="24"/>
        </w:rPr>
      </w:pPr>
    </w:p>
    <w:p w:rsidR="00775F1A" w:rsidRPr="00315BD2" w:rsidRDefault="002F0485" w:rsidP="00CF5E15">
      <w:pPr>
        <w:rPr>
          <w:szCs w:val="24"/>
        </w:rPr>
      </w:pPr>
      <w:r w:rsidRPr="00DA1A6C">
        <w:rPr>
          <w:b/>
          <w:szCs w:val="24"/>
        </w:rPr>
        <w:t>Date of first inclusion on the ARTG</w:t>
      </w:r>
      <w:r>
        <w:rPr>
          <w:szCs w:val="24"/>
        </w:rPr>
        <w:t>: 22 September 2005</w:t>
      </w:r>
    </w:p>
    <w:p w:rsidR="007421A5" w:rsidRPr="00315BD2" w:rsidRDefault="007421A5" w:rsidP="00CF05D6">
      <w:pPr>
        <w:tabs>
          <w:tab w:val="left" w:pos="7860"/>
        </w:tabs>
        <w:rPr>
          <w:szCs w:val="24"/>
        </w:rPr>
      </w:pPr>
      <w:r w:rsidRPr="00DA1A6C">
        <w:rPr>
          <w:b/>
          <w:szCs w:val="24"/>
        </w:rPr>
        <w:t>Date of most recent amendment</w:t>
      </w:r>
      <w:r w:rsidRPr="00315BD2">
        <w:rPr>
          <w:szCs w:val="24"/>
        </w:rPr>
        <w:t>:</w:t>
      </w:r>
      <w:r w:rsidR="00B9174C">
        <w:rPr>
          <w:szCs w:val="24"/>
        </w:rPr>
        <w:t xml:space="preserve"> </w:t>
      </w:r>
      <w:r w:rsidR="00081202">
        <w:rPr>
          <w:szCs w:val="24"/>
        </w:rPr>
        <w:t xml:space="preserve"> </w:t>
      </w:r>
      <w:r w:rsidR="00FA0274">
        <w:rPr>
          <w:szCs w:val="24"/>
        </w:rPr>
        <w:t>2 May 2016</w:t>
      </w:r>
    </w:p>
    <w:p w:rsidR="009821FE" w:rsidRPr="00315BD2" w:rsidRDefault="009821FE" w:rsidP="00CF5E15">
      <w:pPr>
        <w:rPr>
          <w:szCs w:val="24"/>
        </w:rPr>
      </w:pPr>
    </w:p>
    <w:p w:rsidR="00132382" w:rsidRPr="00E94CBD" w:rsidRDefault="00132382" w:rsidP="00132382">
      <w:pPr>
        <w:rPr>
          <w:szCs w:val="24"/>
        </w:rPr>
      </w:pPr>
    </w:p>
    <w:p w:rsidR="00805872" w:rsidRPr="005B161B" w:rsidRDefault="00805872" w:rsidP="00805872">
      <w:pPr>
        <w:autoSpaceDE w:val="0"/>
        <w:autoSpaceDN w:val="0"/>
        <w:adjustRightInd w:val="0"/>
        <w:rPr>
          <w:sz w:val="20"/>
        </w:rPr>
      </w:pPr>
      <w:r w:rsidRPr="005B161B">
        <w:rPr>
          <w:snapToGrid w:val="0"/>
          <w:sz w:val="20"/>
        </w:rPr>
        <w:t>VIREAD, EMTRIVA, TRUVADA</w:t>
      </w:r>
      <w:r w:rsidR="0006126C" w:rsidRPr="005B161B">
        <w:rPr>
          <w:snapToGrid w:val="0"/>
          <w:sz w:val="20"/>
        </w:rPr>
        <w:t>, EVIPLERA</w:t>
      </w:r>
      <w:r w:rsidR="00F93939" w:rsidRPr="005B161B">
        <w:rPr>
          <w:snapToGrid w:val="0"/>
          <w:sz w:val="20"/>
        </w:rPr>
        <w:t xml:space="preserve">, </w:t>
      </w:r>
      <w:r w:rsidR="00F74770">
        <w:rPr>
          <w:snapToGrid w:val="0"/>
          <w:sz w:val="20"/>
        </w:rPr>
        <w:t xml:space="preserve">and </w:t>
      </w:r>
      <w:r w:rsidR="000568EB" w:rsidRPr="005B161B">
        <w:rPr>
          <w:snapToGrid w:val="0"/>
          <w:sz w:val="20"/>
        </w:rPr>
        <w:t>STRIBILD</w:t>
      </w:r>
      <w:r w:rsidR="00F74770">
        <w:rPr>
          <w:snapToGrid w:val="0"/>
          <w:sz w:val="20"/>
        </w:rPr>
        <w:t xml:space="preserve"> </w:t>
      </w:r>
      <w:r w:rsidRPr="005B161B">
        <w:rPr>
          <w:snapToGrid w:val="0"/>
          <w:sz w:val="20"/>
        </w:rPr>
        <w:t xml:space="preserve">are registered trademarks of Gilead Sciences, Inc.  </w:t>
      </w:r>
      <w:r w:rsidRPr="005B161B">
        <w:rPr>
          <w:sz w:val="20"/>
        </w:rPr>
        <w:t xml:space="preserve">ATRIPLA is a trademark of Bristol-Myers Squibb &amp; Gilead Sciences, LLC. </w:t>
      </w:r>
      <w:r w:rsidRPr="005B161B">
        <w:rPr>
          <w:snapToGrid w:val="0"/>
          <w:sz w:val="20"/>
        </w:rPr>
        <w:t xml:space="preserve">Other brands listed are trademarks of their respective owners and are not trademarks of Gilead Sciences, </w:t>
      </w:r>
      <w:proofErr w:type="spellStart"/>
      <w:r w:rsidRPr="005B161B">
        <w:rPr>
          <w:snapToGrid w:val="0"/>
          <w:sz w:val="20"/>
        </w:rPr>
        <w:t>Inc</w:t>
      </w:r>
      <w:proofErr w:type="spellEnd"/>
      <w:r w:rsidRPr="005B161B">
        <w:rPr>
          <w:snapToGrid w:val="0"/>
          <w:sz w:val="20"/>
        </w:rPr>
        <w:t>, or</w:t>
      </w:r>
      <w:r w:rsidRPr="005B161B">
        <w:rPr>
          <w:sz w:val="20"/>
        </w:rPr>
        <w:t xml:space="preserve"> Bristol-Myers Squibb &amp; Gilead Sciences, LLC.</w:t>
      </w:r>
    </w:p>
    <w:p w:rsidR="00132382" w:rsidRPr="00E94CBD" w:rsidRDefault="00132382" w:rsidP="00132382">
      <w:pPr>
        <w:rPr>
          <w:szCs w:val="24"/>
        </w:rPr>
      </w:pPr>
    </w:p>
    <w:p w:rsidR="00132382" w:rsidRPr="00E94CBD" w:rsidRDefault="00132382" w:rsidP="00132382">
      <w:pPr>
        <w:rPr>
          <w:szCs w:val="24"/>
        </w:rPr>
      </w:pPr>
    </w:p>
    <w:p w:rsidR="00132382" w:rsidRPr="00E94CBD" w:rsidRDefault="00132382" w:rsidP="00132382">
      <w:pPr>
        <w:rPr>
          <w:szCs w:val="24"/>
        </w:rPr>
      </w:pPr>
    </w:p>
    <w:p w:rsidR="00D025A9" w:rsidRDefault="00D025A9" w:rsidP="0067758A">
      <w:pPr>
        <w:spacing w:before="120" w:after="120"/>
        <w:sectPr w:rsidR="00D025A9" w:rsidSect="00F14E84">
          <w:pgSz w:w="12240" w:h="15840" w:code="1"/>
          <w:pgMar w:top="1134" w:right="1418" w:bottom="1418" w:left="1418" w:header="720" w:footer="720" w:gutter="0"/>
          <w:cols w:space="720"/>
          <w:noEndnote/>
        </w:sectPr>
      </w:pPr>
    </w:p>
    <w:p w:rsidR="00DB1ABC" w:rsidRPr="00E7636B" w:rsidRDefault="00DB1ABC" w:rsidP="0067758A">
      <w:pPr>
        <w:spacing w:before="120" w:after="120"/>
      </w:pPr>
    </w:p>
    <w:sectPr w:rsidR="00DB1ABC" w:rsidRPr="00E7636B" w:rsidSect="000756A8">
      <w:footerReference w:type="default" r:id="rId16"/>
      <w:type w:val="continuous"/>
      <w:pgSz w:w="12240" w:h="15840" w:code="1"/>
      <w:pgMar w:top="851" w:right="851" w:bottom="1134" w:left="851" w:header="720" w:footer="720" w:gutter="0"/>
      <w:pgNumType w:start="1"/>
      <w:cols w:num="3" w:space="35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AA" w:rsidRDefault="007D3EAA">
      <w:r>
        <w:separator/>
      </w:r>
    </w:p>
  </w:endnote>
  <w:endnote w:type="continuationSeparator" w:id="0">
    <w:p w:rsidR="007D3EAA" w:rsidRDefault="007D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auto"/>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54" w:rsidRPr="00E7636B" w:rsidRDefault="00767354" w:rsidP="00AD4ABA">
    <w:pPr>
      <w:pStyle w:val="Footer"/>
      <w:jc w:val="right"/>
      <w:rPr>
        <w:rStyle w:val="PageNumber"/>
        <w:sz w:val="20"/>
      </w:rPr>
    </w:pPr>
    <w:r w:rsidRPr="00E7636B">
      <w:rPr>
        <w:rStyle w:val="PageNumber"/>
        <w:sz w:val="20"/>
      </w:rPr>
      <w:t xml:space="preserve">Page </w:t>
    </w:r>
    <w:r w:rsidRPr="00E7636B">
      <w:rPr>
        <w:rStyle w:val="PageNumber"/>
        <w:sz w:val="20"/>
      </w:rPr>
      <w:fldChar w:fldCharType="begin"/>
    </w:r>
    <w:r w:rsidRPr="00E7636B">
      <w:rPr>
        <w:rStyle w:val="PageNumber"/>
        <w:sz w:val="20"/>
      </w:rPr>
      <w:instrText xml:space="preserve"> PAGE </w:instrText>
    </w:r>
    <w:r w:rsidRPr="00E7636B">
      <w:rPr>
        <w:rStyle w:val="PageNumber"/>
        <w:sz w:val="20"/>
      </w:rPr>
      <w:fldChar w:fldCharType="separate"/>
    </w:r>
    <w:r w:rsidR="00BD577A">
      <w:rPr>
        <w:rStyle w:val="PageNumber"/>
        <w:noProof/>
        <w:sz w:val="20"/>
      </w:rPr>
      <w:t>45</w:t>
    </w:r>
    <w:r w:rsidRPr="00E7636B">
      <w:rPr>
        <w:rStyle w:val="PageNumber"/>
        <w:sz w:val="20"/>
      </w:rPr>
      <w:fldChar w:fldCharType="end"/>
    </w:r>
  </w:p>
  <w:p w:rsidR="00767354" w:rsidRPr="00E7636B" w:rsidRDefault="00767354" w:rsidP="00AD4ABA">
    <w:pPr>
      <w:pStyle w:val="Footer"/>
      <w:jc w:val="center"/>
      <w:rPr>
        <w:sz w:val="20"/>
      </w:rPr>
    </w:pPr>
    <w:proofErr w:type="spellStart"/>
    <w:r w:rsidRPr="00E7636B">
      <w:rPr>
        <w:sz w:val="20"/>
      </w:rPr>
      <w:t>Truvada</w:t>
    </w:r>
    <w:proofErr w:type="spellEnd"/>
    <w:r w:rsidRPr="00E7636B">
      <w:rPr>
        <w:sz w:val="20"/>
      </w:rPr>
      <w:t xml:space="preserve"> Product Information</w:t>
    </w:r>
    <w:r w:rsidR="00973AC4">
      <w:rPr>
        <w:sz w:val="20"/>
      </w:rPr>
      <w:t xml:space="preserve"> V.</w:t>
    </w:r>
    <w:r w:rsidR="00754093">
      <w:rPr>
        <w:sz w:val="20"/>
      </w:rPr>
      <w:t xml:space="preserve">15 </w:t>
    </w:r>
    <w:r w:rsidR="00973AC4">
      <w:rPr>
        <w:sz w:val="20"/>
      </w:rPr>
      <w:t>(</w:t>
    </w:r>
    <w:r w:rsidR="00FA0274">
      <w:rPr>
        <w:sz w:val="20"/>
      </w:rPr>
      <w:t xml:space="preserve">2 May </w:t>
    </w:r>
    <w:r w:rsidR="00754093">
      <w:rPr>
        <w:sz w:val="20"/>
      </w:rPr>
      <w:t>2016</w:t>
    </w:r>
    <w:r w:rsidR="00973AC4">
      <w:rPr>
        <w:sz w:val="20"/>
      </w:rPr>
      <w:t>)</w:t>
    </w:r>
  </w:p>
  <w:p w:rsidR="00767354" w:rsidRDefault="00767354">
    <w:pPr>
      <w:pStyle w:val="Footer"/>
      <w:tabs>
        <w:tab w:val="right" w:pos="8910"/>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B5" w:rsidRPr="00C31AC8" w:rsidRDefault="00B819B5">
    <w:pPr>
      <w:pStyle w:val="Footer"/>
      <w:jc w:val="center"/>
      <w:rPr>
        <w:szCs w:val="22"/>
      </w:rPr>
    </w:pPr>
    <w:r w:rsidRPr="009E7770">
      <w:rPr>
        <w:szCs w:val="22"/>
      </w:rPr>
      <w:t xml:space="preserve">                                                      </w:t>
    </w:r>
    <w:r w:rsidRPr="00C31AC8">
      <w:rPr>
        <w:szCs w:val="22"/>
      </w:rPr>
      <w:t xml:space="preserve"> </w:t>
    </w:r>
    <w:proofErr w:type="spellStart"/>
    <w:r w:rsidR="00B066CE" w:rsidRPr="00C31AC8">
      <w:rPr>
        <w:szCs w:val="22"/>
      </w:rPr>
      <w:t>T</w:t>
    </w:r>
    <w:r w:rsidRPr="00C31AC8">
      <w:rPr>
        <w:szCs w:val="22"/>
      </w:rPr>
      <w:t>ruvada</w:t>
    </w:r>
    <w:proofErr w:type="spellEnd"/>
    <w:r w:rsidRPr="00C31AC8">
      <w:rPr>
        <w:szCs w:val="22"/>
      </w:rPr>
      <w:t xml:space="preserve"> CMI V.</w:t>
    </w:r>
    <w:r w:rsidR="00B066CE" w:rsidRPr="00C31AC8">
      <w:rPr>
        <w:szCs w:val="22"/>
      </w:rPr>
      <w:t>1</w:t>
    </w:r>
    <w:r w:rsidR="009E7770" w:rsidRPr="00C31AC8">
      <w:rPr>
        <w:szCs w:val="22"/>
      </w:rPr>
      <w:t>1</w:t>
    </w:r>
    <w:r w:rsidRPr="00C31AC8">
      <w:rPr>
        <w:szCs w:val="22"/>
      </w:rPr>
      <w:t xml:space="preserve"> </w:t>
    </w:r>
    <w:r w:rsidR="00B066CE" w:rsidRPr="00C31AC8">
      <w:rPr>
        <w:szCs w:val="22"/>
      </w:rPr>
      <w:t>(</w:t>
    </w:r>
    <w:r w:rsidR="00D61709">
      <w:rPr>
        <w:szCs w:val="22"/>
      </w:rPr>
      <w:t>12 January 2015</w:t>
    </w:r>
    <w:r w:rsidR="00B066CE" w:rsidRPr="00C31AC8">
      <w:rPr>
        <w:szCs w:val="22"/>
      </w:rPr>
      <w:t>)</w:t>
    </w:r>
    <w:r w:rsidRPr="00C31AC8">
      <w:rPr>
        <w:szCs w:val="22"/>
      </w:rPr>
      <w:t xml:space="preserve">                                     </w:t>
    </w:r>
    <w:r w:rsidR="00132382" w:rsidRPr="00C31AC8">
      <w:rPr>
        <w:szCs w:val="22"/>
      </w:rPr>
      <w:t xml:space="preserve"> Page </w:t>
    </w:r>
    <w:r w:rsidRPr="00C31AC8">
      <w:rPr>
        <w:rStyle w:val="PageNumber"/>
        <w:szCs w:val="22"/>
      </w:rPr>
      <w:fldChar w:fldCharType="begin"/>
    </w:r>
    <w:r w:rsidRPr="00C31AC8">
      <w:rPr>
        <w:rStyle w:val="PageNumber"/>
        <w:szCs w:val="22"/>
      </w:rPr>
      <w:instrText xml:space="preserve"> PAGE </w:instrText>
    </w:r>
    <w:r w:rsidRPr="00C31AC8">
      <w:rPr>
        <w:rStyle w:val="PageNumber"/>
        <w:szCs w:val="22"/>
      </w:rPr>
      <w:fldChar w:fldCharType="separate"/>
    </w:r>
    <w:r w:rsidR="00B66249">
      <w:rPr>
        <w:rStyle w:val="PageNumber"/>
        <w:noProof/>
        <w:szCs w:val="22"/>
      </w:rPr>
      <w:t>1</w:t>
    </w:r>
    <w:r w:rsidRPr="00C31AC8">
      <w:rPr>
        <w:rStyle w:val="PageNumber"/>
        <w:szCs w:val="22"/>
      </w:rPr>
      <w:fldChar w:fldCharType="end"/>
    </w:r>
    <w:r w:rsidRPr="00C31AC8">
      <w:rPr>
        <w:rStyle w:val="PageNumber"/>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AA" w:rsidRDefault="007D3EAA">
      <w:r>
        <w:separator/>
      </w:r>
    </w:p>
  </w:footnote>
  <w:footnote w:type="continuationSeparator" w:id="0">
    <w:p w:rsidR="007D3EAA" w:rsidRDefault="007D3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CD5907" w:rsidTr="009043CF">
      <w:tc>
        <w:tcPr>
          <w:tcW w:w="8720" w:type="dxa"/>
          <w:shd w:val="clear" w:color="auto" w:fill="E4F2E0"/>
        </w:tcPr>
        <w:p w:rsidR="00CD5907" w:rsidRPr="00D361CA" w:rsidRDefault="00CD5907" w:rsidP="00CD5907">
          <w:pPr>
            <w:spacing w:before="40" w:after="40"/>
            <w:jc w:val="left"/>
            <w:rPr>
              <w:b/>
              <w:sz w:val="20"/>
            </w:rPr>
          </w:pPr>
          <w:r w:rsidRPr="00D361CA">
            <w:rPr>
              <w:b/>
              <w:sz w:val="20"/>
            </w:rPr>
            <w:t>Attach</w:t>
          </w:r>
          <w:r>
            <w:rPr>
              <w:b/>
              <w:sz w:val="20"/>
            </w:rPr>
            <w:t xml:space="preserve">ment 1: Product information for </w:t>
          </w:r>
          <w:proofErr w:type="spellStart"/>
          <w:r w:rsidRPr="00CD5907">
            <w:rPr>
              <w:b/>
              <w:sz w:val="20"/>
            </w:rPr>
            <w:t>AusPAR</w:t>
          </w:r>
          <w:proofErr w:type="spellEnd"/>
          <w:r w:rsidRPr="00CD5907">
            <w:rPr>
              <w:b/>
              <w:sz w:val="20"/>
            </w:rPr>
            <w:t xml:space="preserve"> </w:t>
          </w:r>
          <w:proofErr w:type="spellStart"/>
          <w:r w:rsidRPr="00CD5907">
            <w:rPr>
              <w:b/>
              <w:sz w:val="20"/>
            </w:rPr>
            <w:t>Truvada</w:t>
          </w:r>
          <w:proofErr w:type="spellEnd"/>
          <w:r w:rsidRPr="00CD5907">
            <w:rPr>
              <w:b/>
              <w:sz w:val="20"/>
            </w:rPr>
            <w:t xml:space="preserve"> </w:t>
          </w:r>
          <w:proofErr w:type="spellStart"/>
          <w:r w:rsidRPr="00CD5907">
            <w:rPr>
              <w:b/>
              <w:sz w:val="20"/>
            </w:rPr>
            <w:t>Tenofovir</w:t>
          </w:r>
          <w:proofErr w:type="spellEnd"/>
          <w:r w:rsidRPr="00CD5907">
            <w:rPr>
              <w:b/>
              <w:sz w:val="20"/>
            </w:rPr>
            <w:t xml:space="preserve"> </w:t>
          </w:r>
          <w:proofErr w:type="spellStart"/>
          <w:r w:rsidRPr="00CD5907">
            <w:rPr>
              <w:b/>
              <w:sz w:val="20"/>
            </w:rPr>
            <w:t>disoproxil</w:t>
          </w:r>
          <w:proofErr w:type="spellEnd"/>
          <w:r w:rsidRPr="00CD5907">
            <w:rPr>
              <w:b/>
              <w:sz w:val="20"/>
            </w:rPr>
            <w:t xml:space="preserve"> fumarate/</w:t>
          </w:r>
          <w:proofErr w:type="spellStart"/>
          <w:r w:rsidRPr="00CD5907">
            <w:rPr>
              <w:b/>
              <w:sz w:val="20"/>
            </w:rPr>
            <w:t>emtricitabine</w:t>
          </w:r>
          <w:proofErr w:type="spellEnd"/>
          <w:r w:rsidRPr="00CD5907">
            <w:rPr>
              <w:b/>
              <w:sz w:val="20"/>
            </w:rPr>
            <w:t xml:space="preserve"> Gilead Sciences Pty Ltd PM-2015-00411-1-2 Final 10 November 2016</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tc>
    </w:tr>
  </w:tbl>
  <w:p w:rsidR="00CD5907" w:rsidRDefault="00CD5907" w:rsidP="00BD5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DEB8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B66F01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1CCF5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382D416"/>
    <w:lvl w:ilvl="0">
      <w:start w:val="1"/>
      <w:numFmt w:val="decimal"/>
      <w:pStyle w:val="ListNumber2"/>
      <w:lvlText w:val="%1."/>
      <w:lvlJc w:val="left"/>
      <w:pPr>
        <w:tabs>
          <w:tab w:val="num" w:pos="643"/>
        </w:tabs>
        <w:ind w:left="643" w:hanging="360"/>
      </w:pPr>
    </w:lvl>
  </w:abstractNum>
  <w:abstractNum w:abstractNumId="4">
    <w:nsid w:val="FFFFFF80"/>
    <w:multiLevelType w:val="singleLevel"/>
    <w:tmpl w:val="7EF02D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C4C1FB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230A4F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5FA88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268801E"/>
    <w:lvl w:ilvl="0">
      <w:start w:val="1"/>
      <w:numFmt w:val="decimal"/>
      <w:pStyle w:val="ListNumber"/>
      <w:lvlText w:val="%1."/>
      <w:lvlJc w:val="left"/>
      <w:pPr>
        <w:tabs>
          <w:tab w:val="num" w:pos="360"/>
        </w:tabs>
        <w:ind w:left="360" w:hanging="360"/>
      </w:pPr>
    </w:lvl>
  </w:abstractNum>
  <w:abstractNum w:abstractNumId="9">
    <w:nsid w:val="FFFFFF89"/>
    <w:multiLevelType w:val="singleLevel"/>
    <w:tmpl w:val="9D4AB4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513C9"/>
    <w:multiLevelType w:val="hybridMultilevel"/>
    <w:tmpl w:val="FEB86DAC"/>
    <w:lvl w:ilvl="0" w:tplc="846CC7C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016A7E6F"/>
    <w:multiLevelType w:val="hybridMultilevel"/>
    <w:tmpl w:val="748A3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3FD1FCD"/>
    <w:multiLevelType w:val="hybridMultilevel"/>
    <w:tmpl w:val="4BBC00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8583B65"/>
    <w:multiLevelType w:val="hybridMultilevel"/>
    <w:tmpl w:val="CEA42628"/>
    <w:lvl w:ilvl="0" w:tplc="04208BF4">
      <w:start w:val="1"/>
      <w:numFmt w:val="bullet"/>
      <w:pStyle w:val="expldo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D756514"/>
    <w:multiLevelType w:val="hybridMultilevel"/>
    <w:tmpl w:val="F6FA83A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0DBA4C47"/>
    <w:multiLevelType w:val="hybridMultilevel"/>
    <w:tmpl w:val="80CEF5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nsid w:val="0EDB1F18"/>
    <w:multiLevelType w:val="hybridMultilevel"/>
    <w:tmpl w:val="02DC327C"/>
    <w:lvl w:ilvl="0" w:tplc="04090001">
      <w:start w:val="1"/>
      <w:numFmt w:val="bullet"/>
      <w:lvlText w:val=""/>
      <w:lvlJc w:val="left"/>
      <w:pPr>
        <w:tabs>
          <w:tab w:val="num" w:pos="789"/>
        </w:tabs>
        <w:ind w:left="789" w:hanging="360"/>
      </w:pPr>
      <w:rPr>
        <w:rFonts w:ascii="Symbol" w:hAnsi="Symbol" w:hint="default"/>
        <w:spacing w:val="0"/>
      </w:rPr>
    </w:lvl>
    <w:lvl w:ilvl="1" w:tplc="1BB4332C">
      <w:start w:val="1"/>
      <w:numFmt w:val="bullet"/>
      <w:lvlText w:val="•"/>
      <w:lvlJc w:val="left"/>
      <w:pPr>
        <w:tabs>
          <w:tab w:val="num" w:pos="1365"/>
        </w:tabs>
        <w:ind w:left="1365" w:hanging="216"/>
      </w:pPr>
      <w:rPr>
        <w:rFonts w:ascii="Times New Roman" w:hAnsi="Times New Roman" w:hint="default"/>
        <w:spacing w:val="0"/>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18">
    <w:nsid w:val="15656807"/>
    <w:multiLevelType w:val="hybridMultilevel"/>
    <w:tmpl w:val="4794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D12552"/>
    <w:multiLevelType w:val="hybridMultilevel"/>
    <w:tmpl w:val="E83035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A920538"/>
    <w:multiLevelType w:val="hybridMultilevel"/>
    <w:tmpl w:val="66D68FBC"/>
    <w:lvl w:ilvl="0" w:tplc="C4F0A2C0">
      <w:start w:val="1"/>
      <w:numFmt w:val="bullet"/>
      <w:pStyle w:val="instdo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002FEB"/>
    <w:multiLevelType w:val="hybridMultilevel"/>
    <w:tmpl w:val="87E4D6A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1ED92913"/>
    <w:multiLevelType w:val="singleLevel"/>
    <w:tmpl w:val="2D847D28"/>
    <w:lvl w:ilvl="0">
      <w:start w:val="1"/>
      <w:numFmt w:val="bullet"/>
      <w:lvlText w:val=""/>
      <w:lvlJc w:val="left"/>
      <w:pPr>
        <w:tabs>
          <w:tab w:val="num" w:pos="360"/>
        </w:tabs>
        <w:ind w:left="144" w:hanging="144"/>
      </w:pPr>
      <w:rPr>
        <w:rFonts w:ascii="Symbol" w:hAnsi="Symbol" w:hint="default"/>
      </w:rPr>
    </w:lvl>
  </w:abstractNum>
  <w:abstractNum w:abstractNumId="23">
    <w:nsid w:val="1FEA7AFE"/>
    <w:multiLevelType w:val="hybridMultilevel"/>
    <w:tmpl w:val="4992CFAC"/>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01C07BB"/>
    <w:multiLevelType w:val="hybridMultilevel"/>
    <w:tmpl w:val="7740385E"/>
    <w:lvl w:ilvl="0" w:tplc="0C090001">
      <w:start w:val="1"/>
      <w:numFmt w:val="bullet"/>
      <w:lvlText w:val=""/>
      <w:lvlJc w:val="left"/>
      <w:pPr>
        <w:ind w:left="1080" w:hanging="360"/>
      </w:pPr>
      <w:rPr>
        <w:rFonts w:ascii="Symbol" w:hAnsi="Symbol" w:hint="default"/>
      </w:rPr>
    </w:lvl>
    <w:lvl w:ilvl="1" w:tplc="846CC7C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0923A5A"/>
    <w:multiLevelType w:val="singleLevel"/>
    <w:tmpl w:val="B4C806DE"/>
    <w:lvl w:ilvl="0">
      <w:start w:val="1"/>
      <w:numFmt w:val="decimal"/>
      <w:lvlText w:val="%1."/>
      <w:lvlJc w:val="left"/>
      <w:pPr>
        <w:tabs>
          <w:tab w:val="num" w:pos="422"/>
        </w:tabs>
        <w:ind w:left="422" w:hanging="360"/>
      </w:pPr>
      <w:rPr>
        <w:rFonts w:hint="default"/>
      </w:rPr>
    </w:lvl>
  </w:abstractNum>
  <w:abstractNum w:abstractNumId="26">
    <w:nsid w:val="239006CC"/>
    <w:multiLevelType w:val="hybridMultilevel"/>
    <w:tmpl w:val="F786758C"/>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A361D87"/>
    <w:multiLevelType w:val="hybridMultilevel"/>
    <w:tmpl w:val="FB92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5D4D70"/>
    <w:multiLevelType w:val="hybridMultilevel"/>
    <w:tmpl w:val="F2DED5F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C0D2073"/>
    <w:multiLevelType w:val="singleLevel"/>
    <w:tmpl w:val="0409000F"/>
    <w:lvl w:ilvl="0">
      <w:start w:val="1"/>
      <w:numFmt w:val="decimal"/>
      <w:lvlText w:val="%1."/>
      <w:lvlJc w:val="left"/>
      <w:pPr>
        <w:tabs>
          <w:tab w:val="num" w:pos="360"/>
        </w:tabs>
        <w:ind w:left="360" w:hanging="360"/>
      </w:pPr>
    </w:lvl>
  </w:abstractNum>
  <w:abstractNum w:abstractNumId="30">
    <w:nsid w:val="2E03574D"/>
    <w:multiLevelType w:val="singleLevel"/>
    <w:tmpl w:val="74A20524"/>
    <w:lvl w:ilvl="0">
      <w:start w:val="1"/>
      <w:numFmt w:val="decimal"/>
      <w:lvlText w:val="%1."/>
      <w:lvlJc w:val="left"/>
      <w:pPr>
        <w:tabs>
          <w:tab w:val="num" w:pos="720"/>
        </w:tabs>
        <w:ind w:left="720" w:hanging="720"/>
      </w:pPr>
      <w:rPr>
        <w:rFonts w:ascii="Times New Roman" w:hAnsi="Times New Roman" w:cs="Times New Roman" w:hint="default"/>
        <w:sz w:val="20"/>
        <w:szCs w:val="20"/>
        <w:vertAlign w:val="baseline"/>
      </w:rPr>
    </w:lvl>
  </w:abstractNum>
  <w:abstractNum w:abstractNumId="31">
    <w:nsid w:val="2EA5322E"/>
    <w:multiLevelType w:val="singleLevel"/>
    <w:tmpl w:val="F9B07C74"/>
    <w:lvl w:ilvl="0">
      <w:start w:val="1"/>
      <w:numFmt w:val="decimal"/>
      <w:pStyle w:val="Bullet2"/>
      <w:lvlText w:val="%1."/>
      <w:lvlJc w:val="left"/>
      <w:pPr>
        <w:tabs>
          <w:tab w:val="num" w:pos="1134"/>
        </w:tabs>
        <w:ind w:left="1134" w:hanging="1134"/>
      </w:pPr>
    </w:lvl>
  </w:abstractNum>
  <w:abstractNum w:abstractNumId="32">
    <w:nsid w:val="32BE5C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3577604B"/>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3CF82CCF"/>
    <w:multiLevelType w:val="hybridMultilevel"/>
    <w:tmpl w:val="7862C4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3E091223"/>
    <w:multiLevelType w:val="hybridMultilevel"/>
    <w:tmpl w:val="EF423602"/>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3EF33B15"/>
    <w:multiLevelType w:val="hybridMultilevel"/>
    <w:tmpl w:val="2ADEF2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C819B9"/>
    <w:multiLevelType w:val="singleLevel"/>
    <w:tmpl w:val="BB10EAF0"/>
    <w:lvl w:ilvl="0">
      <w:start w:val="1"/>
      <w:numFmt w:val="decimal"/>
      <w:lvlText w:val="%1."/>
      <w:lvlJc w:val="left"/>
      <w:pPr>
        <w:tabs>
          <w:tab w:val="num" w:pos="720"/>
        </w:tabs>
        <w:ind w:left="720" w:hanging="720"/>
      </w:pPr>
      <w:rPr>
        <w:rFonts w:ascii="Times New Roman" w:hAnsi="Times New Roman" w:cs="Times New Roman" w:hint="default"/>
        <w:sz w:val="20"/>
        <w:szCs w:val="20"/>
        <w:vertAlign w:val="baseline"/>
      </w:rPr>
    </w:lvl>
  </w:abstractNum>
  <w:abstractNum w:abstractNumId="38">
    <w:nsid w:val="409F53F9"/>
    <w:multiLevelType w:val="hybridMultilevel"/>
    <w:tmpl w:val="9DB48F2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42A856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436238B6"/>
    <w:multiLevelType w:val="singleLevel"/>
    <w:tmpl w:val="78C0E718"/>
    <w:lvl w:ilvl="0">
      <w:start w:val="1"/>
      <w:numFmt w:val="bullet"/>
      <w:pStyle w:val="Bullet1"/>
      <w:lvlText w:val=""/>
      <w:lvlJc w:val="left"/>
      <w:pPr>
        <w:tabs>
          <w:tab w:val="num" w:pos="360"/>
        </w:tabs>
        <w:ind w:left="360" w:hanging="360"/>
      </w:pPr>
      <w:rPr>
        <w:rFonts w:ascii="Symbol" w:hAnsi="Symbol" w:hint="default"/>
      </w:rPr>
    </w:lvl>
  </w:abstractNum>
  <w:abstractNum w:abstractNumId="41">
    <w:nsid w:val="44ED7C1B"/>
    <w:multiLevelType w:val="hybridMultilevel"/>
    <w:tmpl w:val="770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B174E7"/>
    <w:multiLevelType w:val="hybridMultilevel"/>
    <w:tmpl w:val="40F2D56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50982492"/>
    <w:multiLevelType w:val="hybridMultilevel"/>
    <w:tmpl w:val="39D87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209725B"/>
    <w:multiLevelType w:val="singleLevel"/>
    <w:tmpl w:val="CC126DBC"/>
    <w:lvl w:ilvl="0">
      <w:start w:val="1"/>
      <w:numFmt w:val="decimal"/>
      <w:pStyle w:val="bullet10"/>
      <w:lvlText w:val="%1."/>
      <w:lvlJc w:val="left"/>
      <w:pPr>
        <w:tabs>
          <w:tab w:val="num" w:pos="1134"/>
        </w:tabs>
        <w:ind w:left="1134" w:hanging="1134"/>
      </w:pPr>
    </w:lvl>
  </w:abstractNum>
  <w:abstractNum w:abstractNumId="45">
    <w:nsid w:val="53C86A37"/>
    <w:multiLevelType w:val="hybridMultilevel"/>
    <w:tmpl w:val="2F04192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53CC7CAD"/>
    <w:multiLevelType w:val="hybridMultilevel"/>
    <w:tmpl w:val="AE20767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55653DDC"/>
    <w:multiLevelType w:val="hybridMultilevel"/>
    <w:tmpl w:val="281E4A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58AF7915"/>
    <w:multiLevelType w:val="hybridMultilevel"/>
    <w:tmpl w:val="B7BA013A"/>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5B1D23FE"/>
    <w:multiLevelType w:val="hybridMultilevel"/>
    <w:tmpl w:val="00FAC3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5BC97BAF"/>
    <w:multiLevelType w:val="singleLevel"/>
    <w:tmpl w:val="0409000F"/>
    <w:lvl w:ilvl="0">
      <w:start w:val="1"/>
      <w:numFmt w:val="decimal"/>
      <w:lvlText w:val="%1."/>
      <w:lvlJc w:val="left"/>
      <w:pPr>
        <w:tabs>
          <w:tab w:val="num" w:pos="360"/>
        </w:tabs>
        <w:ind w:left="360" w:hanging="360"/>
      </w:pPr>
    </w:lvl>
  </w:abstractNum>
  <w:abstractNum w:abstractNumId="51">
    <w:nsid w:val="60003BD0"/>
    <w:multiLevelType w:val="hybridMultilevel"/>
    <w:tmpl w:val="B6EE68B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604F7130"/>
    <w:multiLevelType w:val="hybridMultilevel"/>
    <w:tmpl w:val="F684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511F0E"/>
    <w:multiLevelType w:val="hybridMultilevel"/>
    <w:tmpl w:val="2D962B66"/>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4">
    <w:nsid w:val="68E741AE"/>
    <w:multiLevelType w:val="hybridMultilevel"/>
    <w:tmpl w:val="0A34C360"/>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6AE63634"/>
    <w:multiLevelType w:val="hybridMultilevel"/>
    <w:tmpl w:val="31808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B375F32"/>
    <w:multiLevelType w:val="hybridMultilevel"/>
    <w:tmpl w:val="8ADA544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7">
    <w:nsid w:val="6B4D2967"/>
    <w:multiLevelType w:val="hybridMultilevel"/>
    <w:tmpl w:val="669A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59">
    <w:nsid w:val="6E80055D"/>
    <w:multiLevelType w:val="singleLevel"/>
    <w:tmpl w:val="CC043B7C"/>
    <w:lvl w:ilvl="0">
      <w:start w:val="1"/>
      <w:numFmt w:val="decimal"/>
      <w:lvlText w:val="%1."/>
      <w:lvlJc w:val="left"/>
      <w:pPr>
        <w:tabs>
          <w:tab w:val="num" w:pos="447"/>
        </w:tabs>
        <w:ind w:left="447" w:hanging="360"/>
      </w:pPr>
      <w:rPr>
        <w:rFonts w:hint="default"/>
      </w:rPr>
    </w:lvl>
  </w:abstractNum>
  <w:abstractNum w:abstractNumId="60">
    <w:nsid w:val="726D1121"/>
    <w:multiLevelType w:val="hybridMultilevel"/>
    <w:tmpl w:val="4E8254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nsid w:val="727D70DE"/>
    <w:multiLevelType w:val="hybridMultilevel"/>
    <w:tmpl w:val="6BA8A12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nsid w:val="75160C61"/>
    <w:multiLevelType w:val="hybridMultilevel"/>
    <w:tmpl w:val="16D0AEDA"/>
    <w:lvl w:ilvl="0" w:tplc="0952ED9C">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754D5CE8"/>
    <w:multiLevelType w:val="hybridMultilevel"/>
    <w:tmpl w:val="DD6AA79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75DA0FE4"/>
    <w:multiLevelType w:val="hybridMultilevel"/>
    <w:tmpl w:val="8F92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77F0F00"/>
    <w:multiLevelType w:val="hybridMultilevel"/>
    <w:tmpl w:val="297A821C"/>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77BF3471"/>
    <w:multiLevelType w:val="hybridMultilevel"/>
    <w:tmpl w:val="32BCA2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1">
      <w:start w:val="1"/>
      <w:numFmt w:val="bullet"/>
      <w:lvlText w:val=""/>
      <w:lvlJc w:val="left"/>
      <w:pPr>
        <w:tabs>
          <w:tab w:val="num" w:pos="1080"/>
        </w:tabs>
        <w:ind w:left="1080" w:hanging="360"/>
      </w:pPr>
      <w:rPr>
        <w:rFonts w:ascii="Symbol" w:hAnsi="Symbol"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7">
    <w:nsid w:val="7C6213EB"/>
    <w:multiLevelType w:val="hybridMultilevel"/>
    <w:tmpl w:val="0498B4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8">
    <w:nsid w:val="7DE20DBE"/>
    <w:multiLevelType w:val="hybridMultilevel"/>
    <w:tmpl w:val="B762E30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7ED329B1"/>
    <w:multiLevelType w:val="hybridMultilevel"/>
    <w:tmpl w:val="4F56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0F26E0"/>
    <w:multiLevelType w:val="hybridMultilevel"/>
    <w:tmpl w:val="561A978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7FDE3997"/>
    <w:multiLevelType w:val="hybridMultilevel"/>
    <w:tmpl w:val="2856CEA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8"/>
  </w:num>
  <w:num w:numId="12">
    <w:abstractNumId w:val="25"/>
  </w:num>
  <w:num w:numId="13">
    <w:abstractNumId w:val="59"/>
  </w:num>
  <w:num w:numId="14">
    <w:abstractNumId w:val="37"/>
  </w:num>
  <w:num w:numId="15">
    <w:abstractNumId w:val="30"/>
    <w:lvlOverride w:ilvl="0">
      <w:startOverride w:val="1"/>
    </w:lvlOverride>
  </w:num>
  <w:num w:numId="16">
    <w:abstractNumId w:val="29"/>
    <w:lvlOverride w:ilvl="0">
      <w:startOverride w:val="1"/>
    </w:lvlOverride>
  </w:num>
  <w:num w:numId="17">
    <w:abstractNumId w:val="33"/>
    <w:lvlOverride w:ilvl="0">
      <w:startOverride w:val="1"/>
    </w:lvlOverride>
  </w:num>
  <w:num w:numId="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num>
  <w:num w:numId="21">
    <w:abstractNumId w:val="39"/>
  </w:num>
  <w:num w:numId="22">
    <w:abstractNumId w:val="32"/>
  </w:num>
  <w:num w:numId="23">
    <w:abstractNumId w:val="21"/>
  </w:num>
  <w:num w:numId="24">
    <w:abstractNumId w:val="70"/>
  </w:num>
  <w:num w:numId="25">
    <w:abstractNumId w:val="45"/>
  </w:num>
  <w:num w:numId="26">
    <w:abstractNumId w:val="61"/>
  </w:num>
  <w:num w:numId="27">
    <w:abstractNumId w:val="14"/>
  </w:num>
  <w:num w:numId="28">
    <w:abstractNumId w:val="63"/>
  </w:num>
  <w:num w:numId="29">
    <w:abstractNumId w:val="68"/>
  </w:num>
  <w:num w:numId="30">
    <w:abstractNumId w:val="34"/>
  </w:num>
  <w:num w:numId="31">
    <w:abstractNumId w:val="49"/>
  </w:num>
  <w:num w:numId="32">
    <w:abstractNumId w:val="56"/>
  </w:num>
  <w:num w:numId="3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9"/>
  </w:num>
  <w:num w:numId="36">
    <w:abstractNumId w:val="28"/>
  </w:num>
  <w:num w:numId="37">
    <w:abstractNumId w:val="16"/>
  </w:num>
  <w:num w:numId="38">
    <w:abstractNumId w:val="47"/>
  </w:num>
  <w:num w:numId="39">
    <w:abstractNumId w:val="57"/>
  </w:num>
  <w:num w:numId="40">
    <w:abstractNumId w:val="11"/>
  </w:num>
  <w:num w:numId="41">
    <w:abstractNumId w:val="52"/>
  </w:num>
  <w:num w:numId="42">
    <w:abstractNumId w:val="22"/>
  </w:num>
  <w:num w:numId="43">
    <w:abstractNumId w:val="54"/>
  </w:num>
  <w:num w:numId="44">
    <w:abstractNumId w:val="46"/>
  </w:num>
  <w:num w:numId="45">
    <w:abstractNumId w:val="71"/>
  </w:num>
  <w:num w:numId="46">
    <w:abstractNumId w:val="38"/>
  </w:num>
  <w:num w:numId="47">
    <w:abstractNumId w:val="35"/>
  </w:num>
  <w:num w:numId="48">
    <w:abstractNumId w:val="42"/>
  </w:num>
  <w:num w:numId="49">
    <w:abstractNumId w:val="26"/>
  </w:num>
  <w:num w:numId="50">
    <w:abstractNumId w:val="48"/>
  </w:num>
  <w:num w:numId="51">
    <w:abstractNumId w:val="23"/>
  </w:num>
  <w:num w:numId="52">
    <w:abstractNumId w:val="51"/>
  </w:num>
  <w:num w:numId="53">
    <w:abstractNumId w:val="65"/>
  </w:num>
  <w:num w:numId="54">
    <w:abstractNumId w:val="53"/>
  </w:num>
  <w:num w:numId="55">
    <w:abstractNumId w:val="15"/>
  </w:num>
  <w:num w:numId="56">
    <w:abstractNumId w:val="66"/>
  </w:num>
  <w:num w:numId="57">
    <w:abstractNumId w:val="67"/>
  </w:num>
  <w:num w:numId="58">
    <w:abstractNumId w:val="18"/>
  </w:num>
  <w:num w:numId="59">
    <w:abstractNumId w:val="69"/>
  </w:num>
  <w:num w:numId="60">
    <w:abstractNumId w:val="55"/>
  </w:num>
  <w:num w:numId="61">
    <w:abstractNumId w:val="36"/>
  </w:num>
  <w:num w:numId="62">
    <w:abstractNumId w:val="40"/>
  </w:num>
  <w:num w:numId="63">
    <w:abstractNumId w:val="44"/>
  </w:num>
  <w:num w:numId="64">
    <w:abstractNumId w:val="31"/>
  </w:num>
  <w:num w:numId="65">
    <w:abstractNumId w:val="13"/>
  </w:num>
  <w:num w:numId="66">
    <w:abstractNumId w:val="20"/>
  </w:num>
  <w:num w:numId="67">
    <w:abstractNumId w:val="9"/>
  </w:num>
  <w:num w:numId="68">
    <w:abstractNumId w:val="7"/>
  </w:num>
  <w:num w:numId="69">
    <w:abstractNumId w:val="6"/>
  </w:num>
  <w:num w:numId="70">
    <w:abstractNumId w:val="5"/>
  </w:num>
  <w:num w:numId="71">
    <w:abstractNumId w:val="4"/>
  </w:num>
  <w:num w:numId="72">
    <w:abstractNumId w:val="8"/>
  </w:num>
  <w:num w:numId="73">
    <w:abstractNumId w:val="3"/>
  </w:num>
  <w:num w:numId="74">
    <w:abstractNumId w:val="2"/>
  </w:num>
  <w:num w:numId="75">
    <w:abstractNumId w:val="1"/>
  </w:num>
  <w:num w:numId="76">
    <w:abstractNumId w:val="0"/>
  </w:num>
  <w:num w:numId="77">
    <w:abstractNumId w:val="40"/>
  </w:num>
  <w:num w:numId="78">
    <w:abstractNumId w:val="44"/>
  </w:num>
  <w:num w:numId="79">
    <w:abstractNumId w:val="31"/>
  </w:num>
  <w:num w:numId="80">
    <w:abstractNumId w:val="13"/>
  </w:num>
  <w:num w:numId="81">
    <w:abstractNumId w:val="20"/>
  </w:num>
  <w:num w:numId="82">
    <w:abstractNumId w:val="9"/>
  </w:num>
  <w:num w:numId="83">
    <w:abstractNumId w:val="7"/>
  </w:num>
  <w:num w:numId="84">
    <w:abstractNumId w:val="6"/>
  </w:num>
  <w:num w:numId="85">
    <w:abstractNumId w:val="5"/>
  </w:num>
  <w:num w:numId="86">
    <w:abstractNumId w:val="4"/>
  </w:num>
  <w:num w:numId="87">
    <w:abstractNumId w:val="8"/>
  </w:num>
  <w:num w:numId="88">
    <w:abstractNumId w:val="3"/>
  </w:num>
  <w:num w:numId="89">
    <w:abstractNumId w:val="2"/>
  </w:num>
  <w:num w:numId="90">
    <w:abstractNumId w:val="1"/>
  </w:num>
  <w:num w:numId="91">
    <w:abstractNumId w:val="0"/>
  </w:num>
  <w:num w:numId="92">
    <w:abstractNumId w:val="64"/>
  </w:num>
  <w:num w:numId="93">
    <w:abstractNumId w:val="41"/>
  </w:num>
  <w:num w:numId="94">
    <w:abstractNumId w:val="27"/>
  </w:num>
  <w:num w:numId="95">
    <w:abstractNumId w:val="43"/>
  </w:num>
  <w:num w:numId="96">
    <w:abstractNumId w:val="12"/>
  </w:num>
  <w:num w:numId="97">
    <w:abstractNumId w:val="10"/>
  </w:num>
  <w:num w:numId="98">
    <w:abstractNumId w:val="24"/>
  </w:num>
  <w:num w:numId="99">
    <w:abstractNumId w:val="6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43"/>
    <w:rsid w:val="00000DB0"/>
    <w:rsid w:val="000025EA"/>
    <w:rsid w:val="00002FB1"/>
    <w:rsid w:val="00004501"/>
    <w:rsid w:val="00005BD9"/>
    <w:rsid w:val="000068E7"/>
    <w:rsid w:val="00007824"/>
    <w:rsid w:val="00007DAF"/>
    <w:rsid w:val="0001433A"/>
    <w:rsid w:val="00014677"/>
    <w:rsid w:val="00015A5C"/>
    <w:rsid w:val="000169CA"/>
    <w:rsid w:val="00020ACE"/>
    <w:rsid w:val="00021C2B"/>
    <w:rsid w:val="00024DE5"/>
    <w:rsid w:val="00024E08"/>
    <w:rsid w:val="00025A3E"/>
    <w:rsid w:val="000261C8"/>
    <w:rsid w:val="00031DAC"/>
    <w:rsid w:val="0003333A"/>
    <w:rsid w:val="00034CC3"/>
    <w:rsid w:val="000350CB"/>
    <w:rsid w:val="00036FBD"/>
    <w:rsid w:val="00041A2A"/>
    <w:rsid w:val="000425B2"/>
    <w:rsid w:val="0004393E"/>
    <w:rsid w:val="00044570"/>
    <w:rsid w:val="00044F2B"/>
    <w:rsid w:val="00045157"/>
    <w:rsid w:val="000457F3"/>
    <w:rsid w:val="00045C83"/>
    <w:rsid w:val="00046320"/>
    <w:rsid w:val="0004669A"/>
    <w:rsid w:val="0004786E"/>
    <w:rsid w:val="00050A3A"/>
    <w:rsid w:val="00051890"/>
    <w:rsid w:val="00053EAB"/>
    <w:rsid w:val="00053F4E"/>
    <w:rsid w:val="000544EB"/>
    <w:rsid w:val="00054CEB"/>
    <w:rsid w:val="00055AF0"/>
    <w:rsid w:val="000568A7"/>
    <w:rsid w:val="000568EB"/>
    <w:rsid w:val="00056AF5"/>
    <w:rsid w:val="0005720A"/>
    <w:rsid w:val="00060056"/>
    <w:rsid w:val="00060633"/>
    <w:rsid w:val="0006126C"/>
    <w:rsid w:val="00061812"/>
    <w:rsid w:val="000618DB"/>
    <w:rsid w:val="00062CE1"/>
    <w:rsid w:val="00063E22"/>
    <w:rsid w:val="0006452E"/>
    <w:rsid w:val="000653E1"/>
    <w:rsid w:val="0006741C"/>
    <w:rsid w:val="0007025E"/>
    <w:rsid w:val="0007130F"/>
    <w:rsid w:val="000714B0"/>
    <w:rsid w:val="00071704"/>
    <w:rsid w:val="00073D0F"/>
    <w:rsid w:val="000756A8"/>
    <w:rsid w:val="000768EA"/>
    <w:rsid w:val="00076C18"/>
    <w:rsid w:val="00077798"/>
    <w:rsid w:val="00081202"/>
    <w:rsid w:val="0008230E"/>
    <w:rsid w:val="00083AA4"/>
    <w:rsid w:val="00085B90"/>
    <w:rsid w:val="000861BA"/>
    <w:rsid w:val="00086D13"/>
    <w:rsid w:val="00086D89"/>
    <w:rsid w:val="0008796D"/>
    <w:rsid w:val="000951CD"/>
    <w:rsid w:val="0009693A"/>
    <w:rsid w:val="00096C04"/>
    <w:rsid w:val="000A3956"/>
    <w:rsid w:val="000B1807"/>
    <w:rsid w:val="000B523C"/>
    <w:rsid w:val="000B5960"/>
    <w:rsid w:val="000B704A"/>
    <w:rsid w:val="000C2C4E"/>
    <w:rsid w:val="000C4EAC"/>
    <w:rsid w:val="000C618F"/>
    <w:rsid w:val="000C77F1"/>
    <w:rsid w:val="000D1715"/>
    <w:rsid w:val="000D1C93"/>
    <w:rsid w:val="000D1DFD"/>
    <w:rsid w:val="000D5D0D"/>
    <w:rsid w:val="000D5F6B"/>
    <w:rsid w:val="000D6BE0"/>
    <w:rsid w:val="000E7DBC"/>
    <w:rsid w:val="000E7E67"/>
    <w:rsid w:val="000F1AE8"/>
    <w:rsid w:val="000F215E"/>
    <w:rsid w:val="000F3BA7"/>
    <w:rsid w:val="000F4322"/>
    <w:rsid w:val="000F7E9D"/>
    <w:rsid w:val="001007CE"/>
    <w:rsid w:val="00101126"/>
    <w:rsid w:val="00101309"/>
    <w:rsid w:val="001040B8"/>
    <w:rsid w:val="00105646"/>
    <w:rsid w:val="00107118"/>
    <w:rsid w:val="001072EA"/>
    <w:rsid w:val="00107421"/>
    <w:rsid w:val="00111012"/>
    <w:rsid w:val="001150D4"/>
    <w:rsid w:val="001174B4"/>
    <w:rsid w:val="001206B6"/>
    <w:rsid w:val="001213C6"/>
    <w:rsid w:val="00121A98"/>
    <w:rsid w:val="00122D67"/>
    <w:rsid w:val="00122E11"/>
    <w:rsid w:val="0012393B"/>
    <w:rsid w:val="00125402"/>
    <w:rsid w:val="00125985"/>
    <w:rsid w:val="001275B1"/>
    <w:rsid w:val="00130392"/>
    <w:rsid w:val="00130B1E"/>
    <w:rsid w:val="00131768"/>
    <w:rsid w:val="001320B1"/>
    <w:rsid w:val="0013221C"/>
    <w:rsid w:val="00132382"/>
    <w:rsid w:val="0013258A"/>
    <w:rsid w:val="00132C5C"/>
    <w:rsid w:val="00133447"/>
    <w:rsid w:val="00135001"/>
    <w:rsid w:val="00135B48"/>
    <w:rsid w:val="001376A9"/>
    <w:rsid w:val="00144322"/>
    <w:rsid w:val="00151489"/>
    <w:rsid w:val="00153048"/>
    <w:rsid w:val="0015386D"/>
    <w:rsid w:val="00153F93"/>
    <w:rsid w:val="001622F3"/>
    <w:rsid w:val="00162E06"/>
    <w:rsid w:val="001639D7"/>
    <w:rsid w:val="001648E6"/>
    <w:rsid w:val="00165C2F"/>
    <w:rsid w:val="00165EB3"/>
    <w:rsid w:val="00171E4A"/>
    <w:rsid w:val="00174021"/>
    <w:rsid w:val="00175FBA"/>
    <w:rsid w:val="00177684"/>
    <w:rsid w:val="00177D42"/>
    <w:rsid w:val="00181B7D"/>
    <w:rsid w:val="00185E01"/>
    <w:rsid w:val="00187EA0"/>
    <w:rsid w:val="00191ACF"/>
    <w:rsid w:val="001930DC"/>
    <w:rsid w:val="00197A86"/>
    <w:rsid w:val="001A207F"/>
    <w:rsid w:val="001A29CF"/>
    <w:rsid w:val="001A3EEB"/>
    <w:rsid w:val="001A47BA"/>
    <w:rsid w:val="001A5F79"/>
    <w:rsid w:val="001A7BE0"/>
    <w:rsid w:val="001B0299"/>
    <w:rsid w:val="001B0430"/>
    <w:rsid w:val="001B254E"/>
    <w:rsid w:val="001B36ED"/>
    <w:rsid w:val="001B3752"/>
    <w:rsid w:val="001B49BE"/>
    <w:rsid w:val="001B577E"/>
    <w:rsid w:val="001B5B76"/>
    <w:rsid w:val="001B6C67"/>
    <w:rsid w:val="001B75B0"/>
    <w:rsid w:val="001C1E01"/>
    <w:rsid w:val="001C233D"/>
    <w:rsid w:val="001C23A1"/>
    <w:rsid w:val="001C2A04"/>
    <w:rsid w:val="001C359C"/>
    <w:rsid w:val="001C438C"/>
    <w:rsid w:val="001D5057"/>
    <w:rsid w:val="001D546F"/>
    <w:rsid w:val="001D5FA1"/>
    <w:rsid w:val="001E146D"/>
    <w:rsid w:val="001E2D12"/>
    <w:rsid w:val="001E5096"/>
    <w:rsid w:val="001E66BE"/>
    <w:rsid w:val="001E73C3"/>
    <w:rsid w:val="001F08AC"/>
    <w:rsid w:val="001F291B"/>
    <w:rsid w:val="001F3268"/>
    <w:rsid w:val="001F399C"/>
    <w:rsid w:val="001F3A3E"/>
    <w:rsid w:val="001F4E8F"/>
    <w:rsid w:val="001F57AF"/>
    <w:rsid w:val="002029BD"/>
    <w:rsid w:val="00203155"/>
    <w:rsid w:val="0021102D"/>
    <w:rsid w:val="00211372"/>
    <w:rsid w:val="00215155"/>
    <w:rsid w:val="002152A8"/>
    <w:rsid w:val="00224DDC"/>
    <w:rsid w:val="00225ABB"/>
    <w:rsid w:val="00227397"/>
    <w:rsid w:val="00230A50"/>
    <w:rsid w:val="00231550"/>
    <w:rsid w:val="00233AB5"/>
    <w:rsid w:val="002354B4"/>
    <w:rsid w:val="00237F6F"/>
    <w:rsid w:val="00240E9E"/>
    <w:rsid w:val="0024263B"/>
    <w:rsid w:val="00243320"/>
    <w:rsid w:val="00243E77"/>
    <w:rsid w:val="00244A1E"/>
    <w:rsid w:val="00246EC7"/>
    <w:rsid w:val="002479C9"/>
    <w:rsid w:val="00247C8B"/>
    <w:rsid w:val="002507FC"/>
    <w:rsid w:val="0025234C"/>
    <w:rsid w:val="00253293"/>
    <w:rsid w:val="00255DCC"/>
    <w:rsid w:val="00257F47"/>
    <w:rsid w:val="0026019B"/>
    <w:rsid w:val="0026191B"/>
    <w:rsid w:val="002665B4"/>
    <w:rsid w:val="00267E89"/>
    <w:rsid w:val="00272F2B"/>
    <w:rsid w:val="00275FDA"/>
    <w:rsid w:val="0027757D"/>
    <w:rsid w:val="0028012F"/>
    <w:rsid w:val="00280B7D"/>
    <w:rsid w:val="00281BF9"/>
    <w:rsid w:val="00281CDB"/>
    <w:rsid w:val="002821FC"/>
    <w:rsid w:val="00283C7A"/>
    <w:rsid w:val="002840AA"/>
    <w:rsid w:val="002847D7"/>
    <w:rsid w:val="002849D3"/>
    <w:rsid w:val="00284D9D"/>
    <w:rsid w:val="00286B72"/>
    <w:rsid w:val="00286C68"/>
    <w:rsid w:val="0029079B"/>
    <w:rsid w:val="00290F68"/>
    <w:rsid w:val="00291069"/>
    <w:rsid w:val="002915AF"/>
    <w:rsid w:val="00291A3F"/>
    <w:rsid w:val="00291E1A"/>
    <w:rsid w:val="002925CA"/>
    <w:rsid w:val="0029502C"/>
    <w:rsid w:val="0029624B"/>
    <w:rsid w:val="002978F6"/>
    <w:rsid w:val="002A0014"/>
    <w:rsid w:val="002A0305"/>
    <w:rsid w:val="002A08DE"/>
    <w:rsid w:val="002A1F54"/>
    <w:rsid w:val="002A2E28"/>
    <w:rsid w:val="002A41B2"/>
    <w:rsid w:val="002A50EF"/>
    <w:rsid w:val="002B138C"/>
    <w:rsid w:val="002B1E33"/>
    <w:rsid w:val="002B1EB1"/>
    <w:rsid w:val="002B28F6"/>
    <w:rsid w:val="002B51D0"/>
    <w:rsid w:val="002B6788"/>
    <w:rsid w:val="002B7063"/>
    <w:rsid w:val="002B7A86"/>
    <w:rsid w:val="002C01D7"/>
    <w:rsid w:val="002C1206"/>
    <w:rsid w:val="002C498C"/>
    <w:rsid w:val="002C6CEE"/>
    <w:rsid w:val="002C72C1"/>
    <w:rsid w:val="002C7847"/>
    <w:rsid w:val="002C7896"/>
    <w:rsid w:val="002D343F"/>
    <w:rsid w:val="002D4243"/>
    <w:rsid w:val="002D4A56"/>
    <w:rsid w:val="002D5DCE"/>
    <w:rsid w:val="002D5EA9"/>
    <w:rsid w:val="002D7400"/>
    <w:rsid w:val="002E04F6"/>
    <w:rsid w:val="002E0CB7"/>
    <w:rsid w:val="002E1A31"/>
    <w:rsid w:val="002E3D2B"/>
    <w:rsid w:val="002E4494"/>
    <w:rsid w:val="002E7A4F"/>
    <w:rsid w:val="002F0485"/>
    <w:rsid w:val="002F1034"/>
    <w:rsid w:val="002F1173"/>
    <w:rsid w:val="002F1183"/>
    <w:rsid w:val="002F12CF"/>
    <w:rsid w:val="002F35D5"/>
    <w:rsid w:val="002F49B4"/>
    <w:rsid w:val="002F4BBE"/>
    <w:rsid w:val="002F4EB9"/>
    <w:rsid w:val="003016D8"/>
    <w:rsid w:val="00301A7C"/>
    <w:rsid w:val="00302FD8"/>
    <w:rsid w:val="00311063"/>
    <w:rsid w:val="00313FDC"/>
    <w:rsid w:val="0031428B"/>
    <w:rsid w:val="003159FD"/>
    <w:rsid w:val="00315BD2"/>
    <w:rsid w:val="0032046F"/>
    <w:rsid w:val="00321E8F"/>
    <w:rsid w:val="003264EF"/>
    <w:rsid w:val="0033020D"/>
    <w:rsid w:val="0033236A"/>
    <w:rsid w:val="00332BC9"/>
    <w:rsid w:val="00334A2C"/>
    <w:rsid w:val="00334A76"/>
    <w:rsid w:val="00342129"/>
    <w:rsid w:val="003424BE"/>
    <w:rsid w:val="003447F6"/>
    <w:rsid w:val="00344B21"/>
    <w:rsid w:val="00344DF9"/>
    <w:rsid w:val="00350232"/>
    <w:rsid w:val="00352812"/>
    <w:rsid w:val="00352928"/>
    <w:rsid w:val="003530F2"/>
    <w:rsid w:val="003571EB"/>
    <w:rsid w:val="00357A50"/>
    <w:rsid w:val="003638EF"/>
    <w:rsid w:val="00364C27"/>
    <w:rsid w:val="003656BA"/>
    <w:rsid w:val="00366A8A"/>
    <w:rsid w:val="00367D4D"/>
    <w:rsid w:val="003706B9"/>
    <w:rsid w:val="003712E2"/>
    <w:rsid w:val="00373E2F"/>
    <w:rsid w:val="00374375"/>
    <w:rsid w:val="003760F2"/>
    <w:rsid w:val="00376834"/>
    <w:rsid w:val="00376B03"/>
    <w:rsid w:val="00376B70"/>
    <w:rsid w:val="00377EC1"/>
    <w:rsid w:val="00382A90"/>
    <w:rsid w:val="00382CB0"/>
    <w:rsid w:val="0038383D"/>
    <w:rsid w:val="00384CC5"/>
    <w:rsid w:val="003865B6"/>
    <w:rsid w:val="00386EEB"/>
    <w:rsid w:val="00391A5B"/>
    <w:rsid w:val="0039378B"/>
    <w:rsid w:val="0039570B"/>
    <w:rsid w:val="003A40D6"/>
    <w:rsid w:val="003A43A6"/>
    <w:rsid w:val="003A5001"/>
    <w:rsid w:val="003A65DB"/>
    <w:rsid w:val="003A7671"/>
    <w:rsid w:val="003B152B"/>
    <w:rsid w:val="003B330F"/>
    <w:rsid w:val="003B4008"/>
    <w:rsid w:val="003B4472"/>
    <w:rsid w:val="003B5046"/>
    <w:rsid w:val="003B6292"/>
    <w:rsid w:val="003B7FD3"/>
    <w:rsid w:val="003C0FCF"/>
    <w:rsid w:val="003C1118"/>
    <w:rsid w:val="003C3A78"/>
    <w:rsid w:val="003C42BF"/>
    <w:rsid w:val="003C497C"/>
    <w:rsid w:val="003C547D"/>
    <w:rsid w:val="003C66B5"/>
    <w:rsid w:val="003C70D1"/>
    <w:rsid w:val="003D08E7"/>
    <w:rsid w:val="003D1980"/>
    <w:rsid w:val="003D3FD7"/>
    <w:rsid w:val="003D63E4"/>
    <w:rsid w:val="003D65DF"/>
    <w:rsid w:val="003D7105"/>
    <w:rsid w:val="003E21F0"/>
    <w:rsid w:val="003E2751"/>
    <w:rsid w:val="003E3448"/>
    <w:rsid w:val="003E36F8"/>
    <w:rsid w:val="003E3FF4"/>
    <w:rsid w:val="003E464C"/>
    <w:rsid w:val="003E4685"/>
    <w:rsid w:val="003E7EC5"/>
    <w:rsid w:val="003F2502"/>
    <w:rsid w:val="003F2735"/>
    <w:rsid w:val="003F6401"/>
    <w:rsid w:val="003F6D9D"/>
    <w:rsid w:val="003F77BA"/>
    <w:rsid w:val="00400003"/>
    <w:rsid w:val="0040372F"/>
    <w:rsid w:val="00404E84"/>
    <w:rsid w:val="004053F9"/>
    <w:rsid w:val="0040602E"/>
    <w:rsid w:val="00406E51"/>
    <w:rsid w:val="00410257"/>
    <w:rsid w:val="004112DE"/>
    <w:rsid w:val="004116D9"/>
    <w:rsid w:val="004119B3"/>
    <w:rsid w:val="00412642"/>
    <w:rsid w:val="004141A8"/>
    <w:rsid w:val="0041479A"/>
    <w:rsid w:val="004172E4"/>
    <w:rsid w:val="004177D4"/>
    <w:rsid w:val="00417BA6"/>
    <w:rsid w:val="004202C4"/>
    <w:rsid w:val="00420CF9"/>
    <w:rsid w:val="00422F0F"/>
    <w:rsid w:val="00424DDD"/>
    <w:rsid w:val="00430BBA"/>
    <w:rsid w:val="00430E98"/>
    <w:rsid w:val="0043117A"/>
    <w:rsid w:val="00431211"/>
    <w:rsid w:val="00431920"/>
    <w:rsid w:val="00431F78"/>
    <w:rsid w:val="0043288F"/>
    <w:rsid w:val="00433682"/>
    <w:rsid w:val="00433E0A"/>
    <w:rsid w:val="0043670D"/>
    <w:rsid w:val="0043780F"/>
    <w:rsid w:val="00440D32"/>
    <w:rsid w:val="00444043"/>
    <w:rsid w:val="00444659"/>
    <w:rsid w:val="004507B2"/>
    <w:rsid w:val="00451760"/>
    <w:rsid w:val="00452E57"/>
    <w:rsid w:val="00452FCE"/>
    <w:rsid w:val="00457E5C"/>
    <w:rsid w:val="0046002A"/>
    <w:rsid w:val="00460241"/>
    <w:rsid w:val="00460A9D"/>
    <w:rsid w:val="004635B6"/>
    <w:rsid w:val="00465181"/>
    <w:rsid w:val="00466739"/>
    <w:rsid w:val="00467B8E"/>
    <w:rsid w:val="004707C4"/>
    <w:rsid w:val="00470B9E"/>
    <w:rsid w:val="004716B6"/>
    <w:rsid w:val="00471C03"/>
    <w:rsid w:val="004746C5"/>
    <w:rsid w:val="00474B55"/>
    <w:rsid w:val="00476C03"/>
    <w:rsid w:val="00477DF0"/>
    <w:rsid w:val="00482D86"/>
    <w:rsid w:val="004836EB"/>
    <w:rsid w:val="00483BDA"/>
    <w:rsid w:val="004856C1"/>
    <w:rsid w:val="00487739"/>
    <w:rsid w:val="00491116"/>
    <w:rsid w:val="00492B59"/>
    <w:rsid w:val="00493CF9"/>
    <w:rsid w:val="00495C45"/>
    <w:rsid w:val="00497E59"/>
    <w:rsid w:val="004A04F6"/>
    <w:rsid w:val="004A07FF"/>
    <w:rsid w:val="004A0E4D"/>
    <w:rsid w:val="004A2E6B"/>
    <w:rsid w:val="004A3D4F"/>
    <w:rsid w:val="004A4EA2"/>
    <w:rsid w:val="004B054E"/>
    <w:rsid w:val="004B270A"/>
    <w:rsid w:val="004B3810"/>
    <w:rsid w:val="004B4302"/>
    <w:rsid w:val="004B4CCE"/>
    <w:rsid w:val="004C0D25"/>
    <w:rsid w:val="004C21AB"/>
    <w:rsid w:val="004C3474"/>
    <w:rsid w:val="004C3EAB"/>
    <w:rsid w:val="004C6C7F"/>
    <w:rsid w:val="004D12B4"/>
    <w:rsid w:val="004D4280"/>
    <w:rsid w:val="004D48B6"/>
    <w:rsid w:val="004D4DD8"/>
    <w:rsid w:val="004D59B6"/>
    <w:rsid w:val="004E09F5"/>
    <w:rsid w:val="004E17AD"/>
    <w:rsid w:val="004E32C4"/>
    <w:rsid w:val="004E386A"/>
    <w:rsid w:val="004E3CC0"/>
    <w:rsid w:val="004E459A"/>
    <w:rsid w:val="004E5F6C"/>
    <w:rsid w:val="004E67D7"/>
    <w:rsid w:val="004F006F"/>
    <w:rsid w:val="004F1739"/>
    <w:rsid w:val="004F4028"/>
    <w:rsid w:val="004F410E"/>
    <w:rsid w:val="004F534F"/>
    <w:rsid w:val="004F67CB"/>
    <w:rsid w:val="00500A08"/>
    <w:rsid w:val="005066F4"/>
    <w:rsid w:val="00510392"/>
    <w:rsid w:val="00512972"/>
    <w:rsid w:val="00513A0F"/>
    <w:rsid w:val="005159A9"/>
    <w:rsid w:val="005164E5"/>
    <w:rsid w:val="00517425"/>
    <w:rsid w:val="00520328"/>
    <w:rsid w:val="00525366"/>
    <w:rsid w:val="00530975"/>
    <w:rsid w:val="00535E6A"/>
    <w:rsid w:val="00536748"/>
    <w:rsid w:val="0053680A"/>
    <w:rsid w:val="00536BAC"/>
    <w:rsid w:val="00536D4F"/>
    <w:rsid w:val="00540525"/>
    <w:rsid w:val="00541767"/>
    <w:rsid w:val="00541F55"/>
    <w:rsid w:val="00543711"/>
    <w:rsid w:val="00545FCE"/>
    <w:rsid w:val="00546225"/>
    <w:rsid w:val="00550215"/>
    <w:rsid w:val="00550386"/>
    <w:rsid w:val="00554F32"/>
    <w:rsid w:val="005613F5"/>
    <w:rsid w:val="005622C3"/>
    <w:rsid w:val="00562FA0"/>
    <w:rsid w:val="0056708A"/>
    <w:rsid w:val="0056723B"/>
    <w:rsid w:val="005705BC"/>
    <w:rsid w:val="00570963"/>
    <w:rsid w:val="0057125F"/>
    <w:rsid w:val="00572159"/>
    <w:rsid w:val="00572C6F"/>
    <w:rsid w:val="00573D74"/>
    <w:rsid w:val="00574F74"/>
    <w:rsid w:val="00576FBF"/>
    <w:rsid w:val="00581844"/>
    <w:rsid w:val="00584EE3"/>
    <w:rsid w:val="005869E7"/>
    <w:rsid w:val="00594C29"/>
    <w:rsid w:val="00595BF7"/>
    <w:rsid w:val="005A0538"/>
    <w:rsid w:val="005A10EF"/>
    <w:rsid w:val="005A1133"/>
    <w:rsid w:val="005A5524"/>
    <w:rsid w:val="005A7534"/>
    <w:rsid w:val="005A77BC"/>
    <w:rsid w:val="005B161B"/>
    <w:rsid w:val="005B2636"/>
    <w:rsid w:val="005B31A3"/>
    <w:rsid w:val="005B37FE"/>
    <w:rsid w:val="005B3DA9"/>
    <w:rsid w:val="005B4165"/>
    <w:rsid w:val="005B66A2"/>
    <w:rsid w:val="005C2274"/>
    <w:rsid w:val="005C4561"/>
    <w:rsid w:val="005C6C8E"/>
    <w:rsid w:val="005C7DDA"/>
    <w:rsid w:val="005D1991"/>
    <w:rsid w:val="005D2173"/>
    <w:rsid w:val="005D2747"/>
    <w:rsid w:val="005D551D"/>
    <w:rsid w:val="005E0C6F"/>
    <w:rsid w:val="005E24ED"/>
    <w:rsid w:val="005E42E8"/>
    <w:rsid w:val="005E532E"/>
    <w:rsid w:val="005E5ABD"/>
    <w:rsid w:val="005E7D65"/>
    <w:rsid w:val="005F1427"/>
    <w:rsid w:val="005F487C"/>
    <w:rsid w:val="005F4AAF"/>
    <w:rsid w:val="005F6D0C"/>
    <w:rsid w:val="006013ED"/>
    <w:rsid w:val="0060261C"/>
    <w:rsid w:val="00604704"/>
    <w:rsid w:val="00607259"/>
    <w:rsid w:val="00607F7A"/>
    <w:rsid w:val="00612D86"/>
    <w:rsid w:val="006139B8"/>
    <w:rsid w:val="00614958"/>
    <w:rsid w:val="006149CD"/>
    <w:rsid w:val="00614EDA"/>
    <w:rsid w:val="006154D0"/>
    <w:rsid w:val="00617240"/>
    <w:rsid w:val="00620162"/>
    <w:rsid w:val="0062069B"/>
    <w:rsid w:val="00620762"/>
    <w:rsid w:val="006220C2"/>
    <w:rsid w:val="00622131"/>
    <w:rsid w:val="00623D47"/>
    <w:rsid w:val="0062590E"/>
    <w:rsid w:val="00627082"/>
    <w:rsid w:val="006319A5"/>
    <w:rsid w:val="0063469D"/>
    <w:rsid w:val="006348A6"/>
    <w:rsid w:val="00637EC6"/>
    <w:rsid w:val="00640415"/>
    <w:rsid w:val="00640513"/>
    <w:rsid w:val="00640913"/>
    <w:rsid w:val="00641537"/>
    <w:rsid w:val="006416BC"/>
    <w:rsid w:val="00643604"/>
    <w:rsid w:val="0064484A"/>
    <w:rsid w:val="0064577C"/>
    <w:rsid w:val="00646D89"/>
    <w:rsid w:val="00647741"/>
    <w:rsid w:val="006504AA"/>
    <w:rsid w:val="00653DBC"/>
    <w:rsid w:val="006540A1"/>
    <w:rsid w:val="0066135A"/>
    <w:rsid w:val="00665271"/>
    <w:rsid w:val="006668B8"/>
    <w:rsid w:val="00667224"/>
    <w:rsid w:val="00670663"/>
    <w:rsid w:val="00671260"/>
    <w:rsid w:val="006725C8"/>
    <w:rsid w:val="0067306E"/>
    <w:rsid w:val="00673520"/>
    <w:rsid w:val="00673861"/>
    <w:rsid w:val="00673DE9"/>
    <w:rsid w:val="006769C8"/>
    <w:rsid w:val="0067758A"/>
    <w:rsid w:val="006775A5"/>
    <w:rsid w:val="00681956"/>
    <w:rsid w:val="006830F7"/>
    <w:rsid w:val="006831A5"/>
    <w:rsid w:val="0068355D"/>
    <w:rsid w:val="006838B1"/>
    <w:rsid w:val="006853DD"/>
    <w:rsid w:val="00686BED"/>
    <w:rsid w:val="0068700D"/>
    <w:rsid w:val="006875E8"/>
    <w:rsid w:val="006900EF"/>
    <w:rsid w:val="006918FA"/>
    <w:rsid w:val="006920D3"/>
    <w:rsid w:val="00693263"/>
    <w:rsid w:val="00693370"/>
    <w:rsid w:val="00693A17"/>
    <w:rsid w:val="00697014"/>
    <w:rsid w:val="006972C1"/>
    <w:rsid w:val="006A0A05"/>
    <w:rsid w:val="006A2D3A"/>
    <w:rsid w:val="006A59AC"/>
    <w:rsid w:val="006A6518"/>
    <w:rsid w:val="006A70A8"/>
    <w:rsid w:val="006B03A9"/>
    <w:rsid w:val="006B0860"/>
    <w:rsid w:val="006B15D9"/>
    <w:rsid w:val="006B1855"/>
    <w:rsid w:val="006B19F7"/>
    <w:rsid w:val="006B3D4D"/>
    <w:rsid w:val="006B46DF"/>
    <w:rsid w:val="006B5171"/>
    <w:rsid w:val="006B7006"/>
    <w:rsid w:val="006B70D6"/>
    <w:rsid w:val="006B73AA"/>
    <w:rsid w:val="006C1511"/>
    <w:rsid w:val="006C1E4E"/>
    <w:rsid w:val="006C2525"/>
    <w:rsid w:val="006C4E81"/>
    <w:rsid w:val="006C51A5"/>
    <w:rsid w:val="006D1B85"/>
    <w:rsid w:val="006D1BDC"/>
    <w:rsid w:val="006D4942"/>
    <w:rsid w:val="006D678B"/>
    <w:rsid w:val="006D7525"/>
    <w:rsid w:val="006E33C4"/>
    <w:rsid w:val="006E551B"/>
    <w:rsid w:val="006E5A59"/>
    <w:rsid w:val="006E6675"/>
    <w:rsid w:val="006E6DE1"/>
    <w:rsid w:val="006E741D"/>
    <w:rsid w:val="006F072F"/>
    <w:rsid w:val="006F43CF"/>
    <w:rsid w:val="006F4EA1"/>
    <w:rsid w:val="006F618F"/>
    <w:rsid w:val="006F7707"/>
    <w:rsid w:val="007000E2"/>
    <w:rsid w:val="00702580"/>
    <w:rsid w:val="00703B96"/>
    <w:rsid w:val="007041CD"/>
    <w:rsid w:val="00704CF6"/>
    <w:rsid w:val="007074D7"/>
    <w:rsid w:val="007103D1"/>
    <w:rsid w:val="00710D89"/>
    <w:rsid w:val="00712C92"/>
    <w:rsid w:val="007131E5"/>
    <w:rsid w:val="00713738"/>
    <w:rsid w:val="0071397E"/>
    <w:rsid w:val="0071538F"/>
    <w:rsid w:val="007153FE"/>
    <w:rsid w:val="0072075E"/>
    <w:rsid w:val="00721D61"/>
    <w:rsid w:val="007220CE"/>
    <w:rsid w:val="007225BC"/>
    <w:rsid w:val="00724325"/>
    <w:rsid w:val="00725974"/>
    <w:rsid w:val="00727074"/>
    <w:rsid w:val="00727FA5"/>
    <w:rsid w:val="0073105A"/>
    <w:rsid w:val="0073590C"/>
    <w:rsid w:val="00736548"/>
    <w:rsid w:val="007421A5"/>
    <w:rsid w:val="007428D7"/>
    <w:rsid w:val="007467AA"/>
    <w:rsid w:val="00747180"/>
    <w:rsid w:val="0074719A"/>
    <w:rsid w:val="00747E13"/>
    <w:rsid w:val="0075131C"/>
    <w:rsid w:val="00751DB6"/>
    <w:rsid w:val="007533D2"/>
    <w:rsid w:val="00754093"/>
    <w:rsid w:val="00754CB3"/>
    <w:rsid w:val="007613AB"/>
    <w:rsid w:val="00762F4A"/>
    <w:rsid w:val="00764443"/>
    <w:rsid w:val="00765673"/>
    <w:rsid w:val="007665EC"/>
    <w:rsid w:val="00767354"/>
    <w:rsid w:val="00770BFD"/>
    <w:rsid w:val="00772670"/>
    <w:rsid w:val="00775F1A"/>
    <w:rsid w:val="00777F8D"/>
    <w:rsid w:val="00780B75"/>
    <w:rsid w:val="007848E9"/>
    <w:rsid w:val="007865A9"/>
    <w:rsid w:val="00791B82"/>
    <w:rsid w:val="00793F04"/>
    <w:rsid w:val="0079435D"/>
    <w:rsid w:val="0079502B"/>
    <w:rsid w:val="00795A30"/>
    <w:rsid w:val="00797455"/>
    <w:rsid w:val="007A02E2"/>
    <w:rsid w:val="007A10B8"/>
    <w:rsid w:val="007A2C08"/>
    <w:rsid w:val="007A52BA"/>
    <w:rsid w:val="007A6D8B"/>
    <w:rsid w:val="007A7712"/>
    <w:rsid w:val="007A7F0E"/>
    <w:rsid w:val="007B0D49"/>
    <w:rsid w:val="007B15BC"/>
    <w:rsid w:val="007B1BDD"/>
    <w:rsid w:val="007B55F1"/>
    <w:rsid w:val="007B61F3"/>
    <w:rsid w:val="007C0253"/>
    <w:rsid w:val="007C2975"/>
    <w:rsid w:val="007C4B24"/>
    <w:rsid w:val="007C50B5"/>
    <w:rsid w:val="007C5282"/>
    <w:rsid w:val="007C6145"/>
    <w:rsid w:val="007C6D22"/>
    <w:rsid w:val="007C7B46"/>
    <w:rsid w:val="007D04A1"/>
    <w:rsid w:val="007D120A"/>
    <w:rsid w:val="007D2657"/>
    <w:rsid w:val="007D3EAA"/>
    <w:rsid w:val="007D3F82"/>
    <w:rsid w:val="007D4458"/>
    <w:rsid w:val="007D4F0B"/>
    <w:rsid w:val="007D6DC9"/>
    <w:rsid w:val="007D7242"/>
    <w:rsid w:val="007D7AC6"/>
    <w:rsid w:val="007E00B1"/>
    <w:rsid w:val="007E0475"/>
    <w:rsid w:val="007E6010"/>
    <w:rsid w:val="007F032E"/>
    <w:rsid w:val="007F553A"/>
    <w:rsid w:val="007F5CEB"/>
    <w:rsid w:val="007F6A64"/>
    <w:rsid w:val="007F6ABB"/>
    <w:rsid w:val="00800F2E"/>
    <w:rsid w:val="00802012"/>
    <w:rsid w:val="008028F0"/>
    <w:rsid w:val="008030D0"/>
    <w:rsid w:val="0080493A"/>
    <w:rsid w:val="00805872"/>
    <w:rsid w:val="00806211"/>
    <w:rsid w:val="00807009"/>
    <w:rsid w:val="00811610"/>
    <w:rsid w:val="008144AF"/>
    <w:rsid w:val="00815B4F"/>
    <w:rsid w:val="00816C7D"/>
    <w:rsid w:val="008311D6"/>
    <w:rsid w:val="00834D51"/>
    <w:rsid w:val="00836216"/>
    <w:rsid w:val="0084086A"/>
    <w:rsid w:val="00841E65"/>
    <w:rsid w:val="008431E7"/>
    <w:rsid w:val="00843727"/>
    <w:rsid w:val="00844DB4"/>
    <w:rsid w:val="008450F8"/>
    <w:rsid w:val="008459D4"/>
    <w:rsid w:val="00846F91"/>
    <w:rsid w:val="008503B3"/>
    <w:rsid w:val="00850FFD"/>
    <w:rsid w:val="008511A5"/>
    <w:rsid w:val="008537F2"/>
    <w:rsid w:val="0085775F"/>
    <w:rsid w:val="00860B83"/>
    <w:rsid w:val="00860E6C"/>
    <w:rsid w:val="00863E1A"/>
    <w:rsid w:val="00863F5F"/>
    <w:rsid w:val="00864D26"/>
    <w:rsid w:val="00864D46"/>
    <w:rsid w:val="008653F8"/>
    <w:rsid w:val="0087149C"/>
    <w:rsid w:val="0087562A"/>
    <w:rsid w:val="008762C1"/>
    <w:rsid w:val="0087656C"/>
    <w:rsid w:val="008802E8"/>
    <w:rsid w:val="00881B32"/>
    <w:rsid w:val="008822C6"/>
    <w:rsid w:val="00882D37"/>
    <w:rsid w:val="0088334B"/>
    <w:rsid w:val="00883E97"/>
    <w:rsid w:val="00885329"/>
    <w:rsid w:val="00885ADF"/>
    <w:rsid w:val="008869C5"/>
    <w:rsid w:val="0088704C"/>
    <w:rsid w:val="008900DC"/>
    <w:rsid w:val="008909AD"/>
    <w:rsid w:val="00891C36"/>
    <w:rsid w:val="0089323A"/>
    <w:rsid w:val="00893FF8"/>
    <w:rsid w:val="008950D9"/>
    <w:rsid w:val="00895E5F"/>
    <w:rsid w:val="00896394"/>
    <w:rsid w:val="0089733C"/>
    <w:rsid w:val="00897918"/>
    <w:rsid w:val="008A04BB"/>
    <w:rsid w:val="008A13C8"/>
    <w:rsid w:val="008A2040"/>
    <w:rsid w:val="008A22FE"/>
    <w:rsid w:val="008A2690"/>
    <w:rsid w:val="008A2796"/>
    <w:rsid w:val="008A2A79"/>
    <w:rsid w:val="008A42AD"/>
    <w:rsid w:val="008A462C"/>
    <w:rsid w:val="008A7C1D"/>
    <w:rsid w:val="008B019F"/>
    <w:rsid w:val="008B1C29"/>
    <w:rsid w:val="008B320D"/>
    <w:rsid w:val="008B44DF"/>
    <w:rsid w:val="008B5ADF"/>
    <w:rsid w:val="008B6D2B"/>
    <w:rsid w:val="008C1AD6"/>
    <w:rsid w:val="008C1AE1"/>
    <w:rsid w:val="008C29AC"/>
    <w:rsid w:val="008C3926"/>
    <w:rsid w:val="008C3E6C"/>
    <w:rsid w:val="008C5509"/>
    <w:rsid w:val="008C5C07"/>
    <w:rsid w:val="008C65EF"/>
    <w:rsid w:val="008D2BA5"/>
    <w:rsid w:val="008D2C9D"/>
    <w:rsid w:val="008D686E"/>
    <w:rsid w:val="008D774C"/>
    <w:rsid w:val="008E4BE2"/>
    <w:rsid w:val="008E5E22"/>
    <w:rsid w:val="008E5FB6"/>
    <w:rsid w:val="008E6380"/>
    <w:rsid w:val="008E6EFE"/>
    <w:rsid w:val="008F0911"/>
    <w:rsid w:val="008F108F"/>
    <w:rsid w:val="008F2665"/>
    <w:rsid w:val="008F2E73"/>
    <w:rsid w:val="008F475D"/>
    <w:rsid w:val="008F4BCD"/>
    <w:rsid w:val="00902795"/>
    <w:rsid w:val="00904241"/>
    <w:rsid w:val="00904727"/>
    <w:rsid w:val="009051A2"/>
    <w:rsid w:val="0090589F"/>
    <w:rsid w:val="0090711D"/>
    <w:rsid w:val="009106F0"/>
    <w:rsid w:val="00911E8C"/>
    <w:rsid w:val="009121E0"/>
    <w:rsid w:val="00912FBA"/>
    <w:rsid w:val="0091337A"/>
    <w:rsid w:val="00917B22"/>
    <w:rsid w:val="009206D1"/>
    <w:rsid w:val="00931B66"/>
    <w:rsid w:val="00932BC3"/>
    <w:rsid w:val="0093404C"/>
    <w:rsid w:val="0093468D"/>
    <w:rsid w:val="009346E4"/>
    <w:rsid w:val="00934869"/>
    <w:rsid w:val="009348CE"/>
    <w:rsid w:val="00934C26"/>
    <w:rsid w:val="00941E4D"/>
    <w:rsid w:val="00943570"/>
    <w:rsid w:val="0094593B"/>
    <w:rsid w:val="00950805"/>
    <w:rsid w:val="00952C2A"/>
    <w:rsid w:val="00952CAE"/>
    <w:rsid w:val="00953B21"/>
    <w:rsid w:val="009557BD"/>
    <w:rsid w:val="00962725"/>
    <w:rsid w:val="00962CC6"/>
    <w:rsid w:val="00965296"/>
    <w:rsid w:val="00966ABA"/>
    <w:rsid w:val="00970607"/>
    <w:rsid w:val="00970CE8"/>
    <w:rsid w:val="009714DF"/>
    <w:rsid w:val="00971EE4"/>
    <w:rsid w:val="00972089"/>
    <w:rsid w:val="00973AC4"/>
    <w:rsid w:val="009748C7"/>
    <w:rsid w:val="009767BB"/>
    <w:rsid w:val="00980085"/>
    <w:rsid w:val="009821FE"/>
    <w:rsid w:val="009832B3"/>
    <w:rsid w:val="0098487B"/>
    <w:rsid w:val="00986BE6"/>
    <w:rsid w:val="00991A4D"/>
    <w:rsid w:val="00992555"/>
    <w:rsid w:val="00992D88"/>
    <w:rsid w:val="00993009"/>
    <w:rsid w:val="0099381C"/>
    <w:rsid w:val="009A12AB"/>
    <w:rsid w:val="009A1AFB"/>
    <w:rsid w:val="009A1E10"/>
    <w:rsid w:val="009A3FA4"/>
    <w:rsid w:val="009A6559"/>
    <w:rsid w:val="009A76AD"/>
    <w:rsid w:val="009B0BF8"/>
    <w:rsid w:val="009B1C4F"/>
    <w:rsid w:val="009B254B"/>
    <w:rsid w:val="009B3404"/>
    <w:rsid w:val="009B791D"/>
    <w:rsid w:val="009C0B6B"/>
    <w:rsid w:val="009C181A"/>
    <w:rsid w:val="009C1898"/>
    <w:rsid w:val="009C3E37"/>
    <w:rsid w:val="009C3E7B"/>
    <w:rsid w:val="009C6281"/>
    <w:rsid w:val="009C72D4"/>
    <w:rsid w:val="009C761A"/>
    <w:rsid w:val="009C7F5D"/>
    <w:rsid w:val="009D0CE6"/>
    <w:rsid w:val="009D13E1"/>
    <w:rsid w:val="009D5475"/>
    <w:rsid w:val="009D7587"/>
    <w:rsid w:val="009D7817"/>
    <w:rsid w:val="009E02CC"/>
    <w:rsid w:val="009E080B"/>
    <w:rsid w:val="009E317B"/>
    <w:rsid w:val="009E4854"/>
    <w:rsid w:val="009E70EA"/>
    <w:rsid w:val="009E7770"/>
    <w:rsid w:val="009E795D"/>
    <w:rsid w:val="009F0838"/>
    <w:rsid w:val="009F13B4"/>
    <w:rsid w:val="009F1712"/>
    <w:rsid w:val="009F3522"/>
    <w:rsid w:val="009F3B43"/>
    <w:rsid w:val="009F6E5E"/>
    <w:rsid w:val="00A00B7A"/>
    <w:rsid w:val="00A02BBA"/>
    <w:rsid w:val="00A03A62"/>
    <w:rsid w:val="00A03F9C"/>
    <w:rsid w:val="00A04D15"/>
    <w:rsid w:val="00A063DC"/>
    <w:rsid w:val="00A0684B"/>
    <w:rsid w:val="00A0777E"/>
    <w:rsid w:val="00A07A7E"/>
    <w:rsid w:val="00A112F4"/>
    <w:rsid w:val="00A1627E"/>
    <w:rsid w:val="00A16434"/>
    <w:rsid w:val="00A169FD"/>
    <w:rsid w:val="00A245B1"/>
    <w:rsid w:val="00A25928"/>
    <w:rsid w:val="00A26F17"/>
    <w:rsid w:val="00A27D90"/>
    <w:rsid w:val="00A32A3B"/>
    <w:rsid w:val="00A341AB"/>
    <w:rsid w:val="00A348A0"/>
    <w:rsid w:val="00A3695C"/>
    <w:rsid w:val="00A37727"/>
    <w:rsid w:val="00A40F90"/>
    <w:rsid w:val="00A42750"/>
    <w:rsid w:val="00A449CA"/>
    <w:rsid w:val="00A44E1F"/>
    <w:rsid w:val="00A46FE2"/>
    <w:rsid w:val="00A474CD"/>
    <w:rsid w:val="00A5005C"/>
    <w:rsid w:val="00A50400"/>
    <w:rsid w:val="00A5192E"/>
    <w:rsid w:val="00A51D0A"/>
    <w:rsid w:val="00A52B40"/>
    <w:rsid w:val="00A55386"/>
    <w:rsid w:val="00A558C2"/>
    <w:rsid w:val="00A56112"/>
    <w:rsid w:val="00A60941"/>
    <w:rsid w:val="00A6145D"/>
    <w:rsid w:val="00A62C14"/>
    <w:rsid w:val="00A6384E"/>
    <w:rsid w:val="00A63884"/>
    <w:rsid w:val="00A66BB9"/>
    <w:rsid w:val="00A67C72"/>
    <w:rsid w:val="00A703CE"/>
    <w:rsid w:val="00A725A6"/>
    <w:rsid w:val="00A72E9F"/>
    <w:rsid w:val="00A733E7"/>
    <w:rsid w:val="00A738A2"/>
    <w:rsid w:val="00A759CF"/>
    <w:rsid w:val="00A767FD"/>
    <w:rsid w:val="00A76874"/>
    <w:rsid w:val="00A76E6D"/>
    <w:rsid w:val="00A86389"/>
    <w:rsid w:val="00A97636"/>
    <w:rsid w:val="00AA006D"/>
    <w:rsid w:val="00AA0C0F"/>
    <w:rsid w:val="00AA1C16"/>
    <w:rsid w:val="00AA1F73"/>
    <w:rsid w:val="00AA3F70"/>
    <w:rsid w:val="00AA64BE"/>
    <w:rsid w:val="00AA757E"/>
    <w:rsid w:val="00AB0E85"/>
    <w:rsid w:val="00AB159C"/>
    <w:rsid w:val="00AB3777"/>
    <w:rsid w:val="00AB4046"/>
    <w:rsid w:val="00AB5E26"/>
    <w:rsid w:val="00AB62C5"/>
    <w:rsid w:val="00AB6525"/>
    <w:rsid w:val="00AB6A43"/>
    <w:rsid w:val="00AC1489"/>
    <w:rsid w:val="00AC300B"/>
    <w:rsid w:val="00AC5D8E"/>
    <w:rsid w:val="00AC6C0B"/>
    <w:rsid w:val="00AC7246"/>
    <w:rsid w:val="00AD29D0"/>
    <w:rsid w:val="00AD2C2D"/>
    <w:rsid w:val="00AD2FF4"/>
    <w:rsid w:val="00AD38F0"/>
    <w:rsid w:val="00AD3D3D"/>
    <w:rsid w:val="00AD4ABA"/>
    <w:rsid w:val="00AD5561"/>
    <w:rsid w:val="00AD698F"/>
    <w:rsid w:val="00AD7EA9"/>
    <w:rsid w:val="00AE0118"/>
    <w:rsid w:val="00AE11B4"/>
    <w:rsid w:val="00AE763D"/>
    <w:rsid w:val="00AE7C65"/>
    <w:rsid w:val="00AF01B8"/>
    <w:rsid w:val="00AF19F7"/>
    <w:rsid w:val="00AF1F63"/>
    <w:rsid w:val="00AF4730"/>
    <w:rsid w:val="00B01599"/>
    <w:rsid w:val="00B01670"/>
    <w:rsid w:val="00B03BB4"/>
    <w:rsid w:val="00B04C65"/>
    <w:rsid w:val="00B066CE"/>
    <w:rsid w:val="00B108D8"/>
    <w:rsid w:val="00B10BFF"/>
    <w:rsid w:val="00B10D8A"/>
    <w:rsid w:val="00B1224B"/>
    <w:rsid w:val="00B123AD"/>
    <w:rsid w:val="00B20B57"/>
    <w:rsid w:val="00B217A0"/>
    <w:rsid w:val="00B23B4C"/>
    <w:rsid w:val="00B241B6"/>
    <w:rsid w:val="00B25748"/>
    <w:rsid w:val="00B26477"/>
    <w:rsid w:val="00B27688"/>
    <w:rsid w:val="00B303A4"/>
    <w:rsid w:val="00B30741"/>
    <w:rsid w:val="00B328D4"/>
    <w:rsid w:val="00B3538D"/>
    <w:rsid w:val="00B44973"/>
    <w:rsid w:val="00B50D4E"/>
    <w:rsid w:val="00B523CC"/>
    <w:rsid w:val="00B5303E"/>
    <w:rsid w:val="00B5510F"/>
    <w:rsid w:val="00B5689A"/>
    <w:rsid w:val="00B57020"/>
    <w:rsid w:val="00B571C7"/>
    <w:rsid w:val="00B579FA"/>
    <w:rsid w:val="00B579FD"/>
    <w:rsid w:val="00B57A60"/>
    <w:rsid w:val="00B60E8C"/>
    <w:rsid w:val="00B625A9"/>
    <w:rsid w:val="00B62DA6"/>
    <w:rsid w:val="00B63984"/>
    <w:rsid w:val="00B64389"/>
    <w:rsid w:val="00B6486A"/>
    <w:rsid w:val="00B6496F"/>
    <w:rsid w:val="00B6610F"/>
    <w:rsid w:val="00B66243"/>
    <w:rsid w:val="00B66249"/>
    <w:rsid w:val="00B66FF3"/>
    <w:rsid w:val="00B67FAE"/>
    <w:rsid w:val="00B73929"/>
    <w:rsid w:val="00B739CE"/>
    <w:rsid w:val="00B73CA7"/>
    <w:rsid w:val="00B7441E"/>
    <w:rsid w:val="00B766DF"/>
    <w:rsid w:val="00B775B3"/>
    <w:rsid w:val="00B8019A"/>
    <w:rsid w:val="00B81550"/>
    <w:rsid w:val="00B81658"/>
    <w:rsid w:val="00B819B5"/>
    <w:rsid w:val="00B81A87"/>
    <w:rsid w:val="00B838B5"/>
    <w:rsid w:val="00B85688"/>
    <w:rsid w:val="00B91058"/>
    <w:rsid w:val="00B9174C"/>
    <w:rsid w:val="00B94332"/>
    <w:rsid w:val="00B949C5"/>
    <w:rsid w:val="00B95325"/>
    <w:rsid w:val="00B967EE"/>
    <w:rsid w:val="00B9762B"/>
    <w:rsid w:val="00BA1169"/>
    <w:rsid w:val="00BA1D0E"/>
    <w:rsid w:val="00BA376E"/>
    <w:rsid w:val="00BA3E2D"/>
    <w:rsid w:val="00BA4337"/>
    <w:rsid w:val="00BA48CE"/>
    <w:rsid w:val="00BA56C7"/>
    <w:rsid w:val="00BB08F4"/>
    <w:rsid w:val="00BB096E"/>
    <w:rsid w:val="00BB253E"/>
    <w:rsid w:val="00BB2EE8"/>
    <w:rsid w:val="00BB6407"/>
    <w:rsid w:val="00BB69F2"/>
    <w:rsid w:val="00BB6F60"/>
    <w:rsid w:val="00BC06FC"/>
    <w:rsid w:val="00BC09B4"/>
    <w:rsid w:val="00BC0F89"/>
    <w:rsid w:val="00BC27BD"/>
    <w:rsid w:val="00BC27F9"/>
    <w:rsid w:val="00BC34B0"/>
    <w:rsid w:val="00BC3A6E"/>
    <w:rsid w:val="00BC4430"/>
    <w:rsid w:val="00BC7C72"/>
    <w:rsid w:val="00BD16ED"/>
    <w:rsid w:val="00BD362F"/>
    <w:rsid w:val="00BD577A"/>
    <w:rsid w:val="00BD699C"/>
    <w:rsid w:val="00BE0BF1"/>
    <w:rsid w:val="00BE1443"/>
    <w:rsid w:val="00BE1924"/>
    <w:rsid w:val="00BE1AA7"/>
    <w:rsid w:val="00BE1F71"/>
    <w:rsid w:val="00BE39C1"/>
    <w:rsid w:val="00BE4C2F"/>
    <w:rsid w:val="00BE4E0D"/>
    <w:rsid w:val="00BE5149"/>
    <w:rsid w:val="00BE53F5"/>
    <w:rsid w:val="00BE5DA5"/>
    <w:rsid w:val="00BE6268"/>
    <w:rsid w:val="00BF0973"/>
    <w:rsid w:val="00BF2A84"/>
    <w:rsid w:val="00BF2D74"/>
    <w:rsid w:val="00BF3466"/>
    <w:rsid w:val="00BF3B87"/>
    <w:rsid w:val="00BF42A8"/>
    <w:rsid w:val="00BF4C5C"/>
    <w:rsid w:val="00BF5841"/>
    <w:rsid w:val="00BF5EA5"/>
    <w:rsid w:val="00BF70F2"/>
    <w:rsid w:val="00BF73A5"/>
    <w:rsid w:val="00C01E8B"/>
    <w:rsid w:val="00C024F1"/>
    <w:rsid w:val="00C0419F"/>
    <w:rsid w:val="00C10077"/>
    <w:rsid w:val="00C12283"/>
    <w:rsid w:val="00C12BFA"/>
    <w:rsid w:val="00C13AA9"/>
    <w:rsid w:val="00C156B7"/>
    <w:rsid w:val="00C1762F"/>
    <w:rsid w:val="00C17E5A"/>
    <w:rsid w:val="00C2295F"/>
    <w:rsid w:val="00C22EF4"/>
    <w:rsid w:val="00C234DD"/>
    <w:rsid w:val="00C248C8"/>
    <w:rsid w:val="00C25D23"/>
    <w:rsid w:val="00C2794B"/>
    <w:rsid w:val="00C301FE"/>
    <w:rsid w:val="00C319A6"/>
    <w:rsid w:val="00C31AC8"/>
    <w:rsid w:val="00C31BCB"/>
    <w:rsid w:val="00C33796"/>
    <w:rsid w:val="00C3388F"/>
    <w:rsid w:val="00C343ED"/>
    <w:rsid w:val="00C35E05"/>
    <w:rsid w:val="00C41255"/>
    <w:rsid w:val="00C42E56"/>
    <w:rsid w:val="00C42F84"/>
    <w:rsid w:val="00C465B4"/>
    <w:rsid w:val="00C479AF"/>
    <w:rsid w:val="00C50963"/>
    <w:rsid w:val="00C52DF4"/>
    <w:rsid w:val="00C55548"/>
    <w:rsid w:val="00C623EA"/>
    <w:rsid w:val="00C64558"/>
    <w:rsid w:val="00C74BA8"/>
    <w:rsid w:val="00C755B1"/>
    <w:rsid w:val="00C770B0"/>
    <w:rsid w:val="00C77EFD"/>
    <w:rsid w:val="00C817BA"/>
    <w:rsid w:val="00C822E9"/>
    <w:rsid w:val="00C836EF"/>
    <w:rsid w:val="00C85409"/>
    <w:rsid w:val="00C861C1"/>
    <w:rsid w:val="00C87DE4"/>
    <w:rsid w:val="00C90B4D"/>
    <w:rsid w:val="00CA01D5"/>
    <w:rsid w:val="00CA0495"/>
    <w:rsid w:val="00CA1C49"/>
    <w:rsid w:val="00CA3DAF"/>
    <w:rsid w:val="00CA5588"/>
    <w:rsid w:val="00CA6E47"/>
    <w:rsid w:val="00CB0AC8"/>
    <w:rsid w:val="00CB197A"/>
    <w:rsid w:val="00CB2072"/>
    <w:rsid w:val="00CB2A72"/>
    <w:rsid w:val="00CB3395"/>
    <w:rsid w:val="00CB7577"/>
    <w:rsid w:val="00CC2896"/>
    <w:rsid w:val="00CC4D68"/>
    <w:rsid w:val="00CC534A"/>
    <w:rsid w:val="00CC5C5A"/>
    <w:rsid w:val="00CC6D65"/>
    <w:rsid w:val="00CD075C"/>
    <w:rsid w:val="00CD2CE5"/>
    <w:rsid w:val="00CD44FB"/>
    <w:rsid w:val="00CD5907"/>
    <w:rsid w:val="00CD6C22"/>
    <w:rsid w:val="00CE0303"/>
    <w:rsid w:val="00CE0F9D"/>
    <w:rsid w:val="00CE1071"/>
    <w:rsid w:val="00CE150E"/>
    <w:rsid w:val="00CE1529"/>
    <w:rsid w:val="00CE3C57"/>
    <w:rsid w:val="00CE3D52"/>
    <w:rsid w:val="00CE3F03"/>
    <w:rsid w:val="00CE411D"/>
    <w:rsid w:val="00CE5B34"/>
    <w:rsid w:val="00CE6076"/>
    <w:rsid w:val="00CE7BF2"/>
    <w:rsid w:val="00CE7DC1"/>
    <w:rsid w:val="00CF03D5"/>
    <w:rsid w:val="00CF05D6"/>
    <w:rsid w:val="00CF59E3"/>
    <w:rsid w:val="00CF5E15"/>
    <w:rsid w:val="00CF67E8"/>
    <w:rsid w:val="00CF7454"/>
    <w:rsid w:val="00CF7635"/>
    <w:rsid w:val="00D025A9"/>
    <w:rsid w:val="00D02827"/>
    <w:rsid w:val="00D0288D"/>
    <w:rsid w:val="00D02971"/>
    <w:rsid w:val="00D02D64"/>
    <w:rsid w:val="00D05725"/>
    <w:rsid w:val="00D07795"/>
    <w:rsid w:val="00D11CD7"/>
    <w:rsid w:val="00D12DEC"/>
    <w:rsid w:val="00D131A3"/>
    <w:rsid w:val="00D14068"/>
    <w:rsid w:val="00D14D84"/>
    <w:rsid w:val="00D22521"/>
    <w:rsid w:val="00D23B0E"/>
    <w:rsid w:val="00D24D7D"/>
    <w:rsid w:val="00D24ED0"/>
    <w:rsid w:val="00D264E0"/>
    <w:rsid w:val="00D26D54"/>
    <w:rsid w:val="00D26EC7"/>
    <w:rsid w:val="00D3453C"/>
    <w:rsid w:val="00D35041"/>
    <w:rsid w:val="00D359F1"/>
    <w:rsid w:val="00D3718B"/>
    <w:rsid w:val="00D407BD"/>
    <w:rsid w:val="00D41091"/>
    <w:rsid w:val="00D41CAE"/>
    <w:rsid w:val="00D41DBE"/>
    <w:rsid w:val="00D42D91"/>
    <w:rsid w:val="00D448F0"/>
    <w:rsid w:val="00D44A1D"/>
    <w:rsid w:val="00D45531"/>
    <w:rsid w:val="00D47362"/>
    <w:rsid w:val="00D47F24"/>
    <w:rsid w:val="00D511A9"/>
    <w:rsid w:val="00D52180"/>
    <w:rsid w:val="00D52CC5"/>
    <w:rsid w:val="00D5309B"/>
    <w:rsid w:val="00D53587"/>
    <w:rsid w:val="00D55FF6"/>
    <w:rsid w:val="00D560D3"/>
    <w:rsid w:val="00D56352"/>
    <w:rsid w:val="00D5716D"/>
    <w:rsid w:val="00D60A52"/>
    <w:rsid w:val="00D61196"/>
    <w:rsid w:val="00D61476"/>
    <w:rsid w:val="00D61709"/>
    <w:rsid w:val="00D6227F"/>
    <w:rsid w:val="00D62C71"/>
    <w:rsid w:val="00D639B4"/>
    <w:rsid w:val="00D66E1B"/>
    <w:rsid w:val="00D67503"/>
    <w:rsid w:val="00D70F3C"/>
    <w:rsid w:val="00D71866"/>
    <w:rsid w:val="00D753CB"/>
    <w:rsid w:val="00D7662C"/>
    <w:rsid w:val="00D81B12"/>
    <w:rsid w:val="00D824DA"/>
    <w:rsid w:val="00D8315C"/>
    <w:rsid w:val="00D83A81"/>
    <w:rsid w:val="00D83B12"/>
    <w:rsid w:val="00D83C46"/>
    <w:rsid w:val="00D8522E"/>
    <w:rsid w:val="00D90FA2"/>
    <w:rsid w:val="00D929FB"/>
    <w:rsid w:val="00D93D88"/>
    <w:rsid w:val="00D93E44"/>
    <w:rsid w:val="00D9459C"/>
    <w:rsid w:val="00D958DE"/>
    <w:rsid w:val="00D96B17"/>
    <w:rsid w:val="00D97976"/>
    <w:rsid w:val="00DA0BD2"/>
    <w:rsid w:val="00DA0CC0"/>
    <w:rsid w:val="00DA1597"/>
    <w:rsid w:val="00DA16B8"/>
    <w:rsid w:val="00DA1A6C"/>
    <w:rsid w:val="00DA2B20"/>
    <w:rsid w:val="00DA4FC5"/>
    <w:rsid w:val="00DA5725"/>
    <w:rsid w:val="00DA65AF"/>
    <w:rsid w:val="00DB1ABC"/>
    <w:rsid w:val="00DB2317"/>
    <w:rsid w:val="00DB2827"/>
    <w:rsid w:val="00DB3D2B"/>
    <w:rsid w:val="00DB46C2"/>
    <w:rsid w:val="00DB517D"/>
    <w:rsid w:val="00DB7B75"/>
    <w:rsid w:val="00DC43BD"/>
    <w:rsid w:val="00DC7153"/>
    <w:rsid w:val="00DC7628"/>
    <w:rsid w:val="00DC765F"/>
    <w:rsid w:val="00DD0430"/>
    <w:rsid w:val="00DD0633"/>
    <w:rsid w:val="00DD5949"/>
    <w:rsid w:val="00DD5EDD"/>
    <w:rsid w:val="00DE1EB8"/>
    <w:rsid w:val="00DE7290"/>
    <w:rsid w:val="00DE76F4"/>
    <w:rsid w:val="00DF0A1B"/>
    <w:rsid w:val="00DF22EF"/>
    <w:rsid w:val="00DF25EB"/>
    <w:rsid w:val="00DF4680"/>
    <w:rsid w:val="00DF4EC0"/>
    <w:rsid w:val="00DF6CC2"/>
    <w:rsid w:val="00DF75A7"/>
    <w:rsid w:val="00DF7E36"/>
    <w:rsid w:val="00E00815"/>
    <w:rsid w:val="00E01373"/>
    <w:rsid w:val="00E01889"/>
    <w:rsid w:val="00E03A48"/>
    <w:rsid w:val="00E0425C"/>
    <w:rsid w:val="00E04336"/>
    <w:rsid w:val="00E077EC"/>
    <w:rsid w:val="00E12D2A"/>
    <w:rsid w:val="00E1372C"/>
    <w:rsid w:val="00E1408B"/>
    <w:rsid w:val="00E14CC0"/>
    <w:rsid w:val="00E1578D"/>
    <w:rsid w:val="00E30475"/>
    <w:rsid w:val="00E349AC"/>
    <w:rsid w:val="00E3552A"/>
    <w:rsid w:val="00E379FD"/>
    <w:rsid w:val="00E4091D"/>
    <w:rsid w:val="00E410F0"/>
    <w:rsid w:val="00E41745"/>
    <w:rsid w:val="00E43E68"/>
    <w:rsid w:val="00E46AA8"/>
    <w:rsid w:val="00E5599E"/>
    <w:rsid w:val="00E560E2"/>
    <w:rsid w:val="00E560FE"/>
    <w:rsid w:val="00E57A15"/>
    <w:rsid w:val="00E57D5F"/>
    <w:rsid w:val="00E62012"/>
    <w:rsid w:val="00E63E2A"/>
    <w:rsid w:val="00E64D87"/>
    <w:rsid w:val="00E6589B"/>
    <w:rsid w:val="00E663A2"/>
    <w:rsid w:val="00E67C65"/>
    <w:rsid w:val="00E703EA"/>
    <w:rsid w:val="00E73D0E"/>
    <w:rsid w:val="00E74154"/>
    <w:rsid w:val="00E741CE"/>
    <w:rsid w:val="00E752F1"/>
    <w:rsid w:val="00E754BA"/>
    <w:rsid w:val="00E75E72"/>
    <w:rsid w:val="00E7636B"/>
    <w:rsid w:val="00E76EBE"/>
    <w:rsid w:val="00E77851"/>
    <w:rsid w:val="00E80346"/>
    <w:rsid w:val="00E83800"/>
    <w:rsid w:val="00E8503C"/>
    <w:rsid w:val="00E850A9"/>
    <w:rsid w:val="00E85819"/>
    <w:rsid w:val="00E86A97"/>
    <w:rsid w:val="00E901F6"/>
    <w:rsid w:val="00E90C8E"/>
    <w:rsid w:val="00E92501"/>
    <w:rsid w:val="00E92CE5"/>
    <w:rsid w:val="00E93328"/>
    <w:rsid w:val="00E94855"/>
    <w:rsid w:val="00E965EA"/>
    <w:rsid w:val="00E976EE"/>
    <w:rsid w:val="00EA1090"/>
    <w:rsid w:val="00EA5AE1"/>
    <w:rsid w:val="00EA5B54"/>
    <w:rsid w:val="00EB0407"/>
    <w:rsid w:val="00EB4C5C"/>
    <w:rsid w:val="00EB4F47"/>
    <w:rsid w:val="00EC1ED0"/>
    <w:rsid w:val="00EC2C97"/>
    <w:rsid w:val="00EC346C"/>
    <w:rsid w:val="00EC5E8D"/>
    <w:rsid w:val="00EC6CE9"/>
    <w:rsid w:val="00EC7635"/>
    <w:rsid w:val="00ED0EFB"/>
    <w:rsid w:val="00ED227E"/>
    <w:rsid w:val="00ED5BEB"/>
    <w:rsid w:val="00EE2CA9"/>
    <w:rsid w:val="00EE3537"/>
    <w:rsid w:val="00EE6265"/>
    <w:rsid w:val="00EE7192"/>
    <w:rsid w:val="00EF117F"/>
    <w:rsid w:val="00EF15A3"/>
    <w:rsid w:val="00EF267F"/>
    <w:rsid w:val="00EF2885"/>
    <w:rsid w:val="00EF3432"/>
    <w:rsid w:val="00EF3A32"/>
    <w:rsid w:val="00EF40B9"/>
    <w:rsid w:val="00EF451A"/>
    <w:rsid w:val="00EF4854"/>
    <w:rsid w:val="00EF52C1"/>
    <w:rsid w:val="00F0121E"/>
    <w:rsid w:val="00F01FA6"/>
    <w:rsid w:val="00F02052"/>
    <w:rsid w:val="00F029CF"/>
    <w:rsid w:val="00F03122"/>
    <w:rsid w:val="00F033E7"/>
    <w:rsid w:val="00F1055B"/>
    <w:rsid w:val="00F127DD"/>
    <w:rsid w:val="00F128A8"/>
    <w:rsid w:val="00F13292"/>
    <w:rsid w:val="00F137CC"/>
    <w:rsid w:val="00F14469"/>
    <w:rsid w:val="00F14E84"/>
    <w:rsid w:val="00F16D5A"/>
    <w:rsid w:val="00F20360"/>
    <w:rsid w:val="00F2181F"/>
    <w:rsid w:val="00F21D62"/>
    <w:rsid w:val="00F21D64"/>
    <w:rsid w:val="00F21D73"/>
    <w:rsid w:val="00F241FF"/>
    <w:rsid w:val="00F30230"/>
    <w:rsid w:val="00F313A6"/>
    <w:rsid w:val="00F3273C"/>
    <w:rsid w:val="00F35C7E"/>
    <w:rsid w:val="00F40EEF"/>
    <w:rsid w:val="00F45B4F"/>
    <w:rsid w:val="00F476DD"/>
    <w:rsid w:val="00F509F7"/>
    <w:rsid w:val="00F510C8"/>
    <w:rsid w:val="00F51265"/>
    <w:rsid w:val="00F52594"/>
    <w:rsid w:val="00F52A83"/>
    <w:rsid w:val="00F52D12"/>
    <w:rsid w:val="00F53461"/>
    <w:rsid w:val="00F55254"/>
    <w:rsid w:val="00F55C78"/>
    <w:rsid w:val="00F56084"/>
    <w:rsid w:val="00F5716E"/>
    <w:rsid w:val="00F6236D"/>
    <w:rsid w:val="00F62AF2"/>
    <w:rsid w:val="00F657E2"/>
    <w:rsid w:val="00F659A4"/>
    <w:rsid w:val="00F70398"/>
    <w:rsid w:val="00F7219B"/>
    <w:rsid w:val="00F73127"/>
    <w:rsid w:val="00F73B7B"/>
    <w:rsid w:val="00F74006"/>
    <w:rsid w:val="00F74770"/>
    <w:rsid w:val="00F748A7"/>
    <w:rsid w:val="00F74E41"/>
    <w:rsid w:val="00F74F09"/>
    <w:rsid w:val="00F76C6E"/>
    <w:rsid w:val="00F76FE6"/>
    <w:rsid w:val="00F772ED"/>
    <w:rsid w:val="00F77307"/>
    <w:rsid w:val="00F77B2F"/>
    <w:rsid w:val="00F8158A"/>
    <w:rsid w:val="00F82D8B"/>
    <w:rsid w:val="00F83019"/>
    <w:rsid w:val="00F84673"/>
    <w:rsid w:val="00F86F34"/>
    <w:rsid w:val="00F878C8"/>
    <w:rsid w:val="00F92B3C"/>
    <w:rsid w:val="00F93939"/>
    <w:rsid w:val="00F94460"/>
    <w:rsid w:val="00FA0274"/>
    <w:rsid w:val="00FA3CA5"/>
    <w:rsid w:val="00FA60FF"/>
    <w:rsid w:val="00FB1F01"/>
    <w:rsid w:val="00FB3058"/>
    <w:rsid w:val="00FB3DBE"/>
    <w:rsid w:val="00FC1282"/>
    <w:rsid w:val="00FC1E92"/>
    <w:rsid w:val="00FC2055"/>
    <w:rsid w:val="00FC2171"/>
    <w:rsid w:val="00FC2416"/>
    <w:rsid w:val="00FC2854"/>
    <w:rsid w:val="00FC6408"/>
    <w:rsid w:val="00FC65B8"/>
    <w:rsid w:val="00FD150C"/>
    <w:rsid w:val="00FD3868"/>
    <w:rsid w:val="00FD413B"/>
    <w:rsid w:val="00FD6944"/>
    <w:rsid w:val="00FD7CD9"/>
    <w:rsid w:val="00FE01B7"/>
    <w:rsid w:val="00FE1366"/>
    <w:rsid w:val="00FE1B73"/>
    <w:rsid w:val="00FE2283"/>
    <w:rsid w:val="00FE34B9"/>
    <w:rsid w:val="00FE3871"/>
    <w:rsid w:val="00FE431B"/>
    <w:rsid w:val="00FE501B"/>
    <w:rsid w:val="00FE7286"/>
    <w:rsid w:val="00FE7BFD"/>
    <w:rsid w:val="00FF3047"/>
    <w:rsid w:val="00FF376E"/>
    <w:rsid w:val="00FF3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588"/>
    <w:pPr>
      <w:jc w:val="both"/>
    </w:pPr>
    <w:rPr>
      <w:sz w:val="24"/>
      <w:lang w:val="en-US"/>
    </w:rPr>
  </w:style>
  <w:style w:type="paragraph" w:styleId="Heading1">
    <w:name w:val="heading 1"/>
    <w:basedOn w:val="Normal"/>
    <w:next w:val="Normal"/>
    <w:qFormat/>
    <w:rsid w:val="00CA5588"/>
    <w:pPr>
      <w:widowControl w:val="0"/>
      <w:ind w:right="3403"/>
      <w:jc w:val="left"/>
      <w:outlineLvl w:val="0"/>
    </w:pPr>
    <w:rPr>
      <w:rFonts w:ascii="Helvetica" w:hAnsi="Helvetica"/>
      <w:b/>
      <w:kern w:val="28"/>
      <w:sz w:val="60"/>
      <w:lang w:val="en-AU"/>
    </w:rPr>
  </w:style>
  <w:style w:type="paragraph" w:styleId="Heading2">
    <w:name w:val="heading 2"/>
    <w:basedOn w:val="Normal"/>
    <w:next w:val="Normal"/>
    <w:qFormat/>
    <w:rsid w:val="00CA5588"/>
    <w:pPr>
      <w:keepNext/>
      <w:pBdr>
        <w:top w:val="single" w:sz="4" w:space="3" w:color="auto"/>
        <w:bottom w:val="single" w:sz="4" w:space="3" w:color="auto"/>
      </w:pBdr>
      <w:spacing w:before="720" w:after="180" w:line="280" w:lineRule="exact"/>
      <w:jc w:val="left"/>
      <w:outlineLvl w:val="1"/>
    </w:pPr>
    <w:rPr>
      <w:rFonts w:ascii="Helvetica" w:hAnsi="Helvetica"/>
      <w:b/>
      <w:sz w:val="28"/>
      <w:lang w:val="en-AU"/>
    </w:rPr>
  </w:style>
  <w:style w:type="paragraph" w:styleId="Heading3">
    <w:name w:val="heading 3"/>
    <w:basedOn w:val="Normal"/>
    <w:next w:val="Normal"/>
    <w:qFormat/>
    <w:rsid w:val="00CA5588"/>
    <w:pPr>
      <w:keepNext/>
      <w:spacing w:before="240" w:after="120" w:line="280" w:lineRule="exact"/>
      <w:jc w:val="left"/>
      <w:outlineLvl w:val="2"/>
    </w:pPr>
    <w:rPr>
      <w:rFonts w:ascii="Helvetica" w:hAnsi="Helvetica"/>
      <w:b/>
      <w:i/>
      <w:sz w:val="22"/>
      <w:lang w:val="en-AU"/>
    </w:rPr>
  </w:style>
  <w:style w:type="paragraph" w:styleId="Heading4">
    <w:name w:val="heading 4"/>
    <w:basedOn w:val="Normal"/>
    <w:next w:val="Normal"/>
    <w:qFormat/>
    <w:rsid w:val="00CA5588"/>
    <w:pPr>
      <w:keepNext/>
      <w:spacing w:before="240" w:after="240"/>
      <w:outlineLvl w:val="3"/>
    </w:pPr>
    <w:rPr>
      <w:b/>
      <w:u w:val="single"/>
    </w:rPr>
  </w:style>
  <w:style w:type="paragraph" w:styleId="Heading5">
    <w:name w:val="heading 5"/>
    <w:basedOn w:val="Normal"/>
    <w:next w:val="Normal"/>
    <w:qFormat/>
    <w:rsid w:val="00CA5588"/>
    <w:pPr>
      <w:keepNext/>
      <w:tabs>
        <w:tab w:val="left" w:pos="2977"/>
      </w:tabs>
      <w:jc w:val="left"/>
      <w:outlineLvl w:val="4"/>
    </w:pPr>
    <w:rPr>
      <w:b/>
    </w:rPr>
  </w:style>
  <w:style w:type="paragraph" w:styleId="Heading6">
    <w:name w:val="heading 6"/>
    <w:basedOn w:val="Normal"/>
    <w:next w:val="Normal"/>
    <w:link w:val="Heading6Char"/>
    <w:qFormat/>
    <w:rsid w:val="00CA5588"/>
    <w:pPr>
      <w:keepNext/>
      <w:jc w:val="center"/>
      <w:outlineLvl w:val="5"/>
    </w:pPr>
    <w:rPr>
      <w:b/>
    </w:rPr>
  </w:style>
  <w:style w:type="paragraph" w:styleId="Heading7">
    <w:name w:val="heading 7"/>
    <w:basedOn w:val="Normal"/>
    <w:next w:val="Normal"/>
    <w:qFormat/>
    <w:rsid w:val="00CA558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Arial" w:hAnsi="Arial"/>
      <w:color w:val="0000FF"/>
      <w:u w:val="single"/>
    </w:rPr>
  </w:style>
  <w:style w:type="paragraph" w:styleId="Heading8">
    <w:name w:val="heading 8"/>
    <w:basedOn w:val="Normal"/>
    <w:next w:val="Normal"/>
    <w:qFormat/>
    <w:rsid w:val="00CA5588"/>
    <w:pPr>
      <w:spacing w:before="240" w:after="60"/>
      <w:outlineLvl w:val="7"/>
    </w:pPr>
    <w:rPr>
      <w:rFonts w:ascii="Arial" w:hAnsi="Arial"/>
      <w:i/>
      <w:sz w:val="20"/>
    </w:rPr>
  </w:style>
  <w:style w:type="paragraph" w:styleId="Heading9">
    <w:name w:val="heading 9"/>
    <w:basedOn w:val="Normal"/>
    <w:next w:val="Normal"/>
    <w:qFormat/>
    <w:rsid w:val="00CA558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A5588"/>
    <w:rPr>
      <w:sz w:val="20"/>
    </w:rPr>
  </w:style>
  <w:style w:type="paragraph" w:customStyle="1" w:styleId="text1">
    <w:name w:val="text 1"/>
    <w:basedOn w:val="Normal"/>
    <w:pPr>
      <w:spacing w:after="240"/>
    </w:pPr>
  </w:style>
  <w:style w:type="paragraph" w:customStyle="1" w:styleId="TableHeading">
    <w:name w:val="Table Heading"/>
    <w:basedOn w:val="Normal"/>
    <w:pPr>
      <w:keepNext/>
      <w:keepLines/>
      <w:spacing w:before="60" w:after="60"/>
    </w:pPr>
    <w:rPr>
      <w:b/>
    </w:rPr>
  </w:style>
  <w:style w:type="paragraph" w:customStyle="1" w:styleId="Text10">
    <w:name w:val="Text 1"/>
    <w:basedOn w:val="Normal"/>
    <w:link w:val="Text1Char"/>
    <w:pPr>
      <w:spacing w:after="240"/>
    </w:pPr>
  </w:style>
  <w:style w:type="paragraph" w:styleId="BodyText3">
    <w:name w:val="Body Text 3"/>
    <w:basedOn w:val="Normal"/>
    <w:rsid w:val="00CA5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olor w:val="0000FF"/>
      <w:lang w:val="en-AU"/>
    </w:rPr>
  </w:style>
  <w:style w:type="paragraph" w:styleId="BodyText">
    <w:name w:val="Body Text"/>
    <w:basedOn w:val="Normal"/>
    <w:rsid w:val="00CA5588"/>
    <w:pPr>
      <w:spacing w:line="240" w:lineRule="exact"/>
    </w:pPr>
    <w:rPr>
      <w:rFonts w:ascii="Arial" w:hAnsi="Arial"/>
      <w:b/>
      <w:sz w:val="22"/>
    </w:rPr>
  </w:style>
  <w:style w:type="paragraph" w:styleId="Footer">
    <w:name w:val="footer"/>
    <w:basedOn w:val="Normal"/>
    <w:link w:val="FooterChar"/>
    <w:uiPriority w:val="99"/>
    <w:unhideWhenUsed/>
    <w:rsid w:val="00CA5588"/>
    <w:pPr>
      <w:tabs>
        <w:tab w:val="center" w:pos="4513"/>
        <w:tab w:val="right" w:pos="9026"/>
      </w:tabs>
    </w:pPr>
  </w:style>
  <w:style w:type="paragraph" w:customStyle="1" w:styleId="BulletsText">
    <w:name w:val="Bullets Text"/>
    <w:basedOn w:val="Normal"/>
    <w:pPr>
      <w:numPr>
        <w:numId w:val="11"/>
      </w:numPr>
      <w:spacing w:after="240"/>
    </w:p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sz w:val="16"/>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b/>
    </w:rPr>
  </w:style>
  <w:style w:type="paragraph" w:styleId="Caption">
    <w:name w:val="caption"/>
    <w:basedOn w:val="Normal"/>
    <w:next w:val="Normal"/>
    <w:link w:val="CaptionChar"/>
    <w:qFormat/>
    <w:rsid w:val="00CA5588"/>
    <w:pPr>
      <w:spacing w:before="120" w:after="120"/>
    </w:pPr>
    <w:rPr>
      <w:b/>
    </w:rPr>
  </w:style>
  <w:style w:type="paragraph" w:customStyle="1" w:styleId="TextTi11">
    <w:name w:val="Text:Ti11"/>
    <w:basedOn w:val="Normal"/>
    <w:pPr>
      <w:widowControl w:val="0"/>
      <w:spacing w:after="170" w:line="260" w:lineRule="atLeast"/>
    </w:pPr>
    <w:rPr>
      <w:sz w:val="22"/>
    </w:rPr>
  </w:style>
  <w:style w:type="paragraph" w:styleId="TOC4">
    <w:name w:val="toc 4"/>
    <w:basedOn w:val="Normal"/>
    <w:next w:val="Normal"/>
    <w:autoRedefine/>
    <w:semiHidden/>
    <w:rsid w:val="00CA5588"/>
    <w:pPr>
      <w:ind w:left="720"/>
    </w:pPr>
  </w:style>
  <w:style w:type="paragraph" w:styleId="BodyText2">
    <w:name w:val="Body Text 2"/>
    <w:basedOn w:val="Normal"/>
    <w:rsid w:val="00CA5588"/>
    <w:pPr>
      <w:spacing w:line="240" w:lineRule="exact"/>
      <w:jc w:val="left"/>
    </w:pPr>
    <w:rPr>
      <w:rFonts w:ascii="Arial" w:hAnsi="Arial"/>
      <w:sz w:val="22"/>
    </w:rPr>
  </w:style>
  <w:style w:type="paragraph" w:styleId="Header">
    <w:name w:val="header"/>
    <w:basedOn w:val="Normal"/>
    <w:rsid w:val="00CA5588"/>
    <w:pPr>
      <w:tabs>
        <w:tab w:val="center" w:pos="4320"/>
        <w:tab w:val="right" w:pos="8640"/>
      </w:tabs>
    </w:pPr>
  </w:style>
  <w:style w:type="paragraph" w:customStyle="1" w:styleId="TOCHeadings">
    <w:name w:val="TOC Headings"/>
    <w:basedOn w:val="Normal"/>
    <w:pPr>
      <w:widowControl w:val="0"/>
      <w:tabs>
        <w:tab w:val="center" w:pos="4672"/>
        <w:tab w:val="right" w:pos="9344"/>
      </w:tabs>
      <w:spacing w:before="397" w:after="227"/>
    </w:pPr>
    <w:rPr>
      <w:b/>
      <w:sz w:val="22"/>
    </w:rPr>
  </w:style>
  <w:style w:type="paragraph" w:styleId="BodyTextIndent">
    <w:name w:val="Body Text Indent"/>
    <w:basedOn w:val="Normal"/>
    <w:rsid w:val="00CA5588"/>
    <w:pPr>
      <w:tabs>
        <w:tab w:val="left" w:pos="709"/>
      </w:tabs>
      <w:ind w:left="709" w:hanging="709"/>
    </w:pPr>
  </w:style>
  <w:style w:type="paragraph" w:styleId="CommentText">
    <w:name w:val="annotation text"/>
    <w:aliases w:val="Annotationtext"/>
    <w:basedOn w:val="Normal"/>
    <w:link w:val="CommentTextChar"/>
    <w:semiHidden/>
    <w:rsid w:val="00CA5588"/>
    <w:rPr>
      <w:sz w:val="20"/>
    </w:rPr>
  </w:style>
  <w:style w:type="character" w:styleId="PageNumber">
    <w:name w:val="page number"/>
    <w:rsid w:val="00CA5588"/>
  </w:style>
  <w:style w:type="paragraph" w:styleId="BodyTextIndent2">
    <w:name w:val="Body Text Indent 2"/>
    <w:basedOn w:val="Normal"/>
    <w:rsid w:val="00CA5588"/>
    <w:pPr>
      <w:tabs>
        <w:tab w:val="left" w:pos="2977"/>
      </w:tabs>
      <w:ind w:left="2977" w:hanging="2977"/>
      <w:jc w:val="left"/>
    </w:pPr>
    <w:rPr>
      <w:b/>
    </w:rPr>
  </w:style>
  <w:style w:type="paragraph" w:styleId="BalloonText">
    <w:name w:val="Balloon Text"/>
    <w:basedOn w:val="Normal"/>
    <w:semiHidden/>
    <w:rsid w:val="00CA5588"/>
    <w:rPr>
      <w:rFonts w:ascii="Tahoma" w:hAnsi="Tahoma" w:cs="Tahoma"/>
      <w:sz w:val="16"/>
      <w:szCs w:val="16"/>
    </w:rPr>
  </w:style>
  <w:style w:type="table" w:styleId="TableGrid">
    <w:name w:val="Table Grid"/>
    <w:basedOn w:val="TableNormal"/>
    <w:uiPriority w:val="59"/>
    <w:rsid w:val="00C7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A5588"/>
    <w:rPr>
      <w:sz w:val="16"/>
    </w:rPr>
  </w:style>
  <w:style w:type="paragraph" w:styleId="CommentSubject">
    <w:name w:val="annotation subject"/>
    <w:basedOn w:val="CommentText"/>
    <w:next w:val="CommentText"/>
    <w:semiHidden/>
    <w:rsid w:val="00CA5588"/>
    <w:rPr>
      <w:b/>
      <w:bCs/>
    </w:rPr>
  </w:style>
  <w:style w:type="paragraph" w:styleId="Title">
    <w:name w:val="Title"/>
    <w:basedOn w:val="Normal"/>
    <w:qFormat/>
    <w:rsid w:val="00CA5588"/>
    <w:pPr>
      <w:spacing w:before="240" w:after="60"/>
      <w:jc w:val="center"/>
      <w:outlineLvl w:val="0"/>
    </w:pPr>
    <w:rPr>
      <w:rFonts w:ascii="Arial" w:hAnsi="Arial"/>
      <w:b/>
      <w:kern w:val="28"/>
      <w:sz w:val="32"/>
    </w:rPr>
  </w:style>
  <w:style w:type="paragraph" w:styleId="Subtitle">
    <w:name w:val="Subtitle"/>
    <w:basedOn w:val="Normal"/>
    <w:qFormat/>
    <w:rsid w:val="00CA5588"/>
    <w:pPr>
      <w:spacing w:after="60"/>
      <w:jc w:val="center"/>
      <w:outlineLvl w:val="1"/>
    </w:pPr>
    <w:rPr>
      <w:rFonts w:ascii="Arial" w:hAnsi="Arial"/>
    </w:rPr>
  </w:style>
  <w:style w:type="paragraph" w:customStyle="1" w:styleId="Table-Footer">
    <w:name w:val="Table-Footer"/>
    <w:basedOn w:val="Normal"/>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rPr>
  </w:style>
  <w:style w:type="paragraph" w:customStyle="1" w:styleId="text">
    <w:name w:val="text"/>
    <w:basedOn w:val="Normal"/>
    <w:rsid w:val="0080493A"/>
    <w:pPr>
      <w:spacing w:before="60" w:after="60" w:line="480" w:lineRule="auto"/>
    </w:p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style>
  <w:style w:type="paragraph" w:customStyle="1" w:styleId="text1Char0">
    <w:name w:val="text 1 Char"/>
    <w:basedOn w:val="Normal"/>
    <w:rsid w:val="004C6C7F"/>
    <w:pPr>
      <w:spacing w:after="240"/>
    </w:p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style>
  <w:style w:type="paragraph" w:customStyle="1" w:styleId="Table">
    <w:name w:val="Table"/>
    <w:basedOn w:val="Normal"/>
    <w:rsid w:val="003159FD"/>
    <w:pPr>
      <w:widowControl w:val="0"/>
    </w:pPr>
    <w:rPr>
      <w:sz w:val="18"/>
    </w:rPr>
  </w:style>
  <w:style w:type="paragraph" w:styleId="DocumentMap">
    <w:name w:val="Document Map"/>
    <w:basedOn w:val="Normal"/>
    <w:semiHidden/>
    <w:rsid w:val="00CA5588"/>
    <w:pPr>
      <w:shd w:val="clear" w:color="auto" w:fill="000080"/>
    </w:pPr>
    <w:rPr>
      <w:rFonts w:ascii="Tahoma" w:hAnsi="Tahoma"/>
    </w:rPr>
  </w:style>
  <w:style w:type="paragraph" w:styleId="BlockText">
    <w:name w:val="Block Text"/>
    <w:basedOn w:val="Normal"/>
    <w:rsid w:val="00CA5588"/>
    <w:pPr>
      <w:spacing w:after="120"/>
      <w:ind w:left="1440" w:right="1440"/>
    </w:pPr>
  </w:style>
  <w:style w:type="paragraph" w:styleId="BodyTextFirstIndent">
    <w:name w:val="Body Text First Indent"/>
    <w:basedOn w:val="BodyText"/>
    <w:rsid w:val="00CA5588"/>
    <w:pPr>
      <w:spacing w:after="120" w:line="240" w:lineRule="auto"/>
      <w:ind w:firstLine="210"/>
    </w:pPr>
    <w:rPr>
      <w:rFonts w:ascii="Times New Roman" w:hAnsi="Times New Roman"/>
      <w:b w:val="0"/>
      <w:sz w:val="24"/>
    </w:rPr>
  </w:style>
  <w:style w:type="paragraph" w:styleId="BodyTextFirstIndent2">
    <w:name w:val="Body Text First Indent 2"/>
    <w:basedOn w:val="BodyTextIndent"/>
    <w:rsid w:val="00CA5588"/>
    <w:pPr>
      <w:tabs>
        <w:tab w:val="clear" w:pos="709"/>
      </w:tabs>
      <w:spacing w:after="120"/>
      <w:ind w:left="283" w:firstLine="210"/>
    </w:pPr>
  </w:style>
  <w:style w:type="paragraph" w:styleId="BodyTextIndent3">
    <w:name w:val="Body Text Indent 3"/>
    <w:basedOn w:val="Normal"/>
    <w:rsid w:val="00CA558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20"/>
    </w:pPr>
    <w:rPr>
      <w:rFonts w:ascii="Arial" w:hAnsi="Arial"/>
      <w:lang w:val="en-AU"/>
    </w:rPr>
  </w:style>
  <w:style w:type="paragraph" w:styleId="Closing">
    <w:name w:val="Closing"/>
    <w:basedOn w:val="Normal"/>
    <w:rsid w:val="00CA5588"/>
    <w:pPr>
      <w:ind w:left="4252"/>
    </w:pPr>
  </w:style>
  <w:style w:type="paragraph" w:styleId="Date">
    <w:name w:val="Date"/>
    <w:basedOn w:val="Normal"/>
    <w:next w:val="Normal"/>
    <w:rsid w:val="00CA5588"/>
  </w:style>
  <w:style w:type="paragraph" w:styleId="E-mailSignature">
    <w:name w:val="E-mail Signature"/>
    <w:basedOn w:val="Normal"/>
    <w:rsid w:val="00A341AB"/>
  </w:style>
  <w:style w:type="paragraph" w:styleId="EnvelopeAddress">
    <w:name w:val="envelope address"/>
    <w:basedOn w:val="Normal"/>
    <w:rsid w:val="00CA5588"/>
    <w:pPr>
      <w:framePr w:w="7920" w:h="1980" w:hRule="exact" w:hSpace="180" w:wrap="auto" w:hAnchor="page" w:xAlign="center" w:yAlign="bottom"/>
      <w:ind w:left="2880"/>
    </w:pPr>
    <w:rPr>
      <w:rFonts w:ascii="Arial" w:hAnsi="Arial"/>
    </w:rPr>
  </w:style>
  <w:style w:type="paragraph" w:styleId="EnvelopeReturn">
    <w:name w:val="envelope return"/>
    <w:basedOn w:val="Normal"/>
    <w:rsid w:val="00CA5588"/>
    <w:rPr>
      <w:rFonts w:ascii="Arial" w:hAnsi="Arial"/>
      <w:sz w:val="20"/>
    </w:rPr>
  </w:style>
  <w:style w:type="paragraph" w:styleId="FootnoteText">
    <w:name w:val="footnote text"/>
    <w:basedOn w:val="Normal"/>
    <w:semiHidden/>
    <w:rsid w:val="00CA5588"/>
    <w:rPr>
      <w:sz w:val="20"/>
    </w:rPr>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CA5588"/>
    <w:pPr>
      <w:ind w:left="240" w:hanging="240"/>
    </w:pPr>
  </w:style>
  <w:style w:type="paragraph" w:styleId="Index2">
    <w:name w:val="index 2"/>
    <w:basedOn w:val="Normal"/>
    <w:next w:val="Normal"/>
    <w:autoRedefine/>
    <w:semiHidden/>
    <w:rsid w:val="00CA5588"/>
    <w:pPr>
      <w:ind w:left="480" w:hanging="240"/>
    </w:pPr>
  </w:style>
  <w:style w:type="paragraph" w:styleId="Index3">
    <w:name w:val="index 3"/>
    <w:basedOn w:val="Normal"/>
    <w:next w:val="Normal"/>
    <w:autoRedefine/>
    <w:semiHidden/>
    <w:rsid w:val="00CA5588"/>
    <w:pPr>
      <w:ind w:left="720" w:hanging="240"/>
    </w:pPr>
  </w:style>
  <w:style w:type="paragraph" w:styleId="Index4">
    <w:name w:val="index 4"/>
    <w:basedOn w:val="Normal"/>
    <w:next w:val="Normal"/>
    <w:autoRedefine/>
    <w:semiHidden/>
    <w:rsid w:val="00CA5588"/>
    <w:pPr>
      <w:ind w:left="960" w:hanging="240"/>
    </w:pPr>
  </w:style>
  <w:style w:type="paragraph" w:styleId="Index5">
    <w:name w:val="index 5"/>
    <w:basedOn w:val="Normal"/>
    <w:next w:val="Normal"/>
    <w:autoRedefine/>
    <w:semiHidden/>
    <w:rsid w:val="00CA5588"/>
    <w:pPr>
      <w:ind w:left="1200" w:hanging="240"/>
    </w:pPr>
  </w:style>
  <w:style w:type="paragraph" w:styleId="Index6">
    <w:name w:val="index 6"/>
    <w:basedOn w:val="Normal"/>
    <w:next w:val="Normal"/>
    <w:autoRedefine/>
    <w:semiHidden/>
    <w:rsid w:val="00CA5588"/>
    <w:pPr>
      <w:ind w:left="1440" w:hanging="240"/>
    </w:pPr>
  </w:style>
  <w:style w:type="paragraph" w:styleId="Index7">
    <w:name w:val="index 7"/>
    <w:basedOn w:val="Normal"/>
    <w:next w:val="Normal"/>
    <w:autoRedefine/>
    <w:semiHidden/>
    <w:rsid w:val="00CA5588"/>
    <w:pPr>
      <w:ind w:left="1680" w:hanging="240"/>
    </w:pPr>
  </w:style>
  <w:style w:type="paragraph" w:styleId="Index8">
    <w:name w:val="index 8"/>
    <w:basedOn w:val="Normal"/>
    <w:next w:val="Normal"/>
    <w:autoRedefine/>
    <w:semiHidden/>
    <w:rsid w:val="00CA5588"/>
    <w:pPr>
      <w:ind w:left="1920" w:hanging="240"/>
    </w:pPr>
  </w:style>
  <w:style w:type="paragraph" w:styleId="Index9">
    <w:name w:val="index 9"/>
    <w:basedOn w:val="Normal"/>
    <w:next w:val="Normal"/>
    <w:autoRedefine/>
    <w:semiHidden/>
    <w:rsid w:val="00CA5588"/>
    <w:pPr>
      <w:ind w:left="2160" w:hanging="240"/>
    </w:pPr>
  </w:style>
  <w:style w:type="paragraph" w:styleId="IndexHeading">
    <w:name w:val="index heading"/>
    <w:basedOn w:val="Normal"/>
    <w:next w:val="Index1"/>
    <w:semiHidden/>
    <w:rsid w:val="00CA5588"/>
    <w:rPr>
      <w:rFonts w:ascii="Arial" w:hAnsi="Arial"/>
      <w:b/>
    </w:rPr>
  </w:style>
  <w:style w:type="paragraph" w:styleId="List">
    <w:name w:val="List"/>
    <w:basedOn w:val="Normal"/>
    <w:rsid w:val="00CA5588"/>
    <w:pPr>
      <w:ind w:left="283" w:hanging="283"/>
    </w:pPr>
  </w:style>
  <w:style w:type="paragraph" w:styleId="List2">
    <w:name w:val="List 2"/>
    <w:basedOn w:val="Normal"/>
    <w:rsid w:val="00CA5588"/>
    <w:pPr>
      <w:ind w:left="566" w:hanging="283"/>
    </w:pPr>
  </w:style>
  <w:style w:type="paragraph" w:styleId="List3">
    <w:name w:val="List 3"/>
    <w:basedOn w:val="Normal"/>
    <w:rsid w:val="00CA5588"/>
    <w:pPr>
      <w:ind w:left="849" w:hanging="283"/>
    </w:pPr>
  </w:style>
  <w:style w:type="paragraph" w:styleId="List4">
    <w:name w:val="List 4"/>
    <w:basedOn w:val="Normal"/>
    <w:rsid w:val="00CA5588"/>
    <w:pPr>
      <w:ind w:left="1132" w:hanging="283"/>
    </w:pPr>
  </w:style>
  <w:style w:type="paragraph" w:styleId="List5">
    <w:name w:val="List 5"/>
    <w:basedOn w:val="Normal"/>
    <w:rsid w:val="00CA5588"/>
    <w:pPr>
      <w:ind w:left="1415" w:hanging="283"/>
    </w:pPr>
  </w:style>
  <w:style w:type="paragraph" w:styleId="ListBullet">
    <w:name w:val="List Bullet"/>
    <w:basedOn w:val="Normal"/>
    <w:autoRedefine/>
    <w:rsid w:val="00CA5588"/>
    <w:pPr>
      <w:numPr>
        <w:numId w:val="82"/>
      </w:numPr>
    </w:pPr>
  </w:style>
  <w:style w:type="paragraph" w:styleId="ListBullet2">
    <w:name w:val="List Bullet 2"/>
    <w:basedOn w:val="Normal"/>
    <w:autoRedefine/>
    <w:rsid w:val="00CA5588"/>
    <w:pPr>
      <w:numPr>
        <w:numId w:val="83"/>
      </w:numPr>
    </w:pPr>
  </w:style>
  <w:style w:type="paragraph" w:styleId="ListBullet3">
    <w:name w:val="List Bullet 3"/>
    <w:basedOn w:val="Normal"/>
    <w:autoRedefine/>
    <w:rsid w:val="00CA5588"/>
    <w:pPr>
      <w:numPr>
        <w:numId w:val="84"/>
      </w:numPr>
    </w:pPr>
  </w:style>
  <w:style w:type="paragraph" w:styleId="ListBullet4">
    <w:name w:val="List Bullet 4"/>
    <w:basedOn w:val="Normal"/>
    <w:autoRedefine/>
    <w:rsid w:val="00CA5588"/>
    <w:pPr>
      <w:numPr>
        <w:numId w:val="85"/>
      </w:numPr>
    </w:pPr>
  </w:style>
  <w:style w:type="paragraph" w:styleId="ListBullet5">
    <w:name w:val="List Bullet 5"/>
    <w:basedOn w:val="Normal"/>
    <w:autoRedefine/>
    <w:rsid w:val="00CA5588"/>
    <w:pPr>
      <w:numPr>
        <w:numId w:val="86"/>
      </w:numPr>
    </w:pPr>
  </w:style>
  <w:style w:type="paragraph" w:styleId="ListContinue">
    <w:name w:val="List Continue"/>
    <w:basedOn w:val="Normal"/>
    <w:rsid w:val="00CA5588"/>
    <w:pPr>
      <w:spacing w:after="120"/>
      <w:ind w:left="283"/>
    </w:pPr>
  </w:style>
  <w:style w:type="paragraph" w:styleId="ListContinue2">
    <w:name w:val="List Continue 2"/>
    <w:basedOn w:val="Normal"/>
    <w:rsid w:val="00CA5588"/>
    <w:pPr>
      <w:spacing w:after="120"/>
      <w:ind w:left="566"/>
    </w:pPr>
  </w:style>
  <w:style w:type="paragraph" w:styleId="ListContinue3">
    <w:name w:val="List Continue 3"/>
    <w:basedOn w:val="Normal"/>
    <w:rsid w:val="00CA5588"/>
    <w:pPr>
      <w:spacing w:after="120"/>
      <w:ind w:left="849"/>
    </w:pPr>
  </w:style>
  <w:style w:type="paragraph" w:styleId="ListContinue4">
    <w:name w:val="List Continue 4"/>
    <w:basedOn w:val="Normal"/>
    <w:rsid w:val="00CA5588"/>
    <w:pPr>
      <w:spacing w:after="120"/>
      <w:ind w:left="1132"/>
    </w:pPr>
  </w:style>
  <w:style w:type="paragraph" w:styleId="ListContinue5">
    <w:name w:val="List Continue 5"/>
    <w:basedOn w:val="Normal"/>
    <w:rsid w:val="00CA5588"/>
    <w:pPr>
      <w:spacing w:after="120"/>
      <w:ind w:left="1415"/>
    </w:pPr>
  </w:style>
  <w:style w:type="paragraph" w:styleId="ListNumber">
    <w:name w:val="List Number"/>
    <w:basedOn w:val="Normal"/>
    <w:rsid w:val="00CA5588"/>
    <w:pPr>
      <w:numPr>
        <w:numId w:val="87"/>
      </w:numPr>
    </w:pPr>
  </w:style>
  <w:style w:type="paragraph" w:styleId="ListNumber2">
    <w:name w:val="List Number 2"/>
    <w:basedOn w:val="Normal"/>
    <w:rsid w:val="00CA5588"/>
    <w:pPr>
      <w:numPr>
        <w:numId w:val="88"/>
      </w:numPr>
    </w:pPr>
  </w:style>
  <w:style w:type="paragraph" w:styleId="ListNumber3">
    <w:name w:val="List Number 3"/>
    <w:basedOn w:val="Normal"/>
    <w:rsid w:val="00CA5588"/>
    <w:pPr>
      <w:numPr>
        <w:numId w:val="89"/>
      </w:numPr>
    </w:pPr>
  </w:style>
  <w:style w:type="paragraph" w:styleId="ListNumber4">
    <w:name w:val="List Number 4"/>
    <w:basedOn w:val="Normal"/>
    <w:rsid w:val="00CA5588"/>
    <w:pPr>
      <w:numPr>
        <w:numId w:val="90"/>
      </w:numPr>
    </w:pPr>
  </w:style>
  <w:style w:type="paragraph" w:styleId="ListNumber5">
    <w:name w:val="List Number 5"/>
    <w:basedOn w:val="Normal"/>
    <w:rsid w:val="00CA5588"/>
    <w:pPr>
      <w:numPr>
        <w:numId w:val="91"/>
      </w:numPr>
    </w:pPr>
  </w:style>
  <w:style w:type="paragraph" w:styleId="MacroText">
    <w:name w:val="macro"/>
    <w:semiHidden/>
    <w:rsid w:val="00CA558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US"/>
    </w:rPr>
  </w:style>
  <w:style w:type="paragraph" w:styleId="MessageHeader">
    <w:name w:val="Message Header"/>
    <w:basedOn w:val="Normal"/>
    <w:rsid w:val="00CA5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Web">
    <w:name w:val="Normal (Web)"/>
    <w:basedOn w:val="Normal"/>
    <w:rsid w:val="00A341AB"/>
    <w:rPr>
      <w:szCs w:val="24"/>
    </w:rPr>
  </w:style>
  <w:style w:type="paragraph" w:styleId="NormalIndent">
    <w:name w:val="Normal Indent"/>
    <w:basedOn w:val="Normal"/>
    <w:rsid w:val="00CA5588"/>
    <w:pPr>
      <w:ind w:left="720"/>
    </w:pPr>
  </w:style>
  <w:style w:type="paragraph" w:styleId="NoteHeading">
    <w:name w:val="Note Heading"/>
    <w:basedOn w:val="Normal"/>
    <w:next w:val="Normal"/>
    <w:rsid w:val="00CA5588"/>
  </w:style>
  <w:style w:type="paragraph" w:styleId="PlainText">
    <w:name w:val="Plain Text"/>
    <w:basedOn w:val="Normal"/>
    <w:rsid w:val="00CA5588"/>
    <w:rPr>
      <w:rFonts w:ascii="Courier New" w:hAnsi="Courier New"/>
      <w:sz w:val="20"/>
    </w:rPr>
  </w:style>
  <w:style w:type="paragraph" w:styleId="Salutation">
    <w:name w:val="Salutation"/>
    <w:basedOn w:val="Normal"/>
    <w:next w:val="Normal"/>
    <w:rsid w:val="00CA5588"/>
  </w:style>
  <w:style w:type="paragraph" w:styleId="Signature">
    <w:name w:val="Signature"/>
    <w:basedOn w:val="Normal"/>
    <w:rsid w:val="00CA5588"/>
    <w:pPr>
      <w:ind w:left="4252"/>
    </w:pPr>
  </w:style>
  <w:style w:type="paragraph" w:styleId="TableofAuthorities">
    <w:name w:val="table of authorities"/>
    <w:basedOn w:val="Normal"/>
    <w:next w:val="Normal"/>
    <w:semiHidden/>
    <w:rsid w:val="00CA5588"/>
    <w:pPr>
      <w:ind w:left="240" w:hanging="240"/>
    </w:pPr>
  </w:style>
  <w:style w:type="paragraph" w:styleId="TableofFigures">
    <w:name w:val="table of figures"/>
    <w:basedOn w:val="Normal"/>
    <w:next w:val="Normal"/>
    <w:semiHidden/>
    <w:rsid w:val="00CA5588"/>
    <w:pPr>
      <w:ind w:left="480" w:hanging="480"/>
    </w:pPr>
  </w:style>
  <w:style w:type="paragraph" w:styleId="TOAHeading">
    <w:name w:val="toa heading"/>
    <w:basedOn w:val="Normal"/>
    <w:next w:val="Normal"/>
    <w:semiHidden/>
    <w:rsid w:val="00CA5588"/>
    <w:pPr>
      <w:spacing w:before="120"/>
    </w:pPr>
    <w:rPr>
      <w:rFonts w:ascii="Arial" w:hAnsi="Arial"/>
      <w:b/>
    </w:rPr>
  </w:style>
  <w:style w:type="paragraph" w:styleId="TOC1">
    <w:name w:val="toc 1"/>
    <w:basedOn w:val="Normal"/>
    <w:next w:val="Normal"/>
    <w:autoRedefine/>
    <w:semiHidden/>
    <w:rsid w:val="00CA5588"/>
  </w:style>
  <w:style w:type="paragraph" w:styleId="TOC2">
    <w:name w:val="toc 2"/>
    <w:basedOn w:val="Normal"/>
    <w:next w:val="Normal"/>
    <w:autoRedefine/>
    <w:semiHidden/>
    <w:rsid w:val="00CA5588"/>
    <w:pPr>
      <w:ind w:left="240"/>
    </w:pPr>
  </w:style>
  <w:style w:type="paragraph" w:styleId="TOC3">
    <w:name w:val="toc 3"/>
    <w:basedOn w:val="Normal"/>
    <w:next w:val="Normal"/>
    <w:autoRedefine/>
    <w:semiHidden/>
    <w:rsid w:val="00CA5588"/>
    <w:pPr>
      <w:ind w:left="480"/>
    </w:pPr>
  </w:style>
  <w:style w:type="paragraph" w:styleId="TOC5">
    <w:name w:val="toc 5"/>
    <w:basedOn w:val="Normal"/>
    <w:next w:val="Normal"/>
    <w:autoRedefine/>
    <w:semiHidden/>
    <w:rsid w:val="00CA5588"/>
    <w:pPr>
      <w:ind w:left="960"/>
    </w:pPr>
  </w:style>
  <w:style w:type="paragraph" w:styleId="TOC6">
    <w:name w:val="toc 6"/>
    <w:basedOn w:val="Normal"/>
    <w:next w:val="Normal"/>
    <w:autoRedefine/>
    <w:semiHidden/>
    <w:rsid w:val="00CA5588"/>
    <w:pPr>
      <w:ind w:left="1200"/>
    </w:pPr>
  </w:style>
  <w:style w:type="paragraph" w:styleId="TOC7">
    <w:name w:val="toc 7"/>
    <w:basedOn w:val="Normal"/>
    <w:next w:val="Normal"/>
    <w:autoRedefine/>
    <w:semiHidden/>
    <w:rsid w:val="00CA5588"/>
    <w:pPr>
      <w:ind w:left="1440"/>
    </w:pPr>
  </w:style>
  <w:style w:type="paragraph" w:styleId="TOC8">
    <w:name w:val="toc 8"/>
    <w:basedOn w:val="Normal"/>
    <w:next w:val="Normal"/>
    <w:autoRedefine/>
    <w:semiHidden/>
    <w:rsid w:val="00CA5588"/>
    <w:pPr>
      <w:ind w:left="1680"/>
    </w:pPr>
  </w:style>
  <w:style w:type="paragraph" w:styleId="TOC9">
    <w:name w:val="toc 9"/>
    <w:basedOn w:val="Normal"/>
    <w:next w:val="Normal"/>
    <w:autoRedefine/>
    <w:semiHidden/>
    <w:rsid w:val="00CA5588"/>
    <w:pPr>
      <w:ind w:left="1920"/>
    </w:pPr>
  </w:style>
  <w:style w:type="paragraph" w:customStyle="1" w:styleId="Table1">
    <w:name w:val="Table1"/>
    <w:rsid w:val="00132382"/>
    <w:pPr>
      <w:spacing w:before="120" w:after="120"/>
    </w:pPr>
    <w:rPr>
      <w:rFonts w:ascii="Palatino Linotype" w:hAnsi="Palatino Linotype"/>
      <w:b/>
      <w:noProof/>
      <w:sz w:val="22"/>
      <w:lang w:eastAsia="en-US"/>
    </w:rPr>
  </w:style>
  <w:style w:type="paragraph" w:customStyle="1" w:styleId="Default">
    <w:name w:val="Default"/>
    <w:rsid w:val="008A7C1D"/>
    <w:pPr>
      <w:autoSpaceDE w:val="0"/>
      <w:autoSpaceDN w:val="0"/>
      <w:adjustRightInd w:val="0"/>
    </w:pPr>
    <w:rPr>
      <w:color w:val="000000"/>
      <w:sz w:val="24"/>
      <w:szCs w:val="24"/>
    </w:rPr>
  </w:style>
  <w:style w:type="character" w:customStyle="1" w:styleId="CommentTextChar">
    <w:name w:val="Comment Text Char"/>
    <w:aliases w:val="Annotationtext Char"/>
    <w:link w:val="CommentText"/>
    <w:semiHidden/>
    <w:rsid w:val="007B61F3"/>
    <w:rPr>
      <w:lang w:val="en-US"/>
    </w:rPr>
  </w:style>
  <w:style w:type="paragraph" w:customStyle="1" w:styleId="BulletText">
    <w:name w:val="Bullet Text"/>
    <w:basedOn w:val="Normal"/>
    <w:link w:val="BulletTextChar"/>
    <w:rsid w:val="00F35C7E"/>
    <w:pPr>
      <w:numPr>
        <w:numId w:val="34"/>
      </w:numPr>
      <w:spacing w:before="120"/>
    </w:pPr>
    <w:rPr>
      <w:rFonts w:cs="Arial"/>
      <w:szCs w:val="24"/>
    </w:rPr>
  </w:style>
  <w:style w:type="character" w:customStyle="1" w:styleId="BulletTextChar">
    <w:name w:val="Bullet Text Char"/>
    <w:link w:val="BulletText"/>
    <w:rsid w:val="00F35C7E"/>
    <w:rPr>
      <w:rFonts w:ascii="Arial" w:hAnsi="Arial" w:cs="Arial"/>
      <w:sz w:val="24"/>
      <w:szCs w:val="24"/>
    </w:rPr>
  </w:style>
  <w:style w:type="character" w:customStyle="1" w:styleId="Text1Char">
    <w:name w:val="Text 1 Char"/>
    <w:link w:val="Text10"/>
    <w:rsid w:val="00487739"/>
    <w:rPr>
      <w:sz w:val="24"/>
    </w:rPr>
  </w:style>
  <w:style w:type="character" w:customStyle="1" w:styleId="DeltaViewInsertion">
    <w:name w:val="DeltaView Insertion"/>
    <w:rsid w:val="001A47BA"/>
    <w:rPr>
      <w:color w:val="0000FF"/>
      <w:spacing w:val="0"/>
      <w:u w:val="double"/>
    </w:rPr>
  </w:style>
  <w:style w:type="character" w:customStyle="1" w:styleId="CaptionChar">
    <w:name w:val="Caption Char"/>
    <w:link w:val="Caption"/>
    <w:rsid w:val="001A47BA"/>
    <w:rPr>
      <w:b/>
      <w:sz w:val="24"/>
      <w:lang w:val="en-US"/>
    </w:rPr>
  </w:style>
  <w:style w:type="character" w:customStyle="1" w:styleId="Table-TextChar">
    <w:name w:val="Table-Text Char"/>
    <w:link w:val="Table-Text"/>
    <w:locked/>
    <w:rsid w:val="001A47BA"/>
    <w:rPr>
      <w:sz w:val="16"/>
    </w:rPr>
  </w:style>
  <w:style w:type="paragraph" w:styleId="ListParagraph">
    <w:name w:val="List Paragraph"/>
    <w:basedOn w:val="Normal"/>
    <w:uiPriority w:val="34"/>
    <w:qFormat/>
    <w:rsid w:val="00FE7286"/>
    <w:pPr>
      <w:ind w:left="720"/>
    </w:pPr>
  </w:style>
  <w:style w:type="paragraph" w:customStyle="1" w:styleId="ActiveIngredientGenericname">
    <w:name w:val="Active Ingredient Generic name"/>
    <w:basedOn w:val="Normal"/>
    <w:rsid w:val="00CA5588"/>
    <w:pPr>
      <w:suppressAutoHyphens/>
      <w:spacing w:after="120" w:line="280" w:lineRule="exact"/>
      <w:jc w:val="left"/>
    </w:pPr>
    <w:rPr>
      <w:b/>
      <w:i/>
      <w:sz w:val="30"/>
      <w:szCs w:val="30"/>
      <w:lang w:eastAsia="en-US"/>
    </w:rPr>
  </w:style>
  <w:style w:type="paragraph" w:customStyle="1" w:styleId="BrandName">
    <w:name w:val="Brand Name"/>
    <w:basedOn w:val="Normal"/>
    <w:rsid w:val="00CA5588"/>
    <w:pPr>
      <w:suppressAutoHyphens/>
      <w:spacing w:after="60"/>
      <w:jc w:val="left"/>
    </w:pPr>
    <w:rPr>
      <w:rFonts w:ascii="Helvetica" w:hAnsi="Helvetica"/>
      <w:b/>
      <w:sz w:val="60"/>
      <w:lang w:eastAsia="en-US"/>
    </w:rPr>
  </w:style>
  <w:style w:type="paragraph" w:customStyle="1" w:styleId="Bullet">
    <w:name w:val="Bullet"/>
    <w:basedOn w:val="Normal"/>
    <w:rsid w:val="00CA5588"/>
    <w:pPr>
      <w:spacing w:after="240"/>
    </w:pPr>
  </w:style>
  <w:style w:type="paragraph" w:customStyle="1" w:styleId="Bullet1">
    <w:name w:val="Bullet 1"/>
    <w:basedOn w:val="Normal"/>
    <w:rsid w:val="00CA5588"/>
    <w:pPr>
      <w:numPr>
        <w:numId w:val="77"/>
      </w:numPr>
    </w:pPr>
  </w:style>
  <w:style w:type="paragraph" w:customStyle="1" w:styleId="bullet10">
    <w:name w:val="bullet 1"/>
    <w:basedOn w:val="Normal"/>
    <w:rsid w:val="00CA5588"/>
    <w:pPr>
      <w:widowControl w:val="0"/>
      <w:numPr>
        <w:numId w:val="78"/>
      </w:numPr>
      <w:tabs>
        <w:tab w:val="left" w:pos="680"/>
      </w:tabs>
      <w:spacing w:after="240"/>
    </w:pPr>
    <w:rPr>
      <w:snapToGrid w:val="0"/>
      <w:lang w:eastAsia="en-US"/>
    </w:rPr>
  </w:style>
  <w:style w:type="paragraph" w:customStyle="1" w:styleId="Bullet2">
    <w:name w:val="Bullet 2"/>
    <w:basedOn w:val="Bullet"/>
    <w:rsid w:val="00CA5588"/>
    <w:pPr>
      <w:numPr>
        <w:numId w:val="79"/>
      </w:numPr>
      <w:suppressAutoHyphens/>
    </w:pPr>
    <w:rPr>
      <w:sz w:val="22"/>
    </w:rPr>
  </w:style>
  <w:style w:type="paragraph" w:customStyle="1" w:styleId="chemical">
    <w:name w:val="chemical"/>
    <w:basedOn w:val="Normal"/>
    <w:rsid w:val="00CA5588"/>
    <w:pPr>
      <w:tabs>
        <w:tab w:val="left" w:pos="1380"/>
      </w:tabs>
      <w:spacing w:line="220" w:lineRule="exact"/>
      <w:ind w:right="40"/>
      <w:jc w:val="left"/>
    </w:pPr>
    <w:rPr>
      <w:i/>
      <w:color w:val="000000"/>
      <w:sz w:val="22"/>
    </w:rPr>
  </w:style>
  <w:style w:type="paragraph" w:customStyle="1" w:styleId="CMI">
    <w:name w:val="CMI"/>
    <w:basedOn w:val="Heading1"/>
    <w:rsid w:val="00CA5588"/>
    <w:pPr>
      <w:suppressAutoHyphens/>
      <w:spacing w:after="180" w:line="360" w:lineRule="exact"/>
    </w:pPr>
    <w:rPr>
      <w:sz w:val="22"/>
      <w:szCs w:val="22"/>
      <w:lang w:eastAsia="en-US"/>
    </w:rPr>
  </w:style>
  <w:style w:type="paragraph" w:customStyle="1" w:styleId="CMIExplanation">
    <w:name w:val="CMI Explanation"/>
    <w:basedOn w:val="Normal"/>
    <w:rsid w:val="00CA5588"/>
    <w:pPr>
      <w:spacing w:before="20" w:after="80"/>
      <w:jc w:val="left"/>
    </w:pPr>
    <w:rPr>
      <w:snapToGrid w:val="0"/>
      <w:sz w:val="20"/>
      <w:lang w:val="en-AU" w:eastAsia="en-US"/>
    </w:rPr>
  </w:style>
  <w:style w:type="paragraph" w:customStyle="1" w:styleId="CMIExplanationafterinstruction">
    <w:name w:val="CMI Explanation after instruction"/>
    <w:basedOn w:val="Normal"/>
    <w:rsid w:val="00CA5588"/>
    <w:pPr>
      <w:tabs>
        <w:tab w:val="left" w:pos="425"/>
      </w:tabs>
      <w:spacing w:after="80"/>
      <w:jc w:val="left"/>
    </w:pPr>
    <w:rPr>
      <w:snapToGrid w:val="0"/>
      <w:sz w:val="20"/>
      <w:lang w:val="en-AU" w:eastAsia="en-US"/>
    </w:rPr>
  </w:style>
  <w:style w:type="paragraph" w:customStyle="1" w:styleId="CMIInstruction">
    <w:name w:val="CMI Instruction"/>
    <w:basedOn w:val="CMIExplanation"/>
    <w:rsid w:val="00CA5588"/>
    <w:rPr>
      <w:b/>
    </w:rPr>
  </w:style>
  <w:style w:type="paragraph" w:customStyle="1" w:styleId="CPI">
    <w:name w:val="CPI"/>
    <w:basedOn w:val="Normal"/>
    <w:rsid w:val="00CA5588"/>
    <w:pPr>
      <w:spacing w:before="60" w:after="180" w:line="360" w:lineRule="exact"/>
      <w:ind w:right="-8505"/>
      <w:jc w:val="left"/>
    </w:pPr>
    <w:rPr>
      <w:rFonts w:ascii="Arial" w:hAnsi="Arial"/>
      <w:b/>
      <w:color w:val="000000"/>
      <w:sz w:val="22"/>
    </w:rPr>
  </w:style>
  <w:style w:type="paragraph" w:customStyle="1" w:styleId="expl">
    <w:name w:val="expl"/>
    <w:basedOn w:val="Normal"/>
    <w:rsid w:val="00CA5588"/>
    <w:pPr>
      <w:spacing w:before="20" w:after="80" w:line="260" w:lineRule="exact"/>
      <w:jc w:val="left"/>
    </w:pPr>
    <w:rPr>
      <w:sz w:val="20"/>
      <w:lang w:val="en-AU"/>
    </w:rPr>
  </w:style>
  <w:style w:type="paragraph" w:customStyle="1" w:styleId="explanation">
    <w:name w:val="explanation"/>
    <w:basedOn w:val="Normal"/>
    <w:rsid w:val="00CA5588"/>
    <w:pPr>
      <w:spacing w:before="20" w:after="80" w:line="260" w:lineRule="exact"/>
      <w:jc w:val="left"/>
    </w:pPr>
    <w:rPr>
      <w:color w:val="000000"/>
      <w:sz w:val="20"/>
    </w:rPr>
  </w:style>
  <w:style w:type="paragraph" w:customStyle="1" w:styleId="ExplanationCMI">
    <w:name w:val="Explanation CMI"/>
    <w:basedOn w:val="Normal"/>
    <w:link w:val="ExplanationCMIChar"/>
    <w:rsid w:val="00CA5588"/>
    <w:pPr>
      <w:suppressAutoHyphens/>
      <w:spacing w:before="20" w:after="80" w:line="260" w:lineRule="exact"/>
      <w:jc w:val="left"/>
    </w:pPr>
    <w:rPr>
      <w:sz w:val="20"/>
      <w:lang w:val="en-AU"/>
    </w:rPr>
  </w:style>
  <w:style w:type="character" w:customStyle="1" w:styleId="ExplanationCMIChar">
    <w:name w:val="Explanation CMI Char"/>
    <w:link w:val="ExplanationCMI"/>
    <w:rsid w:val="00CA5588"/>
  </w:style>
  <w:style w:type="paragraph" w:customStyle="1" w:styleId="expldot">
    <w:name w:val="expldot"/>
    <w:basedOn w:val="expl"/>
    <w:rsid w:val="00CA5588"/>
    <w:pPr>
      <w:tabs>
        <w:tab w:val="left" w:pos="284"/>
        <w:tab w:val="left" w:pos="567"/>
        <w:tab w:val="left" w:pos="851"/>
        <w:tab w:val="left" w:pos="1134"/>
        <w:tab w:val="left" w:pos="1418"/>
      </w:tabs>
    </w:pPr>
  </w:style>
  <w:style w:type="paragraph" w:customStyle="1" w:styleId="expldot1">
    <w:name w:val="expldot1"/>
    <w:basedOn w:val="expl"/>
    <w:qFormat/>
    <w:rsid w:val="00CA5588"/>
    <w:pPr>
      <w:numPr>
        <w:numId w:val="80"/>
      </w:numPr>
      <w:tabs>
        <w:tab w:val="left" w:pos="284"/>
        <w:tab w:val="left" w:pos="567"/>
        <w:tab w:val="left" w:pos="851"/>
        <w:tab w:val="left" w:pos="1134"/>
        <w:tab w:val="left" w:pos="1418"/>
      </w:tabs>
    </w:pPr>
  </w:style>
  <w:style w:type="paragraph" w:customStyle="1" w:styleId="expldot2">
    <w:name w:val="expldot2"/>
    <w:basedOn w:val="expldot1"/>
    <w:qFormat/>
    <w:rsid w:val="00CA5588"/>
    <w:pPr>
      <w:numPr>
        <w:numId w:val="0"/>
      </w:numPr>
    </w:pPr>
  </w:style>
  <w:style w:type="character" w:styleId="FollowedHyperlink">
    <w:name w:val="FollowedHyperlink"/>
    <w:rsid w:val="00CA5588"/>
    <w:rPr>
      <w:color w:val="800080"/>
      <w:u w:val="none"/>
    </w:rPr>
  </w:style>
  <w:style w:type="character" w:customStyle="1" w:styleId="FooterChar">
    <w:name w:val="Footer Char"/>
    <w:link w:val="Footer"/>
    <w:uiPriority w:val="99"/>
    <w:rsid w:val="00CA5588"/>
    <w:rPr>
      <w:sz w:val="24"/>
      <w:lang w:val="en-US"/>
    </w:rPr>
  </w:style>
  <w:style w:type="paragraph" w:customStyle="1" w:styleId="genericname">
    <w:name w:val="generic name"/>
    <w:basedOn w:val="Normal"/>
    <w:rsid w:val="00CA5588"/>
    <w:pPr>
      <w:pBdr>
        <w:bottom w:val="single" w:sz="4" w:space="3" w:color="000000"/>
      </w:pBdr>
      <w:spacing w:after="80"/>
      <w:jc w:val="left"/>
    </w:pPr>
    <w:rPr>
      <w:rFonts w:ascii="Helvetica" w:hAnsi="Helvetica"/>
      <w:i/>
      <w:sz w:val="22"/>
      <w:lang w:val="en-AU"/>
    </w:rPr>
  </w:style>
  <w:style w:type="paragraph" w:customStyle="1" w:styleId="heading1topcol">
    <w:name w:val="heading 1 top col"/>
    <w:basedOn w:val="Heading1"/>
    <w:rsid w:val="00CA5588"/>
    <w:pPr>
      <w:pBdr>
        <w:top w:val="single" w:sz="6" w:space="3" w:color="auto"/>
        <w:bottom w:val="single" w:sz="6" w:space="3" w:color="auto"/>
      </w:pBdr>
      <w:tabs>
        <w:tab w:val="left" w:pos="425"/>
      </w:tabs>
      <w:spacing w:before="480" w:after="180" w:line="240" w:lineRule="atLeast"/>
      <w:ind w:left="357" w:right="62" w:hanging="357"/>
      <w:outlineLvl w:val="9"/>
    </w:pPr>
    <w:rPr>
      <w:rFonts w:ascii="Arial" w:hAnsi="Arial"/>
      <w:color w:val="000000"/>
      <w:sz w:val="28"/>
    </w:rPr>
  </w:style>
  <w:style w:type="paragraph" w:customStyle="1" w:styleId="Heading2MAINFIRST">
    <w:name w:val="Heading 2 MAIN FIRST"/>
    <w:basedOn w:val="Heading2"/>
    <w:rsid w:val="00CA5588"/>
    <w:pPr>
      <w:spacing w:before="0"/>
    </w:pPr>
  </w:style>
  <w:style w:type="paragraph" w:customStyle="1" w:styleId="heading2topcol">
    <w:name w:val="heading 2 top col"/>
    <w:basedOn w:val="Heading2"/>
    <w:rsid w:val="00CA5588"/>
    <w:pPr>
      <w:keepNext w:val="0"/>
      <w:tabs>
        <w:tab w:val="left" w:pos="425"/>
        <w:tab w:val="right" w:pos="3020"/>
      </w:tabs>
      <w:spacing w:before="240" w:after="120" w:line="240" w:lineRule="atLeast"/>
      <w:ind w:left="425" w:hanging="425"/>
      <w:jc w:val="both"/>
      <w:outlineLvl w:val="9"/>
    </w:pPr>
    <w:rPr>
      <w:rFonts w:ascii="Arial" w:hAnsi="Arial"/>
      <w:i/>
      <w:color w:val="000000"/>
      <w:sz w:val="22"/>
    </w:rPr>
  </w:style>
  <w:style w:type="paragraph" w:customStyle="1" w:styleId="Heading3FIRST">
    <w:name w:val="Heading 3 FIRST"/>
    <w:basedOn w:val="Heading3"/>
    <w:qFormat/>
    <w:rsid w:val="00CA5588"/>
    <w:pPr>
      <w:spacing w:before="0"/>
    </w:pPr>
  </w:style>
  <w:style w:type="character" w:customStyle="1" w:styleId="Heading6Char">
    <w:name w:val="Heading 6 Char"/>
    <w:link w:val="Heading6"/>
    <w:rsid w:val="00CA5588"/>
    <w:rPr>
      <w:b/>
      <w:sz w:val="24"/>
      <w:lang w:val="en-US"/>
    </w:rPr>
  </w:style>
  <w:style w:type="paragraph" w:customStyle="1" w:styleId="inst">
    <w:name w:val="inst"/>
    <w:basedOn w:val="expl"/>
    <w:rsid w:val="00CA5588"/>
    <w:rPr>
      <w:b/>
      <w:bCs/>
    </w:rPr>
  </w:style>
  <w:style w:type="paragraph" w:customStyle="1" w:styleId="instdot">
    <w:name w:val="instdot"/>
    <w:basedOn w:val="inst"/>
    <w:rsid w:val="00CA5588"/>
    <w:pPr>
      <w:tabs>
        <w:tab w:val="left" w:pos="284"/>
        <w:tab w:val="left" w:pos="567"/>
        <w:tab w:val="left" w:pos="851"/>
        <w:tab w:val="left" w:pos="1134"/>
        <w:tab w:val="left" w:pos="1418"/>
      </w:tabs>
    </w:pPr>
  </w:style>
  <w:style w:type="paragraph" w:customStyle="1" w:styleId="instdot1">
    <w:name w:val="instdot1"/>
    <w:basedOn w:val="instdot"/>
    <w:qFormat/>
    <w:rsid w:val="00CA5588"/>
    <w:pPr>
      <w:numPr>
        <w:numId w:val="81"/>
      </w:numPr>
    </w:pPr>
  </w:style>
  <w:style w:type="paragraph" w:customStyle="1" w:styleId="instdot2">
    <w:name w:val="instdot2"/>
    <w:basedOn w:val="instdot1"/>
    <w:qFormat/>
    <w:rsid w:val="00CA5588"/>
    <w:pPr>
      <w:numPr>
        <w:numId w:val="0"/>
      </w:numPr>
    </w:pPr>
  </w:style>
  <w:style w:type="paragraph" w:customStyle="1" w:styleId="instnum1">
    <w:name w:val="instnum1"/>
    <w:basedOn w:val="instdot1"/>
    <w:qFormat/>
    <w:rsid w:val="00CA5588"/>
    <w:pPr>
      <w:numPr>
        <w:numId w:val="0"/>
      </w:numPr>
      <w:ind w:left="284" w:hanging="284"/>
    </w:pPr>
  </w:style>
  <w:style w:type="paragraph" w:customStyle="1" w:styleId="instnum2">
    <w:name w:val="instnum2"/>
    <w:basedOn w:val="instnum1"/>
    <w:qFormat/>
    <w:rsid w:val="00CA5588"/>
    <w:pPr>
      <w:ind w:left="568"/>
    </w:pPr>
  </w:style>
  <w:style w:type="paragraph" w:customStyle="1" w:styleId="instruction">
    <w:name w:val="instruction"/>
    <w:basedOn w:val="Normal"/>
    <w:rsid w:val="00CA5588"/>
    <w:pPr>
      <w:spacing w:before="60" w:after="80" w:line="240" w:lineRule="exact"/>
      <w:jc w:val="left"/>
    </w:pPr>
    <w:rPr>
      <w:b/>
      <w:color w:val="000000"/>
      <w:sz w:val="20"/>
      <w:lang w:eastAsia="en-US"/>
    </w:rPr>
  </w:style>
  <w:style w:type="paragraph" w:customStyle="1" w:styleId="InstructionCMI">
    <w:name w:val="Instruction CMI"/>
    <w:basedOn w:val="Normal"/>
    <w:autoRedefine/>
    <w:rsid w:val="00CA5588"/>
    <w:pPr>
      <w:suppressAutoHyphens/>
      <w:spacing w:before="60" w:after="80" w:line="240" w:lineRule="exact"/>
      <w:jc w:val="left"/>
    </w:pPr>
    <w:rPr>
      <w:b/>
      <w:sz w:val="20"/>
      <w:lang w:val="en-AU" w:eastAsia="en-US"/>
    </w:rPr>
  </w:style>
  <w:style w:type="paragraph" w:customStyle="1" w:styleId="InstructionCMIdotpoint">
    <w:name w:val="Instruction CMI dot point"/>
    <w:basedOn w:val="InstructionCMI"/>
    <w:rsid w:val="00CA5588"/>
  </w:style>
  <w:style w:type="paragraph" w:customStyle="1" w:styleId="mainHeader">
    <w:name w:val="main Header"/>
    <w:basedOn w:val="Normal"/>
    <w:rsid w:val="00CA5588"/>
    <w:pPr>
      <w:spacing w:after="60" w:line="600" w:lineRule="exact"/>
      <w:ind w:right="-3686"/>
      <w:jc w:val="left"/>
    </w:pPr>
    <w:rPr>
      <w:rFonts w:ascii="Arial" w:hAnsi="Arial"/>
      <w:b/>
      <w:color w:val="000000"/>
      <w:sz w:val="60"/>
    </w:rPr>
  </w:style>
  <w:style w:type="paragraph" w:customStyle="1" w:styleId="MainHeadingCMI">
    <w:name w:val="Main Heading CMI"/>
    <w:basedOn w:val="Heading1"/>
    <w:rsid w:val="00CA5588"/>
    <w:pPr>
      <w:pBdr>
        <w:top w:val="single" w:sz="6" w:space="1" w:color="auto"/>
        <w:bottom w:val="single" w:sz="6" w:space="1" w:color="auto"/>
      </w:pBdr>
      <w:suppressAutoHyphens/>
      <w:spacing w:before="720" w:after="180" w:line="280" w:lineRule="exact"/>
    </w:pPr>
    <w:rPr>
      <w:sz w:val="28"/>
      <w:lang w:eastAsia="en-US"/>
    </w:rPr>
  </w:style>
  <w:style w:type="paragraph" w:customStyle="1" w:styleId="MainHeadingtopofcolumnCMI">
    <w:name w:val="Main Heading top of column CMI"/>
    <w:basedOn w:val="MainHeadingCMI"/>
    <w:rsid w:val="00CA5588"/>
    <w:pPr>
      <w:spacing w:before="0"/>
    </w:pPr>
    <w:rPr>
      <w:bCs/>
    </w:rPr>
  </w:style>
  <w:style w:type="paragraph" w:customStyle="1" w:styleId="nameAddress">
    <w:name w:val="name &amp; Address"/>
    <w:basedOn w:val="explanation"/>
    <w:rsid w:val="00CA5588"/>
    <w:pPr>
      <w:spacing w:before="0" w:after="0" w:line="280" w:lineRule="exact"/>
    </w:pPr>
    <w:rPr>
      <w:sz w:val="22"/>
    </w:rPr>
  </w:style>
  <w:style w:type="paragraph" w:customStyle="1" w:styleId="SubheadingCMI">
    <w:name w:val="Subheading CMI"/>
    <w:basedOn w:val="Heading2"/>
    <w:rsid w:val="00CA5588"/>
    <w:pPr>
      <w:suppressAutoHyphens/>
      <w:spacing w:before="240" w:after="120"/>
    </w:pPr>
    <w:rPr>
      <w:rFonts w:cs="Arial"/>
      <w:bCs/>
      <w:i/>
      <w:iCs/>
      <w:sz w:val="22"/>
      <w:szCs w:val="28"/>
      <w:lang w:eastAsia="en-US"/>
    </w:rPr>
  </w:style>
  <w:style w:type="paragraph" w:styleId="Revision">
    <w:name w:val="Revision"/>
    <w:hidden/>
    <w:uiPriority w:val="99"/>
    <w:semiHidden/>
    <w:rsid w:val="006C1511"/>
    <w:rPr>
      <w:sz w:val="24"/>
      <w:lang w:val="en-US"/>
    </w:rPr>
  </w:style>
  <w:style w:type="character" w:customStyle="1" w:styleId="EndnoteTextChar">
    <w:name w:val="Endnote Text Char"/>
    <w:link w:val="EndnoteText"/>
    <w:semiHidden/>
    <w:rsid w:val="00F94460"/>
    <w:rPr>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588"/>
    <w:pPr>
      <w:jc w:val="both"/>
    </w:pPr>
    <w:rPr>
      <w:sz w:val="24"/>
      <w:lang w:val="en-US"/>
    </w:rPr>
  </w:style>
  <w:style w:type="paragraph" w:styleId="Heading1">
    <w:name w:val="heading 1"/>
    <w:basedOn w:val="Normal"/>
    <w:next w:val="Normal"/>
    <w:qFormat/>
    <w:rsid w:val="00CA5588"/>
    <w:pPr>
      <w:widowControl w:val="0"/>
      <w:ind w:right="3403"/>
      <w:jc w:val="left"/>
      <w:outlineLvl w:val="0"/>
    </w:pPr>
    <w:rPr>
      <w:rFonts w:ascii="Helvetica" w:hAnsi="Helvetica"/>
      <w:b/>
      <w:kern w:val="28"/>
      <w:sz w:val="60"/>
      <w:lang w:val="en-AU"/>
    </w:rPr>
  </w:style>
  <w:style w:type="paragraph" w:styleId="Heading2">
    <w:name w:val="heading 2"/>
    <w:basedOn w:val="Normal"/>
    <w:next w:val="Normal"/>
    <w:qFormat/>
    <w:rsid w:val="00CA5588"/>
    <w:pPr>
      <w:keepNext/>
      <w:pBdr>
        <w:top w:val="single" w:sz="4" w:space="3" w:color="auto"/>
        <w:bottom w:val="single" w:sz="4" w:space="3" w:color="auto"/>
      </w:pBdr>
      <w:spacing w:before="720" w:after="180" w:line="280" w:lineRule="exact"/>
      <w:jc w:val="left"/>
      <w:outlineLvl w:val="1"/>
    </w:pPr>
    <w:rPr>
      <w:rFonts w:ascii="Helvetica" w:hAnsi="Helvetica"/>
      <w:b/>
      <w:sz w:val="28"/>
      <w:lang w:val="en-AU"/>
    </w:rPr>
  </w:style>
  <w:style w:type="paragraph" w:styleId="Heading3">
    <w:name w:val="heading 3"/>
    <w:basedOn w:val="Normal"/>
    <w:next w:val="Normal"/>
    <w:qFormat/>
    <w:rsid w:val="00CA5588"/>
    <w:pPr>
      <w:keepNext/>
      <w:spacing w:before="240" w:after="120" w:line="280" w:lineRule="exact"/>
      <w:jc w:val="left"/>
      <w:outlineLvl w:val="2"/>
    </w:pPr>
    <w:rPr>
      <w:rFonts w:ascii="Helvetica" w:hAnsi="Helvetica"/>
      <w:b/>
      <w:i/>
      <w:sz w:val="22"/>
      <w:lang w:val="en-AU"/>
    </w:rPr>
  </w:style>
  <w:style w:type="paragraph" w:styleId="Heading4">
    <w:name w:val="heading 4"/>
    <w:basedOn w:val="Normal"/>
    <w:next w:val="Normal"/>
    <w:qFormat/>
    <w:rsid w:val="00CA5588"/>
    <w:pPr>
      <w:keepNext/>
      <w:spacing w:before="240" w:after="240"/>
      <w:outlineLvl w:val="3"/>
    </w:pPr>
    <w:rPr>
      <w:b/>
      <w:u w:val="single"/>
    </w:rPr>
  </w:style>
  <w:style w:type="paragraph" w:styleId="Heading5">
    <w:name w:val="heading 5"/>
    <w:basedOn w:val="Normal"/>
    <w:next w:val="Normal"/>
    <w:qFormat/>
    <w:rsid w:val="00CA5588"/>
    <w:pPr>
      <w:keepNext/>
      <w:tabs>
        <w:tab w:val="left" w:pos="2977"/>
      </w:tabs>
      <w:jc w:val="left"/>
      <w:outlineLvl w:val="4"/>
    </w:pPr>
    <w:rPr>
      <w:b/>
    </w:rPr>
  </w:style>
  <w:style w:type="paragraph" w:styleId="Heading6">
    <w:name w:val="heading 6"/>
    <w:basedOn w:val="Normal"/>
    <w:next w:val="Normal"/>
    <w:link w:val="Heading6Char"/>
    <w:qFormat/>
    <w:rsid w:val="00CA5588"/>
    <w:pPr>
      <w:keepNext/>
      <w:jc w:val="center"/>
      <w:outlineLvl w:val="5"/>
    </w:pPr>
    <w:rPr>
      <w:b/>
    </w:rPr>
  </w:style>
  <w:style w:type="paragraph" w:styleId="Heading7">
    <w:name w:val="heading 7"/>
    <w:basedOn w:val="Normal"/>
    <w:next w:val="Normal"/>
    <w:qFormat/>
    <w:rsid w:val="00CA558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Arial" w:hAnsi="Arial"/>
      <w:color w:val="0000FF"/>
      <w:u w:val="single"/>
    </w:rPr>
  </w:style>
  <w:style w:type="paragraph" w:styleId="Heading8">
    <w:name w:val="heading 8"/>
    <w:basedOn w:val="Normal"/>
    <w:next w:val="Normal"/>
    <w:qFormat/>
    <w:rsid w:val="00CA5588"/>
    <w:pPr>
      <w:spacing w:before="240" w:after="60"/>
      <w:outlineLvl w:val="7"/>
    </w:pPr>
    <w:rPr>
      <w:rFonts w:ascii="Arial" w:hAnsi="Arial"/>
      <w:i/>
      <w:sz w:val="20"/>
    </w:rPr>
  </w:style>
  <w:style w:type="paragraph" w:styleId="Heading9">
    <w:name w:val="heading 9"/>
    <w:basedOn w:val="Normal"/>
    <w:next w:val="Normal"/>
    <w:qFormat/>
    <w:rsid w:val="00CA558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A5588"/>
    <w:rPr>
      <w:sz w:val="20"/>
    </w:rPr>
  </w:style>
  <w:style w:type="paragraph" w:customStyle="1" w:styleId="text1">
    <w:name w:val="text 1"/>
    <w:basedOn w:val="Normal"/>
    <w:pPr>
      <w:spacing w:after="240"/>
    </w:pPr>
  </w:style>
  <w:style w:type="paragraph" w:customStyle="1" w:styleId="TableHeading">
    <w:name w:val="Table Heading"/>
    <w:basedOn w:val="Normal"/>
    <w:pPr>
      <w:keepNext/>
      <w:keepLines/>
      <w:spacing w:before="60" w:after="60"/>
    </w:pPr>
    <w:rPr>
      <w:b/>
    </w:rPr>
  </w:style>
  <w:style w:type="paragraph" w:customStyle="1" w:styleId="Text10">
    <w:name w:val="Text 1"/>
    <w:basedOn w:val="Normal"/>
    <w:link w:val="Text1Char"/>
    <w:pPr>
      <w:spacing w:after="240"/>
    </w:pPr>
  </w:style>
  <w:style w:type="paragraph" w:styleId="BodyText3">
    <w:name w:val="Body Text 3"/>
    <w:basedOn w:val="Normal"/>
    <w:rsid w:val="00CA55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olor w:val="0000FF"/>
      <w:lang w:val="en-AU"/>
    </w:rPr>
  </w:style>
  <w:style w:type="paragraph" w:styleId="BodyText">
    <w:name w:val="Body Text"/>
    <w:basedOn w:val="Normal"/>
    <w:rsid w:val="00CA5588"/>
    <w:pPr>
      <w:spacing w:line="240" w:lineRule="exact"/>
    </w:pPr>
    <w:rPr>
      <w:rFonts w:ascii="Arial" w:hAnsi="Arial"/>
      <w:b/>
      <w:sz w:val="22"/>
    </w:rPr>
  </w:style>
  <w:style w:type="paragraph" w:styleId="Footer">
    <w:name w:val="footer"/>
    <w:basedOn w:val="Normal"/>
    <w:link w:val="FooterChar"/>
    <w:uiPriority w:val="99"/>
    <w:unhideWhenUsed/>
    <w:rsid w:val="00CA5588"/>
    <w:pPr>
      <w:tabs>
        <w:tab w:val="center" w:pos="4513"/>
        <w:tab w:val="right" w:pos="9026"/>
      </w:tabs>
    </w:pPr>
  </w:style>
  <w:style w:type="paragraph" w:customStyle="1" w:styleId="BulletsText">
    <w:name w:val="Bullets Text"/>
    <w:basedOn w:val="Normal"/>
    <w:pPr>
      <w:numPr>
        <w:numId w:val="11"/>
      </w:numPr>
      <w:spacing w:after="240"/>
    </w:p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sz w:val="16"/>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b/>
    </w:rPr>
  </w:style>
  <w:style w:type="paragraph" w:styleId="Caption">
    <w:name w:val="caption"/>
    <w:basedOn w:val="Normal"/>
    <w:next w:val="Normal"/>
    <w:link w:val="CaptionChar"/>
    <w:qFormat/>
    <w:rsid w:val="00CA5588"/>
    <w:pPr>
      <w:spacing w:before="120" w:after="120"/>
    </w:pPr>
    <w:rPr>
      <w:b/>
    </w:rPr>
  </w:style>
  <w:style w:type="paragraph" w:customStyle="1" w:styleId="TextTi11">
    <w:name w:val="Text:Ti11"/>
    <w:basedOn w:val="Normal"/>
    <w:pPr>
      <w:widowControl w:val="0"/>
      <w:spacing w:after="170" w:line="260" w:lineRule="atLeast"/>
    </w:pPr>
    <w:rPr>
      <w:sz w:val="22"/>
    </w:rPr>
  </w:style>
  <w:style w:type="paragraph" w:styleId="TOC4">
    <w:name w:val="toc 4"/>
    <w:basedOn w:val="Normal"/>
    <w:next w:val="Normal"/>
    <w:autoRedefine/>
    <w:semiHidden/>
    <w:rsid w:val="00CA5588"/>
    <w:pPr>
      <w:ind w:left="720"/>
    </w:pPr>
  </w:style>
  <w:style w:type="paragraph" w:styleId="BodyText2">
    <w:name w:val="Body Text 2"/>
    <w:basedOn w:val="Normal"/>
    <w:rsid w:val="00CA5588"/>
    <w:pPr>
      <w:spacing w:line="240" w:lineRule="exact"/>
      <w:jc w:val="left"/>
    </w:pPr>
    <w:rPr>
      <w:rFonts w:ascii="Arial" w:hAnsi="Arial"/>
      <w:sz w:val="22"/>
    </w:rPr>
  </w:style>
  <w:style w:type="paragraph" w:styleId="Header">
    <w:name w:val="header"/>
    <w:basedOn w:val="Normal"/>
    <w:rsid w:val="00CA5588"/>
    <w:pPr>
      <w:tabs>
        <w:tab w:val="center" w:pos="4320"/>
        <w:tab w:val="right" w:pos="8640"/>
      </w:tabs>
    </w:pPr>
  </w:style>
  <w:style w:type="paragraph" w:customStyle="1" w:styleId="TOCHeadings">
    <w:name w:val="TOC Headings"/>
    <w:basedOn w:val="Normal"/>
    <w:pPr>
      <w:widowControl w:val="0"/>
      <w:tabs>
        <w:tab w:val="center" w:pos="4672"/>
        <w:tab w:val="right" w:pos="9344"/>
      </w:tabs>
      <w:spacing w:before="397" w:after="227"/>
    </w:pPr>
    <w:rPr>
      <w:b/>
      <w:sz w:val="22"/>
    </w:rPr>
  </w:style>
  <w:style w:type="paragraph" w:styleId="BodyTextIndent">
    <w:name w:val="Body Text Indent"/>
    <w:basedOn w:val="Normal"/>
    <w:rsid w:val="00CA5588"/>
    <w:pPr>
      <w:tabs>
        <w:tab w:val="left" w:pos="709"/>
      </w:tabs>
      <w:ind w:left="709" w:hanging="709"/>
    </w:pPr>
  </w:style>
  <w:style w:type="paragraph" w:styleId="CommentText">
    <w:name w:val="annotation text"/>
    <w:aliases w:val="Annotationtext"/>
    <w:basedOn w:val="Normal"/>
    <w:link w:val="CommentTextChar"/>
    <w:semiHidden/>
    <w:rsid w:val="00CA5588"/>
    <w:rPr>
      <w:sz w:val="20"/>
    </w:rPr>
  </w:style>
  <w:style w:type="character" w:styleId="PageNumber">
    <w:name w:val="page number"/>
    <w:rsid w:val="00CA5588"/>
  </w:style>
  <w:style w:type="paragraph" w:styleId="BodyTextIndent2">
    <w:name w:val="Body Text Indent 2"/>
    <w:basedOn w:val="Normal"/>
    <w:rsid w:val="00CA5588"/>
    <w:pPr>
      <w:tabs>
        <w:tab w:val="left" w:pos="2977"/>
      </w:tabs>
      <w:ind w:left="2977" w:hanging="2977"/>
      <w:jc w:val="left"/>
    </w:pPr>
    <w:rPr>
      <w:b/>
    </w:rPr>
  </w:style>
  <w:style w:type="paragraph" w:styleId="BalloonText">
    <w:name w:val="Balloon Text"/>
    <w:basedOn w:val="Normal"/>
    <w:semiHidden/>
    <w:rsid w:val="00CA5588"/>
    <w:rPr>
      <w:rFonts w:ascii="Tahoma" w:hAnsi="Tahoma" w:cs="Tahoma"/>
      <w:sz w:val="16"/>
      <w:szCs w:val="16"/>
    </w:rPr>
  </w:style>
  <w:style w:type="table" w:styleId="TableGrid">
    <w:name w:val="Table Grid"/>
    <w:basedOn w:val="TableNormal"/>
    <w:uiPriority w:val="59"/>
    <w:rsid w:val="00C7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A5588"/>
    <w:rPr>
      <w:sz w:val="16"/>
    </w:rPr>
  </w:style>
  <w:style w:type="paragraph" w:styleId="CommentSubject">
    <w:name w:val="annotation subject"/>
    <w:basedOn w:val="CommentText"/>
    <w:next w:val="CommentText"/>
    <w:semiHidden/>
    <w:rsid w:val="00CA5588"/>
    <w:rPr>
      <w:b/>
      <w:bCs/>
    </w:rPr>
  </w:style>
  <w:style w:type="paragraph" w:styleId="Title">
    <w:name w:val="Title"/>
    <w:basedOn w:val="Normal"/>
    <w:qFormat/>
    <w:rsid w:val="00CA5588"/>
    <w:pPr>
      <w:spacing w:before="240" w:after="60"/>
      <w:jc w:val="center"/>
      <w:outlineLvl w:val="0"/>
    </w:pPr>
    <w:rPr>
      <w:rFonts w:ascii="Arial" w:hAnsi="Arial"/>
      <w:b/>
      <w:kern w:val="28"/>
      <w:sz w:val="32"/>
    </w:rPr>
  </w:style>
  <w:style w:type="paragraph" w:styleId="Subtitle">
    <w:name w:val="Subtitle"/>
    <w:basedOn w:val="Normal"/>
    <w:qFormat/>
    <w:rsid w:val="00CA5588"/>
    <w:pPr>
      <w:spacing w:after="60"/>
      <w:jc w:val="center"/>
      <w:outlineLvl w:val="1"/>
    </w:pPr>
    <w:rPr>
      <w:rFonts w:ascii="Arial" w:hAnsi="Arial"/>
    </w:rPr>
  </w:style>
  <w:style w:type="paragraph" w:customStyle="1" w:styleId="Table-Footer">
    <w:name w:val="Table-Footer"/>
    <w:basedOn w:val="Normal"/>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rPr>
  </w:style>
  <w:style w:type="paragraph" w:customStyle="1" w:styleId="text">
    <w:name w:val="text"/>
    <w:basedOn w:val="Normal"/>
    <w:rsid w:val="0080493A"/>
    <w:pPr>
      <w:spacing w:before="60" w:after="60" w:line="480" w:lineRule="auto"/>
    </w:p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style>
  <w:style w:type="paragraph" w:customStyle="1" w:styleId="text1Char0">
    <w:name w:val="text 1 Char"/>
    <w:basedOn w:val="Normal"/>
    <w:rsid w:val="004C6C7F"/>
    <w:pPr>
      <w:spacing w:after="240"/>
    </w:p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style>
  <w:style w:type="paragraph" w:customStyle="1" w:styleId="Table">
    <w:name w:val="Table"/>
    <w:basedOn w:val="Normal"/>
    <w:rsid w:val="003159FD"/>
    <w:pPr>
      <w:widowControl w:val="0"/>
    </w:pPr>
    <w:rPr>
      <w:sz w:val="18"/>
    </w:rPr>
  </w:style>
  <w:style w:type="paragraph" w:styleId="DocumentMap">
    <w:name w:val="Document Map"/>
    <w:basedOn w:val="Normal"/>
    <w:semiHidden/>
    <w:rsid w:val="00CA5588"/>
    <w:pPr>
      <w:shd w:val="clear" w:color="auto" w:fill="000080"/>
    </w:pPr>
    <w:rPr>
      <w:rFonts w:ascii="Tahoma" w:hAnsi="Tahoma"/>
    </w:rPr>
  </w:style>
  <w:style w:type="paragraph" w:styleId="BlockText">
    <w:name w:val="Block Text"/>
    <w:basedOn w:val="Normal"/>
    <w:rsid w:val="00CA5588"/>
    <w:pPr>
      <w:spacing w:after="120"/>
      <w:ind w:left="1440" w:right="1440"/>
    </w:pPr>
  </w:style>
  <w:style w:type="paragraph" w:styleId="BodyTextFirstIndent">
    <w:name w:val="Body Text First Indent"/>
    <w:basedOn w:val="BodyText"/>
    <w:rsid w:val="00CA5588"/>
    <w:pPr>
      <w:spacing w:after="120" w:line="240" w:lineRule="auto"/>
      <w:ind w:firstLine="210"/>
    </w:pPr>
    <w:rPr>
      <w:rFonts w:ascii="Times New Roman" w:hAnsi="Times New Roman"/>
      <w:b w:val="0"/>
      <w:sz w:val="24"/>
    </w:rPr>
  </w:style>
  <w:style w:type="paragraph" w:styleId="BodyTextFirstIndent2">
    <w:name w:val="Body Text First Indent 2"/>
    <w:basedOn w:val="BodyTextIndent"/>
    <w:rsid w:val="00CA5588"/>
    <w:pPr>
      <w:tabs>
        <w:tab w:val="clear" w:pos="709"/>
      </w:tabs>
      <w:spacing w:after="120"/>
      <w:ind w:left="283" w:firstLine="210"/>
    </w:pPr>
  </w:style>
  <w:style w:type="paragraph" w:styleId="BodyTextIndent3">
    <w:name w:val="Body Text Indent 3"/>
    <w:basedOn w:val="Normal"/>
    <w:rsid w:val="00CA558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20"/>
    </w:pPr>
    <w:rPr>
      <w:rFonts w:ascii="Arial" w:hAnsi="Arial"/>
      <w:lang w:val="en-AU"/>
    </w:rPr>
  </w:style>
  <w:style w:type="paragraph" w:styleId="Closing">
    <w:name w:val="Closing"/>
    <w:basedOn w:val="Normal"/>
    <w:rsid w:val="00CA5588"/>
    <w:pPr>
      <w:ind w:left="4252"/>
    </w:pPr>
  </w:style>
  <w:style w:type="paragraph" w:styleId="Date">
    <w:name w:val="Date"/>
    <w:basedOn w:val="Normal"/>
    <w:next w:val="Normal"/>
    <w:rsid w:val="00CA5588"/>
  </w:style>
  <w:style w:type="paragraph" w:styleId="E-mailSignature">
    <w:name w:val="E-mail Signature"/>
    <w:basedOn w:val="Normal"/>
    <w:rsid w:val="00A341AB"/>
  </w:style>
  <w:style w:type="paragraph" w:styleId="EnvelopeAddress">
    <w:name w:val="envelope address"/>
    <w:basedOn w:val="Normal"/>
    <w:rsid w:val="00CA5588"/>
    <w:pPr>
      <w:framePr w:w="7920" w:h="1980" w:hRule="exact" w:hSpace="180" w:wrap="auto" w:hAnchor="page" w:xAlign="center" w:yAlign="bottom"/>
      <w:ind w:left="2880"/>
    </w:pPr>
    <w:rPr>
      <w:rFonts w:ascii="Arial" w:hAnsi="Arial"/>
    </w:rPr>
  </w:style>
  <w:style w:type="paragraph" w:styleId="EnvelopeReturn">
    <w:name w:val="envelope return"/>
    <w:basedOn w:val="Normal"/>
    <w:rsid w:val="00CA5588"/>
    <w:rPr>
      <w:rFonts w:ascii="Arial" w:hAnsi="Arial"/>
      <w:sz w:val="20"/>
    </w:rPr>
  </w:style>
  <w:style w:type="paragraph" w:styleId="FootnoteText">
    <w:name w:val="footnote text"/>
    <w:basedOn w:val="Normal"/>
    <w:semiHidden/>
    <w:rsid w:val="00CA5588"/>
    <w:rPr>
      <w:sz w:val="20"/>
    </w:rPr>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CA5588"/>
    <w:pPr>
      <w:ind w:left="240" w:hanging="240"/>
    </w:pPr>
  </w:style>
  <w:style w:type="paragraph" w:styleId="Index2">
    <w:name w:val="index 2"/>
    <w:basedOn w:val="Normal"/>
    <w:next w:val="Normal"/>
    <w:autoRedefine/>
    <w:semiHidden/>
    <w:rsid w:val="00CA5588"/>
    <w:pPr>
      <w:ind w:left="480" w:hanging="240"/>
    </w:pPr>
  </w:style>
  <w:style w:type="paragraph" w:styleId="Index3">
    <w:name w:val="index 3"/>
    <w:basedOn w:val="Normal"/>
    <w:next w:val="Normal"/>
    <w:autoRedefine/>
    <w:semiHidden/>
    <w:rsid w:val="00CA5588"/>
    <w:pPr>
      <w:ind w:left="720" w:hanging="240"/>
    </w:pPr>
  </w:style>
  <w:style w:type="paragraph" w:styleId="Index4">
    <w:name w:val="index 4"/>
    <w:basedOn w:val="Normal"/>
    <w:next w:val="Normal"/>
    <w:autoRedefine/>
    <w:semiHidden/>
    <w:rsid w:val="00CA5588"/>
    <w:pPr>
      <w:ind w:left="960" w:hanging="240"/>
    </w:pPr>
  </w:style>
  <w:style w:type="paragraph" w:styleId="Index5">
    <w:name w:val="index 5"/>
    <w:basedOn w:val="Normal"/>
    <w:next w:val="Normal"/>
    <w:autoRedefine/>
    <w:semiHidden/>
    <w:rsid w:val="00CA5588"/>
    <w:pPr>
      <w:ind w:left="1200" w:hanging="240"/>
    </w:pPr>
  </w:style>
  <w:style w:type="paragraph" w:styleId="Index6">
    <w:name w:val="index 6"/>
    <w:basedOn w:val="Normal"/>
    <w:next w:val="Normal"/>
    <w:autoRedefine/>
    <w:semiHidden/>
    <w:rsid w:val="00CA5588"/>
    <w:pPr>
      <w:ind w:left="1440" w:hanging="240"/>
    </w:pPr>
  </w:style>
  <w:style w:type="paragraph" w:styleId="Index7">
    <w:name w:val="index 7"/>
    <w:basedOn w:val="Normal"/>
    <w:next w:val="Normal"/>
    <w:autoRedefine/>
    <w:semiHidden/>
    <w:rsid w:val="00CA5588"/>
    <w:pPr>
      <w:ind w:left="1680" w:hanging="240"/>
    </w:pPr>
  </w:style>
  <w:style w:type="paragraph" w:styleId="Index8">
    <w:name w:val="index 8"/>
    <w:basedOn w:val="Normal"/>
    <w:next w:val="Normal"/>
    <w:autoRedefine/>
    <w:semiHidden/>
    <w:rsid w:val="00CA5588"/>
    <w:pPr>
      <w:ind w:left="1920" w:hanging="240"/>
    </w:pPr>
  </w:style>
  <w:style w:type="paragraph" w:styleId="Index9">
    <w:name w:val="index 9"/>
    <w:basedOn w:val="Normal"/>
    <w:next w:val="Normal"/>
    <w:autoRedefine/>
    <w:semiHidden/>
    <w:rsid w:val="00CA5588"/>
    <w:pPr>
      <w:ind w:left="2160" w:hanging="240"/>
    </w:pPr>
  </w:style>
  <w:style w:type="paragraph" w:styleId="IndexHeading">
    <w:name w:val="index heading"/>
    <w:basedOn w:val="Normal"/>
    <w:next w:val="Index1"/>
    <w:semiHidden/>
    <w:rsid w:val="00CA5588"/>
    <w:rPr>
      <w:rFonts w:ascii="Arial" w:hAnsi="Arial"/>
      <w:b/>
    </w:rPr>
  </w:style>
  <w:style w:type="paragraph" w:styleId="List">
    <w:name w:val="List"/>
    <w:basedOn w:val="Normal"/>
    <w:rsid w:val="00CA5588"/>
    <w:pPr>
      <w:ind w:left="283" w:hanging="283"/>
    </w:pPr>
  </w:style>
  <w:style w:type="paragraph" w:styleId="List2">
    <w:name w:val="List 2"/>
    <w:basedOn w:val="Normal"/>
    <w:rsid w:val="00CA5588"/>
    <w:pPr>
      <w:ind w:left="566" w:hanging="283"/>
    </w:pPr>
  </w:style>
  <w:style w:type="paragraph" w:styleId="List3">
    <w:name w:val="List 3"/>
    <w:basedOn w:val="Normal"/>
    <w:rsid w:val="00CA5588"/>
    <w:pPr>
      <w:ind w:left="849" w:hanging="283"/>
    </w:pPr>
  </w:style>
  <w:style w:type="paragraph" w:styleId="List4">
    <w:name w:val="List 4"/>
    <w:basedOn w:val="Normal"/>
    <w:rsid w:val="00CA5588"/>
    <w:pPr>
      <w:ind w:left="1132" w:hanging="283"/>
    </w:pPr>
  </w:style>
  <w:style w:type="paragraph" w:styleId="List5">
    <w:name w:val="List 5"/>
    <w:basedOn w:val="Normal"/>
    <w:rsid w:val="00CA5588"/>
    <w:pPr>
      <w:ind w:left="1415" w:hanging="283"/>
    </w:pPr>
  </w:style>
  <w:style w:type="paragraph" w:styleId="ListBullet">
    <w:name w:val="List Bullet"/>
    <w:basedOn w:val="Normal"/>
    <w:autoRedefine/>
    <w:rsid w:val="00CA5588"/>
    <w:pPr>
      <w:numPr>
        <w:numId w:val="82"/>
      </w:numPr>
    </w:pPr>
  </w:style>
  <w:style w:type="paragraph" w:styleId="ListBullet2">
    <w:name w:val="List Bullet 2"/>
    <w:basedOn w:val="Normal"/>
    <w:autoRedefine/>
    <w:rsid w:val="00CA5588"/>
    <w:pPr>
      <w:numPr>
        <w:numId w:val="83"/>
      </w:numPr>
    </w:pPr>
  </w:style>
  <w:style w:type="paragraph" w:styleId="ListBullet3">
    <w:name w:val="List Bullet 3"/>
    <w:basedOn w:val="Normal"/>
    <w:autoRedefine/>
    <w:rsid w:val="00CA5588"/>
    <w:pPr>
      <w:numPr>
        <w:numId w:val="84"/>
      </w:numPr>
    </w:pPr>
  </w:style>
  <w:style w:type="paragraph" w:styleId="ListBullet4">
    <w:name w:val="List Bullet 4"/>
    <w:basedOn w:val="Normal"/>
    <w:autoRedefine/>
    <w:rsid w:val="00CA5588"/>
    <w:pPr>
      <w:numPr>
        <w:numId w:val="85"/>
      </w:numPr>
    </w:pPr>
  </w:style>
  <w:style w:type="paragraph" w:styleId="ListBullet5">
    <w:name w:val="List Bullet 5"/>
    <w:basedOn w:val="Normal"/>
    <w:autoRedefine/>
    <w:rsid w:val="00CA5588"/>
    <w:pPr>
      <w:numPr>
        <w:numId w:val="86"/>
      </w:numPr>
    </w:pPr>
  </w:style>
  <w:style w:type="paragraph" w:styleId="ListContinue">
    <w:name w:val="List Continue"/>
    <w:basedOn w:val="Normal"/>
    <w:rsid w:val="00CA5588"/>
    <w:pPr>
      <w:spacing w:after="120"/>
      <w:ind w:left="283"/>
    </w:pPr>
  </w:style>
  <w:style w:type="paragraph" w:styleId="ListContinue2">
    <w:name w:val="List Continue 2"/>
    <w:basedOn w:val="Normal"/>
    <w:rsid w:val="00CA5588"/>
    <w:pPr>
      <w:spacing w:after="120"/>
      <w:ind w:left="566"/>
    </w:pPr>
  </w:style>
  <w:style w:type="paragraph" w:styleId="ListContinue3">
    <w:name w:val="List Continue 3"/>
    <w:basedOn w:val="Normal"/>
    <w:rsid w:val="00CA5588"/>
    <w:pPr>
      <w:spacing w:after="120"/>
      <w:ind w:left="849"/>
    </w:pPr>
  </w:style>
  <w:style w:type="paragraph" w:styleId="ListContinue4">
    <w:name w:val="List Continue 4"/>
    <w:basedOn w:val="Normal"/>
    <w:rsid w:val="00CA5588"/>
    <w:pPr>
      <w:spacing w:after="120"/>
      <w:ind w:left="1132"/>
    </w:pPr>
  </w:style>
  <w:style w:type="paragraph" w:styleId="ListContinue5">
    <w:name w:val="List Continue 5"/>
    <w:basedOn w:val="Normal"/>
    <w:rsid w:val="00CA5588"/>
    <w:pPr>
      <w:spacing w:after="120"/>
      <w:ind w:left="1415"/>
    </w:pPr>
  </w:style>
  <w:style w:type="paragraph" w:styleId="ListNumber">
    <w:name w:val="List Number"/>
    <w:basedOn w:val="Normal"/>
    <w:rsid w:val="00CA5588"/>
    <w:pPr>
      <w:numPr>
        <w:numId w:val="87"/>
      </w:numPr>
    </w:pPr>
  </w:style>
  <w:style w:type="paragraph" w:styleId="ListNumber2">
    <w:name w:val="List Number 2"/>
    <w:basedOn w:val="Normal"/>
    <w:rsid w:val="00CA5588"/>
    <w:pPr>
      <w:numPr>
        <w:numId w:val="88"/>
      </w:numPr>
    </w:pPr>
  </w:style>
  <w:style w:type="paragraph" w:styleId="ListNumber3">
    <w:name w:val="List Number 3"/>
    <w:basedOn w:val="Normal"/>
    <w:rsid w:val="00CA5588"/>
    <w:pPr>
      <w:numPr>
        <w:numId w:val="89"/>
      </w:numPr>
    </w:pPr>
  </w:style>
  <w:style w:type="paragraph" w:styleId="ListNumber4">
    <w:name w:val="List Number 4"/>
    <w:basedOn w:val="Normal"/>
    <w:rsid w:val="00CA5588"/>
    <w:pPr>
      <w:numPr>
        <w:numId w:val="90"/>
      </w:numPr>
    </w:pPr>
  </w:style>
  <w:style w:type="paragraph" w:styleId="ListNumber5">
    <w:name w:val="List Number 5"/>
    <w:basedOn w:val="Normal"/>
    <w:rsid w:val="00CA5588"/>
    <w:pPr>
      <w:numPr>
        <w:numId w:val="91"/>
      </w:numPr>
    </w:pPr>
  </w:style>
  <w:style w:type="paragraph" w:styleId="MacroText">
    <w:name w:val="macro"/>
    <w:semiHidden/>
    <w:rsid w:val="00CA558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US"/>
    </w:rPr>
  </w:style>
  <w:style w:type="paragraph" w:styleId="MessageHeader">
    <w:name w:val="Message Header"/>
    <w:basedOn w:val="Normal"/>
    <w:rsid w:val="00CA5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Web">
    <w:name w:val="Normal (Web)"/>
    <w:basedOn w:val="Normal"/>
    <w:rsid w:val="00A341AB"/>
    <w:rPr>
      <w:szCs w:val="24"/>
    </w:rPr>
  </w:style>
  <w:style w:type="paragraph" w:styleId="NormalIndent">
    <w:name w:val="Normal Indent"/>
    <w:basedOn w:val="Normal"/>
    <w:rsid w:val="00CA5588"/>
    <w:pPr>
      <w:ind w:left="720"/>
    </w:pPr>
  </w:style>
  <w:style w:type="paragraph" w:styleId="NoteHeading">
    <w:name w:val="Note Heading"/>
    <w:basedOn w:val="Normal"/>
    <w:next w:val="Normal"/>
    <w:rsid w:val="00CA5588"/>
  </w:style>
  <w:style w:type="paragraph" w:styleId="PlainText">
    <w:name w:val="Plain Text"/>
    <w:basedOn w:val="Normal"/>
    <w:rsid w:val="00CA5588"/>
    <w:rPr>
      <w:rFonts w:ascii="Courier New" w:hAnsi="Courier New"/>
      <w:sz w:val="20"/>
    </w:rPr>
  </w:style>
  <w:style w:type="paragraph" w:styleId="Salutation">
    <w:name w:val="Salutation"/>
    <w:basedOn w:val="Normal"/>
    <w:next w:val="Normal"/>
    <w:rsid w:val="00CA5588"/>
  </w:style>
  <w:style w:type="paragraph" w:styleId="Signature">
    <w:name w:val="Signature"/>
    <w:basedOn w:val="Normal"/>
    <w:rsid w:val="00CA5588"/>
    <w:pPr>
      <w:ind w:left="4252"/>
    </w:pPr>
  </w:style>
  <w:style w:type="paragraph" w:styleId="TableofAuthorities">
    <w:name w:val="table of authorities"/>
    <w:basedOn w:val="Normal"/>
    <w:next w:val="Normal"/>
    <w:semiHidden/>
    <w:rsid w:val="00CA5588"/>
    <w:pPr>
      <w:ind w:left="240" w:hanging="240"/>
    </w:pPr>
  </w:style>
  <w:style w:type="paragraph" w:styleId="TableofFigures">
    <w:name w:val="table of figures"/>
    <w:basedOn w:val="Normal"/>
    <w:next w:val="Normal"/>
    <w:semiHidden/>
    <w:rsid w:val="00CA5588"/>
    <w:pPr>
      <w:ind w:left="480" w:hanging="480"/>
    </w:pPr>
  </w:style>
  <w:style w:type="paragraph" w:styleId="TOAHeading">
    <w:name w:val="toa heading"/>
    <w:basedOn w:val="Normal"/>
    <w:next w:val="Normal"/>
    <w:semiHidden/>
    <w:rsid w:val="00CA5588"/>
    <w:pPr>
      <w:spacing w:before="120"/>
    </w:pPr>
    <w:rPr>
      <w:rFonts w:ascii="Arial" w:hAnsi="Arial"/>
      <w:b/>
    </w:rPr>
  </w:style>
  <w:style w:type="paragraph" w:styleId="TOC1">
    <w:name w:val="toc 1"/>
    <w:basedOn w:val="Normal"/>
    <w:next w:val="Normal"/>
    <w:autoRedefine/>
    <w:semiHidden/>
    <w:rsid w:val="00CA5588"/>
  </w:style>
  <w:style w:type="paragraph" w:styleId="TOC2">
    <w:name w:val="toc 2"/>
    <w:basedOn w:val="Normal"/>
    <w:next w:val="Normal"/>
    <w:autoRedefine/>
    <w:semiHidden/>
    <w:rsid w:val="00CA5588"/>
    <w:pPr>
      <w:ind w:left="240"/>
    </w:pPr>
  </w:style>
  <w:style w:type="paragraph" w:styleId="TOC3">
    <w:name w:val="toc 3"/>
    <w:basedOn w:val="Normal"/>
    <w:next w:val="Normal"/>
    <w:autoRedefine/>
    <w:semiHidden/>
    <w:rsid w:val="00CA5588"/>
    <w:pPr>
      <w:ind w:left="480"/>
    </w:pPr>
  </w:style>
  <w:style w:type="paragraph" w:styleId="TOC5">
    <w:name w:val="toc 5"/>
    <w:basedOn w:val="Normal"/>
    <w:next w:val="Normal"/>
    <w:autoRedefine/>
    <w:semiHidden/>
    <w:rsid w:val="00CA5588"/>
    <w:pPr>
      <w:ind w:left="960"/>
    </w:pPr>
  </w:style>
  <w:style w:type="paragraph" w:styleId="TOC6">
    <w:name w:val="toc 6"/>
    <w:basedOn w:val="Normal"/>
    <w:next w:val="Normal"/>
    <w:autoRedefine/>
    <w:semiHidden/>
    <w:rsid w:val="00CA5588"/>
    <w:pPr>
      <w:ind w:left="1200"/>
    </w:pPr>
  </w:style>
  <w:style w:type="paragraph" w:styleId="TOC7">
    <w:name w:val="toc 7"/>
    <w:basedOn w:val="Normal"/>
    <w:next w:val="Normal"/>
    <w:autoRedefine/>
    <w:semiHidden/>
    <w:rsid w:val="00CA5588"/>
    <w:pPr>
      <w:ind w:left="1440"/>
    </w:pPr>
  </w:style>
  <w:style w:type="paragraph" w:styleId="TOC8">
    <w:name w:val="toc 8"/>
    <w:basedOn w:val="Normal"/>
    <w:next w:val="Normal"/>
    <w:autoRedefine/>
    <w:semiHidden/>
    <w:rsid w:val="00CA5588"/>
    <w:pPr>
      <w:ind w:left="1680"/>
    </w:pPr>
  </w:style>
  <w:style w:type="paragraph" w:styleId="TOC9">
    <w:name w:val="toc 9"/>
    <w:basedOn w:val="Normal"/>
    <w:next w:val="Normal"/>
    <w:autoRedefine/>
    <w:semiHidden/>
    <w:rsid w:val="00CA5588"/>
    <w:pPr>
      <w:ind w:left="1920"/>
    </w:pPr>
  </w:style>
  <w:style w:type="paragraph" w:customStyle="1" w:styleId="Table1">
    <w:name w:val="Table1"/>
    <w:rsid w:val="00132382"/>
    <w:pPr>
      <w:spacing w:before="120" w:after="120"/>
    </w:pPr>
    <w:rPr>
      <w:rFonts w:ascii="Palatino Linotype" w:hAnsi="Palatino Linotype"/>
      <w:b/>
      <w:noProof/>
      <w:sz w:val="22"/>
      <w:lang w:eastAsia="en-US"/>
    </w:rPr>
  </w:style>
  <w:style w:type="paragraph" w:customStyle="1" w:styleId="Default">
    <w:name w:val="Default"/>
    <w:rsid w:val="008A7C1D"/>
    <w:pPr>
      <w:autoSpaceDE w:val="0"/>
      <w:autoSpaceDN w:val="0"/>
      <w:adjustRightInd w:val="0"/>
    </w:pPr>
    <w:rPr>
      <w:color w:val="000000"/>
      <w:sz w:val="24"/>
      <w:szCs w:val="24"/>
    </w:rPr>
  </w:style>
  <w:style w:type="character" w:customStyle="1" w:styleId="CommentTextChar">
    <w:name w:val="Comment Text Char"/>
    <w:aliases w:val="Annotationtext Char"/>
    <w:link w:val="CommentText"/>
    <w:semiHidden/>
    <w:rsid w:val="007B61F3"/>
    <w:rPr>
      <w:lang w:val="en-US"/>
    </w:rPr>
  </w:style>
  <w:style w:type="paragraph" w:customStyle="1" w:styleId="BulletText">
    <w:name w:val="Bullet Text"/>
    <w:basedOn w:val="Normal"/>
    <w:link w:val="BulletTextChar"/>
    <w:rsid w:val="00F35C7E"/>
    <w:pPr>
      <w:numPr>
        <w:numId w:val="34"/>
      </w:numPr>
      <w:spacing w:before="120"/>
    </w:pPr>
    <w:rPr>
      <w:rFonts w:cs="Arial"/>
      <w:szCs w:val="24"/>
    </w:rPr>
  </w:style>
  <w:style w:type="character" w:customStyle="1" w:styleId="BulletTextChar">
    <w:name w:val="Bullet Text Char"/>
    <w:link w:val="BulletText"/>
    <w:rsid w:val="00F35C7E"/>
    <w:rPr>
      <w:rFonts w:ascii="Arial" w:hAnsi="Arial" w:cs="Arial"/>
      <w:sz w:val="24"/>
      <w:szCs w:val="24"/>
    </w:rPr>
  </w:style>
  <w:style w:type="character" w:customStyle="1" w:styleId="Text1Char">
    <w:name w:val="Text 1 Char"/>
    <w:link w:val="Text10"/>
    <w:rsid w:val="00487739"/>
    <w:rPr>
      <w:sz w:val="24"/>
    </w:rPr>
  </w:style>
  <w:style w:type="character" w:customStyle="1" w:styleId="DeltaViewInsertion">
    <w:name w:val="DeltaView Insertion"/>
    <w:rsid w:val="001A47BA"/>
    <w:rPr>
      <w:color w:val="0000FF"/>
      <w:spacing w:val="0"/>
      <w:u w:val="double"/>
    </w:rPr>
  </w:style>
  <w:style w:type="character" w:customStyle="1" w:styleId="CaptionChar">
    <w:name w:val="Caption Char"/>
    <w:link w:val="Caption"/>
    <w:rsid w:val="001A47BA"/>
    <w:rPr>
      <w:b/>
      <w:sz w:val="24"/>
      <w:lang w:val="en-US"/>
    </w:rPr>
  </w:style>
  <w:style w:type="character" w:customStyle="1" w:styleId="Table-TextChar">
    <w:name w:val="Table-Text Char"/>
    <w:link w:val="Table-Text"/>
    <w:locked/>
    <w:rsid w:val="001A47BA"/>
    <w:rPr>
      <w:sz w:val="16"/>
    </w:rPr>
  </w:style>
  <w:style w:type="paragraph" w:styleId="ListParagraph">
    <w:name w:val="List Paragraph"/>
    <w:basedOn w:val="Normal"/>
    <w:uiPriority w:val="34"/>
    <w:qFormat/>
    <w:rsid w:val="00FE7286"/>
    <w:pPr>
      <w:ind w:left="720"/>
    </w:pPr>
  </w:style>
  <w:style w:type="paragraph" w:customStyle="1" w:styleId="ActiveIngredientGenericname">
    <w:name w:val="Active Ingredient Generic name"/>
    <w:basedOn w:val="Normal"/>
    <w:rsid w:val="00CA5588"/>
    <w:pPr>
      <w:suppressAutoHyphens/>
      <w:spacing w:after="120" w:line="280" w:lineRule="exact"/>
      <w:jc w:val="left"/>
    </w:pPr>
    <w:rPr>
      <w:b/>
      <w:i/>
      <w:sz w:val="30"/>
      <w:szCs w:val="30"/>
      <w:lang w:eastAsia="en-US"/>
    </w:rPr>
  </w:style>
  <w:style w:type="paragraph" w:customStyle="1" w:styleId="BrandName">
    <w:name w:val="Brand Name"/>
    <w:basedOn w:val="Normal"/>
    <w:rsid w:val="00CA5588"/>
    <w:pPr>
      <w:suppressAutoHyphens/>
      <w:spacing w:after="60"/>
      <w:jc w:val="left"/>
    </w:pPr>
    <w:rPr>
      <w:rFonts w:ascii="Helvetica" w:hAnsi="Helvetica"/>
      <w:b/>
      <w:sz w:val="60"/>
      <w:lang w:eastAsia="en-US"/>
    </w:rPr>
  </w:style>
  <w:style w:type="paragraph" w:customStyle="1" w:styleId="Bullet">
    <w:name w:val="Bullet"/>
    <w:basedOn w:val="Normal"/>
    <w:rsid w:val="00CA5588"/>
    <w:pPr>
      <w:spacing w:after="240"/>
    </w:pPr>
  </w:style>
  <w:style w:type="paragraph" w:customStyle="1" w:styleId="Bullet1">
    <w:name w:val="Bullet 1"/>
    <w:basedOn w:val="Normal"/>
    <w:rsid w:val="00CA5588"/>
    <w:pPr>
      <w:numPr>
        <w:numId w:val="77"/>
      </w:numPr>
    </w:pPr>
  </w:style>
  <w:style w:type="paragraph" w:customStyle="1" w:styleId="bullet10">
    <w:name w:val="bullet 1"/>
    <w:basedOn w:val="Normal"/>
    <w:rsid w:val="00CA5588"/>
    <w:pPr>
      <w:widowControl w:val="0"/>
      <w:numPr>
        <w:numId w:val="78"/>
      </w:numPr>
      <w:tabs>
        <w:tab w:val="left" w:pos="680"/>
      </w:tabs>
      <w:spacing w:after="240"/>
    </w:pPr>
    <w:rPr>
      <w:snapToGrid w:val="0"/>
      <w:lang w:eastAsia="en-US"/>
    </w:rPr>
  </w:style>
  <w:style w:type="paragraph" w:customStyle="1" w:styleId="Bullet2">
    <w:name w:val="Bullet 2"/>
    <w:basedOn w:val="Bullet"/>
    <w:rsid w:val="00CA5588"/>
    <w:pPr>
      <w:numPr>
        <w:numId w:val="79"/>
      </w:numPr>
      <w:suppressAutoHyphens/>
    </w:pPr>
    <w:rPr>
      <w:sz w:val="22"/>
    </w:rPr>
  </w:style>
  <w:style w:type="paragraph" w:customStyle="1" w:styleId="chemical">
    <w:name w:val="chemical"/>
    <w:basedOn w:val="Normal"/>
    <w:rsid w:val="00CA5588"/>
    <w:pPr>
      <w:tabs>
        <w:tab w:val="left" w:pos="1380"/>
      </w:tabs>
      <w:spacing w:line="220" w:lineRule="exact"/>
      <w:ind w:right="40"/>
      <w:jc w:val="left"/>
    </w:pPr>
    <w:rPr>
      <w:i/>
      <w:color w:val="000000"/>
      <w:sz w:val="22"/>
    </w:rPr>
  </w:style>
  <w:style w:type="paragraph" w:customStyle="1" w:styleId="CMI">
    <w:name w:val="CMI"/>
    <w:basedOn w:val="Heading1"/>
    <w:rsid w:val="00CA5588"/>
    <w:pPr>
      <w:suppressAutoHyphens/>
      <w:spacing w:after="180" w:line="360" w:lineRule="exact"/>
    </w:pPr>
    <w:rPr>
      <w:sz w:val="22"/>
      <w:szCs w:val="22"/>
      <w:lang w:eastAsia="en-US"/>
    </w:rPr>
  </w:style>
  <w:style w:type="paragraph" w:customStyle="1" w:styleId="CMIExplanation">
    <w:name w:val="CMI Explanation"/>
    <w:basedOn w:val="Normal"/>
    <w:rsid w:val="00CA5588"/>
    <w:pPr>
      <w:spacing w:before="20" w:after="80"/>
      <w:jc w:val="left"/>
    </w:pPr>
    <w:rPr>
      <w:snapToGrid w:val="0"/>
      <w:sz w:val="20"/>
      <w:lang w:val="en-AU" w:eastAsia="en-US"/>
    </w:rPr>
  </w:style>
  <w:style w:type="paragraph" w:customStyle="1" w:styleId="CMIExplanationafterinstruction">
    <w:name w:val="CMI Explanation after instruction"/>
    <w:basedOn w:val="Normal"/>
    <w:rsid w:val="00CA5588"/>
    <w:pPr>
      <w:tabs>
        <w:tab w:val="left" w:pos="425"/>
      </w:tabs>
      <w:spacing w:after="80"/>
      <w:jc w:val="left"/>
    </w:pPr>
    <w:rPr>
      <w:snapToGrid w:val="0"/>
      <w:sz w:val="20"/>
      <w:lang w:val="en-AU" w:eastAsia="en-US"/>
    </w:rPr>
  </w:style>
  <w:style w:type="paragraph" w:customStyle="1" w:styleId="CMIInstruction">
    <w:name w:val="CMI Instruction"/>
    <w:basedOn w:val="CMIExplanation"/>
    <w:rsid w:val="00CA5588"/>
    <w:rPr>
      <w:b/>
    </w:rPr>
  </w:style>
  <w:style w:type="paragraph" w:customStyle="1" w:styleId="CPI">
    <w:name w:val="CPI"/>
    <w:basedOn w:val="Normal"/>
    <w:rsid w:val="00CA5588"/>
    <w:pPr>
      <w:spacing w:before="60" w:after="180" w:line="360" w:lineRule="exact"/>
      <w:ind w:right="-8505"/>
      <w:jc w:val="left"/>
    </w:pPr>
    <w:rPr>
      <w:rFonts w:ascii="Arial" w:hAnsi="Arial"/>
      <w:b/>
      <w:color w:val="000000"/>
      <w:sz w:val="22"/>
    </w:rPr>
  </w:style>
  <w:style w:type="paragraph" w:customStyle="1" w:styleId="expl">
    <w:name w:val="expl"/>
    <w:basedOn w:val="Normal"/>
    <w:rsid w:val="00CA5588"/>
    <w:pPr>
      <w:spacing w:before="20" w:after="80" w:line="260" w:lineRule="exact"/>
      <w:jc w:val="left"/>
    </w:pPr>
    <w:rPr>
      <w:sz w:val="20"/>
      <w:lang w:val="en-AU"/>
    </w:rPr>
  </w:style>
  <w:style w:type="paragraph" w:customStyle="1" w:styleId="explanation">
    <w:name w:val="explanation"/>
    <w:basedOn w:val="Normal"/>
    <w:rsid w:val="00CA5588"/>
    <w:pPr>
      <w:spacing w:before="20" w:after="80" w:line="260" w:lineRule="exact"/>
      <w:jc w:val="left"/>
    </w:pPr>
    <w:rPr>
      <w:color w:val="000000"/>
      <w:sz w:val="20"/>
    </w:rPr>
  </w:style>
  <w:style w:type="paragraph" w:customStyle="1" w:styleId="ExplanationCMI">
    <w:name w:val="Explanation CMI"/>
    <w:basedOn w:val="Normal"/>
    <w:link w:val="ExplanationCMIChar"/>
    <w:rsid w:val="00CA5588"/>
    <w:pPr>
      <w:suppressAutoHyphens/>
      <w:spacing w:before="20" w:after="80" w:line="260" w:lineRule="exact"/>
      <w:jc w:val="left"/>
    </w:pPr>
    <w:rPr>
      <w:sz w:val="20"/>
      <w:lang w:val="en-AU"/>
    </w:rPr>
  </w:style>
  <w:style w:type="character" w:customStyle="1" w:styleId="ExplanationCMIChar">
    <w:name w:val="Explanation CMI Char"/>
    <w:link w:val="ExplanationCMI"/>
    <w:rsid w:val="00CA5588"/>
  </w:style>
  <w:style w:type="paragraph" w:customStyle="1" w:styleId="expldot">
    <w:name w:val="expldot"/>
    <w:basedOn w:val="expl"/>
    <w:rsid w:val="00CA5588"/>
    <w:pPr>
      <w:tabs>
        <w:tab w:val="left" w:pos="284"/>
        <w:tab w:val="left" w:pos="567"/>
        <w:tab w:val="left" w:pos="851"/>
        <w:tab w:val="left" w:pos="1134"/>
        <w:tab w:val="left" w:pos="1418"/>
      </w:tabs>
    </w:pPr>
  </w:style>
  <w:style w:type="paragraph" w:customStyle="1" w:styleId="expldot1">
    <w:name w:val="expldot1"/>
    <w:basedOn w:val="expl"/>
    <w:qFormat/>
    <w:rsid w:val="00CA5588"/>
    <w:pPr>
      <w:numPr>
        <w:numId w:val="80"/>
      </w:numPr>
      <w:tabs>
        <w:tab w:val="left" w:pos="284"/>
        <w:tab w:val="left" w:pos="567"/>
        <w:tab w:val="left" w:pos="851"/>
        <w:tab w:val="left" w:pos="1134"/>
        <w:tab w:val="left" w:pos="1418"/>
      </w:tabs>
    </w:pPr>
  </w:style>
  <w:style w:type="paragraph" w:customStyle="1" w:styleId="expldot2">
    <w:name w:val="expldot2"/>
    <w:basedOn w:val="expldot1"/>
    <w:qFormat/>
    <w:rsid w:val="00CA5588"/>
    <w:pPr>
      <w:numPr>
        <w:numId w:val="0"/>
      </w:numPr>
    </w:pPr>
  </w:style>
  <w:style w:type="character" w:styleId="FollowedHyperlink">
    <w:name w:val="FollowedHyperlink"/>
    <w:rsid w:val="00CA5588"/>
    <w:rPr>
      <w:color w:val="800080"/>
      <w:u w:val="none"/>
    </w:rPr>
  </w:style>
  <w:style w:type="character" w:customStyle="1" w:styleId="FooterChar">
    <w:name w:val="Footer Char"/>
    <w:link w:val="Footer"/>
    <w:uiPriority w:val="99"/>
    <w:rsid w:val="00CA5588"/>
    <w:rPr>
      <w:sz w:val="24"/>
      <w:lang w:val="en-US"/>
    </w:rPr>
  </w:style>
  <w:style w:type="paragraph" w:customStyle="1" w:styleId="genericname">
    <w:name w:val="generic name"/>
    <w:basedOn w:val="Normal"/>
    <w:rsid w:val="00CA5588"/>
    <w:pPr>
      <w:pBdr>
        <w:bottom w:val="single" w:sz="4" w:space="3" w:color="000000"/>
      </w:pBdr>
      <w:spacing w:after="80"/>
      <w:jc w:val="left"/>
    </w:pPr>
    <w:rPr>
      <w:rFonts w:ascii="Helvetica" w:hAnsi="Helvetica"/>
      <w:i/>
      <w:sz w:val="22"/>
      <w:lang w:val="en-AU"/>
    </w:rPr>
  </w:style>
  <w:style w:type="paragraph" w:customStyle="1" w:styleId="heading1topcol">
    <w:name w:val="heading 1 top col"/>
    <w:basedOn w:val="Heading1"/>
    <w:rsid w:val="00CA5588"/>
    <w:pPr>
      <w:pBdr>
        <w:top w:val="single" w:sz="6" w:space="3" w:color="auto"/>
        <w:bottom w:val="single" w:sz="6" w:space="3" w:color="auto"/>
      </w:pBdr>
      <w:tabs>
        <w:tab w:val="left" w:pos="425"/>
      </w:tabs>
      <w:spacing w:before="480" w:after="180" w:line="240" w:lineRule="atLeast"/>
      <w:ind w:left="357" w:right="62" w:hanging="357"/>
      <w:outlineLvl w:val="9"/>
    </w:pPr>
    <w:rPr>
      <w:rFonts w:ascii="Arial" w:hAnsi="Arial"/>
      <w:color w:val="000000"/>
      <w:sz w:val="28"/>
    </w:rPr>
  </w:style>
  <w:style w:type="paragraph" w:customStyle="1" w:styleId="Heading2MAINFIRST">
    <w:name w:val="Heading 2 MAIN FIRST"/>
    <w:basedOn w:val="Heading2"/>
    <w:rsid w:val="00CA5588"/>
    <w:pPr>
      <w:spacing w:before="0"/>
    </w:pPr>
  </w:style>
  <w:style w:type="paragraph" w:customStyle="1" w:styleId="heading2topcol">
    <w:name w:val="heading 2 top col"/>
    <w:basedOn w:val="Heading2"/>
    <w:rsid w:val="00CA5588"/>
    <w:pPr>
      <w:keepNext w:val="0"/>
      <w:tabs>
        <w:tab w:val="left" w:pos="425"/>
        <w:tab w:val="right" w:pos="3020"/>
      </w:tabs>
      <w:spacing w:before="240" w:after="120" w:line="240" w:lineRule="atLeast"/>
      <w:ind w:left="425" w:hanging="425"/>
      <w:jc w:val="both"/>
      <w:outlineLvl w:val="9"/>
    </w:pPr>
    <w:rPr>
      <w:rFonts w:ascii="Arial" w:hAnsi="Arial"/>
      <w:i/>
      <w:color w:val="000000"/>
      <w:sz w:val="22"/>
    </w:rPr>
  </w:style>
  <w:style w:type="paragraph" w:customStyle="1" w:styleId="Heading3FIRST">
    <w:name w:val="Heading 3 FIRST"/>
    <w:basedOn w:val="Heading3"/>
    <w:qFormat/>
    <w:rsid w:val="00CA5588"/>
    <w:pPr>
      <w:spacing w:before="0"/>
    </w:pPr>
  </w:style>
  <w:style w:type="character" w:customStyle="1" w:styleId="Heading6Char">
    <w:name w:val="Heading 6 Char"/>
    <w:link w:val="Heading6"/>
    <w:rsid w:val="00CA5588"/>
    <w:rPr>
      <w:b/>
      <w:sz w:val="24"/>
      <w:lang w:val="en-US"/>
    </w:rPr>
  </w:style>
  <w:style w:type="paragraph" w:customStyle="1" w:styleId="inst">
    <w:name w:val="inst"/>
    <w:basedOn w:val="expl"/>
    <w:rsid w:val="00CA5588"/>
    <w:rPr>
      <w:b/>
      <w:bCs/>
    </w:rPr>
  </w:style>
  <w:style w:type="paragraph" w:customStyle="1" w:styleId="instdot">
    <w:name w:val="instdot"/>
    <w:basedOn w:val="inst"/>
    <w:rsid w:val="00CA5588"/>
    <w:pPr>
      <w:tabs>
        <w:tab w:val="left" w:pos="284"/>
        <w:tab w:val="left" w:pos="567"/>
        <w:tab w:val="left" w:pos="851"/>
        <w:tab w:val="left" w:pos="1134"/>
        <w:tab w:val="left" w:pos="1418"/>
      </w:tabs>
    </w:pPr>
  </w:style>
  <w:style w:type="paragraph" w:customStyle="1" w:styleId="instdot1">
    <w:name w:val="instdot1"/>
    <w:basedOn w:val="instdot"/>
    <w:qFormat/>
    <w:rsid w:val="00CA5588"/>
    <w:pPr>
      <w:numPr>
        <w:numId w:val="81"/>
      </w:numPr>
    </w:pPr>
  </w:style>
  <w:style w:type="paragraph" w:customStyle="1" w:styleId="instdot2">
    <w:name w:val="instdot2"/>
    <w:basedOn w:val="instdot1"/>
    <w:qFormat/>
    <w:rsid w:val="00CA5588"/>
    <w:pPr>
      <w:numPr>
        <w:numId w:val="0"/>
      </w:numPr>
    </w:pPr>
  </w:style>
  <w:style w:type="paragraph" w:customStyle="1" w:styleId="instnum1">
    <w:name w:val="instnum1"/>
    <w:basedOn w:val="instdot1"/>
    <w:qFormat/>
    <w:rsid w:val="00CA5588"/>
    <w:pPr>
      <w:numPr>
        <w:numId w:val="0"/>
      </w:numPr>
      <w:ind w:left="284" w:hanging="284"/>
    </w:pPr>
  </w:style>
  <w:style w:type="paragraph" w:customStyle="1" w:styleId="instnum2">
    <w:name w:val="instnum2"/>
    <w:basedOn w:val="instnum1"/>
    <w:qFormat/>
    <w:rsid w:val="00CA5588"/>
    <w:pPr>
      <w:ind w:left="568"/>
    </w:pPr>
  </w:style>
  <w:style w:type="paragraph" w:customStyle="1" w:styleId="instruction">
    <w:name w:val="instruction"/>
    <w:basedOn w:val="Normal"/>
    <w:rsid w:val="00CA5588"/>
    <w:pPr>
      <w:spacing w:before="60" w:after="80" w:line="240" w:lineRule="exact"/>
      <w:jc w:val="left"/>
    </w:pPr>
    <w:rPr>
      <w:b/>
      <w:color w:val="000000"/>
      <w:sz w:val="20"/>
      <w:lang w:eastAsia="en-US"/>
    </w:rPr>
  </w:style>
  <w:style w:type="paragraph" w:customStyle="1" w:styleId="InstructionCMI">
    <w:name w:val="Instruction CMI"/>
    <w:basedOn w:val="Normal"/>
    <w:autoRedefine/>
    <w:rsid w:val="00CA5588"/>
    <w:pPr>
      <w:suppressAutoHyphens/>
      <w:spacing w:before="60" w:after="80" w:line="240" w:lineRule="exact"/>
      <w:jc w:val="left"/>
    </w:pPr>
    <w:rPr>
      <w:b/>
      <w:sz w:val="20"/>
      <w:lang w:val="en-AU" w:eastAsia="en-US"/>
    </w:rPr>
  </w:style>
  <w:style w:type="paragraph" w:customStyle="1" w:styleId="InstructionCMIdotpoint">
    <w:name w:val="Instruction CMI dot point"/>
    <w:basedOn w:val="InstructionCMI"/>
    <w:rsid w:val="00CA5588"/>
  </w:style>
  <w:style w:type="paragraph" w:customStyle="1" w:styleId="mainHeader">
    <w:name w:val="main Header"/>
    <w:basedOn w:val="Normal"/>
    <w:rsid w:val="00CA5588"/>
    <w:pPr>
      <w:spacing w:after="60" w:line="600" w:lineRule="exact"/>
      <w:ind w:right="-3686"/>
      <w:jc w:val="left"/>
    </w:pPr>
    <w:rPr>
      <w:rFonts w:ascii="Arial" w:hAnsi="Arial"/>
      <w:b/>
      <w:color w:val="000000"/>
      <w:sz w:val="60"/>
    </w:rPr>
  </w:style>
  <w:style w:type="paragraph" w:customStyle="1" w:styleId="MainHeadingCMI">
    <w:name w:val="Main Heading CMI"/>
    <w:basedOn w:val="Heading1"/>
    <w:rsid w:val="00CA5588"/>
    <w:pPr>
      <w:pBdr>
        <w:top w:val="single" w:sz="6" w:space="1" w:color="auto"/>
        <w:bottom w:val="single" w:sz="6" w:space="1" w:color="auto"/>
      </w:pBdr>
      <w:suppressAutoHyphens/>
      <w:spacing w:before="720" w:after="180" w:line="280" w:lineRule="exact"/>
    </w:pPr>
    <w:rPr>
      <w:sz w:val="28"/>
      <w:lang w:eastAsia="en-US"/>
    </w:rPr>
  </w:style>
  <w:style w:type="paragraph" w:customStyle="1" w:styleId="MainHeadingtopofcolumnCMI">
    <w:name w:val="Main Heading top of column CMI"/>
    <w:basedOn w:val="MainHeadingCMI"/>
    <w:rsid w:val="00CA5588"/>
    <w:pPr>
      <w:spacing w:before="0"/>
    </w:pPr>
    <w:rPr>
      <w:bCs/>
    </w:rPr>
  </w:style>
  <w:style w:type="paragraph" w:customStyle="1" w:styleId="nameAddress">
    <w:name w:val="name &amp; Address"/>
    <w:basedOn w:val="explanation"/>
    <w:rsid w:val="00CA5588"/>
    <w:pPr>
      <w:spacing w:before="0" w:after="0" w:line="280" w:lineRule="exact"/>
    </w:pPr>
    <w:rPr>
      <w:sz w:val="22"/>
    </w:rPr>
  </w:style>
  <w:style w:type="paragraph" w:customStyle="1" w:styleId="SubheadingCMI">
    <w:name w:val="Subheading CMI"/>
    <w:basedOn w:val="Heading2"/>
    <w:rsid w:val="00CA5588"/>
    <w:pPr>
      <w:suppressAutoHyphens/>
      <w:spacing w:before="240" w:after="120"/>
    </w:pPr>
    <w:rPr>
      <w:rFonts w:cs="Arial"/>
      <w:bCs/>
      <w:i/>
      <w:iCs/>
      <w:sz w:val="22"/>
      <w:szCs w:val="28"/>
      <w:lang w:eastAsia="en-US"/>
    </w:rPr>
  </w:style>
  <w:style w:type="paragraph" w:styleId="Revision">
    <w:name w:val="Revision"/>
    <w:hidden/>
    <w:uiPriority w:val="99"/>
    <w:semiHidden/>
    <w:rsid w:val="006C1511"/>
    <w:rPr>
      <w:sz w:val="24"/>
      <w:lang w:val="en-US"/>
    </w:rPr>
  </w:style>
  <w:style w:type="character" w:customStyle="1" w:styleId="EndnoteTextChar">
    <w:name w:val="Endnote Text Char"/>
    <w:link w:val="EndnoteText"/>
    <w:semiHidden/>
    <w:rsid w:val="00F94460"/>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964">
      <w:bodyDiv w:val="1"/>
      <w:marLeft w:val="0"/>
      <w:marRight w:val="0"/>
      <w:marTop w:val="0"/>
      <w:marBottom w:val="0"/>
      <w:divBdr>
        <w:top w:val="none" w:sz="0" w:space="0" w:color="auto"/>
        <w:left w:val="none" w:sz="0" w:space="0" w:color="auto"/>
        <w:bottom w:val="none" w:sz="0" w:space="0" w:color="auto"/>
        <w:right w:val="none" w:sz="0" w:space="0" w:color="auto"/>
      </w:divBdr>
    </w:div>
    <w:div w:id="41443838">
      <w:bodyDiv w:val="1"/>
      <w:marLeft w:val="0"/>
      <w:marRight w:val="0"/>
      <w:marTop w:val="0"/>
      <w:marBottom w:val="0"/>
      <w:divBdr>
        <w:top w:val="none" w:sz="0" w:space="0" w:color="auto"/>
        <w:left w:val="none" w:sz="0" w:space="0" w:color="auto"/>
        <w:bottom w:val="none" w:sz="0" w:space="0" w:color="auto"/>
        <w:right w:val="none" w:sz="0" w:space="0" w:color="auto"/>
      </w:divBdr>
    </w:div>
    <w:div w:id="45841254">
      <w:bodyDiv w:val="1"/>
      <w:marLeft w:val="0"/>
      <w:marRight w:val="0"/>
      <w:marTop w:val="0"/>
      <w:marBottom w:val="0"/>
      <w:divBdr>
        <w:top w:val="none" w:sz="0" w:space="0" w:color="auto"/>
        <w:left w:val="none" w:sz="0" w:space="0" w:color="auto"/>
        <w:bottom w:val="none" w:sz="0" w:space="0" w:color="auto"/>
        <w:right w:val="none" w:sz="0" w:space="0" w:color="auto"/>
      </w:divBdr>
    </w:div>
    <w:div w:id="116217669">
      <w:bodyDiv w:val="1"/>
      <w:marLeft w:val="0"/>
      <w:marRight w:val="0"/>
      <w:marTop w:val="0"/>
      <w:marBottom w:val="0"/>
      <w:divBdr>
        <w:top w:val="none" w:sz="0" w:space="0" w:color="auto"/>
        <w:left w:val="none" w:sz="0" w:space="0" w:color="auto"/>
        <w:bottom w:val="none" w:sz="0" w:space="0" w:color="auto"/>
        <w:right w:val="none" w:sz="0" w:space="0" w:color="auto"/>
      </w:divBdr>
    </w:div>
    <w:div w:id="184943751">
      <w:bodyDiv w:val="1"/>
      <w:marLeft w:val="0"/>
      <w:marRight w:val="0"/>
      <w:marTop w:val="0"/>
      <w:marBottom w:val="0"/>
      <w:divBdr>
        <w:top w:val="none" w:sz="0" w:space="0" w:color="auto"/>
        <w:left w:val="none" w:sz="0" w:space="0" w:color="auto"/>
        <w:bottom w:val="none" w:sz="0" w:space="0" w:color="auto"/>
        <w:right w:val="none" w:sz="0" w:space="0" w:color="auto"/>
      </w:divBdr>
    </w:div>
    <w:div w:id="197471570">
      <w:bodyDiv w:val="1"/>
      <w:marLeft w:val="0"/>
      <w:marRight w:val="0"/>
      <w:marTop w:val="0"/>
      <w:marBottom w:val="0"/>
      <w:divBdr>
        <w:top w:val="none" w:sz="0" w:space="0" w:color="auto"/>
        <w:left w:val="none" w:sz="0" w:space="0" w:color="auto"/>
        <w:bottom w:val="none" w:sz="0" w:space="0" w:color="auto"/>
        <w:right w:val="none" w:sz="0" w:space="0" w:color="auto"/>
      </w:divBdr>
    </w:div>
    <w:div w:id="202442544">
      <w:bodyDiv w:val="1"/>
      <w:marLeft w:val="0"/>
      <w:marRight w:val="0"/>
      <w:marTop w:val="0"/>
      <w:marBottom w:val="0"/>
      <w:divBdr>
        <w:top w:val="none" w:sz="0" w:space="0" w:color="auto"/>
        <w:left w:val="none" w:sz="0" w:space="0" w:color="auto"/>
        <w:bottom w:val="none" w:sz="0" w:space="0" w:color="auto"/>
        <w:right w:val="none" w:sz="0" w:space="0" w:color="auto"/>
      </w:divBdr>
    </w:div>
    <w:div w:id="218128353">
      <w:bodyDiv w:val="1"/>
      <w:marLeft w:val="0"/>
      <w:marRight w:val="0"/>
      <w:marTop w:val="0"/>
      <w:marBottom w:val="0"/>
      <w:divBdr>
        <w:top w:val="none" w:sz="0" w:space="0" w:color="auto"/>
        <w:left w:val="none" w:sz="0" w:space="0" w:color="auto"/>
        <w:bottom w:val="none" w:sz="0" w:space="0" w:color="auto"/>
        <w:right w:val="none" w:sz="0" w:space="0" w:color="auto"/>
      </w:divBdr>
    </w:div>
    <w:div w:id="235894383">
      <w:bodyDiv w:val="1"/>
      <w:marLeft w:val="0"/>
      <w:marRight w:val="0"/>
      <w:marTop w:val="0"/>
      <w:marBottom w:val="0"/>
      <w:divBdr>
        <w:top w:val="none" w:sz="0" w:space="0" w:color="auto"/>
        <w:left w:val="none" w:sz="0" w:space="0" w:color="auto"/>
        <w:bottom w:val="none" w:sz="0" w:space="0" w:color="auto"/>
        <w:right w:val="none" w:sz="0" w:space="0" w:color="auto"/>
      </w:divBdr>
    </w:div>
    <w:div w:id="249435318">
      <w:bodyDiv w:val="1"/>
      <w:marLeft w:val="0"/>
      <w:marRight w:val="0"/>
      <w:marTop w:val="0"/>
      <w:marBottom w:val="0"/>
      <w:divBdr>
        <w:top w:val="none" w:sz="0" w:space="0" w:color="auto"/>
        <w:left w:val="none" w:sz="0" w:space="0" w:color="auto"/>
        <w:bottom w:val="none" w:sz="0" w:space="0" w:color="auto"/>
        <w:right w:val="none" w:sz="0" w:space="0" w:color="auto"/>
      </w:divBdr>
    </w:div>
    <w:div w:id="258372469">
      <w:bodyDiv w:val="1"/>
      <w:marLeft w:val="0"/>
      <w:marRight w:val="0"/>
      <w:marTop w:val="0"/>
      <w:marBottom w:val="0"/>
      <w:divBdr>
        <w:top w:val="none" w:sz="0" w:space="0" w:color="auto"/>
        <w:left w:val="none" w:sz="0" w:space="0" w:color="auto"/>
        <w:bottom w:val="none" w:sz="0" w:space="0" w:color="auto"/>
        <w:right w:val="none" w:sz="0" w:space="0" w:color="auto"/>
      </w:divBdr>
    </w:div>
    <w:div w:id="288164975">
      <w:bodyDiv w:val="1"/>
      <w:marLeft w:val="0"/>
      <w:marRight w:val="0"/>
      <w:marTop w:val="0"/>
      <w:marBottom w:val="0"/>
      <w:divBdr>
        <w:top w:val="none" w:sz="0" w:space="0" w:color="auto"/>
        <w:left w:val="none" w:sz="0" w:space="0" w:color="auto"/>
        <w:bottom w:val="none" w:sz="0" w:space="0" w:color="auto"/>
        <w:right w:val="none" w:sz="0" w:space="0" w:color="auto"/>
      </w:divBdr>
    </w:div>
    <w:div w:id="359673700">
      <w:bodyDiv w:val="1"/>
      <w:marLeft w:val="0"/>
      <w:marRight w:val="0"/>
      <w:marTop w:val="0"/>
      <w:marBottom w:val="0"/>
      <w:divBdr>
        <w:top w:val="none" w:sz="0" w:space="0" w:color="auto"/>
        <w:left w:val="none" w:sz="0" w:space="0" w:color="auto"/>
        <w:bottom w:val="none" w:sz="0" w:space="0" w:color="auto"/>
        <w:right w:val="none" w:sz="0" w:space="0" w:color="auto"/>
      </w:divBdr>
    </w:div>
    <w:div w:id="364645642">
      <w:bodyDiv w:val="1"/>
      <w:marLeft w:val="0"/>
      <w:marRight w:val="0"/>
      <w:marTop w:val="0"/>
      <w:marBottom w:val="0"/>
      <w:divBdr>
        <w:top w:val="none" w:sz="0" w:space="0" w:color="auto"/>
        <w:left w:val="none" w:sz="0" w:space="0" w:color="auto"/>
        <w:bottom w:val="none" w:sz="0" w:space="0" w:color="auto"/>
        <w:right w:val="none" w:sz="0" w:space="0" w:color="auto"/>
      </w:divBdr>
    </w:div>
    <w:div w:id="428041657">
      <w:bodyDiv w:val="1"/>
      <w:marLeft w:val="0"/>
      <w:marRight w:val="0"/>
      <w:marTop w:val="0"/>
      <w:marBottom w:val="0"/>
      <w:divBdr>
        <w:top w:val="none" w:sz="0" w:space="0" w:color="auto"/>
        <w:left w:val="none" w:sz="0" w:space="0" w:color="auto"/>
        <w:bottom w:val="none" w:sz="0" w:space="0" w:color="auto"/>
        <w:right w:val="none" w:sz="0" w:space="0" w:color="auto"/>
      </w:divBdr>
    </w:div>
    <w:div w:id="453141111">
      <w:bodyDiv w:val="1"/>
      <w:marLeft w:val="0"/>
      <w:marRight w:val="0"/>
      <w:marTop w:val="0"/>
      <w:marBottom w:val="0"/>
      <w:divBdr>
        <w:top w:val="none" w:sz="0" w:space="0" w:color="auto"/>
        <w:left w:val="none" w:sz="0" w:space="0" w:color="auto"/>
        <w:bottom w:val="none" w:sz="0" w:space="0" w:color="auto"/>
        <w:right w:val="none" w:sz="0" w:space="0" w:color="auto"/>
      </w:divBdr>
    </w:div>
    <w:div w:id="485364327">
      <w:bodyDiv w:val="1"/>
      <w:marLeft w:val="0"/>
      <w:marRight w:val="0"/>
      <w:marTop w:val="0"/>
      <w:marBottom w:val="0"/>
      <w:divBdr>
        <w:top w:val="none" w:sz="0" w:space="0" w:color="auto"/>
        <w:left w:val="none" w:sz="0" w:space="0" w:color="auto"/>
        <w:bottom w:val="none" w:sz="0" w:space="0" w:color="auto"/>
        <w:right w:val="none" w:sz="0" w:space="0" w:color="auto"/>
      </w:divBdr>
    </w:div>
    <w:div w:id="507254322">
      <w:bodyDiv w:val="1"/>
      <w:marLeft w:val="0"/>
      <w:marRight w:val="0"/>
      <w:marTop w:val="0"/>
      <w:marBottom w:val="0"/>
      <w:divBdr>
        <w:top w:val="none" w:sz="0" w:space="0" w:color="auto"/>
        <w:left w:val="none" w:sz="0" w:space="0" w:color="auto"/>
        <w:bottom w:val="none" w:sz="0" w:space="0" w:color="auto"/>
        <w:right w:val="none" w:sz="0" w:space="0" w:color="auto"/>
      </w:divBdr>
    </w:div>
    <w:div w:id="630481067">
      <w:bodyDiv w:val="1"/>
      <w:marLeft w:val="0"/>
      <w:marRight w:val="0"/>
      <w:marTop w:val="0"/>
      <w:marBottom w:val="0"/>
      <w:divBdr>
        <w:top w:val="none" w:sz="0" w:space="0" w:color="auto"/>
        <w:left w:val="none" w:sz="0" w:space="0" w:color="auto"/>
        <w:bottom w:val="none" w:sz="0" w:space="0" w:color="auto"/>
        <w:right w:val="none" w:sz="0" w:space="0" w:color="auto"/>
      </w:divBdr>
    </w:div>
    <w:div w:id="649676641">
      <w:bodyDiv w:val="1"/>
      <w:marLeft w:val="0"/>
      <w:marRight w:val="0"/>
      <w:marTop w:val="0"/>
      <w:marBottom w:val="0"/>
      <w:divBdr>
        <w:top w:val="none" w:sz="0" w:space="0" w:color="auto"/>
        <w:left w:val="none" w:sz="0" w:space="0" w:color="auto"/>
        <w:bottom w:val="none" w:sz="0" w:space="0" w:color="auto"/>
        <w:right w:val="none" w:sz="0" w:space="0" w:color="auto"/>
      </w:divBdr>
    </w:div>
    <w:div w:id="656304908">
      <w:bodyDiv w:val="1"/>
      <w:marLeft w:val="0"/>
      <w:marRight w:val="0"/>
      <w:marTop w:val="0"/>
      <w:marBottom w:val="0"/>
      <w:divBdr>
        <w:top w:val="none" w:sz="0" w:space="0" w:color="auto"/>
        <w:left w:val="none" w:sz="0" w:space="0" w:color="auto"/>
        <w:bottom w:val="none" w:sz="0" w:space="0" w:color="auto"/>
        <w:right w:val="none" w:sz="0" w:space="0" w:color="auto"/>
      </w:divBdr>
    </w:div>
    <w:div w:id="672025402">
      <w:bodyDiv w:val="1"/>
      <w:marLeft w:val="0"/>
      <w:marRight w:val="0"/>
      <w:marTop w:val="0"/>
      <w:marBottom w:val="0"/>
      <w:divBdr>
        <w:top w:val="none" w:sz="0" w:space="0" w:color="auto"/>
        <w:left w:val="none" w:sz="0" w:space="0" w:color="auto"/>
        <w:bottom w:val="none" w:sz="0" w:space="0" w:color="auto"/>
        <w:right w:val="none" w:sz="0" w:space="0" w:color="auto"/>
      </w:divBdr>
    </w:div>
    <w:div w:id="731468452">
      <w:bodyDiv w:val="1"/>
      <w:marLeft w:val="0"/>
      <w:marRight w:val="0"/>
      <w:marTop w:val="0"/>
      <w:marBottom w:val="0"/>
      <w:divBdr>
        <w:top w:val="none" w:sz="0" w:space="0" w:color="auto"/>
        <w:left w:val="none" w:sz="0" w:space="0" w:color="auto"/>
        <w:bottom w:val="none" w:sz="0" w:space="0" w:color="auto"/>
        <w:right w:val="none" w:sz="0" w:space="0" w:color="auto"/>
      </w:divBdr>
    </w:div>
    <w:div w:id="792092275">
      <w:bodyDiv w:val="1"/>
      <w:marLeft w:val="0"/>
      <w:marRight w:val="0"/>
      <w:marTop w:val="0"/>
      <w:marBottom w:val="0"/>
      <w:divBdr>
        <w:top w:val="none" w:sz="0" w:space="0" w:color="auto"/>
        <w:left w:val="none" w:sz="0" w:space="0" w:color="auto"/>
        <w:bottom w:val="none" w:sz="0" w:space="0" w:color="auto"/>
        <w:right w:val="none" w:sz="0" w:space="0" w:color="auto"/>
      </w:divBdr>
    </w:div>
    <w:div w:id="826169168">
      <w:bodyDiv w:val="1"/>
      <w:marLeft w:val="0"/>
      <w:marRight w:val="0"/>
      <w:marTop w:val="0"/>
      <w:marBottom w:val="0"/>
      <w:divBdr>
        <w:top w:val="none" w:sz="0" w:space="0" w:color="auto"/>
        <w:left w:val="none" w:sz="0" w:space="0" w:color="auto"/>
        <w:bottom w:val="none" w:sz="0" w:space="0" w:color="auto"/>
        <w:right w:val="none" w:sz="0" w:space="0" w:color="auto"/>
      </w:divBdr>
    </w:div>
    <w:div w:id="854614772">
      <w:bodyDiv w:val="1"/>
      <w:marLeft w:val="0"/>
      <w:marRight w:val="0"/>
      <w:marTop w:val="0"/>
      <w:marBottom w:val="0"/>
      <w:divBdr>
        <w:top w:val="none" w:sz="0" w:space="0" w:color="auto"/>
        <w:left w:val="none" w:sz="0" w:space="0" w:color="auto"/>
        <w:bottom w:val="none" w:sz="0" w:space="0" w:color="auto"/>
        <w:right w:val="none" w:sz="0" w:space="0" w:color="auto"/>
      </w:divBdr>
    </w:div>
    <w:div w:id="856650338">
      <w:bodyDiv w:val="1"/>
      <w:marLeft w:val="0"/>
      <w:marRight w:val="0"/>
      <w:marTop w:val="0"/>
      <w:marBottom w:val="0"/>
      <w:divBdr>
        <w:top w:val="none" w:sz="0" w:space="0" w:color="auto"/>
        <w:left w:val="none" w:sz="0" w:space="0" w:color="auto"/>
        <w:bottom w:val="none" w:sz="0" w:space="0" w:color="auto"/>
        <w:right w:val="none" w:sz="0" w:space="0" w:color="auto"/>
      </w:divBdr>
    </w:div>
    <w:div w:id="883905209">
      <w:bodyDiv w:val="1"/>
      <w:marLeft w:val="0"/>
      <w:marRight w:val="0"/>
      <w:marTop w:val="0"/>
      <w:marBottom w:val="0"/>
      <w:divBdr>
        <w:top w:val="none" w:sz="0" w:space="0" w:color="auto"/>
        <w:left w:val="none" w:sz="0" w:space="0" w:color="auto"/>
        <w:bottom w:val="none" w:sz="0" w:space="0" w:color="auto"/>
        <w:right w:val="none" w:sz="0" w:space="0" w:color="auto"/>
      </w:divBdr>
    </w:div>
    <w:div w:id="910581972">
      <w:bodyDiv w:val="1"/>
      <w:marLeft w:val="0"/>
      <w:marRight w:val="0"/>
      <w:marTop w:val="0"/>
      <w:marBottom w:val="0"/>
      <w:divBdr>
        <w:top w:val="none" w:sz="0" w:space="0" w:color="auto"/>
        <w:left w:val="none" w:sz="0" w:space="0" w:color="auto"/>
        <w:bottom w:val="none" w:sz="0" w:space="0" w:color="auto"/>
        <w:right w:val="none" w:sz="0" w:space="0" w:color="auto"/>
      </w:divBdr>
    </w:div>
    <w:div w:id="935753548">
      <w:bodyDiv w:val="1"/>
      <w:marLeft w:val="0"/>
      <w:marRight w:val="0"/>
      <w:marTop w:val="0"/>
      <w:marBottom w:val="0"/>
      <w:divBdr>
        <w:top w:val="none" w:sz="0" w:space="0" w:color="auto"/>
        <w:left w:val="none" w:sz="0" w:space="0" w:color="auto"/>
        <w:bottom w:val="none" w:sz="0" w:space="0" w:color="auto"/>
        <w:right w:val="none" w:sz="0" w:space="0" w:color="auto"/>
      </w:divBdr>
    </w:div>
    <w:div w:id="976495754">
      <w:bodyDiv w:val="1"/>
      <w:marLeft w:val="0"/>
      <w:marRight w:val="0"/>
      <w:marTop w:val="0"/>
      <w:marBottom w:val="0"/>
      <w:divBdr>
        <w:top w:val="none" w:sz="0" w:space="0" w:color="auto"/>
        <w:left w:val="none" w:sz="0" w:space="0" w:color="auto"/>
        <w:bottom w:val="none" w:sz="0" w:space="0" w:color="auto"/>
        <w:right w:val="none" w:sz="0" w:space="0" w:color="auto"/>
      </w:divBdr>
    </w:div>
    <w:div w:id="989792081">
      <w:bodyDiv w:val="1"/>
      <w:marLeft w:val="0"/>
      <w:marRight w:val="0"/>
      <w:marTop w:val="0"/>
      <w:marBottom w:val="0"/>
      <w:divBdr>
        <w:top w:val="none" w:sz="0" w:space="0" w:color="auto"/>
        <w:left w:val="none" w:sz="0" w:space="0" w:color="auto"/>
        <w:bottom w:val="none" w:sz="0" w:space="0" w:color="auto"/>
        <w:right w:val="none" w:sz="0" w:space="0" w:color="auto"/>
      </w:divBdr>
    </w:div>
    <w:div w:id="1007751084">
      <w:bodyDiv w:val="1"/>
      <w:marLeft w:val="0"/>
      <w:marRight w:val="0"/>
      <w:marTop w:val="0"/>
      <w:marBottom w:val="0"/>
      <w:divBdr>
        <w:top w:val="none" w:sz="0" w:space="0" w:color="auto"/>
        <w:left w:val="none" w:sz="0" w:space="0" w:color="auto"/>
        <w:bottom w:val="none" w:sz="0" w:space="0" w:color="auto"/>
        <w:right w:val="none" w:sz="0" w:space="0" w:color="auto"/>
      </w:divBdr>
    </w:div>
    <w:div w:id="1089887427">
      <w:bodyDiv w:val="1"/>
      <w:marLeft w:val="0"/>
      <w:marRight w:val="0"/>
      <w:marTop w:val="0"/>
      <w:marBottom w:val="0"/>
      <w:divBdr>
        <w:top w:val="none" w:sz="0" w:space="0" w:color="auto"/>
        <w:left w:val="none" w:sz="0" w:space="0" w:color="auto"/>
        <w:bottom w:val="none" w:sz="0" w:space="0" w:color="auto"/>
        <w:right w:val="none" w:sz="0" w:space="0" w:color="auto"/>
      </w:divBdr>
    </w:div>
    <w:div w:id="1188058446">
      <w:bodyDiv w:val="1"/>
      <w:marLeft w:val="0"/>
      <w:marRight w:val="0"/>
      <w:marTop w:val="0"/>
      <w:marBottom w:val="0"/>
      <w:divBdr>
        <w:top w:val="none" w:sz="0" w:space="0" w:color="auto"/>
        <w:left w:val="none" w:sz="0" w:space="0" w:color="auto"/>
        <w:bottom w:val="none" w:sz="0" w:space="0" w:color="auto"/>
        <w:right w:val="none" w:sz="0" w:space="0" w:color="auto"/>
      </w:divBdr>
    </w:div>
    <w:div w:id="1290473748">
      <w:bodyDiv w:val="1"/>
      <w:marLeft w:val="0"/>
      <w:marRight w:val="0"/>
      <w:marTop w:val="0"/>
      <w:marBottom w:val="0"/>
      <w:divBdr>
        <w:top w:val="none" w:sz="0" w:space="0" w:color="auto"/>
        <w:left w:val="none" w:sz="0" w:space="0" w:color="auto"/>
        <w:bottom w:val="none" w:sz="0" w:space="0" w:color="auto"/>
        <w:right w:val="none" w:sz="0" w:space="0" w:color="auto"/>
      </w:divBdr>
    </w:div>
    <w:div w:id="1295022184">
      <w:bodyDiv w:val="1"/>
      <w:marLeft w:val="0"/>
      <w:marRight w:val="0"/>
      <w:marTop w:val="0"/>
      <w:marBottom w:val="0"/>
      <w:divBdr>
        <w:top w:val="none" w:sz="0" w:space="0" w:color="auto"/>
        <w:left w:val="none" w:sz="0" w:space="0" w:color="auto"/>
        <w:bottom w:val="none" w:sz="0" w:space="0" w:color="auto"/>
        <w:right w:val="none" w:sz="0" w:space="0" w:color="auto"/>
      </w:divBdr>
    </w:div>
    <w:div w:id="1322588278">
      <w:bodyDiv w:val="1"/>
      <w:marLeft w:val="0"/>
      <w:marRight w:val="0"/>
      <w:marTop w:val="0"/>
      <w:marBottom w:val="0"/>
      <w:divBdr>
        <w:top w:val="none" w:sz="0" w:space="0" w:color="auto"/>
        <w:left w:val="none" w:sz="0" w:space="0" w:color="auto"/>
        <w:bottom w:val="none" w:sz="0" w:space="0" w:color="auto"/>
        <w:right w:val="none" w:sz="0" w:space="0" w:color="auto"/>
      </w:divBdr>
    </w:div>
    <w:div w:id="1359745434">
      <w:bodyDiv w:val="1"/>
      <w:marLeft w:val="0"/>
      <w:marRight w:val="0"/>
      <w:marTop w:val="0"/>
      <w:marBottom w:val="0"/>
      <w:divBdr>
        <w:top w:val="none" w:sz="0" w:space="0" w:color="auto"/>
        <w:left w:val="none" w:sz="0" w:space="0" w:color="auto"/>
        <w:bottom w:val="none" w:sz="0" w:space="0" w:color="auto"/>
        <w:right w:val="none" w:sz="0" w:space="0" w:color="auto"/>
      </w:divBdr>
    </w:div>
    <w:div w:id="1478305678">
      <w:bodyDiv w:val="1"/>
      <w:marLeft w:val="0"/>
      <w:marRight w:val="0"/>
      <w:marTop w:val="0"/>
      <w:marBottom w:val="0"/>
      <w:divBdr>
        <w:top w:val="none" w:sz="0" w:space="0" w:color="auto"/>
        <w:left w:val="none" w:sz="0" w:space="0" w:color="auto"/>
        <w:bottom w:val="none" w:sz="0" w:space="0" w:color="auto"/>
        <w:right w:val="none" w:sz="0" w:space="0" w:color="auto"/>
      </w:divBdr>
    </w:div>
    <w:div w:id="1491284564">
      <w:bodyDiv w:val="1"/>
      <w:marLeft w:val="0"/>
      <w:marRight w:val="0"/>
      <w:marTop w:val="0"/>
      <w:marBottom w:val="0"/>
      <w:divBdr>
        <w:top w:val="none" w:sz="0" w:space="0" w:color="auto"/>
        <w:left w:val="none" w:sz="0" w:space="0" w:color="auto"/>
        <w:bottom w:val="none" w:sz="0" w:space="0" w:color="auto"/>
        <w:right w:val="none" w:sz="0" w:space="0" w:color="auto"/>
      </w:divBdr>
    </w:div>
    <w:div w:id="1572733398">
      <w:bodyDiv w:val="1"/>
      <w:marLeft w:val="0"/>
      <w:marRight w:val="0"/>
      <w:marTop w:val="0"/>
      <w:marBottom w:val="0"/>
      <w:divBdr>
        <w:top w:val="none" w:sz="0" w:space="0" w:color="auto"/>
        <w:left w:val="none" w:sz="0" w:space="0" w:color="auto"/>
        <w:bottom w:val="none" w:sz="0" w:space="0" w:color="auto"/>
        <w:right w:val="none" w:sz="0" w:space="0" w:color="auto"/>
      </w:divBdr>
    </w:div>
    <w:div w:id="1590117204">
      <w:bodyDiv w:val="1"/>
      <w:marLeft w:val="0"/>
      <w:marRight w:val="0"/>
      <w:marTop w:val="0"/>
      <w:marBottom w:val="0"/>
      <w:divBdr>
        <w:top w:val="none" w:sz="0" w:space="0" w:color="auto"/>
        <w:left w:val="none" w:sz="0" w:space="0" w:color="auto"/>
        <w:bottom w:val="none" w:sz="0" w:space="0" w:color="auto"/>
        <w:right w:val="none" w:sz="0" w:space="0" w:color="auto"/>
      </w:divBdr>
    </w:div>
    <w:div w:id="1590699017">
      <w:bodyDiv w:val="1"/>
      <w:marLeft w:val="0"/>
      <w:marRight w:val="0"/>
      <w:marTop w:val="0"/>
      <w:marBottom w:val="0"/>
      <w:divBdr>
        <w:top w:val="none" w:sz="0" w:space="0" w:color="auto"/>
        <w:left w:val="none" w:sz="0" w:space="0" w:color="auto"/>
        <w:bottom w:val="none" w:sz="0" w:space="0" w:color="auto"/>
        <w:right w:val="none" w:sz="0" w:space="0" w:color="auto"/>
      </w:divBdr>
    </w:div>
    <w:div w:id="1602444984">
      <w:bodyDiv w:val="1"/>
      <w:marLeft w:val="0"/>
      <w:marRight w:val="0"/>
      <w:marTop w:val="0"/>
      <w:marBottom w:val="0"/>
      <w:divBdr>
        <w:top w:val="none" w:sz="0" w:space="0" w:color="auto"/>
        <w:left w:val="none" w:sz="0" w:space="0" w:color="auto"/>
        <w:bottom w:val="none" w:sz="0" w:space="0" w:color="auto"/>
        <w:right w:val="none" w:sz="0" w:space="0" w:color="auto"/>
      </w:divBdr>
    </w:div>
    <w:div w:id="1608925585">
      <w:bodyDiv w:val="1"/>
      <w:marLeft w:val="0"/>
      <w:marRight w:val="0"/>
      <w:marTop w:val="0"/>
      <w:marBottom w:val="0"/>
      <w:divBdr>
        <w:top w:val="none" w:sz="0" w:space="0" w:color="auto"/>
        <w:left w:val="none" w:sz="0" w:space="0" w:color="auto"/>
        <w:bottom w:val="none" w:sz="0" w:space="0" w:color="auto"/>
        <w:right w:val="none" w:sz="0" w:space="0" w:color="auto"/>
      </w:divBdr>
    </w:div>
    <w:div w:id="1665283494">
      <w:bodyDiv w:val="1"/>
      <w:marLeft w:val="0"/>
      <w:marRight w:val="0"/>
      <w:marTop w:val="0"/>
      <w:marBottom w:val="0"/>
      <w:divBdr>
        <w:top w:val="none" w:sz="0" w:space="0" w:color="auto"/>
        <w:left w:val="none" w:sz="0" w:space="0" w:color="auto"/>
        <w:bottom w:val="none" w:sz="0" w:space="0" w:color="auto"/>
        <w:right w:val="none" w:sz="0" w:space="0" w:color="auto"/>
      </w:divBdr>
    </w:div>
    <w:div w:id="1694722723">
      <w:bodyDiv w:val="1"/>
      <w:marLeft w:val="0"/>
      <w:marRight w:val="0"/>
      <w:marTop w:val="0"/>
      <w:marBottom w:val="0"/>
      <w:divBdr>
        <w:top w:val="none" w:sz="0" w:space="0" w:color="auto"/>
        <w:left w:val="none" w:sz="0" w:space="0" w:color="auto"/>
        <w:bottom w:val="none" w:sz="0" w:space="0" w:color="auto"/>
        <w:right w:val="none" w:sz="0" w:space="0" w:color="auto"/>
      </w:divBdr>
    </w:div>
    <w:div w:id="1905989318">
      <w:bodyDiv w:val="1"/>
      <w:marLeft w:val="0"/>
      <w:marRight w:val="0"/>
      <w:marTop w:val="0"/>
      <w:marBottom w:val="0"/>
      <w:divBdr>
        <w:top w:val="none" w:sz="0" w:space="0" w:color="auto"/>
        <w:left w:val="none" w:sz="0" w:space="0" w:color="auto"/>
        <w:bottom w:val="none" w:sz="0" w:space="0" w:color="auto"/>
        <w:right w:val="none" w:sz="0" w:space="0" w:color="auto"/>
      </w:divBdr>
    </w:div>
    <w:div w:id="2033989469">
      <w:bodyDiv w:val="1"/>
      <w:marLeft w:val="0"/>
      <w:marRight w:val="0"/>
      <w:marTop w:val="0"/>
      <w:marBottom w:val="0"/>
      <w:divBdr>
        <w:top w:val="none" w:sz="0" w:space="0" w:color="auto"/>
        <w:left w:val="none" w:sz="0" w:space="0" w:color="auto"/>
        <w:bottom w:val="none" w:sz="0" w:space="0" w:color="auto"/>
        <w:right w:val="none" w:sz="0" w:space="0" w:color="auto"/>
      </w:divBdr>
    </w:div>
    <w:div w:id="2034181573">
      <w:bodyDiv w:val="1"/>
      <w:marLeft w:val="0"/>
      <w:marRight w:val="0"/>
      <w:marTop w:val="0"/>
      <w:marBottom w:val="0"/>
      <w:divBdr>
        <w:top w:val="none" w:sz="0" w:space="0" w:color="auto"/>
        <w:left w:val="none" w:sz="0" w:space="0" w:color="auto"/>
        <w:bottom w:val="none" w:sz="0" w:space="0" w:color="auto"/>
        <w:right w:val="none" w:sz="0" w:space="0" w:color="auto"/>
      </w:divBdr>
    </w:div>
    <w:div w:id="2050638777">
      <w:bodyDiv w:val="1"/>
      <w:marLeft w:val="0"/>
      <w:marRight w:val="0"/>
      <w:marTop w:val="0"/>
      <w:marBottom w:val="0"/>
      <w:divBdr>
        <w:top w:val="none" w:sz="0" w:space="0" w:color="auto"/>
        <w:left w:val="none" w:sz="0" w:space="0" w:color="auto"/>
        <w:bottom w:val="none" w:sz="0" w:space="0" w:color="auto"/>
        <w:right w:val="none" w:sz="0" w:space="0" w:color="auto"/>
      </w:divBdr>
    </w:div>
    <w:div w:id="2095324022">
      <w:bodyDiv w:val="1"/>
      <w:marLeft w:val="0"/>
      <w:marRight w:val="0"/>
      <w:marTop w:val="0"/>
      <w:marBottom w:val="0"/>
      <w:divBdr>
        <w:top w:val="none" w:sz="0" w:space="0" w:color="auto"/>
        <w:left w:val="none" w:sz="0" w:space="0" w:color="auto"/>
        <w:bottom w:val="none" w:sz="0" w:space="0" w:color="auto"/>
        <w:right w:val="none" w:sz="0" w:space="0" w:color="auto"/>
      </w:divBdr>
    </w:div>
    <w:div w:id="21170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74D55-9164-4F47-A031-55E060BB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13820</Words>
  <Characters>80402</Characters>
  <Application>Microsoft Office Word</Application>
  <DocSecurity>0</DocSecurity>
  <Lines>2772</Lines>
  <Paragraphs>1570</Paragraphs>
  <ScaleCrop>false</ScaleCrop>
  <HeadingPairs>
    <vt:vector size="2" baseType="variant">
      <vt:variant>
        <vt:lpstr>Title</vt:lpstr>
      </vt:variant>
      <vt:variant>
        <vt:i4>1</vt:i4>
      </vt:variant>
    </vt:vector>
  </HeadingPairs>
  <TitlesOfParts>
    <vt:vector size="1" baseType="lpstr">
      <vt:lpstr>AusPAR Attachment 1: Product Information for Truvada</vt:lpstr>
    </vt:vector>
  </TitlesOfParts>
  <Company>Gilead Sciences</Company>
  <LinksUpToDate>false</LinksUpToDate>
  <CharactersWithSpaces>92652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Truvada</dc:title>
  <dc:subject>prescription medicines</dc:subject>
  <dc:creator>Therapeutic Goods Administration</dc:creator>
  <cp:keywords>AusPARs</cp:keywords>
  <cp:lastModifiedBy>STARKEY, Paige</cp:lastModifiedBy>
  <cp:revision>3</cp:revision>
  <cp:lastPrinted>2016-05-03T04:04:00Z</cp:lastPrinted>
  <dcterms:created xsi:type="dcterms:W3CDTF">2016-11-17T05:01:00Z</dcterms:created>
  <dcterms:modified xsi:type="dcterms:W3CDTF">2016-11-17T05:19:00Z</dcterms:modified>
</cp:coreProperties>
</file>