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F64CFD" w:rsidRDefault="00F64CFD" w:rsidP="00AC4491">
            <w:pPr>
              <w:rPr>
                <w:rFonts w:ascii="Arial" w:hAnsi="Arial" w:cs="Arial"/>
                <w:b/>
                <w:color w:val="002C47"/>
                <w:sz w:val="36"/>
                <w:szCs w:val="36"/>
              </w:rPr>
            </w:pPr>
            <w:r>
              <w:rPr>
                <w:rFonts w:ascii="Arial" w:hAnsi="Arial" w:cs="Arial"/>
                <w:b/>
                <w:color w:val="002C47"/>
                <w:sz w:val="36"/>
                <w:szCs w:val="36"/>
              </w:rPr>
              <w:t>June</w:t>
            </w:r>
            <w:r w:rsidR="00BE6284" w:rsidRPr="00F64CFD">
              <w:rPr>
                <w:rFonts w:ascii="Arial" w:hAnsi="Arial" w:cs="Arial"/>
                <w:b/>
                <w:color w:val="002C47"/>
                <w:sz w:val="36"/>
                <w:szCs w:val="36"/>
              </w:rPr>
              <w:t xml:space="preserve"> </w:t>
            </w:r>
            <w:r w:rsidR="00700187" w:rsidRPr="00F64CFD">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BE6284">
            <w:pPr>
              <w:pStyle w:val="Title"/>
              <w:rPr>
                <w:color w:val="FFFFFF" w:themeColor="background1"/>
              </w:rPr>
            </w:pPr>
            <w:r w:rsidRPr="00A964D1">
              <w:rPr>
                <w:color w:val="FFFFFF" w:themeColor="background1"/>
              </w:rPr>
              <w:t xml:space="preserve">Australian Public Assessment Report for </w:t>
            </w:r>
            <w:r w:rsidR="00BE6284">
              <w:rPr>
                <w:color w:val="FFFFFF" w:themeColor="background1"/>
              </w:rPr>
              <w:t>T</w:t>
            </w:r>
            <w:r w:rsidR="00262489">
              <w:rPr>
                <w:color w:val="FFFFFF" w:themeColor="background1"/>
              </w:rPr>
              <w:t xml:space="preserve">enofovir </w:t>
            </w:r>
            <w:r w:rsidR="00BE6284">
              <w:rPr>
                <w:color w:val="FFFFFF" w:themeColor="background1"/>
              </w:rPr>
              <w:t>d</w:t>
            </w:r>
            <w:r w:rsidR="00262489">
              <w:rPr>
                <w:color w:val="FFFFFF" w:themeColor="background1"/>
              </w:rPr>
              <w:t>isoproxil fumarate</w:t>
            </w:r>
            <w:r w:rsidR="00BE6284">
              <w:rPr>
                <w:color w:val="FFFFFF" w:themeColor="background1"/>
              </w:rPr>
              <w:t xml:space="preserve"> / E</w:t>
            </w:r>
            <w:r w:rsidR="00262489">
              <w:rPr>
                <w:color w:val="FFFFFF" w:themeColor="background1"/>
              </w:rPr>
              <w:t>mtricitabine</w:t>
            </w:r>
            <w:r w:rsidR="00BE6284">
              <w:rPr>
                <w:color w:val="FFFFFF" w:themeColor="background1"/>
              </w:rPr>
              <w:t xml:space="preserve"> / E</w:t>
            </w:r>
            <w:r w:rsidR="00262489">
              <w:rPr>
                <w:color w:val="FFFFFF" w:themeColor="background1"/>
              </w:rPr>
              <w:t xml:space="preserve">lvitegravir </w:t>
            </w:r>
            <w:r w:rsidR="00BE6284">
              <w:rPr>
                <w:color w:val="FFFFFF" w:themeColor="background1"/>
              </w:rPr>
              <w:t>/</w:t>
            </w:r>
            <w:r w:rsidR="00262489">
              <w:rPr>
                <w:color w:val="FFFFFF" w:themeColor="background1"/>
              </w:rPr>
              <w:t xml:space="preserve"> </w:t>
            </w:r>
            <w:r w:rsidR="00BE6284">
              <w:rPr>
                <w:color w:val="FFFFFF" w:themeColor="background1"/>
              </w:rPr>
              <w:t>C</w:t>
            </w:r>
            <w:r w:rsidR="00262489">
              <w:rPr>
                <w:color w:val="FFFFFF" w:themeColor="background1"/>
              </w:rPr>
              <w:t>obicistat</w:t>
            </w:r>
          </w:p>
        </w:tc>
      </w:tr>
      <w:tr w:rsidR="0032583B" w:rsidRPr="00B64760" w:rsidTr="0032583B">
        <w:tc>
          <w:tcPr>
            <w:tcW w:w="9079" w:type="dxa"/>
          </w:tcPr>
          <w:p w:rsidR="0032583B" w:rsidRPr="008E7846" w:rsidRDefault="0032583B" w:rsidP="00262489">
            <w:pPr>
              <w:pStyle w:val="Subtitle"/>
              <w:rPr>
                <w:color w:val="FFFFFF" w:themeColor="background1"/>
              </w:rPr>
            </w:pPr>
            <w:r w:rsidRPr="008E7846">
              <w:rPr>
                <w:color w:val="FFFFFF" w:themeColor="background1"/>
              </w:rPr>
              <w:t xml:space="preserve">Proprietary Product Name: </w:t>
            </w:r>
            <w:r w:rsidR="00262489">
              <w:rPr>
                <w:color w:val="FFFFFF" w:themeColor="background1"/>
              </w:rPr>
              <w:t>Stribild</w:t>
            </w:r>
          </w:p>
        </w:tc>
      </w:tr>
      <w:tr w:rsidR="0032583B" w:rsidRPr="00B64760" w:rsidTr="0032583B">
        <w:trPr>
          <w:trHeight w:val="486"/>
        </w:trPr>
        <w:tc>
          <w:tcPr>
            <w:tcW w:w="9079" w:type="dxa"/>
          </w:tcPr>
          <w:p w:rsidR="0032583B" w:rsidRPr="008E7846" w:rsidRDefault="0032583B" w:rsidP="00262489">
            <w:pPr>
              <w:pStyle w:val="Subtitle"/>
              <w:rPr>
                <w:color w:val="FFFFFF" w:themeColor="background1"/>
              </w:rPr>
            </w:pPr>
            <w:r w:rsidRPr="008E7846">
              <w:rPr>
                <w:color w:val="FFFFFF" w:themeColor="background1"/>
              </w:rPr>
              <w:t xml:space="preserve">Sponsor: </w:t>
            </w:r>
            <w:r w:rsidR="00262489">
              <w:rPr>
                <w:color w:val="FFFFFF" w:themeColor="background1"/>
              </w:rPr>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0018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A5E3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1583617" w:history="1">
            <w:r w:rsidR="009A5E39" w:rsidRPr="00CC5040">
              <w:rPr>
                <w:rStyle w:val="Hyperlink"/>
                <w:noProof/>
              </w:rPr>
              <w:t>Common abbreviations</w:t>
            </w:r>
            <w:r w:rsidR="009A5E39">
              <w:rPr>
                <w:noProof/>
                <w:webHidden/>
              </w:rPr>
              <w:tab/>
            </w:r>
            <w:r w:rsidR="009A5E39">
              <w:rPr>
                <w:noProof/>
                <w:webHidden/>
              </w:rPr>
              <w:fldChar w:fldCharType="begin"/>
            </w:r>
            <w:r w:rsidR="009A5E39">
              <w:rPr>
                <w:noProof/>
                <w:webHidden/>
              </w:rPr>
              <w:instrText xml:space="preserve"> PAGEREF _Toc481583617 \h </w:instrText>
            </w:r>
            <w:r w:rsidR="009A5E39">
              <w:rPr>
                <w:noProof/>
                <w:webHidden/>
              </w:rPr>
            </w:r>
            <w:r w:rsidR="009A5E39">
              <w:rPr>
                <w:noProof/>
                <w:webHidden/>
              </w:rPr>
              <w:fldChar w:fldCharType="separate"/>
            </w:r>
            <w:r w:rsidR="005D7670">
              <w:rPr>
                <w:noProof/>
                <w:webHidden/>
              </w:rPr>
              <w:t>4</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18" w:history="1">
            <w:r w:rsidR="009A5E39" w:rsidRPr="00CC5040">
              <w:rPr>
                <w:rStyle w:val="Hyperlink"/>
                <w:noProof/>
              </w:rPr>
              <w:t>I. Introduction to product submission</w:t>
            </w:r>
            <w:r w:rsidR="009A5E39">
              <w:rPr>
                <w:noProof/>
                <w:webHidden/>
              </w:rPr>
              <w:tab/>
            </w:r>
            <w:r w:rsidR="009A5E39">
              <w:rPr>
                <w:noProof/>
                <w:webHidden/>
              </w:rPr>
              <w:fldChar w:fldCharType="begin"/>
            </w:r>
            <w:r w:rsidR="009A5E39">
              <w:rPr>
                <w:noProof/>
                <w:webHidden/>
              </w:rPr>
              <w:instrText xml:space="preserve"> PAGEREF _Toc481583618 \h </w:instrText>
            </w:r>
            <w:r w:rsidR="009A5E39">
              <w:rPr>
                <w:noProof/>
                <w:webHidden/>
              </w:rPr>
            </w:r>
            <w:r w:rsidR="009A5E39">
              <w:rPr>
                <w:noProof/>
                <w:webHidden/>
              </w:rPr>
              <w:fldChar w:fldCharType="separate"/>
            </w:r>
            <w:r w:rsidR="005D7670">
              <w:rPr>
                <w:noProof/>
                <w:webHidden/>
              </w:rPr>
              <w:t>7</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19" w:history="1">
            <w:r w:rsidR="009A5E39" w:rsidRPr="00CC5040">
              <w:rPr>
                <w:rStyle w:val="Hyperlink"/>
                <w:noProof/>
                <w:lang w:eastAsia="en-AU"/>
              </w:rPr>
              <w:t>Submission details</w:t>
            </w:r>
            <w:r w:rsidR="009A5E39">
              <w:rPr>
                <w:noProof/>
                <w:webHidden/>
              </w:rPr>
              <w:tab/>
            </w:r>
            <w:r w:rsidR="009A5E39">
              <w:rPr>
                <w:noProof/>
                <w:webHidden/>
              </w:rPr>
              <w:fldChar w:fldCharType="begin"/>
            </w:r>
            <w:r w:rsidR="009A5E39">
              <w:rPr>
                <w:noProof/>
                <w:webHidden/>
              </w:rPr>
              <w:instrText xml:space="preserve"> PAGEREF _Toc481583619 \h </w:instrText>
            </w:r>
            <w:r w:rsidR="009A5E39">
              <w:rPr>
                <w:noProof/>
                <w:webHidden/>
              </w:rPr>
            </w:r>
            <w:r w:rsidR="009A5E39">
              <w:rPr>
                <w:noProof/>
                <w:webHidden/>
              </w:rPr>
              <w:fldChar w:fldCharType="separate"/>
            </w:r>
            <w:r w:rsidR="005D7670">
              <w:rPr>
                <w:noProof/>
                <w:webHidden/>
              </w:rPr>
              <w:t>7</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0" w:history="1">
            <w:r w:rsidR="009A5E39" w:rsidRPr="00CC5040">
              <w:rPr>
                <w:rStyle w:val="Hyperlink"/>
                <w:noProof/>
              </w:rPr>
              <w:t>Product background</w:t>
            </w:r>
            <w:r w:rsidR="009A5E39">
              <w:rPr>
                <w:noProof/>
                <w:webHidden/>
              </w:rPr>
              <w:tab/>
            </w:r>
            <w:r w:rsidR="009A5E39">
              <w:rPr>
                <w:noProof/>
                <w:webHidden/>
              </w:rPr>
              <w:fldChar w:fldCharType="begin"/>
            </w:r>
            <w:r w:rsidR="009A5E39">
              <w:rPr>
                <w:noProof/>
                <w:webHidden/>
              </w:rPr>
              <w:instrText xml:space="preserve"> PAGEREF _Toc481583620 \h </w:instrText>
            </w:r>
            <w:r w:rsidR="009A5E39">
              <w:rPr>
                <w:noProof/>
                <w:webHidden/>
              </w:rPr>
            </w:r>
            <w:r w:rsidR="009A5E39">
              <w:rPr>
                <w:noProof/>
                <w:webHidden/>
              </w:rPr>
              <w:fldChar w:fldCharType="separate"/>
            </w:r>
            <w:r w:rsidR="005D7670">
              <w:rPr>
                <w:noProof/>
                <w:webHidden/>
              </w:rPr>
              <w:t>8</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1" w:history="1">
            <w:r w:rsidR="009A5E39" w:rsidRPr="00CC5040">
              <w:rPr>
                <w:rStyle w:val="Hyperlink"/>
                <w:noProof/>
              </w:rPr>
              <w:t>Regulatory status</w:t>
            </w:r>
            <w:r w:rsidR="009A5E39">
              <w:rPr>
                <w:noProof/>
                <w:webHidden/>
              </w:rPr>
              <w:tab/>
            </w:r>
            <w:r w:rsidR="009A5E39">
              <w:rPr>
                <w:noProof/>
                <w:webHidden/>
              </w:rPr>
              <w:fldChar w:fldCharType="begin"/>
            </w:r>
            <w:r w:rsidR="009A5E39">
              <w:rPr>
                <w:noProof/>
                <w:webHidden/>
              </w:rPr>
              <w:instrText xml:space="preserve"> PAGEREF _Toc481583621 \h </w:instrText>
            </w:r>
            <w:r w:rsidR="009A5E39">
              <w:rPr>
                <w:noProof/>
                <w:webHidden/>
              </w:rPr>
            </w:r>
            <w:r w:rsidR="009A5E39">
              <w:rPr>
                <w:noProof/>
                <w:webHidden/>
              </w:rPr>
              <w:fldChar w:fldCharType="separate"/>
            </w:r>
            <w:r w:rsidR="005D7670">
              <w:rPr>
                <w:noProof/>
                <w:webHidden/>
              </w:rPr>
              <w:t>8</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2" w:history="1">
            <w:r w:rsidR="009A5E39" w:rsidRPr="00CC5040">
              <w:rPr>
                <w:rStyle w:val="Hyperlink"/>
                <w:noProof/>
              </w:rPr>
              <w:t>Product</w:t>
            </w:r>
            <w:r w:rsidR="002745E5" w:rsidRPr="00CC5040">
              <w:rPr>
                <w:rStyle w:val="Hyperlink"/>
                <w:noProof/>
              </w:rPr>
              <w:t xml:space="preserve"> i</w:t>
            </w:r>
            <w:r w:rsidR="009A5E39" w:rsidRPr="00CC5040">
              <w:rPr>
                <w:rStyle w:val="Hyperlink"/>
                <w:noProof/>
              </w:rPr>
              <w:t>nformation</w:t>
            </w:r>
            <w:r w:rsidR="009A5E39">
              <w:rPr>
                <w:noProof/>
                <w:webHidden/>
              </w:rPr>
              <w:tab/>
            </w:r>
            <w:r w:rsidR="009A5E39">
              <w:rPr>
                <w:noProof/>
                <w:webHidden/>
              </w:rPr>
              <w:fldChar w:fldCharType="begin"/>
            </w:r>
            <w:r w:rsidR="009A5E39">
              <w:rPr>
                <w:noProof/>
                <w:webHidden/>
              </w:rPr>
              <w:instrText xml:space="preserve"> PAGEREF _Toc481583622 \h </w:instrText>
            </w:r>
            <w:r w:rsidR="009A5E39">
              <w:rPr>
                <w:noProof/>
                <w:webHidden/>
              </w:rPr>
            </w:r>
            <w:r w:rsidR="009A5E39">
              <w:rPr>
                <w:noProof/>
                <w:webHidden/>
              </w:rPr>
              <w:fldChar w:fldCharType="separate"/>
            </w:r>
            <w:r w:rsidR="005D7670">
              <w:rPr>
                <w:noProof/>
                <w:webHidden/>
              </w:rPr>
              <w:t>9</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23" w:history="1">
            <w:r w:rsidR="009A5E39" w:rsidRPr="00CC5040">
              <w:rPr>
                <w:rStyle w:val="Hyperlink"/>
                <w:noProof/>
              </w:rPr>
              <w:t>II. Quality findings</w:t>
            </w:r>
            <w:r w:rsidR="009A5E39">
              <w:rPr>
                <w:noProof/>
                <w:webHidden/>
              </w:rPr>
              <w:tab/>
            </w:r>
            <w:r w:rsidR="009A5E39">
              <w:rPr>
                <w:noProof/>
                <w:webHidden/>
              </w:rPr>
              <w:fldChar w:fldCharType="begin"/>
            </w:r>
            <w:r w:rsidR="009A5E39">
              <w:rPr>
                <w:noProof/>
                <w:webHidden/>
              </w:rPr>
              <w:instrText xml:space="preserve"> PAGEREF _Toc481583623 \h </w:instrText>
            </w:r>
            <w:r w:rsidR="009A5E39">
              <w:rPr>
                <w:noProof/>
                <w:webHidden/>
              </w:rPr>
            </w:r>
            <w:r w:rsidR="009A5E39">
              <w:rPr>
                <w:noProof/>
                <w:webHidden/>
              </w:rPr>
              <w:fldChar w:fldCharType="separate"/>
            </w:r>
            <w:r w:rsidR="005D7670">
              <w:rPr>
                <w:noProof/>
                <w:webHidden/>
              </w:rPr>
              <w:t>9</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24" w:history="1">
            <w:r w:rsidR="009A5E39" w:rsidRPr="00CC5040">
              <w:rPr>
                <w:rStyle w:val="Hyperlink"/>
                <w:noProof/>
              </w:rPr>
              <w:t>III. Nonclinical findings</w:t>
            </w:r>
            <w:r w:rsidR="009A5E39">
              <w:rPr>
                <w:noProof/>
                <w:webHidden/>
              </w:rPr>
              <w:tab/>
            </w:r>
            <w:r w:rsidR="009A5E39">
              <w:rPr>
                <w:noProof/>
                <w:webHidden/>
              </w:rPr>
              <w:fldChar w:fldCharType="begin"/>
            </w:r>
            <w:r w:rsidR="009A5E39">
              <w:rPr>
                <w:noProof/>
                <w:webHidden/>
              </w:rPr>
              <w:instrText xml:space="preserve"> PAGEREF _Toc481583624 \h </w:instrText>
            </w:r>
            <w:r w:rsidR="009A5E39">
              <w:rPr>
                <w:noProof/>
                <w:webHidden/>
              </w:rPr>
            </w:r>
            <w:r w:rsidR="009A5E39">
              <w:rPr>
                <w:noProof/>
                <w:webHidden/>
              </w:rPr>
              <w:fldChar w:fldCharType="separate"/>
            </w:r>
            <w:r w:rsidR="005D7670">
              <w:rPr>
                <w:noProof/>
                <w:webHidden/>
              </w:rPr>
              <w:t>9</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25" w:history="1">
            <w:r w:rsidR="009A5E39" w:rsidRPr="00CC5040">
              <w:rPr>
                <w:rStyle w:val="Hyperlink"/>
                <w:noProof/>
              </w:rPr>
              <w:t>IV. Clinical findings</w:t>
            </w:r>
            <w:r w:rsidR="009A5E39">
              <w:rPr>
                <w:noProof/>
                <w:webHidden/>
              </w:rPr>
              <w:tab/>
            </w:r>
            <w:r w:rsidR="009A5E39">
              <w:rPr>
                <w:noProof/>
                <w:webHidden/>
              </w:rPr>
              <w:fldChar w:fldCharType="begin"/>
            </w:r>
            <w:r w:rsidR="009A5E39">
              <w:rPr>
                <w:noProof/>
                <w:webHidden/>
              </w:rPr>
              <w:instrText xml:space="preserve"> PAGEREF _Toc481583625 \h </w:instrText>
            </w:r>
            <w:r w:rsidR="009A5E39">
              <w:rPr>
                <w:noProof/>
                <w:webHidden/>
              </w:rPr>
            </w:r>
            <w:r w:rsidR="009A5E39">
              <w:rPr>
                <w:noProof/>
                <w:webHidden/>
              </w:rPr>
              <w:fldChar w:fldCharType="separate"/>
            </w:r>
            <w:r w:rsidR="005D7670">
              <w:rPr>
                <w:noProof/>
                <w:webHidden/>
              </w:rPr>
              <w:t>10</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6" w:history="1">
            <w:r w:rsidR="009A5E39" w:rsidRPr="00CC5040">
              <w:rPr>
                <w:rStyle w:val="Hyperlink"/>
                <w:noProof/>
              </w:rPr>
              <w:t>Introduction</w:t>
            </w:r>
            <w:r w:rsidR="009A5E39">
              <w:rPr>
                <w:noProof/>
                <w:webHidden/>
              </w:rPr>
              <w:tab/>
            </w:r>
            <w:r w:rsidR="009A5E39">
              <w:rPr>
                <w:noProof/>
                <w:webHidden/>
              </w:rPr>
              <w:fldChar w:fldCharType="begin"/>
            </w:r>
            <w:r w:rsidR="009A5E39">
              <w:rPr>
                <w:noProof/>
                <w:webHidden/>
              </w:rPr>
              <w:instrText xml:space="preserve"> PAGEREF _Toc481583626 \h </w:instrText>
            </w:r>
            <w:r w:rsidR="009A5E39">
              <w:rPr>
                <w:noProof/>
                <w:webHidden/>
              </w:rPr>
            </w:r>
            <w:r w:rsidR="009A5E39">
              <w:rPr>
                <w:noProof/>
                <w:webHidden/>
              </w:rPr>
              <w:fldChar w:fldCharType="separate"/>
            </w:r>
            <w:r w:rsidR="005D7670">
              <w:rPr>
                <w:noProof/>
                <w:webHidden/>
              </w:rPr>
              <w:t>10</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7" w:history="1">
            <w:r w:rsidR="009A5E39" w:rsidRPr="00CC5040">
              <w:rPr>
                <w:rStyle w:val="Hyperlink"/>
                <w:noProof/>
              </w:rPr>
              <w:t>Pharmacokinetics</w:t>
            </w:r>
            <w:r w:rsidR="009A5E39">
              <w:rPr>
                <w:noProof/>
                <w:webHidden/>
              </w:rPr>
              <w:tab/>
            </w:r>
            <w:r w:rsidR="009A5E39">
              <w:rPr>
                <w:noProof/>
                <w:webHidden/>
              </w:rPr>
              <w:fldChar w:fldCharType="begin"/>
            </w:r>
            <w:r w:rsidR="009A5E39">
              <w:rPr>
                <w:noProof/>
                <w:webHidden/>
              </w:rPr>
              <w:instrText xml:space="preserve"> PAGEREF _Toc481583627 \h </w:instrText>
            </w:r>
            <w:r w:rsidR="009A5E39">
              <w:rPr>
                <w:noProof/>
                <w:webHidden/>
              </w:rPr>
            </w:r>
            <w:r w:rsidR="009A5E39">
              <w:rPr>
                <w:noProof/>
                <w:webHidden/>
              </w:rPr>
              <w:fldChar w:fldCharType="separate"/>
            </w:r>
            <w:r w:rsidR="005D7670">
              <w:rPr>
                <w:noProof/>
                <w:webHidden/>
              </w:rPr>
              <w:t>10</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8" w:history="1">
            <w:r w:rsidR="009A5E39" w:rsidRPr="00CC5040">
              <w:rPr>
                <w:rStyle w:val="Hyperlink"/>
                <w:noProof/>
              </w:rPr>
              <w:t>Efficacy</w:t>
            </w:r>
            <w:r w:rsidR="009A5E39">
              <w:rPr>
                <w:noProof/>
                <w:webHidden/>
              </w:rPr>
              <w:tab/>
            </w:r>
            <w:r w:rsidR="009A5E39">
              <w:rPr>
                <w:noProof/>
                <w:webHidden/>
              </w:rPr>
              <w:fldChar w:fldCharType="begin"/>
            </w:r>
            <w:r w:rsidR="009A5E39">
              <w:rPr>
                <w:noProof/>
                <w:webHidden/>
              </w:rPr>
              <w:instrText xml:space="preserve"> PAGEREF _Toc481583628 \h </w:instrText>
            </w:r>
            <w:r w:rsidR="009A5E39">
              <w:rPr>
                <w:noProof/>
                <w:webHidden/>
              </w:rPr>
            </w:r>
            <w:r w:rsidR="009A5E39">
              <w:rPr>
                <w:noProof/>
                <w:webHidden/>
              </w:rPr>
              <w:fldChar w:fldCharType="separate"/>
            </w:r>
            <w:r w:rsidR="005D7670">
              <w:rPr>
                <w:noProof/>
                <w:webHidden/>
              </w:rPr>
              <w:t>11</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29" w:history="1">
            <w:r w:rsidR="009A5E39" w:rsidRPr="00CC5040">
              <w:rPr>
                <w:rStyle w:val="Hyperlink"/>
                <w:noProof/>
              </w:rPr>
              <w:t>Safety</w:t>
            </w:r>
            <w:r w:rsidR="009A5E39">
              <w:rPr>
                <w:noProof/>
                <w:webHidden/>
              </w:rPr>
              <w:tab/>
            </w:r>
            <w:r w:rsidR="009A5E39">
              <w:rPr>
                <w:noProof/>
                <w:webHidden/>
              </w:rPr>
              <w:fldChar w:fldCharType="begin"/>
            </w:r>
            <w:r w:rsidR="009A5E39">
              <w:rPr>
                <w:noProof/>
                <w:webHidden/>
              </w:rPr>
              <w:instrText xml:space="preserve"> PAGEREF _Toc481583629 \h </w:instrText>
            </w:r>
            <w:r w:rsidR="009A5E39">
              <w:rPr>
                <w:noProof/>
                <w:webHidden/>
              </w:rPr>
            </w:r>
            <w:r w:rsidR="009A5E39">
              <w:rPr>
                <w:noProof/>
                <w:webHidden/>
              </w:rPr>
              <w:fldChar w:fldCharType="separate"/>
            </w:r>
            <w:r w:rsidR="005D7670">
              <w:rPr>
                <w:noProof/>
                <w:webHidden/>
              </w:rPr>
              <w:t>11</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0" w:history="1">
            <w:r w:rsidR="009A5E39" w:rsidRPr="00CC5040">
              <w:rPr>
                <w:rStyle w:val="Hyperlink"/>
                <w:noProof/>
              </w:rPr>
              <w:t>First round benefit-risk assessment</w:t>
            </w:r>
            <w:r w:rsidR="009A5E39">
              <w:rPr>
                <w:noProof/>
                <w:webHidden/>
              </w:rPr>
              <w:tab/>
            </w:r>
            <w:r w:rsidR="009A5E39">
              <w:rPr>
                <w:noProof/>
                <w:webHidden/>
              </w:rPr>
              <w:fldChar w:fldCharType="begin"/>
            </w:r>
            <w:r w:rsidR="009A5E39">
              <w:rPr>
                <w:noProof/>
                <w:webHidden/>
              </w:rPr>
              <w:instrText xml:space="preserve"> PAGEREF _Toc481583630 \h </w:instrText>
            </w:r>
            <w:r w:rsidR="009A5E39">
              <w:rPr>
                <w:noProof/>
                <w:webHidden/>
              </w:rPr>
            </w:r>
            <w:r w:rsidR="009A5E39">
              <w:rPr>
                <w:noProof/>
                <w:webHidden/>
              </w:rPr>
              <w:fldChar w:fldCharType="separate"/>
            </w:r>
            <w:r w:rsidR="005D7670">
              <w:rPr>
                <w:noProof/>
                <w:webHidden/>
              </w:rPr>
              <w:t>14</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1" w:history="1">
            <w:r w:rsidR="009A5E39" w:rsidRPr="00CC5040">
              <w:rPr>
                <w:rStyle w:val="Hyperlink"/>
                <w:noProof/>
              </w:rPr>
              <w:t>First round recommendation regarding authorisation</w:t>
            </w:r>
            <w:r w:rsidR="009A5E39">
              <w:rPr>
                <w:noProof/>
                <w:webHidden/>
              </w:rPr>
              <w:tab/>
            </w:r>
            <w:r w:rsidR="009A5E39">
              <w:rPr>
                <w:noProof/>
                <w:webHidden/>
              </w:rPr>
              <w:fldChar w:fldCharType="begin"/>
            </w:r>
            <w:r w:rsidR="009A5E39">
              <w:rPr>
                <w:noProof/>
                <w:webHidden/>
              </w:rPr>
              <w:instrText xml:space="preserve"> PAGEREF _Toc481583631 \h </w:instrText>
            </w:r>
            <w:r w:rsidR="009A5E39">
              <w:rPr>
                <w:noProof/>
                <w:webHidden/>
              </w:rPr>
            </w:r>
            <w:r w:rsidR="009A5E39">
              <w:rPr>
                <w:noProof/>
                <w:webHidden/>
              </w:rPr>
              <w:fldChar w:fldCharType="separate"/>
            </w:r>
            <w:r w:rsidR="005D7670">
              <w:rPr>
                <w:noProof/>
                <w:webHidden/>
              </w:rPr>
              <w:t>15</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2" w:history="1">
            <w:r w:rsidR="009A5E39" w:rsidRPr="00CC5040">
              <w:rPr>
                <w:rStyle w:val="Hyperlink"/>
                <w:noProof/>
              </w:rPr>
              <w:t>Clinical questions</w:t>
            </w:r>
            <w:r w:rsidR="009A5E39">
              <w:rPr>
                <w:noProof/>
                <w:webHidden/>
              </w:rPr>
              <w:tab/>
            </w:r>
            <w:r w:rsidR="009A5E39">
              <w:rPr>
                <w:noProof/>
                <w:webHidden/>
              </w:rPr>
              <w:fldChar w:fldCharType="begin"/>
            </w:r>
            <w:r w:rsidR="009A5E39">
              <w:rPr>
                <w:noProof/>
                <w:webHidden/>
              </w:rPr>
              <w:instrText xml:space="preserve"> PAGEREF _Toc481583632 \h </w:instrText>
            </w:r>
            <w:r w:rsidR="009A5E39">
              <w:rPr>
                <w:noProof/>
                <w:webHidden/>
              </w:rPr>
            </w:r>
            <w:r w:rsidR="009A5E39">
              <w:rPr>
                <w:noProof/>
                <w:webHidden/>
              </w:rPr>
              <w:fldChar w:fldCharType="separate"/>
            </w:r>
            <w:r w:rsidR="005D7670">
              <w:rPr>
                <w:noProof/>
                <w:webHidden/>
              </w:rPr>
              <w:t>15</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3" w:history="1">
            <w:r w:rsidR="009A5E39" w:rsidRPr="00CC5040">
              <w:rPr>
                <w:rStyle w:val="Hyperlink"/>
                <w:noProof/>
              </w:rPr>
              <w:t>Second round evaluation of clinical data submitted in response to questions</w:t>
            </w:r>
            <w:r w:rsidR="009A5E39">
              <w:rPr>
                <w:noProof/>
                <w:webHidden/>
              </w:rPr>
              <w:tab/>
            </w:r>
            <w:r w:rsidR="009A5E39">
              <w:rPr>
                <w:noProof/>
                <w:webHidden/>
              </w:rPr>
              <w:fldChar w:fldCharType="begin"/>
            </w:r>
            <w:r w:rsidR="009A5E39">
              <w:rPr>
                <w:noProof/>
                <w:webHidden/>
              </w:rPr>
              <w:instrText xml:space="preserve"> PAGEREF _Toc481583633 \h </w:instrText>
            </w:r>
            <w:r w:rsidR="009A5E39">
              <w:rPr>
                <w:noProof/>
                <w:webHidden/>
              </w:rPr>
            </w:r>
            <w:r w:rsidR="009A5E39">
              <w:rPr>
                <w:noProof/>
                <w:webHidden/>
              </w:rPr>
              <w:fldChar w:fldCharType="separate"/>
            </w:r>
            <w:r w:rsidR="005D7670">
              <w:rPr>
                <w:noProof/>
                <w:webHidden/>
              </w:rPr>
              <w:t>15</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34" w:history="1">
            <w:r w:rsidR="009A5E39" w:rsidRPr="00CC5040">
              <w:rPr>
                <w:rStyle w:val="Hyperlink"/>
                <w:noProof/>
              </w:rPr>
              <w:t>V. Pharmacovigilance findings</w:t>
            </w:r>
            <w:r w:rsidR="009A5E39">
              <w:rPr>
                <w:noProof/>
                <w:webHidden/>
              </w:rPr>
              <w:tab/>
            </w:r>
            <w:r w:rsidR="009A5E39">
              <w:rPr>
                <w:noProof/>
                <w:webHidden/>
              </w:rPr>
              <w:fldChar w:fldCharType="begin"/>
            </w:r>
            <w:r w:rsidR="009A5E39">
              <w:rPr>
                <w:noProof/>
                <w:webHidden/>
              </w:rPr>
              <w:instrText xml:space="preserve"> PAGEREF _Toc481583634 \h </w:instrText>
            </w:r>
            <w:r w:rsidR="009A5E39">
              <w:rPr>
                <w:noProof/>
                <w:webHidden/>
              </w:rPr>
            </w:r>
            <w:r w:rsidR="009A5E39">
              <w:rPr>
                <w:noProof/>
                <w:webHidden/>
              </w:rPr>
              <w:fldChar w:fldCharType="separate"/>
            </w:r>
            <w:r w:rsidR="005D7670">
              <w:rPr>
                <w:noProof/>
                <w:webHidden/>
              </w:rPr>
              <w:t>15</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5" w:history="1">
            <w:r w:rsidR="009A5E39" w:rsidRPr="00CC5040">
              <w:rPr>
                <w:rStyle w:val="Hyperlink"/>
                <w:noProof/>
                <w:lang w:eastAsia="en-AU"/>
              </w:rPr>
              <w:t>Risk management plan</w:t>
            </w:r>
            <w:r w:rsidR="009A5E39">
              <w:rPr>
                <w:noProof/>
                <w:webHidden/>
              </w:rPr>
              <w:tab/>
            </w:r>
            <w:r w:rsidR="009A5E39">
              <w:rPr>
                <w:noProof/>
                <w:webHidden/>
              </w:rPr>
              <w:fldChar w:fldCharType="begin"/>
            </w:r>
            <w:r w:rsidR="009A5E39">
              <w:rPr>
                <w:noProof/>
                <w:webHidden/>
              </w:rPr>
              <w:instrText xml:space="preserve"> PAGEREF _Toc481583635 \h </w:instrText>
            </w:r>
            <w:r w:rsidR="009A5E39">
              <w:rPr>
                <w:noProof/>
                <w:webHidden/>
              </w:rPr>
            </w:r>
            <w:r w:rsidR="009A5E39">
              <w:rPr>
                <w:noProof/>
                <w:webHidden/>
              </w:rPr>
              <w:fldChar w:fldCharType="separate"/>
            </w:r>
            <w:r w:rsidR="005D7670">
              <w:rPr>
                <w:noProof/>
                <w:webHidden/>
              </w:rPr>
              <w:t>15</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36" w:history="1">
            <w:r w:rsidR="009A5E39" w:rsidRPr="00CC5040">
              <w:rPr>
                <w:rStyle w:val="Hyperlink"/>
                <w:noProof/>
              </w:rPr>
              <w:t>VI. Overall conclusion and risk/benefit assessment</w:t>
            </w:r>
            <w:r w:rsidR="009A5E39">
              <w:rPr>
                <w:noProof/>
                <w:webHidden/>
              </w:rPr>
              <w:tab/>
            </w:r>
            <w:r w:rsidR="009A5E39">
              <w:rPr>
                <w:noProof/>
                <w:webHidden/>
              </w:rPr>
              <w:fldChar w:fldCharType="begin"/>
            </w:r>
            <w:r w:rsidR="009A5E39">
              <w:rPr>
                <w:noProof/>
                <w:webHidden/>
              </w:rPr>
              <w:instrText xml:space="preserve"> PAGEREF _Toc481583636 \h </w:instrText>
            </w:r>
            <w:r w:rsidR="009A5E39">
              <w:rPr>
                <w:noProof/>
                <w:webHidden/>
              </w:rPr>
            </w:r>
            <w:r w:rsidR="009A5E39">
              <w:rPr>
                <w:noProof/>
                <w:webHidden/>
              </w:rPr>
              <w:fldChar w:fldCharType="separate"/>
            </w:r>
            <w:r w:rsidR="005D7670">
              <w:rPr>
                <w:noProof/>
                <w:webHidden/>
              </w:rPr>
              <w:t>28</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7" w:history="1">
            <w:r w:rsidR="009A5E39" w:rsidRPr="00CC5040">
              <w:rPr>
                <w:rStyle w:val="Hyperlink"/>
                <w:noProof/>
              </w:rPr>
              <w:t>Quality</w:t>
            </w:r>
            <w:r w:rsidR="009A5E39">
              <w:rPr>
                <w:noProof/>
                <w:webHidden/>
              </w:rPr>
              <w:tab/>
            </w:r>
            <w:r w:rsidR="009A5E39">
              <w:rPr>
                <w:noProof/>
                <w:webHidden/>
              </w:rPr>
              <w:fldChar w:fldCharType="begin"/>
            </w:r>
            <w:r w:rsidR="009A5E39">
              <w:rPr>
                <w:noProof/>
                <w:webHidden/>
              </w:rPr>
              <w:instrText xml:space="preserve"> PAGEREF _Toc481583637 \h </w:instrText>
            </w:r>
            <w:r w:rsidR="009A5E39">
              <w:rPr>
                <w:noProof/>
                <w:webHidden/>
              </w:rPr>
            </w:r>
            <w:r w:rsidR="009A5E39">
              <w:rPr>
                <w:noProof/>
                <w:webHidden/>
              </w:rPr>
              <w:fldChar w:fldCharType="separate"/>
            </w:r>
            <w:r w:rsidR="005D7670">
              <w:rPr>
                <w:noProof/>
                <w:webHidden/>
              </w:rPr>
              <w:t>29</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8" w:history="1">
            <w:r w:rsidR="009A5E39" w:rsidRPr="00CC5040">
              <w:rPr>
                <w:rStyle w:val="Hyperlink"/>
                <w:noProof/>
              </w:rPr>
              <w:t>Nonclinical</w:t>
            </w:r>
            <w:r w:rsidR="009A5E39">
              <w:rPr>
                <w:noProof/>
                <w:webHidden/>
              </w:rPr>
              <w:tab/>
            </w:r>
            <w:r w:rsidR="009A5E39">
              <w:rPr>
                <w:noProof/>
                <w:webHidden/>
              </w:rPr>
              <w:fldChar w:fldCharType="begin"/>
            </w:r>
            <w:r w:rsidR="009A5E39">
              <w:rPr>
                <w:noProof/>
                <w:webHidden/>
              </w:rPr>
              <w:instrText xml:space="preserve"> PAGEREF _Toc481583638 \h </w:instrText>
            </w:r>
            <w:r w:rsidR="009A5E39">
              <w:rPr>
                <w:noProof/>
                <w:webHidden/>
              </w:rPr>
            </w:r>
            <w:r w:rsidR="009A5E39">
              <w:rPr>
                <w:noProof/>
                <w:webHidden/>
              </w:rPr>
              <w:fldChar w:fldCharType="separate"/>
            </w:r>
            <w:r w:rsidR="005D7670">
              <w:rPr>
                <w:noProof/>
                <w:webHidden/>
              </w:rPr>
              <w:t>29</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39" w:history="1">
            <w:r w:rsidR="009A5E39" w:rsidRPr="00CC5040">
              <w:rPr>
                <w:rStyle w:val="Hyperlink"/>
                <w:noProof/>
              </w:rPr>
              <w:t xml:space="preserve">Delegates’ </w:t>
            </w:r>
            <w:r w:rsidR="002745E5" w:rsidRPr="00CC5040">
              <w:rPr>
                <w:rStyle w:val="Hyperlink"/>
                <w:noProof/>
              </w:rPr>
              <w:t>clinical o</w:t>
            </w:r>
            <w:r w:rsidR="009A5E39" w:rsidRPr="00CC5040">
              <w:rPr>
                <w:rStyle w:val="Hyperlink"/>
                <w:noProof/>
              </w:rPr>
              <w:t>verview</w:t>
            </w:r>
            <w:r w:rsidR="009A5E39">
              <w:rPr>
                <w:noProof/>
                <w:webHidden/>
              </w:rPr>
              <w:tab/>
            </w:r>
            <w:r w:rsidR="009A5E39">
              <w:rPr>
                <w:noProof/>
                <w:webHidden/>
              </w:rPr>
              <w:fldChar w:fldCharType="begin"/>
            </w:r>
            <w:r w:rsidR="009A5E39">
              <w:rPr>
                <w:noProof/>
                <w:webHidden/>
              </w:rPr>
              <w:instrText xml:space="preserve"> PAGEREF _Toc481583639 \h </w:instrText>
            </w:r>
            <w:r w:rsidR="009A5E39">
              <w:rPr>
                <w:noProof/>
                <w:webHidden/>
              </w:rPr>
            </w:r>
            <w:r w:rsidR="009A5E39">
              <w:rPr>
                <w:noProof/>
                <w:webHidden/>
              </w:rPr>
              <w:fldChar w:fldCharType="separate"/>
            </w:r>
            <w:r w:rsidR="005D7670">
              <w:rPr>
                <w:noProof/>
                <w:webHidden/>
              </w:rPr>
              <w:t>29</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40" w:history="1">
            <w:r w:rsidR="009A5E39" w:rsidRPr="00CC5040">
              <w:rPr>
                <w:rStyle w:val="Hyperlink"/>
                <w:noProof/>
                <w:lang w:eastAsia="en-AU"/>
              </w:rPr>
              <w:t>Risk management plan</w:t>
            </w:r>
            <w:r w:rsidR="009A5E39">
              <w:rPr>
                <w:noProof/>
                <w:webHidden/>
              </w:rPr>
              <w:tab/>
            </w:r>
            <w:r w:rsidR="009A5E39">
              <w:rPr>
                <w:noProof/>
                <w:webHidden/>
              </w:rPr>
              <w:fldChar w:fldCharType="begin"/>
            </w:r>
            <w:r w:rsidR="009A5E39">
              <w:rPr>
                <w:noProof/>
                <w:webHidden/>
              </w:rPr>
              <w:instrText xml:space="preserve"> PAGEREF _Toc481583640 \h </w:instrText>
            </w:r>
            <w:r w:rsidR="009A5E39">
              <w:rPr>
                <w:noProof/>
                <w:webHidden/>
              </w:rPr>
            </w:r>
            <w:r w:rsidR="009A5E39">
              <w:rPr>
                <w:noProof/>
                <w:webHidden/>
              </w:rPr>
              <w:fldChar w:fldCharType="separate"/>
            </w:r>
            <w:r w:rsidR="005D7670">
              <w:rPr>
                <w:noProof/>
                <w:webHidden/>
              </w:rPr>
              <w:t>35</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41" w:history="1">
            <w:r w:rsidR="009A5E39" w:rsidRPr="00CC5040">
              <w:rPr>
                <w:rStyle w:val="Hyperlink"/>
                <w:noProof/>
              </w:rPr>
              <w:t>Risk-benefit analysis</w:t>
            </w:r>
            <w:r w:rsidR="009A5E39">
              <w:rPr>
                <w:noProof/>
                <w:webHidden/>
              </w:rPr>
              <w:tab/>
            </w:r>
            <w:r w:rsidR="009A5E39">
              <w:rPr>
                <w:noProof/>
                <w:webHidden/>
              </w:rPr>
              <w:fldChar w:fldCharType="begin"/>
            </w:r>
            <w:r w:rsidR="009A5E39">
              <w:rPr>
                <w:noProof/>
                <w:webHidden/>
              </w:rPr>
              <w:instrText xml:space="preserve"> PAGEREF _Toc481583641 \h </w:instrText>
            </w:r>
            <w:r w:rsidR="009A5E39">
              <w:rPr>
                <w:noProof/>
                <w:webHidden/>
              </w:rPr>
            </w:r>
            <w:r w:rsidR="009A5E39">
              <w:rPr>
                <w:noProof/>
                <w:webHidden/>
              </w:rPr>
              <w:fldChar w:fldCharType="separate"/>
            </w:r>
            <w:r w:rsidR="005D7670">
              <w:rPr>
                <w:noProof/>
                <w:webHidden/>
              </w:rPr>
              <w:t>35</w:t>
            </w:r>
            <w:r w:rsidR="009A5E39">
              <w:rPr>
                <w:noProof/>
                <w:webHidden/>
              </w:rPr>
              <w:fldChar w:fldCharType="end"/>
            </w:r>
          </w:hyperlink>
        </w:p>
        <w:p w:rsidR="009A5E39" w:rsidRDefault="006A6FE0">
          <w:pPr>
            <w:pStyle w:val="TOC3"/>
            <w:rPr>
              <w:rFonts w:asciiTheme="minorHAnsi" w:eastAsiaTheme="minorEastAsia" w:hAnsiTheme="minorHAnsi" w:cstheme="minorBidi"/>
              <w:noProof/>
              <w:lang w:eastAsia="en-AU"/>
            </w:rPr>
          </w:pPr>
          <w:hyperlink w:anchor="_Toc481583642" w:history="1">
            <w:r w:rsidR="009A5E39" w:rsidRPr="00CC5040">
              <w:rPr>
                <w:rStyle w:val="Hyperlink"/>
                <w:noProof/>
              </w:rPr>
              <w:t>Outcome</w:t>
            </w:r>
            <w:r w:rsidR="009A5E39">
              <w:rPr>
                <w:noProof/>
                <w:webHidden/>
              </w:rPr>
              <w:tab/>
            </w:r>
            <w:r w:rsidR="009A5E39">
              <w:rPr>
                <w:noProof/>
                <w:webHidden/>
              </w:rPr>
              <w:fldChar w:fldCharType="begin"/>
            </w:r>
            <w:r w:rsidR="009A5E39">
              <w:rPr>
                <w:noProof/>
                <w:webHidden/>
              </w:rPr>
              <w:instrText xml:space="preserve"> PAGEREF _Toc481583642 \h </w:instrText>
            </w:r>
            <w:r w:rsidR="009A5E39">
              <w:rPr>
                <w:noProof/>
                <w:webHidden/>
              </w:rPr>
            </w:r>
            <w:r w:rsidR="009A5E39">
              <w:rPr>
                <w:noProof/>
                <w:webHidden/>
              </w:rPr>
              <w:fldChar w:fldCharType="separate"/>
            </w:r>
            <w:r w:rsidR="005D7670">
              <w:rPr>
                <w:noProof/>
                <w:webHidden/>
              </w:rPr>
              <w:t>41</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43" w:history="1">
            <w:r w:rsidR="009A5E39" w:rsidRPr="00CC5040">
              <w:rPr>
                <w:rStyle w:val="Hyperlink"/>
                <w:noProof/>
              </w:rPr>
              <w:t>Attachment 1. Product Information</w:t>
            </w:r>
            <w:r w:rsidR="009A5E39">
              <w:rPr>
                <w:noProof/>
                <w:webHidden/>
              </w:rPr>
              <w:tab/>
            </w:r>
            <w:r w:rsidR="009A5E39">
              <w:rPr>
                <w:noProof/>
                <w:webHidden/>
              </w:rPr>
              <w:fldChar w:fldCharType="begin"/>
            </w:r>
            <w:r w:rsidR="009A5E39">
              <w:rPr>
                <w:noProof/>
                <w:webHidden/>
              </w:rPr>
              <w:instrText xml:space="preserve"> PAGEREF _Toc481583643 \h </w:instrText>
            </w:r>
            <w:r w:rsidR="009A5E39">
              <w:rPr>
                <w:noProof/>
                <w:webHidden/>
              </w:rPr>
            </w:r>
            <w:r w:rsidR="009A5E39">
              <w:rPr>
                <w:noProof/>
                <w:webHidden/>
              </w:rPr>
              <w:fldChar w:fldCharType="separate"/>
            </w:r>
            <w:r w:rsidR="005D7670">
              <w:rPr>
                <w:noProof/>
                <w:webHidden/>
              </w:rPr>
              <w:t>42</w:t>
            </w:r>
            <w:r w:rsidR="009A5E39">
              <w:rPr>
                <w:noProof/>
                <w:webHidden/>
              </w:rPr>
              <w:fldChar w:fldCharType="end"/>
            </w:r>
          </w:hyperlink>
        </w:p>
        <w:p w:rsidR="009A5E39" w:rsidRDefault="006A6FE0">
          <w:pPr>
            <w:pStyle w:val="TOC2"/>
            <w:rPr>
              <w:rFonts w:asciiTheme="minorHAnsi" w:eastAsiaTheme="minorEastAsia" w:hAnsiTheme="minorHAnsi" w:cstheme="minorBidi"/>
              <w:b w:val="0"/>
              <w:noProof/>
              <w:sz w:val="22"/>
              <w:lang w:eastAsia="en-AU"/>
            </w:rPr>
          </w:pPr>
          <w:hyperlink w:anchor="_Toc481583644" w:history="1">
            <w:r w:rsidR="009A5E39" w:rsidRPr="00CC5040">
              <w:rPr>
                <w:rStyle w:val="Hyperlink"/>
                <w:noProof/>
                <w:lang w:eastAsia="en-AU"/>
              </w:rPr>
              <w:t>Attachment 2. Extract from the Clinical Evaluation Report</w:t>
            </w:r>
            <w:r w:rsidR="009A5E39">
              <w:rPr>
                <w:noProof/>
                <w:webHidden/>
              </w:rPr>
              <w:tab/>
            </w:r>
            <w:r w:rsidR="009A5E39">
              <w:rPr>
                <w:noProof/>
                <w:webHidden/>
              </w:rPr>
              <w:fldChar w:fldCharType="begin"/>
            </w:r>
            <w:r w:rsidR="009A5E39">
              <w:rPr>
                <w:noProof/>
                <w:webHidden/>
              </w:rPr>
              <w:instrText xml:space="preserve"> PAGEREF _Toc481583644 \h </w:instrText>
            </w:r>
            <w:r w:rsidR="009A5E39">
              <w:rPr>
                <w:noProof/>
                <w:webHidden/>
              </w:rPr>
            </w:r>
            <w:r w:rsidR="009A5E39">
              <w:rPr>
                <w:noProof/>
                <w:webHidden/>
              </w:rPr>
              <w:fldChar w:fldCharType="separate"/>
            </w:r>
            <w:r w:rsidR="005D7670">
              <w:rPr>
                <w:noProof/>
                <w:webHidden/>
              </w:rPr>
              <w:t>42</w:t>
            </w:r>
            <w:r w:rsidR="009A5E39">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81583617"/>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2513"/>
        <w:gridCol w:w="6207"/>
      </w:tblGrid>
      <w:tr w:rsidR="00FD119B" w:rsidRPr="00FD119B" w:rsidTr="004D31C3">
        <w:trPr>
          <w:cnfStyle w:val="100000000000" w:firstRow="1" w:lastRow="0" w:firstColumn="0" w:lastColumn="0" w:oddVBand="0" w:evenVBand="0" w:oddHBand="0" w:evenHBand="0" w:firstRowFirstColumn="0" w:firstRowLastColumn="0" w:lastRowFirstColumn="0" w:lastRowLastColumn="0"/>
        </w:trPr>
        <w:tc>
          <w:tcPr>
            <w:tcW w:w="2513"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207" w:type="dxa"/>
          </w:tcPr>
          <w:p w:rsidR="00FD119B" w:rsidRPr="00FD119B" w:rsidRDefault="00FD119B" w:rsidP="00FD119B">
            <w:pPr>
              <w:keepNext w:val="0"/>
              <w:ind w:left="0" w:right="0"/>
              <w:rPr>
                <w:szCs w:val="22"/>
                <w:lang w:eastAsia="en-US"/>
              </w:rPr>
            </w:pPr>
            <w:r w:rsidRPr="00FD119B">
              <w:rPr>
                <w:szCs w:val="22"/>
                <w:lang w:eastAsia="en-US"/>
              </w:rPr>
              <w:t>Meaning</w:t>
            </w:r>
          </w:p>
        </w:tc>
      </w:tr>
      <w:tr w:rsidR="004D31C3" w:rsidRPr="00FD119B" w:rsidTr="004D31C3">
        <w:tc>
          <w:tcPr>
            <w:tcW w:w="2513" w:type="dxa"/>
          </w:tcPr>
          <w:p w:rsidR="004D31C3" w:rsidRPr="005F18A7" w:rsidRDefault="004D31C3" w:rsidP="00EF5F47">
            <w:r>
              <w:t>AE</w:t>
            </w:r>
          </w:p>
        </w:tc>
        <w:tc>
          <w:tcPr>
            <w:tcW w:w="6207" w:type="dxa"/>
          </w:tcPr>
          <w:p w:rsidR="004D31C3" w:rsidRPr="005F18A7" w:rsidRDefault="004D31C3" w:rsidP="00EF5F47">
            <w:r w:rsidRPr="005F18A7">
              <w:t>adverse event</w:t>
            </w:r>
          </w:p>
        </w:tc>
      </w:tr>
      <w:tr w:rsidR="004D31C3" w:rsidRPr="00FD119B" w:rsidTr="004D31C3">
        <w:tc>
          <w:tcPr>
            <w:tcW w:w="2513" w:type="dxa"/>
          </w:tcPr>
          <w:p w:rsidR="004D31C3" w:rsidRPr="005F18A7" w:rsidRDefault="004D31C3" w:rsidP="00EF5F47">
            <w:proofErr w:type="spellStart"/>
            <w:r>
              <w:t>aGFR</w:t>
            </w:r>
            <w:proofErr w:type="spellEnd"/>
          </w:p>
        </w:tc>
        <w:tc>
          <w:tcPr>
            <w:tcW w:w="6207" w:type="dxa"/>
          </w:tcPr>
          <w:p w:rsidR="004D31C3" w:rsidRPr="005F18A7" w:rsidRDefault="004D31C3" w:rsidP="00EF5F47">
            <w:r w:rsidRPr="005F18A7">
              <w:t>actual GFR</w:t>
            </w:r>
          </w:p>
        </w:tc>
      </w:tr>
      <w:tr w:rsidR="004D31C3" w:rsidRPr="00FD119B" w:rsidTr="004D31C3">
        <w:tc>
          <w:tcPr>
            <w:tcW w:w="2513" w:type="dxa"/>
          </w:tcPr>
          <w:p w:rsidR="004D31C3" w:rsidRPr="005F18A7" w:rsidRDefault="004D31C3" w:rsidP="00EF5F47">
            <w:r>
              <w:t>ARV</w:t>
            </w:r>
          </w:p>
        </w:tc>
        <w:tc>
          <w:tcPr>
            <w:tcW w:w="6207" w:type="dxa"/>
          </w:tcPr>
          <w:p w:rsidR="004D31C3" w:rsidRPr="005F18A7" w:rsidRDefault="004D31C3" w:rsidP="00EF5F47">
            <w:r w:rsidRPr="005F18A7">
              <w:t>antiretroviral</w:t>
            </w:r>
          </w:p>
        </w:tc>
      </w:tr>
      <w:tr w:rsidR="004D31C3" w:rsidRPr="00FD119B" w:rsidTr="004D31C3">
        <w:tc>
          <w:tcPr>
            <w:tcW w:w="2513" w:type="dxa"/>
          </w:tcPr>
          <w:p w:rsidR="004D31C3" w:rsidRPr="005F18A7" w:rsidRDefault="004D31C3" w:rsidP="00EF5F47">
            <w:r w:rsidRPr="005F18A7">
              <w:t>ATR</w:t>
            </w:r>
          </w:p>
        </w:tc>
        <w:tc>
          <w:tcPr>
            <w:tcW w:w="6207" w:type="dxa"/>
          </w:tcPr>
          <w:p w:rsidR="004D31C3" w:rsidRPr="005F18A7" w:rsidRDefault="004D31C3" w:rsidP="00EF5F47">
            <w:r w:rsidRPr="005F18A7">
              <w:t>Atripla: EFV/FTC/TDF</w:t>
            </w:r>
          </w:p>
        </w:tc>
      </w:tr>
      <w:tr w:rsidR="004D31C3" w:rsidRPr="00FD119B" w:rsidTr="004D31C3">
        <w:tc>
          <w:tcPr>
            <w:tcW w:w="2513" w:type="dxa"/>
          </w:tcPr>
          <w:p w:rsidR="004D31C3" w:rsidRPr="005F18A7" w:rsidRDefault="004D31C3" w:rsidP="00EF5F47">
            <w:r w:rsidRPr="005F18A7">
              <w:t>ATV</w:t>
            </w:r>
          </w:p>
        </w:tc>
        <w:tc>
          <w:tcPr>
            <w:tcW w:w="6207" w:type="dxa"/>
          </w:tcPr>
          <w:p w:rsidR="004D31C3" w:rsidRPr="005F18A7" w:rsidRDefault="004D31C3" w:rsidP="00EF5F47">
            <w:r w:rsidRPr="005F18A7">
              <w:t>atazanavir</w:t>
            </w:r>
          </w:p>
        </w:tc>
      </w:tr>
      <w:tr w:rsidR="004D31C3" w:rsidRPr="00FD119B" w:rsidTr="004D31C3">
        <w:tc>
          <w:tcPr>
            <w:tcW w:w="2513" w:type="dxa"/>
          </w:tcPr>
          <w:p w:rsidR="004D31C3" w:rsidRPr="005F18A7" w:rsidRDefault="004D31C3" w:rsidP="00EF5F47">
            <w:r>
              <w:t>ATV/r</w:t>
            </w:r>
          </w:p>
        </w:tc>
        <w:tc>
          <w:tcPr>
            <w:tcW w:w="6207" w:type="dxa"/>
          </w:tcPr>
          <w:p w:rsidR="004D31C3" w:rsidRPr="005F18A7" w:rsidRDefault="004D31C3" w:rsidP="00EF5F47">
            <w:r w:rsidRPr="005F18A7">
              <w:t>ritonavir boosted atazanavir</w:t>
            </w:r>
          </w:p>
        </w:tc>
      </w:tr>
      <w:tr w:rsidR="004D31C3" w:rsidRPr="00FD119B" w:rsidTr="004D31C3">
        <w:tc>
          <w:tcPr>
            <w:tcW w:w="2513" w:type="dxa"/>
          </w:tcPr>
          <w:p w:rsidR="004D31C3" w:rsidRPr="005F18A7" w:rsidRDefault="004D31C3" w:rsidP="00EF5F47">
            <w:r>
              <w:t>BMD</w:t>
            </w:r>
          </w:p>
        </w:tc>
        <w:tc>
          <w:tcPr>
            <w:tcW w:w="6207" w:type="dxa"/>
          </w:tcPr>
          <w:p w:rsidR="004D31C3" w:rsidRPr="005F18A7" w:rsidRDefault="00B7684E" w:rsidP="00EF5F47">
            <w:r>
              <w:t>bone mineral density</w:t>
            </w:r>
          </w:p>
        </w:tc>
      </w:tr>
      <w:tr w:rsidR="004D31C3" w:rsidRPr="00FD119B" w:rsidTr="004D31C3">
        <w:tc>
          <w:tcPr>
            <w:tcW w:w="2513" w:type="dxa"/>
          </w:tcPr>
          <w:p w:rsidR="004D31C3" w:rsidRPr="005F18A7" w:rsidRDefault="004D31C3" w:rsidP="00EF5F47">
            <w:r>
              <w:t>CD4</w:t>
            </w:r>
          </w:p>
        </w:tc>
        <w:tc>
          <w:tcPr>
            <w:tcW w:w="6207" w:type="dxa"/>
          </w:tcPr>
          <w:p w:rsidR="004D31C3" w:rsidRPr="005F18A7" w:rsidRDefault="004D31C3" w:rsidP="00EF5F47">
            <w:r w:rsidRPr="005F18A7">
              <w:t>cluster determinant 4</w:t>
            </w:r>
          </w:p>
        </w:tc>
      </w:tr>
      <w:tr w:rsidR="008E3340" w:rsidRPr="00FD119B" w:rsidTr="004D31C3">
        <w:tc>
          <w:tcPr>
            <w:tcW w:w="2513" w:type="dxa"/>
          </w:tcPr>
          <w:p w:rsidR="008E3340" w:rsidRDefault="008E3340" w:rsidP="00EF5F47">
            <w:r>
              <w:t>CER</w:t>
            </w:r>
          </w:p>
        </w:tc>
        <w:tc>
          <w:tcPr>
            <w:tcW w:w="6207" w:type="dxa"/>
          </w:tcPr>
          <w:p w:rsidR="008E3340" w:rsidRPr="005F18A7" w:rsidRDefault="008E3340" w:rsidP="00EF5F47">
            <w:r>
              <w:t>Clinical evaluation report</w:t>
            </w:r>
          </w:p>
        </w:tc>
      </w:tr>
      <w:tr w:rsidR="004D31C3" w:rsidRPr="00FD119B" w:rsidTr="004D31C3">
        <w:tc>
          <w:tcPr>
            <w:tcW w:w="2513" w:type="dxa"/>
          </w:tcPr>
          <w:p w:rsidR="004D31C3" w:rsidRPr="005F18A7" w:rsidRDefault="004D31C3" w:rsidP="00EF5F47">
            <w:r>
              <w:t>CG</w:t>
            </w:r>
          </w:p>
        </w:tc>
        <w:tc>
          <w:tcPr>
            <w:tcW w:w="6207" w:type="dxa"/>
          </w:tcPr>
          <w:p w:rsidR="004D31C3" w:rsidRPr="005F18A7" w:rsidRDefault="004D31C3" w:rsidP="00EF5F47">
            <w:r w:rsidRPr="005F18A7">
              <w:t>Cockcroft-Gault</w:t>
            </w:r>
          </w:p>
        </w:tc>
      </w:tr>
      <w:tr w:rsidR="004D31C3" w:rsidRPr="00FD119B" w:rsidTr="004D31C3">
        <w:tc>
          <w:tcPr>
            <w:tcW w:w="2513" w:type="dxa"/>
          </w:tcPr>
          <w:p w:rsidR="004D31C3" w:rsidRPr="005F18A7" w:rsidRDefault="004D31C3" w:rsidP="00EF5F47">
            <w:r>
              <w:t>CI</w:t>
            </w:r>
          </w:p>
        </w:tc>
        <w:tc>
          <w:tcPr>
            <w:tcW w:w="6207" w:type="dxa"/>
          </w:tcPr>
          <w:p w:rsidR="004D31C3" w:rsidRPr="005F18A7" w:rsidRDefault="004D31C3" w:rsidP="00EF5F47">
            <w:r w:rsidRPr="005F18A7">
              <w:t>confidence interval</w:t>
            </w:r>
          </w:p>
        </w:tc>
      </w:tr>
      <w:tr w:rsidR="004D31C3" w:rsidRPr="00FD119B" w:rsidTr="004D31C3">
        <w:tc>
          <w:tcPr>
            <w:tcW w:w="2513" w:type="dxa"/>
          </w:tcPr>
          <w:p w:rsidR="004D31C3" w:rsidRPr="005F18A7" w:rsidRDefault="004D31C3" w:rsidP="00EF5F47">
            <w:r>
              <w:t>CMI</w:t>
            </w:r>
          </w:p>
        </w:tc>
        <w:tc>
          <w:tcPr>
            <w:tcW w:w="6207" w:type="dxa"/>
          </w:tcPr>
          <w:p w:rsidR="004D31C3" w:rsidRPr="005F18A7" w:rsidRDefault="004D31C3" w:rsidP="00EF5F47">
            <w:r w:rsidRPr="005F18A7">
              <w:t>consumer medicine information</w:t>
            </w:r>
          </w:p>
        </w:tc>
      </w:tr>
      <w:tr w:rsidR="004D31C3" w:rsidRPr="00FD119B" w:rsidTr="004D31C3">
        <w:tc>
          <w:tcPr>
            <w:tcW w:w="2513" w:type="dxa"/>
          </w:tcPr>
          <w:p w:rsidR="004D31C3" w:rsidRPr="005F18A7" w:rsidRDefault="004D31C3" w:rsidP="00EF5F47">
            <w:r>
              <w:t>COBI</w:t>
            </w:r>
          </w:p>
        </w:tc>
        <w:tc>
          <w:tcPr>
            <w:tcW w:w="6207" w:type="dxa"/>
          </w:tcPr>
          <w:p w:rsidR="004D31C3" w:rsidRPr="005F18A7" w:rsidRDefault="004D31C3" w:rsidP="00EF5F47">
            <w:r w:rsidRPr="005F18A7">
              <w:t>cobicistat; GS-9350</w:t>
            </w:r>
          </w:p>
        </w:tc>
      </w:tr>
      <w:tr w:rsidR="004D31C3" w:rsidRPr="00FD119B" w:rsidTr="004D31C3">
        <w:tc>
          <w:tcPr>
            <w:tcW w:w="2513" w:type="dxa"/>
          </w:tcPr>
          <w:p w:rsidR="004D31C3" w:rsidRPr="005F18A7" w:rsidRDefault="004D31C3" w:rsidP="00EF5F47">
            <w:r>
              <w:t>CSR</w:t>
            </w:r>
          </w:p>
        </w:tc>
        <w:tc>
          <w:tcPr>
            <w:tcW w:w="6207" w:type="dxa"/>
          </w:tcPr>
          <w:p w:rsidR="004D31C3" w:rsidRPr="005F18A7" w:rsidRDefault="004D31C3" w:rsidP="00EF5F47">
            <w:r w:rsidRPr="005F18A7">
              <w:t>clinical study report</w:t>
            </w:r>
          </w:p>
        </w:tc>
      </w:tr>
      <w:tr w:rsidR="004D31C3" w:rsidRPr="00FD119B" w:rsidTr="004D31C3">
        <w:tc>
          <w:tcPr>
            <w:tcW w:w="2513" w:type="dxa"/>
          </w:tcPr>
          <w:p w:rsidR="004D31C3" w:rsidRPr="005F18A7" w:rsidRDefault="004D31C3" w:rsidP="00EF5F47">
            <w:r>
              <w:t>CYP</w:t>
            </w:r>
          </w:p>
        </w:tc>
        <w:tc>
          <w:tcPr>
            <w:tcW w:w="6207" w:type="dxa"/>
          </w:tcPr>
          <w:p w:rsidR="004D31C3" w:rsidRPr="005F18A7" w:rsidRDefault="004D31C3" w:rsidP="00EF5F47">
            <w:r w:rsidRPr="005F18A7">
              <w:t>cytochrome P450</w:t>
            </w:r>
          </w:p>
        </w:tc>
      </w:tr>
      <w:tr w:rsidR="004D31C3" w:rsidRPr="00FD119B" w:rsidTr="004D31C3">
        <w:tc>
          <w:tcPr>
            <w:tcW w:w="2513" w:type="dxa"/>
          </w:tcPr>
          <w:p w:rsidR="004D31C3" w:rsidRPr="005F18A7" w:rsidRDefault="004D31C3" w:rsidP="00EF5F47">
            <w:proofErr w:type="spellStart"/>
            <w:r>
              <w:t>CysC</w:t>
            </w:r>
            <w:proofErr w:type="spellEnd"/>
          </w:p>
        </w:tc>
        <w:tc>
          <w:tcPr>
            <w:tcW w:w="6207" w:type="dxa"/>
          </w:tcPr>
          <w:p w:rsidR="004D31C3" w:rsidRPr="005F18A7" w:rsidRDefault="004D31C3" w:rsidP="00EF5F47">
            <w:r w:rsidRPr="005F18A7">
              <w:t>cystatin C</w:t>
            </w:r>
          </w:p>
        </w:tc>
      </w:tr>
      <w:tr w:rsidR="004D31C3" w:rsidRPr="00FD119B" w:rsidTr="004D31C3">
        <w:tc>
          <w:tcPr>
            <w:tcW w:w="2513" w:type="dxa"/>
          </w:tcPr>
          <w:p w:rsidR="004D31C3" w:rsidRPr="005F18A7" w:rsidRDefault="004D31C3" w:rsidP="00EF5F47">
            <w:r w:rsidRPr="005F18A7">
              <w:t>EFV</w:t>
            </w:r>
          </w:p>
        </w:tc>
        <w:tc>
          <w:tcPr>
            <w:tcW w:w="6207" w:type="dxa"/>
          </w:tcPr>
          <w:p w:rsidR="004D31C3" w:rsidRPr="005F18A7" w:rsidRDefault="004D31C3" w:rsidP="00EF5F47">
            <w:r w:rsidRPr="005F18A7">
              <w:t>efavirenz</w:t>
            </w:r>
          </w:p>
        </w:tc>
      </w:tr>
      <w:tr w:rsidR="004D31C3" w:rsidRPr="00FD119B" w:rsidTr="004D31C3">
        <w:tc>
          <w:tcPr>
            <w:tcW w:w="2513" w:type="dxa"/>
          </w:tcPr>
          <w:p w:rsidR="004D31C3" w:rsidRPr="00ED3F4D" w:rsidRDefault="004D31C3" w:rsidP="00EF5F47">
            <w:r>
              <w:t>EFV/FTC/TDF</w:t>
            </w:r>
          </w:p>
        </w:tc>
        <w:tc>
          <w:tcPr>
            <w:tcW w:w="6207" w:type="dxa"/>
          </w:tcPr>
          <w:p w:rsidR="004D31C3" w:rsidRPr="00ED3F4D" w:rsidRDefault="004D31C3" w:rsidP="00EF5F47">
            <w:r w:rsidRPr="00C6140F">
              <w:t>efavirenz/emtricitabine/tenofovir disoproxil fumarate</w:t>
            </w:r>
            <w:r>
              <w:t>;</w:t>
            </w:r>
            <w:r w:rsidRPr="00C6140F">
              <w:t xml:space="preserve"> Atripla</w:t>
            </w:r>
          </w:p>
        </w:tc>
      </w:tr>
      <w:tr w:rsidR="004D31C3" w:rsidRPr="00FD119B" w:rsidTr="004D31C3">
        <w:tc>
          <w:tcPr>
            <w:tcW w:w="2513" w:type="dxa"/>
          </w:tcPr>
          <w:p w:rsidR="004D31C3" w:rsidRPr="00ED3F4D" w:rsidRDefault="004D31C3" w:rsidP="00EF5F47">
            <w:proofErr w:type="spellStart"/>
            <w:r>
              <w:t>eGFR</w:t>
            </w:r>
            <w:proofErr w:type="spellEnd"/>
          </w:p>
        </w:tc>
        <w:tc>
          <w:tcPr>
            <w:tcW w:w="6207" w:type="dxa"/>
          </w:tcPr>
          <w:p w:rsidR="004D31C3" w:rsidRPr="00ED3F4D" w:rsidRDefault="004D31C3" w:rsidP="00EF5F47">
            <w:r w:rsidRPr="00C6140F">
              <w:t>estimated glomerular filtration rate</w:t>
            </w:r>
          </w:p>
        </w:tc>
      </w:tr>
      <w:tr w:rsidR="004D31C3" w:rsidRPr="00FD119B" w:rsidTr="004D31C3">
        <w:tc>
          <w:tcPr>
            <w:tcW w:w="2513" w:type="dxa"/>
          </w:tcPr>
          <w:p w:rsidR="004D31C3" w:rsidRPr="00ED3F4D" w:rsidRDefault="004D31C3" w:rsidP="00EF5F47">
            <w:proofErr w:type="spellStart"/>
            <w:r>
              <w:t>eGFR</w:t>
            </w:r>
            <w:r w:rsidRPr="005E3FF4">
              <w:rPr>
                <w:vertAlign w:val="subscript"/>
              </w:rPr>
              <w:t>CG</w:t>
            </w:r>
            <w:proofErr w:type="spellEnd"/>
          </w:p>
        </w:tc>
        <w:tc>
          <w:tcPr>
            <w:tcW w:w="6207" w:type="dxa"/>
          </w:tcPr>
          <w:p w:rsidR="004D31C3" w:rsidRPr="00ED3F4D" w:rsidRDefault="004D31C3" w:rsidP="00EF5F47">
            <w:r w:rsidRPr="00ED3F4D">
              <w:t xml:space="preserve">estimated </w:t>
            </w:r>
            <w:r>
              <w:t>g</w:t>
            </w:r>
            <w:r w:rsidRPr="00ED3F4D">
              <w:t xml:space="preserve">lomerular </w:t>
            </w:r>
            <w:r>
              <w:t>f</w:t>
            </w:r>
            <w:r w:rsidRPr="00ED3F4D">
              <w:t xml:space="preserve">iltration </w:t>
            </w:r>
            <w:r>
              <w:t>r</w:t>
            </w:r>
            <w:r w:rsidRPr="00ED3F4D">
              <w:t>ate calculated using the Cockcroft-Gault method</w:t>
            </w:r>
          </w:p>
        </w:tc>
      </w:tr>
      <w:tr w:rsidR="004D31C3" w:rsidRPr="00FD119B" w:rsidTr="004D31C3">
        <w:tc>
          <w:tcPr>
            <w:tcW w:w="2513" w:type="dxa"/>
          </w:tcPr>
          <w:p w:rsidR="004D31C3" w:rsidRPr="00ED3F4D" w:rsidRDefault="004D31C3" w:rsidP="00EF5F47">
            <w:r>
              <w:t>EU</w:t>
            </w:r>
          </w:p>
        </w:tc>
        <w:tc>
          <w:tcPr>
            <w:tcW w:w="6207" w:type="dxa"/>
          </w:tcPr>
          <w:p w:rsidR="004D31C3" w:rsidRPr="00ED3F4D" w:rsidRDefault="004D31C3" w:rsidP="00EF5F47">
            <w:r w:rsidRPr="00ED3F4D">
              <w:t>European Union</w:t>
            </w:r>
          </w:p>
        </w:tc>
      </w:tr>
      <w:tr w:rsidR="004D31C3" w:rsidRPr="00FD119B" w:rsidTr="004D31C3">
        <w:tc>
          <w:tcPr>
            <w:tcW w:w="2513" w:type="dxa"/>
          </w:tcPr>
          <w:p w:rsidR="004D31C3" w:rsidRPr="00ED3F4D" w:rsidRDefault="004D31C3" w:rsidP="00EF5F47">
            <w:r>
              <w:t>EVG</w:t>
            </w:r>
          </w:p>
        </w:tc>
        <w:tc>
          <w:tcPr>
            <w:tcW w:w="6207" w:type="dxa"/>
          </w:tcPr>
          <w:p w:rsidR="004D31C3" w:rsidRPr="00ED3F4D" w:rsidRDefault="004D31C3" w:rsidP="00EF5F47">
            <w:r>
              <w:t>e</w:t>
            </w:r>
            <w:r w:rsidRPr="00ED3F4D">
              <w:t>lvitegravir</w:t>
            </w:r>
          </w:p>
        </w:tc>
      </w:tr>
      <w:tr w:rsidR="004D31C3" w:rsidRPr="00FD119B" w:rsidTr="004D31C3">
        <w:tc>
          <w:tcPr>
            <w:tcW w:w="2513" w:type="dxa"/>
          </w:tcPr>
          <w:p w:rsidR="004D31C3" w:rsidRPr="00ED3F4D" w:rsidRDefault="004D31C3" w:rsidP="00EF5F47">
            <w:r>
              <w:t>EVG/COBI/FTC/TDF</w:t>
            </w:r>
          </w:p>
        </w:tc>
        <w:tc>
          <w:tcPr>
            <w:tcW w:w="6207" w:type="dxa"/>
          </w:tcPr>
          <w:p w:rsidR="004D31C3" w:rsidRPr="00ED3F4D" w:rsidRDefault="004D31C3" w:rsidP="00EF5F47">
            <w:r w:rsidRPr="00ED3F4D">
              <w:t>elvitegravir/cobicistat/emtricitabine/tenofovir disoproxil fumarate</w:t>
            </w:r>
            <w:r>
              <w:t>;</w:t>
            </w:r>
            <w:r w:rsidRPr="00ED3F4D">
              <w:t xml:space="preserve"> Stribild</w:t>
            </w:r>
            <w:r>
              <w:t>;</w:t>
            </w:r>
            <w:r w:rsidRPr="00ED3F4D">
              <w:t xml:space="preserve"> STB</w:t>
            </w:r>
          </w:p>
        </w:tc>
      </w:tr>
      <w:tr w:rsidR="004D31C3" w:rsidRPr="00FD119B" w:rsidTr="004D31C3">
        <w:tc>
          <w:tcPr>
            <w:tcW w:w="2513" w:type="dxa"/>
          </w:tcPr>
          <w:p w:rsidR="004D31C3" w:rsidRPr="00EB30DD" w:rsidRDefault="004D31C3" w:rsidP="00EF5F47">
            <w:r>
              <w:lastRenderedPageBreak/>
              <w:t>FAS</w:t>
            </w:r>
          </w:p>
        </w:tc>
        <w:tc>
          <w:tcPr>
            <w:tcW w:w="6207" w:type="dxa"/>
          </w:tcPr>
          <w:p w:rsidR="004D31C3" w:rsidRPr="00EB30DD" w:rsidRDefault="004D31C3" w:rsidP="00EF5F47">
            <w:r w:rsidRPr="00EB30DD">
              <w:t>Full Analysis Set</w:t>
            </w:r>
          </w:p>
        </w:tc>
      </w:tr>
      <w:tr w:rsidR="004D31C3" w:rsidRPr="00FD119B" w:rsidTr="004D31C3">
        <w:tc>
          <w:tcPr>
            <w:tcW w:w="2513" w:type="dxa"/>
          </w:tcPr>
          <w:p w:rsidR="004D31C3" w:rsidRPr="00EB30DD" w:rsidRDefault="004D31C3" w:rsidP="00EF5F47">
            <w:r>
              <w:t>FEPO</w:t>
            </w:r>
            <w:r w:rsidRPr="00D120A0">
              <w:rPr>
                <w:vertAlign w:val="subscript"/>
              </w:rPr>
              <w:t>4</w:t>
            </w:r>
          </w:p>
        </w:tc>
        <w:tc>
          <w:tcPr>
            <w:tcW w:w="6207" w:type="dxa"/>
          </w:tcPr>
          <w:p w:rsidR="004D31C3" w:rsidRPr="00EB30DD" w:rsidRDefault="004D31C3" w:rsidP="00EF5F47">
            <w:r>
              <w:t>f</w:t>
            </w:r>
            <w:r w:rsidRPr="00EB30DD">
              <w:t xml:space="preserve">ractional </w:t>
            </w:r>
            <w:r>
              <w:t>e</w:t>
            </w:r>
            <w:r w:rsidRPr="00EB30DD">
              <w:t xml:space="preserve">xcretion of </w:t>
            </w:r>
            <w:r>
              <w:t>p</w:t>
            </w:r>
            <w:r w:rsidRPr="00EB30DD">
              <w:t>hosphate</w:t>
            </w:r>
          </w:p>
        </w:tc>
      </w:tr>
      <w:tr w:rsidR="004D31C3" w:rsidRPr="00FD119B" w:rsidTr="004D31C3">
        <w:tc>
          <w:tcPr>
            <w:tcW w:w="2513" w:type="dxa"/>
          </w:tcPr>
          <w:p w:rsidR="004D31C3" w:rsidRPr="00EB30DD" w:rsidRDefault="004D31C3" w:rsidP="00EF5F47">
            <w:r>
              <w:t>FTC</w:t>
            </w:r>
          </w:p>
        </w:tc>
        <w:tc>
          <w:tcPr>
            <w:tcW w:w="6207" w:type="dxa"/>
          </w:tcPr>
          <w:p w:rsidR="004D31C3" w:rsidRPr="00EB30DD" w:rsidRDefault="004D31C3" w:rsidP="00EF5F47">
            <w:r>
              <w:t>e</w:t>
            </w:r>
            <w:r w:rsidRPr="00EB30DD">
              <w:t>mtricitabine</w:t>
            </w:r>
          </w:p>
        </w:tc>
      </w:tr>
      <w:tr w:rsidR="004D31C3" w:rsidRPr="00FD119B" w:rsidTr="004D31C3">
        <w:tc>
          <w:tcPr>
            <w:tcW w:w="2513" w:type="dxa"/>
          </w:tcPr>
          <w:p w:rsidR="004D31C3" w:rsidRPr="00EB30DD" w:rsidRDefault="004D31C3" w:rsidP="00EF5F47">
            <w:r>
              <w:t>FTC/RPV/TDF</w:t>
            </w:r>
          </w:p>
        </w:tc>
        <w:tc>
          <w:tcPr>
            <w:tcW w:w="6207" w:type="dxa"/>
          </w:tcPr>
          <w:p w:rsidR="004D31C3" w:rsidRPr="00EB30DD" w:rsidRDefault="004D31C3" w:rsidP="00EF5F47">
            <w:proofErr w:type="spellStart"/>
            <w:r w:rsidRPr="00EB30DD">
              <w:t>emtricitabine</w:t>
            </w:r>
            <w:proofErr w:type="spellEnd"/>
            <w:r w:rsidRPr="00EB30DD">
              <w:t>/</w:t>
            </w:r>
            <w:proofErr w:type="spellStart"/>
            <w:r w:rsidRPr="00EB30DD">
              <w:t>rilpivirine</w:t>
            </w:r>
            <w:proofErr w:type="spellEnd"/>
            <w:r w:rsidRPr="00EB30DD">
              <w:t>/</w:t>
            </w:r>
            <w:proofErr w:type="spellStart"/>
            <w:r w:rsidRPr="00EB30DD">
              <w:t>tenofovir</w:t>
            </w:r>
            <w:proofErr w:type="spellEnd"/>
            <w:r w:rsidRPr="00EB30DD">
              <w:t xml:space="preserve"> </w:t>
            </w:r>
            <w:proofErr w:type="spellStart"/>
            <w:r w:rsidRPr="00EB30DD">
              <w:t>disoproxil</w:t>
            </w:r>
            <w:proofErr w:type="spellEnd"/>
            <w:r w:rsidRPr="00EB30DD">
              <w:t xml:space="preserve"> </w:t>
            </w:r>
            <w:proofErr w:type="spellStart"/>
            <w:r w:rsidRPr="00EB30DD">
              <w:t>fumarate</w:t>
            </w:r>
            <w:proofErr w:type="spellEnd"/>
            <w:r>
              <w:t>;</w:t>
            </w:r>
            <w:r w:rsidRPr="00EB30DD">
              <w:t xml:space="preserve"> </w:t>
            </w:r>
            <w:proofErr w:type="spellStart"/>
            <w:r w:rsidRPr="00EB30DD">
              <w:t>Complera</w:t>
            </w:r>
            <w:proofErr w:type="spellEnd"/>
            <w:r w:rsidRPr="00EB30DD">
              <w:t>/</w:t>
            </w:r>
            <w:proofErr w:type="spellStart"/>
            <w:r w:rsidRPr="00EB30DD">
              <w:t>Evipler</w:t>
            </w:r>
            <w:r w:rsidR="004903A6">
              <w:t>a</w:t>
            </w:r>
            <w:proofErr w:type="spellEnd"/>
          </w:p>
        </w:tc>
      </w:tr>
      <w:tr w:rsidR="004D31C3" w:rsidRPr="00FD119B" w:rsidTr="004D31C3">
        <w:tc>
          <w:tcPr>
            <w:tcW w:w="2513" w:type="dxa"/>
          </w:tcPr>
          <w:p w:rsidR="004D31C3" w:rsidRPr="00EB30DD" w:rsidRDefault="004D31C3" w:rsidP="00EF5F47">
            <w:r>
              <w:t>FTC/TDF</w:t>
            </w:r>
          </w:p>
        </w:tc>
        <w:tc>
          <w:tcPr>
            <w:tcW w:w="6207" w:type="dxa"/>
          </w:tcPr>
          <w:p w:rsidR="004D31C3" w:rsidRPr="00EB30DD" w:rsidRDefault="004D31C3" w:rsidP="00EF5F47">
            <w:r w:rsidRPr="00EB30DD">
              <w:t>emtricitabine/tenofovir disoproxil fumarate</w:t>
            </w:r>
            <w:r>
              <w:t>;</w:t>
            </w:r>
            <w:r w:rsidRPr="00EB30DD">
              <w:t xml:space="preserve"> Truvada</w:t>
            </w:r>
          </w:p>
        </w:tc>
      </w:tr>
      <w:tr w:rsidR="004D31C3" w:rsidRPr="00FD119B" w:rsidTr="004D31C3">
        <w:tc>
          <w:tcPr>
            <w:tcW w:w="2513" w:type="dxa"/>
          </w:tcPr>
          <w:p w:rsidR="004D31C3" w:rsidRPr="00DB0E73" w:rsidRDefault="004D31C3" w:rsidP="00EF5F47">
            <w:r>
              <w:t>GFR</w:t>
            </w:r>
          </w:p>
        </w:tc>
        <w:tc>
          <w:tcPr>
            <w:tcW w:w="6207" w:type="dxa"/>
          </w:tcPr>
          <w:p w:rsidR="004D31C3" w:rsidRPr="00DB0E73" w:rsidRDefault="004D31C3" w:rsidP="00EF5F47">
            <w:r w:rsidRPr="00DB0E73">
              <w:t>glomerular filtration rate</w:t>
            </w:r>
          </w:p>
        </w:tc>
      </w:tr>
      <w:tr w:rsidR="004D31C3" w:rsidRPr="00FD119B" w:rsidTr="004D31C3">
        <w:tc>
          <w:tcPr>
            <w:tcW w:w="2513" w:type="dxa"/>
          </w:tcPr>
          <w:p w:rsidR="004D31C3" w:rsidRPr="00DB0E73" w:rsidRDefault="004D31C3" w:rsidP="00EF5F47">
            <w:r w:rsidRPr="00DB0E73">
              <w:t>HIV</w:t>
            </w:r>
            <w:r>
              <w:t>-1</w:t>
            </w:r>
          </w:p>
        </w:tc>
        <w:tc>
          <w:tcPr>
            <w:tcW w:w="6207" w:type="dxa"/>
          </w:tcPr>
          <w:p w:rsidR="004D31C3" w:rsidRPr="00DB0E73" w:rsidRDefault="004D31C3" w:rsidP="00EF5F47">
            <w:r w:rsidRPr="00DB0E73">
              <w:t>human immunodeficiency virus (type 1)</w:t>
            </w:r>
          </w:p>
        </w:tc>
      </w:tr>
      <w:tr w:rsidR="004D31C3" w:rsidRPr="00FD119B" w:rsidTr="004D31C3">
        <w:tc>
          <w:tcPr>
            <w:tcW w:w="2513" w:type="dxa"/>
          </w:tcPr>
          <w:p w:rsidR="004D31C3" w:rsidRPr="00DB0E73" w:rsidRDefault="004D31C3" w:rsidP="00EF5F47">
            <w:r w:rsidRPr="00DB0E73">
              <w:t>INSTI</w:t>
            </w:r>
          </w:p>
        </w:tc>
        <w:tc>
          <w:tcPr>
            <w:tcW w:w="6207" w:type="dxa"/>
          </w:tcPr>
          <w:p w:rsidR="004D31C3" w:rsidRPr="00DB0E73" w:rsidRDefault="004D31C3" w:rsidP="00EF5F47">
            <w:r w:rsidRPr="00DB0E73">
              <w:t>integrase strand-transfer inhibitor</w:t>
            </w:r>
          </w:p>
        </w:tc>
      </w:tr>
      <w:tr w:rsidR="004D31C3" w:rsidRPr="00FD119B" w:rsidTr="004D31C3">
        <w:tc>
          <w:tcPr>
            <w:tcW w:w="2513" w:type="dxa"/>
          </w:tcPr>
          <w:p w:rsidR="004D31C3" w:rsidRPr="00DB0E73" w:rsidRDefault="004D31C3" w:rsidP="00EF5F47">
            <w:r>
              <w:t>LDL</w:t>
            </w:r>
          </w:p>
        </w:tc>
        <w:tc>
          <w:tcPr>
            <w:tcW w:w="6207" w:type="dxa"/>
          </w:tcPr>
          <w:p w:rsidR="004D31C3" w:rsidRPr="00DB0E73" w:rsidRDefault="004D31C3" w:rsidP="00EF5F47">
            <w:r w:rsidRPr="00DB0E73">
              <w:t>Low</w:t>
            </w:r>
            <w:r>
              <w:t xml:space="preserve"> </w:t>
            </w:r>
            <w:r w:rsidRPr="00DB0E73">
              <w:t>density lipoprotein</w:t>
            </w:r>
          </w:p>
        </w:tc>
      </w:tr>
      <w:tr w:rsidR="000B03C5" w:rsidRPr="00FD119B" w:rsidTr="004D31C3">
        <w:tc>
          <w:tcPr>
            <w:tcW w:w="2513" w:type="dxa"/>
          </w:tcPr>
          <w:p w:rsidR="000B03C5" w:rsidRDefault="000B03C5" w:rsidP="00EF5F47">
            <w:r w:rsidRPr="00B262A2">
              <w:t>MAH</w:t>
            </w:r>
          </w:p>
        </w:tc>
        <w:tc>
          <w:tcPr>
            <w:tcW w:w="6207" w:type="dxa"/>
          </w:tcPr>
          <w:p w:rsidR="000B03C5" w:rsidRPr="00DB0E73" w:rsidRDefault="000B03C5" w:rsidP="00EF5F47">
            <w:r>
              <w:t>Marketing authorisation holder</w:t>
            </w:r>
          </w:p>
        </w:tc>
      </w:tr>
      <w:tr w:rsidR="004D31C3" w:rsidRPr="00FD119B" w:rsidTr="004D31C3">
        <w:tc>
          <w:tcPr>
            <w:tcW w:w="2513" w:type="dxa"/>
          </w:tcPr>
          <w:p w:rsidR="004D31C3" w:rsidRPr="007C2D31" w:rsidRDefault="004D31C3" w:rsidP="00EF5F47">
            <w:r>
              <w:t>NNRTI</w:t>
            </w:r>
          </w:p>
        </w:tc>
        <w:tc>
          <w:tcPr>
            <w:tcW w:w="6207" w:type="dxa"/>
          </w:tcPr>
          <w:p w:rsidR="004D31C3" w:rsidRPr="007C2D31" w:rsidRDefault="004D31C3" w:rsidP="00EF5F47">
            <w:r w:rsidRPr="007C2D31">
              <w:t xml:space="preserve">nonnucleoside </w:t>
            </w:r>
            <w:r w:rsidR="00E22646">
              <w:t>reverse transcriptase inhibitor</w:t>
            </w:r>
          </w:p>
        </w:tc>
      </w:tr>
      <w:tr w:rsidR="004D31C3" w:rsidRPr="00FD119B" w:rsidTr="004D31C3">
        <w:tc>
          <w:tcPr>
            <w:tcW w:w="2513" w:type="dxa"/>
          </w:tcPr>
          <w:p w:rsidR="004D31C3" w:rsidRPr="007C2D31" w:rsidRDefault="004D31C3" w:rsidP="00EF5F47">
            <w:r w:rsidRPr="007C2D31">
              <w:t>NRTI</w:t>
            </w:r>
          </w:p>
        </w:tc>
        <w:tc>
          <w:tcPr>
            <w:tcW w:w="6207" w:type="dxa"/>
          </w:tcPr>
          <w:p w:rsidR="004D31C3" w:rsidRPr="007C2D31" w:rsidRDefault="004D31C3" w:rsidP="00EF5F47">
            <w:r w:rsidRPr="007C2D31">
              <w:t xml:space="preserve">nucleoside or nucleotide </w:t>
            </w:r>
            <w:r w:rsidR="00E22646">
              <w:t>reverse transcriptase inhibitor</w:t>
            </w:r>
          </w:p>
        </w:tc>
      </w:tr>
      <w:tr w:rsidR="004D31C3" w:rsidRPr="00FD119B" w:rsidTr="004D31C3">
        <w:tc>
          <w:tcPr>
            <w:tcW w:w="2513" w:type="dxa"/>
          </w:tcPr>
          <w:p w:rsidR="004D31C3" w:rsidRPr="007C2D31" w:rsidRDefault="004D31C3" w:rsidP="00EF5F47">
            <w:r>
              <w:t>PI</w:t>
            </w:r>
          </w:p>
        </w:tc>
        <w:tc>
          <w:tcPr>
            <w:tcW w:w="6207" w:type="dxa"/>
          </w:tcPr>
          <w:p w:rsidR="004D31C3" w:rsidRPr="007C2D31" w:rsidRDefault="00E22646" w:rsidP="00EF5F47">
            <w:r>
              <w:t>product information</w:t>
            </w:r>
          </w:p>
        </w:tc>
      </w:tr>
      <w:tr w:rsidR="004D31C3" w:rsidRPr="00FD119B" w:rsidTr="004D31C3">
        <w:tc>
          <w:tcPr>
            <w:tcW w:w="2513" w:type="dxa"/>
          </w:tcPr>
          <w:p w:rsidR="004D31C3" w:rsidRPr="007C2D31" w:rsidRDefault="004D31C3" w:rsidP="00EF5F47">
            <w:proofErr w:type="spellStart"/>
            <w:r>
              <w:t>PIn</w:t>
            </w:r>
            <w:proofErr w:type="spellEnd"/>
          </w:p>
        </w:tc>
        <w:tc>
          <w:tcPr>
            <w:tcW w:w="6207" w:type="dxa"/>
          </w:tcPr>
          <w:p w:rsidR="004D31C3" w:rsidRPr="007C2D31" w:rsidRDefault="00E22646" w:rsidP="00EF5F47">
            <w:r>
              <w:t>protease inhibitor</w:t>
            </w:r>
          </w:p>
        </w:tc>
      </w:tr>
      <w:tr w:rsidR="004D31C3" w:rsidRPr="00FD119B" w:rsidTr="004D31C3">
        <w:tc>
          <w:tcPr>
            <w:tcW w:w="2513" w:type="dxa"/>
          </w:tcPr>
          <w:p w:rsidR="004D31C3" w:rsidRPr="007C2D31" w:rsidRDefault="004D31C3" w:rsidP="00EF5F47">
            <w:r>
              <w:t>PK</w:t>
            </w:r>
          </w:p>
        </w:tc>
        <w:tc>
          <w:tcPr>
            <w:tcW w:w="6207" w:type="dxa"/>
          </w:tcPr>
          <w:p w:rsidR="004D31C3" w:rsidRPr="007C2D31" w:rsidRDefault="00E22646" w:rsidP="00EF5F47">
            <w:r>
              <w:t>pharmacokinetic(s)</w:t>
            </w:r>
          </w:p>
        </w:tc>
      </w:tr>
      <w:tr w:rsidR="004D31C3" w:rsidRPr="00FD119B" w:rsidTr="004D31C3">
        <w:tc>
          <w:tcPr>
            <w:tcW w:w="2513" w:type="dxa"/>
          </w:tcPr>
          <w:p w:rsidR="004D31C3" w:rsidRPr="007C2D31" w:rsidRDefault="004D31C3" w:rsidP="00EF5F47">
            <w:r>
              <w:t>PRT</w:t>
            </w:r>
          </w:p>
        </w:tc>
        <w:tc>
          <w:tcPr>
            <w:tcW w:w="6207" w:type="dxa"/>
          </w:tcPr>
          <w:p w:rsidR="004D31C3" w:rsidRPr="007C2D31" w:rsidRDefault="00E22646" w:rsidP="00EF5F47">
            <w:r>
              <w:t xml:space="preserve">proximal renal </w:t>
            </w:r>
            <w:proofErr w:type="spellStart"/>
            <w:r>
              <w:t>tubulopathy</w:t>
            </w:r>
            <w:proofErr w:type="spellEnd"/>
          </w:p>
        </w:tc>
      </w:tr>
      <w:tr w:rsidR="004D31C3" w:rsidRPr="00FD119B" w:rsidTr="004D31C3">
        <w:tc>
          <w:tcPr>
            <w:tcW w:w="2513" w:type="dxa"/>
          </w:tcPr>
          <w:p w:rsidR="004D31C3" w:rsidRPr="00DE7FE1" w:rsidRDefault="004D31C3" w:rsidP="00EF5F47">
            <w:r>
              <w:t>RAL</w:t>
            </w:r>
          </w:p>
        </w:tc>
        <w:tc>
          <w:tcPr>
            <w:tcW w:w="6207" w:type="dxa"/>
          </w:tcPr>
          <w:p w:rsidR="004D31C3" w:rsidRPr="00DE7FE1" w:rsidRDefault="004D31C3" w:rsidP="00EF5F47">
            <w:r w:rsidRPr="00DE7FE1">
              <w:t>raltegravir</w:t>
            </w:r>
          </w:p>
        </w:tc>
      </w:tr>
      <w:tr w:rsidR="004D31C3" w:rsidRPr="00FD119B" w:rsidTr="004D31C3">
        <w:tc>
          <w:tcPr>
            <w:tcW w:w="2513" w:type="dxa"/>
          </w:tcPr>
          <w:p w:rsidR="004D31C3" w:rsidRPr="00DE7FE1" w:rsidRDefault="004D31C3" w:rsidP="00EF5F47">
            <w:r w:rsidRPr="00DE7FE1">
              <w:t>RNA</w:t>
            </w:r>
          </w:p>
        </w:tc>
        <w:tc>
          <w:tcPr>
            <w:tcW w:w="6207" w:type="dxa"/>
          </w:tcPr>
          <w:p w:rsidR="004D31C3" w:rsidRPr="00DE7FE1" w:rsidRDefault="00E22646" w:rsidP="00EF5F47">
            <w:r>
              <w:t>ribonucleic acid</w:t>
            </w:r>
          </w:p>
        </w:tc>
      </w:tr>
      <w:tr w:rsidR="004D31C3" w:rsidRPr="00FD119B" w:rsidTr="004D31C3">
        <w:tc>
          <w:tcPr>
            <w:tcW w:w="2513" w:type="dxa"/>
          </w:tcPr>
          <w:p w:rsidR="004D31C3" w:rsidRPr="00DE7FE1" w:rsidRDefault="004D31C3" w:rsidP="00EF5F47">
            <w:r w:rsidRPr="00DE7FE1">
              <w:t>RPV</w:t>
            </w:r>
          </w:p>
        </w:tc>
        <w:tc>
          <w:tcPr>
            <w:tcW w:w="6207" w:type="dxa"/>
          </w:tcPr>
          <w:p w:rsidR="004D31C3" w:rsidRPr="00DE7FE1" w:rsidRDefault="00E22646" w:rsidP="00EF5F47">
            <w:proofErr w:type="spellStart"/>
            <w:r>
              <w:t>rilpivirine</w:t>
            </w:r>
            <w:proofErr w:type="spellEnd"/>
          </w:p>
        </w:tc>
      </w:tr>
      <w:tr w:rsidR="004D31C3" w:rsidRPr="00FD119B" w:rsidTr="004D31C3">
        <w:tc>
          <w:tcPr>
            <w:tcW w:w="2513" w:type="dxa"/>
          </w:tcPr>
          <w:p w:rsidR="004D31C3" w:rsidRPr="00DE7FE1" w:rsidRDefault="004D31C3" w:rsidP="00EF5F47">
            <w:r>
              <w:t>RT</w:t>
            </w:r>
          </w:p>
        </w:tc>
        <w:tc>
          <w:tcPr>
            <w:tcW w:w="6207" w:type="dxa"/>
          </w:tcPr>
          <w:p w:rsidR="004D31C3" w:rsidRPr="00DE7FE1" w:rsidRDefault="00E22646" w:rsidP="00EF5F47">
            <w:r>
              <w:t>reverse transcriptase</w:t>
            </w:r>
          </w:p>
        </w:tc>
      </w:tr>
      <w:tr w:rsidR="004D31C3" w:rsidRPr="00FD119B" w:rsidTr="004D31C3">
        <w:tc>
          <w:tcPr>
            <w:tcW w:w="2513" w:type="dxa"/>
          </w:tcPr>
          <w:p w:rsidR="004D31C3" w:rsidRPr="00DE7FE1" w:rsidRDefault="004D31C3" w:rsidP="00EF5F47">
            <w:r>
              <w:t>RTV</w:t>
            </w:r>
          </w:p>
        </w:tc>
        <w:tc>
          <w:tcPr>
            <w:tcW w:w="6207" w:type="dxa"/>
          </w:tcPr>
          <w:p w:rsidR="004D31C3" w:rsidRPr="00DE7FE1" w:rsidRDefault="00E22646" w:rsidP="00EF5F47">
            <w:r>
              <w:t>ritonavir</w:t>
            </w:r>
          </w:p>
        </w:tc>
      </w:tr>
      <w:tr w:rsidR="004D31C3" w:rsidRPr="00FD119B" w:rsidTr="004D31C3">
        <w:tc>
          <w:tcPr>
            <w:tcW w:w="2513" w:type="dxa"/>
          </w:tcPr>
          <w:p w:rsidR="004D31C3" w:rsidRPr="00DE7FE1" w:rsidRDefault="004D31C3" w:rsidP="00EF5F47">
            <w:r>
              <w:t>SAE</w:t>
            </w:r>
          </w:p>
        </w:tc>
        <w:tc>
          <w:tcPr>
            <w:tcW w:w="6207" w:type="dxa"/>
          </w:tcPr>
          <w:p w:rsidR="004D31C3" w:rsidRPr="00DE7FE1" w:rsidRDefault="00E22646" w:rsidP="00EF5F47">
            <w:r>
              <w:t>serious adverse event</w:t>
            </w:r>
          </w:p>
        </w:tc>
      </w:tr>
      <w:tr w:rsidR="004D31C3" w:rsidRPr="00FD119B" w:rsidTr="004D31C3">
        <w:tc>
          <w:tcPr>
            <w:tcW w:w="2513" w:type="dxa"/>
          </w:tcPr>
          <w:p w:rsidR="004D31C3" w:rsidRPr="00DE7FE1" w:rsidRDefault="004D31C3" w:rsidP="00EF5F47">
            <w:r w:rsidRPr="00DE7FE1">
              <w:t>SBR</w:t>
            </w:r>
          </w:p>
        </w:tc>
        <w:tc>
          <w:tcPr>
            <w:tcW w:w="6207" w:type="dxa"/>
          </w:tcPr>
          <w:p w:rsidR="004D31C3" w:rsidRPr="00DE7FE1" w:rsidRDefault="00E22646" w:rsidP="00EF5F47">
            <w:r>
              <w:t>staying on a baseline regimen</w:t>
            </w:r>
          </w:p>
        </w:tc>
      </w:tr>
      <w:tr w:rsidR="004D31C3" w:rsidRPr="00FD119B" w:rsidTr="004D31C3">
        <w:tc>
          <w:tcPr>
            <w:tcW w:w="2513" w:type="dxa"/>
          </w:tcPr>
          <w:p w:rsidR="004D31C3" w:rsidRPr="00DE7FE1" w:rsidRDefault="004D31C3" w:rsidP="00EF5F47">
            <w:r>
              <w:t>SD</w:t>
            </w:r>
          </w:p>
        </w:tc>
        <w:tc>
          <w:tcPr>
            <w:tcW w:w="6207" w:type="dxa"/>
          </w:tcPr>
          <w:p w:rsidR="004D31C3" w:rsidRPr="00DE7FE1" w:rsidRDefault="004D31C3" w:rsidP="00EF5F47">
            <w:r w:rsidRPr="00DE7FE1">
              <w:t>standard deviati</w:t>
            </w:r>
            <w:r w:rsidR="00E22646">
              <w:t>on</w:t>
            </w:r>
          </w:p>
        </w:tc>
      </w:tr>
      <w:tr w:rsidR="004D31C3" w:rsidRPr="00FD119B" w:rsidTr="004D31C3">
        <w:tc>
          <w:tcPr>
            <w:tcW w:w="2513" w:type="dxa"/>
          </w:tcPr>
          <w:p w:rsidR="004D31C3" w:rsidRPr="00500D57" w:rsidRDefault="004D31C3" w:rsidP="00EF5F47">
            <w:r w:rsidRPr="00500D57">
              <w:t>STB</w:t>
            </w:r>
          </w:p>
        </w:tc>
        <w:tc>
          <w:tcPr>
            <w:tcW w:w="6207" w:type="dxa"/>
          </w:tcPr>
          <w:p w:rsidR="004D31C3" w:rsidRPr="00500D57" w:rsidRDefault="004D31C3" w:rsidP="00EF5F47">
            <w:r w:rsidRPr="00500D57">
              <w:t>elvitegravir/cobicistat/emtricitabine/tenofovir disoproxil fumarate</w:t>
            </w:r>
            <w:r>
              <w:t>;</w:t>
            </w:r>
            <w:r w:rsidR="00E22646">
              <w:t xml:space="preserve"> Stribild</w:t>
            </w:r>
          </w:p>
        </w:tc>
      </w:tr>
      <w:tr w:rsidR="004D31C3" w:rsidRPr="00FD119B" w:rsidTr="004D31C3">
        <w:tc>
          <w:tcPr>
            <w:tcW w:w="2513" w:type="dxa"/>
          </w:tcPr>
          <w:p w:rsidR="004D31C3" w:rsidRPr="00500D57" w:rsidRDefault="004D31C3" w:rsidP="00EF5F47">
            <w:r w:rsidRPr="00500D57">
              <w:lastRenderedPageBreak/>
              <w:t>STR</w:t>
            </w:r>
          </w:p>
        </w:tc>
        <w:tc>
          <w:tcPr>
            <w:tcW w:w="6207" w:type="dxa"/>
          </w:tcPr>
          <w:p w:rsidR="004D31C3" w:rsidRPr="00500D57" w:rsidRDefault="004D31C3" w:rsidP="00EF5F47">
            <w:r w:rsidRPr="00500D57">
              <w:t>Single</w:t>
            </w:r>
            <w:r>
              <w:t xml:space="preserve"> </w:t>
            </w:r>
            <w:r w:rsidR="00E22646">
              <w:t>tablet regimen</w:t>
            </w:r>
          </w:p>
        </w:tc>
      </w:tr>
      <w:tr w:rsidR="004D31C3" w:rsidRPr="00FD119B" w:rsidTr="004D31C3">
        <w:tc>
          <w:tcPr>
            <w:tcW w:w="2513" w:type="dxa"/>
          </w:tcPr>
          <w:p w:rsidR="004D31C3" w:rsidRPr="00500D57" w:rsidRDefault="004D31C3" w:rsidP="00EF5F47">
            <w:r w:rsidRPr="00500D57">
              <w:t>TDF</w:t>
            </w:r>
          </w:p>
        </w:tc>
        <w:tc>
          <w:tcPr>
            <w:tcW w:w="6207" w:type="dxa"/>
          </w:tcPr>
          <w:p w:rsidR="004D31C3" w:rsidRPr="00500D57" w:rsidRDefault="004D31C3" w:rsidP="00EF5F47">
            <w:proofErr w:type="spellStart"/>
            <w:r w:rsidRPr="00500D57">
              <w:t>tenofovir</w:t>
            </w:r>
            <w:proofErr w:type="spellEnd"/>
            <w:r w:rsidRPr="00500D57">
              <w:t xml:space="preserve"> </w:t>
            </w:r>
            <w:proofErr w:type="spellStart"/>
            <w:r w:rsidRPr="00500D57">
              <w:t>disoproxil</w:t>
            </w:r>
            <w:proofErr w:type="spellEnd"/>
            <w:r w:rsidRPr="00500D57">
              <w:t xml:space="preserve"> </w:t>
            </w:r>
            <w:proofErr w:type="spellStart"/>
            <w:r w:rsidRPr="00500D57">
              <w:t>fumarate</w:t>
            </w:r>
            <w:proofErr w:type="spellEnd"/>
            <w:r>
              <w:t>;</w:t>
            </w:r>
            <w:r w:rsidRPr="00500D57">
              <w:t xml:space="preserve"> </w:t>
            </w:r>
            <w:proofErr w:type="spellStart"/>
            <w:r w:rsidRPr="00500D57">
              <w:t>tenofovir</w:t>
            </w:r>
            <w:proofErr w:type="spellEnd"/>
            <w:r w:rsidRPr="00500D57">
              <w:t xml:space="preserve"> DF</w:t>
            </w:r>
            <w:r>
              <w:t>;</w:t>
            </w:r>
            <w:r w:rsidR="00E22646">
              <w:t xml:space="preserve"> </w:t>
            </w:r>
            <w:proofErr w:type="spellStart"/>
            <w:r w:rsidR="00E22646">
              <w:t>Viread</w:t>
            </w:r>
            <w:proofErr w:type="spellEnd"/>
          </w:p>
        </w:tc>
      </w:tr>
      <w:tr w:rsidR="004D31C3" w:rsidRPr="00FD119B" w:rsidTr="004D31C3">
        <w:tc>
          <w:tcPr>
            <w:tcW w:w="2513" w:type="dxa"/>
          </w:tcPr>
          <w:p w:rsidR="004D31C3" w:rsidRPr="00500D57" w:rsidRDefault="004D31C3" w:rsidP="00EF5F47">
            <w:r w:rsidRPr="00500D57">
              <w:t>TVR</w:t>
            </w:r>
          </w:p>
        </w:tc>
        <w:tc>
          <w:tcPr>
            <w:tcW w:w="6207" w:type="dxa"/>
          </w:tcPr>
          <w:p w:rsidR="004D31C3" w:rsidRPr="00500D57" w:rsidRDefault="00E22646" w:rsidP="00EF5F47">
            <w:r>
              <w:t>telaprevir</w:t>
            </w:r>
          </w:p>
        </w:tc>
      </w:tr>
      <w:tr w:rsidR="004D31C3" w:rsidRPr="00FD119B" w:rsidTr="004D31C3">
        <w:tc>
          <w:tcPr>
            <w:tcW w:w="2513" w:type="dxa"/>
          </w:tcPr>
          <w:p w:rsidR="004D31C3" w:rsidRPr="00500D57" w:rsidRDefault="004D31C3" w:rsidP="00EF5F47">
            <w:r>
              <w:t>US</w:t>
            </w:r>
            <w:r w:rsidR="00CC0642">
              <w:t>A</w:t>
            </w:r>
          </w:p>
        </w:tc>
        <w:tc>
          <w:tcPr>
            <w:tcW w:w="6207" w:type="dxa"/>
          </w:tcPr>
          <w:p w:rsidR="004D31C3" w:rsidRPr="00500D57" w:rsidRDefault="00E22646" w:rsidP="00EF5F47">
            <w:r>
              <w:t>United States</w:t>
            </w:r>
            <w:r w:rsidR="00CC0642">
              <w:t xml:space="preserve"> of America</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481583618"/>
      <w:r>
        <w:lastRenderedPageBreak/>
        <w:t>I.</w:t>
      </w:r>
      <w:r w:rsidR="008E7846">
        <w:t xml:space="preserve"> Introduction to product submission</w:t>
      </w:r>
      <w:bookmarkEnd w:id="8"/>
      <w:bookmarkEnd w:id="0"/>
      <w:bookmarkEnd w:id="2"/>
    </w:p>
    <w:p w:rsidR="008E7846" w:rsidRDefault="008E7846" w:rsidP="008E7846">
      <w:pPr>
        <w:pStyle w:val="Heading3"/>
        <w:rPr>
          <w:lang w:eastAsia="en-AU"/>
        </w:rPr>
      </w:pPr>
      <w:bookmarkStart w:id="9" w:name="_Toc247691502"/>
      <w:bookmarkStart w:id="10" w:name="_Toc314842483"/>
      <w:bookmarkStart w:id="11" w:name="_Toc481583619"/>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2745E5">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262489" w:rsidRPr="00C62A3F" w:rsidRDefault="0091625D" w:rsidP="00262489">
            <w:r>
              <w:t>Extension of Indications</w:t>
            </w:r>
          </w:p>
          <w:p w:rsidR="008E7846" w:rsidRPr="003D1E62" w:rsidRDefault="008E7846" w:rsidP="001B5C90">
            <w:r w:rsidRPr="003D1E62">
              <w:t xml:space="preserve">.g. New </w:t>
            </w:r>
            <w:r w:rsidR="001B5C90">
              <w:t>c</w:t>
            </w:r>
            <w:r w:rsidRPr="003D1E62">
              <w:t xml:space="preserve">hemical </w:t>
            </w:r>
            <w:r w:rsidR="001B5C90">
              <w:t>e</w:t>
            </w:r>
            <w:r w:rsidRPr="003D1E62">
              <w:t xml:space="preserve">ntity / </w:t>
            </w:r>
            <w:r w:rsidR="001B5C90">
              <w:t>m</w:t>
            </w:r>
            <w:r w:rsidRPr="003D1E62">
              <w:t xml:space="preserve">ajor </w:t>
            </w:r>
            <w:r w:rsidR="001B5C90">
              <w:t>v</w:t>
            </w:r>
            <w:r w:rsidRPr="003D1E62">
              <w:t>ariation (</w:t>
            </w:r>
            <w:r w:rsidR="001B5C90">
              <w:t>n</w:t>
            </w:r>
            <w:r w:rsidRPr="003D1E62">
              <w:t xml:space="preserve">ew </w:t>
            </w:r>
            <w:r w:rsidR="001B5C90">
              <w:t>s</w:t>
            </w:r>
            <w:r w:rsidRPr="003D1E62">
              <w:t>trength)</w:t>
            </w:r>
          </w:p>
        </w:tc>
      </w:tr>
      <w:tr w:rsidR="008E7846" w:rsidRPr="003D1E62" w:rsidTr="002745E5">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262489" w:rsidP="00262489">
            <w:r>
              <w:t>Approved</w:t>
            </w:r>
          </w:p>
        </w:tc>
      </w:tr>
      <w:tr w:rsidR="008E7846" w:rsidRPr="003D1E62" w:rsidTr="002745E5">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262489" w:rsidP="00262489">
            <w:r>
              <w:t>1 July 2015</w:t>
            </w:r>
          </w:p>
        </w:tc>
      </w:tr>
      <w:tr w:rsidR="00ED2922" w:rsidRPr="003D1E62" w:rsidTr="002745E5">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Default="0091625D" w:rsidP="0091625D">
            <w:r>
              <w:t>17 July 2015 (for decision) 22/2/13</w:t>
            </w:r>
          </w:p>
          <w:p w:rsidR="0091625D" w:rsidRDefault="0091625D" w:rsidP="0091625D"/>
          <w:p w:rsidR="0091625D" w:rsidRPr="00441C3F" w:rsidRDefault="0091625D" w:rsidP="0091625D">
            <w:pPr>
              <w:rPr>
                <w:i/>
              </w:rPr>
            </w:pPr>
          </w:p>
        </w:tc>
      </w:tr>
      <w:tr w:rsidR="008E7846" w:rsidRPr="00487162" w:rsidTr="002745E5">
        <w:trPr>
          <w:gridAfter w:val="1"/>
          <w:wAfter w:w="283" w:type="dxa"/>
        </w:trPr>
        <w:tc>
          <w:tcPr>
            <w:tcW w:w="2907" w:type="dxa"/>
          </w:tcPr>
          <w:p w:rsidR="008E7846" w:rsidRPr="00487162" w:rsidRDefault="001B5C90" w:rsidP="001D5999">
            <w:pPr>
              <w:rPr>
                <w:i/>
              </w:rPr>
            </w:pPr>
            <w:r>
              <w:rPr>
                <w:i/>
              </w:rPr>
              <w:t>Active ingredients:</w:t>
            </w:r>
          </w:p>
        </w:tc>
        <w:tc>
          <w:tcPr>
            <w:tcW w:w="6307" w:type="dxa"/>
          </w:tcPr>
          <w:p w:rsidR="008E7846" w:rsidRPr="00487162" w:rsidRDefault="00080CEB" w:rsidP="00262489">
            <w:proofErr w:type="spellStart"/>
            <w:r>
              <w:t>T</w:t>
            </w:r>
            <w:r w:rsidR="006A6FE0">
              <w:t>enofovir</w:t>
            </w:r>
            <w:proofErr w:type="spellEnd"/>
            <w:r w:rsidR="006A6FE0">
              <w:t xml:space="preserve"> </w:t>
            </w:r>
            <w:proofErr w:type="spellStart"/>
            <w:r w:rsidR="006A6FE0">
              <w:t>disoproxil</w:t>
            </w:r>
            <w:proofErr w:type="spellEnd"/>
            <w:r w:rsidR="006A6FE0">
              <w:t xml:space="preserve"> </w:t>
            </w:r>
            <w:proofErr w:type="spellStart"/>
            <w:r w:rsidR="006A6FE0">
              <w:t>fumarate</w:t>
            </w:r>
            <w:proofErr w:type="spellEnd"/>
            <w:r w:rsidR="006A6FE0">
              <w:t xml:space="preserve"> / </w:t>
            </w:r>
            <w:bookmarkStart w:id="12" w:name="_GoBack"/>
            <w:bookmarkEnd w:id="12"/>
            <w:proofErr w:type="spellStart"/>
            <w:r>
              <w:t>E</w:t>
            </w:r>
            <w:r w:rsidR="00BE6284">
              <w:t>mtricitabine</w:t>
            </w:r>
            <w:proofErr w:type="spellEnd"/>
            <w:r w:rsidR="00BE6284">
              <w:t xml:space="preserve"> / </w:t>
            </w:r>
            <w:proofErr w:type="spellStart"/>
            <w:r>
              <w:t>E</w:t>
            </w:r>
            <w:r w:rsidR="00262489">
              <w:t>lvitegravir</w:t>
            </w:r>
            <w:proofErr w:type="spellEnd"/>
            <w:r w:rsidR="00262489">
              <w:t xml:space="preserve"> </w:t>
            </w:r>
            <w:r w:rsidR="00BE6284">
              <w:t>/</w:t>
            </w:r>
            <w:r w:rsidR="00262489">
              <w:t xml:space="preserve"> </w:t>
            </w:r>
            <w:proofErr w:type="spellStart"/>
            <w:r>
              <w:t>C</w:t>
            </w:r>
            <w:r w:rsidR="00262489">
              <w:t>obicistat</w:t>
            </w:r>
            <w:proofErr w:type="spellEnd"/>
          </w:p>
        </w:tc>
      </w:tr>
      <w:tr w:rsidR="008E7846" w:rsidRPr="00487162" w:rsidTr="002745E5">
        <w:trPr>
          <w:gridAfter w:val="1"/>
          <w:wAfter w:w="283" w:type="dxa"/>
        </w:trPr>
        <w:tc>
          <w:tcPr>
            <w:tcW w:w="2907" w:type="dxa"/>
          </w:tcPr>
          <w:p w:rsidR="008E7846" w:rsidRPr="00487162" w:rsidRDefault="008E7846" w:rsidP="001D5999">
            <w:pPr>
              <w:rPr>
                <w:i/>
              </w:rPr>
            </w:pPr>
            <w:r w:rsidRPr="00487162">
              <w:rPr>
                <w:i/>
              </w:rPr>
              <w:t>Product</w:t>
            </w:r>
            <w:r w:rsidR="001B5C90">
              <w:rPr>
                <w:i/>
              </w:rPr>
              <w:t xml:space="preserve"> name:</w:t>
            </w:r>
          </w:p>
        </w:tc>
        <w:tc>
          <w:tcPr>
            <w:tcW w:w="6307" w:type="dxa"/>
          </w:tcPr>
          <w:p w:rsidR="008E7846" w:rsidRPr="00487162" w:rsidRDefault="00262489" w:rsidP="00262489">
            <w:r>
              <w:t>Stribild</w:t>
            </w:r>
          </w:p>
        </w:tc>
      </w:tr>
      <w:tr w:rsidR="008E7846" w:rsidRPr="00487162" w:rsidTr="002745E5">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262489" w:rsidP="00E45619">
            <w:r>
              <w:t>Gilead Sciences Pty Ltd</w:t>
            </w:r>
          </w:p>
          <w:p w:rsidR="00262489" w:rsidRDefault="00262489" w:rsidP="00E45619">
            <w:r>
              <w:t>Level 6/147 St Kilda Road</w:t>
            </w:r>
          </w:p>
          <w:p w:rsidR="00262489" w:rsidRPr="00487162" w:rsidRDefault="00262489" w:rsidP="00E45619">
            <w:r>
              <w:t>MELBOURNE</w:t>
            </w:r>
            <w:r w:rsidR="003618A7">
              <w:t xml:space="preserve"> </w:t>
            </w:r>
            <w:r>
              <w:t>VIC</w:t>
            </w:r>
            <w:r w:rsidR="003618A7">
              <w:t xml:space="preserve"> </w:t>
            </w:r>
            <w:r>
              <w:t>3004</w:t>
            </w:r>
          </w:p>
        </w:tc>
      </w:tr>
      <w:tr w:rsidR="008E7846" w:rsidRPr="00487162" w:rsidTr="002745E5">
        <w:trPr>
          <w:gridAfter w:val="1"/>
          <w:wAfter w:w="283" w:type="dxa"/>
        </w:trPr>
        <w:tc>
          <w:tcPr>
            <w:tcW w:w="2907" w:type="dxa"/>
          </w:tcPr>
          <w:p w:rsidR="008E7846" w:rsidRPr="00487162" w:rsidRDefault="001B5C90" w:rsidP="001D5999">
            <w:pPr>
              <w:rPr>
                <w:i/>
              </w:rPr>
            </w:pPr>
            <w:r>
              <w:rPr>
                <w:i/>
              </w:rPr>
              <w:t>Dose form:</w:t>
            </w:r>
          </w:p>
        </w:tc>
        <w:tc>
          <w:tcPr>
            <w:tcW w:w="6307" w:type="dxa"/>
          </w:tcPr>
          <w:p w:rsidR="008E7846" w:rsidRPr="00487162" w:rsidRDefault="0091625D" w:rsidP="0091625D">
            <w:r>
              <w:t>Tablet</w:t>
            </w:r>
          </w:p>
        </w:tc>
      </w:tr>
      <w:tr w:rsidR="008E7846" w:rsidRPr="00487162" w:rsidTr="002745E5">
        <w:trPr>
          <w:gridAfter w:val="1"/>
          <w:wAfter w:w="283" w:type="dxa"/>
        </w:trPr>
        <w:tc>
          <w:tcPr>
            <w:tcW w:w="2907" w:type="dxa"/>
          </w:tcPr>
          <w:p w:rsidR="008E7846" w:rsidRPr="00487162" w:rsidRDefault="008E7846" w:rsidP="001D5999">
            <w:pPr>
              <w:rPr>
                <w:i/>
              </w:rPr>
            </w:pPr>
            <w:r w:rsidRPr="00487162">
              <w:rPr>
                <w:i/>
              </w:rPr>
              <w:t xml:space="preserve">Strength: </w:t>
            </w:r>
          </w:p>
        </w:tc>
        <w:tc>
          <w:tcPr>
            <w:tcW w:w="6307" w:type="dxa"/>
          </w:tcPr>
          <w:p w:rsidR="0091625D" w:rsidRDefault="0091625D" w:rsidP="00E45619">
            <w:r>
              <w:t>Each tablet contains:</w:t>
            </w:r>
          </w:p>
          <w:p w:rsidR="008E7846" w:rsidRPr="00487162" w:rsidRDefault="0091625D" w:rsidP="00B918B1">
            <w:r>
              <w:t xml:space="preserve">300 mg tenofovir </w:t>
            </w:r>
            <w:r w:rsidR="00B918B1">
              <w:t>disoproxil fumarate</w:t>
            </w:r>
            <w:r>
              <w:t>; 200 mg emtricitabine;</w:t>
            </w:r>
            <w:r w:rsidR="00B918B1">
              <w:t xml:space="preserve"> 150 mg of elvitegravir and 150 </w:t>
            </w:r>
            <w:r>
              <w:t>mg of cobicistat</w:t>
            </w:r>
          </w:p>
        </w:tc>
      </w:tr>
      <w:tr w:rsidR="008E7846" w:rsidRPr="00487162" w:rsidTr="002745E5">
        <w:trPr>
          <w:gridAfter w:val="1"/>
          <w:wAfter w:w="283" w:type="dxa"/>
        </w:trPr>
        <w:tc>
          <w:tcPr>
            <w:tcW w:w="2907" w:type="dxa"/>
          </w:tcPr>
          <w:p w:rsidR="008E7846" w:rsidRPr="00487162" w:rsidRDefault="009744ED" w:rsidP="00E45619">
            <w:pPr>
              <w:rPr>
                <w:i/>
              </w:rPr>
            </w:pPr>
            <w:r>
              <w:rPr>
                <w:i/>
              </w:rPr>
              <w:t>Container</w:t>
            </w:r>
            <w:r w:rsidR="008E7846" w:rsidRPr="00487162">
              <w:rPr>
                <w:i/>
              </w:rPr>
              <w:t>:</w:t>
            </w:r>
          </w:p>
        </w:tc>
        <w:tc>
          <w:tcPr>
            <w:tcW w:w="6307" w:type="dxa"/>
          </w:tcPr>
          <w:p w:rsidR="008E7846" w:rsidRPr="00487162" w:rsidRDefault="009744ED" w:rsidP="00E45619">
            <w:r>
              <w:t>Bottle</w:t>
            </w:r>
          </w:p>
        </w:tc>
      </w:tr>
      <w:tr w:rsidR="008E7846" w:rsidRPr="00487162" w:rsidTr="002745E5">
        <w:trPr>
          <w:gridAfter w:val="1"/>
          <w:wAfter w:w="283" w:type="dxa"/>
        </w:trPr>
        <w:tc>
          <w:tcPr>
            <w:tcW w:w="2907" w:type="dxa"/>
          </w:tcPr>
          <w:p w:rsidR="008E7846" w:rsidRPr="00487162" w:rsidRDefault="008E7846" w:rsidP="001D5999">
            <w:pPr>
              <w:rPr>
                <w:i/>
              </w:rPr>
            </w:pPr>
            <w:r w:rsidRPr="00487162">
              <w:rPr>
                <w:i/>
              </w:rPr>
              <w:t>Pack size:</w:t>
            </w:r>
          </w:p>
        </w:tc>
        <w:tc>
          <w:tcPr>
            <w:tcW w:w="6307" w:type="dxa"/>
          </w:tcPr>
          <w:p w:rsidR="008E7846" w:rsidRPr="00487162" w:rsidRDefault="0091625D" w:rsidP="00433AE0">
            <w:r>
              <w:t>30 tablets</w:t>
            </w:r>
          </w:p>
        </w:tc>
      </w:tr>
      <w:tr w:rsidR="008E7846" w:rsidRPr="00487162" w:rsidTr="002745E5">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AA78D9" w:rsidRPr="00AA78D9" w:rsidRDefault="00AA78D9" w:rsidP="00AA78D9">
            <w:pPr>
              <w:rPr>
                <w:i/>
              </w:rPr>
            </w:pPr>
            <w:r w:rsidRPr="00AA78D9">
              <w:rPr>
                <w:i/>
              </w:rPr>
              <w:t>Stribild is indicated as a single tablet regimen for the treatment of HIV infection in treatment-naive adults. Stribild is also indicated in certain virologically suppressed (</w:t>
            </w:r>
            <w:r w:rsidR="00C24354" w:rsidRPr="00AA78D9">
              <w:rPr>
                <w:i/>
              </w:rPr>
              <w:t>HIV</w:t>
            </w:r>
            <w:r w:rsidR="00C24354">
              <w:rPr>
                <w:i/>
              </w:rPr>
              <w:t>1</w:t>
            </w:r>
            <w:r w:rsidRPr="00AA78D9">
              <w:rPr>
                <w:i/>
              </w:rPr>
              <w:t>RNA &lt; 50 copies/mL) adult patients on a stable antiretroviral regimen at start of therapy in order to replace their current antiretroviral treatment regimen (see Clinical Trials). Patients must not have a history of treatment failure or known mutations associated with resistance to the antiretroviral components of Stribild (tenofovir DF, emtricitabine or elvitegravir).</w:t>
            </w:r>
          </w:p>
          <w:p w:rsidR="001D5999" w:rsidRPr="00AA78D9" w:rsidRDefault="00AA78D9" w:rsidP="00C24354">
            <w:r w:rsidRPr="00AA78D9">
              <w:rPr>
                <w:i/>
              </w:rPr>
              <w:t xml:space="preserve">Stribild is a fixed dose combination of one integrase inhibitor, one pharmacokinetic enhancer and two </w:t>
            </w:r>
            <w:proofErr w:type="spellStart"/>
            <w:proofErr w:type="gramStart"/>
            <w:r w:rsidRPr="00AA78D9">
              <w:rPr>
                <w:i/>
              </w:rPr>
              <w:t>nucleos</w:t>
            </w:r>
            <w:proofErr w:type="spellEnd"/>
            <w:r w:rsidRPr="00AA78D9">
              <w:rPr>
                <w:i/>
              </w:rPr>
              <w:t>(</w:t>
            </w:r>
            <w:proofErr w:type="gramEnd"/>
            <w:r w:rsidRPr="00AA78D9">
              <w:rPr>
                <w:i/>
              </w:rPr>
              <w:t>t)ide HIV-</w:t>
            </w:r>
            <w:r w:rsidR="00C24354">
              <w:rPr>
                <w:i/>
              </w:rPr>
              <w:t>1</w:t>
            </w:r>
            <w:r w:rsidR="00C24354" w:rsidRPr="00AA78D9">
              <w:rPr>
                <w:i/>
              </w:rPr>
              <w:t xml:space="preserve"> </w:t>
            </w:r>
            <w:r w:rsidRPr="00AA78D9">
              <w:rPr>
                <w:i/>
              </w:rPr>
              <w:t>reverse transcriptase inhibitors.</w:t>
            </w:r>
          </w:p>
        </w:tc>
      </w:tr>
      <w:tr w:rsidR="008E7846" w:rsidRPr="00487162" w:rsidTr="002745E5">
        <w:trPr>
          <w:gridAfter w:val="1"/>
          <w:wAfter w:w="283" w:type="dxa"/>
        </w:trPr>
        <w:tc>
          <w:tcPr>
            <w:tcW w:w="2907" w:type="dxa"/>
          </w:tcPr>
          <w:p w:rsidR="008E7846" w:rsidRPr="00487162" w:rsidRDefault="008E7846" w:rsidP="001D5999">
            <w:pPr>
              <w:rPr>
                <w:i/>
              </w:rPr>
            </w:pPr>
            <w:r w:rsidRPr="00487162">
              <w:rPr>
                <w:i/>
              </w:rPr>
              <w:t>Route of administration:</w:t>
            </w:r>
          </w:p>
        </w:tc>
        <w:tc>
          <w:tcPr>
            <w:tcW w:w="6307" w:type="dxa"/>
          </w:tcPr>
          <w:p w:rsidR="008E7846" w:rsidRPr="00487162" w:rsidRDefault="001D5999" w:rsidP="001D5999">
            <w:r>
              <w:t>Oral</w:t>
            </w:r>
          </w:p>
        </w:tc>
      </w:tr>
      <w:tr w:rsidR="008E7846" w:rsidRPr="00487162" w:rsidTr="002745E5">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D5999" w:rsidP="001D5999">
            <w:r>
              <w:t>1 tablet daily</w:t>
            </w:r>
          </w:p>
        </w:tc>
      </w:tr>
      <w:tr w:rsidR="008E7846" w:rsidRPr="00487162" w:rsidTr="002745E5">
        <w:trPr>
          <w:gridAfter w:val="1"/>
          <w:wAfter w:w="283" w:type="dxa"/>
        </w:trPr>
        <w:tc>
          <w:tcPr>
            <w:tcW w:w="2907" w:type="dxa"/>
          </w:tcPr>
          <w:p w:rsidR="008E7846" w:rsidRPr="00487162" w:rsidRDefault="008E7846" w:rsidP="001D5999">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1D5999" w:rsidP="001D5999">
            <w:r>
              <w:t>194081</w:t>
            </w:r>
          </w:p>
        </w:tc>
      </w:tr>
    </w:tbl>
    <w:p w:rsidR="008E7846" w:rsidRDefault="008E7846" w:rsidP="008E7846">
      <w:pPr>
        <w:pStyle w:val="Heading3"/>
      </w:pPr>
      <w:bookmarkStart w:id="13" w:name="_Toc247691503"/>
      <w:bookmarkStart w:id="14" w:name="_Toc314842484"/>
      <w:bookmarkStart w:id="15" w:name="_Toc481583620"/>
      <w:r>
        <w:lastRenderedPageBreak/>
        <w:t>Product background</w:t>
      </w:r>
      <w:bookmarkEnd w:id="13"/>
      <w:bookmarkEnd w:id="14"/>
      <w:bookmarkEnd w:id="15"/>
    </w:p>
    <w:p w:rsidR="004D31C3" w:rsidRDefault="004D31C3" w:rsidP="004D31C3">
      <w:r w:rsidRPr="004D31C3">
        <w:t>This AusPAR describes an application by Gilead Sciences Pty L</w:t>
      </w:r>
      <w:r>
        <w:t>td</w:t>
      </w:r>
      <w:r w:rsidRPr="004D31C3">
        <w:t xml:space="preserve"> to extend the indications for Stribild to include use in patients who have no known mutations associated with resistance to the individual components of Stribild.</w:t>
      </w:r>
    </w:p>
    <w:p w:rsidR="00F61B50" w:rsidRDefault="00F61B50" w:rsidP="004D31C3">
      <w:r>
        <w:t>The requested extension of indication is to (change is emphasised in bold):</w:t>
      </w:r>
    </w:p>
    <w:p w:rsidR="00F61B50" w:rsidRPr="00F61B50" w:rsidRDefault="003618A7" w:rsidP="00F61B50">
      <w:pPr>
        <w:ind w:left="720"/>
        <w:rPr>
          <w:i/>
        </w:rPr>
      </w:pPr>
      <w:r>
        <w:rPr>
          <w:i/>
        </w:rPr>
        <w:t>Stribild</w:t>
      </w:r>
      <w:r w:rsidR="00F61B50" w:rsidRPr="00F61B50">
        <w:rPr>
          <w:i/>
        </w:rPr>
        <w:t xml:space="preserve"> is indicated as a single tablet regimen for the treatment of HIV infection in </w:t>
      </w:r>
      <w:r w:rsidR="009C03A7">
        <w:rPr>
          <w:i/>
        </w:rPr>
        <w:t>treatment naive</w:t>
      </w:r>
      <w:r w:rsidR="00F61B50" w:rsidRPr="00F61B50">
        <w:rPr>
          <w:i/>
        </w:rPr>
        <w:t xml:space="preserve"> adults </w:t>
      </w:r>
      <w:r w:rsidR="00F61B50" w:rsidRPr="00F61B50">
        <w:rPr>
          <w:b/>
          <w:i/>
        </w:rPr>
        <w:t xml:space="preserve">or adults who have no known mutations associated with resistance to the individual components of </w:t>
      </w:r>
      <w:r>
        <w:rPr>
          <w:b/>
          <w:i/>
        </w:rPr>
        <w:t>Stribild</w:t>
      </w:r>
      <w:r w:rsidR="00F61B50">
        <w:rPr>
          <w:i/>
        </w:rPr>
        <w:t>.</w:t>
      </w:r>
    </w:p>
    <w:p w:rsidR="00F61B50" w:rsidRPr="00F61B50" w:rsidRDefault="003618A7" w:rsidP="00F61B50">
      <w:pPr>
        <w:ind w:left="720"/>
        <w:rPr>
          <w:i/>
        </w:rPr>
      </w:pPr>
      <w:r>
        <w:rPr>
          <w:i/>
        </w:rPr>
        <w:t>Stribild</w:t>
      </w:r>
      <w:r w:rsidR="00F61B50" w:rsidRPr="00F61B50">
        <w:rPr>
          <w:i/>
        </w:rPr>
        <w:t xml:space="preserve"> is a fixed dose combination of one integrase inhibitor, one pharmacokinetic enhancer and two </w:t>
      </w:r>
      <w:proofErr w:type="spellStart"/>
      <w:proofErr w:type="gramStart"/>
      <w:r w:rsidR="00F61B50" w:rsidRPr="00F61B50">
        <w:rPr>
          <w:i/>
        </w:rPr>
        <w:t>nucleos</w:t>
      </w:r>
      <w:proofErr w:type="spellEnd"/>
      <w:r w:rsidR="00F61B50" w:rsidRPr="00F61B50">
        <w:rPr>
          <w:i/>
        </w:rPr>
        <w:t>(</w:t>
      </w:r>
      <w:proofErr w:type="gramEnd"/>
      <w:r w:rsidR="00F61B50" w:rsidRPr="00F61B50">
        <w:rPr>
          <w:i/>
        </w:rPr>
        <w:t>t)ide HIV-1 reverse transcriptase inhibitors.</w:t>
      </w:r>
    </w:p>
    <w:p w:rsidR="003618A7" w:rsidRDefault="004D31C3" w:rsidP="004D31C3">
      <w:r w:rsidRPr="004D31C3">
        <w:t>S</w:t>
      </w:r>
      <w:r>
        <w:t xml:space="preserve">tribild </w:t>
      </w:r>
      <w:r w:rsidRPr="004D31C3">
        <w:t>is a four</w:t>
      </w:r>
      <w:r>
        <w:t xml:space="preserve"> </w:t>
      </w:r>
      <w:r w:rsidRPr="004D31C3">
        <w:t>drug combination of elvitegravir, an HIV integrase strand transfer inhibitor (HIV-1 INSTI), cobicistat, a</w:t>
      </w:r>
      <w:r w:rsidR="00E22646">
        <w:t xml:space="preserve"> cytochrome P450 (CYP)</w:t>
      </w:r>
      <w:r w:rsidRPr="004D31C3">
        <w:t xml:space="preserve"> CYP3A inhibitor, and emtricitabine and tenofovir DF, both HIV nucleoside </w:t>
      </w:r>
      <w:proofErr w:type="spellStart"/>
      <w:r w:rsidRPr="004D31C3">
        <w:t>analog</w:t>
      </w:r>
      <w:proofErr w:type="spellEnd"/>
      <w:r w:rsidRPr="004D31C3">
        <w:t xml:space="preserve"> reverse transcriptase inhibitors (HIV NRTI). S</w:t>
      </w:r>
      <w:r w:rsidR="00F24BC2">
        <w:t xml:space="preserve">tribild </w:t>
      </w:r>
      <w:r w:rsidRPr="004D31C3">
        <w:t>was registered by TGA in 2013 for the treatment of HIV infection in treatment</w:t>
      </w:r>
      <w:r w:rsidR="00F24BC2">
        <w:t xml:space="preserve"> naïve </w:t>
      </w:r>
      <w:r w:rsidRPr="004D31C3">
        <w:t>adults</w:t>
      </w:r>
      <w:r w:rsidR="003618A7">
        <w:t>.</w:t>
      </w:r>
    </w:p>
    <w:p w:rsidR="008E7846" w:rsidRPr="003F31A2" w:rsidRDefault="00386150" w:rsidP="008E7846">
      <w:pPr>
        <w:pStyle w:val="Heading3"/>
      </w:pPr>
      <w:bookmarkStart w:id="16" w:name="_Toc314842485"/>
      <w:bookmarkStart w:id="17" w:name="_Toc247691504"/>
      <w:bookmarkStart w:id="18" w:name="_Toc481583621"/>
      <w:r>
        <w:t>Regulatory s</w:t>
      </w:r>
      <w:r w:rsidR="008E7846">
        <w:t>tatus</w:t>
      </w:r>
      <w:bookmarkEnd w:id="16"/>
      <w:bookmarkEnd w:id="17"/>
      <w:bookmarkEnd w:id="18"/>
    </w:p>
    <w:p w:rsidR="00F24BC2" w:rsidRDefault="00940A89" w:rsidP="00940A89">
      <w:bookmarkStart w:id="19" w:name="_Toc247691505"/>
      <w:bookmarkStart w:id="20" w:name="_Toc314842486"/>
      <w:r w:rsidRPr="00940A89">
        <w:t>The product received initial registration on the Australian Register of Therapeutic Goods (ARTG) on</w:t>
      </w:r>
      <w:r w:rsidR="00F24BC2">
        <w:t xml:space="preserve"> 22 February 2013.</w:t>
      </w:r>
    </w:p>
    <w:p w:rsidR="00F61B50" w:rsidRDefault="00F61B50" w:rsidP="00940A89">
      <w:r>
        <w:t>At the time of this submission the approved indications for Stribild were:</w:t>
      </w:r>
    </w:p>
    <w:p w:rsidR="00F61B50" w:rsidRPr="00F61B50" w:rsidRDefault="003618A7" w:rsidP="00F61B50">
      <w:pPr>
        <w:ind w:left="720"/>
        <w:rPr>
          <w:i/>
        </w:rPr>
      </w:pPr>
      <w:r>
        <w:rPr>
          <w:i/>
        </w:rPr>
        <w:t>Stribild</w:t>
      </w:r>
      <w:r w:rsidR="00F61B50" w:rsidRPr="00F61B50">
        <w:rPr>
          <w:i/>
        </w:rPr>
        <w:t xml:space="preserve"> is indicated as a single tablet regimen for the treatment of HIV infection in </w:t>
      </w:r>
      <w:r w:rsidR="009C03A7">
        <w:rPr>
          <w:i/>
        </w:rPr>
        <w:t>treatment naive</w:t>
      </w:r>
      <w:r w:rsidR="00F61B50" w:rsidRPr="00F61B50">
        <w:rPr>
          <w:i/>
        </w:rPr>
        <w:t xml:space="preserve"> adults</w:t>
      </w:r>
    </w:p>
    <w:p w:rsidR="007957C9" w:rsidRPr="001E1A9C" w:rsidRDefault="003618A7" w:rsidP="001E1A9C">
      <w:pPr>
        <w:ind w:left="720"/>
        <w:rPr>
          <w:i/>
        </w:rPr>
      </w:pPr>
      <w:r>
        <w:rPr>
          <w:rFonts w:eastAsiaTheme="minorHAnsi" w:cs="Cambria"/>
          <w:i/>
          <w:color w:val="000000"/>
        </w:rPr>
        <w:t>Stribild</w:t>
      </w:r>
      <w:r w:rsidR="00F61B50" w:rsidRPr="00F61B50">
        <w:rPr>
          <w:rFonts w:eastAsiaTheme="minorHAnsi" w:cs="Cambria"/>
          <w:i/>
          <w:color w:val="000000"/>
        </w:rPr>
        <w:t xml:space="preserve"> is a fixed dose combination of one integrase inhibitor, one pharmacokinetic enhancer and two </w:t>
      </w:r>
      <w:proofErr w:type="spellStart"/>
      <w:proofErr w:type="gramStart"/>
      <w:r w:rsidR="00F61B50" w:rsidRPr="00F61B50">
        <w:rPr>
          <w:rFonts w:eastAsiaTheme="minorHAnsi" w:cs="Cambria"/>
          <w:i/>
          <w:color w:val="000000"/>
        </w:rPr>
        <w:t>nucleos</w:t>
      </w:r>
      <w:proofErr w:type="spellEnd"/>
      <w:r w:rsidR="00F61B50" w:rsidRPr="00F61B50">
        <w:rPr>
          <w:rFonts w:eastAsiaTheme="minorHAnsi" w:cs="Cambria"/>
          <w:i/>
          <w:color w:val="000000"/>
        </w:rPr>
        <w:t>(</w:t>
      </w:r>
      <w:proofErr w:type="gramEnd"/>
      <w:r w:rsidR="00F61B50" w:rsidRPr="00F61B50">
        <w:rPr>
          <w:rFonts w:eastAsiaTheme="minorHAnsi" w:cs="Cambria"/>
          <w:i/>
          <w:color w:val="000000"/>
        </w:rPr>
        <w:t>t)ide HIV-1 reverse transcriptase inhibitors</w:t>
      </w:r>
    </w:p>
    <w:p w:rsidR="001E1A9C" w:rsidRDefault="001E1A9C" w:rsidP="001E1A9C">
      <w:pPr>
        <w:pStyle w:val="Heading4"/>
      </w:pPr>
      <w:r>
        <w:t>Overseas status</w:t>
      </w:r>
    </w:p>
    <w:p w:rsidR="003618A7" w:rsidRDefault="007957C9" w:rsidP="007957C9">
      <w:r w:rsidRPr="007957C9">
        <w:t xml:space="preserve">The application had been submitted to </w:t>
      </w:r>
      <w:r w:rsidR="00CC0642">
        <w:t>United States</w:t>
      </w:r>
      <w:r w:rsidR="00CC0642" w:rsidRPr="007957C9">
        <w:t xml:space="preserve"> </w:t>
      </w:r>
      <w:r w:rsidR="00CC0642">
        <w:t>of America (</w:t>
      </w:r>
      <w:r w:rsidRPr="007957C9">
        <w:t>US</w:t>
      </w:r>
      <w:r w:rsidR="00CC0642">
        <w:t>A)</w:t>
      </w:r>
      <w:r w:rsidRPr="007957C9">
        <w:t xml:space="preserve"> FDA and EMA, at t</w:t>
      </w:r>
      <w:r w:rsidR="001E1A9C">
        <w:t xml:space="preserve">he time of application to TGA, </w:t>
      </w:r>
      <w:r w:rsidRPr="007957C9">
        <w:t>and has subsequently been approved overseas. In USA the extension of indications has been approved with wording</w:t>
      </w:r>
    </w:p>
    <w:p w:rsidR="007957C9" w:rsidRPr="007957C9" w:rsidRDefault="007957C9" w:rsidP="001E1A9C">
      <w:pPr>
        <w:ind w:left="720"/>
      </w:pPr>
      <w:r w:rsidRPr="001E1A9C">
        <w:rPr>
          <w:i/>
        </w:rPr>
        <w:t>“</w:t>
      </w:r>
      <w:r w:rsidR="003618A7">
        <w:rPr>
          <w:i/>
        </w:rPr>
        <w:t>Stribild</w:t>
      </w:r>
      <w:r w:rsidRPr="001E1A9C">
        <w:rPr>
          <w:i/>
        </w:rPr>
        <w:t xml:space="preserve"> is a four-drug combination of elvitegravir, an HIV integrase strand transfer inhibitor (HIV-1 INSTI), cobicistat, a CYP3A inhibitor, and emtricitabine and tenofovir DF, both HIV nucleoside </w:t>
      </w:r>
      <w:proofErr w:type="spellStart"/>
      <w:r w:rsidRPr="001E1A9C">
        <w:rPr>
          <w:i/>
        </w:rPr>
        <w:t>analog</w:t>
      </w:r>
      <w:proofErr w:type="spellEnd"/>
      <w:r w:rsidRPr="001E1A9C">
        <w:rPr>
          <w:i/>
        </w:rPr>
        <w:t xml:space="preserve"> reverse transcriptase inhibitors (HIV NRTI) and is indicated as a complete regimen for the treatment of HIV-1 infection in adult patients to replace the current antiretroviral regimen in those who are </w:t>
      </w:r>
      <w:r w:rsidR="009C03A7">
        <w:rPr>
          <w:i/>
        </w:rPr>
        <w:t>virologically suppressed</w:t>
      </w:r>
      <w:r w:rsidRPr="001E1A9C">
        <w:rPr>
          <w:i/>
        </w:rPr>
        <w:t xml:space="preserve"> (HIV-1 RNA </w:t>
      </w:r>
      <w:r w:rsidR="002C3353">
        <w:rPr>
          <w:i/>
        </w:rPr>
        <w:t>&lt; 50</w:t>
      </w:r>
      <w:r w:rsidRPr="001E1A9C">
        <w:rPr>
          <w:i/>
        </w:rPr>
        <w:t xml:space="preserve"> copies/mL) on a stable antiretroviral regimen for at least 6 months with no history of treatment failure and no known substitutions associated with resistance to the individual components of </w:t>
      </w:r>
      <w:r w:rsidR="003618A7">
        <w:rPr>
          <w:i/>
        </w:rPr>
        <w:t>Stribild</w:t>
      </w:r>
      <w:r w:rsidRPr="007957C9">
        <w:t>”.</w:t>
      </w:r>
    </w:p>
    <w:p w:rsidR="003618A7" w:rsidRDefault="007957C9" w:rsidP="007957C9">
      <w:r w:rsidRPr="007957C9">
        <w:t>The EMA wording for the EOI approval is</w:t>
      </w:r>
    </w:p>
    <w:p w:rsidR="007957C9" w:rsidRPr="001E1A9C" w:rsidRDefault="00AA78D9" w:rsidP="001E1A9C">
      <w:pPr>
        <w:ind w:left="720"/>
        <w:rPr>
          <w:i/>
        </w:rPr>
      </w:pPr>
      <w:r>
        <w:rPr>
          <w:i/>
        </w:rPr>
        <w:t>“</w:t>
      </w:r>
      <w:r w:rsidR="007957C9" w:rsidRPr="001E1A9C">
        <w:rPr>
          <w:i/>
        </w:rPr>
        <w:t>Stribild is indicated for the treatment of human immunodeficiency virus-1 (HIV-1) infection in adults aged 18 years and over who are infected with HIV-1 without known mutations associated with resistance to any of the three antiretroviral agents in Stribild”.</w:t>
      </w:r>
    </w:p>
    <w:p w:rsidR="00F24BC2" w:rsidRDefault="00AB270C" w:rsidP="00AB270C">
      <w:r>
        <w:t>At t</w:t>
      </w:r>
      <w:r w:rsidR="00940A89" w:rsidRPr="00940A89">
        <w:t xml:space="preserve">he time the TGA considered this application, </w:t>
      </w:r>
      <w:r>
        <w:t xml:space="preserve">the international regulatory status </w:t>
      </w:r>
      <w:r w:rsidR="001E1A9C">
        <w:t>was as shown in Table 1.</w:t>
      </w:r>
    </w:p>
    <w:p w:rsidR="00AB270C" w:rsidRDefault="00AB270C" w:rsidP="00C115F1">
      <w:pPr>
        <w:pStyle w:val="TableTitle"/>
        <w:keepLines/>
      </w:pPr>
      <w:r>
        <w:lastRenderedPageBreak/>
        <w:t>Table 1: Interna</w:t>
      </w:r>
      <w:r w:rsidR="00B918B1">
        <w:t>tiona</w:t>
      </w:r>
      <w:r>
        <w:t xml:space="preserve">l </w:t>
      </w:r>
      <w:r w:rsidR="00B918B1">
        <w:t>regulatory status of Stribild tablets</w:t>
      </w:r>
    </w:p>
    <w:tbl>
      <w:tblPr>
        <w:tblStyle w:val="TableTGAblue"/>
        <w:tblW w:w="8512" w:type="dxa"/>
        <w:tblLayout w:type="fixed"/>
        <w:tblLook w:val="04A0" w:firstRow="1" w:lastRow="0" w:firstColumn="1" w:lastColumn="0" w:noHBand="0" w:noVBand="1"/>
      </w:tblPr>
      <w:tblGrid>
        <w:gridCol w:w="1282"/>
        <w:gridCol w:w="1532"/>
        <w:gridCol w:w="1399"/>
        <w:gridCol w:w="4299"/>
      </w:tblGrid>
      <w:tr w:rsidR="00AB270C" w:rsidRPr="002745E5" w:rsidTr="009A5E39">
        <w:trPr>
          <w:cnfStyle w:val="100000000000" w:firstRow="1" w:lastRow="0" w:firstColumn="0" w:lastColumn="0" w:oddVBand="0" w:evenVBand="0" w:oddHBand="0" w:evenHBand="0" w:firstRowFirstColumn="0" w:firstRowLastColumn="0" w:lastRowFirstColumn="0" w:lastRowLastColumn="0"/>
          <w:trHeight w:val="751"/>
        </w:trPr>
        <w:tc>
          <w:tcPr>
            <w:tcW w:w="1282" w:type="dxa"/>
          </w:tcPr>
          <w:p w:rsidR="00AB270C" w:rsidRPr="002745E5" w:rsidRDefault="00AB270C" w:rsidP="002745E5">
            <w:pPr>
              <w:ind w:right="0"/>
              <w:rPr>
                <w:sz w:val="20"/>
                <w:szCs w:val="20"/>
              </w:rPr>
            </w:pPr>
            <w:r w:rsidRPr="002745E5">
              <w:rPr>
                <w:sz w:val="20"/>
                <w:szCs w:val="20"/>
              </w:rPr>
              <w:t>Country</w:t>
            </w:r>
          </w:p>
        </w:tc>
        <w:tc>
          <w:tcPr>
            <w:tcW w:w="1532" w:type="dxa"/>
          </w:tcPr>
          <w:p w:rsidR="00AB270C" w:rsidRPr="002745E5" w:rsidRDefault="00AB270C" w:rsidP="002745E5">
            <w:pPr>
              <w:ind w:left="136" w:right="46"/>
              <w:rPr>
                <w:sz w:val="20"/>
                <w:szCs w:val="20"/>
              </w:rPr>
            </w:pPr>
            <w:r w:rsidRPr="002745E5">
              <w:rPr>
                <w:sz w:val="20"/>
                <w:szCs w:val="20"/>
              </w:rPr>
              <w:t>Submission Date</w:t>
            </w:r>
          </w:p>
        </w:tc>
        <w:tc>
          <w:tcPr>
            <w:tcW w:w="1399" w:type="dxa"/>
          </w:tcPr>
          <w:p w:rsidR="00AB270C" w:rsidRPr="002745E5" w:rsidRDefault="00AB270C" w:rsidP="002745E5">
            <w:pPr>
              <w:ind w:left="21" w:right="28"/>
              <w:rPr>
                <w:sz w:val="20"/>
                <w:szCs w:val="20"/>
              </w:rPr>
            </w:pPr>
            <w:r w:rsidRPr="002745E5">
              <w:rPr>
                <w:sz w:val="20"/>
                <w:szCs w:val="20"/>
              </w:rPr>
              <w:t>Approval Date</w:t>
            </w:r>
          </w:p>
        </w:tc>
        <w:tc>
          <w:tcPr>
            <w:tcW w:w="4299" w:type="dxa"/>
          </w:tcPr>
          <w:p w:rsidR="00AB270C" w:rsidRPr="002745E5" w:rsidRDefault="00AB270C" w:rsidP="002745E5">
            <w:pPr>
              <w:rPr>
                <w:sz w:val="20"/>
                <w:szCs w:val="20"/>
              </w:rPr>
            </w:pPr>
            <w:r w:rsidRPr="002745E5">
              <w:rPr>
                <w:sz w:val="20"/>
                <w:szCs w:val="20"/>
              </w:rPr>
              <w:t>Approved Indication</w:t>
            </w:r>
          </w:p>
        </w:tc>
      </w:tr>
      <w:tr w:rsidR="00AB270C" w:rsidRPr="002745E5" w:rsidTr="009A5E39">
        <w:trPr>
          <w:trHeight w:val="2014"/>
        </w:trPr>
        <w:tc>
          <w:tcPr>
            <w:tcW w:w="1282" w:type="dxa"/>
          </w:tcPr>
          <w:p w:rsidR="00AB270C" w:rsidRPr="002745E5" w:rsidRDefault="009A5E39" w:rsidP="002745E5">
            <w:pPr>
              <w:ind w:right="0"/>
              <w:rPr>
                <w:sz w:val="20"/>
                <w:szCs w:val="20"/>
              </w:rPr>
            </w:pPr>
            <w:r w:rsidRPr="002745E5">
              <w:rPr>
                <w:sz w:val="20"/>
                <w:szCs w:val="20"/>
              </w:rPr>
              <w:t>European Union</w:t>
            </w:r>
          </w:p>
        </w:tc>
        <w:tc>
          <w:tcPr>
            <w:tcW w:w="1532" w:type="dxa"/>
          </w:tcPr>
          <w:p w:rsidR="00AB270C" w:rsidRPr="002745E5" w:rsidRDefault="00AB270C" w:rsidP="002745E5">
            <w:pPr>
              <w:ind w:left="136" w:right="46"/>
              <w:rPr>
                <w:sz w:val="20"/>
                <w:szCs w:val="20"/>
              </w:rPr>
            </w:pPr>
            <w:r w:rsidRPr="002745E5">
              <w:rPr>
                <w:sz w:val="20"/>
                <w:szCs w:val="20"/>
              </w:rPr>
              <w:t>6 Mar 2014</w:t>
            </w:r>
          </w:p>
        </w:tc>
        <w:tc>
          <w:tcPr>
            <w:tcW w:w="1399" w:type="dxa"/>
          </w:tcPr>
          <w:p w:rsidR="00AB270C" w:rsidRPr="002745E5" w:rsidRDefault="00AB270C" w:rsidP="002745E5">
            <w:pPr>
              <w:ind w:left="21" w:right="28"/>
              <w:rPr>
                <w:sz w:val="20"/>
                <w:szCs w:val="20"/>
              </w:rPr>
            </w:pPr>
            <w:r w:rsidRPr="002745E5">
              <w:rPr>
                <w:sz w:val="20"/>
                <w:szCs w:val="20"/>
              </w:rPr>
              <w:t>22 May 2014</w:t>
            </w:r>
          </w:p>
        </w:tc>
        <w:tc>
          <w:tcPr>
            <w:tcW w:w="4299" w:type="dxa"/>
          </w:tcPr>
          <w:p w:rsidR="00AB270C" w:rsidRPr="002745E5" w:rsidRDefault="00AB270C" w:rsidP="002745E5">
            <w:pPr>
              <w:rPr>
                <w:sz w:val="20"/>
                <w:szCs w:val="20"/>
              </w:rPr>
            </w:pPr>
            <w:r w:rsidRPr="002745E5">
              <w:rPr>
                <w:sz w:val="20"/>
                <w:szCs w:val="20"/>
              </w:rPr>
              <w:t>Stribild is indicated for the treatment of human immunodeficiency virus 1 (HIV 1) infection in adults aged 18 years and over who are antiretroviral treatment naïve or are infected with HIV 1 without known mutations associated with resistance to any of the three antiretroviral agents in Stribild.</w:t>
            </w:r>
          </w:p>
        </w:tc>
      </w:tr>
      <w:tr w:rsidR="00AB270C" w:rsidRPr="002745E5" w:rsidTr="009A5E39">
        <w:trPr>
          <w:trHeight w:val="3038"/>
        </w:trPr>
        <w:tc>
          <w:tcPr>
            <w:tcW w:w="1282" w:type="dxa"/>
          </w:tcPr>
          <w:p w:rsidR="00AB270C" w:rsidRPr="002745E5" w:rsidRDefault="00AB270C" w:rsidP="002745E5">
            <w:pPr>
              <w:ind w:right="0"/>
              <w:rPr>
                <w:sz w:val="20"/>
                <w:szCs w:val="20"/>
              </w:rPr>
            </w:pPr>
            <w:r w:rsidRPr="002745E5">
              <w:rPr>
                <w:sz w:val="20"/>
                <w:szCs w:val="20"/>
              </w:rPr>
              <w:t>USA</w:t>
            </w:r>
          </w:p>
        </w:tc>
        <w:tc>
          <w:tcPr>
            <w:tcW w:w="1532" w:type="dxa"/>
          </w:tcPr>
          <w:p w:rsidR="00AB270C" w:rsidRPr="002745E5" w:rsidRDefault="00C115F1" w:rsidP="002745E5">
            <w:pPr>
              <w:ind w:left="136" w:right="46"/>
              <w:rPr>
                <w:sz w:val="20"/>
                <w:szCs w:val="20"/>
              </w:rPr>
            </w:pPr>
            <w:r w:rsidRPr="002745E5">
              <w:rPr>
                <w:sz w:val="20"/>
                <w:szCs w:val="20"/>
              </w:rPr>
              <w:t>20 Feb 2014</w:t>
            </w:r>
          </w:p>
        </w:tc>
        <w:tc>
          <w:tcPr>
            <w:tcW w:w="1399" w:type="dxa"/>
          </w:tcPr>
          <w:p w:rsidR="00AB270C" w:rsidRPr="002745E5" w:rsidRDefault="00C115F1" w:rsidP="002745E5">
            <w:pPr>
              <w:ind w:left="21" w:right="28"/>
              <w:rPr>
                <w:sz w:val="20"/>
                <w:szCs w:val="20"/>
              </w:rPr>
            </w:pPr>
            <w:r w:rsidRPr="002745E5">
              <w:rPr>
                <w:sz w:val="20"/>
                <w:szCs w:val="20"/>
              </w:rPr>
              <w:t>17 Dec 2014</w:t>
            </w:r>
          </w:p>
        </w:tc>
        <w:tc>
          <w:tcPr>
            <w:tcW w:w="4299" w:type="dxa"/>
          </w:tcPr>
          <w:p w:rsidR="00AB270C" w:rsidRPr="002745E5" w:rsidRDefault="00C115F1" w:rsidP="002745E5">
            <w:pPr>
              <w:rPr>
                <w:sz w:val="20"/>
                <w:szCs w:val="20"/>
              </w:rPr>
            </w:pPr>
            <w:r w:rsidRPr="002745E5">
              <w:rPr>
                <w:sz w:val="20"/>
                <w:szCs w:val="20"/>
              </w:rPr>
              <w:t xml:space="preserve">Stribild is indicated as a complete regimen for the treatment of HIV-1 infection in adult patients who have no antiretroviral treatment history or to replace the current antiretroviral regimen in those who are virologically suppressed (HIV-1 RNA </w:t>
            </w:r>
            <w:r w:rsidR="002C3353" w:rsidRPr="002745E5">
              <w:rPr>
                <w:sz w:val="20"/>
                <w:szCs w:val="20"/>
              </w:rPr>
              <w:t>&lt; 50</w:t>
            </w:r>
            <w:r w:rsidRPr="002745E5">
              <w:rPr>
                <w:sz w:val="20"/>
                <w:szCs w:val="20"/>
              </w:rPr>
              <w:t xml:space="preserve"> copies/mL) on a stable antiretroviral regimen for at least 6 months with no history of treatment failure and no known substitutions associated with resistance to the individual components of Stribild.</w:t>
            </w:r>
          </w:p>
        </w:tc>
      </w:tr>
      <w:tr w:rsidR="00AB270C" w:rsidRPr="002745E5" w:rsidTr="009A5E39">
        <w:trPr>
          <w:trHeight w:val="2526"/>
        </w:trPr>
        <w:tc>
          <w:tcPr>
            <w:tcW w:w="1282" w:type="dxa"/>
          </w:tcPr>
          <w:p w:rsidR="00AB270C" w:rsidRPr="002745E5" w:rsidRDefault="00AB270C" w:rsidP="002745E5">
            <w:pPr>
              <w:ind w:right="0"/>
              <w:rPr>
                <w:sz w:val="20"/>
                <w:szCs w:val="20"/>
              </w:rPr>
            </w:pPr>
            <w:r w:rsidRPr="002745E5">
              <w:rPr>
                <w:sz w:val="20"/>
                <w:szCs w:val="20"/>
              </w:rPr>
              <w:t>Canada</w:t>
            </w:r>
          </w:p>
        </w:tc>
        <w:tc>
          <w:tcPr>
            <w:tcW w:w="1532" w:type="dxa"/>
          </w:tcPr>
          <w:p w:rsidR="00AB270C" w:rsidRPr="002745E5" w:rsidRDefault="00C115F1" w:rsidP="002745E5">
            <w:pPr>
              <w:ind w:left="136" w:right="46"/>
              <w:rPr>
                <w:sz w:val="20"/>
                <w:szCs w:val="20"/>
              </w:rPr>
            </w:pPr>
            <w:r w:rsidRPr="002745E5">
              <w:rPr>
                <w:sz w:val="20"/>
                <w:szCs w:val="20"/>
              </w:rPr>
              <w:t>28 May 2014</w:t>
            </w:r>
          </w:p>
        </w:tc>
        <w:tc>
          <w:tcPr>
            <w:tcW w:w="1399" w:type="dxa"/>
          </w:tcPr>
          <w:p w:rsidR="00AB270C" w:rsidRPr="002745E5" w:rsidRDefault="00C115F1" w:rsidP="002745E5">
            <w:pPr>
              <w:ind w:left="21" w:right="28"/>
              <w:rPr>
                <w:sz w:val="20"/>
                <w:szCs w:val="20"/>
              </w:rPr>
            </w:pPr>
            <w:r w:rsidRPr="002745E5">
              <w:rPr>
                <w:sz w:val="20"/>
                <w:szCs w:val="20"/>
              </w:rPr>
              <w:t>8 May 2015</w:t>
            </w:r>
          </w:p>
        </w:tc>
        <w:tc>
          <w:tcPr>
            <w:tcW w:w="4299" w:type="dxa"/>
          </w:tcPr>
          <w:p w:rsidR="00AB270C" w:rsidRPr="002745E5" w:rsidRDefault="00C115F1" w:rsidP="002745E5">
            <w:pPr>
              <w:rPr>
                <w:sz w:val="20"/>
                <w:szCs w:val="20"/>
              </w:rPr>
            </w:pPr>
            <w:r w:rsidRPr="002745E5">
              <w:rPr>
                <w:sz w:val="20"/>
                <w:szCs w:val="20"/>
              </w:rPr>
              <w:t>Stribild (elvitegravir/cobicistat/emtricitabine/ tenofovir disoproxil fumarate) is indicated for use as a complete regimen for the treatment of adults aged 18 years and older infected with HIV-1 with no known mutations to the integrase inhibitor class, tenofovir or emtricitabine. The safety and efficacy of Stribild has not been established in patients with a prior history of virologic failure.</w:t>
            </w:r>
          </w:p>
        </w:tc>
      </w:tr>
    </w:tbl>
    <w:p w:rsidR="008E7846" w:rsidRDefault="008E7846" w:rsidP="00940A89">
      <w:pPr>
        <w:pStyle w:val="Heading3"/>
      </w:pPr>
      <w:bookmarkStart w:id="21" w:name="_Toc481583622"/>
      <w:r>
        <w:t xml:space="preserve">Product </w:t>
      </w:r>
      <w:r w:rsidR="002745E5">
        <w:t>i</w:t>
      </w:r>
      <w:r>
        <w:t>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81583623"/>
      <w:r>
        <w:t>II. Quality</w:t>
      </w:r>
      <w:bookmarkEnd w:id="1"/>
      <w:r>
        <w:t xml:space="preserve"> findings</w:t>
      </w:r>
      <w:bookmarkEnd w:id="22"/>
      <w:bookmarkEnd w:id="23"/>
      <w:bookmarkEnd w:id="24"/>
    </w:p>
    <w:p w:rsidR="00940A89" w:rsidRPr="00940A89" w:rsidRDefault="00940A89" w:rsidP="00940A89">
      <w:bookmarkStart w:id="25" w:name="_Toc247691507"/>
      <w:bookmarkStart w:id="26" w:name="_Toc314842488"/>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81583624"/>
      <w:bookmarkEnd w:id="25"/>
      <w:bookmarkEnd w:id="26"/>
      <w:r>
        <w:t>III. Nonclinical</w:t>
      </w:r>
      <w:bookmarkEnd w:id="27"/>
      <w:r>
        <w:t xml:space="preserve"> findings</w:t>
      </w:r>
      <w:bookmarkEnd w:id="28"/>
      <w:bookmarkEnd w:id="29"/>
      <w:bookmarkEnd w:id="30"/>
    </w:p>
    <w:p w:rsidR="00940A89" w:rsidRDefault="00940A89" w:rsidP="000E6196">
      <w:bookmarkStart w:id="31" w:name="_Toc247691511"/>
      <w:bookmarkStart w:id="32" w:name="_Toc314842495"/>
      <w:r>
        <w:t>There was no requirement for a nonclinical evaluation in a submission of this type.</w:t>
      </w:r>
    </w:p>
    <w:p w:rsidR="008E7846" w:rsidRPr="00254787" w:rsidRDefault="008E7846" w:rsidP="008E7846">
      <w:pPr>
        <w:pStyle w:val="Heading2"/>
      </w:pPr>
      <w:bookmarkStart w:id="33" w:name="_Toc196046462"/>
      <w:bookmarkStart w:id="34" w:name="_Toc247691516"/>
      <w:bookmarkStart w:id="35" w:name="_Toc314842500"/>
      <w:bookmarkStart w:id="36" w:name="_Toc481583625"/>
      <w:bookmarkStart w:id="37" w:name="_Toc163441353"/>
      <w:bookmarkStart w:id="38" w:name="_Toc163441348"/>
      <w:bookmarkEnd w:id="31"/>
      <w:bookmarkEnd w:id="32"/>
      <w:r>
        <w:lastRenderedPageBreak/>
        <w:t xml:space="preserve">IV. </w:t>
      </w:r>
      <w:r w:rsidRPr="00254787">
        <w:t>Clinical</w:t>
      </w:r>
      <w:bookmarkEnd w:id="33"/>
      <w:r>
        <w:t xml:space="preserve"> </w:t>
      </w:r>
      <w:r w:rsidR="003A7F6C">
        <w:t>f</w:t>
      </w:r>
      <w:r>
        <w:t>indings</w:t>
      </w:r>
      <w:bookmarkEnd w:id="34"/>
      <w:bookmarkEnd w:id="35"/>
      <w:bookmarkEnd w:id="36"/>
    </w:p>
    <w:p w:rsidR="008E7846" w:rsidRDefault="008E7846" w:rsidP="008E7846">
      <w:pPr>
        <w:pStyle w:val="Heading3"/>
      </w:pPr>
      <w:bookmarkStart w:id="39" w:name="_Toc196046463"/>
      <w:bookmarkStart w:id="40" w:name="_Toc247691517"/>
      <w:bookmarkStart w:id="41" w:name="_Toc314842501"/>
      <w:bookmarkStart w:id="42" w:name="_Toc481583626"/>
      <w:r w:rsidRPr="00254787">
        <w:t>Introduction</w:t>
      </w:r>
      <w:bookmarkEnd w:id="39"/>
      <w:bookmarkEnd w:id="40"/>
      <w:bookmarkEnd w:id="41"/>
      <w:bookmarkEnd w:id="42"/>
    </w:p>
    <w:p w:rsidR="006321CD" w:rsidRPr="006321CD" w:rsidRDefault="006321CD" w:rsidP="006321CD">
      <w:r w:rsidRPr="006321CD">
        <w:t>This is a Category 1 Type C application to extend the indications and make changes to the Product Information (PI) and Consumer Medicine Information (CMI).</w:t>
      </w:r>
    </w:p>
    <w:p w:rsidR="00605AD4" w:rsidRDefault="00605AD4" w:rsidP="00605AD4">
      <w:pPr>
        <w:pStyle w:val="Heading4"/>
      </w:pPr>
      <w:bookmarkStart w:id="43" w:name="_Toc196046464"/>
      <w:bookmarkStart w:id="44" w:name="_Toc247691518"/>
      <w:bookmarkStart w:id="45" w:name="_Toc314842502"/>
      <w:r w:rsidRPr="00605AD4">
        <w:t>Contents of the clinical dossier</w:t>
      </w:r>
    </w:p>
    <w:p w:rsidR="006321CD" w:rsidRPr="001E1A9C" w:rsidRDefault="006321CD" w:rsidP="001E1A9C">
      <w:r w:rsidRPr="001E1A9C">
        <w:t xml:space="preserve">Clinical Study Report (CSR) of Extrinsic Factor </w:t>
      </w:r>
      <w:r w:rsidR="00CC0642">
        <w:t>pharmacokinetic (</w:t>
      </w:r>
      <w:r w:rsidRPr="001E1A9C">
        <w:t>PK</w:t>
      </w:r>
      <w:r w:rsidR="00CC0642">
        <w:t>)</w:t>
      </w:r>
      <w:r w:rsidRPr="001E1A9C">
        <w:t xml:space="preserve"> Study x 1;</w:t>
      </w:r>
    </w:p>
    <w:p w:rsidR="006321CD" w:rsidRPr="001E1A9C" w:rsidRDefault="006321CD" w:rsidP="001E1A9C">
      <w:r w:rsidRPr="001E1A9C">
        <w:t>Reports of Efficacy and Safety Studies:</w:t>
      </w:r>
    </w:p>
    <w:p w:rsidR="006321CD" w:rsidRPr="001E1A9C" w:rsidRDefault="00A156AE" w:rsidP="001E1A9C">
      <w:pPr>
        <w:pStyle w:val="ListBullet"/>
      </w:pPr>
      <w:r>
        <w:t>4</w:t>
      </w:r>
      <w:r w:rsidR="006321CD" w:rsidRPr="001E1A9C">
        <w:t xml:space="preserve"> Controlled Clinical Studies Pertinent to the Claimed Indicati</w:t>
      </w:r>
      <w:r>
        <w:t>on</w:t>
      </w:r>
    </w:p>
    <w:p w:rsidR="006321CD" w:rsidRPr="001E1A9C" w:rsidRDefault="00A156AE" w:rsidP="001E1A9C">
      <w:pPr>
        <w:pStyle w:val="ListBullet"/>
      </w:pPr>
      <w:r>
        <w:t>2</w:t>
      </w:r>
      <w:r w:rsidR="006321CD" w:rsidRPr="001E1A9C">
        <w:t xml:space="preserve"> Un</w:t>
      </w:r>
      <w:r>
        <w:t>controlled Clinical Studies</w:t>
      </w:r>
    </w:p>
    <w:p w:rsidR="006321CD" w:rsidRPr="001E1A9C" w:rsidRDefault="006321CD" w:rsidP="001E1A9C">
      <w:pPr>
        <w:pStyle w:val="ListBullet"/>
      </w:pPr>
      <w:r w:rsidRPr="001E1A9C">
        <w:t>Reports of Analyses of Data from More than One Study: Integrated Summary of Safety, Integrated Summary of Efficacy</w:t>
      </w:r>
      <w:r w:rsidR="002745E5">
        <w:t>.</w:t>
      </w:r>
    </w:p>
    <w:p w:rsidR="006321CD" w:rsidRPr="001E1A9C" w:rsidRDefault="006321CD" w:rsidP="001E1A9C">
      <w:pPr>
        <w:pStyle w:val="ListBullet"/>
      </w:pPr>
      <w:r w:rsidRPr="001E1A9C">
        <w:t>Integrated Virology Summary Report for Studies GS-US-236-0102 and GS-US-236-0103).</w:t>
      </w:r>
    </w:p>
    <w:p w:rsidR="006321CD" w:rsidRPr="001E1A9C" w:rsidRDefault="006321CD" w:rsidP="001E1A9C">
      <w:r w:rsidRPr="001E1A9C">
        <w:t>The information provided is adequate to undertake the evaluation. It is noted that the clinical expert is an employee of Gilead Sciences Pty Ltd.</w:t>
      </w:r>
    </w:p>
    <w:p w:rsidR="00605AD4" w:rsidRDefault="00605AD4" w:rsidP="00605AD4">
      <w:pPr>
        <w:pStyle w:val="Heading4"/>
      </w:pPr>
      <w:r w:rsidRPr="00605AD4">
        <w:t>Good clinical practice</w:t>
      </w:r>
    </w:p>
    <w:p w:rsidR="006321CD" w:rsidRPr="007C5AD1" w:rsidRDefault="006321CD" w:rsidP="006321CD">
      <w:r w:rsidRPr="007C5AD1">
        <w:t xml:space="preserve">It is stated in the </w:t>
      </w:r>
      <w:r w:rsidR="001E1A9C">
        <w:t>clinical study reports</w:t>
      </w:r>
      <w:r w:rsidRPr="007C5AD1">
        <w:t xml:space="preserve"> that the studies were undertaken in accordance with good clinical practice.</w:t>
      </w:r>
    </w:p>
    <w:p w:rsidR="008E7846" w:rsidRDefault="008E7846" w:rsidP="00605AD4">
      <w:pPr>
        <w:pStyle w:val="Heading3"/>
      </w:pPr>
      <w:bookmarkStart w:id="46" w:name="_Toc481583627"/>
      <w:r w:rsidRPr="00254787">
        <w:t>Pharmacokinetics</w:t>
      </w:r>
      <w:bookmarkEnd w:id="37"/>
      <w:bookmarkEnd w:id="43"/>
      <w:bookmarkEnd w:id="44"/>
      <w:bookmarkEnd w:id="45"/>
      <w:bookmarkEnd w:id="46"/>
    </w:p>
    <w:p w:rsidR="00605AD4" w:rsidRDefault="00605AD4" w:rsidP="00605AD4">
      <w:pPr>
        <w:pStyle w:val="Heading4"/>
      </w:pPr>
      <w:r>
        <w:t>Studies</w:t>
      </w:r>
      <w:r w:rsidR="006321CD">
        <w:t xml:space="preserve"> providing pharmacokinetic data</w:t>
      </w:r>
    </w:p>
    <w:p w:rsidR="006321CD" w:rsidRDefault="006321CD" w:rsidP="006321CD">
      <w:pPr>
        <w:pStyle w:val="Heading5"/>
      </w:pPr>
      <w:bookmarkStart w:id="47" w:name="_Toc472435483"/>
      <w:r>
        <w:t>GS-US-236-0135 Pharmacokinetic drug interaction study</w:t>
      </w:r>
      <w:bookmarkEnd w:id="47"/>
    </w:p>
    <w:p w:rsidR="006321CD" w:rsidRDefault="006321CD" w:rsidP="006321CD">
      <w:r w:rsidRPr="006317B1">
        <w:t>This was a randomised, open</w:t>
      </w:r>
      <w:r>
        <w:t xml:space="preserve"> </w:t>
      </w:r>
      <w:r w:rsidRPr="006317B1">
        <w:t>label, multiple</w:t>
      </w:r>
      <w:r>
        <w:t xml:space="preserve"> </w:t>
      </w:r>
      <w:proofErr w:type="gramStart"/>
      <w:r w:rsidRPr="006317B1">
        <w:t>dose</w:t>
      </w:r>
      <w:proofErr w:type="gramEnd"/>
      <w:r w:rsidRPr="006317B1">
        <w:t xml:space="preserve">, </w:t>
      </w:r>
      <w:r>
        <w:t xml:space="preserve">two </w:t>
      </w:r>
      <w:r w:rsidRPr="006317B1">
        <w:t>part, multiple</w:t>
      </w:r>
      <w:r>
        <w:t xml:space="preserve"> </w:t>
      </w:r>
      <w:r w:rsidRPr="006317B1">
        <w:t xml:space="preserve">cohort study. Part 1 assessed the </w:t>
      </w:r>
      <w:r w:rsidR="00CC0642">
        <w:t>pharmacokinetics (</w:t>
      </w:r>
      <w:r w:rsidRPr="006317B1">
        <w:t>PK</w:t>
      </w:r>
      <w:r w:rsidR="00CC0642">
        <w:t>)</w:t>
      </w:r>
      <w:r w:rsidRPr="006317B1">
        <w:t xml:space="preserve"> and drug interaction potential of </w:t>
      </w:r>
      <w:r w:rsidR="00CC0642">
        <w:t>telaprevir</w:t>
      </w:r>
      <w:r w:rsidR="00CC0642" w:rsidRPr="006317B1">
        <w:t xml:space="preserve"> </w:t>
      </w:r>
      <w:r w:rsidR="00CC0642">
        <w:t>(</w:t>
      </w:r>
      <w:r w:rsidRPr="006317B1">
        <w:t>TVR</w:t>
      </w:r>
      <w:r w:rsidR="00CC0642">
        <w:t>)</w:t>
      </w:r>
      <w:r w:rsidRPr="006317B1">
        <w:t xml:space="preserve"> and elvitegravir/cobicistat /emtricitabine/tenofovir</w:t>
      </w:r>
      <w:r w:rsidR="00CC0642">
        <w:t xml:space="preserve"> disoproxil fumarate (Stribild (</w:t>
      </w:r>
      <w:r w:rsidRPr="006317B1">
        <w:t>STB</w:t>
      </w:r>
      <w:r w:rsidR="00CC0642">
        <w:t>)</w:t>
      </w:r>
      <w:r w:rsidRPr="006317B1">
        <w:t xml:space="preserve">). Part 2 assessed the PK and drug interaction of TVR and ritonavir (RTV) boosted atazanavir (ATV/r) </w:t>
      </w:r>
      <w:r w:rsidR="003618A7">
        <w:t>+</w:t>
      </w:r>
      <w:r w:rsidRPr="006317B1">
        <w:t xml:space="preserve"> </w:t>
      </w:r>
      <w:r w:rsidR="00E22646">
        <w:t>elvitegravir</w:t>
      </w:r>
      <w:r w:rsidR="00E22646" w:rsidRPr="006317B1">
        <w:t xml:space="preserve"> </w:t>
      </w:r>
      <w:r w:rsidR="00E22646">
        <w:t>(</w:t>
      </w:r>
      <w:r w:rsidRPr="006317B1">
        <w:t>EVG</w:t>
      </w:r>
      <w:r w:rsidR="00E22646">
        <w:t>)</w:t>
      </w:r>
      <w:r w:rsidRPr="006317B1">
        <w:t xml:space="preserve">. It was conducted at </w:t>
      </w:r>
      <w:r>
        <w:t>one</w:t>
      </w:r>
      <w:r w:rsidRPr="006317B1">
        <w:t xml:space="preserve"> site in the United States (US) between January and March 2013.</w:t>
      </w:r>
    </w:p>
    <w:p w:rsidR="00A156AE" w:rsidRPr="006317B1" w:rsidRDefault="00A156AE" w:rsidP="006321CD">
      <w:r>
        <w:t>For a full description of the clinical evaluation of the pharmacokinetics please see Attachment 2, extract from the clinical evaluation report</w:t>
      </w:r>
      <w:r w:rsidR="008E3340">
        <w:t xml:space="preserve"> (CER)</w:t>
      </w:r>
      <w:r>
        <w:t>.</w:t>
      </w:r>
    </w:p>
    <w:p w:rsidR="00605AD4" w:rsidRDefault="00605AD4" w:rsidP="00605AD4">
      <w:pPr>
        <w:pStyle w:val="Heading4"/>
      </w:pPr>
      <w:r>
        <w:t>Evaluator’s conclusions on pharmacokinetics</w:t>
      </w:r>
    </w:p>
    <w:p w:rsidR="00A156AE" w:rsidRPr="00A15754" w:rsidRDefault="00A156AE" w:rsidP="00A156AE">
      <w:r>
        <w:t>The sponsor concluded that:</w:t>
      </w:r>
    </w:p>
    <w:p w:rsidR="00A156AE" w:rsidRPr="00AB4D8E" w:rsidRDefault="00A156AE" w:rsidP="00A156AE">
      <w:pPr>
        <w:pStyle w:val="ListBullet"/>
        <w:numPr>
          <w:ilvl w:val="0"/>
          <w:numId w:val="3"/>
        </w:numPr>
      </w:pPr>
      <w:r w:rsidRPr="00A15754">
        <w:t xml:space="preserve">There were no clinically relevant drug interactions between the components of </w:t>
      </w:r>
      <w:r w:rsidR="00CC0642">
        <w:t>Stribild</w:t>
      </w:r>
      <w:r w:rsidR="00CC0642" w:rsidRPr="00A15754">
        <w:t xml:space="preserve"> </w:t>
      </w:r>
      <w:r w:rsidR="00CC0642">
        <w:t>(</w:t>
      </w:r>
      <w:r w:rsidRPr="00A15754">
        <w:t>STB</w:t>
      </w:r>
      <w:r w:rsidR="00CC0642">
        <w:t>)</w:t>
      </w:r>
      <w:r w:rsidRPr="00A15754">
        <w:t xml:space="preserve"> and </w:t>
      </w:r>
      <w:r>
        <w:t>TVR</w:t>
      </w:r>
      <w:r w:rsidRPr="00A15754">
        <w:t>, and, between ATV/r</w:t>
      </w:r>
      <w:r>
        <w:t xml:space="preserve"> </w:t>
      </w:r>
      <w:r w:rsidR="003618A7">
        <w:t>+</w:t>
      </w:r>
      <w:r w:rsidRPr="00A15754">
        <w:t xml:space="preserve"> EVG 85 mg and TVR, and no dose adjustment is necessary when these are co</w:t>
      </w:r>
      <w:r>
        <w:t>-administered.</w:t>
      </w:r>
    </w:p>
    <w:p w:rsidR="006321CD" w:rsidRDefault="006321CD" w:rsidP="006321CD">
      <w:r w:rsidRPr="00A15754">
        <w:rPr>
          <w:rFonts w:eastAsiaTheme="minorHAnsi" w:cs="Cambria"/>
          <w:color w:val="000000"/>
        </w:rPr>
        <w:t>The sponsor’s conclusions are accepted</w:t>
      </w:r>
      <w:r w:rsidR="008E3340">
        <w:rPr>
          <w:rFonts w:eastAsiaTheme="minorHAnsi" w:cs="Cambria"/>
          <w:color w:val="000000"/>
        </w:rPr>
        <w:t>.</w:t>
      </w:r>
    </w:p>
    <w:p w:rsidR="008E7846" w:rsidRPr="00254787" w:rsidRDefault="008E7846" w:rsidP="008E7846">
      <w:pPr>
        <w:pStyle w:val="Heading3"/>
      </w:pPr>
      <w:bookmarkStart w:id="48" w:name="_Toc163441372"/>
      <w:bookmarkStart w:id="49" w:name="_Toc196046485"/>
      <w:bookmarkStart w:id="50" w:name="_Toc247691521"/>
      <w:bookmarkStart w:id="51" w:name="_Toc314842504"/>
      <w:bookmarkStart w:id="52" w:name="_Toc481583628"/>
      <w:bookmarkEnd w:id="38"/>
      <w:r w:rsidRPr="00254787">
        <w:lastRenderedPageBreak/>
        <w:t>Efficacy</w:t>
      </w:r>
      <w:bookmarkEnd w:id="48"/>
      <w:bookmarkEnd w:id="49"/>
      <w:bookmarkEnd w:id="50"/>
      <w:bookmarkEnd w:id="51"/>
      <w:bookmarkEnd w:id="52"/>
    </w:p>
    <w:p w:rsidR="00605AD4" w:rsidRDefault="00605AD4" w:rsidP="00605AD4">
      <w:pPr>
        <w:pStyle w:val="Heading4"/>
      </w:pPr>
      <w:bookmarkStart w:id="53" w:name="_Toc184439992"/>
      <w:bookmarkStart w:id="54" w:name="_Toc184440279"/>
      <w:bookmarkStart w:id="55" w:name="_Toc184444657"/>
      <w:bookmarkStart w:id="56" w:name="_Toc196046487"/>
      <w:r>
        <w:t>Studies providing efficacy data</w:t>
      </w:r>
    </w:p>
    <w:p w:rsidR="006321CD" w:rsidRPr="00CB6C9B" w:rsidRDefault="006321CD" w:rsidP="006321CD">
      <w:r w:rsidRPr="00CB6C9B">
        <w:t>The efficacy data provided in the dossier comprise CSRs for the following studies:</w:t>
      </w:r>
    </w:p>
    <w:p w:rsidR="006321CD" w:rsidRPr="00CB6C9B" w:rsidRDefault="006321CD" w:rsidP="006321CD">
      <w:pPr>
        <w:pStyle w:val="ListBullet"/>
        <w:numPr>
          <w:ilvl w:val="0"/>
          <w:numId w:val="3"/>
        </w:numPr>
      </w:pPr>
      <w:r w:rsidRPr="00CB6C9B">
        <w:t>GS-US-236-0102 and GS-US-236-0103 to support updates to the drug resistance subsection of the pharmacology section and the clinical trials section to include data from patients treated to 144 weeks.</w:t>
      </w:r>
    </w:p>
    <w:p w:rsidR="006321CD" w:rsidRPr="00CB6C9B" w:rsidRDefault="006321CD" w:rsidP="006321CD">
      <w:pPr>
        <w:pStyle w:val="ListBullet"/>
        <w:numPr>
          <w:ilvl w:val="0"/>
          <w:numId w:val="3"/>
        </w:numPr>
      </w:pPr>
      <w:r w:rsidRPr="00CB6C9B">
        <w:t>GS-US-236-0115, GS-US-236-0121 and GS-US-236-0123 to support an update to the current approved indication to include the use of STB in virologically suppressed patients who have no known mutations associated with resistance to the individual components of STB.</w:t>
      </w:r>
    </w:p>
    <w:p w:rsidR="006321CD" w:rsidRDefault="006321CD" w:rsidP="006321CD">
      <w:r w:rsidRPr="00CB6C9B">
        <w:t>Of note, studies GS-US-236-0102 and GS-US-236-0103 were provided to and evaluated by the Therapeutic Goods Administration (TGA) in the 2011-03533 application for initial marketing authorisation. CSRs for the other studies have not been previously been submitted to the TGA.</w:t>
      </w:r>
    </w:p>
    <w:p w:rsidR="00A156AE" w:rsidRPr="00CB6C9B" w:rsidRDefault="00A156AE" w:rsidP="006321CD">
      <w:r>
        <w:t xml:space="preserve">For a full description of the clinical evaluation of the efficacy please see Attachment 2, extract from the </w:t>
      </w:r>
      <w:r w:rsidR="008E3340">
        <w:t>CER</w:t>
      </w:r>
      <w:r>
        <w:t>.</w:t>
      </w:r>
    </w:p>
    <w:p w:rsidR="008E7846" w:rsidRDefault="00605AD4" w:rsidP="00605AD4">
      <w:pPr>
        <w:pStyle w:val="Heading4"/>
      </w:pPr>
      <w:r>
        <w:t>Evaluator’s conclusions on efficacy</w:t>
      </w:r>
    </w:p>
    <w:p w:rsidR="006321CD" w:rsidRPr="006321CD" w:rsidRDefault="006321CD" w:rsidP="006321CD">
      <w:r w:rsidRPr="006321CD">
        <w:t>The results from Week 144 data in Studies GS-US-236-0102 and GS-US-236-0103 demonstrate continued efficacy of STB in treatment naïve subjects with HIV.</w:t>
      </w:r>
    </w:p>
    <w:p w:rsidR="006321CD" w:rsidRPr="006321CD" w:rsidRDefault="006321CD" w:rsidP="006321CD">
      <w:r w:rsidRPr="006321CD">
        <w:t xml:space="preserve">Data and information to support an extension of indications to include the use of STB in virologically suppressed </w:t>
      </w:r>
      <w:r w:rsidR="00E22646">
        <w:t xml:space="preserve">human immunodeficiency virus (type 1) </w:t>
      </w:r>
      <w:r w:rsidR="008E3340">
        <w:t>(</w:t>
      </w:r>
      <w:r w:rsidR="008E3340" w:rsidRPr="006321CD">
        <w:t>HIV-1</w:t>
      </w:r>
      <w:r w:rsidR="008E3340">
        <w:t>)</w:t>
      </w:r>
      <w:r w:rsidR="008E3340" w:rsidRPr="006321CD">
        <w:t xml:space="preserve"> infected subjects are</w:t>
      </w:r>
      <w:r w:rsidRPr="006321CD">
        <w:t xml:space="preserve"> provided in Studies GS-US-236-0115, GS-US-236-0121 and GS-US-236-0123. In GS-US-236-0115 and GS-US-236-0121, subjects were switched to STB from the baseline regimens of </w:t>
      </w:r>
      <w:r w:rsidR="00CC0642">
        <w:t>protease inhibitor</w:t>
      </w:r>
      <w:r w:rsidR="00CC0642" w:rsidRPr="006321CD">
        <w:t xml:space="preserve"> </w:t>
      </w:r>
      <w:r w:rsidR="00CC0642">
        <w:t>(</w:t>
      </w:r>
      <w:r w:rsidRPr="006321CD">
        <w:t>P</w:t>
      </w:r>
      <w:r w:rsidR="00CC0642" w:rsidRPr="006321CD">
        <w:t>i</w:t>
      </w:r>
      <w:r w:rsidRPr="006321CD">
        <w:t>n</w:t>
      </w:r>
      <w:r w:rsidR="00CC0642">
        <w:t>)</w:t>
      </w:r>
      <w:r w:rsidRPr="006321CD">
        <w:t xml:space="preserve"> </w:t>
      </w:r>
      <w:r w:rsidR="003618A7">
        <w:t>+</w:t>
      </w:r>
      <w:r w:rsidRPr="006321CD">
        <w:t xml:space="preserve"> RTV </w:t>
      </w:r>
      <w:r w:rsidR="003618A7">
        <w:t>+</w:t>
      </w:r>
      <w:r w:rsidRPr="006321CD">
        <w:t xml:space="preserve"> FTC/TDF and </w:t>
      </w:r>
      <w:r w:rsidR="00CC0642">
        <w:t>nonnucleoside reverse transcriptase inhibitor</w:t>
      </w:r>
      <w:r w:rsidR="00CC0642" w:rsidRPr="006321CD">
        <w:t xml:space="preserve"> </w:t>
      </w:r>
      <w:r w:rsidR="00CC0642">
        <w:t>(</w:t>
      </w:r>
      <w:r w:rsidRPr="006321CD">
        <w:t>NNRTI</w:t>
      </w:r>
      <w:r w:rsidR="00CC0642">
        <w:t>)</w:t>
      </w:r>
      <w:r w:rsidRPr="006321CD">
        <w:t xml:space="preserve"> plus </w:t>
      </w:r>
      <w:r w:rsidR="00E22646">
        <w:t>emtricitabine</w:t>
      </w:r>
      <w:r w:rsidR="00E22646" w:rsidRPr="006321CD">
        <w:t xml:space="preserve"> </w:t>
      </w:r>
      <w:r w:rsidR="00E22646">
        <w:t>(</w:t>
      </w:r>
      <w:r w:rsidRPr="006321CD">
        <w:t>FTC</w:t>
      </w:r>
      <w:r w:rsidR="00E22646">
        <w:t>)</w:t>
      </w:r>
      <w:r w:rsidRPr="006321CD">
        <w:t xml:space="preserve"> and </w:t>
      </w:r>
      <w:r w:rsidR="00CC0642">
        <w:t>tenofovir disoproxil fumarate (</w:t>
      </w:r>
      <w:r w:rsidRPr="006321CD">
        <w:t>TDF</w:t>
      </w:r>
      <w:r w:rsidR="00CC0642">
        <w:t>)</w:t>
      </w:r>
      <w:r w:rsidRPr="006321CD">
        <w:t xml:space="preserve"> respectively and compared with subjects continuing on the baseline regimens. Results are presented showing that at Week 48 treatment with STB was non-inferior to continued treatment with the baseline regimens. Also, in both studies, there was no treatment emergent HIV-1 drug resistance in either treatment group. Efficacy of STB in this population was also demonstrated from the results of Study GS-US-236-0123. In this study, subjects were switched to STB from a regimen of </w:t>
      </w:r>
      <w:r w:rsidR="00CC0642">
        <w:t>raltegravir</w:t>
      </w:r>
      <w:r w:rsidR="00CC0642" w:rsidRPr="006321CD">
        <w:t xml:space="preserve"> </w:t>
      </w:r>
      <w:r w:rsidR="00CC0642">
        <w:t>(</w:t>
      </w:r>
      <w:r w:rsidRPr="006321CD">
        <w:t>RAL</w:t>
      </w:r>
      <w:r w:rsidR="00CC0642">
        <w:t>)</w:t>
      </w:r>
      <w:r w:rsidRPr="006321CD">
        <w:t xml:space="preserve"> </w:t>
      </w:r>
      <w:r w:rsidR="003618A7">
        <w:t>+</w:t>
      </w:r>
      <w:r w:rsidRPr="006321CD">
        <w:t xml:space="preserve"> TVD. All subjects maintained virologic suppression and there was no development of drug resistance. It is considered that these data support the use of STB in virologically suppressed HIV-1 infected subjects.</w:t>
      </w:r>
    </w:p>
    <w:p w:rsidR="008E7846" w:rsidRPr="002E238E" w:rsidRDefault="008E7846" w:rsidP="008E7846">
      <w:pPr>
        <w:pStyle w:val="Heading3"/>
      </w:pPr>
      <w:bookmarkStart w:id="57" w:name="_Toc163441378"/>
      <w:bookmarkStart w:id="58" w:name="_Toc196046495"/>
      <w:bookmarkStart w:id="59" w:name="_Toc247691522"/>
      <w:bookmarkStart w:id="60" w:name="_Toc314842505"/>
      <w:bookmarkStart w:id="61" w:name="_Toc481583629"/>
      <w:bookmarkEnd w:id="53"/>
      <w:bookmarkEnd w:id="54"/>
      <w:bookmarkEnd w:id="55"/>
      <w:bookmarkEnd w:id="56"/>
      <w:r w:rsidRPr="002E238E">
        <w:t>Safety</w:t>
      </w:r>
      <w:bookmarkEnd w:id="57"/>
      <w:bookmarkEnd w:id="58"/>
      <w:bookmarkEnd w:id="59"/>
      <w:bookmarkEnd w:id="60"/>
      <w:bookmarkEnd w:id="61"/>
    </w:p>
    <w:p w:rsidR="00605AD4" w:rsidRDefault="00605AD4" w:rsidP="00605AD4">
      <w:pPr>
        <w:pStyle w:val="Heading4"/>
      </w:pPr>
      <w:bookmarkStart w:id="62" w:name="_Toc247691524"/>
      <w:bookmarkStart w:id="63" w:name="_Toc314842508"/>
      <w:bookmarkStart w:id="64" w:name="_Toc196046504"/>
      <w:bookmarkStart w:id="65" w:name="_Toc163441390"/>
      <w:r w:rsidRPr="00605AD4">
        <w:t>Studies providing safety data</w:t>
      </w:r>
    </w:p>
    <w:p w:rsidR="006321CD" w:rsidRPr="00021F5A" w:rsidRDefault="006321CD" w:rsidP="006321CD">
      <w:r w:rsidRPr="00021F5A">
        <w:t>The safety data provided in the dossier that are relevant to the proposed PI changes in the precautions and adverse effects sections comprise:</w:t>
      </w:r>
    </w:p>
    <w:p w:rsidR="006321CD" w:rsidRPr="00021F5A" w:rsidRDefault="006321CD" w:rsidP="006321CD">
      <w:pPr>
        <w:pStyle w:val="ListBullet"/>
        <w:numPr>
          <w:ilvl w:val="0"/>
          <w:numId w:val="3"/>
        </w:numPr>
      </w:pPr>
      <w:r w:rsidRPr="00021F5A">
        <w:t xml:space="preserve">The CSR for </w:t>
      </w:r>
      <w:r>
        <w:t>S</w:t>
      </w:r>
      <w:r w:rsidRPr="00021F5A">
        <w:t xml:space="preserve">tudy GS-US-236-0118 to support an update to the adverse effects section to include </w:t>
      </w:r>
      <w:r w:rsidR="003618A7">
        <w:t>48 week</w:t>
      </w:r>
      <w:r w:rsidRPr="00021F5A">
        <w:t xml:space="preserve"> safety data with use of STB in HIV-1 infected treatment</w:t>
      </w:r>
      <w:r>
        <w:t xml:space="preserve"> </w:t>
      </w:r>
      <w:r w:rsidRPr="00021F5A">
        <w:t>naïve patients with mild to moderate renal impairment.</w:t>
      </w:r>
    </w:p>
    <w:p w:rsidR="006321CD" w:rsidRPr="00021F5A" w:rsidRDefault="006321CD" w:rsidP="006321CD">
      <w:pPr>
        <w:pStyle w:val="ListBullet"/>
        <w:numPr>
          <w:ilvl w:val="0"/>
          <w:numId w:val="3"/>
        </w:numPr>
      </w:pPr>
      <w:r w:rsidRPr="00021F5A">
        <w:t xml:space="preserve">CSRs for </w:t>
      </w:r>
      <w:r>
        <w:t>S</w:t>
      </w:r>
      <w:r w:rsidRPr="00021F5A">
        <w:t xml:space="preserve">tudies GS-US-236-0102 and GS-US-236-0103 to support an update of safety information in the precautions and adverse effects sections to include </w:t>
      </w:r>
      <w:r>
        <w:t>W</w:t>
      </w:r>
      <w:r w:rsidRPr="00021F5A">
        <w:t>eek 144 data.</w:t>
      </w:r>
    </w:p>
    <w:p w:rsidR="006321CD" w:rsidRDefault="006321CD" w:rsidP="006321CD">
      <w:pPr>
        <w:pStyle w:val="ListBullet"/>
        <w:numPr>
          <w:ilvl w:val="0"/>
          <w:numId w:val="3"/>
        </w:numPr>
      </w:pPr>
      <w:r w:rsidRPr="00021F5A">
        <w:lastRenderedPageBreak/>
        <w:t xml:space="preserve">CSRs for </w:t>
      </w:r>
      <w:r>
        <w:t>S</w:t>
      </w:r>
      <w:r w:rsidRPr="00021F5A">
        <w:t>tudies GS-US-236-0115, GS-US-236-0121 and GS-US-236-0123 to support additional information in the adverse effects section to include data from the use of STB in virologically suppressed patients.</w:t>
      </w:r>
    </w:p>
    <w:p w:rsidR="00963575" w:rsidRPr="00963575" w:rsidRDefault="00963575" w:rsidP="00963575">
      <w:r w:rsidRPr="00963575">
        <w:t xml:space="preserve">For a full description of </w:t>
      </w:r>
      <w:r>
        <w:t xml:space="preserve">the clinical evaluation of safety </w:t>
      </w:r>
      <w:r w:rsidRPr="00963575">
        <w:t xml:space="preserve">please see </w:t>
      </w:r>
      <w:r>
        <w:t>A</w:t>
      </w:r>
      <w:r w:rsidRPr="00963575">
        <w:t xml:space="preserve">ttachment 2, extract from the </w:t>
      </w:r>
      <w:r w:rsidR="008E3340">
        <w:t>CER</w:t>
      </w:r>
      <w:r w:rsidRPr="00963575">
        <w:t>.</w:t>
      </w:r>
    </w:p>
    <w:p w:rsidR="00605AD4" w:rsidRPr="00605AD4" w:rsidRDefault="00605AD4" w:rsidP="00605AD4">
      <w:pPr>
        <w:pStyle w:val="Heading4"/>
      </w:pPr>
      <w:r w:rsidRPr="00605AD4">
        <w:t>Evaluator’s conclusions on safety</w:t>
      </w:r>
    </w:p>
    <w:p w:rsidR="006321CD" w:rsidRPr="00B10B5E" w:rsidRDefault="006321CD" w:rsidP="006321CD">
      <w:r w:rsidRPr="00B10B5E">
        <w:t xml:space="preserve">The results of </w:t>
      </w:r>
      <w:r>
        <w:t>S</w:t>
      </w:r>
      <w:r w:rsidRPr="00B10B5E">
        <w:t>tudy GS-US-236-0118 showed that in HIV-1 infected subjects with mild</w:t>
      </w:r>
      <w:r>
        <w:t xml:space="preserve"> </w:t>
      </w:r>
      <w:r w:rsidRPr="00B10B5E">
        <w:t>to</w:t>
      </w:r>
      <w:r>
        <w:t xml:space="preserve"> </w:t>
      </w:r>
      <w:r w:rsidRPr="00B10B5E">
        <w:t xml:space="preserve">moderate renal impairment, the renal safety profiles of </w:t>
      </w:r>
      <w:r w:rsidR="00E22646">
        <w:t>cobicistat (</w:t>
      </w:r>
      <w:r w:rsidRPr="00B10B5E">
        <w:t>COBI</w:t>
      </w:r>
      <w:r w:rsidR="00E22646">
        <w:t>)</w:t>
      </w:r>
      <w:r>
        <w:t xml:space="preserve"> </w:t>
      </w:r>
      <w:r w:rsidRPr="00B10B5E">
        <w:t>containing regimens, STB or a regimen including a PI with or without TDF, were consistent with those from previous studies.</w:t>
      </w:r>
    </w:p>
    <w:p w:rsidR="006321CD" w:rsidRDefault="006321CD" w:rsidP="006321CD">
      <w:r w:rsidRPr="00B10B5E">
        <w:t xml:space="preserve">The </w:t>
      </w:r>
      <w:r>
        <w:t>W</w:t>
      </w:r>
      <w:r w:rsidRPr="00B10B5E">
        <w:t xml:space="preserve">eek 144 results from </w:t>
      </w:r>
      <w:r>
        <w:t>S</w:t>
      </w:r>
      <w:r w:rsidRPr="00B10B5E">
        <w:t xml:space="preserve">tudies GS-US-236-0102 and GS-US-236-0103 continued to show a favourable safety and tolerability profile. This included clinically relevant tolerability advantages over </w:t>
      </w:r>
      <w:r w:rsidR="00B7684E">
        <w:t>Atripla: EFV/FTC/TDF</w:t>
      </w:r>
      <w:r w:rsidR="00B7684E" w:rsidRPr="00B10B5E">
        <w:t xml:space="preserve"> </w:t>
      </w:r>
      <w:r w:rsidR="00B7684E">
        <w:t>(</w:t>
      </w:r>
      <w:r w:rsidRPr="00B10B5E">
        <w:t>ATR</w:t>
      </w:r>
      <w:r w:rsidR="00B7684E">
        <w:t>)</w:t>
      </w:r>
      <w:r w:rsidRPr="00B10B5E">
        <w:t xml:space="preserve"> and ATV/r</w:t>
      </w:r>
      <w:r>
        <w:t xml:space="preserve"> </w:t>
      </w:r>
      <w:r w:rsidR="003618A7">
        <w:t>+</w:t>
      </w:r>
      <w:r>
        <w:t xml:space="preserve"> </w:t>
      </w:r>
      <w:r w:rsidRPr="00B10B5E">
        <w:t>TVD as follows:</w:t>
      </w:r>
    </w:p>
    <w:p w:rsidR="006321CD" w:rsidRPr="00B10B5E" w:rsidRDefault="006321CD" w:rsidP="006321CD">
      <w:pPr>
        <w:pStyle w:val="ListBullet"/>
        <w:numPr>
          <w:ilvl w:val="0"/>
          <w:numId w:val="3"/>
        </w:numPr>
      </w:pPr>
      <w:r w:rsidRPr="00B10B5E">
        <w:t xml:space="preserve">Lower incidence of </w:t>
      </w:r>
      <w:r w:rsidR="00B7684E">
        <w:t>adverse events</w:t>
      </w:r>
      <w:r w:rsidR="00B7684E" w:rsidRPr="00B10B5E">
        <w:t xml:space="preserve"> </w:t>
      </w:r>
      <w:r w:rsidR="00B7684E">
        <w:t>(</w:t>
      </w:r>
      <w:r w:rsidRPr="00B10B5E">
        <w:t>AEs</w:t>
      </w:r>
      <w:r w:rsidR="00B7684E">
        <w:t>)</w:t>
      </w:r>
      <w:r w:rsidRPr="00B10B5E">
        <w:t xml:space="preserve"> considered related </w:t>
      </w:r>
      <w:proofErr w:type="gramStart"/>
      <w:r w:rsidRPr="00B10B5E">
        <w:t>to study</w:t>
      </w:r>
      <w:proofErr w:type="gramEnd"/>
      <w:r w:rsidRPr="00B10B5E">
        <w:t xml:space="preserve"> drug</w:t>
      </w:r>
      <w:r w:rsidR="002745E5">
        <w:t>.</w:t>
      </w:r>
    </w:p>
    <w:p w:rsidR="006321CD" w:rsidRPr="00B10B5E" w:rsidRDefault="006321CD" w:rsidP="006321CD">
      <w:pPr>
        <w:pStyle w:val="ListBullet"/>
        <w:numPr>
          <w:ilvl w:val="0"/>
          <w:numId w:val="3"/>
        </w:numPr>
      </w:pPr>
      <w:r w:rsidRPr="00B10B5E">
        <w:t>Lower incidence of treatment</w:t>
      </w:r>
      <w:r>
        <w:t xml:space="preserve"> </w:t>
      </w:r>
      <w:r w:rsidRPr="00B10B5E">
        <w:t>emergent Grade 3 or 4 laboratory abnormalities</w:t>
      </w:r>
      <w:r w:rsidR="002745E5">
        <w:t>.</w:t>
      </w:r>
    </w:p>
    <w:p w:rsidR="006321CD" w:rsidRPr="00B10B5E" w:rsidRDefault="006321CD" w:rsidP="006321CD">
      <w:pPr>
        <w:pStyle w:val="ListBullet"/>
        <w:numPr>
          <w:ilvl w:val="0"/>
          <w:numId w:val="3"/>
        </w:numPr>
      </w:pPr>
      <w:r w:rsidRPr="00B10B5E">
        <w:t xml:space="preserve">Smaller increases from baseline in fasting total cholesterol and </w:t>
      </w:r>
      <w:r w:rsidR="00E22646">
        <w:t>low density lipoprotein</w:t>
      </w:r>
      <w:r w:rsidR="00E22646" w:rsidRPr="00B10B5E">
        <w:t xml:space="preserve"> </w:t>
      </w:r>
      <w:r w:rsidR="00E22646">
        <w:t>(</w:t>
      </w:r>
      <w:r w:rsidRPr="00B10B5E">
        <w:t>LDL</w:t>
      </w:r>
      <w:r w:rsidR="00E22646">
        <w:t>)</w:t>
      </w:r>
      <w:r w:rsidRPr="00B10B5E">
        <w:t xml:space="preserve"> cholesterol versus ATR and smaller increases from baseline in fasting triglycerides versus ATV/r</w:t>
      </w:r>
      <w:r>
        <w:t xml:space="preserve"> </w:t>
      </w:r>
      <w:r w:rsidR="003618A7">
        <w:t>+</w:t>
      </w:r>
      <w:r>
        <w:t xml:space="preserve"> </w:t>
      </w:r>
      <w:r w:rsidRPr="00B10B5E">
        <w:t>TVD</w:t>
      </w:r>
      <w:r w:rsidR="002745E5">
        <w:t>.</w:t>
      </w:r>
    </w:p>
    <w:p w:rsidR="006321CD" w:rsidRPr="00B10B5E" w:rsidRDefault="006321CD" w:rsidP="006321CD">
      <w:pPr>
        <w:pStyle w:val="ListBullet"/>
        <w:numPr>
          <w:ilvl w:val="0"/>
          <w:numId w:val="3"/>
        </w:numPr>
      </w:pPr>
      <w:r w:rsidRPr="00B10B5E">
        <w:t>Lower incidence of neurological and psychiatric AEs versus ATR</w:t>
      </w:r>
      <w:r w:rsidR="002745E5">
        <w:t>.</w:t>
      </w:r>
    </w:p>
    <w:p w:rsidR="006321CD" w:rsidRPr="00B10B5E" w:rsidRDefault="006321CD" w:rsidP="006321CD">
      <w:pPr>
        <w:pStyle w:val="ListBullet"/>
        <w:numPr>
          <w:ilvl w:val="0"/>
          <w:numId w:val="3"/>
        </w:numPr>
      </w:pPr>
      <w:r w:rsidRPr="00B10B5E">
        <w:t>Lower incidence of rash AEs versus ATR</w:t>
      </w:r>
      <w:r w:rsidR="002745E5">
        <w:t>.</w:t>
      </w:r>
    </w:p>
    <w:p w:rsidR="006321CD" w:rsidRPr="00B10B5E" w:rsidRDefault="006321CD" w:rsidP="006321CD">
      <w:pPr>
        <w:pStyle w:val="ListBullet"/>
        <w:numPr>
          <w:ilvl w:val="0"/>
          <w:numId w:val="3"/>
        </w:numPr>
      </w:pPr>
      <w:r w:rsidRPr="00B10B5E">
        <w:t>Lower incidence of liver-related laboratory abnormalities versus ATR or ATV/r</w:t>
      </w:r>
      <w:r>
        <w:t xml:space="preserve"> </w:t>
      </w:r>
      <w:r w:rsidR="003618A7">
        <w:t>+</w:t>
      </w:r>
      <w:r>
        <w:t xml:space="preserve"> </w:t>
      </w:r>
      <w:r w:rsidRPr="00B10B5E">
        <w:t>TVD</w:t>
      </w:r>
      <w:r w:rsidR="002745E5">
        <w:t>.</w:t>
      </w:r>
    </w:p>
    <w:p w:rsidR="006321CD" w:rsidRPr="00B10B5E" w:rsidRDefault="006321CD" w:rsidP="006321CD">
      <w:r w:rsidRPr="00B10B5E">
        <w:t>Also:</w:t>
      </w:r>
    </w:p>
    <w:p w:rsidR="006321CD" w:rsidRPr="00B10B5E" w:rsidRDefault="006321CD" w:rsidP="006321CD">
      <w:pPr>
        <w:pStyle w:val="ListBullet"/>
        <w:numPr>
          <w:ilvl w:val="0"/>
          <w:numId w:val="3"/>
        </w:numPr>
      </w:pPr>
      <w:r w:rsidRPr="00B10B5E">
        <w:t>The renal events and changes from baseline in renal parameters were consistent with the known safety profile.</w:t>
      </w:r>
    </w:p>
    <w:p w:rsidR="006321CD" w:rsidRPr="00B10B5E" w:rsidRDefault="006321CD" w:rsidP="006321CD">
      <w:pPr>
        <w:pStyle w:val="ListBullet"/>
        <w:numPr>
          <w:ilvl w:val="0"/>
          <w:numId w:val="3"/>
        </w:numPr>
      </w:pPr>
      <w:r w:rsidRPr="00B10B5E">
        <w:t xml:space="preserve">The findings in relation to bone fractures and changes in </w:t>
      </w:r>
      <w:r w:rsidR="00B7684E">
        <w:t>bone mineral density (</w:t>
      </w:r>
      <w:r w:rsidRPr="00B10B5E">
        <w:t>BMD</w:t>
      </w:r>
      <w:r w:rsidR="00B7684E">
        <w:t>)</w:t>
      </w:r>
      <w:r w:rsidRPr="00B10B5E">
        <w:t xml:space="preserve"> were consistent with data from other studies of TDF</w:t>
      </w:r>
      <w:r>
        <w:t xml:space="preserve"> </w:t>
      </w:r>
      <w:r w:rsidRPr="00B10B5E">
        <w:t>containing regimens.</w:t>
      </w:r>
    </w:p>
    <w:p w:rsidR="006321CD" w:rsidRDefault="006321CD" w:rsidP="006321CD">
      <w:r w:rsidRPr="00B10B5E">
        <w:t xml:space="preserve">In </w:t>
      </w:r>
      <w:r>
        <w:t>S</w:t>
      </w:r>
      <w:r w:rsidRPr="00B10B5E">
        <w:t xml:space="preserve">tudies GS-US-236-0115 and GS-US-236-0121, there were higher </w:t>
      </w:r>
      <w:r w:rsidR="00723D50">
        <w:t>percentages</w:t>
      </w:r>
      <w:r w:rsidRPr="00B10B5E">
        <w:t xml:space="preserve"> of AEs with STB. This was considered to be expected when changing to a new treatment regimen. The higher % of subjects with AEs assessed as treatment related is consistent with this. Of note, there were few Grade 3 or 4 treatment related AEs. </w:t>
      </w:r>
      <w:r w:rsidR="00CC0642">
        <w:t>Serious adverse events</w:t>
      </w:r>
      <w:r w:rsidR="00CC0642" w:rsidRPr="00B10B5E">
        <w:t xml:space="preserve"> </w:t>
      </w:r>
      <w:r w:rsidR="00CC0642">
        <w:t>(</w:t>
      </w:r>
      <w:r w:rsidRPr="00B10B5E">
        <w:t>SAEs</w:t>
      </w:r>
      <w:r w:rsidR="00CC0642">
        <w:t>)</w:t>
      </w:r>
      <w:r w:rsidRPr="00B10B5E">
        <w:t xml:space="preserve"> were reported for a similar % of subjects in both groups in both studies and there were few discontinuations due to AEs. In </w:t>
      </w:r>
      <w:r>
        <w:t>S</w:t>
      </w:r>
      <w:r w:rsidRPr="00B10B5E">
        <w:t xml:space="preserve">tudy GS-US-236-0115 no subject with STB experienced a clinically significant renal event, namely a renal SAE or AE resulting in discontinuation and there were no notable changes in renal laboratory parameters with STB. In </w:t>
      </w:r>
      <w:r>
        <w:t>S</w:t>
      </w:r>
      <w:r w:rsidRPr="00B10B5E">
        <w:t xml:space="preserve">tudy GS-US-236-0121, 2 subjects receiving STB had renal AEs (acquired </w:t>
      </w:r>
      <w:proofErr w:type="spellStart"/>
      <w:r w:rsidRPr="00B10B5E">
        <w:t>Fanconi</w:t>
      </w:r>
      <w:proofErr w:type="spellEnd"/>
      <w:r w:rsidRPr="00B10B5E">
        <w:t xml:space="preserve"> syndrome and increased blood creatinine) resulting in discontinuation. Results for laboratory evaluations (in particular fasting glucose and lipids) and nervous system, psychiatric and rash events were consistent with known information.</w:t>
      </w:r>
    </w:p>
    <w:p w:rsidR="003618A7" w:rsidRDefault="006321CD" w:rsidP="006321CD">
      <w:r w:rsidRPr="00B10B5E">
        <w:t>An overview of AEs in these studies is presented below</w:t>
      </w:r>
      <w:r w:rsidR="003618A7">
        <w:t>.</w:t>
      </w:r>
    </w:p>
    <w:p w:rsidR="00605AD4" w:rsidRDefault="006321CD" w:rsidP="002745E5">
      <w:pPr>
        <w:pStyle w:val="TableTitle"/>
      </w:pPr>
      <w:r>
        <w:lastRenderedPageBreak/>
        <w:t xml:space="preserve">Table 2: GS-US-236-0115 and GS-US-236-0121: </w:t>
      </w:r>
      <w:r w:rsidR="00080CEB">
        <w:t>overall summary of adverse events (safety analysis set</w:t>
      </w:r>
      <w:r>
        <w:t>)</w:t>
      </w:r>
    </w:p>
    <w:p w:rsidR="006321CD" w:rsidRDefault="006321CD" w:rsidP="002745E5">
      <w:r w:rsidRPr="00963575">
        <w:rPr>
          <w:noProof/>
          <w:lang w:eastAsia="en-AU"/>
        </w:rPr>
        <w:drawing>
          <wp:inline distT="0" distB="0" distL="0" distR="0" wp14:anchorId="060BEB7B" wp14:editId="12558941">
            <wp:extent cx="5400040" cy="4436433"/>
            <wp:effectExtent l="0" t="0" r="0" b="2540"/>
            <wp:docPr id="51" name="Picture 51" descr="Table 2: GS-US-236-0115 and GS-US-236-0121: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436433"/>
                    </a:xfrm>
                    <a:prstGeom prst="rect">
                      <a:avLst/>
                    </a:prstGeom>
                    <a:noFill/>
                    <a:ln>
                      <a:noFill/>
                    </a:ln>
                  </pic:spPr>
                </pic:pic>
              </a:graphicData>
            </a:graphic>
          </wp:inline>
        </w:drawing>
      </w:r>
    </w:p>
    <w:p w:rsidR="006321CD" w:rsidRPr="007128A1" w:rsidRDefault="006321CD" w:rsidP="006321CD">
      <w:r w:rsidRPr="007128A1">
        <w:t>The sponsor’s conclusions summarised belo</w:t>
      </w:r>
      <w:r>
        <w:t>w are accepted: concluded that:</w:t>
      </w:r>
    </w:p>
    <w:p w:rsidR="006321CD" w:rsidRPr="007128A1" w:rsidRDefault="006321CD" w:rsidP="006321CD">
      <w:pPr>
        <w:pStyle w:val="ListBullet"/>
        <w:numPr>
          <w:ilvl w:val="0"/>
          <w:numId w:val="3"/>
        </w:numPr>
      </w:pPr>
      <w:r w:rsidRPr="007128A1">
        <w:t xml:space="preserve">STB and </w:t>
      </w:r>
      <w:r w:rsidR="00CC0642">
        <w:t>staying on a baseline regimen</w:t>
      </w:r>
      <w:r w:rsidR="00CC0642" w:rsidRPr="007128A1">
        <w:t xml:space="preserve"> </w:t>
      </w:r>
      <w:r w:rsidR="00CC0642">
        <w:t>(</w:t>
      </w:r>
      <w:r w:rsidRPr="007128A1">
        <w:t>SBR</w:t>
      </w:r>
      <w:r w:rsidR="00CC0642">
        <w:t>)</w:t>
      </w:r>
      <w:r w:rsidRPr="007128A1">
        <w:t xml:space="preserve"> were generally well tolerated as shown by infrequent discontinuations due to AEs and low incidence of study </w:t>
      </w:r>
      <w:r w:rsidR="002C3353">
        <w:t>drug related</w:t>
      </w:r>
      <w:r w:rsidRPr="007128A1">
        <w:t xml:space="preserve"> SAEs.</w:t>
      </w:r>
    </w:p>
    <w:p w:rsidR="006321CD" w:rsidRPr="007128A1" w:rsidRDefault="006321CD" w:rsidP="006321CD">
      <w:pPr>
        <w:pStyle w:val="ListBullet"/>
        <w:numPr>
          <w:ilvl w:val="0"/>
          <w:numId w:val="3"/>
        </w:numPr>
      </w:pPr>
      <w:r w:rsidRPr="007128A1">
        <w:t>The renal safety profile was consistent with that seen in previous studies.</w:t>
      </w:r>
    </w:p>
    <w:p w:rsidR="006321CD" w:rsidRPr="007128A1" w:rsidRDefault="006321CD" w:rsidP="006321CD">
      <w:pPr>
        <w:pStyle w:val="ListBullet"/>
        <w:numPr>
          <w:ilvl w:val="0"/>
          <w:numId w:val="3"/>
        </w:numPr>
      </w:pPr>
      <w:r w:rsidRPr="007128A1">
        <w:t>No new</w:t>
      </w:r>
      <w:r>
        <w:t xml:space="preserve"> safety issues were identified.</w:t>
      </w:r>
    </w:p>
    <w:p w:rsidR="006321CD" w:rsidRPr="007128A1" w:rsidRDefault="006321CD" w:rsidP="006321CD">
      <w:r w:rsidRPr="007128A1">
        <w:t xml:space="preserve">The results from </w:t>
      </w:r>
      <w:r>
        <w:t>S</w:t>
      </w:r>
      <w:r w:rsidRPr="007128A1">
        <w:t xml:space="preserve">tudy GS-US-236-0123 in which subjects switched to STB from a RAL </w:t>
      </w:r>
      <w:r w:rsidR="003618A7">
        <w:t>+</w:t>
      </w:r>
      <w:r w:rsidRPr="007128A1">
        <w:t xml:space="preserve"> FTC/TDF regimen showed that STB was well tolerated and that there </w:t>
      </w:r>
      <w:proofErr w:type="gramStart"/>
      <w:r w:rsidRPr="007128A1">
        <w:t>were</w:t>
      </w:r>
      <w:proofErr w:type="gramEnd"/>
      <w:r w:rsidRPr="007128A1">
        <w:t xml:space="preserve"> no new safety issues observed. Key findings were:</w:t>
      </w:r>
    </w:p>
    <w:p w:rsidR="006321CD" w:rsidRPr="007128A1" w:rsidRDefault="006321CD" w:rsidP="006321CD">
      <w:pPr>
        <w:pStyle w:val="ListBullet"/>
        <w:numPr>
          <w:ilvl w:val="0"/>
          <w:numId w:val="3"/>
        </w:numPr>
      </w:pPr>
      <w:r w:rsidRPr="007128A1">
        <w:t>The AEs and laboratory findings reported were consistent with the known safety profile of STB.</w:t>
      </w:r>
    </w:p>
    <w:p w:rsidR="006321CD" w:rsidRPr="007128A1" w:rsidRDefault="006321CD" w:rsidP="006321CD">
      <w:pPr>
        <w:pStyle w:val="ListBullet"/>
        <w:numPr>
          <w:ilvl w:val="0"/>
          <w:numId w:val="3"/>
        </w:numPr>
      </w:pPr>
      <w:r w:rsidRPr="007128A1">
        <w:t xml:space="preserve">43 of 48 subjects (89.6%) experienced ≥ 1 AE; there were </w:t>
      </w:r>
      <w:r>
        <w:t>G</w:t>
      </w:r>
      <w:r w:rsidRPr="007128A1">
        <w:t xml:space="preserve">rade 3 events in 2 subjects and no </w:t>
      </w:r>
      <w:r>
        <w:t>G</w:t>
      </w:r>
      <w:r w:rsidRPr="007128A1">
        <w:t>rade 4.</w:t>
      </w:r>
    </w:p>
    <w:p w:rsidR="006321CD" w:rsidRPr="007128A1" w:rsidRDefault="006321CD" w:rsidP="006321CD">
      <w:pPr>
        <w:pStyle w:val="ListBullet"/>
        <w:numPr>
          <w:ilvl w:val="0"/>
          <w:numId w:val="3"/>
        </w:numPr>
      </w:pPr>
      <w:r w:rsidRPr="007128A1">
        <w:t>2 SAEs were reported neither of which were assessed as treatment related.</w:t>
      </w:r>
    </w:p>
    <w:p w:rsidR="006321CD" w:rsidRPr="007128A1" w:rsidRDefault="006321CD" w:rsidP="006321CD">
      <w:pPr>
        <w:pStyle w:val="ListBullet"/>
        <w:numPr>
          <w:ilvl w:val="0"/>
          <w:numId w:val="3"/>
        </w:numPr>
      </w:pPr>
      <w:r w:rsidRPr="007128A1">
        <w:t>There were no discontinuations due to an AE and no deaths.</w:t>
      </w:r>
    </w:p>
    <w:p w:rsidR="006321CD" w:rsidRPr="007128A1" w:rsidRDefault="006321CD" w:rsidP="006321CD">
      <w:pPr>
        <w:pStyle w:val="ListBullet"/>
        <w:numPr>
          <w:ilvl w:val="0"/>
          <w:numId w:val="3"/>
        </w:numPr>
      </w:pPr>
      <w:r w:rsidRPr="007128A1">
        <w:t>Results for renal parameters were consistent with the known profile and there were no clinically significant renal AEs.</w:t>
      </w:r>
    </w:p>
    <w:p w:rsidR="00605AD4" w:rsidRPr="00605AD4" w:rsidRDefault="00605AD4" w:rsidP="00605AD4">
      <w:pPr>
        <w:pStyle w:val="Heading3"/>
        <w:rPr>
          <w:rFonts w:eastAsia="Cambria"/>
        </w:rPr>
      </w:pPr>
      <w:bookmarkStart w:id="66" w:name="_Toc481583630"/>
      <w:r w:rsidRPr="00605AD4">
        <w:rPr>
          <w:rFonts w:eastAsia="Cambria"/>
        </w:rPr>
        <w:lastRenderedPageBreak/>
        <w:t xml:space="preserve">First </w:t>
      </w:r>
      <w:r w:rsidR="002A2068" w:rsidRPr="00605AD4">
        <w:rPr>
          <w:rFonts w:eastAsia="Cambria"/>
        </w:rPr>
        <w:t>round benefit-risk assessment</w:t>
      </w:r>
      <w:bookmarkEnd w:id="66"/>
    </w:p>
    <w:p w:rsidR="00605AD4" w:rsidRDefault="00605AD4" w:rsidP="00605AD4">
      <w:pPr>
        <w:pStyle w:val="Heading4"/>
      </w:pPr>
      <w:r w:rsidRPr="00605AD4">
        <w:t>First round assessment of benefits</w:t>
      </w:r>
    </w:p>
    <w:p w:rsidR="006321CD" w:rsidRPr="007128A1" w:rsidRDefault="006321CD" w:rsidP="006321CD">
      <w:r w:rsidRPr="007128A1">
        <w:t>The</w:t>
      </w:r>
      <w:r>
        <w:t xml:space="preserve"> W</w:t>
      </w:r>
      <w:r w:rsidRPr="007128A1">
        <w:t xml:space="preserve">eek 144 efficacy results for </w:t>
      </w:r>
      <w:r>
        <w:t>S</w:t>
      </w:r>
      <w:r w:rsidRPr="007128A1">
        <w:t xml:space="preserve">tudies GS-US-236-0102 and GS-US-236-0103 showed continued and similar rates of virologic success following on from the </w:t>
      </w:r>
      <w:r>
        <w:t>W</w:t>
      </w:r>
      <w:r w:rsidRPr="007128A1">
        <w:t>eek 48 results. Resistance development to ≥ 1 components of STB, ATR, or ATV/r</w:t>
      </w:r>
      <w:r>
        <w:t xml:space="preserve"> </w:t>
      </w:r>
      <w:r w:rsidR="003618A7">
        <w:t>+</w:t>
      </w:r>
      <w:r>
        <w:t xml:space="preserve"> </w:t>
      </w:r>
      <w:r w:rsidRPr="007128A1">
        <w:t xml:space="preserve">TVD occurred infrequently and the majority of emergent resistance was reported during the first 48 weeks of study drug treatment. As well as robust and durable efficacy, STB demonstrated a favourable safety and tolerability profile with clinically relevant advantages over </w:t>
      </w:r>
      <w:proofErr w:type="gramStart"/>
      <w:r w:rsidRPr="007128A1">
        <w:t>both ATR</w:t>
      </w:r>
      <w:proofErr w:type="gramEnd"/>
      <w:r w:rsidRPr="007128A1">
        <w:t xml:space="preserve"> and ATV/r</w:t>
      </w:r>
      <w:r>
        <w:t xml:space="preserve"> </w:t>
      </w:r>
      <w:r w:rsidR="003618A7">
        <w:t>+</w:t>
      </w:r>
      <w:r>
        <w:t xml:space="preserve"> </w:t>
      </w:r>
      <w:r w:rsidRPr="007128A1">
        <w:t>TVD.</w:t>
      </w:r>
    </w:p>
    <w:p w:rsidR="006321CD" w:rsidRPr="007128A1" w:rsidRDefault="006321CD" w:rsidP="006321CD">
      <w:r w:rsidRPr="007128A1">
        <w:t xml:space="preserve">In </w:t>
      </w:r>
      <w:r>
        <w:t>S</w:t>
      </w:r>
      <w:r w:rsidRPr="007128A1">
        <w:t xml:space="preserve">tudies GS-US-236-0115 and GS-US-236-0121, high rates of virologic suppression were maintained to </w:t>
      </w:r>
      <w:r>
        <w:t>W</w:t>
      </w:r>
      <w:r w:rsidRPr="007128A1">
        <w:t xml:space="preserve">eek 48 in subjects who switched to STB and in those who remained on their baseline regimens containing a PI </w:t>
      </w:r>
      <w:r w:rsidR="003618A7">
        <w:t>+</w:t>
      </w:r>
      <w:r w:rsidRPr="007128A1">
        <w:t xml:space="preserve"> RTV </w:t>
      </w:r>
      <w:r w:rsidR="003618A7">
        <w:t>+</w:t>
      </w:r>
      <w:r w:rsidRPr="007128A1">
        <w:t xml:space="preserve"> FTC/TDF or an NNRTI </w:t>
      </w:r>
      <w:r w:rsidR="003618A7">
        <w:t>+</w:t>
      </w:r>
      <w:r w:rsidRPr="007128A1">
        <w:t xml:space="preserve"> FTC/TDF. In each study, results of the primary efficacy analysis using the FDA</w:t>
      </w:r>
      <w:r>
        <w:t xml:space="preserve"> </w:t>
      </w:r>
      <w:r w:rsidRPr="007128A1">
        <w:t>defined snapshot algorithm demonstrated that switching to STB was non</w:t>
      </w:r>
      <w:r>
        <w:t>-</w:t>
      </w:r>
      <w:r w:rsidRPr="007128A1">
        <w:t>inferior to</w:t>
      </w:r>
      <w:r>
        <w:t xml:space="preserve"> SBR</w:t>
      </w:r>
      <w:r w:rsidRPr="007128A1">
        <w:t xml:space="preserve">. In </w:t>
      </w:r>
      <w:r>
        <w:t>S</w:t>
      </w:r>
      <w:r w:rsidRPr="007128A1">
        <w:t xml:space="preserve">tudy GS-US-236- 0115, statistical superiority of STB over SBR (PI </w:t>
      </w:r>
      <w:r w:rsidR="003618A7">
        <w:t>+</w:t>
      </w:r>
      <w:r w:rsidRPr="007128A1">
        <w:t xml:space="preserve"> RTV </w:t>
      </w:r>
      <w:r w:rsidR="003618A7">
        <w:t>+</w:t>
      </w:r>
      <w:r w:rsidRPr="007128A1">
        <w:t xml:space="preserve"> FTC/TDF) was established.</w:t>
      </w:r>
    </w:p>
    <w:p w:rsidR="006321CD" w:rsidRPr="007128A1" w:rsidRDefault="006321CD" w:rsidP="006321CD">
      <w:r w:rsidRPr="007128A1">
        <w:t>In the single</w:t>
      </w:r>
      <w:r>
        <w:t xml:space="preserve"> </w:t>
      </w:r>
      <w:r w:rsidRPr="007128A1">
        <w:t xml:space="preserve">group </w:t>
      </w:r>
      <w:r>
        <w:t>S</w:t>
      </w:r>
      <w:r w:rsidRPr="007128A1">
        <w:t xml:space="preserve">tudy GS-US-236-0123, 100% of subjects who switched to STB from RAL </w:t>
      </w:r>
      <w:r w:rsidR="003618A7">
        <w:t>+</w:t>
      </w:r>
      <w:r w:rsidRPr="007128A1">
        <w:t xml:space="preserve"> FTC/TDF had virologic success at </w:t>
      </w:r>
      <w:r>
        <w:t>W</w:t>
      </w:r>
      <w:r w:rsidRPr="007128A1">
        <w:t>eek 48.</w:t>
      </w:r>
    </w:p>
    <w:p w:rsidR="006321CD" w:rsidRPr="007128A1" w:rsidRDefault="006321CD" w:rsidP="006321CD">
      <w:r w:rsidRPr="007128A1">
        <w:t>There was no treatment</w:t>
      </w:r>
      <w:r>
        <w:t xml:space="preserve"> </w:t>
      </w:r>
      <w:r w:rsidRPr="007128A1">
        <w:t xml:space="preserve">emergent HIV-1 drug resistance in </w:t>
      </w:r>
      <w:r>
        <w:t>S</w:t>
      </w:r>
      <w:r w:rsidR="00E22646">
        <w:t>tudies GS-US-236-0115, GS</w:t>
      </w:r>
      <w:r w:rsidR="00E22646">
        <w:noBreakHyphen/>
      </w:r>
      <w:r w:rsidRPr="007128A1">
        <w:t xml:space="preserve">US-236-0121 and GS-US-236-0123 either in subjects switching to STB or in those </w:t>
      </w:r>
      <w:r>
        <w:t>SBR</w:t>
      </w:r>
      <w:r w:rsidRPr="007128A1">
        <w:t xml:space="preserve"> through the 48 week treatment periods.</w:t>
      </w:r>
    </w:p>
    <w:p w:rsidR="00605AD4" w:rsidRDefault="00605AD4" w:rsidP="00605AD4">
      <w:pPr>
        <w:pStyle w:val="Heading4"/>
      </w:pPr>
      <w:r w:rsidRPr="00605AD4">
        <w:t>First round assessment of risks</w:t>
      </w:r>
    </w:p>
    <w:p w:rsidR="006321CD" w:rsidRPr="007128A1" w:rsidRDefault="006321CD" w:rsidP="006321CD">
      <w:r w:rsidRPr="007128A1">
        <w:t>Results from</w:t>
      </w:r>
      <w:r>
        <w:t xml:space="preserve"> S</w:t>
      </w:r>
      <w:r w:rsidRPr="007128A1">
        <w:t xml:space="preserve">tudies GS-US-236-0102 and GS-US-236-0103 showed that the safety profile for STB at </w:t>
      </w:r>
      <w:r>
        <w:t>W</w:t>
      </w:r>
      <w:r w:rsidRPr="007128A1">
        <w:t xml:space="preserve">eek 144 was the same as that for the </w:t>
      </w:r>
      <w:r>
        <w:t>W</w:t>
      </w:r>
      <w:r w:rsidRPr="007128A1">
        <w:t>eek 48 data. There were no new adverse drug reactions (ADRs) though the frequency of some ADRs changed. Of note, the renal safety profile was consistent with existing information and there were only several bone events not related to trauma</w:t>
      </w:r>
      <w:r>
        <w:t>.</w:t>
      </w:r>
    </w:p>
    <w:p w:rsidR="006321CD" w:rsidRPr="007128A1" w:rsidRDefault="006321CD" w:rsidP="006321CD">
      <w:r w:rsidRPr="007128A1">
        <w:t xml:space="preserve">In </w:t>
      </w:r>
      <w:r>
        <w:t>S</w:t>
      </w:r>
      <w:r w:rsidRPr="007128A1">
        <w:t>tudy GS-US-236-0118 with HIV-1 infected subjects with mild</w:t>
      </w:r>
      <w:r>
        <w:t xml:space="preserve"> </w:t>
      </w:r>
      <w:r w:rsidRPr="007128A1">
        <w:t>to</w:t>
      </w:r>
      <w:r>
        <w:t xml:space="preserve"> </w:t>
      </w:r>
      <w:r w:rsidRPr="007128A1">
        <w:t xml:space="preserve">moderate renal impairment there were no clinically relevant median changes from baseline in </w:t>
      </w:r>
      <w:r w:rsidR="00E22646">
        <w:t>cystatin C (</w:t>
      </w:r>
      <w:proofErr w:type="spellStart"/>
      <w:r>
        <w:t>C</w:t>
      </w:r>
      <w:r w:rsidRPr="007128A1">
        <w:t>ysC</w:t>
      </w:r>
      <w:proofErr w:type="spellEnd"/>
      <w:r w:rsidR="00E22646">
        <w:t>)</w:t>
      </w:r>
      <w:r>
        <w:t xml:space="preserve"> </w:t>
      </w:r>
      <w:r w:rsidRPr="007128A1">
        <w:t xml:space="preserve">based estimates of </w:t>
      </w:r>
      <w:r w:rsidR="00E22646">
        <w:t>glomerular filtration rate</w:t>
      </w:r>
      <w:r w:rsidR="00E22646" w:rsidRPr="007128A1">
        <w:t xml:space="preserve"> </w:t>
      </w:r>
      <w:r w:rsidR="00E22646">
        <w:t>(</w:t>
      </w:r>
      <w:r w:rsidRPr="007128A1">
        <w:t>GFR</w:t>
      </w:r>
      <w:r w:rsidR="00E22646">
        <w:t>)</w:t>
      </w:r>
      <w:r w:rsidRPr="007128A1">
        <w:t xml:space="preserve"> for subjects who received STB, no clinically relevant changes in creatinine</w:t>
      </w:r>
      <w:r>
        <w:t xml:space="preserve"> </w:t>
      </w:r>
      <w:r w:rsidRPr="007128A1">
        <w:t xml:space="preserve">or </w:t>
      </w:r>
      <w:proofErr w:type="spellStart"/>
      <w:r>
        <w:t>C</w:t>
      </w:r>
      <w:r w:rsidRPr="007128A1">
        <w:t>ysC</w:t>
      </w:r>
      <w:proofErr w:type="spellEnd"/>
      <w:r>
        <w:t xml:space="preserve"> </w:t>
      </w:r>
      <w:r w:rsidRPr="007128A1">
        <w:t xml:space="preserve">based estimates of GFR for subjects who switched RTV to COBI in the PI/co cohort, and no changes in </w:t>
      </w:r>
      <w:r w:rsidR="00B7684E">
        <w:t>actual GFR</w:t>
      </w:r>
      <w:r w:rsidR="00B7684E" w:rsidRPr="007128A1">
        <w:t xml:space="preserve"> </w:t>
      </w:r>
      <w:r w:rsidR="00B7684E">
        <w:t>(</w:t>
      </w:r>
      <w:proofErr w:type="spellStart"/>
      <w:r w:rsidRPr="007128A1">
        <w:t>aGFR</w:t>
      </w:r>
      <w:proofErr w:type="spellEnd"/>
      <w:r w:rsidR="00B7684E">
        <w:t>)</w:t>
      </w:r>
      <w:r w:rsidRPr="007128A1">
        <w:t xml:space="preserve"> in either cohort. Also, there were no clinically relevant changes from baseline in median values for other renal endpoints (serum phosphorus; urine</w:t>
      </w:r>
      <w:r w:rsidR="00E22646" w:rsidRPr="00E22646">
        <w:t xml:space="preserve"> </w:t>
      </w:r>
      <w:r w:rsidR="00E22646">
        <w:t>fractional excretion of phosphate</w:t>
      </w:r>
      <w:r w:rsidRPr="007128A1">
        <w:t xml:space="preserve"> </w:t>
      </w:r>
      <w:r w:rsidR="00E22646">
        <w:t>(</w:t>
      </w:r>
      <w:r w:rsidRPr="007128A1">
        <w:t>FEPO</w:t>
      </w:r>
      <w:r w:rsidRPr="00D120A0">
        <w:rPr>
          <w:vertAlign w:val="subscript"/>
        </w:rPr>
        <w:t>4</w:t>
      </w:r>
      <w:r w:rsidR="00E22646">
        <w:t>)</w:t>
      </w:r>
      <w:r w:rsidRPr="007128A1">
        <w:t xml:space="preserve">), and few subjects had clinically relevant changes in urine glucose or urine protein. Overall renal safety results were similar for subjects in subgroups by baseline </w:t>
      </w:r>
      <w:r w:rsidR="00E22646">
        <w:t>estimated glomerular filtration rate calculated using the Cockcroft-Gault method</w:t>
      </w:r>
      <w:r w:rsidR="00E22646" w:rsidRPr="007128A1">
        <w:t xml:space="preserve"> </w:t>
      </w:r>
      <w:r w:rsidR="00E22646">
        <w:t>(</w:t>
      </w:r>
      <w:proofErr w:type="spellStart"/>
      <w:r w:rsidRPr="007128A1">
        <w:t>eGFR</w:t>
      </w:r>
      <w:r w:rsidRPr="007128A1">
        <w:rPr>
          <w:vertAlign w:val="subscript"/>
        </w:rPr>
        <w:t>CG</w:t>
      </w:r>
      <w:proofErr w:type="spellEnd"/>
      <w:r w:rsidR="00E22646">
        <w:t>) (&lt; 70 mL/min and ≥ </w:t>
      </w:r>
      <w:r w:rsidRPr="007128A1">
        <w:t>70 mL/min).</w:t>
      </w:r>
    </w:p>
    <w:p w:rsidR="006321CD" w:rsidRPr="007128A1" w:rsidRDefault="006321CD" w:rsidP="006321CD">
      <w:r w:rsidRPr="007128A1">
        <w:t xml:space="preserve">In </w:t>
      </w:r>
      <w:r>
        <w:t>S</w:t>
      </w:r>
      <w:r w:rsidRPr="007128A1">
        <w:t>tudies GS-US-236-0115 and GS-US-236-0121, there were a higher % of subjects who switched to STB experiencing an AE assessed as treatment related. The AEs were consistent with the known profile. Only a few of these were Grade 3 events and there were no Grade 4 events. Discontinuations due to AEs were infrequent. Overall STB was generally well tolerated in subjects who switched and there were no new safety issues identified.</w:t>
      </w:r>
    </w:p>
    <w:p w:rsidR="006321CD" w:rsidRPr="007128A1" w:rsidRDefault="006321CD" w:rsidP="006321CD">
      <w:r w:rsidRPr="007128A1">
        <w:t xml:space="preserve">In </w:t>
      </w:r>
      <w:r>
        <w:t>S</w:t>
      </w:r>
      <w:r w:rsidRPr="007128A1">
        <w:t>tudy GS-US-236-0123 STB was well tolerated. Nearly all AEs were Grade 1 or 2 in severity with only 2 Grade 3 and none Grade 4. No subject discontinued due to an AE.</w:t>
      </w:r>
    </w:p>
    <w:p w:rsidR="00605AD4" w:rsidRPr="00605AD4" w:rsidRDefault="00605AD4" w:rsidP="00605AD4">
      <w:pPr>
        <w:pStyle w:val="Heading4"/>
      </w:pPr>
      <w:r w:rsidRPr="00605AD4">
        <w:lastRenderedPageBreak/>
        <w:t>First round assessment of benefit-risk balance</w:t>
      </w:r>
    </w:p>
    <w:p w:rsidR="006321CD" w:rsidRPr="007128A1" w:rsidRDefault="006321CD" w:rsidP="006321CD">
      <w:pPr>
        <w:autoSpaceDE w:val="0"/>
        <w:autoSpaceDN w:val="0"/>
        <w:adjustRightInd w:val="0"/>
        <w:spacing w:before="0" w:after="0" w:line="240" w:lineRule="auto"/>
        <w:rPr>
          <w:rFonts w:eastAsiaTheme="minorHAnsi" w:cs="Cambria"/>
        </w:rPr>
      </w:pPr>
      <w:r w:rsidRPr="007128A1">
        <w:rPr>
          <w:rFonts w:eastAsiaTheme="minorHAnsi" w:cs="Cambria"/>
        </w:rPr>
        <w:t xml:space="preserve">The results of </w:t>
      </w:r>
      <w:r>
        <w:rPr>
          <w:rFonts w:eastAsiaTheme="minorHAnsi" w:cs="Cambria"/>
        </w:rPr>
        <w:t>S</w:t>
      </w:r>
      <w:r w:rsidRPr="007128A1">
        <w:rPr>
          <w:rFonts w:eastAsiaTheme="minorHAnsi" w:cs="Cambria"/>
        </w:rPr>
        <w:t>tudies GS-US-236-0102 and GS-US-236-0103 support the benefit</w:t>
      </w:r>
      <w:r>
        <w:rPr>
          <w:rFonts w:eastAsiaTheme="minorHAnsi" w:cs="Cambria"/>
        </w:rPr>
        <w:t xml:space="preserve"> </w:t>
      </w:r>
      <w:r w:rsidRPr="007128A1">
        <w:rPr>
          <w:rFonts w:eastAsiaTheme="minorHAnsi" w:cs="Cambria"/>
        </w:rPr>
        <w:t xml:space="preserve">risk balance of use of STB in treatment naïve subjects. The results of </w:t>
      </w:r>
      <w:r>
        <w:rPr>
          <w:rFonts w:eastAsiaTheme="minorHAnsi" w:cs="Cambria"/>
        </w:rPr>
        <w:t>S</w:t>
      </w:r>
      <w:r w:rsidRPr="007128A1">
        <w:rPr>
          <w:rFonts w:eastAsiaTheme="minorHAnsi" w:cs="Cambria"/>
        </w:rPr>
        <w:t>tudies GS-US-236-0115, GS-US-236-0121 and GS-US-236-0123 support the use of STB in virologically suppressed subjects</w:t>
      </w:r>
      <w:r>
        <w:rPr>
          <w:rFonts w:eastAsiaTheme="minorHAnsi" w:cs="Cambria"/>
        </w:rPr>
        <w:t>.</w:t>
      </w:r>
    </w:p>
    <w:p w:rsidR="00605AD4" w:rsidRPr="00605AD4" w:rsidRDefault="00605AD4" w:rsidP="00605AD4">
      <w:pPr>
        <w:pStyle w:val="Heading3"/>
        <w:rPr>
          <w:rFonts w:eastAsia="Cambria"/>
        </w:rPr>
      </w:pPr>
      <w:bookmarkStart w:id="67" w:name="_Toc481583631"/>
      <w:r w:rsidRPr="00605AD4">
        <w:rPr>
          <w:rFonts w:eastAsia="Cambria"/>
        </w:rPr>
        <w:t xml:space="preserve">First </w:t>
      </w:r>
      <w:r w:rsidR="002A2068" w:rsidRPr="00605AD4">
        <w:rPr>
          <w:rFonts w:eastAsia="Cambria"/>
        </w:rPr>
        <w:t>round recommendation regarding authorisation</w:t>
      </w:r>
      <w:bookmarkEnd w:id="67"/>
    </w:p>
    <w:p w:rsidR="006321CD" w:rsidRPr="00077A03" w:rsidRDefault="006321CD" w:rsidP="006321CD">
      <w:r w:rsidRPr="00077A03">
        <w:t>It is recommended that the indications for use of STB are extended to include use in vir</w:t>
      </w:r>
      <w:r>
        <w:t>ologically suppressed subjects.</w:t>
      </w:r>
    </w:p>
    <w:p w:rsidR="00605AD4" w:rsidRPr="00605AD4" w:rsidRDefault="00605AD4" w:rsidP="00605AD4">
      <w:pPr>
        <w:pStyle w:val="Heading3"/>
        <w:rPr>
          <w:rFonts w:eastAsia="Cambria"/>
        </w:rPr>
      </w:pPr>
      <w:bookmarkStart w:id="68" w:name="_Toc481583632"/>
      <w:r w:rsidRPr="00605AD4">
        <w:rPr>
          <w:rFonts w:eastAsia="Cambria"/>
        </w:rPr>
        <w:t xml:space="preserve">Clinical </w:t>
      </w:r>
      <w:r w:rsidR="002A2068" w:rsidRPr="00605AD4">
        <w:rPr>
          <w:rFonts w:eastAsia="Cambria"/>
        </w:rPr>
        <w:t>questions</w:t>
      </w:r>
      <w:bookmarkEnd w:id="68"/>
    </w:p>
    <w:p w:rsidR="006321CD" w:rsidRPr="00077A03" w:rsidRDefault="006321CD" w:rsidP="006321CD">
      <w:r>
        <w:t>It is requested that:</w:t>
      </w:r>
    </w:p>
    <w:p w:rsidR="006321CD" w:rsidRPr="00077A03" w:rsidRDefault="006321CD" w:rsidP="006321CD">
      <w:pPr>
        <w:pStyle w:val="ListBullet"/>
        <w:numPr>
          <w:ilvl w:val="0"/>
          <w:numId w:val="3"/>
        </w:numPr>
      </w:pPr>
      <w:r w:rsidRPr="00077A03">
        <w:t>The sponsor addresses the issues regarding the PI and provides an updated PI</w:t>
      </w:r>
      <w:r>
        <w:t>. I</w:t>
      </w:r>
      <w:r w:rsidRPr="00077A03">
        <w:t>n the updated PI it is requested that the spelling is consistent with Australian norms.</w:t>
      </w:r>
    </w:p>
    <w:p w:rsidR="006321CD" w:rsidRPr="00077A03" w:rsidRDefault="006321CD" w:rsidP="006321CD">
      <w:pPr>
        <w:pStyle w:val="ListBullet"/>
        <w:numPr>
          <w:ilvl w:val="0"/>
          <w:numId w:val="3"/>
        </w:numPr>
      </w:pPr>
      <w:r w:rsidRPr="00077A03">
        <w:t>Provide an update on the international regulatory status of STB.</w:t>
      </w:r>
    </w:p>
    <w:p w:rsidR="00605AD4" w:rsidRPr="00605AD4" w:rsidRDefault="00605AD4" w:rsidP="00605AD4">
      <w:pPr>
        <w:pStyle w:val="Heading3"/>
        <w:rPr>
          <w:rFonts w:eastAsia="Cambria"/>
        </w:rPr>
      </w:pPr>
      <w:bookmarkStart w:id="69" w:name="_Toc481583633"/>
      <w:r w:rsidRPr="00605AD4">
        <w:rPr>
          <w:rFonts w:eastAsia="Cambria"/>
        </w:rPr>
        <w:t xml:space="preserve">Second </w:t>
      </w:r>
      <w:r w:rsidR="002A2068" w:rsidRPr="00605AD4">
        <w:rPr>
          <w:rFonts w:eastAsia="Cambria"/>
        </w:rPr>
        <w:t xml:space="preserve">round evaluation </w:t>
      </w:r>
      <w:r w:rsidRPr="00605AD4">
        <w:rPr>
          <w:rFonts w:eastAsia="Cambria"/>
        </w:rPr>
        <w:t>of clinical data submitted in response to questions</w:t>
      </w:r>
      <w:bookmarkEnd w:id="69"/>
    </w:p>
    <w:p w:rsidR="006321CD" w:rsidRDefault="006321CD" w:rsidP="006321CD">
      <w:r w:rsidRPr="008064FC">
        <w:t>The sponsor did not provide an update on the regulatory status of STB. However it is noted that the US label dated December 2014 includes use of STB in virologically suppressed patients.</w:t>
      </w:r>
    </w:p>
    <w:p w:rsidR="006136D7" w:rsidRPr="00605AD4" w:rsidRDefault="006321CD" w:rsidP="006321CD">
      <w:r w:rsidRPr="008064FC">
        <w:t>Apart from the international regulatory status update, there were no questions in relation to the clinical data and information. The first round recommendation that the indications for use of STB are extended to include use in treatment naïve and virologically suppressed subjects remains the same</w:t>
      </w:r>
      <w:r w:rsidR="006136D7">
        <w:t>.</w:t>
      </w:r>
    </w:p>
    <w:p w:rsidR="008E7846" w:rsidRPr="00E41208" w:rsidRDefault="008E7846" w:rsidP="00546154">
      <w:pPr>
        <w:pStyle w:val="Heading2"/>
      </w:pPr>
      <w:bookmarkStart w:id="70" w:name="_Toc481583634"/>
      <w:r w:rsidRPr="00E41208">
        <w:t xml:space="preserve">V. Pharmacovigilance </w:t>
      </w:r>
      <w:r>
        <w:t>f</w:t>
      </w:r>
      <w:r w:rsidRPr="00E41208">
        <w:t>indings</w:t>
      </w:r>
      <w:bookmarkEnd w:id="62"/>
      <w:bookmarkEnd w:id="63"/>
      <w:bookmarkEnd w:id="70"/>
    </w:p>
    <w:p w:rsidR="008E7846" w:rsidRDefault="00386150" w:rsidP="008E7846">
      <w:pPr>
        <w:pStyle w:val="Heading3"/>
        <w:rPr>
          <w:lang w:eastAsia="en-AU"/>
        </w:rPr>
      </w:pPr>
      <w:bookmarkStart w:id="71" w:name="_Toc247691526"/>
      <w:bookmarkStart w:id="72" w:name="_Toc314842509"/>
      <w:bookmarkStart w:id="73" w:name="_Toc481583635"/>
      <w:r>
        <w:rPr>
          <w:lang w:eastAsia="en-AU"/>
        </w:rPr>
        <w:t>Risk m</w:t>
      </w:r>
      <w:r w:rsidR="008E7846">
        <w:rPr>
          <w:lang w:eastAsia="en-AU"/>
        </w:rPr>
        <w:t xml:space="preserve">anagement </w:t>
      </w:r>
      <w:r>
        <w:rPr>
          <w:lang w:eastAsia="en-AU"/>
        </w:rPr>
        <w:t>p</w:t>
      </w:r>
      <w:r w:rsidR="008E7846">
        <w:rPr>
          <w:lang w:eastAsia="en-AU"/>
        </w:rPr>
        <w:t>lan</w:t>
      </w:r>
      <w:bookmarkEnd w:id="71"/>
      <w:bookmarkEnd w:id="72"/>
      <w:bookmarkEnd w:id="73"/>
    </w:p>
    <w:p w:rsidR="003618A7" w:rsidRDefault="00DE3F11" w:rsidP="00DE3F11">
      <w:r>
        <w:t>I</w:t>
      </w:r>
      <w:r w:rsidRPr="00DE3F11">
        <w:t>nformation required for evaluation, including draft protocols for planned studies in the Pharmacovigilance Plan, had not been provided.</w:t>
      </w:r>
      <w:r w:rsidR="003B0499">
        <w:rPr>
          <w:rStyle w:val="FootnoteReference"/>
        </w:rPr>
        <w:footnoteReference w:id="1"/>
      </w:r>
      <w:r w:rsidRPr="00DE3F11">
        <w:t xml:space="preserve"> The sponsor was then asked to submit the current </w:t>
      </w:r>
      <w:r w:rsidR="00E22646">
        <w:t>European Union</w:t>
      </w:r>
      <w:r w:rsidR="00E22646" w:rsidRPr="00DE3F11">
        <w:t xml:space="preserve"> </w:t>
      </w:r>
      <w:r w:rsidR="00E22646">
        <w:t>(</w:t>
      </w:r>
      <w:r w:rsidRPr="00DE3F11">
        <w:t>EU</w:t>
      </w:r>
      <w:r w:rsidR="00E22646">
        <w:t xml:space="preserve">) </w:t>
      </w:r>
      <w:r w:rsidRPr="00DE3F11">
        <w:t>RMP with an ASA and all attachments. Furthermore the sponsor was advised the ASA should identify and provided explanation for differences between the current EU-RMP and the previously accepted AU-RMP (Version: 0.1, dated 24 November 2011, to be revised as specified in the sponsor’s correspondence dated 18 December 2012 and 16 January 2013)</w:t>
      </w:r>
      <w:r w:rsidR="003618A7">
        <w:t>.</w:t>
      </w:r>
    </w:p>
    <w:p w:rsidR="00DE3F11" w:rsidRPr="00DE3F11" w:rsidRDefault="00DE3F11" w:rsidP="00DE3F11">
      <w:r w:rsidRPr="00DE3F11">
        <w:t>The sponsor refused to comply with this request on the basis that such a request was procedurally unfair and the outlined concerns could be appropriately responded to after full evaluation of the key safety and efficacy data had been conducted by the TGA. This response was accepted by the TGA and it is in this context, with consideration of material changes to the previously accepted RMP, that these documents have been reviewed in this report.</w:t>
      </w:r>
    </w:p>
    <w:p w:rsidR="008E7846" w:rsidRDefault="003A7F6C" w:rsidP="008E7846">
      <w:pPr>
        <w:pStyle w:val="Heading4"/>
        <w:rPr>
          <w:lang w:eastAsia="en-AU"/>
        </w:rPr>
      </w:pPr>
      <w:r>
        <w:rPr>
          <w:lang w:eastAsia="en-AU"/>
        </w:rPr>
        <w:lastRenderedPageBreak/>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DE3F11">
        <w:rPr>
          <w:lang w:eastAsia="en-AU"/>
        </w:rPr>
        <w:t>3</w:t>
      </w:r>
      <w:r>
        <w:rPr>
          <w:lang w:eastAsia="en-AU"/>
        </w:rPr>
        <w:t>.</w:t>
      </w:r>
    </w:p>
    <w:p w:rsidR="00DE3F11" w:rsidRDefault="00DE3F11" w:rsidP="002745E5">
      <w:pPr>
        <w:pStyle w:val="TableTitle"/>
        <w:rPr>
          <w:lang w:eastAsia="en-AU"/>
        </w:rPr>
      </w:pPr>
      <w:r>
        <w:rPr>
          <w:lang w:eastAsia="en-AU"/>
        </w:rPr>
        <w:t xml:space="preserve">Table 3: Summary </w:t>
      </w:r>
      <w:r w:rsidR="00B918B1">
        <w:rPr>
          <w:lang w:eastAsia="en-AU"/>
        </w:rPr>
        <w:t xml:space="preserve">of </w:t>
      </w:r>
      <w:r w:rsidR="00B918B1" w:rsidRPr="002745E5">
        <w:t>ongoing</w:t>
      </w:r>
      <w:r w:rsidR="00B918B1">
        <w:rPr>
          <w:lang w:eastAsia="en-AU"/>
        </w:rPr>
        <w:t xml:space="preserve"> safety concerns</w:t>
      </w:r>
    </w:p>
    <w:p w:rsidR="003618A7" w:rsidRDefault="00DE3F11" w:rsidP="002745E5">
      <w:pPr>
        <w:rPr>
          <w:lang w:eastAsia="en-AU"/>
        </w:rPr>
      </w:pPr>
      <w:r w:rsidRPr="00963575">
        <w:rPr>
          <w:noProof/>
          <w:lang w:eastAsia="en-AU"/>
        </w:rPr>
        <w:drawing>
          <wp:inline distT="0" distB="0" distL="0" distR="0" wp14:anchorId="608BFA9E" wp14:editId="751A6D2A">
            <wp:extent cx="5057352" cy="4700453"/>
            <wp:effectExtent l="0" t="0" r="0" b="5080"/>
            <wp:docPr id="1" name="Picture 1" descr="Table 3: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774" cy="4703634"/>
                    </a:xfrm>
                    <a:prstGeom prst="rect">
                      <a:avLst/>
                    </a:prstGeom>
                    <a:noFill/>
                    <a:ln>
                      <a:noFill/>
                    </a:ln>
                  </pic:spPr>
                </pic:pic>
              </a:graphicData>
            </a:graphic>
          </wp:inline>
        </w:drawing>
      </w:r>
    </w:p>
    <w:p w:rsidR="00DE3F11" w:rsidRPr="00DE3F11" w:rsidRDefault="00DE3F11" w:rsidP="002745E5">
      <w:pPr>
        <w:pStyle w:val="TableTitle"/>
      </w:pPr>
      <w:r>
        <w:lastRenderedPageBreak/>
        <w:t xml:space="preserve">Table 4: </w:t>
      </w:r>
      <w:r w:rsidRPr="002745E5">
        <w:t>Appendix</w:t>
      </w:r>
      <w:r>
        <w:t xml:space="preserve"> 1: ‘Summary of </w:t>
      </w:r>
      <w:r w:rsidR="00B918B1">
        <w:t>c</w:t>
      </w:r>
      <w:r>
        <w:t>hanges to Stribild AU-RMP (Version 0.1 dated November 2011 to Version 1.1 dated May 2014’</w:t>
      </w:r>
    </w:p>
    <w:p w:rsidR="00DE3F11" w:rsidRPr="00DE3F11" w:rsidRDefault="00DE3F11" w:rsidP="002745E5">
      <w:r w:rsidRPr="00963575">
        <w:rPr>
          <w:noProof/>
          <w:lang w:eastAsia="en-AU"/>
        </w:rPr>
        <w:drawing>
          <wp:inline distT="0" distB="0" distL="0" distR="0" wp14:anchorId="6027F849" wp14:editId="786D0007">
            <wp:extent cx="5400040" cy="5713675"/>
            <wp:effectExtent l="0" t="0" r="0" b="1905"/>
            <wp:docPr id="2" name="Picture 2" descr="Table 4: Appendix 1: ‘Summary of changes to Stribild AU-RMP (Version 0.1 dated November 2011 to Version 1.1 dated May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713675"/>
                    </a:xfrm>
                    <a:prstGeom prst="rect">
                      <a:avLst/>
                    </a:prstGeom>
                    <a:noFill/>
                    <a:ln>
                      <a:noFill/>
                    </a:ln>
                  </pic:spPr>
                </pic:pic>
              </a:graphicData>
            </a:graphic>
          </wp:inline>
        </w:drawing>
      </w:r>
    </w:p>
    <w:p w:rsidR="00DE3F11" w:rsidRPr="00DE3F11" w:rsidRDefault="0067477B" w:rsidP="00DE3F11">
      <w:pPr>
        <w:pStyle w:val="Heading5"/>
      </w:pPr>
      <w:r>
        <w:t>RMP evaluator</w:t>
      </w:r>
      <w:r w:rsidR="00963575">
        <w:t xml:space="preserve"> comment</w:t>
      </w:r>
    </w:p>
    <w:p w:rsidR="008E7846" w:rsidRDefault="00DE3F11" w:rsidP="00DE3F11">
      <w:pPr>
        <w:pStyle w:val="Instructions"/>
        <w:rPr>
          <w:rFonts w:ascii="Times New Roman" w:eastAsiaTheme="minorHAnsi" w:hAnsi="Times New Roman"/>
          <w:i w:val="0"/>
          <w:color w:val="000000"/>
          <w:sz w:val="23"/>
          <w:szCs w:val="23"/>
        </w:rPr>
      </w:pPr>
      <w:r w:rsidRPr="00DE3F11">
        <w:rPr>
          <w:rFonts w:ascii="Times New Roman" w:eastAsiaTheme="minorHAnsi" w:hAnsi="Times New Roman"/>
          <w:i w:val="0"/>
          <w:color w:val="000000"/>
          <w:sz w:val="23"/>
          <w:szCs w:val="23"/>
        </w:rPr>
        <w:t xml:space="preserve">Notwithstanding the evaluation of the clinical aspects of the </w:t>
      </w:r>
      <w:r w:rsidR="00963575">
        <w:rPr>
          <w:rFonts w:ascii="Times New Roman" w:eastAsiaTheme="minorHAnsi" w:hAnsi="Times New Roman"/>
          <w:i w:val="0"/>
          <w:color w:val="000000"/>
          <w:sz w:val="23"/>
          <w:szCs w:val="23"/>
        </w:rPr>
        <w:t xml:space="preserve">safety </w:t>
      </w:r>
      <w:r w:rsidR="00521B3B">
        <w:rPr>
          <w:rFonts w:ascii="Times New Roman" w:eastAsiaTheme="minorHAnsi" w:hAnsi="Times New Roman"/>
          <w:i w:val="0"/>
          <w:color w:val="000000"/>
          <w:sz w:val="23"/>
          <w:szCs w:val="23"/>
        </w:rPr>
        <w:t>specification</w:t>
      </w:r>
      <w:r w:rsidRPr="00DE3F11">
        <w:rPr>
          <w:rFonts w:ascii="Times New Roman" w:eastAsiaTheme="minorHAnsi" w:hAnsi="Times New Roman"/>
          <w:i w:val="0"/>
          <w:color w:val="000000"/>
          <w:sz w:val="23"/>
          <w:szCs w:val="23"/>
        </w:rPr>
        <w:t xml:space="preserve">, the above summary of </w:t>
      </w:r>
      <w:r w:rsidR="00963575" w:rsidRPr="00DE3F11">
        <w:rPr>
          <w:rFonts w:ascii="Times New Roman" w:eastAsiaTheme="minorHAnsi" w:hAnsi="Times New Roman"/>
          <w:i w:val="0"/>
          <w:color w:val="000000"/>
          <w:sz w:val="23"/>
          <w:szCs w:val="23"/>
        </w:rPr>
        <w:t xml:space="preserve">the ongoing safety concerns </w:t>
      </w:r>
      <w:r w:rsidRPr="00DE3F11">
        <w:rPr>
          <w:rFonts w:ascii="Times New Roman" w:eastAsiaTheme="minorHAnsi" w:hAnsi="Times New Roman"/>
          <w:i w:val="0"/>
          <w:color w:val="000000"/>
          <w:sz w:val="23"/>
          <w:szCs w:val="23"/>
        </w:rPr>
        <w:t>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618A7" w:rsidRDefault="00DE3F11" w:rsidP="00904F26">
      <w:pPr>
        <w:pStyle w:val="Heading5"/>
        <w:rPr>
          <w:rFonts w:eastAsiaTheme="minorHAnsi"/>
        </w:rPr>
      </w:pPr>
      <w:r w:rsidRPr="00904F26">
        <w:rPr>
          <w:rFonts w:eastAsiaTheme="minorHAnsi"/>
        </w:rPr>
        <w:t>Proposed pharmacovigilance activities</w:t>
      </w:r>
    </w:p>
    <w:p w:rsidR="008E7846" w:rsidRDefault="00DE3F11" w:rsidP="00904F26">
      <w:r w:rsidRPr="00904F26">
        <w:t>Pharmacovigilance actions associated with the new safety concerns listed above have been added to the pha</w:t>
      </w:r>
      <w:r w:rsidR="00963575">
        <w:t>rmacovigilance plan as follows:</w:t>
      </w:r>
    </w:p>
    <w:p w:rsidR="00904F26" w:rsidRDefault="00904F26" w:rsidP="00904F26">
      <w:pPr>
        <w:pStyle w:val="TableTitle"/>
        <w:keepLines/>
      </w:pPr>
      <w:r>
        <w:lastRenderedPageBreak/>
        <w:t xml:space="preserve">Table 5: </w:t>
      </w:r>
      <w:r w:rsidRPr="00904F26">
        <w:t>Pharmacovigilance actions associated with the new safety concerns</w:t>
      </w:r>
    </w:p>
    <w:p w:rsidR="00904F26" w:rsidRDefault="0067477B" w:rsidP="0067477B">
      <w:r w:rsidRPr="0067477B">
        <w:rPr>
          <w:noProof/>
          <w:lang w:eastAsia="en-AU"/>
        </w:rPr>
        <w:drawing>
          <wp:inline distT="0" distB="0" distL="0" distR="0" wp14:anchorId="7DBB4D00" wp14:editId="158605F1">
            <wp:extent cx="4886325" cy="7724775"/>
            <wp:effectExtent l="0" t="0" r="9525" b="9525"/>
            <wp:docPr id="9" name="Picture 9" descr="Table 5: Pharmacovigilance actions associated with the new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886325" cy="7724775"/>
                    </a:xfrm>
                    <a:prstGeom prst="rect">
                      <a:avLst/>
                    </a:prstGeom>
                  </pic:spPr>
                </pic:pic>
              </a:graphicData>
            </a:graphic>
          </wp:inline>
        </w:drawing>
      </w:r>
    </w:p>
    <w:p w:rsidR="00710DBD" w:rsidRDefault="00710DBD" w:rsidP="008E3340">
      <w:r w:rsidRPr="008E3340">
        <w:t>Routine pharmacovigilance will monitor the new important potential risk: ‘Overdose (occurring through accidental concurrent use of STB with any other TDF-containing product)’ and the missing information: ‘Safety in patients with cardiac conduction disorders’.</w:t>
      </w:r>
    </w:p>
    <w:p w:rsidR="009A5E39" w:rsidRPr="008E3340" w:rsidRDefault="009A5E39" w:rsidP="008E3340">
      <w:r w:rsidRPr="00710DBD">
        <w:lastRenderedPageBreak/>
        <w:t xml:space="preserve">Appendix 1: ‘Summary of </w:t>
      </w:r>
      <w:r>
        <w:t>c</w:t>
      </w:r>
      <w:r w:rsidRPr="00710DBD">
        <w:t>hanges to Stribild AU-RMP (Version 0.1 dated November 2011 to Version 1.1 dated May 2014’ provides information in regard to other changes to the pharmacovigilance plan</w:t>
      </w:r>
      <w:r>
        <w:t xml:space="preserve"> as shown in Table 6.</w:t>
      </w:r>
    </w:p>
    <w:p w:rsidR="00710DBD" w:rsidRDefault="00710DBD" w:rsidP="00710DBD">
      <w:pPr>
        <w:pStyle w:val="TableTitle"/>
        <w:keepLines/>
      </w:pPr>
      <w:r>
        <w:t xml:space="preserve">Table 6: </w:t>
      </w:r>
      <w:r w:rsidRPr="00710DBD">
        <w:t xml:space="preserve">Appendix 1: ‘Summary of </w:t>
      </w:r>
      <w:r w:rsidR="00080CEB">
        <w:t>c</w:t>
      </w:r>
      <w:r w:rsidR="00080CEB" w:rsidRPr="00710DBD">
        <w:t xml:space="preserve">hanges </w:t>
      </w:r>
      <w:r w:rsidRPr="00710DBD">
        <w:t>to Stribild AU-RMP (Version 0.1 dated November 2011</w:t>
      </w:r>
      <w:r w:rsidR="009A5E39">
        <w:t xml:space="preserve"> to Version 1.1 dated May 2014’</w:t>
      </w:r>
    </w:p>
    <w:p w:rsidR="00710DBD" w:rsidRPr="00710DBD" w:rsidRDefault="0067477B" w:rsidP="002745E5">
      <w:r w:rsidRPr="0067477B">
        <w:rPr>
          <w:noProof/>
          <w:lang w:eastAsia="en-AU"/>
        </w:rPr>
        <w:drawing>
          <wp:inline distT="0" distB="0" distL="0" distR="0" wp14:anchorId="051C9322" wp14:editId="34452065">
            <wp:extent cx="5400040" cy="6350751"/>
            <wp:effectExtent l="0" t="0" r="0" b="0"/>
            <wp:docPr id="10" name="Picture 10" descr="Table 6: Appendix 1: ‘Summary of Changes to Stribild AU-RMP (Version 0.1 dated November 2011 to Version 1.1 dated May 2014’ provides the following information in regard to other changes to the pharmacovigil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400040" cy="6350751"/>
                    </a:xfrm>
                    <a:prstGeom prst="rect">
                      <a:avLst/>
                    </a:prstGeom>
                  </pic:spPr>
                </pic:pic>
              </a:graphicData>
            </a:graphic>
          </wp:inline>
        </w:drawing>
      </w:r>
    </w:p>
    <w:p w:rsidR="00710DBD" w:rsidRPr="00710DBD" w:rsidRDefault="0067477B" w:rsidP="00710DBD">
      <w:pPr>
        <w:pStyle w:val="Heading5"/>
        <w:rPr>
          <w:rFonts w:eastAsiaTheme="minorHAnsi"/>
        </w:rPr>
      </w:pPr>
      <w:r>
        <w:rPr>
          <w:rFonts w:eastAsiaTheme="minorHAnsi"/>
        </w:rPr>
        <w:t>RMP evaluator’s</w:t>
      </w:r>
      <w:r w:rsidR="00710DBD" w:rsidRPr="00710DBD">
        <w:rPr>
          <w:rFonts w:eastAsiaTheme="minorHAnsi"/>
        </w:rPr>
        <w:t xml:space="preserve"> summary in regard to the pharmacovigilance plan an</w:t>
      </w:r>
      <w:r w:rsidR="00B262A2">
        <w:rPr>
          <w:rFonts w:eastAsiaTheme="minorHAnsi"/>
        </w:rPr>
        <w:t>d appropriateness of milestones</w:t>
      </w:r>
    </w:p>
    <w:p w:rsidR="00710DBD" w:rsidRPr="00710DBD" w:rsidRDefault="00710DBD" w:rsidP="00710DBD">
      <w:r w:rsidRPr="00710DBD">
        <w:t>There are no objections to the specified changes to the pharmacovigilance plan previously accepted for S</w:t>
      </w:r>
      <w:r>
        <w:t>tribild</w:t>
      </w:r>
      <w:r w:rsidRPr="00710DBD">
        <w:t>. However, the sponsor should correct the internal inconsistency regarding the categorisation of the planned</w:t>
      </w:r>
      <w:r>
        <w:t xml:space="preserve"> p</w:t>
      </w:r>
      <w:r w:rsidRPr="00710DBD">
        <w:t>ost</w:t>
      </w:r>
      <w:r>
        <w:t xml:space="preserve"> </w:t>
      </w:r>
      <w:r w:rsidRPr="00710DBD">
        <w:t>authorisation safety study of a representative sample of HIV-1 infected paediatric patients.</w:t>
      </w:r>
    </w:p>
    <w:p w:rsidR="00710DBD" w:rsidRPr="00710DBD" w:rsidRDefault="00710DBD" w:rsidP="00710DBD">
      <w:r w:rsidRPr="00710DBD">
        <w:t>In addition the sponsor’s correspo</w:t>
      </w:r>
      <w:r w:rsidR="00521B3B">
        <w:t>n</w:t>
      </w:r>
      <w:r w:rsidR="008E3340">
        <w:t>dence dated 23 July 2012 stated</w:t>
      </w:r>
      <w:r w:rsidRPr="00710DBD">
        <w:t>: “</w:t>
      </w:r>
      <w:r w:rsidRPr="008E3340">
        <w:rPr>
          <w:i/>
        </w:rPr>
        <w:t xml:space="preserve">Gilead provides an assurance that the protocols for planned Clinical Studies GS-US-174-0127, GS-US-216-0128 </w:t>
      </w:r>
      <w:r w:rsidRPr="008E3340">
        <w:rPr>
          <w:i/>
        </w:rPr>
        <w:lastRenderedPageBreak/>
        <w:t>and GS-US-174-0144 will be provided to TGA as reference, when available</w:t>
      </w:r>
      <w:r w:rsidRPr="00710DBD">
        <w:t xml:space="preserve">.” To date it appears none of these protocols have been provided to the TGA, therefore it is assumed they are still not yet available. The sponsor should confirm the availability of these protocols and fulfil their obligation if the protocol of any of </w:t>
      </w:r>
      <w:r>
        <w:t>these studies is now available.</w:t>
      </w:r>
    </w:p>
    <w:p w:rsidR="00710DBD" w:rsidRPr="00710DBD" w:rsidRDefault="00710DBD" w:rsidP="00710DBD">
      <w:r w:rsidRPr="00710DBD">
        <w:t>Given ‘Protocols for Proposed and Ongoing Studies in RMP Part IV’ of the AU-RMP has not been provided; draft protocols have not been submitted for the following new planned studies</w:t>
      </w:r>
      <w:r>
        <w:t xml:space="preserve"> in the pharmacovigilance plan:</w:t>
      </w:r>
    </w:p>
    <w:p w:rsidR="00710DBD" w:rsidRPr="00710DBD" w:rsidRDefault="00710DBD" w:rsidP="00710DBD">
      <w:pPr>
        <w:pStyle w:val="ListBullet"/>
      </w:pPr>
      <w:r w:rsidRPr="00710DBD">
        <w:t>GS-US-236-0140</w:t>
      </w:r>
      <w:r>
        <w:t xml:space="preserve"> - Clinical study of STB, a TDF </w:t>
      </w:r>
      <w:r w:rsidRPr="00710DBD">
        <w:t xml:space="preserve">containing regimen without COBI, and a regimen without TDF or COBI in HIV-1 infected </w:t>
      </w:r>
      <w:r w:rsidR="00B7684E">
        <w:t>antiretroviral</w:t>
      </w:r>
      <w:r w:rsidR="00B7684E" w:rsidRPr="00710DBD">
        <w:t xml:space="preserve"> </w:t>
      </w:r>
      <w:r w:rsidR="00B7684E">
        <w:t>(</w:t>
      </w:r>
      <w:r w:rsidRPr="00710DBD">
        <w:t>ARV</w:t>
      </w:r>
      <w:r w:rsidR="00B7684E">
        <w:t>)</w:t>
      </w:r>
      <w:r w:rsidRPr="00710DBD">
        <w:t xml:space="preserve"> treatment</w:t>
      </w:r>
      <w:r>
        <w:t xml:space="preserve"> naïve </w:t>
      </w:r>
      <w:r w:rsidRPr="00710DBD">
        <w:t>patients</w:t>
      </w:r>
    </w:p>
    <w:p w:rsidR="00710DBD" w:rsidRPr="00710DBD" w:rsidRDefault="00710DBD" w:rsidP="00710DBD">
      <w:pPr>
        <w:pStyle w:val="ListBullet"/>
      </w:pPr>
      <w:r w:rsidRPr="00710DBD">
        <w:t>GS-EU-236-0141 - A Prospective, Observational Drug Utili</w:t>
      </w:r>
      <w:r>
        <w:t>s</w:t>
      </w:r>
      <w:r w:rsidRPr="00710DBD">
        <w:t>ation Study of Stribild in Adults With HIV-1 Infection, which is also meant to assess the effectiveness of additional risk minimisation activities conducted for the important identified risk: ‘Renal toxicity’</w:t>
      </w:r>
    </w:p>
    <w:p w:rsidR="00710DBD" w:rsidRPr="00710DBD" w:rsidRDefault="00710DBD" w:rsidP="00710DBD">
      <w:pPr>
        <w:pStyle w:val="ListBullet"/>
      </w:pPr>
      <w:r w:rsidRPr="00710DBD">
        <w:t>Post</w:t>
      </w:r>
      <w:r>
        <w:t xml:space="preserve"> </w:t>
      </w:r>
      <w:r w:rsidRPr="00710DBD">
        <w:t>authorisation safety study of a representative sample of HIV-1 infected paediatric patients</w:t>
      </w:r>
    </w:p>
    <w:p w:rsidR="003618A7" w:rsidRDefault="00710DBD" w:rsidP="00710DBD">
      <w:pPr>
        <w:pStyle w:val="ListBullet"/>
      </w:pPr>
      <w:r w:rsidRPr="00710DBD">
        <w:t>PBPK simulations of the effect of potent CYP3A4 inhibitors on COBI exposure</w:t>
      </w:r>
    </w:p>
    <w:p w:rsidR="00710DBD" w:rsidRPr="00710DBD" w:rsidRDefault="00710DBD" w:rsidP="00710DBD">
      <w:pPr>
        <w:pStyle w:val="ListBullet"/>
      </w:pPr>
      <w:r w:rsidRPr="00710DBD">
        <w:t xml:space="preserve">GS-US-183-1004 - A Phase </w:t>
      </w:r>
      <w:r>
        <w:t>I</w:t>
      </w:r>
      <w:r w:rsidRPr="00710DBD">
        <w:t>, Multiple</w:t>
      </w:r>
      <w:r>
        <w:t xml:space="preserve"> </w:t>
      </w:r>
      <w:r w:rsidRPr="00710DBD">
        <w:t>Dose Study to Evaluate the Pharmacokinetics of Cobicistat</w:t>
      </w:r>
      <w:r>
        <w:t xml:space="preserve"> </w:t>
      </w:r>
      <w:r w:rsidRPr="00710DBD">
        <w:t>Boosted Elvitegravir in Subjects with Decreased UGT1A1 Activity</w:t>
      </w:r>
      <w:r w:rsidR="002A2068">
        <w:t>.</w:t>
      </w:r>
    </w:p>
    <w:p w:rsidR="00710DBD" w:rsidRPr="00710DBD" w:rsidRDefault="00710DBD" w:rsidP="00710DBD">
      <w:r w:rsidRPr="00710DBD">
        <w:t>The sponsor should provide at least an electronic copy of the draft protocols for these studies to the TGA for review if they have not already been initiated. If they are not yet available the sponsor should provide an assurance that draft protocols for these studies will be provided to the TGA when they become available.</w:t>
      </w:r>
    </w:p>
    <w:p w:rsidR="00EF5F47" w:rsidRDefault="00EF5F47" w:rsidP="00EF5F47">
      <w:pPr>
        <w:pStyle w:val="Heading4"/>
        <w:rPr>
          <w:lang w:eastAsia="en-AU"/>
        </w:rPr>
      </w:pPr>
      <w:r>
        <w:rPr>
          <w:lang w:eastAsia="en-AU"/>
        </w:rPr>
        <w:t>Risk minimisation activities</w:t>
      </w:r>
    </w:p>
    <w:p w:rsidR="00710DBD" w:rsidRPr="00EF5F47" w:rsidRDefault="00710DBD" w:rsidP="00EF5F47">
      <w:r w:rsidRPr="00EF5F47">
        <w:t>The sponsor has concluded that routine risk minimisation activities for all the specified ongoing safety concerns are sufficient, except for the important identified risk: ‘Renal toxicity’ for which additional risk minimisation activities are also conducted; and the missing information: ‘Long-term safety information’, ‘PK of EVG in subjects with UGT1A1 polymorphisms’ &amp; ‘Safety in patients with cardiac conduction disorders’ for which no routine risk minimisation is proposed</w:t>
      </w:r>
      <w:r w:rsidR="00EF5F47">
        <w:t>.</w:t>
      </w:r>
    </w:p>
    <w:p w:rsidR="00710DBD" w:rsidRPr="00EF5F47" w:rsidRDefault="00710DBD" w:rsidP="00EF5F47">
      <w:r w:rsidRPr="00EF5F47">
        <w:t>The AU-RMP states: “UGT polymorphisms are not considered likely to result in clinically relevant differences in EVG exposures; therefore, no risk minimi</w:t>
      </w:r>
      <w:r w:rsidR="00EF5F47">
        <w:t>s</w:t>
      </w:r>
      <w:r w:rsidRPr="00EF5F47">
        <w:t>ation measures are considered warranted.”</w:t>
      </w:r>
    </w:p>
    <w:p w:rsidR="00EF5F47" w:rsidRPr="00EF5F47" w:rsidRDefault="00710DBD" w:rsidP="00EF5F47">
      <w:r w:rsidRPr="00EF5F47">
        <w:t>For the missing information: ‘Safety in patients with cardiac conduction disorders’, the AU-RMP states: “No risk minimi</w:t>
      </w:r>
      <w:r w:rsidR="00EF5F47">
        <w:t>s</w:t>
      </w:r>
      <w:r w:rsidRPr="00EF5F47">
        <w:t xml:space="preserve">ation measures are considered necessary for this population at this time as </w:t>
      </w:r>
      <w:r w:rsidR="00EF5F47" w:rsidRPr="00EF5F47">
        <w:t>although there is currently no specific data for COBI in this population, data from COBI and STB clinical trials do not support an increased risk of cardiac conduction disorders associated with the use of COBI.”</w:t>
      </w:r>
    </w:p>
    <w:p w:rsidR="00EF5F47" w:rsidRPr="00EF5F47" w:rsidRDefault="00B262A2" w:rsidP="00EF5F47">
      <w:pPr>
        <w:pStyle w:val="Heading6"/>
        <w:rPr>
          <w:rFonts w:eastAsiaTheme="minorHAnsi"/>
        </w:rPr>
      </w:pPr>
      <w:r>
        <w:rPr>
          <w:rFonts w:eastAsiaTheme="minorHAnsi"/>
        </w:rPr>
        <w:t>RMP evaluator</w:t>
      </w:r>
      <w:r w:rsidR="00EF5F47" w:rsidRPr="00EF5F47">
        <w:rPr>
          <w:rFonts w:eastAsiaTheme="minorHAnsi"/>
        </w:rPr>
        <w:t xml:space="preserve"> comment</w:t>
      </w:r>
    </w:p>
    <w:p w:rsidR="00EF5F47" w:rsidRPr="00EF5F47" w:rsidRDefault="00EF5F47" w:rsidP="00EF5F47">
      <w:r w:rsidRPr="00EF5F47">
        <w:t>The above conclusion is similar to wha</w:t>
      </w:r>
      <w:r>
        <w:t>t was previously accepted for Stribild</w:t>
      </w:r>
      <w:r w:rsidRPr="00EF5F47">
        <w:t xml:space="preserve"> and continues to be acceptable.</w:t>
      </w:r>
    </w:p>
    <w:p w:rsidR="00EF5F47" w:rsidRPr="00EF5F47" w:rsidRDefault="00B262A2" w:rsidP="00EF5F47">
      <w:pPr>
        <w:pStyle w:val="Heading5"/>
        <w:rPr>
          <w:rFonts w:eastAsiaTheme="minorHAnsi"/>
        </w:rPr>
      </w:pPr>
      <w:r>
        <w:rPr>
          <w:rFonts w:eastAsiaTheme="minorHAnsi"/>
        </w:rPr>
        <w:t>Potential for medication errors</w:t>
      </w:r>
    </w:p>
    <w:p w:rsidR="00EF5F47" w:rsidRPr="00EF5F47" w:rsidRDefault="00EF5F47" w:rsidP="00EF5F47">
      <w:r w:rsidRPr="00EF5F47">
        <w:t>The ‘Potential for Medication Errors’ section of the AU-RMP previously accepted for S</w:t>
      </w:r>
      <w:r>
        <w:t>tribild</w:t>
      </w:r>
      <w:r w:rsidRPr="00EF5F47">
        <w:t xml:space="preserve"> has been removed from the updated AU-RMP.</w:t>
      </w:r>
    </w:p>
    <w:p w:rsidR="00B262A2" w:rsidRPr="00EF5F47" w:rsidRDefault="00B262A2" w:rsidP="00B262A2">
      <w:pPr>
        <w:pStyle w:val="Heading6"/>
        <w:rPr>
          <w:rFonts w:eastAsiaTheme="minorHAnsi"/>
        </w:rPr>
      </w:pPr>
      <w:r>
        <w:rPr>
          <w:rFonts w:eastAsiaTheme="minorHAnsi"/>
        </w:rPr>
        <w:lastRenderedPageBreak/>
        <w:t>RMP evaluator</w:t>
      </w:r>
      <w:r w:rsidRPr="00EF5F47">
        <w:rPr>
          <w:rFonts w:eastAsiaTheme="minorHAnsi"/>
        </w:rPr>
        <w:t xml:space="preserve"> comment</w:t>
      </w:r>
    </w:p>
    <w:p w:rsidR="00EF5F47" w:rsidRPr="00EF5F47" w:rsidRDefault="00EF5F47" w:rsidP="00EF5F47">
      <w:r w:rsidRPr="00EF5F47">
        <w:t>The sponsor’s handling of this matter using routine pharmacovigilance</w:t>
      </w:r>
      <w:r>
        <w:t xml:space="preserve"> </w:t>
      </w:r>
      <w:r w:rsidRPr="00EF5F47">
        <w:t>routine risk minimisation and additional risk minimisation activities was previously considered satisfactory. Consequently the sponsor should reinstate such a section in a revised AU-RMP, which relates to the important identified risk: ‘Renal toxicity’, including updating this section with post-marketing data.</w:t>
      </w:r>
    </w:p>
    <w:p w:rsidR="00EF5F47" w:rsidRPr="00EF5F47" w:rsidRDefault="00EF5F47" w:rsidP="00EF5F47">
      <w:pPr>
        <w:pStyle w:val="Heading5"/>
        <w:rPr>
          <w:rFonts w:eastAsiaTheme="minorHAnsi"/>
        </w:rPr>
      </w:pPr>
      <w:r w:rsidRPr="00EF5F47">
        <w:rPr>
          <w:rFonts w:eastAsiaTheme="minorHAnsi"/>
        </w:rPr>
        <w:t>R</w:t>
      </w:r>
      <w:r>
        <w:t>isk minimisation plan</w:t>
      </w:r>
    </w:p>
    <w:p w:rsidR="00EF5F47" w:rsidRPr="00EF5F47" w:rsidRDefault="00EF5F47" w:rsidP="00EF5F47">
      <w:pPr>
        <w:pStyle w:val="Heading6"/>
        <w:rPr>
          <w:rFonts w:eastAsiaTheme="minorHAnsi"/>
        </w:rPr>
      </w:pPr>
      <w:r w:rsidRPr="00EF5F47">
        <w:rPr>
          <w:rFonts w:eastAsiaTheme="minorHAnsi"/>
        </w:rPr>
        <w:t>Planned actions</w:t>
      </w:r>
    </w:p>
    <w:p w:rsidR="00EF5F47" w:rsidRPr="00E677EF" w:rsidRDefault="00EF5F47" w:rsidP="00E677EF">
      <w:r w:rsidRPr="00EF5F47">
        <w:t>Routine risk minimisation activities will comprise product labelling, including contraindications, pharmacokinetic data, precautionary statements, instructions for use, drug interactions and/or notification of undesirable effects for all the specified ongoing safety concerns, except for the missing information: ‘Long</w:t>
      </w:r>
      <w:r>
        <w:t xml:space="preserve"> </w:t>
      </w:r>
      <w:r w:rsidRPr="00EF5F47">
        <w:t>term safety information’, ‘PK of EVG in subjects with UGT1A1 polymorphisms’ &amp; ‘Safety in patients with cardiac conduction disorders’ for which no routine risk</w:t>
      </w:r>
      <w:r w:rsidR="000C5877">
        <w:t xml:space="preserve"> minimisation is proposed.</w:t>
      </w:r>
    </w:p>
    <w:p w:rsidR="00EF5F47" w:rsidRPr="00E677EF" w:rsidRDefault="00EF5F47" w:rsidP="00E677EF">
      <w:r w:rsidRPr="00E677EF">
        <w:t>‘Risk Minimization Measures for Important Identified Risks’ of the AU-RMP outlines details of the additional risk minimisation activities conducted for the important identified risk: ‘Renal toxicity’.</w:t>
      </w:r>
    </w:p>
    <w:p w:rsidR="00B262A2" w:rsidRPr="00EF5F47" w:rsidRDefault="00B262A2" w:rsidP="00B262A2">
      <w:pPr>
        <w:pStyle w:val="Heading6"/>
        <w:rPr>
          <w:rFonts w:eastAsiaTheme="minorHAnsi"/>
        </w:rPr>
      </w:pPr>
      <w:r>
        <w:rPr>
          <w:rFonts w:eastAsiaTheme="minorHAnsi"/>
        </w:rPr>
        <w:t>RMP evaluator</w:t>
      </w:r>
      <w:r w:rsidRPr="00EF5F47">
        <w:rPr>
          <w:rFonts w:eastAsiaTheme="minorHAnsi"/>
        </w:rPr>
        <w:t xml:space="preserve"> comment</w:t>
      </w:r>
    </w:p>
    <w:p w:rsidR="00EF5F47" w:rsidRPr="00E677EF" w:rsidRDefault="00EF5F47" w:rsidP="00E677EF">
      <w:r w:rsidRPr="00E677EF">
        <w:t>The sponsor’s correspondence, dated 16 January 2013, states:</w:t>
      </w:r>
    </w:p>
    <w:p w:rsidR="00EF5F47" w:rsidRPr="00E677EF" w:rsidRDefault="00EF5F47" w:rsidP="003D3D39">
      <w:pPr>
        <w:pStyle w:val="ListBullet"/>
      </w:pPr>
      <w:r w:rsidRPr="00E677EF">
        <w:t>Following TGA approval of S</w:t>
      </w:r>
      <w:r w:rsidR="003D3D39">
        <w:t>tribild</w:t>
      </w:r>
      <w:r w:rsidRPr="00E677EF">
        <w:t>, Gilead will be conducting commercial launch activities to introduce the efficacy and safety of S</w:t>
      </w:r>
      <w:r w:rsidR="003D3D39">
        <w:t>tribild</w:t>
      </w:r>
      <w:r w:rsidRPr="00E677EF">
        <w:t xml:space="preserve"> to Australian health care providers in all States and Territories. Timing of launch will be established upon confirmation of PBS reimbursement.</w:t>
      </w:r>
    </w:p>
    <w:p w:rsidR="003D3D39" w:rsidRPr="003D3D39" w:rsidRDefault="00EF5F47" w:rsidP="003D3D39">
      <w:pPr>
        <w:pStyle w:val="ListBullet"/>
      </w:pPr>
      <w:r w:rsidRPr="003D3D39">
        <w:t>Gilead is committed to conducting educational programs for healthcare providers in Australia. The educational programs listed in the S</w:t>
      </w:r>
      <w:r w:rsidR="003D3D39" w:rsidRPr="003D3D39">
        <w:t>tribild</w:t>
      </w:r>
      <w:r w:rsidRPr="003D3D39">
        <w:t xml:space="preserve"> RMP include the ongoing ‘HIV in the Body’ Meetings which have been held on an annual basis since 2007. These meetings will be continued post launch and as such the next HIV in the Body meeting is proposed in July 2013. The effectiveness of these educational programmes has previously been measured by a clinical audit of 530 attending Physicians pre and post meeting</w:t>
      </w:r>
      <w:r w:rsidRPr="00080CEB">
        <w:t xml:space="preserve">. </w:t>
      </w:r>
      <w:r w:rsidRPr="00AC4491">
        <w:t xml:space="preserve">Previous results (specific to renal risk) show that </w:t>
      </w:r>
      <w:r w:rsidR="00A777C1" w:rsidRPr="00AC4491">
        <w:t xml:space="preserve">40% of physicians </w:t>
      </w:r>
      <w:r w:rsidRPr="00AC4491">
        <w:t xml:space="preserve">prior to attending an HIV in the body meeting assessed renal function in all patients by </w:t>
      </w:r>
      <w:r w:rsidR="00E22646" w:rsidRPr="00AC4491">
        <w:t>estimated glomerular filtration rate (</w:t>
      </w:r>
      <w:proofErr w:type="spellStart"/>
      <w:r w:rsidRPr="00AC4491">
        <w:t>eGFR</w:t>
      </w:r>
      <w:proofErr w:type="spellEnd"/>
      <w:r w:rsidR="00E22646" w:rsidRPr="00AC4491">
        <w:t>)</w:t>
      </w:r>
      <w:r w:rsidR="00A777C1" w:rsidRPr="00AC4491">
        <w:t>. After</w:t>
      </w:r>
      <w:r w:rsidRPr="00AC4491">
        <w:t xml:space="preserve"> attending an HIV in the body meeting 92% of physicians intended to assess renal function in all patients by eGFR. Subsequent clinical audits involving Physicians who attended the meetings showed </w:t>
      </w:r>
      <w:r w:rsidR="003D3D39" w:rsidRPr="00AC4491">
        <w:t xml:space="preserve">96% of patients had </w:t>
      </w:r>
      <w:proofErr w:type="spellStart"/>
      <w:r w:rsidR="003D3D39" w:rsidRPr="00AC4491">
        <w:t>eGFR</w:t>
      </w:r>
      <w:proofErr w:type="spellEnd"/>
      <w:r w:rsidR="003D3D39" w:rsidRPr="00AC4491">
        <w:t xml:space="preserve"> assessed</w:t>
      </w:r>
      <w:r w:rsidR="002745E5">
        <w:t xml:space="preserve">. </w:t>
      </w:r>
      <w:r w:rsidR="003D3D39" w:rsidRPr="003D3D39">
        <w:t xml:space="preserve">Results from this clinical audit have since been written in a manuscript which has been published in the Internal Medicine Journal, accepted for review by the Sexual Health Journal and submitted to the Medical Journal of Australia. </w:t>
      </w:r>
      <w:r w:rsidR="003B0499">
        <w:t>[Information redacted]</w:t>
      </w:r>
    </w:p>
    <w:p w:rsidR="003D3D39" w:rsidRPr="003D3D39" w:rsidRDefault="003D3D39" w:rsidP="003D3D39">
      <w:pPr>
        <w:pStyle w:val="ListBullet"/>
      </w:pPr>
      <w:r w:rsidRPr="003D3D39">
        <w:t xml:space="preserve">Further to the proposed HIV in the Body meetings, Gilead has recently planned to hold a number of state based educational meetings in March 2013. The objective being to educate HIV and HBV prescribers about the renal effects of tenofovir (TDF) and the appropriate guidelines for screening, monitoring and management of patients. The desired outcomes of these meetings is to increase the number of patients on a TDF containing regimen being screened by </w:t>
      </w:r>
      <w:proofErr w:type="spellStart"/>
      <w:r w:rsidRPr="003D3D39">
        <w:t>eGFR</w:t>
      </w:r>
      <w:proofErr w:type="spellEnd"/>
      <w:r w:rsidRPr="003D3D39">
        <w:t xml:space="preserve"> at baseline, monitoring of patients on a TDF containing regimen on a regular basis as per the Kidney Health Australia and relevant HIV and HBV guidelines and raise prescriber awareness of dose reduction requirements when managing patients with identified renal risks. Evaluation of these meetings will be conducted by a clinical audit of </w:t>
      </w:r>
      <w:r w:rsidR="002A2068" w:rsidRPr="003D3D39">
        <w:t>attendees</w:t>
      </w:r>
      <w:r w:rsidR="00A777C1">
        <w:t xml:space="preserve"> at</w:t>
      </w:r>
      <w:r w:rsidRPr="003D3D39">
        <w:t xml:space="preserve"> pre and post meeting.</w:t>
      </w:r>
    </w:p>
    <w:p w:rsidR="003D3D39" w:rsidRPr="003D3D39" w:rsidRDefault="003D3D39" w:rsidP="003D3D39">
      <w:pPr>
        <w:pStyle w:val="ListBullet"/>
      </w:pPr>
      <w:r w:rsidRPr="003D3D39">
        <w:lastRenderedPageBreak/>
        <w:t>Gilead provides assurance that key results regarding renal messaging from the clinical audits conducted at the proposed HIV in the Body meeting and state based educational meetings will be communicated to the TGA within the next version of the Stribild RMP. Gilead is aware that the TGA has now adopted the EU Guideline V</w:t>
      </w:r>
      <w:r>
        <w:t>olume 9</w:t>
      </w:r>
      <w:r w:rsidRPr="003D3D39">
        <w:t>A – Guidelines on Pharmacovigilance for Medicinal Products for Human Use – of The Rules Governing Medicinal Products in the European Union, and as such will provide an updated RMP on an annual basis, or as required.</w:t>
      </w:r>
    </w:p>
    <w:p w:rsidR="003D3D39" w:rsidRPr="003D3D39" w:rsidRDefault="003D3D39" w:rsidP="003D3D39">
      <w:r w:rsidRPr="00AF5B22">
        <w:t>It does not appear that the key results regarding renal messaging from the clinical audits conducted at the proposed HIV in the Body meeting and state based educational meetings have been communicated to the TGA within the updated AU-RMP. Consequently the sponsor should now fulfil its obligation by revising the AU-RMP accordingly and include the above details of the additional risk minimisation activities conducted for the important identified risk: ‘Renal toxicity’ in Australia in this document.</w:t>
      </w:r>
    </w:p>
    <w:p w:rsidR="003D3D39" w:rsidRPr="003D3D39" w:rsidRDefault="003D3D39" w:rsidP="003D3D39">
      <w:r w:rsidRPr="003D3D39">
        <w:t>In regard to the proposed routine risk minimisation activities, the draft product information docum</w:t>
      </w:r>
      <w:r>
        <w:t>ent is considered satisfactory.</w:t>
      </w:r>
    </w:p>
    <w:p w:rsidR="003D3D39" w:rsidRPr="003D3D39" w:rsidRDefault="003D3D39" w:rsidP="003D3D39">
      <w:r w:rsidRPr="003D3D39">
        <w:t>In regard to the proposed routine risk minimisation activities, the draft consumer medicine informat</w:t>
      </w:r>
      <w:r>
        <w:t>ion is considered satisfactory.</w:t>
      </w:r>
    </w:p>
    <w:p w:rsidR="006F25B8" w:rsidRDefault="006F25B8" w:rsidP="006F25B8">
      <w:pPr>
        <w:pStyle w:val="Heading4"/>
        <w:rPr>
          <w:lang w:eastAsia="en-AU"/>
        </w:rPr>
      </w:pPr>
      <w:bookmarkStart w:id="74" w:name="_Toc247691527"/>
      <w:r w:rsidRPr="006F25B8">
        <w:rPr>
          <w:lang w:eastAsia="en-AU"/>
        </w:rPr>
        <w:t>Reconciliation of is</w:t>
      </w:r>
      <w:r w:rsidR="00B262A2">
        <w:rPr>
          <w:lang w:eastAsia="en-AU"/>
        </w:rPr>
        <w:t>sues outlined in the RMP report</w:t>
      </w:r>
    </w:p>
    <w:p w:rsidR="006F25B8" w:rsidRDefault="00B918B1" w:rsidP="006F25B8">
      <w:pPr>
        <w:rPr>
          <w:lang w:eastAsia="en-AU"/>
        </w:rPr>
      </w:pPr>
      <w:r>
        <w:rPr>
          <w:lang w:eastAsia="en-AU"/>
        </w:rPr>
        <w:t>Table 7</w:t>
      </w:r>
      <w:r w:rsidR="006F25B8">
        <w:rPr>
          <w:lang w:eastAsia="en-AU"/>
        </w:rPr>
        <w:t xml:space="preserve"> summarises the first round evaluation of the RMP, the sponsor’s responses to issues raised and the </w:t>
      </w:r>
      <w:r w:rsidR="00B262A2">
        <w:rPr>
          <w:lang w:eastAsia="en-AU"/>
        </w:rPr>
        <w:t>RMP evaluator’s</w:t>
      </w:r>
      <w:r w:rsidR="006F25B8">
        <w:rPr>
          <w:lang w:eastAsia="en-AU"/>
        </w:rPr>
        <w:t xml:space="preserve"> evaluation of the sponsor’s responses.</w:t>
      </w:r>
    </w:p>
    <w:p w:rsidR="00B918B1" w:rsidRDefault="00B918B1" w:rsidP="00B918B1">
      <w:pPr>
        <w:pStyle w:val="TableTitle"/>
        <w:rPr>
          <w:lang w:eastAsia="en-AU"/>
        </w:rPr>
      </w:pPr>
      <w:r>
        <w:rPr>
          <w:lang w:eastAsia="en-AU"/>
        </w:rPr>
        <w:t>Table 7: Reconciliation of issues outlined in the RMP report</w:t>
      </w:r>
    </w:p>
    <w:tbl>
      <w:tblPr>
        <w:tblStyle w:val="TableTGAblue"/>
        <w:tblW w:w="0" w:type="auto"/>
        <w:tblLook w:val="04A0" w:firstRow="1" w:lastRow="0" w:firstColumn="1" w:lastColumn="0" w:noHBand="0" w:noVBand="1"/>
      </w:tblPr>
      <w:tblGrid>
        <w:gridCol w:w="3085"/>
        <w:gridCol w:w="2410"/>
        <w:gridCol w:w="3225"/>
      </w:tblGrid>
      <w:tr w:rsidR="00666BA6" w:rsidRPr="00B262A2" w:rsidTr="00666BA6">
        <w:trPr>
          <w:cnfStyle w:val="100000000000" w:firstRow="1" w:lastRow="0" w:firstColumn="0" w:lastColumn="0" w:oddVBand="0" w:evenVBand="0" w:oddHBand="0" w:evenHBand="0" w:firstRowFirstColumn="0" w:firstRowLastColumn="0" w:lastRowFirstColumn="0" w:lastRowLastColumn="0"/>
        </w:trPr>
        <w:tc>
          <w:tcPr>
            <w:tcW w:w="3085" w:type="dxa"/>
          </w:tcPr>
          <w:p w:rsidR="002D77B6" w:rsidRPr="00B262A2" w:rsidRDefault="002D77B6" w:rsidP="002745E5">
            <w:pPr>
              <w:ind w:left="0" w:right="34"/>
            </w:pPr>
            <w:r w:rsidRPr="00B262A2">
              <w:t xml:space="preserve">Recommendation in RMP evaluation report </w:t>
            </w:r>
          </w:p>
        </w:tc>
        <w:tc>
          <w:tcPr>
            <w:tcW w:w="2410" w:type="dxa"/>
          </w:tcPr>
          <w:p w:rsidR="002D77B6" w:rsidRPr="00B262A2" w:rsidRDefault="002D77B6" w:rsidP="002745E5">
            <w:pPr>
              <w:ind w:left="0" w:right="34"/>
            </w:pPr>
            <w:r w:rsidRPr="00B262A2">
              <w:t xml:space="preserve">Sponsor’s response </w:t>
            </w:r>
          </w:p>
        </w:tc>
        <w:tc>
          <w:tcPr>
            <w:tcW w:w="3225" w:type="dxa"/>
          </w:tcPr>
          <w:p w:rsidR="002D77B6" w:rsidRPr="00B262A2" w:rsidRDefault="00B262A2" w:rsidP="002745E5">
            <w:pPr>
              <w:ind w:left="0" w:right="34"/>
            </w:pPr>
            <w:r>
              <w:t>RMP</w:t>
            </w:r>
            <w:r w:rsidR="002D77B6" w:rsidRPr="00B262A2">
              <w:t xml:space="preserve"> evaluator’s comment </w:t>
            </w:r>
          </w:p>
        </w:tc>
      </w:tr>
      <w:tr w:rsidR="00666BA6" w:rsidRPr="00B262A2" w:rsidTr="00666BA6">
        <w:tc>
          <w:tcPr>
            <w:tcW w:w="3085" w:type="dxa"/>
          </w:tcPr>
          <w:p w:rsidR="002D77B6" w:rsidRPr="00B262A2" w:rsidRDefault="002D77B6" w:rsidP="002745E5">
            <w:pPr>
              <w:ind w:left="0" w:right="34"/>
            </w:pPr>
            <w:r w:rsidRPr="00B262A2">
              <w:t xml:space="preserve">1. Safety </w:t>
            </w:r>
            <w:r w:rsidR="006542FF" w:rsidRPr="00B262A2">
              <w:t>c</w:t>
            </w:r>
            <w:r w:rsidRPr="00B262A2">
              <w:t xml:space="preserve">onsiderations may be raised by the clinical evaluator through the consolidated request </w:t>
            </w:r>
            <w:r w:rsidR="006542FF" w:rsidRPr="00B262A2">
              <w:t xml:space="preserve">for further information </w:t>
            </w:r>
            <w:r w:rsidRPr="00B262A2">
              <w:t xml:space="preserve">and/or the </w:t>
            </w:r>
            <w:r w:rsidR="00B262A2" w:rsidRPr="00B262A2">
              <w:t>clinical evaluation report</w:t>
            </w:r>
            <w:r w:rsidR="00B262A2">
              <w:t xml:space="preserve"> (CER)</w:t>
            </w:r>
            <w:r w:rsidRPr="00B262A2">
              <w:t xml:space="preserve">. It is important to ensure that the information provided in response to these </w:t>
            </w:r>
            <w:proofErr w:type="gramStart"/>
            <w:r w:rsidRPr="00B262A2">
              <w:t>include</w:t>
            </w:r>
            <w:proofErr w:type="gramEnd"/>
            <w:r w:rsidRPr="00B262A2">
              <w:t xml:space="preserve"> a consideration of the relevance for the </w:t>
            </w:r>
            <w:r w:rsidR="00B262A2">
              <w:t>RMP</w:t>
            </w:r>
            <w:r w:rsidRPr="00B262A2">
              <w:t>, and any specific information needed to address this issue in the RMP. For any safety considerations so raised, the sponsor should provide information that is relevant and necessary t</w:t>
            </w:r>
            <w:r w:rsidR="006542FF" w:rsidRPr="00B262A2">
              <w:t>o address the issue in the RMP.</w:t>
            </w:r>
          </w:p>
        </w:tc>
        <w:tc>
          <w:tcPr>
            <w:tcW w:w="2410" w:type="dxa"/>
          </w:tcPr>
          <w:p w:rsidR="002D77B6" w:rsidRPr="00B262A2" w:rsidRDefault="002D77B6" w:rsidP="002745E5">
            <w:pPr>
              <w:ind w:left="0" w:right="34"/>
            </w:pPr>
            <w:r w:rsidRPr="00B262A2">
              <w:t>The sponsor states: “Gilead provides confirmation that no Safety Considerations were raised by the clinical evaluator through the consolidated request</w:t>
            </w:r>
            <w:r w:rsidR="006542FF" w:rsidRPr="00B262A2">
              <w:t xml:space="preserve"> for further information</w:t>
            </w:r>
            <w:r w:rsidRPr="00B262A2">
              <w:t xml:space="preserve"> and/or the Clinical Evaluation Report”.</w:t>
            </w:r>
          </w:p>
        </w:tc>
        <w:tc>
          <w:tcPr>
            <w:tcW w:w="3225" w:type="dxa"/>
          </w:tcPr>
          <w:p w:rsidR="002D77B6" w:rsidRPr="00B262A2" w:rsidRDefault="002D77B6" w:rsidP="002745E5">
            <w:pPr>
              <w:ind w:left="0" w:right="34"/>
            </w:pPr>
            <w:r w:rsidRPr="00B262A2">
              <w:t>This is generally acceptable. However, in response to a CER query in relation to the PI, the sponsor proposed to amend the statement: “Additional adverse</w:t>
            </w:r>
            <w:r w:rsidR="006542FF" w:rsidRPr="00B262A2">
              <w:t xml:space="preserve"> drug reactions observed with Stribild</w:t>
            </w:r>
            <w:r w:rsidRPr="00B262A2">
              <w:t xml:space="preserve"> included suicidal ideation and suicide attempt (0.3%), all in subjects with a pre-existing history of depression or psychiatric illness” to “Additional adverse drug reactions observed with S</w:t>
            </w:r>
            <w:r w:rsidR="006542FF" w:rsidRPr="00B262A2">
              <w:t>tribild</w:t>
            </w:r>
            <w:r w:rsidRPr="00B262A2">
              <w:t xml:space="preserve"> included suicidal ideation and suicide attempt (0.3%, 2 of 701), these two patients had a pre-existing history of depression or psychiatric illness” for clarity. This was accepted by the </w:t>
            </w:r>
            <w:r w:rsidR="006542FF" w:rsidRPr="00B262A2">
              <w:t>c</w:t>
            </w:r>
            <w:r w:rsidRPr="00B262A2">
              <w:t xml:space="preserve">linical </w:t>
            </w:r>
            <w:r w:rsidR="006542FF" w:rsidRPr="00B262A2">
              <w:t>e</w:t>
            </w:r>
            <w:r w:rsidRPr="00B262A2">
              <w:t xml:space="preserve">valuator, although this revision to the routine risk minimisation for the important identified risk: ‘Suicidal ideation/suicide attempt in </w:t>
            </w:r>
            <w:r w:rsidRPr="00B262A2">
              <w:lastRenderedPageBreak/>
              <w:t xml:space="preserve">patients with a pre-existing history of depression or psychiatric illness’ does not appear to be reflected in the revised AU-RMP. The sponsor should administratively correct this oversight when the RMP documentation is next updated. To this end it will be expected that the updated RMP documentation will be an unadapted EU-RMP, including V.B.8.6 RMP module SVI Additional EU requirements for the safety specification, and all RMP differences between the </w:t>
            </w:r>
            <w:r w:rsidR="00B262A2">
              <w:t>EU</w:t>
            </w:r>
            <w:r w:rsidRPr="00B262A2">
              <w:t xml:space="preserve"> and Australia should be documented in the Australian‐specific Annex (ASA) accompanying the EU-RMP as per the RMP Questions &amp; Answers (Version 2.0, March 2015). In addition any updated RMP submission requires a summary table of changes between the updated RMP and the last RMP submitted to the TGA.</w:t>
            </w:r>
          </w:p>
        </w:tc>
      </w:tr>
      <w:tr w:rsidR="00666BA6" w:rsidRPr="00B262A2" w:rsidTr="00666BA6">
        <w:tc>
          <w:tcPr>
            <w:tcW w:w="3085" w:type="dxa"/>
          </w:tcPr>
          <w:p w:rsidR="002D77B6" w:rsidRPr="00B262A2" w:rsidRDefault="002D77B6" w:rsidP="002745E5">
            <w:pPr>
              <w:ind w:left="0" w:right="34"/>
            </w:pPr>
            <w:r w:rsidRPr="00B262A2">
              <w:lastRenderedPageBreak/>
              <w:t>2. There are no objections to the specified changes to the pharmacovigilance plan previously accepted for S</w:t>
            </w:r>
            <w:r w:rsidR="006542FF" w:rsidRPr="00B262A2">
              <w:t>tribild</w:t>
            </w:r>
            <w:r w:rsidRPr="00B262A2">
              <w:t>. However, the sponsor should correct the internal inconsistency regarding the categorisation of the planned Post</w:t>
            </w:r>
            <w:r w:rsidR="006542FF" w:rsidRPr="00B262A2">
              <w:t xml:space="preserve"> </w:t>
            </w:r>
            <w:r w:rsidRPr="00B262A2">
              <w:t>authorisation safety study of a representative sample of HIV-1 infected paediatric patients between Appendix 1 and Table 4-2 of the AU-RMP.</w:t>
            </w:r>
          </w:p>
        </w:tc>
        <w:tc>
          <w:tcPr>
            <w:tcW w:w="2410" w:type="dxa"/>
          </w:tcPr>
          <w:p w:rsidR="002D77B6" w:rsidRPr="00B262A2" w:rsidRDefault="002D77B6" w:rsidP="002745E5">
            <w:pPr>
              <w:ind w:left="0" w:right="34"/>
            </w:pPr>
            <w:r w:rsidRPr="00B262A2">
              <w:t>The sponsor states: “Gilead has updated Appendix 1 to state that the Post-authori</w:t>
            </w:r>
            <w:r w:rsidR="006542FF" w:rsidRPr="00B262A2">
              <w:t>s</w:t>
            </w:r>
            <w:r w:rsidRPr="00B262A2">
              <w:t xml:space="preserve">ation safety study of HIV-1 infected paediatric patients to define the long-term safety profile of TDF (TDF, </w:t>
            </w:r>
            <w:proofErr w:type="spellStart"/>
            <w:r w:rsidRPr="00B262A2">
              <w:t>Viread</w:t>
            </w:r>
            <w:proofErr w:type="spellEnd"/>
            <w:r w:rsidRPr="00B262A2">
              <w:t>) in HIV-1 infected paediatric patients is listed as a Category 4 study for consistency within Stated Additional Pharmacovigilance Activiti</w:t>
            </w:r>
            <w:r w:rsidR="006542FF" w:rsidRPr="00B262A2">
              <w:t>es (Category 4) of the AU-RMP”.</w:t>
            </w:r>
          </w:p>
        </w:tc>
        <w:tc>
          <w:tcPr>
            <w:tcW w:w="3225" w:type="dxa"/>
          </w:tcPr>
          <w:p w:rsidR="002D77B6" w:rsidRPr="00B262A2" w:rsidRDefault="002D77B6" w:rsidP="002745E5">
            <w:pPr>
              <w:ind w:left="0" w:right="34"/>
            </w:pPr>
            <w:r w:rsidRPr="00B262A2">
              <w:t>This is acceptable.</w:t>
            </w:r>
          </w:p>
        </w:tc>
      </w:tr>
      <w:tr w:rsidR="00666BA6" w:rsidRPr="00B262A2" w:rsidTr="00666BA6">
        <w:tc>
          <w:tcPr>
            <w:tcW w:w="3085" w:type="dxa"/>
          </w:tcPr>
          <w:p w:rsidR="002D77B6" w:rsidRPr="00B262A2" w:rsidRDefault="002D77B6" w:rsidP="002745E5">
            <w:pPr>
              <w:ind w:left="0" w:right="34"/>
            </w:pPr>
            <w:r w:rsidRPr="00B262A2">
              <w:t xml:space="preserve">3. The sponsor’s correspondence dated 23 July </w:t>
            </w:r>
            <w:r w:rsidRPr="00B262A2">
              <w:lastRenderedPageBreak/>
              <w:t xml:space="preserve">2012 states: “Gilead provides an assurance that the protocols for planned </w:t>
            </w:r>
            <w:r w:rsidR="00B262A2" w:rsidRPr="00B262A2">
              <w:t>clinical studies</w:t>
            </w:r>
            <w:r w:rsidRPr="00B262A2">
              <w:t xml:space="preserve"> GS-US-174-0127, GS-US-216-0128 and GS-US-174-0144 will be provided to TGA as reference, when available.” To date it appears none of these protocols have been provided to the TGA, therefore it is assumed they are still not yet available. The sponsor should confirm the availability of these protocols and fulfil their obligation if the protocol of any of </w:t>
            </w:r>
            <w:r w:rsidR="00892831" w:rsidRPr="00B262A2">
              <w:t>these studies is now available.</w:t>
            </w:r>
          </w:p>
        </w:tc>
        <w:tc>
          <w:tcPr>
            <w:tcW w:w="2410" w:type="dxa"/>
          </w:tcPr>
          <w:p w:rsidR="002D77B6" w:rsidRPr="00B262A2" w:rsidRDefault="002D77B6" w:rsidP="002745E5">
            <w:pPr>
              <w:ind w:left="0" w:right="34"/>
            </w:pPr>
            <w:r w:rsidRPr="00B262A2">
              <w:lastRenderedPageBreak/>
              <w:t xml:space="preserve">The sponsor states: </w:t>
            </w:r>
            <w:r w:rsidR="00892831" w:rsidRPr="00B262A2">
              <w:t>“Clinical S</w:t>
            </w:r>
            <w:r w:rsidRPr="00B262A2">
              <w:t>tudies GS-</w:t>
            </w:r>
            <w:r w:rsidRPr="00B262A2">
              <w:lastRenderedPageBreak/>
              <w:t>US-216-0128 and GS-US-174-0144 are Category 4 studies. As per the new RMP format from the EMA, protocols are only provided in Annex 5 of the RMP for Category 1 to 3 studies only. Clinical study GS-US-174-0127 is no longer planned to be conducted and as such has been removed from the AU-RMP. In accordance with EMA Guideline</w:t>
            </w:r>
            <w:r w:rsidR="000B03C5">
              <w:rPr>
                <w:rStyle w:val="FootnoteReference"/>
              </w:rPr>
              <w:footnoteReference w:id="2"/>
            </w:r>
            <w:r w:rsidRPr="00B262A2">
              <w:t xml:space="preserve"> which has been adopted by the TGA, Gilead does not propose to provide protocols for Ca</w:t>
            </w:r>
            <w:r w:rsidR="006542FF" w:rsidRPr="00B262A2">
              <w:t>tegory 4 studies”.</w:t>
            </w:r>
          </w:p>
        </w:tc>
        <w:tc>
          <w:tcPr>
            <w:tcW w:w="3225" w:type="dxa"/>
          </w:tcPr>
          <w:p w:rsidR="002D77B6" w:rsidRPr="00B262A2" w:rsidRDefault="002D77B6" w:rsidP="002745E5">
            <w:pPr>
              <w:ind w:left="0" w:right="34"/>
            </w:pPr>
            <w:r w:rsidRPr="00B262A2">
              <w:lastRenderedPageBreak/>
              <w:t xml:space="preserve">For the missing information: ‘Safety in patients with renal </w:t>
            </w:r>
            <w:r w:rsidRPr="00B262A2">
              <w:lastRenderedPageBreak/>
              <w:t xml:space="preserve">impairment’, the removal of the planned clinical Phase </w:t>
            </w:r>
            <w:r w:rsidR="000B03C5">
              <w:t>II</w:t>
            </w:r>
            <w:r w:rsidRPr="00B262A2">
              <w:t xml:space="preserve"> study (GS-US-174-0127) of use of tenofovir in HBV infected patients with moderate to severe renal impairment is acceptable as another more relevant Phase </w:t>
            </w:r>
            <w:r w:rsidR="000B03C5">
              <w:t>III</w:t>
            </w:r>
            <w:r w:rsidRPr="00B262A2">
              <w:t xml:space="preserve"> study is ongoing. It is agreed the planned clinical studies GS-US-216-0128 and GS-US-174-0144 are Category 4 studies and correspond</w:t>
            </w:r>
            <w:r w:rsidR="000B03C5">
              <w:t>ing protocols are not required.</w:t>
            </w:r>
          </w:p>
        </w:tc>
      </w:tr>
      <w:tr w:rsidR="00666BA6" w:rsidRPr="00B262A2" w:rsidTr="00666BA6">
        <w:tc>
          <w:tcPr>
            <w:tcW w:w="3085" w:type="dxa"/>
          </w:tcPr>
          <w:p w:rsidR="00892831" w:rsidRPr="00B262A2" w:rsidRDefault="00892831" w:rsidP="002745E5">
            <w:pPr>
              <w:ind w:left="0" w:right="34"/>
            </w:pPr>
            <w:r w:rsidRPr="00B262A2">
              <w:lastRenderedPageBreak/>
              <w:t>4. Given Annex 7: ‘Protocols for Proposed and Ongoing Studies in RMP Part IV’ of the AU-RMP has not been provided, draft protocols have not been submitted for the following new planned studies in the pharmacovigilance plan:</w:t>
            </w:r>
          </w:p>
          <w:p w:rsidR="00892831" w:rsidRPr="00B262A2" w:rsidRDefault="00892831" w:rsidP="002745E5">
            <w:pPr>
              <w:ind w:left="0" w:right="34"/>
            </w:pPr>
            <w:r w:rsidRPr="00B262A2">
              <w:t>GS-US-236-0140 - Clinical study of STB, a TDF</w:t>
            </w:r>
            <w:r w:rsidR="00666BA6" w:rsidRPr="00B262A2">
              <w:t xml:space="preserve"> </w:t>
            </w:r>
            <w:r w:rsidRPr="00B262A2">
              <w:t>containing regimen without COBI, and a regimen without TDF or COBI in HIV-1 infect</w:t>
            </w:r>
            <w:r w:rsidR="00666BA6" w:rsidRPr="00B262A2">
              <w:t xml:space="preserve">ed ARV </w:t>
            </w:r>
            <w:r w:rsidR="009C03A7">
              <w:t>treatment naive</w:t>
            </w:r>
            <w:r w:rsidR="00666BA6" w:rsidRPr="00B262A2">
              <w:t xml:space="preserve"> patients</w:t>
            </w:r>
          </w:p>
          <w:p w:rsidR="00892831" w:rsidRPr="00B262A2" w:rsidRDefault="00892831" w:rsidP="002745E5">
            <w:pPr>
              <w:ind w:left="0" w:right="34"/>
            </w:pPr>
            <w:r w:rsidRPr="00B262A2">
              <w:t xml:space="preserve">GS-EU-236-0141 - A Prospective, Observational Drug Utilization Study of Stribild in Adults With HIV-1 Infection, which is also meant to assess the effectiveness of additional risk minimisation activities conducted for the important identified risk: </w:t>
            </w:r>
            <w:r w:rsidRPr="00B262A2">
              <w:lastRenderedPageBreak/>
              <w:t>‘Renal toxicity’</w:t>
            </w:r>
          </w:p>
          <w:p w:rsidR="00892831" w:rsidRPr="00B262A2" w:rsidRDefault="00892831" w:rsidP="002745E5">
            <w:pPr>
              <w:ind w:left="0" w:right="34"/>
            </w:pPr>
            <w:r w:rsidRPr="00B262A2">
              <w:t>Post</w:t>
            </w:r>
            <w:r w:rsidR="00666BA6" w:rsidRPr="00B262A2">
              <w:t xml:space="preserve"> </w:t>
            </w:r>
            <w:r w:rsidRPr="00B262A2">
              <w:t>authorisation safety study of a representative sample of HIV-1 infected paediatric patients</w:t>
            </w:r>
          </w:p>
          <w:p w:rsidR="00892831" w:rsidRPr="00B262A2" w:rsidRDefault="00892831" w:rsidP="002745E5">
            <w:pPr>
              <w:ind w:left="0" w:right="34"/>
            </w:pPr>
            <w:r w:rsidRPr="00B262A2">
              <w:t>PBPK simulations of the effect of potent CYP3A4 inhibitors on COBI exposure</w:t>
            </w:r>
          </w:p>
          <w:p w:rsidR="00892831" w:rsidRPr="00B262A2" w:rsidRDefault="00892831" w:rsidP="002745E5">
            <w:pPr>
              <w:ind w:left="0" w:right="34"/>
            </w:pPr>
            <w:r w:rsidRPr="00B262A2">
              <w:t xml:space="preserve">GS-US-183-1004 - A Phase </w:t>
            </w:r>
            <w:r w:rsidR="00666BA6" w:rsidRPr="00B262A2">
              <w:t>I</w:t>
            </w:r>
            <w:r w:rsidRPr="00B262A2">
              <w:t>, Multiple</w:t>
            </w:r>
            <w:r w:rsidR="00666BA6" w:rsidRPr="00B262A2">
              <w:t xml:space="preserve"> </w:t>
            </w:r>
            <w:r w:rsidRPr="00B262A2">
              <w:t>Dose Study to Evaluate the Pharmacokinetics of Cobicistat-Boosted Elvitegravir in Subjects with Decreased UGT1A1 Activity</w:t>
            </w:r>
          </w:p>
          <w:p w:rsidR="00892831" w:rsidRPr="00B262A2" w:rsidRDefault="00892831" w:rsidP="002745E5">
            <w:pPr>
              <w:ind w:left="0" w:right="34"/>
            </w:pPr>
            <w:r w:rsidRPr="00B262A2">
              <w:t>The sponsor should provide at least an electronic copy of the draft protocols for these studies to the TGA for review if they have not already been initiated. If they are not yet available the sponsor should provide an assurance that draft protocols for these studies will be provided to the TGA when they become available.</w:t>
            </w:r>
          </w:p>
        </w:tc>
        <w:tc>
          <w:tcPr>
            <w:tcW w:w="2410" w:type="dxa"/>
          </w:tcPr>
          <w:p w:rsidR="00892831" w:rsidRPr="00B262A2" w:rsidRDefault="00892831" w:rsidP="002745E5">
            <w:pPr>
              <w:ind w:left="0" w:right="34"/>
            </w:pPr>
            <w:r w:rsidRPr="00B262A2">
              <w:lastRenderedPageBreak/>
              <w:t>The sponsor states: “Annex 7 was not provided to the TGA as this Annex is specific to “Protocols for Proposed and Ongoing Studies in RMP Part IV”. Part IV of the RMP is “P</w:t>
            </w:r>
            <w:r w:rsidR="00666BA6" w:rsidRPr="00B262A2">
              <w:t>lans</w:t>
            </w:r>
            <w:r w:rsidRPr="00B262A2">
              <w:t xml:space="preserve"> </w:t>
            </w:r>
            <w:r w:rsidR="00666BA6" w:rsidRPr="00B262A2">
              <w:t>for</w:t>
            </w:r>
            <w:r w:rsidRPr="00B262A2">
              <w:t xml:space="preserve"> P</w:t>
            </w:r>
            <w:r w:rsidR="00666BA6" w:rsidRPr="00B262A2">
              <w:t xml:space="preserve">ost </w:t>
            </w:r>
            <w:r w:rsidRPr="00B262A2">
              <w:t>A</w:t>
            </w:r>
            <w:r w:rsidR="00666BA6" w:rsidRPr="00B262A2">
              <w:t>uthorisations</w:t>
            </w:r>
            <w:r w:rsidRPr="00B262A2">
              <w:t xml:space="preserve"> E</w:t>
            </w:r>
            <w:r w:rsidR="00666BA6" w:rsidRPr="00B262A2">
              <w:t xml:space="preserve">fficacy </w:t>
            </w:r>
            <w:r w:rsidRPr="00B262A2">
              <w:t>S</w:t>
            </w:r>
            <w:r w:rsidR="00666BA6" w:rsidRPr="00B262A2">
              <w:t>tudies</w:t>
            </w:r>
            <w:r w:rsidRPr="00B262A2">
              <w:t>”. As per Part IV of the RMP, there are no post</w:t>
            </w:r>
            <w:r w:rsidR="00666BA6" w:rsidRPr="00B262A2">
              <w:t xml:space="preserve"> </w:t>
            </w:r>
            <w:r w:rsidRPr="00B262A2">
              <w:t>authori</w:t>
            </w:r>
            <w:r w:rsidR="00666BA6" w:rsidRPr="00B262A2">
              <w:t>s</w:t>
            </w:r>
            <w:r w:rsidRPr="00B262A2">
              <w:t xml:space="preserve">ation efficacy studies planned and therefore no protocols are included in the Annex 7. The studies listed above by the RMP evaluator are Category 4 pharmacovigilance activities in the RMP, and as per the response to question </w:t>
            </w:r>
            <w:r w:rsidRPr="00B262A2">
              <w:lastRenderedPageBreak/>
              <w:t>3, only Category 1 to 3 studie</w:t>
            </w:r>
            <w:r w:rsidR="00666BA6" w:rsidRPr="00B262A2">
              <w:t>s are required to be provided”.</w:t>
            </w:r>
          </w:p>
        </w:tc>
        <w:tc>
          <w:tcPr>
            <w:tcW w:w="3225" w:type="dxa"/>
          </w:tcPr>
          <w:p w:rsidR="00892831" w:rsidRPr="00B262A2" w:rsidRDefault="00892831" w:rsidP="002745E5">
            <w:pPr>
              <w:ind w:left="0" w:right="34"/>
            </w:pPr>
            <w:r w:rsidRPr="00B262A2">
              <w:lastRenderedPageBreak/>
              <w:t xml:space="preserve">It is acknowledged that Annex 6 of the EU-RMP only requests ‘Protocols for proposed and on-going studies in categories 1-3 of the section “Summary table of additional pharmacovigilance activities” in RMP part III’. However this EU guideline also states that Category 4 relates to: “Other studies conducted by MAH which may provide safety information but are not considered </w:t>
            </w:r>
            <w:proofErr w:type="gramStart"/>
            <w:r w:rsidRPr="00B262A2">
              <w:t>to be</w:t>
            </w:r>
            <w:proofErr w:type="gramEnd"/>
            <w:r w:rsidRPr="00B262A2">
              <w:t xml:space="preserve"> of significant importance in investigating a safety concern or the effectiveness of risk minimisation activities”. It is considered that such criteria do not apply to the planned </w:t>
            </w:r>
            <w:r w:rsidR="00666BA6" w:rsidRPr="00B262A2">
              <w:t>C</w:t>
            </w:r>
            <w:r w:rsidRPr="00B262A2">
              <w:t xml:space="preserve">linical </w:t>
            </w:r>
            <w:r w:rsidR="00666BA6" w:rsidRPr="00B262A2">
              <w:t>S</w:t>
            </w:r>
            <w:r w:rsidRPr="00B262A2">
              <w:t xml:space="preserve">tudies GS-US-236-0140 and GS-EU-236-0141. Consequently it is reiterated that the sponsor should provide at least an electronic </w:t>
            </w:r>
            <w:r w:rsidRPr="00B262A2">
              <w:lastRenderedPageBreak/>
              <w:t xml:space="preserve">copy of the draft protocols for these studies to the TGA if they have not already been initiated. If they are not yet available the sponsor should provide an assurance that draft protocols for these studies will be provided to the </w:t>
            </w:r>
            <w:r w:rsidR="00666BA6" w:rsidRPr="00B262A2">
              <w:t>TGA when they become available.</w:t>
            </w:r>
          </w:p>
        </w:tc>
      </w:tr>
      <w:tr w:rsidR="00546899" w:rsidRPr="00B262A2" w:rsidTr="00666BA6">
        <w:tc>
          <w:tcPr>
            <w:tcW w:w="3085" w:type="dxa"/>
          </w:tcPr>
          <w:p w:rsidR="00546899" w:rsidRPr="00B262A2" w:rsidRDefault="00546899" w:rsidP="002745E5">
            <w:pPr>
              <w:ind w:left="0" w:right="34"/>
            </w:pPr>
            <w:r w:rsidRPr="00B262A2">
              <w:lastRenderedPageBreak/>
              <w:t>5. The ‘Potential for Medication Errors’ section of the AU-RMP previously accepted for Stribild has been removed from the updated AU-RMP. The sponsor’s handling of this matter using routine pharmacovigilance, routine risk minimisation and additional risk minimisation activities was previously considered satisfactory. Consequently the sponsor should reinstate such a section in a revised AU-RMP, which relates to the important identified risk: ‘Renal toxicity’, including updating this section with post marketing data.</w:t>
            </w:r>
          </w:p>
        </w:tc>
        <w:tc>
          <w:tcPr>
            <w:tcW w:w="2410" w:type="dxa"/>
          </w:tcPr>
          <w:p w:rsidR="00546899" w:rsidRPr="00B262A2" w:rsidRDefault="00546899" w:rsidP="002745E5">
            <w:pPr>
              <w:ind w:left="0" w:right="34"/>
            </w:pPr>
            <w:r w:rsidRPr="00B262A2">
              <w:t>The sponsor states: “Gilead has reinstated the ‘Potential for Medication Errors’ section of the AU-RMP within Section 6, Additional Requirements for the Safety Specification”.</w:t>
            </w:r>
          </w:p>
        </w:tc>
        <w:tc>
          <w:tcPr>
            <w:tcW w:w="3225" w:type="dxa"/>
          </w:tcPr>
          <w:p w:rsidR="00546899" w:rsidRPr="00B262A2" w:rsidRDefault="00546899" w:rsidP="002745E5">
            <w:pPr>
              <w:ind w:left="0" w:right="34"/>
            </w:pPr>
            <w:r w:rsidRPr="00B262A2">
              <w:t>This is acceptable.</w:t>
            </w:r>
          </w:p>
        </w:tc>
      </w:tr>
      <w:tr w:rsidR="00546899" w:rsidRPr="00B262A2" w:rsidTr="00666BA6">
        <w:tc>
          <w:tcPr>
            <w:tcW w:w="3085" w:type="dxa"/>
          </w:tcPr>
          <w:p w:rsidR="00546899" w:rsidRPr="00B262A2" w:rsidRDefault="00546899" w:rsidP="002745E5">
            <w:pPr>
              <w:ind w:left="0" w:right="34"/>
            </w:pPr>
            <w:r w:rsidRPr="00B262A2">
              <w:lastRenderedPageBreak/>
              <w:t>6. The sponsor’s correspondence, dated 16 January 2013, states: (information relating to additional risk minimisation activities for the important identified risk: ‘Renal toxicity). It does not appear that the key results regarding renal messaging from the clinical audits conducted at the proposed HIV in the Body meeting and state based educational meetings have been communicated to the TGA within the updated AU-RMP. Consequently the sponsor should now fulfil its obligation by revising the AU-RMP accordingly and include the above details of the additional risk minimisation activities conducted for the important identified risk: ‘Renal toxicity’ in Australia in this document.</w:t>
            </w:r>
          </w:p>
        </w:tc>
        <w:tc>
          <w:tcPr>
            <w:tcW w:w="2410" w:type="dxa"/>
          </w:tcPr>
          <w:p w:rsidR="00546899" w:rsidRPr="00B262A2" w:rsidRDefault="00546899" w:rsidP="002745E5">
            <w:pPr>
              <w:ind w:left="0" w:right="34"/>
            </w:pPr>
            <w:r w:rsidRPr="00B262A2">
              <w:t>The sponsor states: “Gilead has updated Table 1-1.Risk Minimisation Measures for Important Identified Risks within Part V of the AU-RMP with key results from the HIV and the Body educational meetings and state based commercial launch meetings. Prior to commercial launch of Stribild in Australia in May 2014, Gilead has also undertaken additional risk minimisation measures related to the Important Identified Risk of Renal toxicity (TDF). As such, Table 1-2 has been updated accordingly”.</w:t>
            </w:r>
          </w:p>
        </w:tc>
        <w:tc>
          <w:tcPr>
            <w:tcW w:w="3225" w:type="dxa"/>
          </w:tcPr>
          <w:p w:rsidR="00546899" w:rsidRPr="00B262A2" w:rsidRDefault="00546899" w:rsidP="002745E5">
            <w:pPr>
              <w:ind w:left="0" w:right="34"/>
            </w:pPr>
            <w:r w:rsidRPr="00B262A2">
              <w:t>This is acceptable, although it is noted that Annex 9. ‘Details of additional risk minimi</w:t>
            </w:r>
            <w:r w:rsidR="00E337D5" w:rsidRPr="00B262A2">
              <w:t>s</w:t>
            </w:r>
            <w:r w:rsidRPr="00B262A2">
              <w:t xml:space="preserve">ation measures’ has been added rather than Table 1-2. ‘Risk Minimisation Measures for Important Potential </w:t>
            </w:r>
            <w:proofErr w:type="gramStart"/>
            <w:r w:rsidRPr="00B262A2">
              <w:t>Risks’ being</w:t>
            </w:r>
            <w:proofErr w:type="gramEnd"/>
            <w:r w:rsidRPr="00B262A2">
              <w:t xml:space="preserve"> updated.</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DC3859" w:rsidRPr="00DC3859" w:rsidRDefault="00DC3859" w:rsidP="00DC3859">
      <w:r>
        <w:t xml:space="preserve">It </w:t>
      </w:r>
      <w:r w:rsidRPr="00DC3859">
        <w:t>is considered that the</w:t>
      </w:r>
      <w:r w:rsidR="008E3340">
        <w:t xml:space="preserve"> sponsor’s response to the TGA r</w:t>
      </w:r>
      <w:r w:rsidRPr="00DC3859">
        <w:t xml:space="preserve">equest </w:t>
      </w:r>
      <w:r>
        <w:t xml:space="preserve">for further information </w:t>
      </w:r>
      <w:r w:rsidRPr="00DC3859">
        <w:t>has not adequately addressed all of the issues identified in the RMP evaluation report.</w:t>
      </w:r>
    </w:p>
    <w:p w:rsidR="00DC3859" w:rsidRPr="00DC3859" w:rsidRDefault="00DC3859" w:rsidP="00DC3859">
      <w:pPr>
        <w:pStyle w:val="Heading5"/>
        <w:rPr>
          <w:rFonts w:eastAsiaTheme="minorHAnsi"/>
        </w:rPr>
      </w:pPr>
      <w:r w:rsidRPr="00DC3859">
        <w:rPr>
          <w:rFonts w:eastAsiaTheme="minorHAnsi"/>
        </w:rPr>
        <w:t>Outstanding issues</w:t>
      </w:r>
    </w:p>
    <w:p w:rsidR="00DC3859" w:rsidRPr="008E3340" w:rsidRDefault="00DC3859" w:rsidP="008E3340">
      <w:r w:rsidRPr="008E3340">
        <w:t>Issues in relation to the RMP</w:t>
      </w:r>
    </w:p>
    <w:p w:rsidR="00DC3859" w:rsidRPr="008E3340" w:rsidRDefault="00DC3859" w:rsidP="008E3340">
      <w:r w:rsidRPr="008E3340">
        <w:t xml:space="preserve">The sponsor was asked to respond to safety considerations raised by the clinical evaluator through the consolidated request for further information and/or the </w:t>
      </w:r>
      <w:r w:rsidR="003618A7" w:rsidRPr="008E3340">
        <w:t>CER</w:t>
      </w:r>
      <w:r w:rsidRPr="008E3340">
        <w:t xml:space="preserve">, in the context of relevance to the RMP. The sponsor states: “Gilead provides confirmation that </w:t>
      </w:r>
      <w:r w:rsidR="003618A7" w:rsidRPr="008E3340">
        <w:t xml:space="preserve">no safety considerations </w:t>
      </w:r>
      <w:r w:rsidRPr="008E3340">
        <w:t xml:space="preserve">were raised by the clinical evaluator through the TGA request for further information and/or the </w:t>
      </w:r>
      <w:r w:rsidR="003618A7" w:rsidRPr="008E3340">
        <w:t>CER</w:t>
      </w:r>
      <w:r w:rsidRPr="008E3340">
        <w:t xml:space="preserve">”. This is generally acceptable. However, in response to a CER query in relation to the PI, the sponsor proposed to amend the statement: “Additional adverse drug reactions observed with Stribild included suicidal ideation and suicide attempt (0.3%, 2 of 701), these two patients had a pre-existing history of depression or psychiatric illness” for clarity. This was accepted by the clinical evaluator, although this revision to the routine risk minimisation for the important identified risk: ‘Suicidal ideation/suicide attempt in patients with a pre-existing history of depression or psychiatric illness’ does not appear to be reflected in the revised AU-RMP. The sponsor should administratively correct this oversight when the RMP documentation is next updated. To this end it will be expected that the updated RMP documentation will be an unadapted EU-RMP, including V.B.8.6 RMP module SVI Additional EU requirements for the </w:t>
      </w:r>
      <w:r w:rsidRPr="008E3340">
        <w:lastRenderedPageBreak/>
        <w:t xml:space="preserve">safety specification, and all RMP differences between the </w:t>
      </w:r>
      <w:r w:rsidR="003618A7" w:rsidRPr="008E3340">
        <w:t>EU</w:t>
      </w:r>
      <w:r w:rsidRPr="008E3340">
        <w:t xml:space="preserve"> and Australia should be documented in the </w:t>
      </w:r>
      <w:r w:rsidR="003618A7" w:rsidRPr="008E3340">
        <w:t>ASA</w:t>
      </w:r>
      <w:r w:rsidRPr="008E3340">
        <w:t xml:space="preserve"> accompanying the EU-RMP as per the RMP Questions </w:t>
      </w:r>
      <w:r w:rsidR="003618A7" w:rsidRPr="008E3340">
        <w:t>and</w:t>
      </w:r>
      <w:r w:rsidRPr="008E3340">
        <w:t xml:space="preserve"> Answers (Version 2.0, March 2015). In addition any updated RMP submission requires a summary table of changes between the updated RMP and the last RMP submitted to the TGA.</w:t>
      </w:r>
    </w:p>
    <w:p w:rsidR="00DC3859" w:rsidRPr="008E3340" w:rsidRDefault="00DC3859" w:rsidP="008E3340">
      <w:r w:rsidRPr="008E3340">
        <w:t>It was noted that the draft protocols had not been submitted for the following new planned studies in the pharmacovigilance plan:</w:t>
      </w:r>
    </w:p>
    <w:p w:rsidR="00DC3859" w:rsidRPr="00DC3859" w:rsidRDefault="00DC3859" w:rsidP="008E3340">
      <w:pPr>
        <w:pStyle w:val="ListBullet"/>
      </w:pPr>
      <w:r w:rsidRPr="00DC3859">
        <w:t>GS-US-236-0140 - Clinical study of STB, a TDF</w:t>
      </w:r>
      <w:r>
        <w:t xml:space="preserve"> </w:t>
      </w:r>
      <w:r w:rsidRPr="00DC3859">
        <w:t>containing regimen without COBI, and a regimen without TDF or COBI in HIV-1 infected ARV treatment</w:t>
      </w:r>
      <w:r>
        <w:t xml:space="preserve"> naïve </w:t>
      </w:r>
      <w:r w:rsidRPr="00DC3859">
        <w:t>patients</w:t>
      </w:r>
      <w:r w:rsidR="00DD6AEF">
        <w:t>.</w:t>
      </w:r>
    </w:p>
    <w:p w:rsidR="00DC3859" w:rsidRPr="00DC3859" w:rsidRDefault="00DC3859" w:rsidP="008E3340">
      <w:pPr>
        <w:pStyle w:val="ListBullet"/>
      </w:pPr>
      <w:r w:rsidRPr="00DC3859">
        <w:t>GS-EU-236-0141 - A Prospective, Observational Drug Utili</w:t>
      </w:r>
      <w:r>
        <w:t>s</w:t>
      </w:r>
      <w:r w:rsidRPr="00DC3859">
        <w:t xml:space="preserve">ation Study of Stribild in Adults </w:t>
      </w:r>
      <w:proofErr w:type="gramStart"/>
      <w:r w:rsidRPr="00DC3859">
        <w:t>With</w:t>
      </w:r>
      <w:proofErr w:type="gramEnd"/>
      <w:r w:rsidRPr="00DC3859">
        <w:t xml:space="preserve"> HIV-1 Infection, which is also meant to assess the effectiveness of additional risk minimisation activities conducted for the important identified risk: ‘Re</w:t>
      </w:r>
      <w:r>
        <w:t>nal toxicity’</w:t>
      </w:r>
      <w:r w:rsidR="00DD6AEF">
        <w:t>.</w:t>
      </w:r>
    </w:p>
    <w:p w:rsidR="00DC3859" w:rsidRPr="00DC3859" w:rsidRDefault="00DC3859" w:rsidP="008E3340">
      <w:pPr>
        <w:pStyle w:val="ListBullet"/>
      </w:pPr>
      <w:r w:rsidRPr="00DC3859">
        <w:t>Post</w:t>
      </w:r>
      <w:r>
        <w:t xml:space="preserve"> </w:t>
      </w:r>
      <w:r w:rsidRPr="00DC3859">
        <w:t xml:space="preserve">authorisation safety study of </w:t>
      </w:r>
      <w:proofErr w:type="spellStart"/>
      <w:r w:rsidRPr="00DC3859">
        <w:t>V</w:t>
      </w:r>
      <w:r>
        <w:t>iread</w:t>
      </w:r>
      <w:proofErr w:type="spellEnd"/>
      <w:r w:rsidRPr="00DC3859">
        <w:t xml:space="preserve"> (</w:t>
      </w:r>
      <w:proofErr w:type="spellStart"/>
      <w:r w:rsidRPr="00DC3859">
        <w:t>tenofovir</w:t>
      </w:r>
      <w:proofErr w:type="spellEnd"/>
      <w:r w:rsidRPr="00DC3859">
        <w:t>) in a representative sample of HIV</w:t>
      </w:r>
      <w:r>
        <w:t>-1 infected paediatric patients</w:t>
      </w:r>
      <w:r w:rsidR="00DD6AEF">
        <w:t>.</w:t>
      </w:r>
    </w:p>
    <w:p w:rsidR="00DC3859" w:rsidRPr="00DC3859" w:rsidRDefault="00DC3859" w:rsidP="008E3340">
      <w:pPr>
        <w:pStyle w:val="ListBullet"/>
      </w:pPr>
      <w:r w:rsidRPr="00DC3859">
        <w:t>PBPK simulations of the effect of potent CYP3A4 inhibitors on COBI exposure</w:t>
      </w:r>
      <w:r w:rsidR="00DD6AEF">
        <w:t>.</w:t>
      </w:r>
    </w:p>
    <w:p w:rsidR="00DC3859" w:rsidRPr="00DC3859" w:rsidRDefault="00DC3859" w:rsidP="008E3340">
      <w:pPr>
        <w:pStyle w:val="ListBullet"/>
      </w:pPr>
      <w:r w:rsidRPr="00DC3859">
        <w:t xml:space="preserve">GS-US-183-1004 - A Phase </w:t>
      </w:r>
      <w:r>
        <w:t>I</w:t>
      </w:r>
      <w:r w:rsidRPr="00DC3859">
        <w:t>, Multiple</w:t>
      </w:r>
      <w:r>
        <w:t xml:space="preserve"> </w:t>
      </w:r>
      <w:r w:rsidRPr="00DC3859">
        <w:t>Dose Study to Evaluate the Pharmacokinetics of Cobicistat</w:t>
      </w:r>
      <w:r>
        <w:t xml:space="preserve"> </w:t>
      </w:r>
      <w:r w:rsidRPr="00DC3859">
        <w:t>Boosted Elvitegravir in Subjects with Decreased UGT1A1 Activity</w:t>
      </w:r>
      <w:r w:rsidR="00DD6AEF">
        <w:t>.</w:t>
      </w:r>
    </w:p>
    <w:p w:rsidR="00DC3859" w:rsidRPr="008E3340" w:rsidRDefault="00DC3859" w:rsidP="008E3340">
      <w:r w:rsidRPr="008E3340">
        <w:t xml:space="preserve">The sponsor was asked to provide at least an electronic copy of the draft protocols for these studies to the TGA for review. If they are not yet available the sponsor should provide an assurance that draft protocols for these studies will be provided to the TGA when they become available. The sponsor states: “The studies listed above by the RMP evaluator are Category 4 pharmacovigilance activities in the RMP, and as per the response to question 3, only Category 1 to 3 studies are required to be provided”. It is acknowledged that Annex 6 of the EU-RMP only requests ‘Protocols for proposed and on-going studies in categories 1-3 of the section “Summary table of additional pharmacovigilance activities” in RMP part III’. However this EU guideline also states that Category 4 relates to: “Other studies conducted by </w:t>
      </w:r>
      <w:r w:rsidR="00E22646" w:rsidRPr="008E3340">
        <w:t>the marketing authorisation holder (</w:t>
      </w:r>
      <w:r w:rsidRPr="008E3340">
        <w:t>MAH</w:t>
      </w:r>
      <w:r w:rsidR="00E22646" w:rsidRPr="008E3340">
        <w:t>)</w:t>
      </w:r>
      <w:r w:rsidRPr="008E3340">
        <w:t xml:space="preserve"> which may provide safety information but are not considered to be of significant importance in investigating a safety concern or the effectiveness of risk minimisation activities”. It is considered that such criteria do not apply to the planned clinical studies GS-US-236-0140 and GS-EU-236-0141. Consequently it is reiterated that the sponsor should provide at least an electronic copy of the draft protocols for these studies to the TGA if they have not already been initiated. If they are not yet available the sponsor should provide an assurance that draft protocols for these studies will be provided to the </w:t>
      </w:r>
      <w:r w:rsidR="00CE56E6" w:rsidRPr="008E3340">
        <w:t>TGA when they become available.</w:t>
      </w:r>
    </w:p>
    <w:p w:rsidR="00DC3859" w:rsidRPr="00DC3859" w:rsidRDefault="00DC3859" w:rsidP="003618A7">
      <w:pPr>
        <w:pStyle w:val="Heading5"/>
      </w:pPr>
      <w:r w:rsidRPr="00DC3859">
        <w:t>Advice from the Advisory Committee on the Safety of Medicines (ACSOM</w:t>
      </w:r>
      <w:r w:rsidR="00CE56E6">
        <w:rPr>
          <w:rFonts w:eastAsiaTheme="minorHAnsi"/>
        </w:rPr>
        <w:t>)</w:t>
      </w:r>
    </w:p>
    <w:p w:rsidR="00DC3859" w:rsidRPr="008E3340" w:rsidRDefault="00DC3859" w:rsidP="008E3340">
      <w:r w:rsidRPr="008E3340">
        <w:t>ACSOM advice was not sought for this submission.</w:t>
      </w:r>
    </w:p>
    <w:p w:rsidR="00DC3859" w:rsidRPr="00DC3859" w:rsidRDefault="00DC3859" w:rsidP="00CE56E6">
      <w:pPr>
        <w:pStyle w:val="Heading5"/>
        <w:rPr>
          <w:rFonts w:eastAsiaTheme="minorHAnsi"/>
        </w:rPr>
      </w:pPr>
      <w:r w:rsidRPr="00CE56E6">
        <w:t>Comments</w:t>
      </w:r>
      <w:r w:rsidRPr="00DC3859">
        <w:rPr>
          <w:rFonts w:eastAsiaTheme="minorHAnsi"/>
        </w:rPr>
        <w:t xml:space="preserve"> on the safety specification of the RM</w:t>
      </w:r>
      <w:r w:rsidR="00CE56E6">
        <w:rPr>
          <w:rFonts w:eastAsiaTheme="minorHAnsi"/>
        </w:rPr>
        <w:t>P</w:t>
      </w:r>
    </w:p>
    <w:p w:rsidR="00DC3859" w:rsidRPr="008E3340" w:rsidRDefault="00CE56E6" w:rsidP="008E3340">
      <w:pPr>
        <w:pStyle w:val="Heading6"/>
      </w:pPr>
      <w:r w:rsidRPr="008E3340">
        <w:t>Clinical Evaluation Report</w:t>
      </w:r>
    </w:p>
    <w:p w:rsidR="00DC3859" w:rsidRPr="008E3340" w:rsidRDefault="00DC3859" w:rsidP="008E3340">
      <w:r w:rsidRPr="008E3340">
        <w:t>The safety concerns are accepted.</w:t>
      </w:r>
    </w:p>
    <w:p w:rsidR="00CE56E6" w:rsidRPr="00CE56E6" w:rsidRDefault="00CE56E6" w:rsidP="00CE56E6">
      <w:pPr>
        <w:pStyle w:val="Heading5"/>
        <w:rPr>
          <w:rFonts w:eastAsiaTheme="minorHAnsi"/>
        </w:rPr>
      </w:pPr>
      <w:r w:rsidRPr="00CE56E6">
        <w:rPr>
          <w:rFonts w:eastAsiaTheme="minorHAnsi"/>
        </w:rPr>
        <w:t>Key changes to the updated RMP</w:t>
      </w:r>
    </w:p>
    <w:p w:rsidR="00DC3859" w:rsidRDefault="00CE56E6" w:rsidP="00CE56E6">
      <w:r w:rsidRPr="00CE56E6">
        <w:t xml:space="preserve">In their response to the TGA Requests </w:t>
      </w:r>
      <w:r>
        <w:t xml:space="preserve">for further information </w:t>
      </w:r>
      <w:r w:rsidRPr="00CE56E6">
        <w:t>the sponsor provided an updated AU-RMP (Version 1.2, dated 19 January 2015). Key changes from the versions evaluated at Round 1 are summarised below</w:t>
      </w:r>
      <w:r w:rsidR="00080CEB">
        <w:t>.</w:t>
      </w:r>
    </w:p>
    <w:p w:rsidR="00307AB6" w:rsidRPr="00CE56E6" w:rsidRDefault="00307AB6" w:rsidP="00DD6AEF">
      <w:pPr>
        <w:pStyle w:val="TableTitle"/>
      </w:pPr>
      <w:r>
        <w:lastRenderedPageBreak/>
        <w:t xml:space="preserve">Table </w:t>
      </w:r>
      <w:r w:rsidR="00B918B1">
        <w:t>8</w:t>
      </w:r>
      <w:r>
        <w:t xml:space="preserve">: Key </w:t>
      </w:r>
      <w:r w:rsidRPr="00DD6AEF">
        <w:t>changes</w:t>
      </w:r>
      <w:r>
        <w:t xml:space="preserve"> from the versions evaluated at Round 1</w:t>
      </w:r>
    </w:p>
    <w:tbl>
      <w:tblPr>
        <w:tblStyle w:val="TableTGAblue"/>
        <w:tblW w:w="0" w:type="auto"/>
        <w:tblLook w:val="04A0" w:firstRow="1" w:lastRow="0" w:firstColumn="1" w:lastColumn="0" w:noHBand="0" w:noVBand="1"/>
      </w:tblPr>
      <w:tblGrid>
        <w:gridCol w:w="1553"/>
        <w:gridCol w:w="7167"/>
      </w:tblGrid>
      <w:tr w:rsidR="00080CEB" w:rsidRPr="00DD6AEF" w:rsidTr="00080CEB">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080CEB" w:rsidRPr="00DD6AEF" w:rsidRDefault="00080CEB" w:rsidP="00DD6AEF">
            <w:pPr>
              <w:rPr>
                <w:sz w:val="20"/>
                <w:szCs w:val="20"/>
              </w:rPr>
            </w:pPr>
            <w:r w:rsidRPr="00DD6AEF">
              <w:rPr>
                <w:sz w:val="20"/>
                <w:szCs w:val="20"/>
              </w:rPr>
              <w:t>Key changes from the versions evaluated at Round 1</w:t>
            </w:r>
          </w:p>
        </w:tc>
      </w:tr>
      <w:tr w:rsidR="00CE56E6" w:rsidRPr="00DD6AEF" w:rsidTr="00080CEB">
        <w:tc>
          <w:tcPr>
            <w:tcW w:w="1553" w:type="dxa"/>
          </w:tcPr>
          <w:p w:rsidR="00CE56E6" w:rsidRPr="00DD6AEF" w:rsidRDefault="00CE56E6" w:rsidP="00DD6AEF">
            <w:pPr>
              <w:rPr>
                <w:sz w:val="20"/>
                <w:szCs w:val="20"/>
              </w:rPr>
            </w:pPr>
            <w:r w:rsidRPr="00DD6AEF">
              <w:rPr>
                <w:sz w:val="20"/>
                <w:szCs w:val="20"/>
              </w:rPr>
              <w:t>AU-RMP</w:t>
            </w:r>
          </w:p>
        </w:tc>
        <w:tc>
          <w:tcPr>
            <w:tcW w:w="7167" w:type="dxa"/>
          </w:tcPr>
          <w:p w:rsidR="00CE56E6" w:rsidRPr="00DD6AEF" w:rsidRDefault="00CE56E6" w:rsidP="00DD6AEF">
            <w:pPr>
              <w:rPr>
                <w:sz w:val="20"/>
                <w:szCs w:val="20"/>
              </w:rPr>
            </w:pPr>
            <w:r w:rsidRPr="00DD6AEF">
              <w:rPr>
                <w:sz w:val="20"/>
                <w:szCs w:val="20"/>
              </w:rPr>
              <w:t>Part II Section 6: ‘Additional requirements for the safety specification’ was added.</w:t>
            </w:r>
          </w:p>
          <w:p w:rsidR="00CE56E6" w:rsidRPr="00DD6AEF" w:rsidRDefault="00CE56E6" w:rsidP="00DD6AEF">
            <w:pPr>
              <w:rPr>
                <w:sz w:val="20"/>
                <w:szCs w:val="20"/>
              </w:rPr>
            </w:pPr>
            <w:r w:rsidRPr="00DD6AEF">
              <w:rPr>
                <w:sz w:val="20"/>
                <w:szCs w:val="20"/>
              </w:rPr>
              <w:t>Reference to the planned Clinical Study GS-US-174-0127 was removed.</w:t>
            </w:r>
          </w:p>
          <w:p w:rsidR="00CE56E6" w:rsidRPr="00DD6AEF" w:rsidRDefault="00CE56E6" w:rsidP="00DD6AEF">
            <w:pPr>
              <w:rPr>
                <w:sz w:val="20"/>
                <w:szCs w:val="20"/>
              </w:rPr>
            </w:pPr>
            <w:r w:rsidRPr="00DD6AEF">
              <w:rPr>
                <w:sz w:val="20"/>
                <w:szCs w:val="20"/>
              </w:rPr>
              <w:t>Part V Table 1-1. ‘Risk Minimisation Measures for Important Identified Risks’ was updated.</w:t>
            </w:r>
          </w:p>
          <w:p w:rsidR="00CE56E6" w:rsidRPr="00DD6AEF" w:rsidRDefault="00CE56E6" w:rsidP="00DD6AEF">
            <w:pPr>
              <w:rPr>
                <w:sz w:val="20"/>
                <w:szCs w:val="20"/>
              </w:rPr>
            </w:pPr>
            <w:r w:rsidRPr="00DD6AEF">
              <w:rPr>
                <w:sz w:val="20"/>
                <w:szCs w:val="20"/>
              </w:rPr>
              <w:t xml:space="preserve">Annex 9. ‘Details of additional risk minimisation measures’ </w:t>
            </w:r>
            <w:proofErr w:type="gramStart"/>
            <w:r w:rsidRPr="00DD6AEF">
              <w:rPr>
                <w:sz w:val="20"/>
                <w:szCs w:val="20"/>
              </w:rPr>
              <w:t>was</w:t>
            </w:r>
            <w:proofErr w:type="gramEnd"/>
            <w:r w:rsidRPr="00DD6AEF">
              <w:rPr>
                <w:sz w:val="20"/>
                <w:szCs w:val="20"/>
              </w:rPr>
              <w:t xml:space="preserve"> added.</w:t>
            </w:r>
          </w:p>
        </w:tc>
      </w:tr>
    </w:tbl>
    <w:p w:rsidR="00CE56E6" w:rsidRPr="00CE56E6" w:rsidRDefault="00CE56E6" w:rsidP="00CE56E6">
      <w:pPr>
        <w:pStyle w:val="Heading5"/>
        <w:rPr>
          <w:rFonts w:eastAsiaTheme="minorHAnsi"/>
        </w:rPr>
      </w:pPr>
      <w:r w:rsidRPr="00CE56E6">
        <w:rPr>
          <w:rFonts w:eastAsiaTheme="minorHAnsi"/>
        </w:rPr>
        <w:t>Suggested wording</w:t>
      </w:r>
      <w:r>
        <w:rPr>
          <w:rFonts w:eastAsiaTheme="minorHAnsi"/>
        </w:rPr>
        <w:t xml:space="preserve"> for conditions of registration</w:t>
      </w:r>
    </w:p>
    <w:p w:rsidR="00CE56E6" w:rsidRPr="008E3340" w:rsidRDefault="00CE56E6" w:rsidP="008E3340">
      <w:pPr>
        <w:pStyle w:val="Heading6"/>
      </w:pPr>
      <w:r w:rsidRPr="008E3340">
        <w:t>RMP</w:t>
      </w:r>
    </w:p>
    <w:p w:rsidR="00CE56E6" w:rsidRPr="008E3340" w:rsidRDefault="00CE56E6" w:rsidP="008E3340">
      <w:r w:rsidRPr="008E3340">
        <w:t>Any changes to which the sponsor agreed become part of the risk management system, whether they are included in the currently available version of the RMP document, or not included, inadvertently or otherwise.</w:t>
      </w:r>
    </w:p>
    <w:p w:rsidR="00CE56E6" w:rsidRPr="008E3340" w:rsidRDefault="00CE56E6" w:rsidP="008E3340">
      <w:r w:rsidRPr="008E3340">
        <w:t>The suggested wording is:</w:t>
      </w:r>
    </w:p>
    <w:p w:rsidR="00CE56E6" w:rsidRPr="008E3340" w:rsidRDefault="00CE56E6" w:rsidP="008E3340">
      <w:r w:rsidRPr="008E3340">
        <w:t>“The Stribild Risk Management Plan for Australia (Version 1.2, dated 19 January 2015) must be implemented.”</w:t>
      </w:r>
    </w:p>
    <w:p w:rsidR="008E7846" w:rsidRPr="00792A32" w:rsidRDefault="008E7846" w:rsidP="008E7846">
      <w:pPr>
        <w:pStyle w:val="Heading2"/>
      </w:pPr>
      <w:bookmarkStart w:id="75" w:name="_Toc314842510"/>
      <w:bookmarkStart w:id="76" w:name="_Toc48158363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4"/>
      <w:bookmarkEnd w:id="74"/>
      <w:bookmarkEnd w:id="75"/>
      <w:bookmarkEnd w:id="76"/>
    </w:p>
    <w:p w:rsidR="008E7846" w:rsidRDefault="008E7846" w:rsidP="008E7846">
      <w:bookmarkStart w:id="77" w:name="_Toc247691528"/>
      <w:r>
        <w:t xml:space="preserve">The submission was summarised in the following </w:t>
      </w:r>
      <w:r w:rsidRPr="00EF5C48">
        <w:t xml:space="preserve">Delegate’s </w:t>
      </w:r>
      <w:r>
        <w:t>overview</w:t>
      </w:r>
      <w:r w:rsidRPr="00EF5C48">
        <w:t xml:space="preserve"> and recommendation</w:t>
      </w:r>
      <w:r>
        <w:t>s:</w:t>
      </w:r>
    </w:p>
    <w:p w:rsidR="005E556E" w:rsidRPr="005E556E" w:rsidRDefault="005E556E" w:rsidP="005E556E">
      <w:r w:rsidRPr="005E556E">
        <w:t xml:space="preserve">This application, seeking approval to update the </w:t>
      </w:r>
      <w:r w:rsidR="003618A7">
        <w:t>Stribild</w:t>
      </w:r>
      <w:r w:rsidRPr="005E556E">
        <w:t xml:space="preserve"> product information is supported by pharmacokinetic, efficacy, and safety data from the clinical studies; GS-US-236-0102, GS-US-236-0103, GS-US-236-0135, GS-US-236-0118, GS-US-236-0115, GS-US-236-0121 and GS-US-236-0123.</w:t>
      </w:r>
    </w:p>
    <w:p w:rsidR="005E556E" w:rsidRPr="005E556E" w:rsidRDefault="005E556E" w:rsidP="005E556E">
      <w:r w:rsidRPr="005E556E">
        <w:t xml:space="preserve">In further analyses from the two pivotal </w:t>
      </w:r>
      <w:r w:rsidR="003618A7">
        <w:t>Phase III</w:t>
      </w:r>
      <w:r w:rsidRPr="005E556E">
        <w:t xml:space="preserve"> st</w:t>
      </w:r>
      <w:r w:rsidR="003618A7">
        <w:t>udies; GS-US-236-0102 and GS</w:t>
      </w:r>
      <w:r w:rsidR="003618A7">
        <w:noBreakHyphen/>
        <w:t>US</w:t>
      </w:r>
      <w:r w:rsidR="003618A7">
        <w:noBreakHyphen/>
      </w:r>
      <w:r w:rsidRPr="005E556E">
        <w:t>236-0103, the PI has been updated with the addition of 144 week efficacy, resistance, and safety data.</w:t>
      </w:r>
    </w:p>
    <w:p w:rsidR="005E556E" w:rsidRPr="005E556E" w:rsidRDefault="005E556E" w:rsidP="005E556E">
      <w:r w:rsidRPr="005E556E">
        <w:t xml:space="preserve">Studies GS-US-236-0115, GS-US-236-0121, and GS-US-236-0123 support an update to the current approved indication to include the use of </w:t>
      </w:r>
      <w:r w:rsidR="003618A7">
        <w:t>Stribild</w:t>
      </w:r>
      <w:r w:rsidRPr="005E556E">
        <w:t xml:space="preserve"> in patients who have no known mutations associated with resistance to the individual components of </w:t>
      </w:r>
      <w:r w:rsidR="003618A7">
        <w:t>Stribild</w:t>
      </w:r>
      <w:r w:rsidRPr="005E556E">
        <w:t>.</w:t>
      </w:r>
    </w:p>
    <w:p w:rsidR="007957C9" w:rsidRPr="007957C9" w:rsidRDefault="005E556E" w:rsidP="007957C9">
      <w:r w:rsidRPr="005E556E">
        <w:t xml:space="preserve">Study GS-US-236-0118 supports an update to the </w:t>
      </w:r>
      <w:r w:rsidR="003618A7" w:rsidRPr="005E556E">
        <w:t xml:space="preserve">adverse effects </w:t>
      </w:r>
      <w:r w:rsidRPr="005E556E">
        <w:t xml:space="preserve">section with the addition of </w:t>
      </w:r>
      <w:r w:rsidR="003618A7">
        <w:t>48 week</w:t>
      </w:r>
      <w:r w:rsidRPr="005E556E">
        <w:t xml:space="preserve"> efficacy, resistance, and safety data in HIV-1 infected treatment-naïve patients with mild to moderate renal impairment.</w:t>
      </w:r>
    </w:p>
    <w:p w:rsidR="007957C9" w:rsidRPr="007957C9" w:rsidRDefault="007957C9" w:rsidP="007957C9">
      <w:r w:rsidRPr="007957C9">
        <w:t xml:space="preserve">The application also includes an update the </w:t>
      </w:r>
      <w:r w:rsidR="003618A7" w:rsidRPr="007957C9">
        <w:t>p</w:t>
      </w:r>
      <w:r w:rsidRPr="007957C9">
        <w:t xml:space="preserve">harmacokinetics section of the PI with the addition of drug-drug interaction data from the </w:t>
      </w:r>
      <w:r w:rsidR="003618A7">
        <w:t>Phase I</w:t>
      </w:r>
      <w:r w:rsidRPr="007957C9">
        <w:t xml:space="preserve"> Study GS-US-236-0135 telaprevir </w:t>
      </w:r>
      <w:r w:rsidR="003618A7">
        <w:t>+</w:t>
      </w:r>
      <w:r w:rsidRPr="007957C9">
        <w:t xml:space="preserve"> </w:t>
      </w:r>
      <w:r w:rsidR="003618A7">
        <w:t>Stribild</w:t>
      </w:r>
      <w:r w:rsidRPr="007957C9">
        <w:t xml:space="preserve"> or </w:t>
      </w:r>
      <w:r w:rsidR="002C3353">
        <w:t>ritonavir boosted</w:t>
      </w:r>
      <w:r w:rsidRPr="007957C9">
        <w:t xml:space="preserve"> atazanavir </w:t>
      </w:r>
      <w:r w:rsidR="003618A7">
        <w:t>+</w:t>
      </w:r>
      <w:r w:rsidRPr="007957C9">
        <w:t xml:space="preserve"> elvitegravir.</w:t>
      </w:r>
    </w:p>
    <w:p w:rsidR="007957C9" w:rsidRPr="007957C9" w:rsidRDefault="007957C9" w:rsidP="007957C9">
      <w:r w:rsidRPr="007957C9">
        <w:t>The proposed product information was considered acceptable in the second round CER and RMP Evaluation, including Clinical Studies reporting of Week 96 and Week 144 analyses for GS-US-236-0102 and GS-US-236-0103, and clinical study reporting of GS-US-236-0115, a GS-US-236-0123 and GS-US-236-0125, and the proposed indications.</w:t>
      </w:r>
      <w:r w:rsidR="003618A7">
        <w:t xml:space="preserve"> </w:t>
      </w:r>
      <w:r w:rsidRPr="007957C9">
        <w:t xml:space="preserve">The </w:t>
      </w:r>
      <w:r w:rsidR="002C3353">
        <w:t>Delegate</w:t>
      </w:r>
      <w:r w:rsidRPr="007957C9">
        <w:t xml:space="preserve"> considers the proposed indications statement </w:t>
      </w:r>
      <w:r w:rsidR="003352BE">
        <w:t>does not reflect the population included in clinical studies</w:t>
      </w:r>
      <w:r w:rsidR="003352BE" w:rsidRPr="007957C9">
        <w:t xml:space="preserve"> </w:t>
      </w:r>
      <w:r w:rsidRPr="007957C9">
        <w:t>and the request for ACPM’s advice is focused on the extension of indications component of the application.</w:t>
      </w:r>
    </w:p>
    <w:p w:rsidR="008E7846" w:rsidRDefault="008E7846" w:rsidP="008E7846">
      <w:pPr>
        <w:pStyle w:val="Heading3"/>
      </w:pPr>
      <w:bookmarkStart w:id="78" w:name="_Toc314842511"/>
      <w:bookmarkStart w:id="79" w:name="_Toc481583637"/>
      <w:r>
        <w:lastRenderedPageBreak/>
        <w:t>Quality</w:t>
      </w:r>
      <w:bookmarkEnd w:id="77"/>
      <w:bookmarkEnd w:id="78"/>
      <w:bookmarkEnd w:id="79"/>
    </w:p>
    <w:p w:rsidR="00E45619" w:rsidRDefault="008E7846" w:rsidP="003A7F6C">
      <w:r>
        <w:t>There was no requirement for a quality evaluation in a submission of this type.</w:t>
      </w:r>
    </w:p>
    <w:p w:rsidR="008E7846" w:rsidRDefault="008E7846" w:rsidP="008E7846">
      <w:pPr>
        <w:pStyle w:val="Heading3"/>
      </w:pPr>
      <w:bookmarkStart w:id="80" w:name="_Toc314842512"/>
      <w:bookmarkStart w:id="81" w:name="_Toc481583638"/>
      <w:r>
        <w:t>Nonclinical</w:t>
      </w:r>
      <w:bookmarkEnd w:id="80"/>
      <w:bookmarkEnd w:id="81"/>
    </w:p>
    <w:p w:rsidR="008E7846" w:rsidRDefault="008E7846" w:rsidP="008E7846">
      <w:r>
        <w:t>There was no requirement for a nonclinical evaluation in a submission of this type.</w:t>
      </w:r>
    </w:p>
    <w:p w:rsidR="008E7846" w:rsidRDefault="00080CEB" w:rsidP="008E7846">
      <w:pPr>
        <w:pStyle w:val="Heading3"/>
      </w:pPr>
      <w:bookmarkStart w:id="82" w:name="_Toc247691530"/>
      <w:bookmarkStart w:id="83" w:name="_Toc314842513"/>
      <w:bookmarkStart w:id="84" w:name="_Toc481583639"/>
      <w:r>
        <w:t xml:space="preserve">Delegates’ </w:t>
      </w:r>
      <w:r w:rsidR="00DD6AEF">
        <w:t>clinical</w:t>
      </w:r>
      <w:bookmarkEnd w:id="82"/>
      <w:bookmarkEnd w:id="83"/>
      <w:r w:rsidR="00DD6AEF">
        <w:t xml:space="preserve"> o</w:t>
      </w:r>
      <w:r>
        <w:t>verview</w:t>
      </w:r>
      <w:bookmarkEnd w:id="84"/>
    </w:p>
    <w:p w:rsidR="003618A7" w:rsidRDefault="007957C9" w:rsidP="007957C9">
      <w:pPr>
        <w:pStyle w:val="Heading4"/>
      </w:pPr>
      <w:bookmarkStart w:id="85" w:name="_Toc314842514"/>
      <w:r w:rsidRPr="007957C9">
        <w:t>Efficacy</w:t>
      </w:r>
    </w:p>
    <w:p w:rsidR="007957C9" w:rsidRDefault="007957C9" w:rsidP="007957C9">
      <w:pPr>
        <w:pStyle w:val="Heading5"/>
      </w:pPr>
      <w:r w:rsidRPr="007957C9">
        <w:t>GS-US-236-0115</w:t>
      </w:r>
    </w:p>
    <w:p w:rsidR="003618A7" w:rsidRDefault="007957C9" w:rsidP="007957C9">
      <w:r w:rsidRPr="007957C9">
        <w:t xml:space="preserve">GS-US-236-0115 is a multi-centre </w:t>
      </w:r>
      <w:r w:rsidR="003618A7">
        <w:t>Phase</w:t>
      </w:r>
      <w:r w:rsidRPr="007957C9">
        <w:t xml:space="preserve"> </w:t>
      </w:r>
      <w:proofErr w:type="spellStart"/>
      <w:r w:rsidR="003618A7">
        <w:t>III</w:t>
      </w:r>
      <w:r w:rsidRPr="007957C9">
        <w:t>b</w:t>
      </w:r>
      <w:proofErr w:type="spellEnd"/>
      <w:r w:rsidRPr="007957C9">
        <w:t xml:space="preserve"> randomised, </w:t>
      </w:r>
      <w:r w:rsidR="003618A7">
        <w:t>open label</w:t>
      </w:r>
      <w:r w:rsidRPr="007957C9">
        <w:t xml:space="preserve"> study to evaluate the efficacy, safety, and tolerability of switching from reg</w:t>
      </w:r>
      <w:r w:rsidR="003618A7">
        <w:t xml:space="preserve">imens consisting of a ritonavir </w:t>
      </w:r>
      <w:r w:rsidRPr="007957C9">
        <w:t>boosted protease inhibitor (</w:t>
      </w:r>
      <w:proofErr w:type="spellStart"/>
      <w:r w:rsidRPr="007957C9">
        <w:t>PIn</w:t>
      </w:r>
      <w:proofErr w:type="spellEnd"/>
      <w:r w:rsidRPr="007957C9">
        <w:t xml:space="preserve"> </w:t>
      </w:r>
      <w:r w:rsidR="003618A7">
        <w:t>+</w:t>
      </w:r>
      <w:r w:rsidRPr="007957C9">
        <w:t xml:space="preserve"> RTV) plus FTC/TDF (TVD) to STB </w:t>
      </w:r>
      <w:r w:rsidR="003618A7">
        <w:t>single tablet</w:t>
      </w:r>
      <w:r w:rsidRPr="007957C9">
        <w:t xml:space="preserve"> regimen in </w:t>
      </w:r>
      <w:r w:rsidR="009C03A7">
        <w:t>virologically suppressed</w:t>
      </w:r>
      <w:r w:rsidRPr="007957C9">
        <w:t>, HIV-1 infected patients</w:t>
      </w:r>
      <w:r w:rsidR="003618A7">
        <w:t xml:space="preserve">. </w:t>
      </w:r>
      <w:r w:rsidRPr="007957C9">
        <w:t xml:space="preserve">The study is described in the CER </w:t>
      </w:r>
      <w:r w:rsidR="003618A7">
        <w:t>(see Attachment 2).</w:t>
      </w:r>
    </w:p>
    <w:p w:rsidR="003618A7" w:rsidRDefault="007957C9" w:rsidP="007957C9">
      <w:r w:rsidRPr="007957C9">
        <w:t>The study was conducted at 86 sites in US, Canada, Puerto Rico and European countries in the years 2011 to 2013</w:t>
      </w:r>
      <w:r w:rsidR="003618A7">
        <w:t>.</w:t>
      </w:r>
    </w:p>
    <w:p w:rsidR="007957C9" w:rsidRPr="007957C9" w:rsidRDefault="007957C9" w:rsidP="007957C9">
      <w:r w:rsidRPr="007957C9">
        <w:t>The primary objective was to evaluate the non</w:t>
      </w:r>
      <w:r w:rsidR="003618A7">
        <w:t>-</w:t>
      </w:r>
      <w:r w:rsidRPr="007957C9">
        <w:t xml:space="preserve">inferiority of switching to STB relative to staying on baseline </w:t>
      </w:r>
      <w:r w:rsidR="003618A7">
        <w:t>regimen</w:t>
      </w:r>
      <w:r w:rsidRPr="007957C9">
        <w:t xml:space="preserve"> (SBR) in maintaining HIV-1 RNA &lt; 50 copies/mL at </w:t>
      </w:r>
      <w:r w:rsidR="003618A7">
        <w:t>W</w:t>
      </w:r>
      <w:r w:rsidRPr="007957C9">
        <w:t>eek 48 in virologically suppre</w:t>
      </w:r>
      <w:r w:rsidR="003618A7">
        <w:t xml:space="preserve">ssed, HIV-1 infected subjects. </w:t>
      </w:r>
      <w:r w:rsidRPr="007957C9">
        <w:t xml:space="preserve">The primary efficacy endpoint was the % of subjects with HIV-1 RNA &lt; 50 copies/mL at </w:t>
      </w:r>
      <w:r w:rsidR="003618A7">
        <w:t>Week</w:t>
      </w:r>
      <w:r w:rsidRPr="007957C9">
        <w:t xml:space="preserve"> 48 using the US FDA-defined snapshot analysis.</w:t>
      </w:r>
    </w:p>
    <w:p w:rsidR="003618A7" w:rsidRDefault="007957C9" w:rsidP="007957C9">
      <w:r w:rsidRPr="007957C9">
        <w:t xml:space="preserve">Subjects were included who were receiving an antiretroviral regimen comprising an NNRTI </w:t>
      </w:r>
      <w:r w:rsidR="003618A7">
        <w:t>+</w:t>
      </w:r>
      <w:r w:rsidRPr="007957C9">
        <w:t xml:space="preserve"> FTC/TDF for ≥ 6 consecutive months, with documented undetectable plasma HIV-1 RNA levels preceding the screening visit, and who had never experienced 2 consecutive HIV-1 RNA values above detectable levels after initially achieving virologic suppression on the 1st or 2nd</w:t>
      </w:r>
      <w:r w:rsidR="003618A7">
        <w:t xml:space="preserve"> </w:t>
      </w:r>
      <w:r w:rsidRPr="007957C9">
        <w:t xml:space="preserve">regimen with no prior use of any approved or experimental </w:t>
      </w:r>
      <w:r w:rsidR="00E22646">
        <w:t>integrase strand-transfer inhibitor</w:t>
      </w:r>
      <w:r w:rsidR="00E22646" w:rsidRPr="007957C9">
        <w:t xml:space="preserve"> </w:t>
      </w:r>
      <w:r w:rsidR="00E22646">
        <w:t>(</w:t>
      </w:r>
      <w:r w:rsidRPr="007957C9">
        <w:t>INSTI</w:t>
      </w:r>
      <w:r w:rsidR="00E22646">
        <w:t>)</w:t>
      </w:r>
      <w:r w:rsidRPr="007957C9">
        <w:t xml:space="preserve">, no known resistance to TDF or FTC, and an estimated </w:t>
      </w:r>
      <w:proofErr w:type="spellStart"/>
      <w:r w:rsidRPr="007957C9">
        <w:t>eGFR</w:t>
      </w:r>
      <w:r w:rsidRPr="00E22646">
        <w:rPr>
          <w:vertAlign w:val="subscript"/>
        </w:rPr>
        <w:t>CG</w:t>
      </w:r>
      <w:proofErr w:type="spellEnd"/>
      <w:r w:rsidRPr="007957C9">
        <w:t xml:space="preserve"> ≥ 70 mL/min at screening. Documented historical genotype prior to starting initial ARV therapy shows no known resistance to TDF or FTC</w:t>
      </w:r>
      <w:r w:rsidR="003618A7">
        <w:t>.</w:t>
      </w:r>
    </w:p>
    <w:p w:rsidR="007957C9" w:rsidRPr="007957C9" w:rsidRDefault="007957C9" w:rsidP="007957C9">
      <w:r w:rsidRPr="007957C9">
        <w:t>Study treatment in Group 1 was STB was administered orally 1 tablet daily with food at around the sam</w:t>
      </w:r>
      <w:r w:rsidR="003618A7">
        <w:t xml:space="preserve">e time each day and in Group 2 </w:t>
      </w:r>
      <w:r w:rsidRPr="007957C9">
        <w:t xml:space="preserve">FTC 200 mg/TDF 300 mg (TVD) plus </w:t>
      </w:r>
      <w:proofErr w:type="spellStart"/>
      <w:r w:rsidRPr="007957C9">
        <w:t>PIn</w:t>
      </w:r>
      <w:proofErr w:type="spellEnd"/>
      <w:r w:rsidRPr="007957C9">
        <w:t xml:space="preserve"> </w:t>
      </w:r>
      <w:r w:rsidR="003618A7">
        <w:t>+</w:t>
      </w:r>
      <w:r w:rsidRPr="007957C9">
        <w:t xml:space="preserve"> RTV administered orally in the same manner as before study entry (SBR). Subjects were randomised in a 2:1 ratio to </w:t>
      </w:r>
      <w:r w:rsidR="003618A7">
        <w:t>Group</w:t>
      </w:r>
      <w:r w:rsidRPr="007957C9">
        <w:t xml:space="preserve"> 1 or </w:t>
      </w:r>
      <w:r w:rsidR="003618A7">
        <w:t>Group</w:t>
      </w:r>
      <w:r w:rsidRPr="007957C9">
        <w:t xml:space="preserve"> 2</w:t>
      </w:r>
      <w:r w:rsidR="003618A7">
        <w:t xml:space="preserve">. </w:t>
      </w:r>
      <w:r w:rsidRPr="007957C9">
        <w:t>438 randomised subjects received at least 1 dose of s</w:t>
      </w:r>
      <w:r w:rsidR="003618A7">
        <w:t xml:space="preserve">tudy drug (STB: 293; SBR: 140). </w:t>
      </w:r>
      <w:r w:rsidRPr="007957C9">
        <w:t xml:space="preserve">Of these 433, 11.8% (51) prematurely discontinued study drug before the </w:t>
      </w:r>
      <w:r w:rsidR="003618A7">
        <w:t>Week</w:t>
      </w:r>
      <w:r w:rsidRPr="007957C9">
        <w:t xml:space="preserve"> 48 analysis data cut-off (STB 8.5%, 25; SBR 18.6%).</w:t>
      </w:r>
    </w:p>
    <w:p w:rsidR="007957C9" w:rsidRPr="007957C9" w:rsidRDefault="007957C9" w:rsidP="007957C9">
      <w:r w:rsidRPr="007957C9">
        <w:t>Demographic and baseline characteristics were similar between the 2 treatment groups. The majority were male (85.7%), with a me</w:t>
      </w:r>
      <w:r w:rsidR="003618A7">
        <w:t xml:space="preserve">an age of 41 years (range: 21 to </w:t>
      </w:r>
      <w:r w:rsidRPr="007957C9">
        <w:t xml:space="preserve">76); most were </w:t>
      </w:r>
      <w:r w:rsidR="003618A7">
        <w:t>White</w:t>
      </w:r>
      <w:r w:rsidRPr="007957C9">
        <w:t xml:space="preserve"> (80.1%) or </w:t>
      </w:r>
      <w:r w:rsidR="003618A7">
        <w:t>Black</w:t>
      </w:r>
      <w:r w:rsidRPr="007957C9">
        <w:t xml:space="preserve"> (14-15%).</w:t>
      </w:r>
      <w:r w:rsidR="003618A7">
        <w:t xml:space="preserve"> </w:t>
      </w:r>
      <w:r w:rsidRPr="007957C9">
        <w:t xml:space="preserve">79.0% (342) had received 1 ARV regimen, 19.2% (83) had received 2 regimens, and 1.8% (8) had received &gt; 2 prior regimens. Atazanavir and darunavir were </w:t>
      </w:r>
      <w:r w:rsidR="00713377">
        <w:t xml:space="preserve">the </w:t>
      </w:r>
      <w:r w:rsidRPr="007957C9">
        <w:t>most frequent</w:t>
      </w:r>
      <w:r w:rsidR="00713377">
        <w:t>ly</w:t>
      </w:r>
      <w:r w:rsidRPr="007957C9">
        <w:t xml:space="preserve"> </w:t>
      </w:r>
      <w:r w:rsidRPr="00713377">
        <w:t xml:space="preserve">used </w:t>
      </w:r>
      <w:proofErr w:type="spellStart"/>
      <w:r w:rsidRPr="00713377">
        <w:t>PI</w:t>
      </w:r>
      <w:r w:rsidR="00713377" w:rsidRPr="00713377">
        <w:t>n</w:t>
      </w:r>
      <w:proofErr w:type="spellEnd"/>
      <w:r w:rsidRPr="00713377">
        <w:t xml:space="preserve"> at screening</w:t>
      </w:r>
      <w:r w:rsidRPr="007957C9">
        <w:t xml:space="preserve">. </w:t>
      </w:r>
      <w:r w:rsidR="003618A7">
        <w:t>All subjects had HIV-1 RNA &lt; 50 </w:t>
      </w:r>
      <w:r w:rsidRPr="007957C9">
        <w:t>copies/mL at screening. The mean (</w:t>
      </w:r>
      <w:r w:rsidR="00CC0642">
        <w:t>standard deviation</w:t>
      </w:r>
      <w:r w:rsidR="00CC0642" w:rsidRPr="007957C9">
        <w:t xml:space="preserve"> </w:t>
      </w:r>
      <w:r w:rsidR="00CC0642">
        <w:t>(</w:t>
      </w:r>
      <w:r w:rsidRPr="007957C9">
        <w:t>SD</w:t>
      </w:r>
      <w:r w:rsidR="00CC0642">
        <w:t>)</w:t>
      </w:r>
      <w:r w:rsidRPr="007957C9">
        <w:t>) baseline</w:t>
      </w:r>
      <w:r w:rsidR="003618A7">
        <w:t xml:space="preserve"> CD4 cell count was 610 (272.9) </w:t>
      </w:r>
      <w:r w:rsidRPr="007957C9">
        <w:t>cells/µL.</w:t>
      </w:r>
    </w:p>
    <w:p w:rsidR="003618A7" w:rsidRDefault="007957C9" w:rsidP="007957C9">
      <w:r w:rsidRPr="007957C9">
        <w:t xml:space="preserve">Adherence to STB was high (median: 99.7%). Most had an adherence rate ≥ 95% up to the </w:t>
      </w:r>
      <w:r w:rsidR="003618A7">
        <w:t>Week</w:t>
      </w:r>
      <w:r w:rsidRPr="007957C9">
        <w:t xml:space="preserve"> 48 visit (93.2%). The adherence rate could not be calculated for the SBR </w:t>
      </w:r>
      <w:r w:rsidR="003618A7">
        <w:t>Group</w:t>
      </w:r>
      <w:r w:rsidRPr="007957C9">
        <w:t xml:space="preserve"> as ARV drugs other than TVD were not provided by the sponsor</w:t>
      </w:r>
      <w:r w:rsidR="003618A7">
        <w:t>.</w:t>
      </w:r>
    </w:p>
    <w:p w:rsidR="007957C9" w:rsidRDefault="007957C9" w:rsidP="007957C9">
      <w:r w:rsidRPr="007957C9">
        <w:lastRenderedPageBreak/>
        <w:t xml:space="preserve">Results for the primary efficacy endpoint are shown </w:t>
      </w:r>
      <w:r w:rsidRPr="00B918B1">
        <w:t xml:space="preserve">in </w:t>
      </w:r>
      <w:r w:rsidR="00B918B1" w:rsidRPr="00B918B1">
        <w:t>Table 9</w:t>
      </w:r>
      <w:r w:rsidR="00713377" w:rsidRPr="00B918B1">
        <w:t>.</w:t>
      </w:r>
      <w:r w:rsidRPr="007957C9">
        <w:t xml:space="preserve"> </w:t>
      </w:r>
      <w:r w:rsidR="00E22646">
        <w:t>Full analysis set</w:t>
      </w:r>
      <w:r w:rsidR="00E22646" w:rsidRPr="007957C9">
        <w:t xml:space="preserve"> </w:t>
      </w:r>
      <w:r w:rsidR="00E22646">
        <w:t>(</w:t>
      </w:r>
      <w:r w:rsidRPr="007957C9">
        <w:t>FAS</w:t>
      </w:r>
      <w:r w:rsidR="00E22646">
        <w:t>)</w:t>
      </w:r>
      <w:r w:rsidRPr="007957C9">
        <w:t xml:space="preserve"> virologic success rates at </w:t>
      </w:r>
      <w:r w:rsidR="003618A7">
        <w:t>Week</w:t>
      </w:r>
      <w:r w:rsidRPr="007957C9">
        <w:t xml:space="preserve"> 48 were STB 93.8% (272</w:t>
      </w:r>
      <w:r w:rsidR="003618A7">
        <w:t xml:space="preserve">out of 290) and SBR 87.1% (121 out of </w:t>
      </w:r>
      <w:r w:rsidRPr="007957C9">
        <w:t>139); the difference in the % of subjects with virologic success (S</w:t>
      </w:r>
      <w:r w:rsidR="003618A7">
        <w:t xml:space="preserve">TB – SBR) was 6.7% (95% </w:t>
      </w:r>
      <w:r w:rsidR="00E22646">
        <w:t>confidence interval (</w:t>
      </w:r>
      <w:r w:rsidR="003618A7">
        <w:t>CI</w:t>
      </w:r>
      <w:r w:rsidR="00E22646">
        <w:t>)</w:t>
      </w:r>
      <w:r w:rsidR="003618A7">
        <w:t xml:space="preserve">: 0.4 to </w:t>
      </w:r>
      <w:r w:rsidRPr="007957C9">
        <w:t xml:space="preserve">13.7); as the lower bound of the </w:t>
      </w:r>
      <w:r w:rsidR="003618A7">
        <w:t>2 sided</w:t>
      </w:r>
      <w:r w:rsidRPr="007957C9">
        <w:t xml:space="preserve"> 95% CI of the difference in response rate was &gt; the prespecified –12% non</w:t>
      </w:r>
      <w:r w:rsidR="003618A7">
        <w:t>-</w:t>
      </w:r>
      <w:r w:rsidRPr="007957C9">
        <w:t>inferiority margin, switching to STB was determined to be non</w:t>
      </w:r>
      <w:r w:rsidR="003618A7">
        <w:t>-</w:t>
      </w:r>
      <w:r w:rsidRPr="007957C9">
        <w:t xml:space="preserve">inferior to SBR at </w:t>
      </w:r>
      <w:r w:rsidR="003618A7">
        <w:t>W</w:t>
      </w:r>
      <w:r w:rsidRPr="007957C9">
        <w:t xml:space="preserve">eek 48. Statistical superiority of STB over SBR was established because the lower bound of the same 95% CI used to evaluate </w:t>
      </w:r>
      <w:r w:rsidR="003618A7">
        <w:t>non</w:t>
      </w:r>
      <w:r w:rsidR="003618A7">
        <w:noBreakHyphen/>
        <w:t>inferiority</w:t>
      </w:r>
      <w:r w:rsidRPr="007957C9">
        <w:t xml:space="preserve"> was &gt; zero, and the difference in virologic success rates was statistically significant (p = 0.025). The %s of subjects with virologic failure at </w:t>
      </w:r>
      <w:r w:rsidR="003618A7">
        <w:t>Week</w:t>
      </w:r>
      <w:r w:rsidRPr="007957C9">
        <w:t xml:space="preserve"> 48 were low and similar in both groups (STB 0.7%: 2/290; SBR 1.4</w:t>
      </w:r>
      <w:r w:rsidR="00713377">
        <w:t xml:space="preserve">%: 2 out of </w:t>
      </w:r>
      <w:r w:rsidRPr="007957C9">
        <w:t>139).</w:t>
      </w:r>
      <w:r w:rsidR="003618A7">
        <w:t xml:space="preserve"> </w:t>
      </w:r>
      <w:r w:rsidRPr="007957C9">
        <w:t xml:space="preserve">A lower % receiving STB had no virologic data in the </w:t>
      </w:r>
      <w:r w:rsidR="003618A7">
        <w:t>Week</w:t>
      </w:r>
      <w:r w:rsidR="00713377">
        <w:t xml:space="preserve"> 48 window (STB 5.5%, 16 out of </w:t>
      </w:r>
      <w:r w:rsidRPr="007957C9">
        <w:t xml:space="preserve">290; SBR 11.5%, 16/139). Small increases from baseline in CD4 cell counts were seen in both groups. There was no </w:t>
      </w:r>
      <w:r w:rsidR="003618A7">
        <w:t xml:space="preserve">treatment emergent </w:t>
      </w:r>
      <w:r w:rsidRPr="007957C9">
        <w:t>HIV-1 drug resistance in either group.</w:t>
      </w:r>
    </w:p>
    <w:p w:rsidR="00713377" w:rsidRPr="003E337B" w:rsidRDefault="00713377" w:rsidP="00DD6AEF">
      <w:pPr>
        <w:pStyle w:val="TableTitle"/>
        <w:rPr>
          <w:bCs/>
        </w:rPr>
      </w:pPr>
      <w:bookmarkStart w:id="86" w:name="_Toc402793621"/>
      <w:r w:rsidRPr="003E337B">
        <w:t>Table</w:t>
      </w:r>
      <w:r w:rsidR="00B918B1">
        <w:t xml:space="preserve"> 9</w:t>
      </w:r>
      <w:r w:rsidRPr="003E337B">
        <w:t xml:space="preserve">: GS-US-236-0115: Analysis sets: virologic outcome at Week 48: HIV-1 RNA </w:t>
      </w:r>
      <w:r>
        <w:t>c</w:t>
      </w:r>
      <w:r w:rsidRPr="003E337B">
        <w:t xml:space="preserve">ut-off </w:t>
      </w:r>
      <w:proofErr w:type="gramStart"/>
      <w:r w:rsidRPr="003E337B">
        <w:t xml:space="preserve">at 50 </w:t>
      </w:r>
      <w:r w:rsidRPr="00DD6AEF">
        <w:t>copies</w:t>
      </w:r>
      <w:r w:rsidRPr="003E337B">
        <w:t>/mL,</w:t>
      </w:r>
      <w:proofErr w:type="gramEnd"/>
      <w:r w:rsidRPr="003E337B">
        <w:t xml:space="preserve"> snapshot algorithm, FAS</w:t>
      </w:r>
      <w:bookmarkEnd w:id="86"/>
    </w:p>
    <w:p w:rsidR="00B918B1" w:rsidRDefault="00713377" w:rsidP="00DD6AEF">
      <w:r>
        <w:rPr>
          <w:noProof/>
          <w:lang w:eastAsia="en-AU"/>
        </w:rPr>
        <w:drawing>
          <wp:inline distT="0" distB="0" distL="0" distR="0" wp14:anchorId="55FDC30D" wp14:editId="0330A331">
            <wp:extent cx="4991100" cy="3505200"/>
            <wp:effectExtent l="0" t="0" r="0" b="0"/>
            <wp:docPr id="3" name="Picture 3" descr="Table 9: GS-US-236-0115: Analysis sets: virologic outcome at Week 48: HIV-1 RNA cut-off at 50 copies/mL, snapshot algorith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91100" cy="3505200"/>
                    </a:xfrm>
                    <a:prstGeom prst="rect">
                      <a:avLst/>
                    </a:prstGeom>
                  </pic:spPr>
                </pic:pic>
              </a:graphicData>
            </a:graphic>
          </wp:inline>
        </w:drawing>
      </w:r>
    </w:p>
    <w:p w:rsidR="007957C9" w:rsidRPr="007957C9" w:rsidRDefault="007957C9" w:rsidP="007957C9">
      <w:pPr>
        <w:pStyle w:val="Heading5"/>
      </w:pPr>
      <w:r w:rsidRPr="007957C9">
        <w:t>GS-US-236-0121</w:t>
      </w:r>
    </w:p>
    <w:p w:rsidR="003618A7" w:rsidRDefault="007957C9" w:rsidP="007957C9">
      <w:r w:rsidRPr="007957C9">
        <w:t xml:space="preserve">GS-US-236-0121 is a multi-centre </w:t>
      </w:r>
      <w:r w:rsidR="003618A7">
        <w:t>Phase</w:t>
      </w:r>
      <w:r w:rsidRPr="007957C9">
        <w:t xml:space="preserve"> </w:t>
      </w:r>
      <w:proofErr w:type="spellStart"/>
      <w:r w:rsidR="003618A7">
        <w:t>III</w:t>
      </w:r>
      <w:r w:rsidRPr="007957C9">
        <w:t>b</w:t>
      </w:r>
      <w:proofErr w:type="spellEnd"/>
      <w:r w:rsidRPr="007957C9">
        <w:t xml:space="preserve"> randomised, </w:t>
      </w:r>
      <w:r w:rsidR="003618A7">
        <w:t>open label</w:t>
      </w:r>
      <w:r w:rsidRPr="007957C9">
        <w:t xml:space="preserve"> study to evaluate the efficacy, safety, and tolerability of switching from a SBR treatment comprising a NNRTI plus FTC and TDF to the STB </w:t>
      </w:r>
      <w:r w:rsidR="003618A7">
        <w:t>single tablet</w:t>
      </w:r>
      <w:r w:rsidRPr="007957C9">
        <w:t xml:space="preserve"> regimen in </w:t>
      </w:r>
      <w:r w:rsidR="009C03A7">
        <w:t>virologically suppressed</w:t>
      </w:r>
      <w:r w:rsidRPr="007957C9">
        <w:t>, HIV-1 infected patients</w:t>
      </w:r>
      <w:r w:rsidR="003618A7">
        <w:t>.</w:t>
      </w:r>
    </w:p>
    <w:p w:rsidR="003618A7" w:rsidRDefault="00713377" w:rsidP="007957C9">
      <w:r>
        <w:t>The study is described in</w:t>
      </w:r>
      <w:r w:rsidR="007957C9" w:rsidRPr="007957C9">
        <w:t xml:space="preserve"> </w:t>
      </w:r>
      <w:r w:rsidR="003618A7">
        <w:t>Attachment 2</w:t>
      </w:r>
      <w:r w:rsidR="007957C9" w:rsidRPr="007957C9">
        <w:t>. The study was conducted at 72 sites in US, Canada, Puerto Rico and European countries in the years 2011-2013</w:t>
      </w:r>
      <w:r w:rsidR="003618A7">
        <w:t>.</w:t>
      </w:r>
    </w:p>
    <w:p w:rsidR="007957C9" w:rsidRPr="007957C9" w:rsidRDefault="007957C9" w:rsidP="007957C9">
      <w:r w:rsidRPr="007957C9">
        <w:t xml:space="preserve">The primary objective was to evaluate the </w:t>
      </w:r>
      <w:r w:rsidR="003618A7">
        <w:t>non-inferiority</w:t>
      </w:r>
      <w:r w:rsidRPr="007957C9">
        <w:t xml:space="preserve"> of switching to STB relative to staying on SBR in maintaining HIV-1 RNA &lt; 50 copies/mL at </w:t>
      </w:r>
      <w:r w:rsidR="003618A7">
        <w:t>Week</w:t>
      </w:r>
      <w:r w:rsidRPr="007957C9">
        <w:t xml:space="preserve"> 48 in virologically suppressed, HIV-1 infected subjects.</w:t>
      </w:r>
      <w:r w:rsidR="003618A7">
        <w:t xml:space="preserve"> </w:t>
      </w:r>
      <w:r w:rsidRPr="007957C9">
        <w:t xml:space="preserve">The primary efficacy endpoint was the % of subjects with HIV-1 RNA &lt; 50 copies/mL at </w:t>
      </w:r>
      <w:r w:rsidR="003618A7">
        <w:t>Week</w:t>
      </w:r>
      <w:r w:rsidRPr="007957C9">
        <w:t xml:space="preserve"> 48 using the US FDA-defined snapshot analysis.</w:t>
      </w:r>
    </w:p>
    <w:p w:rsidR="003618A7" w:rsidRDefault="007957C9" w:rsidP="007957C9">
      <w:r w:rsidRPr="007957C9">
        <w:t xml:space="preserve">Subjects were included who were receiving an antiretroviral regimen comprising an NNRTI </w:t>
      </w:r>
      <w:r w:rsidR="003618A7">
        <w:t>+</w:t>
      </w:r>
      <w:r w:rsidRPr="007957C9">
        <w:t xml:space="preserve"> FTC/TDF for ≥ 6 consecutive months, with</w:t>
      </w:r>
      <w:r w:rsidR="003618A7">
        <w:t xml:space="preserve"> documented undetectable plasma </w:t>
      </w:r>
      <w:r w:rsidRPr="007957C9">
        <w:t xml:space="preserve">HIV-1 RNA levels preceding the screening visit, and who had never experienced 2 consecutive HIV-1 RNA values above detectable levels after initially achieving virologic </w:t>
      </w:r>
      <w:r w:rsidRPr="007957C9">
        <w:lastRenderedPageBreak/>
        <w:t>suppression on the 1st or 2nd</w:t>
      </w:r>
      <w:r w:rsidR="003618A7">
        <w:t xml:space="preserve"> </w:t>
      </w:r>
      <w:r w:rsidRPr="007957C9">
        <w:t xml:space="preserve">regimen with no prior use of any approved or experimental INSTI, no known resistance to TDF or FTC, and an estimated </w:t>
      </w:r>
      <w:proofErr w:type="spellStart"/>
      <w:r w:rsidRPr="00E22646">
        <w:t>eGFR</w:t>
      </w:r>
      <w:r w:rsidRPr="00E22646">
        <w:rPr>
          <w:vertAlign w:val="subscript"/>
        </w:rPr>
        <w:t>CG</w:t>
      </w:r>
      <w:proofErr w:type="spellEnd"/>
      <w:r w:rsidRPr="007957C9">
        <w:t xml:space="preserve"> ≥ 70 mL/min at screening. Documented historical genotype prior to starting initial ARV therapy showing no known resistance to TDF or FTC</w:t>
      </w:r>
      <w:r w:rsidR="003618A7">
        <w:t>.</w:t>
      </w:r>
    </w:p>
    <w:p w:rsidR="007957C9" w:rsidRPr="007957C9" w:rsidRDefault="007957C9" w:rsidP="007957C9">
      <w:r w:rsidRPr="007957C9">
        <w:t>Study treatment in Group 1 was STB was administered orally 1 tablet daily with food at around the same time each day and in Group 2</w:t>
      </w:r>
      <w:r w:rsidR="003618A7">
        <w:t xml:space="preserve"> </w:t>
      </w:r>
      <w:r w:rsidRPr="007957C9">
        <w:t>FTC 200 mg/TDF 300 mg (TVD) plus NNRTI (</w:t>
      </w:r>
      <w:proofErr w:type="spellStart"/>
      <w:r w:rsidRPr="007957C9">
        <w:t>efavirenz</w:t>
      </w:r>
      <w:proofErr w:type="spellEnd"/>
      <w:r w:rsidRPr="007957C9">
        <w:t xml:space="preserve">, </w:t>
      </w:r>
      <w:proofErr w:type="spellStart"/>
      <w:r w:rsidRPr="007957C9">
        <w:t>nevirapine</w:t>
      </w:r>
      <w:proofErr w:type="spellEnd"/>
      <w:r w:rsidRPr="007957C9">
        <w:t xml:space="preserve"> and </w:t>
      </w:r>
      <w:proofErr w:type="spellStart"/>
      <w:r w:rsidRPr="007957C9">
        <w:t>rilpivirine</w:t>
      </w:r>
      <w:proofErr w:type="spellEnd"/>
      <w:r w:rsidRPr="007957C9">
        <w:t xml:space="preserve"> were the only allowed NNRTI) administered orally in the same manner as before study entry (SBR). Subjects were randomised in a 2:1 ratio to </w:t>
      </w:r>
      <w:r w:rsidR="003618A7">
        <w:t>Group</w:t>
      </w:r>
      <w:r w:rsidRPr="007957C9">
        <w:t xml:space="preserve"> 1 or </w:t>
      </w:r>
      <w:r w:rsidR="003618A7">
        <w:t>Group</w:t>
      </w:r>
      <w:r w:rsidRPr="007957C9">
        <w:t xml:space="preserve"> 2.</w:t>
      </w:r>
    </w:p>
    <w:p w:rsidR="007957C9" w:rsidRPr="007957C9" w:rsidRDefault="007957C9" w:rsidP="007957C9">
      <w:r w:rsidRPr="007957C9">
        <w:t xml:space="preserve">434 of 439 randomised subjects received at least 1 dose of study drug (STB: 291; SBR: 143). Of these 434, 9.2% (40 subjects) prematurely discontinued study drug prior to the </w:t>
      </w:r>
      <w:r w:rsidR="003618A7">
        <w:t>Week</w:t>
      </w:r>
      <w:r w:rsidRPr="007957C9">
        <w:t xml:space="preserve"> 48 analysis data cut-off date (STB 7.6%/22; SBR 12.6%/18).</w:t>
      </w:r>
    </w:p>
    <w:p w:rsidR="003618A7" w:rsidRDefault="007957C9" w:rsidP="007957C9">
      <w:r w:rsidRPr="007957C9">
        <w:t>Demographic and baseline characteristics were generally similar in the 2 treatment groups.</w:t>
      </w:r>
      <w:r w:rsidR="003618A7">
        <w:t xml:space="preserve"> </w:t>
      </w:r>
      <w:r w:rsidRPr="007957C9">
        <w:t xml:space="preserve">The majority of subjects were male (92.6%), with a mean age of 41 years (range: </w:t>
      </w:r>
      <w:r w:rsidR="003618A7">
        <w:t xml:space="preserve">20 to </w:t>
      </w:r>
      <w:r w:rsidRPr="007957C9">
        <w:t xml:space="preserve">72), most were </w:t>
      </w:r>
      <w:r w:rsidR="003618A7">
        <w:t>White</w:t>
      </w:r>
      <w:r w:rsidRPr="007957C9">
        <w:t xml:space="preserve"> (76</w:t>
      </w:r>
      <w:r w:rsidR="003618A7">
        <w:t xml:space="preserve"> to </w:t>
      </w:r>
      <w:r w:rsidRPr="007957C9">
        <w:t xml:space="preserve">80%) or </w:t>
      </w:r>
      <w:r w:rsidR="003618A7">
        <w:t>Black</w:t>
      </w:r>
      <w:r w:rsidRPr="007957C9">
        <w:t xml:space="preserve"> (16</w:t>
      </w:r>
      <w:r w:rsidR="003618A7">
        <w:t xml:space="preserve"> to </w:t>
      </w:r>
      <w:r w:rsidRPr="007957C9">
        <w:t>17%). All subjects had HIV-1 RNA &lt; 50 copies/mL at screening. The mean (SD) baseline CD4 cell count was 588 (214.9) cells/µL. Before screening, 90.6% (393) had rece</w:t>
      </w:r>
      <w:r w:rsidR="002C3353">
        <w:t>ived 1 ARV regimen, 9.0% (39) 2 </w:t>
      </w:r>
      <w:r w:rsidRPr="007957C9">
        <w:t>regimens, and 0.5% (2) &gt; 2 regimens</w:t>
      </w:r>
      <w:r w:rsidR="003618A7">
        <w:t>.</w:t>
      </w:r>
    </w:p>
    <w:p w:rsidR="007957C9" w:rsidRPr="007957C9" w:rsidRDefault="007957C9" w:rsidP="007957C9">
      <w:r w:rsidRPr="007957C9">
        <w:t xml:space="preserve">Adherence to STB was high (median: 99.7%). Most had an adherence rate ≥ 95% up to the </w:t>
      </w:r>
      <w:r w:rsidR="003618A7">
        <w:t>Week</w:t>
      </w:r>
      <w:r w:rsidRPr="007957C9">
        <w:t xml:space="preserve"> 48 visit (91.1%). The adherence rate could not be calculated with SBR as ARV components other than TVD were not provided by the sponsor.</w:t>
      </w:r>
    </w:p>
    <w:p w:rsidR="007957C9" w:rsidRDefault="007957C9" w:rsidP="007957C9">
      <w:r w:rsidRPr="007957C9">
        <w:t xml:space="preserve">Results for the primary efficacy endpoint are shown </w:t>
      </w:r>
      <w:r w:rsidRPr="00B918B1">
        <w:t xml:space="preserve">in </w:t>
      </w:r>
      <w:r w:rsidR="00713377" w:rsidRPr="00B918B1">
        <w:t xml:space="preserve">Table </w:t>
      </w:r>
      <w:r w:rsidR="00B918B1">
        <w:t>10</w:t>
      </w:r>
      <w:r w:rsidRPr="007957C9">
        <w:t>. FAS virologic success r</w:t>
      </w:r>
      <w:r w:rsidR="002C3353">
        <w:t xml:space="preserve">ates were STB 93.4% (271 out of </w:t>
      </w:r>
      <w:r w:rsidRPr="007957C9">
        <w:t>2</w:t>
      </w:r>
      <w:r w:rsidR="002C3353">
        <w:t xml:space="preserve">90 subjects) and SBR 88.1% (126 out of </w:t>
      </w:r>
      <w:r w:rsidRPr="007957C9">
        <w:t>143). The difference in the %s of subjects with virologic success (STB – SBR) was 5.3% (95% CI: - 0.5%</w:t>
      </w:r>
      <w:r w:rsidR="003618A7">
        <w:t xml:space="preserve"> to </w:t>
      </w:r>
      <w:r w:rsidRPr="007957C9">
        <w:t xml:space="preserve">12.0%). Because the lower bound of the </w:t>
      </w:r>
      <w:r w:rsidR="003618A7">
        <w:t>2 sided</w:t>
      </w:r>
      <w:r w:rsidRPr="007957C9">
        <w:t xml:space="preserve"> 95% CI of the difference in response rate was &gt; the prespecified –12% </w:t>
      </w:r>
      <w:r w:rsidR="003618A7">
        <w:t>non-inferiority</w:t>
      </w:r>
      <w:r w:rsidRPr="007957C9">
        <w:t xml:space="preserve"> margin, switching to STB was determined to be non</w:t>
      </w:r>
      <w:r w:rsidR="002C3353">
        <w:t>-</w:t>
      </w:r>
      <w:r w:rsidRPr="007957C9">
        <w:t xml:space="preserve">inferior to SBR at </w:t>
      </w:r>
      <w:r w:rsidR="003618A7">
        <w:t>Week</w:t>
      </w:r>
      <w:r w:rsidRPr="007957C9">
        <w:t xml:space="preserve"> 48. %s of subjects with virologic failure at </w:t>
      </w:r>
      <w:r w:rsidR="003618A7">
        <w:t>Week</w:t>
      </w:r>
      <w:r w:rsidRPr="007957C9">
        <w:t xml:space="preserve"> 48 were low and simil</w:t>
      </w:r>
      <w:r w:rsidR="002C3353">
        <w:t xml:space="preserve">ar in the 2 groups: STB 1.0% (3 out of </w:t>
      </w:r>
      <w:r w:rsidRPr="007957C9">
        <w:t>290); SBR (0.7% 1</w:t>
      </w:r>
      <w:r w:rsidR="002C3353">
        <w:t xml:space="preserve"> out of </w:t>
      </w:r>
      <w:r w:rsidRPr="007957C9">
        <w:t xml:space="preserve">143; difference [95% CI] in %s [STB – SBR] 0.3% [–2.8% to 2.5%]). A lower % of subjects receiving STB than SBR had no virologic data in the </w:t>
      </w:r>
      <w:r w:rsidR="003618A7">
        <w:t>Week</w:t>
      </w:r>
      <w:r w:rsidRPr="007957C9">
        <w:t xml:space="preserve"> 48 window (STB 5.5%, 16</w:t>
      </w:r>
      <w:r w:rsidR="002C3353">
        <w:t xml:space="preserve"> out of </w:t>
      </w:r>
      <w:r w:rsidRPr="007957C9">
        <w:t>290; SBR 11.2%, 16</w:t>
      </w:r>
      <w:r w:rsidR="002C3353">
        <w:t xml:space="preserve"> out of </w:t>
      </w:r>
      <w:r w:rsidRPr="007957C9">
        <w:t xml:space="preserve">143). Small increases from baseline in CD4 cell counts were seen in both groups. There was no </w:t>
      </w:r>
      <w:r w:rsidR="003618A7">
        <w:t xml:space="preserve">treatment emergent </w:t>
      </w:r>
      <w:r w:rsidRPr="007957C9">
        <w:t>HIV-1 drug resistance in either group.</w:t>
      </w:r>
    </w:p>
    <w:p w:rsidR="00713377" w:rsidRDefault="00713377" w:rsidP="00DD6AEF">
      <w:pPr>
        <w:pStyle w:val="TableTitle"/>
      </w:pPr>
      <w:r w:rsidRPr="00B918B1">
        <w:lastRenderedPageBreak/>
        <w:t xml:space="preserve">Table </w:t>
      </w:r>
      <w:r w:rsidR="00B918B1" w:rsidRPr="00B918B1">
        <w:t>10</w:t>
      </w:r>
      <w:r w:rsidRPr="00B918B1">
        <w:t>: GS</w:t>
      </w:r>
      <w:r w:rsidRPr="003E337B">
        <w:t xml:space="preserve">-US-236-0121: Analysis </w:t>
      </w:r>
      <w:r w:rsidR="00080CEB" w:rsidRPr="003E337B">
        <w:t xml:space="preserve">sets: virologic outcome </w:t>
      </w:r>
      <w:r w:rsidRPr="003E337B">
        <w:t xml:space="preserve">at Week 48: HIV-1 RNA </w:t>
      </w:r>
      <w:r w:rsidR="00AC4491" w:rsidRPr="003E337B">
        <w:t>c</w:t>
      </w:r>
      <w:r w:rsidRPr="003E337B">
        <w:t xml:space="preserve">ut-off at 50 copies/mL, </w:t>
      </w:r>
      <w:r w:rsidRPr="00DD6AEF">
        <w:t>Snapshot</w:t>
      </w:r>
      <w:r w:rsidRPr="003E337B">
        <w:t xml:space="preserve"> </w:t>
      </w:r>
      <w:r w:rsidR="00AC4491" w:rsidRPr="003E337B">
        <w:t>a</w:t>
      </w:r>
      <w:r w:rsidRPr="003E337B">
        <w:t>lgorithm, FAS</w:t>
      </w:r>
    </w:p>
    <w:p w:rsidR="00713377" w:rsidRPr="00713377" w:rsidRDefault="00713377" w:rsidP="00DD6AEF">
      <w:r>
        <w:rPr>
          <w:noProof/>
          <w:lang w:eastAsia="en-AU"/>
        </w:rPr>
        <w:drawing>
          <wp:inline distT="0" distB="0" distL="0" distR="0" wp14:anchorId="325E8879" wp14:editId="6FA666B7">
            <wp:extent cx="4838700" cy="3181350"/>
            <wp:effectExtent l="0" t="0" r="0" b="0"/>
            <wp:docPr id="4" name="Picture 4" descr="Table 10: GS-US-236-0121: Analysis Sets: Virologic Outcome at Week 48: HIV-1 RNA Cut-off at 50 copies/mL, Snapshot Algorith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38700" cy="3181350"/>
                    </a:xfrm>
                    <a:prstGeom prst="rect">
                      <a:avLst/>
                    </a:prstGeom>
                  </pic:spPr>
                </pic:pic>
              </a:graphicData>
            </a:graphic>
          </wp:inline>
        </w:drawing>
      </w:r>
    </w:p>
    <w:p w:rsidR="007957C9" w:rsidRPr="007957C9" w:rsidRDefault="007957C9" w:rsidP="007957C9">
      <w:pPr>
        <w:pStyle w:val="Heading5"/>
      </w:pPr>
      <w:r w:rsidRPr="007957C9">
        <w:t>GS-US-236-0123</w:t>
      </w:r>
    </w:p>
    <w:p w:rsidR="003618A7" w:rsidRDefault="007957C9" w:rsidP="007957C9">
      <w:r w:rsidRPr="007957C9">
        <w:t xml:space="preserve">GS-US-236-0123 is a </w:t>
      </w:r>
      <w:r w:rsidR="003618A7">
        <w:t>Phase</w:t>
      </w:r>
      <w:r w:rsidRPr="007957C9">
        <w:t xml:space="preserve"> 3B </w:t>
      </w:r>
      <w:r w:rsidR="003618A7">
        <w:t>open label</w:t>
      </w:r>
      <w:r w:rsidRPr="007957C9">
        <w:t xml:space="preserve"> pilot study to evaluate switching from a regimen comprising RAL plus FTC/TD</w:t>
      </w:r>
      <w:r w:rsidR="003618A7">
        <w:t xml:space="preserve">F (TVD) to STB in virologically </w:t>
      </w:r>
      <w:r w:rsidRPr="007957C9">
        <w:t xml:space="preserve">suppressed, HIV-1 infected patients. The Study is described </w:t>
      </w:r>
      <w:r w:rsidRPr="002C3353">
        <w:t>in the CER</w:t>
      </w:r>
      <w:r w:rsidR="002C3353" w:rsidRPr="002C3353">
        <w:t xml:space="preserve"> (please see Attachment 2)</w:t>
      </w:r>
      <w:r w:rsidR="003618A7" w:rsidRPr="002C3353">
        <w:t>.</w:t>
      </w:r>
    </w:p>
    <w:p w:rsidR="003618A7" w:rsidRDefault="007957C9" w:rsidP="007957C9">
      <w:r w:rsidRPr="007957C9">
        <w:t xml:space="preserve">The study was conducted at 7 centres in the US between January 2012 and August 2013. The primary objectives was to evaluate the efficacy of STB after switching from a regimen consisting of RAL plus FTC/TDF at baseline in maintaining HIV-1 RNA </w:t>
      </w:r>
      <w:r w:rsidR="002C3353">
        <w:t>&lt; 50</w:t>
      </w:r>
      <w:r w:rsidRPr="007957C9">
        <w:t xml:space="preserve"> copies/mL at </w:t>
      </w:r>
      <w:r w:rsidR="003618A7">
        <w:t>Week</w:t>
      </w:r>
      <w:r w:rsidRPr="007957C9">
        <w:t xml:space="preserve"> 12</w:t>
      </w:r>
      <w:r w:rsidR="003618A7">
        <w:t>.</w:t>
      </w:r>
    </w:p>
    <w:p w:rsidR="003618A7" w:rsidRDefault="007957C9" w:rsidP="007957C9">
      <w:r w:rsidRPr="007957C9">
        <w:t>Subjects were included HIV-1 infected adults who had been virologically stable on their current 1st ARV regimen comprising only RAL twice daily plus FTC/TDF continuously for ≥ 6 months before screening. Subjects were required to have documented undetectable plasma HIV-1 RNA levels for ≥ 6 months before screeni</w:t>
      </w:r>
      <w:r w:rsidR="002C3353">
        <w:t>ng, never to have experienced 2 </w:t>
      </w:r>
      <w:r w:rsidRPr="007957C9">
        <w:t>consecutive detectable HIV-1 RNA levels after having achieved a confirmed undetectable HIV-1 RNA level on the 1st regimen, to have plasma HIV-1 RNA &lt; 50 copies/mL at screening, and to have no known resistance to any of the study agents as demonstrated by HIV-1 genotyping at screening</w:t>
      </w:r>
      <w:r w:rsidR="003618A7">
        <w:t>.</w:t>
      </w:r>
    </w:p>
    <w:p w:rsidR="007957C9" w:rsidRPr="007957C9" w:rsidRDefault="007957C9" w:rsidP="007957C9">
      <w:r w:rsidRPr="007957C9">
        <w:t>All subjects received STB o</w:t>
      </w:r>
      <w:r w:rsidR="002C3353">
        <w:t xml:space="preserve">rally, once daily, with a meal. </w:t>
      </w:r>
      <w:r w:rsidRPr="007957C9">
        <w:t>48 subjects were enrolled and all completed the study.</w:t>
      </w:r>
    </w:p>
    <w:p w:rsidR="007957C9" w:rsidRPr="007957C9" w:rsidRDefault="007957C9" w:rsidP="007957C9">
      <w:r w:rsidRPr="007957C9">
        <w:t xml:space="preserve">The majority of subjects were male (95.8%) and </w:t>
      </w:r>
      <w:r w:rsidR="003618A7">
        <w:t>White</w:t>
      </w:r>
      <w:r w:rsidRPr="007957C9">
        <w:t xml:space="preserve"> (83.3%). The mean age was 44 years (range: 23</w:t>
      </w:r>
      <w:r w:rsidR="003618A7">
        <w:t xml:space="preserve"> to </w:t>
      </w:r>
      <w:r w:rsidRPr="007957C9">
        <w:t>58).</w:t>
      </w:r>
      <w:r w:rsidR="003618A7">
        <w:t xml:space="preserve"> </w:t>
      </w:r>
      <w:r w:rsidRPr="007957C9">
        <w:t>The majority (95.8%) had HIV-1 RNA &lt; 50 copies/</w:t>
      </w:r>
      <w:proofErr w:type="spellStart"/>
      <w:r w:rsidRPr="007957C9">
        <w:t>mL.</w:t>
      </w:r>
      <w:proofErr w:type="spellEnd"/>
      <w:r w:rsidRPr="007957C9">
        <w:t xml:space="preserve"> </w:t>
      </w:r>
      <w:r w:rsidR="002C3353">
        <w:t>Two</w:t>
      </w:r>
      <w:r w:rsidRPr="007957C9">
        <w:t xml:space="preserve"> subjects had HIV-1 RNA 50-&lt; 200 copies/</w:t>
      </w:r>
      <w:proofErr w:type="spellStart"/>
      <w:r w:rsidRPr="007957C9">
        <w:t>mL.</w:t>
      </w:r>
      <w:proofErr w:type="spellEnd"/>
      <w:r w:rsidRPr="007957C9">
        <w:t xml:space="preserve"> The m</w:t>
      </w:r>
      <w:r w:rsidR="002C3353">
        <w:t>ean (SD) CD4 cell count was 711 </w:t>
      </w:r>
      <w:r w:rsidRPr="007957C9">
        <w:t>(265.9) cells/</w:t>
      </w:r>
      <w:r w:rsidR="002C3353">
        <w:t>µ</w:t>
      </w:r>
      <w:r w:rsidRPr="007957C9">
        <w:t>L. The mean duration for which subjects had received RAL was 31.6 months.</w:t>
      </w:r>
    </w:p>
    <w:p w:rsidR="007957C9" w:rsidRPr="007957C9" w:rsidRDefault="007957C9" w:rsidP="007957C9">
      <w:r w:rsidRPr="007957C9">
        <w:t xml:space="preserve">Results for the primary efficacy endpoint </w:t>
      </w:r>
      <w:r w:rsidR="002C3353">
        <w:t>was</w:t>
      </w:r>
      <w:r w:rsidR="003618A7">
        <w:t xml:space="preserve"> </w:t>
      </w:r>
      <w:r w:rsidRPr="007957C9">
        <w:t xml:space="preserve">that all subjects maintained virologic success at </w:t>
      </w:r>
      <w:r w:rsidR="003618A7">
        <w:t>Week</w:t>
      </w:r>
      <w:r w:rsidRPr="007957C9">
        <w:t xml:space="preserve"> 12 and that in all, HIV-1 RNA was &lt; 50 copies/</w:t>
      </w:r>
      <w:proofErr w:type="spellStart"/>
      <w:r w:rsidRPr="007957C9">
        <w:t>mL.</w:t>
      </w:r>
      <w:proofErr w:type="spellEnd"/>
      <w:r w:rsidRPr="007957C9">
        <w:t xml:space="preserve"> Data are provided showing that all </w:t>
      </w:r>
      <w:proofErr w:type="gramStart"/>
      <w:r w:rsidRPr="007957C9">
        <w:t>subjects</w:t>
      </w:r>
      <w:proofErr w:type="gramEnd"/>
      <w:r w:rsidRPr="007957C9">
        <w:t xml:space="preserve"> maintained virologic success at </w:t>
      </w:r>
      <w:r w:rsidR="002C3353">
        <w:t>W</w:t>
      </w:r>
      <w:r w:rsidRPr="007957C9">
        <w:t>eeks 24 and 48, and that in all, HIV-1 RNA was &lt; 50 copies/</w:t>
      </w:r>
      <w:proofErr w:type="spellStart"/>
      <w:r w:rsidRPr="007957C9">
        <w:t>mL.</w:t>
      </w:r>
      <w:proofErr w:type="spellEnd"/>
      <w:r w:rsidRPr="007957C9">
        <w:t xml:space="preserve"> </w:t>
      </w:r>
      <w:r w:rsidR="002C3353">
        <w:t>One</w:t>
      </w:r>
      <w:r w:rsidRPr="007957C9">
        <w:t xml:space="preserve"> subject had HIV-1 RNA ≥ 50 copies/mL during the study. This occurred at </w:t>
      </w:r>
      <w:r w:rsidR="003618A7">
        <w:t>Week</w:t>
      </w:r>
      <w:r w:rsidRPr="007957C9">
        <w:t xml:space="preserve"> 8 and HIV-1 RNA was </w:t>
      </w:r>
      <w:proofErr w:type="gramStart"/>
      <w:r w:rsidRPr="007957C9">
        <w:t>59 copies/</w:t>
      </w:r>
      <w:proofErr w:type="spellStart"/>
      <w:r w:rsidRPr="007957C9">
        <w:t>mL</w:t>
      </w:r>
      <w:proofErr w:type="gramEnd"/>
      <w:r w:rsidRPr="007957C9">
        <w:t>.</w:t>
      </w:r>
      <w:proofErr w:type="spellEnd"/>
      <w:r w:rsidRPr="007957C9">
        <w:t xml:space="preserve"> At </w:t>
      </w:r>
      <w:r w:rsidR="003618A7">
        <w:t>Week</w:t>
      </w:r>
      <w:r w:rsidRPr="007957C9">
        <w:t xml:space="preserve"> 48, mean (SD) </w:t>
      </w:r>
      <w:r w:rsidRPr="007957C9">
        <w:lastRenderedPageBreak/>
        <w:t>CD4 cell counts were 733 (270.1) cells/</w:t>
      </w:r>
      <w:r w:rsidR="002C3353">
        <w:t>µ</w:t>
      </w:r>
      <w:r w:rsidR="002C3353" w:rsidRPr="007957C9">
        <w:t>L</w:t>
      </w:r>
      <w:r w:rsidRPr="007957C9">
        <w:t>, and the me</w:t>
      </w:r>
      <w:r w:rsidR="002C3353">
        <w:t>an (SD) change from baseline 23 </w:t>
      </w:r>
      <w:r w:rsidRPr="007957C9">
        <w:t>(144.6) cells/</w:t>
      </w:r>
      <w:r w:rsidR="002C3353">
        <w:t>µ</w:t>
      </w:r>
      <w:r w:rsidR="002C3353" w:rsidRPr="007957C9">
        <w:t>L</w:t>
      </w:r>
      <w:r w:rsidRPr="007957C9">
        <w:t>.</w:t>
      </w:r>
      <w:r w:rsidR="003618A7">
        <w:t xml:space="preserve"> </w:t>
      </w:r>
      <w:r w:rsidRPr="007957C9">
        <w:t>There was no development of drug resistance.</w:t>
      </w:r>
    </w:p>
    <w:p w:rsidR="007957C9" w:rsidRDefault="007957C9" w:rsidP="007957C9">
      <w:pPr>
        <w:pStyle w:val="Heading4"/>
      </w:pPr>
      <w:r w:rsidRPr="007957C9">
        <w:t>Safety</w:t>
      </w:r>
    </w:p>
    <w:p w:rsidR="007957C9" w:rsidRPr="007957C9" w:rsidRDefault="007957C9" w:rsidP="007957C9">
      <w:pPr>
        <w:pStyle w:val="Heading5"/>
      </w:pPr>
      <w:r w:rsidRPr="007957C9">
        <w:t>GS-US-236-0115</w:t>
      </w:r>
    </w:p>
    <w:p w:rsidR="007957C9" w:rsidRPr="007957C9" w:rsidRDefault="002C3353" w:rsidP="007957C9">
      <w:r>
        <w:t>In Study GS-US-236-0115 t</w:t>
      </w:r>
      <w:r w:rsidR="007957C9" w:rsidRPr="007957C9">
        <w:t>he safety analysis set comprised 293 subjects receiving STB and 140 receiving SBR (</w:t>
      </w:r>
      <w:r>
        <w:t>ritonavir boosted</w:t>
      </w:r>
      <w:r w:rsidR="007957C9" w:rsidRPr="007957C9">
        <w:t xml:space="preserve"> Pin plus FTC/TDF). The majority of subjects in each group received study drug for ≥ 144 weeks (STB: 82.6%, 242</w:t>
      </w:r>
      <w:r>
        <w:t xml:space="preserve"> out of </w:t>
      </w:r>
      <w:r w:rsidR="007957C9" w:rsidRPr="007957C9">
        <w:t>293; SBR: 78.6%, 110</w:t>
      </w:r>
      <w:r>
        <w:t xml:space="preserve"> out of </w:t>
      </w:r>
      <w:r w:rsidR="007957C9" w:rsidRPr="007957C9">
        <w:t>140).</w:t>
      </w:r>
    </w:p>
    <w:p w:rsidR="007957C9" w:rsidRDefault="007957C9" w:rsidP="007957C9">
      <w:r w:rsidRPr="007957C9">
        <w:t xml:space="preserve">Adverse events are summarised </w:t>
      </w:r>
      <w:r w:rsidRPr="00B918B1">
        <w:t xml:space="preserve">in Table </w:t>
      </w:r>
      <w:r w:rsidR="00B918B1" w:rsidRPr="00B918B1">
        <w:t>11</w:t>
      </w:r>
      <w:r w:rsidRPr="00B918B1">
        <w:t>. Higher</w:t>
      </w:r>
      <w:r w:rsidRPr="007957C9">
        <w:t xml:space="preserve"> %s in the switch group (STB) had any AE reported: STB 79.2%/232 of 293 subjects; SBR 74.3%, 104</w:t>
      </w:r>
      <w:r w:rsidR="002C3353">
        <w:t xml:space="preserve"> out of </w:t>
      </w:r>
      <w:r w:rsidRPr="007957C9">
        <w:t>140) and any AE assessed as treatment related (STB: 24.9%, 73</w:t>
      </w:r>
      <w:r w:rsidR="002C3353">
        <w:t xml:space="preserve"> out of </w:t>
      </w:r>
      <w:r w:rsidRPr="007957C9">
        <w:t>323; SBR 6.4%, 9</w:t>
      </w:r>
      <w:r w:rsidR="002C3353">
        <w:t xml:space="preserve"> out of </w:t>
      </w:r>
      <w:r w:rsidRPr="007957C9">
        <w:t xml:space="preserve">140). The </w:t>
      </w:r>
      <w:r w:rsidR="002C3353">
        <w:t>clinical evaluator</w:t>
      </w:r>
      <w:r w:rsidRPr="007957C9">
        <w:t xml:space="preserve"> considered this to be expected when changing to a new treatment regimen. STB and SBR were generally well tolerated as shown by infrequent discontinuations due to AEs and low incidence of study </w:t>
      </w:r>
      <w:r w:rsidR="002C3353">
        <w:t>drug related</w:t>
      </w:r>
      <w:r w:rsidRPr="007957C9">
        <w:t xml:space="preserve"> SAEs. There were no clinically significant renal events (</w:t>
      </w:r>
      <w:r w:rsidR="002C3353">
        <w:t>that is,</w:t>
      </w:r>
      <w:r w:rsidRPr="007957C9">
        <w:t xml:space="preserve"> SAEs or AEs leading to discontinuation) with STB. No new safety issues were identified.</w:t>
      </w:r>
    </w:p>
    <w:p w:rsidR="005544A7" w:rsidRDefault="005544A7" w:rsidP="005544A7">
      <w:pPr>
        <w:pStyle w:val="TableTitle"/>
      </w:pPr>
      <w:r w:rsidRPr="005544A7">
        <w:t xml:space="preserve">Table </w:t>
      </w:r>
      <w:r w:rsidR="00B918B1">
        <w:t>11</w:t>
      </w:r>
      <w:r w:rsidRPr="005544A7">
        <w:t xml:space="preserve">: GS-US-236-0115: Overall </w:t>
      </w:r>
      <w:r w:rsidR="00B918B1" w:rsidRPr="005544A7">
        <w:t>summary of adverse events (safety analysis set</w:t>
      </w:r>
      <w:r w:rsidRPr="005544A7">
        <w:t>)</w:t>
      </w:r>
    </w:p>
    <w:p w:rsidR="005544A7" w:rsidRPr="005544A7" w:rsidRDefault="005544A7" w:rsidP="005544A7">
      <w:r>
        <w:rPr>
          <w:noProof/>
          <w:lang w:eastAsia="en-AU"/>
        </w:rPr>
        <w:drawing>
          <wp:inline distT="0" distB="0" distL="0" distR="0" wp14:anchorId="37523FC1" wp14:editId="6964A4AE">
            <wp:extent cx="4667250" cy="3343275"/>
            <wp:effectExtent l="0" t="0" r="0" b="9525"/>
            <wp:docPr id="5" name="Picture 5" descr="Table 11: GS-US-236-0115: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67250" cy="3343275"/>
                    </a:xfrm>
                    <a:prstGeom prst="rect">
                      <a:avLst/>
                    </a:prstGeom>
                  </pic:spPr>
                </pic:pic>
              </a:graphicData>
            </a:graphic>
          </wp:inline>
        </w:drawing>
      </w:r>
    </w:p>
    <w:p w:rsidR="007957C9" w:rsidRDefault="007957C9" w:rsidP="007957C9">
      <w:pPr>
        <w:pStyle w:val="Heading5"/>
      </w:pPr>
      <w:r w:rsidRPr="007957C9">
        <w:t>GS-US-236-0121</w:t>
      </w:r>
    </w:p>
    <w:p w:rsidR="007957C9" w:rsidRPr="007957C9" w:rsidRDefault="002C3353" w:rsidP="007957C9">
      <w:r>
        <w:t xml:space="preserve">In Study </w:t>
      </w:r>
      <w:r w:rsidR="007957C9" w:rsidRPr="007957C9">
        <w:t xml:space="preserve">GS-US-236-0121 </w:t>
      </w:r>
      <w:r>
        <w:t>t</w:t>
      </w:r>
      <w:r w:rsidR="007957C9" w:rsidRPr="007957C9">
        <w:t>he safety analysis set comprised 291 subjects receiving STB and 143 receiving SBR (NNRTI plus FTC and tenofovir DF). The median duration of exposure to study drug was 60.6 weeks (48.6</w:t>
      </w:r>
      <w:r w:rsidR="003618A7">
        <w:t xml:space="preserve"> to </w:t>
      </w:r>
      <w:r w:rsidR="007957C9" w:rsidRPr="007957C9">
        <w:t>72.9 weeks) with STB and 61.0 weeks (48.1</w:t>
      </w:r>
      <w:r w:rsidR="003618A7">
        <w:t xml:space="preserve"> to </w:t>
      </w:r>
      <w:r w:rsidR="007957C9" w:rsidRPr="007957C9">
        <w:t>73.7 weeks) with SBR. The majority of subjects in each group received study drug for ≥ 48 weeks (STB 84.9%,</w:t>
      </w:r>
      <w:r w:rsidR="003618A7">
        <w:t xml:space="preserve"> </w:t>
      </w:r>
      <w:r>
        <w:t>SBR 81.8%</w:t>
      </w:r>
      <w:r w:rsidR="007957C9" w:rsidRPr="007957C9">
        <w:t>.</w:t>
      </w:r>
    </w:p>
    <w:p w:rsidR="007957C9" w:rsidRDefault="007957C9" w:rsidP="007957C9">
      <w:r w:rsidRPr="007957C9">
        <w:t xml:space="preserve">Adverse events are summarised </w:t>
      </w:r>
      <w:r w:rsidRPr="00B918B1">
        <w:t xml:space="preserve">in Table </w:t>
      </w:r>
      <w:r w:rsidR="00B918B1" w:rsidRPr="00B918B1">
        <w:t>12</w:t>
      </w:r>
      <w:r w:rsidRPr="00B918B1">
        <w:t>.</w:t>
      </w:r>
      <w:r w:rsidR="003618A7" w:rsidRPr="00B918B1">
        <w:t xml:space="preserve"> </w:t>
      </w:r>
      <w:r w:rsidRPr="00B918B1">
        <w:t>Higher</w:t>
      </w:r>
      <w:r w:rsidRPr="007957C9">
        <w:t xml:space="preserve"> %s</w:t>
      </w:r>
      <w:r w:rsidR="003618A7">
        <w:t xml:space="preserve"> </w:t>
      </w:r>
      <w:r w:rsidRPr="007957C9">
        <w:t>in the switch group (STB) had any AE reported (STB 81.4%, 237</w:t>
      </w:r>
      <w:r w:rsidR="002C3353">
        <w:t xml:space="preserve"> out of </w:t>
      </w:r>
      <w:r w:rsidRPr="007957C9">
        <w:t>291; SBR 74.8%, 107</w:t>
      </w:r>
      <w:r w:rsidR="002C3353">
        <w:t xml:space="preserve"> out of </w:t>
      </w:r>
      <w:r w:rsidRPr="007957C9">
        <w:t xml:space="preserve">143) and any AE considered related to study drug by the investigator (STB 23.4%/68; SBR 6.3%/9). The </w:t>
      </w:r>
      <w:r w:rsidR="002C3353">
        <w:t>clinical evaluator</w:t>
      </w:r>
      <w:r w:rsidRPr="007957C9">
        <w:t xml:space="preserve"> considered this to be expected when changing to a new treatment regimen.</w:t>
      </w:r>
      <w:r w:rsidR="003618A7">
        <w:t xml:space="preserve"> </w:t>
      </w:r>
      <w:r w:rsidRPr="007957C9">
        <w:t xml:space="preserve">STB and SBR were generally well tolerated as shown by infrequent discontinuations due to AEs and low incidence of study </w:t>
      </w:r>
      <w:r w:rsidR="002C3353">
        <w:t>drug related</w:t>
      </w:r>
      <w:r w:rsidRPr="007957C9">
        <w:t xml:space="preserve"> SAEs. 2 subjects </w:t>
      </w:r>
      <w:r w:rsidRPr="007957C9">
        <w:lastRenderedPageBreak/>
        <w:t xml:space="preserve">receiving STB had renal AEs (acquired </w:t>
      </w:r>
      <w:proofErr w:type="spellStart"/>
      <w:r w:rsidRPr="007957C9">
        <w:t>Fanconi</w:t>
      </w:r>
      <w:proofErr w:type="spellEnd"/>
      <w:r w:rsidRPr="007957C9">
        <w:t xml:space="preserve"> syndrome and increased blood creatinine) resulting in discontinuation.</w:t>
      </w:r>
      <w:r w:rsidR="003618A7">
        <w:t xml:space="preserve"> </w:t>
      </w:r>
      <w:r w:rsidRPr="007957C9">
        <w:t>No new safety issues were identified.</w:t>
      </w:r>
    </w:p>
    <w:p w:rsidR="005544A7" w:rsidRDefault="005544A7" w:rsidP="00DD6AEF">
      <w:pPr>
        <w:pStyle w:val="TableTitle"/>
        <w:rPr>
          <w:lang w:eastAsia="en-AU"/>
        </w:rPr>
      </w:pPr>
      <w:r>
        <w:t xml:space="preserve">Table </w:t>
      </w:r>
      <w:r w:rsidR="00B918B1">
        <w:t>12</w:t>
      </w:r>
      <w:r w:rsidRPr="003E337B">
        <w:t xml:space="preserve">: </w:t>
      </w:r>
      <w:r w:rsidRPr="003E337B">
        <w:rPr>
          <w:lang w:eastAsia="en-AU"/>
        </w:rPr>
        <w:t xml:space="preserve">GS-US-236-0121: Overall </w:t>
      </w:r>
      <w:r w:rsidR="00B918B1" w:rsidRPr="003E337B">
        <w:rPr>
          <w:lang w:eastAsia="en-AU"/>
        </w:rPr>
        <w:t>summary of adverse events (safety analysis set</w:t>
      </w:r>
      <w:r w:rsidRPr="003E337B">
        <w:rPr>
          <w:lang w:eastAsia="en-AU"/>
        </w:rPr>
        <w:t>)</w:t>
      </w:r>
    </w:p>
    <w:p w:rsidR="005544A7" w:rsidRPr="005544A7" w:rsidRDefault="005544A7" w:rsidP="005544A7">
      <w:r>
        <w:rPr>
          <w:noProof/>
          <w:lang w:eastAsia="en-AU"/>
        </w:rPr>
        <w:drawing>
          <wp:inline distT="0" distB="0" distL="0" distR="0" wp14:anchorId="550E91AF" wp14:editId="2AF7C4B0">
            <wp:extent cx="4781550" cy="3028950"/>
            <wp:effectExtent l="0" t="0" r="0" b="0"/>
            <wp:docPr id="6" name="Picture 6" descr="Table 12: GS-US-236-0121: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81550" cy="3028950"/>
                    </a:xfrm>
                    <a:prstGeom prst="rect">
                      <a:avLst/>
                    </a:prstGeom>
                  </pic:spPr>
                </pic:pic>
              </a:graphicData>
            </a:graphic>
          </wp:inline>
        </w:drawing>
      </w:r>
    </w:p>
    <w:p w:rsidR="003618A7" w:rsidRDefault="00E76712" w:rsidP="007957C9">
      <w:pPr>
        <w:pStyle w:val="Heading5"/>
      </w:pPr>
      <w:r>
        <w:t>GS-US-236-0123</w:t>
      </w:r>
    </w:p>
    <w:p w:rsidR="007957C9" w:rsidRPr="007957C9" w:rsidRDefault="002C3353" w:rsidP="007957C9">
      <w:r>
        <w:t xml:space="preserve">In Study </w:t>
      </w:r>
      <w:r w:rsidR="007957C9" w:rsidRPr="007957C9">
        <w:t>GS-US-236-0123</w:t>
      </w:r>
      <w:r w:rsidR="003618A7">
        <w:t xml:space="preserve"> </w:t>
      </w:r>
      <w:r>
        <w:t>t</w:t>
      </w:r>
      <w:r w:rsidR="007957C9" w:rsidRPr="007957C9">
        <w:t xml:space="preserve">he safety analysis </w:t>
      </w:r>
      <w:r>
        <w:t>s</w:t>
      </w:r>
      <w:r w:rsidR="007957C9" w:rsidRPr="007957C9">
        <w:t>et comprised 48 subjects all of whom received STB. The median duration of exposure to study drug was 48.1 weeks. All subjects received study drug for &gt; 44 weeks and 58.3% received study drug for &gt; 48 weeks.</w:t>
      </w:r>
    </w:p>
    <w:p w:rsidR="003618A7" w:rsidRDefault="007957C9" w:rsidP="007957C9">
      <w:r w:rsidRPr="007957C9">
        <w:t xml:space="preserve">Adverse events </w:t>
      </w:r>
      <w:r w:rsidRPr="00B918B1">
        <w:t xml:space="preserve">are summarised in Table </w:t>
      </w:r>
      <w:r w:rsidR="00B918B1" w:rsidRPr="00B918B1">
        <w:t>13</w:t>
      </w:r>
      <w:r w:rsidRPr="00B918B1">
        <w:t>.</w:t>
      </w:r>
      <w:r w:rsidRPr="007957C9">
        <w:t xml:space="preserve"> Safety conclusions were that Stribild was well tolerated in this study, as evidenced by the absence of discontinuations due to AEs and study </w:t>
      </w:r>
      <w:r w:rsidR="002C3353">
        <w:t>drug related</w:t>
      </w:r>
      <w:r w:rsidRPr="007957C9">
        <w:t xml:space="preserve"> SAEs. There were no clinically relevant changes from baseline in renal parameters. No subject had laboratory findings consistent with </w:t>
      </w:r>
      <w:r w:rsidR="00CC0642">
        <w:t xml:space="preserve">proximal renal </w:t>
      </w:r>
      <w:proofErr w:type="spellStart"/>
      <w:r w:rsidR="00CC0642">
        <w:t>tubulopathy</w:t>
      </w:r>
      <w:proofErr w:type="spellEnd"/>
      <w:r w:rsidR="00CC0642" w:rsidRPr="007957C9">
        <w:t xml:space="preserve"> </w:t>
      </w:r>
      <w:r w:rsidR="00CC0642">
        <w:t>(</w:t>
      </w:r>
      <w:r w:rsidRPr="007957C9">
        <w:t>PRT</w:t>
      </w:r>
      <w:r w:rsidR="00CC0642">
        <w:t>)</w:t>
      </w:r>
      <w:r w:rsidR="003618A7">
        <w:t>.</w:t>
      </w:r>
    </w:p>
    <w:p w:rsidR="005544A7" w:rsidRDefault="005544A7" w:rsidP="005544A7">
      <w:pPr>
        <w:pStyle w:val="TableTitle"/>
        <w:rPr>
          <w:lang w:eastAsia="en-AU"/>
        </w:rPr>
      </w:pPr>
      <w:r w:rsidRPr="00B918B1">
        <w:t xml:space="preserve">Table </w:t>
      </w:r>
      <w:r w:rsidR="00B918B1" w:rsidRPr="00B918B1">
        <w:t>13</w:t>
      </w:r>
      <w:r w:rsidRPr="00B918B1">
        <w:t>:</w:t>
      </w:r>
      <w:r w:rsidRPr="00B918B1">
        <w:rPr>
          <w:lang w:eastAsia="en-AU"/>
        </w:rPr>
        <w:t xml:space="preserve"> GS-US-236-0123</w:t>
      </w:r>
      <w:r w:rsidRPr="003E337B">
        <w:rPr>
          <w:lang w:eastAsia="en-AU"/>
        </w:rPr>
        <w:t xml:space="preserve">: Overall </w:t>
      </w:r>
      <w:r w:rsidR="00B918B1" w:rsidRPr="00B918B1">
        <w:rPr>
          <w:lang w:eastAsia="en-AU"/>
        </w:rPr>
        <w:t>summary of adverse events (safety analysis set</w:t>
      </w:r>
      <w:r w:rsidR="00B918B1" w:rsidRPr="003E337B">
        <w:rPr>
          <w:lang w:eastAsia="en-AU"/>
        </w:rPr>
        <w:t>)</w:t>
      </w:r>
    </w:p>
    <w:p w:rsidR="005544A7" w:rsidRPr="005544A7" w:rsidRDefault="005544A7" w:rsidP="005544A7">
      <w:r>
        <w:rPr>
          <w:noProof/>
          <w:lang w:eastAsia="en-AU"/>
        </w:rPr>
        <w:drawing>
          <wp:inline distT="0" distB="0" distL="0" distR="0" wp14:anchorId="7E414CCE" wp14:editId="2A2C75DF">
            <wp:extent cx="4686300" cy="2219325"/>
            <wp:effectExtent l="0" t="0" r="0" b="9525"/>
            <wp:docPr id="7" name="Picture 7" descr="Table 13: GS-US-236-0123: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6300" cy="2219325"/>
                    </a:xfrm>
                    <a:prstGeom prst="rect">
                      <a:avLst/>
                    </a:prstGeom>
                  </pic:spPr>
                </pic:pic>
              </a:graphicData>
            </a:graphic>
          </wp:inline>
        </w:drawing>
      </w:r>
    </w:p>
    <w:p w:rsidR="003618A7" w:rsidRDefault="002C3353" w:rsidP="007957C9">
      <w:pPr>
        <w:pStyle w:val="Heading4"/>
      </w:pPr>
      <w:r>
        <w:t xml:space="preserve">Benefit </w:t>
      </w:r>
      <w:r w:rsidR="00DD6AEF">
        <w:t>risk a</w:t>
      </w:r>
      <w:r>
        <w:t>ssessment</w:t>
      </w:r>
    </w:p>
    <w:p w:rsidR="003618A7" w:rsidRDefault="005544A7" w:rsidP="007957C9">
      <w:r w:rsidRPr="005544A7">
        <w:t xml:space="preserve">The clinical evaluation benefit risk assessment </w:t>
      </w:r>
      <w:r w:rsidR="007957C9" w:rsidRPr="005544A7">
        <w:t xml:space="preserve">is </w:t>
      </w:r>
      <w:r w:rsidRPr="005544A7">
        <w:t>provided in Attachment 2</w:t>
      </w:r>
      <w:r w:rsidR="003618A7" w:rsidRPr="005544A7">
        <w:t>.</w:t>
      </w:r>
    </w:p>
    <w:p w:rsidR="003618A7" w:rsidRDefault="007957C9" w:rsidP="007957C9">
      <w:r w:rsidRPr="007957C9">
        <w:t xml:space="preserve">In studies GS-US-236-0115 and GS-US-236-0121, high rates of virologic suppression were maintained to </w:t>
      </w:r>
      <w:r w:rsidR="003618A7">
        <w:t>Week</w:t>
      </w:r>
      <w:r w:rsidRPr="007957C9">
        <w:t xml:space="preserve"> 48 in subjects who switched to STB and in those who remained on </w:t>
      </w:r>
      <w:r w:rsidRPr="007957C9">
        <w:lastRenderedPageBreak/>
        <w:t xml:space="preserve">their baseline regimens containing a PI </w:t>
      </w:r>
      <w:r w:rsidR="003618A7">
        <w:t>+</w:t>
      </w:r>
      <w:r w:rsidRPr="007957C9">
        <w:t xml:space="preserve"> RTV </w:t>
      </w:r>
      <w:r w:rsidR="003618A7">
        <w:t>+</w:t>
      </w:r>
      <w:r w:rsidRPr="007957C9">
        <w:t xml:space="preserve"> FTC/TDF or an NNRTI </w:t>
      </w:r>
      <w:r w:rsidR="003618A7">
        <w:t>+</w:t>
      </w:r>
      <w:r w:rsidRPr="007957C9">
        <w:t xml:space="preserve"> FTC/TDF. In each study, results of the primary </w:t>
      </w:r>
      <w:r w:rsidR="002C3353">
        <w:t xml:space="preserve">efficacy analysis using the FDA </w:t>
      </w:r>
      <w:r w:rsidRPr="007957C9">
        <w:t>defined snapshot algorithm demonstrated that switching to STB was non</w:t>
      </w:r>
      <w:r w:rsidR="002C3353">
        <w:t>-</w:t>
      </w:r>
      <w:r w:rsidRPr="007957C9">
        <w:t xml:space="preserve">inferior to staying on the baseline regimen. In study GS-US-236- 0115, statistical superiority of STB over SBR (PI </w:t>
      </w:r>
      <w:r w:rsidR="003618A7">
        <w:t>+</w:t>
      </w:r>
      <w:r w:rsidRPr="007957C9">
        <w:t xml:space="preserve"> RTV </w:t>
      </w:r>
      <w:r w:rsidR="003618A7">
        <w:t>+</w:t>
      </w:r>
      <w:r w:rsidRPr="007957C9">
        <w:t xml:space="preserve"> FTC/TDF) was shown</w:t>
      </w:r>
      <w:r w:rsidR="003618A7">
        <w:t>.</w:t>
      </w:r>
    </w:p>
    <w:p w:rsidR="003618A7" w:rsidRDefault="007957C9" w:rsidP="007957C9">
      <w:r w:rsidRPr="007957C9">
        <w:t xml:space="preserve">In the single-group study GS-US-236-0123, 100% of subjects who switched to STB from RAL </w:t>
      </w:r>
      <w:r w:rsidR="003618A7">
        <w:t>+</w:t>
      </w:r>
      <w:r w:rsidRPr="007957C9">
        <w:t xml:space="preserve"> FTC/TDF had virologic success at </w:t>
      </w:r>
      <w:r w:rsidR="003618A7">
        <w:t>Week</w:t>
      </w:r>
      <w:r w:rsidRPr="007957C9">
        <w:t xml:space="preserve"> 48</w:t>
      </w:r>
      <w:r w:rsidR="003618A7">
        <w:t>.</w:t>
      </w:r>
    </w:p>
    <w:p w:rsidR="007957C9" w:rsidRPr="007957C9" w:rsidRDefault="007957C9" w:rsidP="007957C9">
      <w:r w:rsidRPr="007957C9">
        <w:t xml:space="preserve">There was no </w:t>
      </w:r>
      <w:r w:rsidR="003618A7">
        <w:t xml:space="preserve">treatment emergent </w:t>
      </w:r>
      <w:r w:rsidRPr="007957C9">
        <w:t>HIV-1 drug resistance in studies GS-US-236-0115,</w:t>
      </w:r>
      <w:r w:rsidR="003618A7">
        <w:t xml:space="preserve"> </w:t>
      </w:r>
      <w:r w:rsidRPr="007957C9">
        <w:t>GS-US-236-0121 and GS-US-236-0123 either in subjects switching to STB or in those who stayed on their baseline regimen through the 48 week treatment periods.</w:t>
      </w:r>
    </w:p>
    <w:p w:rsidR="007957C9" w:rsidRPr="007957C9" w:rsidRDefault="007957C9" w:rsidP="007957C9">
      <w:r w:rsidRPr="007957C9">
        <w:t>In studies GS-US-236-0115 and GS-US-236-0121, there were a higher % of subjects who switched to STB experiencing an AE assessed as treatment related. The AEs were consistent with the known profile. Only a few of these were Grade 3 events and there were no Grade 4 events. Discontinuations due to AEs were infrequent. Overall STB was generally well tolerated in subjects who switched and there were no new safety issues identified.</w:t>
      </w:r>
    </w:p>
    <w:p w:rsidR="007957C9" w:rsidRPr="007957C9" w:rsidRDefault="007957C9" w:rsidP="007957C9">
      <w:r w:rsidRPr="007957C9">
        <w:t xml:space="preserve">In study GS-US-236-0123 STB was well tolerated. Nearly all AEs were Grade 1 or 2 in severity </w:t>
      </w:r>
      <w:proofErr w:type="gramStart"/>
      <w:r w:rsidRPr="007957C9">
        <w:t xml:space="preserve">with only </w:t>
      </w:r>
      <w:r w:rsidR="002C3353">
        <w:t>two</w:t>
      </w:r>
      <w:r w:rsidRPr="007957C9">
        <w:t xml:space="preserve"> Grade 3</w:t>
      </w:r>
      <w:proofErr w:type="gramEnd"/>
      <w:r w:rsidRPr="007957C9">
        <w:t xml:space="preserve"> and none Grade 4. No subject discontinued due to an AE.</w:t>
      </w:r>
    </w:p>
    <w:p w:rsidR="007B6132" w:rsidRDefault="007B6132" w:rsidP="00555280">
      <w:pPr>
        <w:pStyle w:val="Heading4"/>
      </w:pPr>
      <w:r w:rsidRPr="007B6132">
        <w:t>Clin</w:t>
      </w:r>
      <w:r w:rsidR="002C3353">
        <w:t>ical evaluator’s recommendation</w:t>
      </w:r>
    </w:p>
    <w:p w:rsidR="007957C9" w:rsidRPr="007957C9" w:rsidRDefault="002C3353" w:rsidP="007957C9">
      <w:r>
        <w:t>The clinical evaluator’s</w:t>
      </w:r>
      <w:r w:rsidR="007957C9" w:rsidRPr="007957C9">
        <w:t xml:space="preserve"> </w:t>
      </w:r>
      <w:r w:rsidRPr="007957C9">
        <w:t xml:space="preserve">conclusion and recommendation </w:t>
      </w:r>
      <w:r w:rsidR="007957C9" w:rsidRPr="007957C9">
        <w:t>was</w:t>
      </w:r>
      <w:r>
        <w:t xml:space="preserve"> that the studies </w:t>
      </w:r>
      <w:r w:rsidR="00F64CFD">
        <w:t xml:space="preserve">provided </w:t>
      </w:r>
      <w:r w:rsidR="007957C9" w:rsidRPr="007957C9">
        <w:t>support the use of STB in virologically suppressed subjects.</w:t>
      </w:r>
    </w:p>
    <w:p w:rsidR="008E7846" w:rsidRDefault="00386150" w:rsidP="007B6132">
      <w:pPr>
        <w:pStyle w:val="Heading3"/>
        <w:rPr>
          <w:lang w:eastAsia="en-AU"/>
        </w:rPr>
      </w:pPr>
      <w:bookmarkStart w:id="87" w:name="_Toc481583640"/>
      <w:r>
        <w:rPr>
          <w:lang w:eastAsia="en-AU"/>
        </w:rPr>
        <w:t>Risk m</w:t>
      </w:r>
      <w:r w:rsidR="008E7846">
        <w:rPr>
          <w:lang w:eastAsia="en-AU"/>
        </w:rPr>
        <w:t xml:space="preserve">anagement </w:t>
      </w:r>
      <w:r>
        <w:rPr>
          <w:lang w:eastAsia="en-AU"/>
        </w:rPr>
        <w:t>p</w:t>
      </w:r>
      <w:r w:rsidR="008E7846">
        <w:rPr>
          <w:lang w:eastAsia="en-AU"/>
        </w:rPr>
        <w:t>lan</w:t>
      </w:r>
      <w:bookmarkEnd w:id="85"/>
      <w:bookmarkEnd w:id="87"/>
    </w:p>
    <w:p w:rsidR="003618A7" w:rsidRDefault="007957C9" w:rsidP="007957C9">
      <w:r w:rsidRPr="007957C9">
        <w:t>The second round RMP Evaluation notes an administrat</w:t>
      </w:r>
      <w:r w:rsidR="002C3353">
        <w:t>ive oversight in the revised AU</w:t>
      </w:r>
      <w:r w:rsidR="002C3353">
        <w:noBreakHyphen/>
      </w:r>
      <w:r w:rsidRPr="007957C9">
        <w:t>RMP which does not include suicidal ideation/suicide attempt in patients with a pre-existing history of de</w:t>
      </w:r>
      <w:r w:rsidR="002C3353">
        <w:t>pression or psychiatric illness</w:t>
      </w:r>
      <w:r w:rsidR="003618A7">
        <w:t>.</w:t>
      </w:r>
    </w:p>
    <w:p w:rsidR="003618A7" w:rsidRDefault="007957C9" w:rsidP="007957C9">
      <w:r w:rsidRPr="007957C9">
        <w:t>The second round RMP Evaluation recommends that the sponsor should provide at least an electronic copy of the draft protocols, for new planned studies in the pharmacovigilance plan, to the TGA if they h</w:t>
      </w:r>
      <w:r w:rsidR="00B918B1">
        <w:t>ave not already been initiated.</w:t>
      </w:r>
    </w:p>
    <w:p w:rsidR="008E7846" w:rsidRDefault="007957C9" w:rsidP="008E7846">
      <w:r w:rsidRPr="007957C9">
        <w:t>ACSOM advice was not sought for this submission.</w:t>
      </w:r>
    </w:p>
    <w:p w:rsidR="008E7846" w:rsidRDefault="00AA0ED0" w:rsidP="008E7846">
      <w:pPr>
        <w:pStyle w:val="Heading3"/>
      </w:pPr>
      <w:bookmarkStart w:id="88" w:name="_Toc247691531"/>
      <w:bookmarkStart w:id="89" w:name="_Toc314842515"/>
      <w:bookmarkStart w:id="90" w:name="_Toc481583641"/>
      <w:bookmarkStart w:id="91" w:name="_Toc196046505"/>
      <w:bookmarkStart w:id="92" w:name="_Toc196046949"/>
      <w:r>
        <w:t>Risk-benefit a</w:t>
      </w:r>
      <w:r w:rsidR="008E7846">
        <w:t>nalysis</w:t>
      </w:r>
      <w:bookmarkEnd w:id="88"/>
      <w:bookmarkEnd w:id="89"/>
      <w:bookmarkEnd w:id="90"/>
    </w:p>
    <w:p w:rsidR="002D398A" w:rsidRPr="002D398A" w:rsidRDefault="002D398A" w:rsidP="002D398A">
      <w:r w:rsidRPr="002D398A">
        <w:t xml:space="preserve">The proposed </w:t>
      </w:r>
      <w:r w:rsidR="002C3353">
        <w:t>PI</w:t>
      </w:r>
      <w:r w:rsidRPr="002D398A">
        <w:t xml:space="preserve"> in the </w:t>
      </w:r>
      <w:r w:rsidR="002C3353">
        <w:t>sponsor’s response</w:t>
      </w:r>
      <w:r w:rsidRPr="002D398A">
        <w:t xml:space="preserve"> including</w:t>
      </w:r>
      <w:r w:rsidR="002C3353">
        <w:t xml:space="preserve"> the proposed indication</w:t>
      </w:r>
      <w:r w:rsidRPr="002D398A">
        <w:t xml:space="preserve"> </w:t>
      </w:r>
      <w:r w:rsidR="002C3353">
        <w:t>was</w:t>
      </w:r>
      <w:r w:rsidRPr="002D398A">
        <w:t xml:space="preserve"> considered acceptable in the second round </w:t>
      </w:r>
      <w:r w:rsidR="002C3353">
        <w:t>clinical</w:t>
      </w:r>
      <w:r w:rsidRPr="002D398A">
        <w:t xml:space="preserve"> and RMP </w:t>
      </w:r>
      <w:r w:rsidR="002C3353">
        <w:t>e</w:t>
      </w:r>
      <w:r w:rsidRPr="002D398A">
        <w:t xml:space="preserve">valuation. The </w:t>
      </w:r>
      <w:r w:rsidR="002C3353">
        <w:t>Delegate</w:t>
      </w:r>
      <w:r w:rsidRPr="002D398A">
        <w:t xml:space="preserve"> considers the proposed indications statement </w:t>
      </w:r>
      <w:r w:rsidR="003352BE">
        <w:t>does not reflect the population included in clinical studies</w:t>
      </w:r>
      <w:r w:rsidRPr="002D398A">
        <w:t xml:space="preserve"> and the request for ACPM’s advice is sought focused on the extension of indications aspect of the application.</w:t>
      </w:r>
    </w:p>
    <w:p w:rsidR="003618A7" w:rsidRDefault="002D398A" w:rsidP="002D398A">
      <w:r w:rsidRPr="002D398A">
        <w:t xml:space="preserve">Three clinical studies have been submitted </w:t>
      </w:r>
      <w:r w:rsidR="009C03A7">
        <w:t>virologically suppressed</w:t>
      </w:r>
      <w:r w:rsidRPr="002D398A">
        <w:t xml:space="preserve"> (HIV-1 RNA </w:t>
      </w:r>
      <w:r w:rsidR="002C3353">
        <w:t>&lt; 50</w:t>
      </w:r>
      <w:r w:rsidRPr="002D398A">
        <w:t xml:space="preserve"> copies/mL) adult patients on a stable antiretroviral regimen at start of therapy in order to replace their current antiretroviral treatment regimen to support the extension of indications</w:t>
      </w:r>
      <w:r w:rsidR="003618A7">
        <w:t>.</w:t>
      </w:r>
    </w:p>
    <w:p w:rsidR="002D398A" w:rsidRPr="002D398A" w:rsidRDefault="003618A7" w:rsidP="002D398A">
      <w:r>
        <w:t>Stribild</w:t>
      </w:r>
      <w:r w:rsidR="002D398A" w:rsidRPr="002D398A">
        <w:t xml:space="preserve"> is indicated as a single tablet regimen for the treatment of HIV infection and reasons for a switch in regimen will include treatment simplification. HIV treatment guidelines emphasise that key principles of regimen switch in this setting is to maintain virological response without compromising future options and that a patient’s prior </w:t>
      </w:r>
      <w:r w:rsidR="002D398A" w:rsidRPr="002D398A">
        <w:lastRenderedPageBreak/>
        <w:t>treatment history and responses to ART, resistance profiles, and drug tolerance should be considered when contemplating a regimen switch.</w:t>
      </w:r>
    </w:p>
    <w:p w:rsidR="003618A7" w:rsidRDefault="002D398A" w:rsidP="002D398A">
      <w:r w:rsidRPr="002D398A">
        <w:t xml:space="preserve">The ACPM considered an application for </w:t>
      </w:r>
      <w:proofErr w:type="spellStart"/>
      <w:r w:rsidRPr="002D398A">
        <w:t>E</w:t>
      </w:r>
      <w:r w:rsidR="009C03A7" w:rsidRPr="002D398A">
        <w:t>viplera</w:t>
      </w:r>
      <w:proofErr w:type="spellEnd"/>
      <w:r w:rsidR="00AC4491">
        <w:rPr>
          <w:rStyle w:val="FootnoteReference"/>
        </w:rPr>
        <w:footnoteReference w:id="3"/>
      </w:r>
      <w:r w:rsidRPr="002D398A">
        <w:t xml:space="preserve"> (</w:t>
      </w:r>
      <w:proofErr w:type="spellStart"/>
      <w:r w:rsidRPr="002D398A">
        <w:t>tenofovir</w:t>
      </w:r>
      <w:proofErr w:type="spellEnd"/>
      <w:r w:rsidRPr="002D398A">
        <w:t xml:space="preserve"> DF/</w:t>
      </w:r>
      <w:r w:rsidR="009C03A7">
        <w:t xml:space="preserve"> </w:t>
      </w:r>
      <w:proofErr w:type="spellStart"/>
      <w:r w:rsidRPr="002D398A">
        <w:t>emtricitabine</w:t>
      </w:r>
      <w:proofErr w:type="spellEnd"/>
      <w:r w:rsidRPr="002D398A">
        <w:t>/</w:t>
      </w:r>
      <w:r w:rsidR="009C03A7">
        <w:t xml:space="preserve"> </w:t>
      </w:r>
      <w:proofErr w:type="spellStart"/>
      <w:r w:rsidRPr="002D398A">
        <w:t>rilpivirine</w:t>
      </w:r>
      <w:proofErr w:type="spellEnd"/>
      <w:r w:rsidRPr="002D398A">
        <w:t xml:space="preserve"> single tablet regimen for an extension of indications based on clinical studies in </w:t>
      </w:r>
      <w:r w:rsidR="009C03A7">
        <w:t>virologically suppressed</w:t>
      </w:r>
      <w:r w:rsidRPr="002D398A">
        <w:t xml:space="preserve"> (HIV-1 RNA </w:t>
      </w:r>
      <w:r w:rsidR="002C3353">
        <w:t>&lt; 50</w:t>
      </w:r>
      <w:r w:rsidRPr="002D398A">
        <w:t xml:space="preserve"> copies/mL) adult patients on a stable antiretroviral regimen at start of therapy in order to replace their current antiretroviral treatment regimen.</w:t>
      </w:r>
      <w:r w:rsidR="003618A7">
        <w:t xml:space="preserve"> </w:t>
      </w:r>
      <w:r w:rsidR="009C03A7">
        <w:t xml:space="preserve">The </w:t>
      </w:r>
      <w:r w:rsidRPr="002D398A">
        <w:t xml:space="preserve">ACPM recommended </w:t>
      </w:r>
    </w:p>
    <w:p w:rsidR="002D398A" w:rsidRPr="009C03A7" w:rsidRDefault="002D398A" w:rsidP="009C03A7">
      <w:pPr>
        <w:ind w:left="720"/>
        <w:rPr>
          <w:i/>
        </w:rPr>
      </w:pPr>
      <w:r w:rsidRPr="009C03A7">
        <w:rPr>
          <w:i/>
        </w:rPr>
        <w:t>“</w:t>
      </w:r>
      <w:r w:rsidR="009C03A7" w:rsidRPr="009C03A7">
        <w:rPr>
          <w:i/>
        </w:rPr>
        <w:t>Eviplera</w:t>
      </w:r>
      <w:r w:rsidRPr="009C03A7">
        <w:rPr>
          <w:i/>
        </w:rPr>
        <w:t xml:space="preserve"> is indicated for the treatment of HIV-1 infection in treatment-naïve adult patients with plasma HIV-1 RNA &lt; 100,000 copies/mL at the start of therapy.</w:t>
      </w:r>
    </w:p>
    <w:p w:rsidR="002D398A" w:rsidRPr="009C03A7" w:rsidRDefault="009C03A7" w:rsidP="009C03A7">
      <w:pPr>
        <w:ind w:left="720"/>
        <w:rPr>
          <w:i/>
        </w:rPr>
      </w:pPr>
      <w:r w:rsidRPr="009C03A7">
        <w:rPr>
          <w:i/>
        </w:rPr>
        <w:t>Eviplera</w:t>
      </w:r>
      <w:r w:rsidR="002D398A" w:rsidRPr="009C03A7">
        <w:rPr>
          <w:i/>
        </w:rPr>
        <w:t xml:space="preserve"> is also indicated in certain </w:t>
      </w:r>
      <w:r w:rsidRPr="009C03A7">
        <w:rPr>
          <w:i/>
        </w:rPr>
        <w:t>virologically suppressed</w:t>
      </w:r>
      <w:r w:rsidR="002D398A" w:rsidRPr="009C03A7">
        <w:rPr>
          <w:i/>
        </w:rPr>
        <w:t xml:space="preserve"> (HIV-1 RNA </w:t>
      </w:r>
      <w:r w:rsidR="002C3353" w:rsidRPr="009C03A7">
        <w:rPr>
          <w:i/>
        </w:rPr>
        <w:t>&lt; 50</w:t>
      </w:r>
      <w:r w:rsidR="002D398A" w:rsidRPr="009C03A7">
        <w:rPr>
          <w:i/>
        </w:rPr>
        <w:t xml:space="preserve"> copies/mL) adult patients on a stable antiretroviral regimen at start of therapy in order to replace their current antiretroviral treatment regimen (see CLINICAL TRIALS). Patients must not have a history of resistance to any of the components of </w:t>
      </w:r>
      <w:proofErr w:type="spellStart"/>
      <w:r w:rsidRPr="009C03A7">
        <w:rPr>
          <w:i/>
        </w:rPr>
        <w:t>Eviplera</w:t>
      </w:r>
      <w:proofErr w:type="spellEnd"/>
      <w:r w:rsidR="002D398A" w:rsidRPr="009C03A7">
        <w:rPr>
          <w:i/>
        </w:rPr>
        <w:t xml:space="preserve"> (</w:t>
      </w:r>
      <w:proofErr w:type="spellStart"/>
      <w:r w:rsidR="002D398A" w:rsidRPr="009C03A7">
        <w:rPr>
          <w:i/>
        </w:rPr>
        <w:t>tenofovir</w:t>
      </w:r>
      <w:proofErr w:type="spellEnd"/>
      <w:r w:rsidR="002D398A" w:rsidRPr="009C03A7">
        <w:rPr>
          <w:i/>
        </w:rPr>
        <w:t xml:space="preserve"> DF, </w:t>
      </w:r>
      <w:proofErr w:type="spellStart"/>
      <w:r w:rsidR="002D398A" w:rsidRPr="009C03A7">
        <w:rPr>
          <w:i/>
        </w:rPr>
        <w:t>emtricitabine</w:t>
      </w:r>
      <w:proofErr w:type="spellEnd"/>
      <w:r w:rsidR="002D398A" w:rsidRPr="009C03A7">
        <w:rPr>
          <w:i/>
        </w:rPr>
        <w:t xml:space="preserve"> or </w:t>
      </w:r>
      <w:proofErr w:type="spellStart"/>
      <w:r w:rsidR="002D398A" w:rsidRPr="009C03A7">
        <w:rPr>
          <w:i/>
        </w:rPr>
        <w:t>rilpivirine</w:t>
      </w:r>
      <w:proofErr w:type="spellEnd"/>
      <w:r w:rsidR="002D398A" w:rsidRPr="009C03A7">
        <w:rPr>
          <w:i/>
        </w:rPr>
        <w:t>)”.</w:t>
      </w:r>
    </w:p>
    <w:p w:rsidR="003618A7" w:rsidRDefault="00D23139" w:rsidP="00D23139">
      <w:pPr>
        <w:pStyle w:val="Heading4"/>
      </w:pPr>
      <w:r w:rsidRPr="00D23139">
        <w:t>Delegate’s considerations</w:t>
      </w:r>
    </w:p>
    <w:p w:rsidR="003618A7" w:rsidRDefault="009C03A7" w:rsidP="002D398A">
      <w:r>
        <w:t>The Delegate considered</w:t>
      </w:r>
      <w:r w:rsidR="002D398A" w:rsidRPr="002D398A">
        <w:t xml:space="preserve"> the current ‘Indications’ statement proposed in this application for </w:t>
      </w:r>
      <w:r w:rsidR="003618A7">
        <w:t>Stribild</w:t>
      </w:r>
      <w:r w:rsidR="002D398A" w:rsidRPr="002D398A">
        <w:t xml:space="preserve"> should be amended as follows:</w:t>
      </w:r>
    </w:p>
    <w:p w:rsidR="003618A7" w:rsidRDefault="002D398A" w:rsidP="009C03A7">
      <w:pPr>
        <w:ind w:left="720"/>
      </w:pPr>
      <w:r w:rsidRPr="002D398A">
        <w:t>“</w:t>
      </w:r>
      <w:r w:rsidR="003618A7" w:rsidRPr="009C03A7">
        <w:rPr>
          <w:i/>
        </w:rPr>
        <w:t>Stribild</w:t>
      </w:r>
      <w:r w:rsidRPr="009C03A7">
        <w:rPr>
          <w:i/>
        </w:rPr>
        <w:t xml:space="preserve"> is indicated as a single tablet regimen for the treatment of HIV infection in </w:t>
      </w:r>
      <w:r w:rsidR="009C03A7">
        <w:rPr>
          <w:i/>
        </w:rPr>
        <w:t>treatment naive</w:t>
      </w:r>
      <w:r w:rsidRPr="009C03A7">
        <w:rPr>
          <w:i/>
        </w:rPr>
        <w:t xml:space="preserve"> adults. </w:t>
      </w:r>
      <w:r w:rsidR="003618A7" w:rsidRPr="009C03A7">
        <w:rPr>
          <w:i/>
        </w:rPr>
        <w:t>Stribild</w:t>
      </w:r>
      <w:r w:rsidRPr="009C03A7">
        <w:rPr>
          <w:i/>
        </w:rPr>
        <w:t xml:space="preserve"> is also indicated in certain </w:t>
      </w:r>
      <w:r w:rsidR="009C03A7" w:rsidRPr="009C03A7">
        <w:rPr>
          <w:i/>
        </w:rPr>
        <w:t>virologically suppressed</w:t>
      </w:r>
      <w:r w:rsidRPr="009C03A7">
        <w:rPr>
          <w:i/>
        </w:rPr>
        <w:t xml:space="preserve"> (HIV-1 RNA </w:t>
      </w:r>
      <w:r w:rsidR="002C3353" w:rsidRPr="009C03A7">
        <w:rPr>
          <w:i/>
        </w:rPr>
        <w:t>&lt; 50</w:t>
      </w:r>
      <w:r w:rsidRPr="009C03A7">
        <w:rPr>
          <w:i/>
        </w:rPr>
        <w:t xml:space="preserve"> copies/mL) adult patients on a stable antiretroviral regimen at start of therapy in order to replace their current antiretroviral treatment regimen (see Clinical Trials). Patients must not have a history of treatment failure or known mutations associated with resistance to the components of </w:t>
      </w:r>
      <w:r w:rsidR="003618A7" w:rsidRPr="009C03A7">
        <w:rPr>
          <w:i/>
        </w:rPr>
        <w:t>Stribild</w:t>
      </w:r>
      <w:r w:rsidRPr="009C03A7">
        <w:rPr>
          <w:i/>
        </w:rPr>
        <w:t xml:space="preserve"> (tenofovir DF, emtricitabine or elvitegravir)</w:t>
      </w:r>
      <w:r w:rsidRPr="002D398A">
        <w:t>”</w:t>
      </w:r>
      <w:r w:rsidR="003618A7">
        <w:t>.</w:t>
      </w:r>
    </w:p>
    <w:p w:rsidR="003618A7" w:rsidRDefault="002D398A" w:rsidP="002D398A">
      <w:pPr>
        <w:spacing w:before="0" w:after="0" w:line="240" w:lineRule="auto"/>
        <w:rPr>
          <w:rFonts w:asciiTheme="minorHAnsi" w:hAnsiTheme="minorHAnsi"/>
        </w:rPr>
      </w:pPr>
      <w:r w:rsidRPr="006B518B">
        <w:rPr>
          <w:rFonts w:asciiTheme="minorHAnsi" w:hAnsiTheme="minorHAnsi"/>
        </w:rPr>
        <w:t xml:space="preserve">The </w:t>
      </w:r>
      <w:r>
        <w:rPr>
          <w:rFonts w:asciiTheme="minorHAnsi" w:hAnsiTheme="minorHAnsi"/>
        </w:rPr>
        <w:t xml:space="preserve">draft </w:t>
      </w:r>
      <w:r w:rsidR="009C03A7">
        <w:rPr>
          <w:rFonts w:asciiTheme="minorHAnsi" w:hAnsiTheme="minorHAnsi"/>
        </w:rPr>
        <w:t>PI</w:t>
      </w:r>
      <w:r>
        <w:rPr>
          <w:rFonts w:asciiTheme="minorHAnsi" w:hAnsiTheme="minorHAnsi"/>
        </w:rPr>
        <w:t xml:space="preserve"> submitted with the </w:t>
      </w:r>
      <w:r w:rsidR="009C03A7">
        <w:rPr>
          <w:rFonts w:asciiTheme="minorHAnsi" w:hAnsiTheme="minorHAnsi"/>
        </w:rPr>
        <w:t>sponsor’s r</w:t>
      </w:r>
      <w:r>
        <w:rPr>
          <w:rFonts w:asciiTheme="minorHAnsi" w:hAnsiTheme="minorHAnsi"/>
        </w:rPr>
        <w:t xml:space="preserve">esponse is considered acceptable except for proposed </w:t>
      </w:r>
      <w:r w:rsidR="009C03A7">
        <w:rPr>
          <w:rFonts w:asciiTheme="minorHAnsi" w:hAnsiTheme="minorHAnsi"/>
        </w:rPr>
        <w:t>indications.</w:t>
      </w:r>
    </w:p>
    <w:p w:rsidR="002D398A" w:rsidRDefault="009C03A7" w:rsidP="002D398A">
      <w:pPr>
        <w:pStyle w:val="Heading5"/>
      </w:pPr>
      <w:r>
        <w:t xml:space="preserve">Summary of </w:t>
      </w:r>
      <w:r w:rsidR="000B4DED">
        <w:t>i</w:t>
      </w:r>
      <w:r>
        <w:t>ssue</w:t>
      </w:r>
      <w:r w:rsidR="002D398A" w:rsidRPr="002D398A">
        <w:t>s</w:t>
      </w:r>
    </w:p>
    <w:p w:rsidR="002D398A" w:rsidRPr="002D398A" w:rsidRDefault="002D398A" w:rsidP="002D398A">
      <w:r w:rsidRPr="002D398A">
        <w:t xml:space="preserve">This application proposes an extension of indications to include the use of </w:t>
      </w:r>
      <w:r w:rsidR="003618A7">
        <w:t>Stribild</w:t>
      </w:r>
      <w:r w:rsidRPr="002D398A">
        <w:t xml:space="preserve"> in patients who have no known mutations associated with resistance to the individual components of </w:t>
      </w:r>
      <w:r w:rsidR="003618A7">
        <w:t>Stribild</w:t>
      </w:r>
      <w:r w:rsidRPr="002D398A">
        <w:t>.</w:t>
      </w:r>
    </w:p>
    <w:p w:rsidR="003618A7" w:rsidRDefault="002D398A" w:rsidP="002D398A">
      <w:r w:rsidRPr="002D398A">
        <w:t xml:space="preserve">The extension of indications is supported by Studies GS-US-236-0115, GS-US-236-0121, and GS-US-236-0123. These studies involve certain </w:t>
      </w:r>
      <w:r w:rsidR="009C03A7">
        <w:t>virologically suppressed</w:t>
      </w:r>
      <w:r w:rsidRPr="002D398A">
        <w:t xml:space="preserve"> (HIV-1 RNA </w:t>
      </w:r>
      <w:r w:rsidR="009C03A7">
        <w:t>&lt; </w:t>
      </w:r>
      <w:r w:rsidR="002C3353">
        <w:t>50</w:t>
      </w:r>
      <w:r w:rsidRPr="002D398A">
        <w:t xml:space="preserve"> copies/mL) adult patients on a stable antiretroviral regimen at start of therapy in order to replace their current antiretroviral treatment regimen</w:t>
      </w:r>
      <w:r w:rsidR="003618A7">
        <w:t>.</w:t>
      </w:r>
    </w:p>
    <w:p w:rsidR="009C03A7" w:rsidRDefault="002D398A" w:rsidP="002D398A">
      <w:r w:rsidRPr="002D398A">
        <w:t>The Delegate considers the proposed indications statement does not reflect the population included in clinical studies.</w:t>
      </w:r>
      <w:r w:rsidR="003618A7">
        <w:t xml:space="preserve"> </w:t>
      </w:r>
      <w:r w:rsidRPr="002D398A">
        <w:t>A more appropriate extension of</w:t>
      </w:r>
      <w:r w:rsidR="009C03A7">
        <w:t xml:space="preserve"> indications statement would be:</w:t>
      </w:r>
    </w:p>
    <w:p w:rsidR="002D398A" w:rsidRPr="009C03A7" w:rsidRDefault="002D398A" w:rsidP="009C03A7">
      <w:pPr>
        <w:ind w:left="720"/>
        <w:rPr>
          <w:i/>
        </w:rPr>
      </w:pPr>
      <w:r w:rsidRPr="009C03A7">
        <w:rPr>
          <w:i/>
        </w:rPr>
        <w:t>“</w:t>
      </w:r>
      <w:r w:rsidR="003618A7" w:rsidRPr="009C03A7">
        <w:rPr>
          <w:i/>
        </w:rPr>
        <w:t>Stribild</w:t>
      </w:r>
      <w:r w:rsidRPr="009C03A7">
        <w:rPr>
          <w:i/>
        </w:rPr>
        <w:t xml:space="preserve"> is also indicated in certain </w:t>
      </w:r>
      <w:r w:rsidR="009C03A7" w:rsidRPr="009C03A7">
        <w:rPr>
          <w:i/>
        </w:rPr>
        <w:t>virologically suppressed</w:t>
      </w:r>
      <w:r w:rsidRPr="009C03A7">
        <w:rPr>
          <w:i/>
        </w:rPr>
        <w:t xml:space="preserve"> (HIV-1 RNA </w:t>
      </w:r>
      <w:r w:rsidR="002C3353" w:rsidRPr="009C03A7">
        <w:rPr>
          <w:i/>
        </w:rPr>
        <w:t>&lt; 50</w:t>
      </w:r>
      <w:r w:rsidRPr="009C03A7">
        <w:rPr>
          <w:i/>
        </w:rPr>
        <w:t xml:space="preserve"> copies/mL) adult patients on a stable antiretroviral regimen at start of therapy in order to replace their current antiretroviral treatment regimen (see Clinical Trials). Patients must not have a history of treatment failure or known mutations associated with resistance to the components of </w:t>
      </w:r>
      <w:r w:rsidR="003618A7" w:rsidRPr="009C03A7">
        <w:rPr>
          <w:i/>
        </w:rPr>
        <w:t>Stribild</w:t>
      </w:r>
      <w:r w:rsidRPr="009C03A7">
        <w:rPr>
          <w:i/>
        </w:rPr>
        <w:t xml:space="preserve"> (tenofovir DF, emtricitabine or elvitegravir)”.</w:t>
      </w:r>
    </w:p>
    <w:p w:rsidR="00D23139" w:rsidRDefault="00D23139" w:rsidP="00D23139">
      <w:pPr>
        <w:pStyle w:val="Heading4"/>
      </w:pPr>
      <w:r w:rsidRPr="00D23139">
        <w:lastRenderedPageBreak/>
        <w:t>Proposed action</w:t>
      </w:r>
    </w:p>
    <w:p w:rsidR="002D398A" w:rsidRPr="002D398A" w:rsidRDefault="009C03A7" w:rsidP="002D398A">
      <w:r>
        <w:t>The Delegate had</w:t>
      </w:r>
      <w:r w:rsidR="002D398A" w:rsidRPr="002D398A">
        <w:t xml:space="preserve"> no reason to say, at this time, that the application for </w:t>
      </w:r>
      <w:r w:rsidR="003618A7">
        <w:t>Stribild</w:t>
      </w:r>
      <w:r w:rsidR="002D398A" w:rsidRPr="002D398A">
        <w:t xml:space="preserve"> should not be approved for registration, subject to finalisation of wording of the extension of indications.</w:t>
      </w:r>
    </w:p>
    <w:p w:rsidR="00D23139" w:rsidRDefault="00D23139" w:rsidP="00D23139">
      <w:pPr>
        <w:pStyle w:val="Heading4"/>
      </w:pPr>
      <w:r w:rsidRPr="00D23139">
        <w:t>Request for ACPM advice</w:t>
      </w:r>
    </w:p>
    <w:p w:rsidR="002D398A" w:rsidRPr="002D398A" w:rsidRDefault="002D398A" w:rsidP="002D398A">
      <w:r w:rsidRPr="002D398A">
        <w:t>The committee is requested to provide advice on the following specific issues:</w:t>
      </w:r>
    </w:p>
    <w:p w:rsidR="002D398A" w:rsidRPr="002D398A" w:rsidRDefault="002D398A" w:rsidP="009C03A7">
      <w:pPr>
        <w:pStyle w:val="Numberbullet0"/>
      </w:pPr>
      <w:r w:rsidRPr="002D398A">
        <w:t>What is the view of ACPM on the proposed extension of indications statement</w:t>
      </w:r>
      <w:r w:rsidR="003618A7">
        <w:t xml:space="preserve"> </w:t>
      </w:r>
      <w:r w:rsidRPr="002D398A">
        <w:t>“</w:t>
      </w:r>
      <w:r w:rsidR="003618A7">
        <w:t>Stribild</w:t>
      </w:r>
      <w:r w:rsidRPr="002D398A">
        <w:t xml:space="preserve"> is indicated as a single tablet regimen for the treatment of HIV infection in</w:t>
      </w:r>
      <w:r w:rsidR="003618A7">
        <w:t xml:space="preserve"> </w:t>
      </w:r>
      <w:r w:rsidRPr="002D398A">
        <w:t xml:space="preserve">adults who have no known mutations associated with resistance to the individual components of </w:t>
      </w:r>
      <w:r w:rsidR="003618A7">
        <w:t>Stribild</w:t>
      </w:r>
      <w:r w:rsidRPr="002D398A">
        <w:t>”?</w:t>
      </w:r>
    </w:p>
    <w:p w:rsidR="002D398A" w:rsidRPr="002D398A" w:rsidRDefault="009C03A7" w:rsidP="002D398A">
      <w:r>
        <w:t>The committee is also</w:t>
      </w:r>
      <w:r w:rsidR="002D398A" w:rsidRPr="002D398A">
        <w:t xml:space="preserve"> requested to provide advice on any other issues that it thinks may be relevant to a decision on whether or not to approve this application.</w:t>
      </w:r>
    </w:p>
    <w:p w:rsidR="00D23139" w:rsidRDefault="002D398A" w:rsidP="00D23139">
      <w:pPr>
        <w:pStyle w:val="Heading4"/>
      </w:pPr>
      <w:r>
        <w:t xml:space="preserve">Response from </w:t>
      </w:r>
      <w:r w:rsidR="000B4DED">
        <w:t>s</w:t>
      </w:r>
      <w:r>
        <w:t>ponsor</w:t>
      </w:r>
    </w:p>
    <w:p w:rsidR="002D398A" w:rsidRPr="002D398A" w:rsidRDefault="002D398A" w:rsidP="002D398A">
      <w:r w:rsidRPr="002D398A">
        <w:t>Gilead supports the proposed actions of the Delegate with regards to the approval of the application but</w:t>
      </w:r>
      <w:r w:rsidR="00FF5124">
        <w:t xml:space="preserve"> </w:t>
      </w:r>
      <w:r w:rsidRPr="002D398A">
        <w:t xml:space="preserve">disagree with the alternative wording proposed by the Delegate for the </w:t>
      </w:r>
      <w:r w:rsidR="00FF5124">
        <w:t xml:space="preserve">updated indication for </w:t>
      </w:r>
      <w:r w:rsidR="003618A7">
        <w:t>Stribild</w:t>
      </w:r>
      <w:r w:rsidR="00FF5124">
        <w:t xml:space="preserve"> </w:t>
      </w:r>
      <w:r w:rsidRPr="002D398A">
        <w:t>tablets for inclusion to the Australian PI, as follows:</w:t>
      </w:r>
    </w:p>
    <w:p w:rsidR="002D398A" w:rsidRPr="00FF5124" w:rsidRDefault="002D398A" w:rsidP="00FF5124">
      <w:pPr>
        <w:ind w:left="720"/>
        <w:rPr>
          <w:i/>
        </w:rPr>
      </w:pPr>
      <w:r w:rsidRPr="00FF5124">
        <w:rPr>
          <w:i/>
        </w:rPr>
        <w:t>‘</w:t>
      </w:r>
      <w:r w:rsidR="003618A7">
        <w:rPr>
          <w:i/>
        </w:rPr>
        <w:t>Stribild</w:t>
      </w:r>
      <w:r w:rsidRPr="00FF5124">
        <w:rPr>
          <w:i/>
        </w:rPr>
        <w:t xml:space="preserve"> is indicated as a single tablet regimen for the treatment of HIV infection in treatment </w:t>
      </w:r>
      <w:r w:rsidR="00FF5124" w:rsidRPr="00FF5124">
        <w:rPr>
          <w:i/>
        </w:rPr>
        <w:t xml:space="preserve">naïve </w:t>
      </w:r>
      <w:r w:rsidRPr="00FF5124">
        <w:rPr>
          <w:i/>
        </w:rPr>
        <w:t xml:space="preserve">adults. </w:t>
      </w:r>
      <w:r w:rsidR="003618A7">
        <w:rPr>
          <w:i/>
        </w:rPr>
        <w:t>Stribild</w:t>
      </w:r>
      <w:r w:rsidRPr="00FF5124">
        <w:rPr>
          <w:i/>
        </w:rPr>
        <w:t xml:space="preserve"> is also indicated in certain virologically suppressed</w:t>
      </w:r>
      <w:r w:rsidR="00FF5124" w:rsidRPr="00FF5124">
        <w:rPr>
          <w:i/>
        </w:rPr>
        <w:t xml:space="preserve"> (HIV1 RNA </w:t>
      </w:r>
      <w:r w:rsidR="002C3353">
        <w:rPr>
          <w:i/>
        </w:rPr>
        <w:t>&lt; 50</w:t>
      </w:r>
      <w:r w:rsidR="00FF5124" w:rsidRPr="00FF5124">
        <w:rPr>
          <w:i/>
        </w:rPr>
        <w:t xml:space="preserve"> copies/mL) adult </w:t>
      </w:r>
      <w:r w:rsidRPr="00FF5124">
        <w:rPr>
          <w:i/>
        </w:rPr>
        <w:t>patients on a stable antiretroviral regimen at start of therapy in</w:t>
      </w:r>
      <w:r w:rsidR="00FF5124" w:rsidRPr="00FF5124">
        <w:rPr>
          <w:i/>
        </w:rPr>
        <w:t xml:space="preserve"> order to replace their current </w:t>
      </w:r>
      <w:r w:rsidRPr="00FF5124">
        <w:rPr>
          <w:i/>
        </w:rPr>
        <w:t xml:space="preserve">antiretroviral treatment regimen (see Clinical Trials). Patients must </w:t>
      </w:r>
      <w:r w:rsidR="00FF5124" w:rsidRPr="00FF5124">
        <w:rPr>
          <w:i/>
        </w:rPr>
        <w:t xml:space="preserve">not have a history of treatment </w:t>
      </w:r>
      <w:r w:rsidRPr="00FF5124">
        <w:rPr>
          <w:i/>
        </w:rPr>
        <w:t>failure or known mutations associated with resistance to the compon</w:t>
      </w:r>
      <w:r w:rsidR="00FF5124" w:rsidRPr="00FF5124">
        <w:rPr>
          <w:i/>
        </w:rPr>
        <w:t xml:space="preserve">ents of </w:t>
      </w:r>
      <w:r w:rsidR="003618A7">
        <w:rPr>
          <w:i/>
        </w:rPr>
        <w:t>Stribild</w:t>
      </w:r>
      <w:r w:rsidR="00FF5124" w:rsidRPr="00FF5124">
        <w:rPr>
          <w:i/>
        </w:rPr>
        <w:t xml:space="preserve"> (tenofovir DF, </w:t>
      </w:r>
      <w:r w:rsidRPr="00FF5124">
        <w:rPr>
          <w:i/>
        </w:rPr>
        <w:t>emtricitabine or elvitegravir)’.</w:t>
      </w:r>
    </w:p>
    <w:p w:rsidR="002D398A" w:rsidRPr="002D398A" w:rsidRDefault="002D398A" w:rsidP="002D398A">
      <w:r w:rsidRPr="002D398A">
        <w:t>For the reasons discussed further below, Gilead would like to propose the fo</w:t>
      </w:r>
      <w:r w:rsidR="00FF5124">
        <w:t xml:space="preserve">llowing indication for </w:t>
      </w:r>
      <w:r w:rsidR="003618A7">
        <w:t>Stribild</w:t>
      </w:r>
      <w:r w:rsidRPr="002D398A">
        <w:t xml:space="preserve"> for consideration by the Delegate:</w:t>
      </w:r>
    </w:p>
    <w:p w:rsidR="002D398A" w:rsidRPr="00FF5124" w:rsidRDefault="002D398A" w:rsidP="00FF5124">
      <w:pPr>
        <w:ind w:left="720"/>
        <w:rPr>
          <w:i/>
        </w:rPr>
      </w:pPr>
      <w:r w:rsidRPr="00FF5124">
        <w:rPr>
          <w:i/>
        </w:rPr>
        <w:t>‘</w:t>
      </w:r>
      <w:r w:rsidR="003618A7">
        <w:rPr>
          <w:i/>
        </w:rPr>
        <w:t>Stribild</w:t>
      </w:r>
      <w:r w:rsidRPr="00FF5124">
        <w:rPr>
          <w:i/>
        </w:rPr>
        <w:t xml:space="preserve"> is indicated as a single tablet regimen for the treatment of H</w:t>
      </w:r>
      <w:r w:rsidR="00FF5124" w:rsidRPr="00FF5124">
        <w:rPr>
          <w:i/>
        </w:rPr>
        <w:t xml:space="preserve">IV infection in treatment-naïve </w:t>
      </w:r>
      <w:r w:rsidRPr="00FF5124">
        <w:rPr>
          <w:i/>
        </w:rPr>
        <w:t>adults or adults who have no known mutations associated with resistance to the indivi</w:t>
      </w:r>
      <w:r w:rsidR="00FF5124" w:rsidRPr="00FF5124">
        <w:rPr>
          <w:i/>
        </w:rPr>
        <w:t xml:space="preserve">dual components of </w:t>
      </w:r>
      <w:r w:rsidR="003618A7">
        <w:rPr>
          <w:i/>
        </w:rPr>
        <w:t>Stribild</w:t>
      </w:r>
      <w:r w:rsidRPr="00FF5124">
        <w:rPr>
          <w:i/>
        </w:rPr>
        <w:t xml:space="preserve"> (see CLINICAL TRIALS)’.</w:t>
      </w:r>
    </w:p>
    <w:p w:rsidR="002D398A" w:rsidRPr="00FF5124" w:rsidRDefault="00FF5124" w:rsidP="00FF5124">
      <w:r w:rsidRPr="00FF5124">
        <w:t>Gilead believes that this proposed indication states the therapeutic application of the medicine clearly and</w:t>
      </w:r>
      <w:r>
        <w:t xml:space="preserve"> </w:t>
      </w:r>
      <w:r w:rsidRPr="00FF5124">
        <w:t>concisely, and includes the mandatory conditions of product usage with re</w:t>
      </w:r>
      <w:r>
        <w:t xml:space="preserve">gards to patients with no known </w:t>
      </w:r>
      <w:r w:rsidRPr="00FF5124">
        <w:t>mutations associated with resistance to the individual components.</w:t>
      </w:r>
    </w:p>
    <w:p w:rsidR="00FF5124" w:rsidRPr="00FF5124" w:rsidRDefault="00FF5124" w:rsidP="00FF5124">
      <w:pPr>
        <w:pStyle w:val="Heading5"/>
        <w:rPr>
          <w:rFonts w:eastAsiaTheme="minorHAnsi"/>
        </w:rPr>
      </w:pPr>
      <w:r w:rsidRPr="00FF5124">
        <w:rPr>
          <w:rFonts w:eastAsiaTheme="minorHAnsi"/>
        </w:rPr>
        <w:t>S</w:t>
      </w:r>
      <w:r w:rsidR="009C03A7" w:rsidRPr="00FF5124">
        <w:rPr>
          <w:rFonts w:eastAsiaTheme="minorHAnsi"/>
        </w:rPr>
        <w:t>ummary</w:t>
      </w:r>
    </w:p>
    <w:p w:rsidR="00FF5124" w:rsidRPr="00FF5124" w:rsidRDefault="003618A7" w:rsidP="00FF5124">
      <w:r>
        <w:t>Stribild</w:t>
      </w:r>
      <w:r w:rsidR="00FF5124" w:rsidRPr="00FF5124">
        <w:t xml:space="preserve"> tablets were originally approved in Australia on 7 February 20</w:t>
      </w:r>
      <w:r w:rsidR="00FF5124">
        <w:t xml:space="preserve">13, and are currently indicated </w:t>
      </w:r>
      <w:r w:rsidR="00FF5124" w:rsidRPr="00FF5124">
        <w:t xml:space="preserve">for the treatment of HIV-1 infection in </w:t>
      </w:r>
      <w:r w:rsidR="009C03A7">
        <w:t>treatment naive</w:t>
      </w:r>
      <w:r w:rsidR="00FF5124" w:rsidRPr="00FF5124">
        <w:t xml:space="preserve"> adults.</w:t>
      </w:r>
    </w:p>
    <w:p w:rsidR="00FF5124" w:rsidRPr="00FF5124" w:rsidRDefault="00FF5124" w:rsidP="00FF5124">
      <w:r w:rsidRPr="00FF5124">
        <w:t>More data have since become available in HIV-1 infected antiretroviral (A</w:t>
      </w:r>
      <w:r>
        <w:t xml:space="preserve">RV) </w:t>
      </w:r>
      <w:r w:rsidR="009C03A7">
        <w:t>treatment naive</w:t>
      </w:r>
      <w:r>
        <w:t xml:space="preserve"> patients in </w:t>
      </w:r>
      <w:proofErr w:type="gramStart"/>
      <w:r w:rsidRPr="00FF5124">
        <w:t>which</w:t>
      </w:r>
      <w:proofErr w:type="gramEnd"/>
      <w:r w:rsidRPr="00FF5124">
        <w:t xml:space="preserve"> </w:t>
      </w:r>
      <w:r w:rsidR="003618A7">
        <w:t>Stribild</w:t>
      </w:r>
      <w:r w:rsidRPr="00FF5124">
        <w:t xml:space="preserve"> has demonstrated potent and durable antiviral efficacy through 144 Weeks of treatmen</w:t>
      </w:r>
      <w:r>
        <w:t xml:space="preserve">t </w:t>
      </w:r>
      <w:r w:rsidRPr="00FF5124">
        <w:t>in Studies GS-US-236-0102 and GS-US-236-0103. New data has be</w:t>
      </w:r>
      <w:r>
        <w:t xml:space="preserve">come available in virologically </w:t>
      </w:r>
      <w:r w:rsidRPr="00FF5124">
        <w:t xml:space="preserve">suppressed, HIV-1 infected adult patients who switched to </w:t>
      </w:r>
      <w:r w:rsidR="003618A7">
        <w:t>Stribild</w:t>
      </w:r>
      <w:r>
        <w:t xml:space="preserve"> from various ARV regimens </w:t>
      </w:r>
      <w:r w:rsidRPr="00FF5124">
        <w:t>in</w:t>
      </w:r>
      <w:r w:rsidR="009C03A7">
        <w:t>cluding protease inhibitor (PI)</w:t>
      </w:r>
      <w:r w:rsidRPr="00FF5124">
        <w:t>, nonnucleoside reverse transcriptas</w:t>
      </w:r>
      <w:r w:rsidR="009C03A7">
        <w:t>e inhibitor (NNRTI)</w:t>
      </w:r>
      <w:r>
        <w:t xml:space="preserve">, and INSTI </w:t>
      </w:r>
      <w:r w:rsidR="009C03A7">
        <w:t xml:space="preserve">(raltegravir; RAL) </w:t>
      </w:r>
      <w:r w:rsidRPr="00FF5124">
        <w:t>based regimens in Studies GS-US-236-0115, GS-</w:t>
      </w:r>
      <w:r>
        <w:t xml:space="preserve">US-236-0121, and GS-US-236-0123 </w:t>
      </w:r>
      <w:r w:rsidRPr="00FF5124">
        <w:t>(to 48 weeks), respectively. Collectively, the nature of switch studies supp</w:t>
      </w:r>
      <w:r>
        <w:t xml:space="preserve">ort an integrated assessment of </w:t>
      </w:r>
      <w:r w:rsidRPr="00FF5124">
        <w:t xml:space="preserve">the benefits and risks of switching treatment to </w:t>
      </w:r>
      <w:r w:rsidR="003618A7">
        <w:t>Stribild</w:t>
      </w:r>
      <w:r w:rsidR="009C03A7">
        <w:t xml:space="preserve"> from PI, NNRTI, or INSTI (RAL)</w:t>
      </w:r>
      <w:r>
        <w:t xml:space="preserve"> based </w:t>
      </w:r>
      <w:r w:rsidRPr="00FF5124">
        <w:t>ARV regimens.</w:t>
      </w:r>
    </w:p>
    <w:p w:rsidR="00FF5124" w:rsidRPr="00FF5124" w:rsidRDefault="00FF5124" w:rsidP="00FF5124">
      <w:r w:rsidRPr="00FF5124">
        <w:lastRenderedPageBreak/>
        <w:t>As such, Gilead proposes to include data from these studies in the</w:t>
      </w:r>
      <w:r>
        <w:t xml:space="preserve"> </w:t>
      </w:r>
      <w:r w:rsidR="003618A7">
        <w:t>Stribild</w:t>
      </w:r>
      <w:r>
        <w:t xml:space="preserve"> PI, and to extend the </w:t>
      </w:r>
      <w:r w:rsidRPr="00FF5124">
        <w:t xml:space="preserve">indication for </w:t>
      </w:r>
      <w:r w:rsidR="003618A7">
        <w:t>Stribild</w:t>
      </w:r>
      <w:r w:rsidRPr="00FF5124">
        <w:t xml:space="preserve"> to include patients who have no known mutation</w:t>
      </w:r>
      <w:r>
        <w:t xml:space="preserve">s associated with resistance to </w:t>
      </w:r>
      <w:r w:rsidRPr="00FF5124">
        <w:t xml:space="preserve">the individual components of </w:t>
      </w:r>
      <w:r w:rsidR="003618A7">
        <w:t>Stribild</w:t>
      </w:r>
      <w:r w:rsidRPr="00FF5124">
        <w:t>.</w:t>
      </w:r>
    </w:p>
    <w:p w:rsidR="00FF5124" w:rsidRPr="00FF5124" w:rsidRDefault="00FF5124" w:rsidP="00FF5124">
      <w:r w:rsidRPr="00FF5124">
        <w:t xml:space="preserve">Gilead believes that our proposed extension of the </w:t>
      </w:r>
      <w:r w:rsidR="003618A7">
        <w:t>Stribild</w:t>
      </w:r>
      <w:r w:rsidRPr="00FF5124">
        <w:t xml:space="preserve"> indicat</w:t>
      </w:r>
      <w:r>
        <w:t xml:space="preserve">ion is consistent with clinical </w:t>
      </w:r>
      <w:r w:rsidR="009C03A7">
        <w:t xml:space="preserve">decision </w:t>
      </w:r>
      <w:r w:rsidRPr="00FF5124">
        <w:t>making practice of selecting which antiretroviral agent(s) to use in pa</w:t>
      </w:r>
      <w:r>
        <w:t xml:space="preserve">tients from a resistance </w:t>
      </w:r>
      <w:r w:rsidRPr="00FF5124">
        <w:t>standpoint, which is primarily based on whether or not the virus has docu</w:t>
      </w:r>
      <w:r>
        <w:t xml:space="preserve">mented or suspected resistance, </w:t>
      </w:r>
      <w:r w:rsidRPr="00FF5124">
        <w:t xml:space="preserve">rather than whether the patient is </w:t>
      </w:r>
      <w:r w:rsidR="009C03A7">
        <w:t xml:space="preserve">treatment naive or </w:t>
      </w:r>
      <w:r w:rsidRPr="00FF5124">
        <w:t>experienced. In ad</w:t>
      </w:r>
      <w:r>
        <w:t xml:space="preserve">dition, our proposed indication </w:t>
      </w:r>
      <w:r w:rsidRPr="00FF5124">
        <w:t>has the potential to benefit the most patients with a treatment option that has been demonstrated to be</w:t>
      </w:r>
      <w:r>
        <w:t xml:space="preserve"> </w:t>
      </w:r>
      <w:r w:rsidRPr="00FF5124">
        <w:t>efficacious, safe, and well tolerated, particularly for those patients who cannot tolerate their current</w:t>
      </w:r>
      <w:r>
        <w:t xml:space="preserve"> </w:t>
      </w:r>
      <w:r w:rsidRPr="00FF5124">
        <w:t>regimen, or who wish to simplify their regimen.</w:t>
      </w:r>
    </w:p>
    <w:p w:rsidR="002D398A" w:rsidRPr="00FF5124" w:rsidRDefault="00FF5124" w:rsidP="00FF5124">
      <w:r w:rsidRPr="00FF5124">
        <w:t>The revised indication proposed by Gilead for the Australian PI is in l</w:t>
      </w:r>
      <w:r>
        <w:t xml:space="preserve">ine with the currently approved </w:t>
      </w:r>
      <w:r w:rsidRPr="00FF5124">
        <w:t xml:space="preserve">indication for </w:t>
      </w:r>
      <w:r w:rsidR="003618A7">
        <w:t>Stribild</w:t>
      </w:r>
      <w:r w:rsidRPr="00FF5124">
        <w:t xml:space="preserve"> in the EU.</w:t>
      </w:r>
    </w:p>
    <w:p w:rsidR="00FF5124" w:rsidRPr="00FF5124" w:rsidRDefault="009C03A7" w:rsidP="00FF5124">
      <w:pPr>
        <w:pStyle w:val="Heading5"/>
        <w:rPr>
          <w:rFonts w:eastAsiaTheme="minorHAnsi"/>
        </w:rPr>
      </w:pPr>
      <w:r>
        <w:rPr>
          <w:rFonts w:eastAsiaTheme="minorHAnsi"/>
        </w:rPr>
        <w:t xml:space="preserve">Discussion of </w:t>
      </w:r>
      <w:r w:rsidR="000B4DED">
        <w:rPr>
          <w:rFonts w:eastAsiaTheme="minorHAnsi"/>
        </w:rPr>
        <w:t>d</w:t>
      </w:r>
      <w:r w:rsidRPr="00FF5124">
        <w:rPr>
          <w:rFonts w:eastAsiaTheme="minorHAnsi"/>
        </w:rPr>
        <w:t>elegate’s comments</w:t>
      </w:r>
    </w:p>
    <w:p w:rsidR="00FF5124" w:rsidRPr="00FF5124" w:rsidRDefault="00FF5124" w:rsidP="009C03A7">
      <w:pPr>
        <w:pStyle w:val="Heading6"/>
      </w:pPr>
      <w:r w:rsidRPr="00FF5124">
        <w:t xml:space="preserve">Indication </w:t>
      </w:r>
      <w:r w:rsidR="000B4DED" w:rsidRPr="00FF5124">
        <w:t>s</w:t>
      </w:r>
      <w:r w:rsidRPr="00FF5124">
        <w:t>tatement</w:t>
      </w:r>
    </w:p>
    <w:p w:rsidR="00FF5124" w:rsidRPr="00FF5124" w:rsidRDefault="00FF5124" w:rsidP="00FF5124">
      <w:r w:rsidRPr="00FF5124">
        <w:t>The Delegate requests advice from the ACPM specifically with regard to the acceptabili</w:t>
      </w:r>
      <w:r w:rsidR="009C1C38">
        <w:t xml:space="preserve">ty of the </w:t>
      </w:r>
      <w:r w:rsidRPr="00FF5124">
        <w:t xml:space="preserve">indication statement proposed by Gilead. The Delegate has noted that there </w:t>
      </w:r>
      <w:r w:rsidR="009C1C38">
        <w:t xml:space="preserve">is no reason, at this time that </w:t>
      </w:r>
      <w:r w:rsidRPr="00FF5124">
        <w:t xml:space="preserve">the application for </w:t>
      </w:r>
      <w:r w:rsidR="003618A7">
        <w:t>Stribild</w:t>
      </w:r>
      <w:r w:rsidRPr="00FF5124">
        <w:t xml:space="preserve"> should not be approved subject to finalisat</w:t>
      </w:r>
      <w:r w:rsidR="009C1C38">
        <w:t xml:space="preserve">ion of wording of the extension </w:t>
      </w:r>
      <w:r w:rsidRPr="00FF5124">
        <w:t>indications. The Delegate has recommended the indication to be amended as follows:</w:t>
      </w:r>
    </w:p>
    <w:p w:rsidR="00FF5124" w:rsidRPr="009C1C38" w:rsidRDefault="00FF5124" w:rsidP="009C1C38">
      <w:pPr>
        <w:ind w:left="720"/>
        <w:rPr>
          <w:i/>
        </w:rPr>
      </w:pPr>
      <w:r w:rsidRPr="00FF5124">
        <w:t>‘</w:t>
      </w:r>
      <w:r w:rsidR="003618A7">
        <w:rPr>
          <w:i/>
        </w:rPr>
        <w:t>Stribild</w:t>
      </w:r>
      <w:r w:rsidRPr="009C1C38">
        <w:rPr>
          <w:i/>
        </w:rPr>
        <w:t xml:space="preserve"> is indicated as a single tablet regimen for the treatment of H</w:t>
      </w:r>
      <w:r w:rsidR="009C1C38" w:rsidRPr="009C1C38">
        <w:rPr>
          <w:i/>
        </w:rPr>
        <w:t xml:space="preserve">IV infection in treatment-naïve </w:t>
      </w:r>
      <w:r w:rsidRPr="009C1C38">
        <w:rPr>
          <w:i/>
        </w:rPr>
        <w:t xml:space="preserve">adults. </w:t>
      </w:r>
      <w:r w:rsidR="003618A7">
        <w:rPr>
          <w:i/>
        </w:rPr>
        <w:t>Stribild</w:t>
      </w:r>
      <w:r w:rsidRPr="009C1C38">
        <w:rPr>
          <w:i/>
        </w:rPr>
        <w:t xml:space="preserve"> is also indicated in certain virologically suppressed (HIV</w:t>
      </w:r>
      <w:r w:rsidRPr="009C1C38">
        <w:rPr>
          <w:rFonts w:hint="eastAsia"/>
          <w:i/>
        </w:rPr>
        <w:t>‐</w:t>
      </w:r>
      <w:r w:rsidR="009C1C38" w:rsidRPr="009C1C38">
        <w:rPr>
          <w:i/>
        </w:rPr>
        <w:t xml:space="preserve">1 RNA </w:t>
      </w:r>
      <w:r w:rsidR="002C3353">
        <w:rPr>
          <w:i/>
        </w:rPr>
        <w:t>&lt; 50</w:t>
      </w:r>
      <w:r w:rsidR="009C1C38" w:rsidRPr="009C1C38">
        <w:rPr>
          <w:i/>
        </w:rPr>
        <w:t xml:space="preserve"> copies/mL) adult </w:t>
      </w:r>
      <w:r w:rsidRPr="009C1C38">
        <w:rPr>
          <w:i/>
        </w:rPr>
        <w:t>patients on a stable antiretroviral regimen at start of therapy in</w:t>
      </w:r>
      <w:r w:rsidR="009C1C38" w:rsidRPr="009C1C38">
        <w:rPr>
          <w:i/>
        </w:rPr>
        <w:t xml:space="preserve"> order to replace their current </w:t>
      </w:r>
      <w:r w:rsidRPr="009C1C38">
        <w:rPr>
          <w:i/>
        </w:rPr>
        <w:t>antiretroviral treatment regimen (see Clinical Trials). Patients must not have a history of treatment</w:t>
      </w:r>
      <w:r w:rsidR="009C1C38" w:rsidRPr="009C1C38">
        <w:rPr>
          <w:i/>
        </w:rPr>
        <w:t xml:space="preserve"> </w:t>
      </w:r>
      <w:r w:rsidRPr="009C1C38">
        <w:rPr>
          <w:i/>
        </w:rPr>
        <w:t xml:space="preserve">failure or known mutations associated with resistance to the components of </w:t>
      </w:r>
      <w:r w:rsidR="003618A7">
        <w:rPr>
          <w:i/>
        </w:rPr>
        <w:t>Stribild</w:t>
      </w:r>
      <w:r w:rsidRPr="009C1C38">
        <w:rPr>
          <w:i/>
        </w:rPr>
        <w:t xml:space="preserve"> (tenofovir DF,</w:t>
      </w:r>
      <w:r w:rsidR="009C1C38" w:rsidRPr="009C1C38">
        <w:rPr>
          <w:i/>
        </w:rPr>
        <w:t xml:space="preserve"> </w:t>
      </w:r>
      <w:r w:rsidRPr="009C1C38">
        <w:rPr>
          <w:i/>
        </w:rPr>
        <w:t>emtricitabine or elvitegravir)’.</w:t>
      </w:r>
    </w:p>
    <w:p w:rsidR="002D398A" w:rsidRDefault="00FF5124" w:rsidP="00FF5124">
      <w:r w:rsidRPr="00FF5124">
        <w:t xml:space="preserve">While Gilead agrees with the Delegates assessment that the application </w:t>
      </w:r>
      <w:r w:rsidR="009C1C38">
        <w:t xml:space="preserve">should be approved, the wording </w:t>
      </w:r>
      <w:r w:rsidRPr="00FF5124">
        <w:t>of the indication statement proposed by the Delegate is unnecessarily</w:t>
      </w:r>
      <w:r w:rsidR="009C1C38">
        <w:t xml:space="preserve"> restrictive, and may result in </w:t>
      </w:r>
      <w:r w:rsidRPr="00FF5124">
        <w:t>patients who cannot tolerate their current ARV regimen, or who</w:t>
      </w:r>
      <w:r w:rsidR="009C1C38">
        <w:t xml:space="preserve"> could benefit from ARV regimen </w:t>
      </w:r>
      <w:r w:rsidRPr="00FF5124">
        <w:t xml:space="preserve">simplification being deprived of a treatment option that has been demonstrated to be efficacious, safe, </w:t>
      </w:r>
      <w:r w:rsidR="009C1C38">
        <w:t xml:space="preserve">and </w:t>
      </w:r>
      <w:r w:rsidRPr="00FF5124">
        <w:t>well tolerated. The indication statement is critical in defining patient acc</w:t>
      </w:r>
      <w:r w:rsidR="009C1C38">
        <w:t xml:space="preserve">ess, especially in a constantly </w:t>
      </w:r>
      <w:r w:rsidRPr="00FF5124">
        <w:t xml:space="preserve">evolving reimbursement environment and in providing patients who are </w:t>
      </w:r>
      <w:r w:rsidR="009C1C38">
        <w:t xml:space="preserve">in need of antiviral treatments </w:t>
      </w:r>
      <w:r w:rsidRPr="00FF5124">
        <w:t>with the best therapeutic options available.</w:t>
      </w:r>
    </w:p>
    <w:p w:rsidR="009C1C38" w:rsidRPr="009C1C38" w:rsidRDefault="009C1C38" w:rsidP="009C1C38">
      <w:r w:rsidRPr="009C1C38">
        <w:t>The ‘</w:t>
      </w:r>
      <w:r w:rsidRPr="009C03A7">
        <w:rPr>
          <w:i/>
        </w:rPr>
        <w:t>Form for providing product information for a restricted medicine or other medicine in relation to which the secretary requires product information to be provided</w:t>
      </w:r>
      <w:r w:rsidRPr="009C1C38">
        <w:t>’ (app</w:t>
      </w:r>
      <w:r>
        <w:t xml:space="preserve">roved under subsection </w:t>
      </w:r>
      <w:proofErr w:type="gramStart"/>
      <w:r>
        <w:t>7D(</w:t>
      </w:r>
      <w:proofErr w:type="gramEnd"/>
      <w:r>
        <w:t xml:space="preserve">1) of </w:t>
      </w:r>
      <w:r w:rsidRPr="009C1C38">
        <w:t>the Therapeutic Goods Act 1989 (the Act)), states that the therapeutic app</w:t>
      </w:r>
      <w:r>
        <w:t xml:space="preserve">lication of the medicine should </w:t>
      </w:r>
      <w:r w:rsidRPr="009C1C38">
        <w:t>be stated clearly and concisely, include the mandatory conditions of produ</w:t>
      </w:r>
      <w:r>
        <w:t xml:space="preserve">ct usage, where relevant, or be </w:t>
      </w:r>
      <w:r w:rsidRPr="009C1C38">
        <w:t>covered more appropriately in other parts of the PI.</w:t>
      </w:r>
    </w:p>
    <w:p w:rsidR="009C1C38" w:rsidRPr="009C1C38" w:rsidRDefault="009C1C38" w:rsidP="009C1C38">
      <w:r w:rsidRPr="009C1C38">
        <w:t>As such, the indication section of the Australian PI should solely state</w:t>
      </w:r>
      <w:r>
        <w:t xml:space="preserve"> the intended indication of the </w:t>
      </w:r>
      <w:r w:rsidRPr="009C1C38">
        <w:t xml:space="preserve">product, and information regarding the population included in </w:t>
      </w:r>
      <w:r>
        <w:t xml:space="preserve">clinical studies should be more </w:t>
      </w:r>
      <w:r w:rsidRPr="009C1C38">
        <w:t>appropriately presented within the clinical trials section of the Australian PI. Furthermore, HIV</w:t>
      </w:r>
      <w:r>
        <w:t>-</w:t>
      </w:r>
      <w:r w:rsidRPr="009C1C38">
        <w:t xml:space="preserve">1 </w:t>
      </w:r>
      <w:r>
        <w:t xml:space="preserve">RNA </w:t>
      </w:r>
      <w:r w:rsidR="002C3353">
        <w:t>&lt; 50</w:t>
      </w:r>
      <w:r w:rsidRPr="009C1C38">
        <w:t xml:space="preserve"> copies/mL is regarded as the optimal outcome of highly active ant</w:t>
      </w:r>
      <w:r>
        <w:t xml:space="preserve">iretroviral therapy (HAART) and </w:t>
      </w:r>
      <w:r w:rsidRPr="009C1C38">
        <w:t>is the currently accepted threshold for complete suppression of HIV-1</w:t>
      </w:r>
      <w:r>
        <w:t xml:space="preserve"> replication therefore does not </w:t>
      </w:r>
      <w:r w:rsidRPr="009C1C38">
        <w:t>require inclusion within an indication statement.</w:t>
      </w:r>
    </w:p>
    <w:p w:rsidR="009C1C38" w:rsidRPr="009C1C38" w:rsidRDefault="009C1C38" w:rsidP="009C1C38">
      <w:r w:rsidRPr="009C1C38">
        <w:lastRenderedPageBreak/>
        <w:t>As such Gilead maintains that the data presented in this application su</w:t>
      </w:r>
      <w:r>
        <w:t xml:space="preserve">pport extension of the </w:t>
      </w:r>
      <w:r w:rsidR="003618A7">
        <w:t>Stribild</w:t>
      </w:r>
      <w:r>
        <w:t xml:space="preserve"> </w:t>
      </w:r>
      <w:r w:rsidRPr="009C1C38">
        <w:t>indication to include patients who have no known mutations associated wi</w:t>
      </w:r>
      <w:r>
        <w:t xml:space="preserve">th resistance to the individual </w:t>
      </w:r>
      <w:r w:rsidRPr="009C1C38">
        <w:t xml:space="preserve">components of </w:t>
      </w:r>
      <w:r w:rsidR="003618A7">
        <w:t>Stribild</w:t>
      </w:r>
      <w:r w:rsidRPr="009C1C38">
        <w:t xml:space="preserve"> and proposes the following indication:</w:t>
      </w:r>
    </w:p>
    <w:p w:rsidR="009C1C38" w:rsidRDefault="003618A7" w:rsidP="009C1C38">
      <w:pPr>
        <w:ind w:left="720"/>
        <w:rPr>
          <w:i/>
        </w:rPr>
      </w:pPr>
      <w:r>
        <w:rPr>
          <w:i/>
        </w:rPr>
        <w:t>Stribild</w:t>
      </w:r>
      <w:r w:rsidR="009C1C38" w:rsidRPr="009C1C38">
        <w:rPr>
          <w:i/>
        </w:rPr>
        <w:t xml:space="preserve"> is indicated as a single tablet regimen for the treatment of HIV infection in treatment-naïve adults or adults who have no known mutations associated with resistance to the individual components of </w:t>
      </w:r>
      <w:r>
        <w:rPr>
          <w:i/>
        </w:rPr>
        <w:t>Stribild</w:t>
      </w:r>
      <w:r w:rsidR="009C1C38" w:rsidRPr="009C1C38">
        <w:rPr>
          <w:i/>
        </w:rPr>
        <w:t xml:space="preserve"> (see CLINICAL TRIALS).</w:t>
      </w:r>
    </w:p>
    <w:p w:rsidR="009C1C38" w:rsidRPr="009C1C38" w:rsidRDefault="009C1C38" w:rsidP="009C1C38">
      <w:r w:rsidRPr="009C1C38">
        <w:t>This proposed indication states the therapeutic application of the medicine clearly and concisely, and</w:t>
      </w:r>
      <w:r>
        <w:t xml:space="preserve"> </w:t>
      </w:r>
      <w:r w:rsidRPr="009C1C38">
        <w:t>includes the mandatory conditions of product usage with regards to p</w:t>
      </w:r>
      <w:r>
        <w:t xml:space="preserve">atients with no known mutations </w:t>
      </w:r>
      <w:r w:rsidRPr="009C1C38">
        <w:t>associated with resistance to the individual components.</w:t>
      </w:r>
    </w:p>
    <w:p w:rsidR="009C1C38" w:rsidRPr="009C1C38" w:rsidRDefault="009C1C38" w:rsidP="009C1C38">
      <w:r w:rsidRPr="009C1C38">
        <w:t xml:space="preserve">As therapy with </w:t>
      </w:r>
      <w:r w:rsidR="003618A7">
        <w:t>Stribild</w:t>
      </w:r>
      <w:r w:rsidRPr="009C1C38">
        <w:t xml:space="preserve"> would be initiated by a physician who is e</w:t>
      </w:r>
      <w:r>
        <w:t xml:space="preserve">xperienced in the management of </w:t>
      </w:r>
      <w:r w:rsidRPr="009C1C38">
        <w:t xml:space="preserve">HIV infection, the reference to the CLINICAL TRIALS section of the PI </w:t>
      </w:r>
      <w:r>
        <w:t xml:space="preserve">will guide the physician to the </w:t>
      </w:r>
      <w:r w:rsidRPr="009C1C38">
        <w:t xml:space="preserve">data that supports the use of </w:t>
      </w:r>
      <w:r w:rsidR="003618A7">
        <w:t>Stribild</w:t>
      </w:r>
      <w:r w:rsidRPr="009C1C38">
        <w:t xml:space="preserve"> in the relevant populations to al</w:t>
      </w:r>
      <w:r>
        <w:t xml:space="preserve">low the appropriate prescribing </w:t>
      </w:r>
      <w:r w:rsidRPr="009C1C38">
        <w:t>choices.</w:t>
      </w:r>
    </w:p>
    <w:p w:rsidR="009C1C38" w:rsidRPr="007B058F" w:rsidRDefault="009C1C38" w:rsidP="009C1C38">
      <w:r w:rsidRPr="009C1C38">
        <w:t>The data provided within this application demonstrated in Studie</w:t>
      </w:r>
      <w:r>
        <w:t xml:space="preserve">s GS-US-236-0115 and GS-US-236- </w:t>
      </w:r>
      <w:r w:rsidRPr="009C1C38">
        <w:t>0121, high rates of virologic suppression were maintained at Week</w:t>
      </w:r>
      <w:r>
        <w:t xml:space="preserve"> 48 in patients who switched to </w:t>
      </w:r>
      <w:r w:rsidR="003618A7">
        <w:t>Stribild</w:t>
      </w:r>
      <w:r w:rsidRPr="009C1C38">
        <w:t xml:space="preserve"> and in those who remained on their baseline regimens con</w:t>
      </w:r>
      <w:r>
        <w:t xml:space="preserve">taining a PI </w:t>
      </w:r>
      <w:r w:rsidR="003618A7">
        <w:t>+</w:t>
      </w:r>
      <w:r>
        <w:t xml:space="preserve"> RTV </w:t>
      </w:r>
      <w:r w:rsidR="003618A7">
        <w:t>+</w:t>
      </w:r>
      <w:r>
        <w:t xml:space="preserve"> FTC/TDF or </w:t>
      </w:r>
      <w:r w:rsidRPr="009C1C38">
        <w:t xml:space="preserve">an NNRTI </w:t>
      </w:r>
      <w:r w:rsidR="003618A7">
        <w:t>+</w:t>
      </w:r>
      <w:r w:rsidRPr="009C1C38">
        <w:t xml:space="preserve"> FTC/TDF. In each study, results of the primary effi</w:t>
      </w:r>
      <w:r>
        <w:t xml:space="preserve">cacy analysis demonstrated that </w:t>
      </w:r>
      <w:r w:rsidRPr="009C1C38">
        <w:t xml:space="preserve">switching to </w:t>
      </w:r>
      <w:r w:rsidR="003618A7">
        <w:t>Stribild</w:t>
      </w:r>
      <w:r w:rsidRPr="009C1C38">
        <w:t xml:space="preserve"> was non</w:t>
      </w:r>
      <w:r w:rsidR="009C03A7">
        <w:t>-</w:t>
      </w:r>
      <w:r w:rsidRPr="009C1C38">
        <w:t>inferior to staying on the baseline re</w:t>
      </w:r>
      <w:r>
        <w:t xml:space="preserve">gimen. In Study GS-US-236-0115, </w:t>
      </w:r>
      <w:r w:rsidRPr="009C1C38">
        <w:t xml:space="preserve">statistical superiority of </w:t>
      </w:r>
      <w:r w:rsidR="003618A7">
        <w:t>Stribild</w:t>
      </w:r>
      <w:r w:rsidRPr="009C1C38">
        <w:t xml:space="preserve"> over SBR (PI </w:t>
      </w:r>
      <w:r w:rsidR="003618A7">
        <w:t>+</w:t>
      </w:r>
      <w:r w:rsidRPr="009C1C38">
        <w:t xml:space="preserve"> RTV </w:t>
      </w:r>
      <w:r w:rsidR="003618A7">
        <w:t>+</w:t>
      </w:r>
      <w:r w:rsidRPr="009C1C38">
        <w:t xml:space="preserve"> FTC/TDF) was </w:t>
      </w:r>
      <w:r>
        <w:t>established. In the single</w:t>
      </w:r>
      <w:r w:rsidR="009C03A7">
        <w:t xml:space="preserve"> </w:t>
      </w:r>
      <w:r>
        <w:t xml:space="preserve">group </w:t>
      </w:r>
      <w:r w:rsidR="009C03A7">
        <w:t>Study GS</w:t>
      </w:r>
      <w:r w:rsidR="009C03A7">
        <w:noBreakHyphen/>
        <w:t>US</w:t>
      </w:r>
      <w:r w:rsidR="009C03A7">
        <w:noBreakHyphen/>
      </w:r>
      <w:r w:rsidRPr="009C1C38">
        <w:t xml:space="preserve">236-0123, 100% of subjects who switched to </w:t>
      </w:r>
      <w:r w:rsidR="003618A7">
        <w:t>Stribild</w:t>
      </w:r>
      <w:r>
        <w:t xml:space="preserve"> from RAL </w:t>
      </w:r>
      <w:r w:rsidR="003618A7">
        <w:t>+</w:t>
      </w:r>
      <w:r>
        <w:t xml:space="preserve"> FTC/TDF had </w:t>
      </w:r>
      <w:r w:rsidRPr="009C1C38">
        <w:t xml:space="preserve">virologic success at Week 48. There was no </w:t>
      </w:r>
      <w:r w:rsidR="003618A7">
        <w:t xml:space="preserve">treatment emergent </w:t>
      </w:r>
      <w:r w:rsidRPr="009C1C38">
        <w:t>HIV-1 dr</w:t>
      </w:r>
      <w:r>
        <w:t>ug resistance in studies GS-US-</w:t>
      </w:r>
      <w:r w:rsidRPr="009C1C38">
        <w:t>236-0115, GS-US-236-0121 and GS-US-236-0123 either in subjects sw</w:t>
      </w:r>
      <w:r>
        <w:t xml:space="preserve">itching to </w:t>
      </w:r>
      <w:r w:rsidR="003618A7">
        <w:t>Stribild</w:t>
      </w:r>
      <w:r>
        <w:t xml:space="preserve"> or in those </w:t>
      </w:r>
      <w:r w:rsidRPr="009C1C38">
        <w:t xml:space="preserve">who stayed on their </w:t>
      </w:r>
      <w:r w:rsidR="009C03A7">
        <w:t>baseline regimen through the 48 </w:t>
      </w:r>
      <w:r w:rsidRPr="009C1C38">
        <w:t>Week treatment periods.</w:t>
      </w:r>
    </w:p>
    <w:p w:rsidR="009C1C38" w:rsidRPr="009C1C38" w:rsidRDefault="00270C73" w:rsidP="009C1C38">
      <w:r>
        <w:t xml:space="preserve"> </w:t>
      </w:r>
      <w:r w:rsidR="009C1C38" w:rsidRPr="009C1C38">
        <w:t xml:space="preserve">As such the </w:t>
      </w:r>
      <w:r w:rsidR="009C03A7" w:rsidRPr="009C1C38">
        <w:t xml:space="preserve">clinical evaluation </w:t>
      </w:r>
      <w:r w:rsidR="009C1C38" w:rsidRPr="009C1C38">
        <w:t xml:space="preserve">recommendation and </w:t>
      </w:r>
      <w:r w:rsidR="009C03A7">
        <w:t>RMP evaluator</w:t>
      </w:r>
      <w:r w:rsidR="009C1C38" w:rsidRPr="009C1C38">
        <w:t xml:space="preserve"> recommendation</w:t>
      </w:r>
      <w:r w:rsidR="009C1C38">
        <w:t xml:space="preserve"> </w:t>
      </w:r>
      <w:r w:rsidR="009C1C38" w:rsidRPr="009C1C38">
        <w:t>both agree that the clinical data presented by Gilead support an update to t</w:t>
      </w:r>
      <w:r w:rsidR="009C1C38">
        <w:t xml:space="preserve">he indication to include use in </w:t>
      </w:r>
      <w:r w:rsidR="009C1C38" w:rsidRPr="009C1C38">
        <w:t>patients who have no known mutations associated with resistance to th</w:t>
      </w:r>
      <w:r w:rsidR="009C1C38">
        <w:t xml:space="preserve">e individual components of </w:t>
      </w:r>
      <w:r w:rsidR="003618A7">
        <w:t>Stribild</w:t>
      </w:r>
      <w:r w:rsidR="009C03A7">
        <w:t>.</w:t>
      </w:r>
    </w:p>
    <w:p w:rsidR="009C1C38" w:rsidRPr="009C1C38" w:rsidRDefault="009C1C38" w:rsidP="009C1C38">
      <w:r w:rsidRPr="009C1C38">
        <w:t>Gilead notes that the Delegate has drawn a direct comparison to the current TGA approved indication of</w:t>
      </w:r>
      <w:r>
        <w:t xml:space="preserve"> </w:t>
      </w:r>
      <w:r w:rsidR="009C03A7">
        <w:t>Eviplera</w:t>
      </w:r>
      <w:r w:rsidRPr="009C1C38">
        <w:t xml:space="preserve"> (tenofovir disoproxil fumarate 300 mg / emtricitabine 200 m</w:t>
      </w:r>
      <w:r w:rsidR="009C03A7">
        <w:t xml:space="preserve">g / </w:t>
      </w:r>
      <w:proofErr w:type="spellStart"/>
      <w:r w:rsidR="009C03A7">
        <w:t>rilpivirine</w:t>
      </w:r>
      <w:proofErr w:type="spellEnd"/>
      <w:r w:rsidR="009C03A7">
        <w:t xml:space="preserve"> 25 mg) t</w:t>
      </w:r>
      <w:r>
        <w:t xml:space="preserve">ablets. </w:t>
      </w:r>
      <w:r w:rsidR="009C03A7">
        <w:t>Eviplera</w:t>
      </w:r>
      <w:r w:rsidRPr="009C1C38">
        <w:t xml:space="preserve"> in addition to A</w:t>
      </w:r>
      <w:r w:rsidR="009C03A7" w:rsidRPr="009C1C38">
        <w:t>tripla</w:t>
      </w:r>
      <w:r w:rsidRPr="009C1C38">
        <w:t xml:space="preserve"> (tenofovir disoproxil fumarate </w:t>
      </w:r>
      <w:r>
        <w:t xml:space="preserve">300 mg / emtricitabine 200 mg / </w:t>
      </w:r>
      <w:r w:rsidRPr="009C1C38">
        <w:t>efavirenz 600 m</w:t>
      </w:r>
      <w:r w:rsidR="009C03A7">
        <w:t>g) Tablets are NNRTI/NRTI</w:t>
      </w:r>
      <w:r w:rsidR="00CC0642">
        <w:rPr>
          <w:rStyle w:val="FootnoteReference"/>
        </w:rPr>
        <w:footnoteReference w:id="4"/>
      </w:r>
      <w:r w:rsidR="009C03A7">
        <w:t xml:space="preserve"> based </w:t>
      </w:r>
      <w:r w:rsidR="00CC0642">
        <w:t>single tablet regimens</w:t>
      </w:r>
      <w:r w:rsidR="00CC0642" w:rsidRPr="009C1C38">
        <w:t xml:space="preserve"> </w:t>
      </w:r>
      <w:r w:rsidR="00CC0642">
        <w:t>(</w:t>
      </w:r>
      <w:r w:rsidRPr="009C1C38">
        <w:t>STRs</w:t>
      </w:r>
      <w:r w:rsidR="00CC0642">
        <w:t>)</w:t>
      </w:r>
      <w:r w:rsidRPr="009C1C38">
        <w:t xml:space="preserve"> approved for o</w:t>
      </w:r>
      <w:r w:rsidR="009C03A7">
        <w:t xml:space="preserve">nce </w:t>
      </w:r>
      <w:r>
        <w:t xml:space="preserve">daily administration in the </w:t>
      </w:r>
      <w:r w:rsidRPr="009C1C38">
        <w:t xml:space="preserve">treatment of HIV-1 infection. However </w:t>
      </w:r>
      <w:r w:rsidR="003618A7">
        <w:t>Stribild</w:t>
      </w:r>
      <w:r w:rsidR="009C03A7">
        <w:t xml:space="preserve"> was the first approved INSTI </w:t>
      </w:r>
      <w:r w:rsidRPr="009C1C38">
        <w:t>bas</w:t>
      </w:r>
      <w:r>
        <w:t xml:space="preserve">ed STR for the </w:t>
      </w:r>
      <w:r w:rsidRPr="009C1C38">
        <w:t>treatment of HIV-1 infection and has demonstrated both potent anti</w:t>
      </w:r>
      <w:r>
        <w:t xml:space="preserve">viral efficacy and a safety and </w:t>
      </w:r>
      <w:r w:rsidRPr="009C1C38">
        <w:t>tolerability profile that offer advantages over the currently recommended</w:t>
      </w:r>
      <w:r w:rsidR="009C03A7">
        <w:t xml:space="preserve"> first line NNRTI and PI </w:t>
      </w:r>
      <w:r>
        <w:t xml:space="preserve">based </w:t>
      </w:r>
      <w:r w:rsidRPr="009C1C38">
        <w:t>ARV regimens:</w:t>
      </w:r>
    </w:p>
    <w:p w:rsidR="009C1C38" w:rsidRPr="009C1C38" w:rsidRDefault="009C1C38" w:rsidP="009C1C38">
      <w:pPr>
        <w:pStyle w:val="ListBullet"/>
      </w:pPr>
      <w:r w:rsidRPr="009C1C38">
        <w:t>Potent and durable antiviral suppression re</w:t>
      </w:r>
      <w:r w:rsidR="009C03A7">
        <w:t>gardless of baseline viral load</w:t>
      </w:r>
      <w:r w:rsidR="000B4DED">
        <w:t>.</w:t>
      </w:r>
    </w:p>
    <w:p w:rsidR="009C1C38" w:rsidRPr="009C1C38" w:rsidRDefault="009C1C38" w:rsidP="009C1C38">
      <w:pPr>
        <w:pStyle w:val="ListBullet"/>
      </w:pPr>
      <w:r w:rsidRPr="009C1C38">
        <w:t>For a significant number of patients, NNRTIs (</w:t>
      </w:r>
      <w:proofErr w:type="spellStart"/>
      <w:r w:rsidR="00E22646">
        <w:t>efavirenz</w:t>
      </w:r>
      <w:proofErr w:type="spellEnd"/>
      <w:r w:rsidR="00E22646" w:rsidRPr="009C1C38">
        <w:t xml:space="preserve"> </w:t>
      </w:r>
      <w:r w:rsidR="00E22646">
        <w:t>(</w:t>
      </w:r>
      <w:r w:rsidRPr="009C1C38">
        <w:t>EFV</w:t>
      </w:r>
      <w:r w:rsidR="00E22646">
        <w:t>)</w:t>
      </w:r>
      <w:r w:rsidRPr="009C1C38">
        <w:t xml:space="preserve"> and </w:t>
      </w:r>
      <w:proofErr w:type="spellStart"/>
      <w:r w:rsidR="00CC0642">
        <w:t>rilpivirine</w:t>
      </w:r>
      <w:proofErr w:type="spellEnd"/>
      <w:r w:rsidR="00CC0642" w:rsidRPr="009C1C38">
        <w:t xml:space="preserve"> </w:t>
      </w:r>
      <w:r w:rsidR="00CC0642">
        <w:t>(</w:t>
      </w:r>
      <w:r w:rsidRPr="009C1C38">
        <w:t>RPV</w:t>
      </w:r>
      <w:r w:rsidR="00CC0642">
        <w:t>)</w:t>
      </w:r>
      <w:r w:rsidRPr="009C1C38">
        <w:t>)</w:t>
      </w:r>
      <w:r>
        <w:t xml:space="preserve"> are intolerable due to adverse </w:t>
      </w:r>
      <w:r w:rsidR="009C03A7">
        <w:t>reactions</w:t>
      </w:r>
      <w:r w:rsidR="000B4DED">
        <w:t>.</w:t>
      </w:r>
    </w:p>
    <w:p w:rsidR="009C1C38" w:rsidRPr="009C1C38" w:rsidRDefault="009C1C38" w:rsidP="009C1C38">
      <w:pPr>
        <w:pStyle w:val="ListBullet"/>
      </w:pPr>
      <w:r w:rsidRPr="009C1C38">
        <w:t>A significant number of patients wish to avoid using EFV due to concerns about tolerability.</w:t>
      </w:r>
    </w:p>
    <w:p w:rsidR="009C1C38" w:rsidRPr="009C1C38" w:rsidRDefault="003618A7" w:rsidP="009C1C38">
      <w:r>
        <w:lastRenderedPageBreak/>
        <w:t>Stribild</w:t>
      </w:r>
      <w:r w:rsidR="009C1C38" w:rsidRPr="009C1C38">
        <w:t xml:space="preserve"> is a recommended initial ARV regimen in the US Departme</w:t>
      </w:r>
      <w:r w:rsidR="009C1C38">
        <w:t xml:space="preserve">nt of Health and Human Services </w:t>
      </w:r>
      <w:r w:rsidR="009C1C38" w:rsidRPr="009C1C38">
        <w:t>(DHHS)</w:t>
      </w:r>
      <w:r w:rsidR="00BB4A75">
        <w:rPr>
          <w:rStyle w:val="FootnoteReference"/>
        </w:rPr>
        <w:footnoteReference w:id="5"/>
      </w:r>
      <w:r w:rsidR="009C1C38" w:rsidRPr="009C1C38">
        <w:t xml:space="preserve"> , British HIV Association (BHIVA)</w:t>
      </w:r>
      <w:r w:rsidR="00BB4A75">
        <w:rPr>
          <w:rStyle w:val="FootnoteReference"/>
        </w:rPr>
        <w:footnoteReference w:id="6"/>
      </w:r>
      <w:r w:rsidR="00BB4A75">
        <w:t xml:space="preserve"> </w:t>
      </w:r>
      <w:r w:rsidR="009C1C38" w:rsidRPr="009C1C38">
        <w:t>guidelines and European AIDS Clinical Society (EACS)</w:t>
      </w:r>
      <w:r w:rsidR="009C03A7" w:rsidRPr="009C1C38">
        <w:t xml:space="preserve"> </w:t>
      </w:r>
      <w:r w:rsidR="009C1C38" w:rsidRPr="009C1C38">
        <w:t>Guidelines.</w:t>
      </w:r>
      <w:r w:rsidR="009C03A7">
        <w:rPr>
          <w:rStyle w:val="FootnoteReference"/>
        </w:rPr>
        <w:footnoteReference w:id="7"/>
      </w:r>
      <w:r w:rsidR="009C1C38" w:rsidRPr="009C1C38">
        <w:t xml:space="preserve"> </w:t>
      </w:r>
      <w:r>
        <w:t>Stribild</w:t>
      </w:r>
      <w:r w:rsidR="009C1C38" w:rsidRPr="009C1C38">
        <w:t xml:space="preserve"> is thus a potential option for patients receiving </w:t>
      </w:r>
      <w:r w:rsidR="009C1C38">
        <w:t xml:space="preserve">ARV treatment who are unable to </w:t>
      </w:r>
      <w:r w:rsidR="009C03A7">
        <w:t xml:space="preserve">tolerate their current PI, NNRTI, or INSTI </w:t>
      </w:r>
      <w:r w:rsidR="009C1C38" w:rsidRPr="009C1C38">
        <w:t>based ARV regimen, or who</w:t>
      </w:r>
      <w:r w:rsidR="009C1C38">
        <w:t xml:space="preserve"> wish to simplify their regimen </w:t>
      </w:r>
      <w:r w:rsidR="009C1C38" w:rsidRPr="009C1C38">
        <w:t xml:space="preserve">for the convenience of a </w:t>
      </w:r>
      <w:r w:rsidR="009C03A7">
        <w:t xml:space="preserve">once </w:t>
      </w:r>
      <w:r w:rsidR="009C1C38" w:rsidRPr="009C1C38">
        <w:t>daily single tablet regimen (STR) t</w:t>
      </w:r>
      <w:r w:rsidR="009C1C38">
        <w:t xml:space="preserve">hat has been demonstrated to be </w:t>
      </w:r>
      <w:r w:rsidR="009C1C38" w:rsidRPr="009C1C38">
        <w:t>efficacious, safe, and well tolerated.</w:t>
      </w:r>
    </w:p>
    <w:p w:rsidR="009C1C38" w:rsidRPr="009C1C38" w:rsidRDefault="009C1C38" w:rsidP="009C1C38">
      <w:r w:rsidRPr="009C1C38">
        <w:t xml:space="preserve">A desire to simplify the current anti-HIV regimen was cited as a reason to </w:t>
      </w:r>
      <w:r w:rsidR="00BB4A75" w:rsidRPr="009C1C38">
        <w:t>enrol</w:t>
      </w:r>
      <w:r w:rsidRPr="009C1C38">
        <w:t xml:space="preserve"> by a large majority of</w:t>
      </w:r>
      <w:r>
        <w:t xml:space="preserve"> </w:t>
      </w:r>
      <w:r w:rsidRPr="009C1C38">
        <w:t>patients in Studies GS-US-236-0115 (85.7%) and GS-US-236-0123 (95.8</w:t>
      </w:r>
      <w:r>
        <w:t xml:space="preserve">%). Regimen simplification was </w:t>
      </w:r>
      <w:r w:rsidRPr="009C1C38">
        <w:t>cited by a lower percentage</w:t>
      </w:r>
      <w:r w:rsidR="009C03A7">
        <w:t xml:space="preserve"> of patients in Study GS</w:t>
      </w:r>
      <w:r w:rsidR="009C03A7">
        <w:noBreakHyphen/>
        <w:t>US</w:t>
      </w:r>
      <w:r w:rsidR="009C03A7">
        <w:noBreakHyphen/>
        <w:t>236</w:t>
      </w:r>
      <w:r w:rsidR="009C03A7">
        <w:noBreakHyphen/>
      </w:r>
      <w:r w:rsidRPr="009C1C38">
        <w:t>0121 (48</w:t>
      </w:r>
      <w:r>
        <w:t xml:space="preserve">.2%), likely reflecting current </w:t>
      </w:r>
      <w:r w:rsidR="009C03A7">
        <w:t xml:space="preserve">use/availability of NNRTI </w:t>
      </w:r>
      <w:r w:rsidRPr="009C1C38">
        <w:t>based STRs. Higher percentages of p</w:t>
      </w:r>
      <w:r>
        <w:t xml:space="preserve">atients in Study GS-US-236-0121 </w:t>
      </w:r>
      <w:r w:rsidRPr="009C1C38">
        <w:t xml:space="preserve">compared with Study GS-US-236-0115 cited reasons to </w:t>
      </w:r>
      <w:r w:rsidR="003618A7" w:rsidRPr="009C1C38">
        <w:t>enrol</w:t>
      </w:r>
      <w:r w:rsidRPr="009C1C38">
        <w:t xml:space="preserve"> in relation</w:t>
      </w:r>
      <w:r>
        <w:t xml:space="preserve"> to concern about the long-term </w:t>
      </w:r>
      <w:r w:rsidRPr="009C1C38">
        <w:t>side effects of the current anti-HIV regimen (19.8% and 12.2%, respec</w:t>
      </w:r>
      <w:r>
        <w:t xml:space="preserve">tively), and intolerance of the </w:t>
      </w:r>
      <w:r w:rsidRPr="009C1C38">
        <w:t>current regimen because of side effects (13.6% and 3.2%, respectively). These differen</w:t>
      </w:r>
      <w:r>
        <w:t xml:space="preserve">ces likely reflect </w:t>
      </w:r>
      <w:r w:rsidRPr="009C1C38">
        <w:t>known differences in the tolerability profiles of agents in the NNRTI and PI classes</w:t>
      </w:r>
      <w:r>
        <w:t>.</w:t>
      </w:r>
    </w:p>
    <w:p w:rsidR="009C1C38" w:rsidRPr="009C1C38" w:rsidRDefault="009C1C38" w:rsidP="009C1C38">
      <w:pPr>
        <w:pStyle w:val="Heading5"/>
        <w:rPr>
          <w:rFonts w:eastAsiaTheme="minorHAnsi"/>
        </w:rPr>
      </w:pPr>
      <w:r w:rsidRPr="009C1C38">
        <w:rPr>
          <w:rFonts w:eastAsiaTheme="minorHAnsi"/>
        </w:rPr>
        <w:t>C</w:t>
      </w:r>
      <w:r w:rsidR="009C03A7" w:rsidRPr="009C1C38">
        <w:rPr>
          <w:rFonts w:eastAsiaTheme="minorHAnsi"/>
        </w:rPr>
        <w:t>onclusion</w:t>
      </w:r>
    </w:p>
    <w:p w:rsidR="009C1C38" w:rsidRPr="009C1C38" w:rsidRDefault="003618A7" w:rsidP="009C1C38">
      <w:r>
        <w:t>Stribild</w:t>
      </w:r>
      <w:r w:rsidR="009C1C38" w:rsidRPr="009C1C38">
        <w:t xml:space="preserve"> provides an option for patients receiving ARV tr</w:t>
      </w:r>
      <w:r w:rsidR="009C1C38">
        <w:t xml:space="preserve">eatment but who cannot tolerate </w:t>
      </w:r>
      <w:r w:rsidR="009C1C38" w:rsidRPr="009C1C38">
        <w:t>their current regimen, or who could benefit from regimen simplifica</w:t>
      </w:r>
      <w:r w:rsidR="00BB4A75">
        <w:t xml:space="preserve">tion. This application provides </w:t>
      </w:r>
      <w:r w:rsidR="009C1C38" w:rsidRPr="009C1C38">
        <w:t>efficacy, safety, and tolerability data from virologically suppressed p</w:t>
      </w:r>
      <w:r w:rsidR="00BB4A75">
        <w:t xml:space="preserve">atients infected with HIV-1 who </w:t>
      </w:r>
      <w:r w:rsidR="009C1C38" w:rsidRPr="009C1C38">
        <w:t xml:space="preserve">switched to </w:t>
      </w:r>
      <w:r>
        <w:t>Stribild</w:t>
      </w:r>
      <w:r w:rsidR="009C1C38" w:rsidRPr="009C1C38">
        <w:t xml:space="preserve"> from their baseline therapy of PI </w:t>
      </w:r>
      <w:r>
        <w:t>+</w:t>
      </w:r>
      <w:r w:rsidR="009C1C38" w:rsidRPr="009C1C38">
        <w:t xml:space="preserve"> RTV</w:t>
      </w:r>
      <w:r w:rsidR="00BB4A75">
        <w:t xml:space="preserve"> </w:t>
      </w:r>
      <w:r>
        <w:t>+</w:t>
      </w:r>
      <w:r w:rsidR="00BB4A75">
        <w:t xml:space="preserve"> FTC/TDF, NNRTI </w:t>
      </w:r>
      <w:r>
        <w:t>+</w:t>
      </w:r>
      <w:r w:rsidR="00BB4A75">
        <w:t xml:space="preserve"> FTC/TDF, or </w:t>
      </w:r>
      <w:r w:rsidR="009C1C38" w:rsidRPr="009C1C38">
        <w:t xml:space="preserve">RAL </w:t>
      </w:r>
      <w:r>
        <w:t>+</w:t>
      </w:r>
      <w:r w:rsidR="009C1C38" w:rsidRPr="009C1C38">
        <w:t xml:space="preserve"> FTC/TDF based on the newly available data from the Studies</w:t>
      </w:r>
      <w:r w:rsidR="00BB4A75">
        <w:t xml:space="preserve"> GS-US-236-0115, GS-US-236-0121 </w:t>
      </w:r>
      <w:r w:rsidR="009C1C38" w:rsidRPr="009C1C38">
        <w:t xml:space="preserve">and GS-US-236-0123, respectively. In each of these studies, </w:t>
      </w:r>
      <w:r>
        <w:t>Stribild</w:t>
      </w:r>
      <w:r w:rsidR="009C1C38" w:rsidRPr="009C1C38">
        <w:t xml:space="preserve"> wa</w:t>
      </w:r>
      <w:r w:rsidR="00BB4A75">
        <w:t xml:space="preserve">s well tolerated and high rates </w:t>
      </w:r>
      <w:r w:rsidR="009C1C38" w:rsidRPr="009C1C38">
        <w:t>of virologic suppression were maintained for subjects following a switch</w:t>
      </w:r>
      <w:r w:rsidR="00BB4A75">
        <w:t xml:space="preserve"> to </w:t>
      </w:r>
      <w:r>
        <w:t>Stribild</w:t>
      </w:r>
      <w:r w:rsidR="00BB4A75">
        <w:t xml:space="preserve">. Gilead maintains </w:t>
      </w:r>
      <w:r w:rsidR="009C1C38" w:rsidRPr="009C1C38">
        <w:t>that the data presented in this application support extension of the</w:t>
      </w:r>
      <w:r w:rsidR="00BB4A75">
        <w:t xml:space="preserve"> </w:t>
      </w:r>
      <w:r>
        <w:t>Stribild</w:t>
      </w:r>
      <w:r w:rsidR="00BB4A75">
        <w:t xml:space="preserve"> indication to include </w:t>
      </w:r>
      <w:r w:rsidR="009C1C38" w:rsidRPr="009C1C38">
        <w:t xml:space="preserve">patients who have no known mutations associated with resistance </w:t>
      </w:r>
      <w:r w:rsidR="00BB4A75">
        <w:t xml:space="preserve">to the individual components of </w:t>
      </w:r>
      <w:r>
        <w:t>Stribild</w:t>
      </w:r>
      <w:r w:rsidR="009C1C38" w:rsidRPr="009C1C38">
        <w:t>, which is consistent with the way ARV’s are used in clinical practice.</w:t>
      </w:r>
    </w:p>
    <w:p w:rsidR="008E7846" w:rsidRDefault="008E7846" w:rsidP="008E7846">
      <w:pPr>
        <w:pStyle w:val="Heading4"/>
      </w:pPr>
      <w:r>
        <w:t xml:space="preserve">Advisory Committee </w:t>
      </w:r>
      <w:r w:rsidR="000B4DED">
        <w:t>c</w:t>
      </w:r>
      <w:r>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3618A7" w:rsidRDefault="003E4184" w:rsidP="003E4184">
      <w:r w:rsidRPr="003E4184">
        <w:t>The ACPM resolved to recommend to the TGA Delegate of the Minister and Secretary that:</w:t>
      </w:r>
    </w:p>
    <w:p w:rsidR="003E4184" w:rsidRPr="003E4184" w:rsidRDefault="003E4184" w:rsidP="003E4184">
      <w:r w:rsidRPr="003E4184">
        <w:t xml:space="preserve">The ACPM, taking into account the submitted evidence of efficacy, safety and quality, agreed with the Delegate and considered </w:t>
      </w:r>
      <w:r w:rsidR="003618A7">
        <w:t>Stribild</w:t>
      </w:r>
      <w:r w:rsidR="009C03A7">
        <w:t xml:space="preserve"> fixed </w:t>
      </w:r>
      <w:r w:rsidRPr="003E4184">
        <w:t>dose combination tablet containing 300 mg tenofovir DF (which is equivalent to 245 mg of tenofovir disoproxil); 200 mg emtricitabine; 150 mg of elvitegravir; and 150 mg of cobicistat to have an overall positive benefit–risk profile for the amended indication;</w:t>
      </w:r>
    </w:p>
    <w:p w:rsidR="003E4184" w:rsidRPr="003E4184" w:rsidRDefault="003618A7" w:rsidP="003E4184">
      <w:pPr>
        <w:ind w:left="720"/>
        <w:rPr>
          <w:i/>
        </w:rPr>
      </w:pPr>
      <w:r>
        <w:rPr>
          <w:i/>
        </w:rPr>
        <w:t>Stribild</w:t>
      </w:r>
      <w:r w:rsidR="003E4184" w:rsidRPr="003E4184">
        <w:rPr>
          <w:i/>
        </w:rPr>
        <w:t xml:space="preserve"> is indicated as a single tablet regimen for the treatment of HIV infection in </w:t>
      </w:r>
      <w:r w:rsidR="009C03A7">
        <w:rPr>
          <w:i/>
        </w:rPr>
        <w:t>treatment naive</w:t>
      </w:r>
      <w:r w:rsidR="003E4184" w:rsidRPr="003E4184">
        <w:rPr>
          <w:i/>
        </w:rPr>
        <w:t xml:space="preserve"> adults. </w:t>
      </w:r>
      <w:r>
        <w:rPr>
          <w:i/>
        </w:rPr>
        <w:t>Stribild</w:t>
      </w:r>
      <w:r w:rsidR="003E4184" w:rsidRPr="003E4184">
        <w:rPr>
          <w:i/>
        </w:rPr>
        <w:t xml:space="preserve"> is also indicated in certain </w:t>
      </w:r>
      <w:r w:rsidR="009C03A7">
        <w:rPr>
          <w:i/>
        </w:rPr>
        <w:t>virologically suppressed</w:t>
      </w:r>
      <w:r w:rsidR="003E4184" w:rsidRPr="003E4184">
        <w:rPr>
          <w:i/>
        </w:rPr>
        <w:t xml:space="preserve"> (HIV-1 RNA </w:t>
      </w:r>
      <w:r w:rsidR="002C3353">
        <w:rPr>
          <w:i/>
        </w:rPr>
        <w:t>&lt; 50</w:t>
      </w:r>
      <w:r w:rsidR="003E4184" w:rsidRPr="003E4184">
        <w:rPr>
          <w:i/>
        </w:rPr>
        <w:t xml:space="preserve"> copies/mL) adult patients on a stable antiretroviral regimen at start of therapy in order to replace their current antiretroviral treatment regimen </w:t>
      </w:r>
      <w:r w:rsidR="003E4184" w:rsidRPr="003E4184">
        <w:rPr>
          <w:i/>
        </w:rPr>
        <w:lastRenderedPageBreak/>
        <w:t xml:space="preserve">(see Clinical Trials). Patients must not have a history of treatment failure or known mutations associated with resistance to the components of </w:t>
      </w:r>
      <w:r>
        <w:rPr>
          <w:i/>
        </w:rPr>
        <w:t>Stribild</w:t>
      </w:r>
      <w:r w:rsidR="003E4184" w:rsidRPr="003E4184">
        <w:rPr>
          <w:i/>
        </w:rPr>
        <w:t xml:space="preserve"> (tenofovir DF, emtricitabine or elvitegravir).</w:t>
      </w:r>
    </w:p>
    <w:p w:rsidR="003E4184" w:rsidRPr="003E4184" w:rsidRDefault="003E4184" w:rsidP="009C03A7">
      <w:r w:rsidRPr="003E4184">
        <w:t>In making this recommendation the ACPM</w:t>
      </w:r>
      <w:r w:rsidR="009C03A7">
        <w:t xml:space="preserve"> </w:t>
      </w:r>
      <w:r w:rsidRPr="003E4184">
        <w:t>was of the view that the Delegate’s amended indication is supported by the data presented.</w:t>
      </w:r>
    </w:p>
    <w:p w:rsidR="003E4184" w:rsidRPr="003E4184" w:rsidRDefault="003E4184" w:rsidP="003E4184">
      <w:pPr>
        <w:pStyle w:val="Heading5"/>
        <w:rPr>
          <w:rFonts w:eastAsia="MS Mincho"/>
        </w:rPr>
      </w:pPr>
      <w:r w:rsidRPr="003E4184">
        <w:rPr>
          <w:rFonts w:eastAsia="MS Mincho"/>
        </w:rPr>
        <w:t>Proposed conditions of registration</w:t>
      </w:r>
    </w:p>
    <w:p w:rsidR="003618A7" w:rsidRDefault="003E4184" w:rsidP="003E4184">
      <w:r w:rsidRPr="003E4184">
        <w:t>The ACPM agreed with the Delegate on the proposed conditions of registration</w:t>
      </w:r>
      <w:r w:rsidR="003618A7">
        <w:t>.</w:t>
      </w:r>
    </w:p>
    <w:p w:rsidR="003E4184" w:rsidRPr="003E4184" w:rsidRDefault="003E4184" w:rsidP="003E4184">
      <w:pPr>
        <w:pStyle w:val="Heading5"/>
        <w:rPr>
          <w:rFonts w:eastAsia="MS Mincho"/>
        </w:rPr>
      </w:pPr>
      <w:r w:rsidRPr="003E4184">
        <w:rPr>
          <w:rFonts w:eastAsia="MS Mincho"/>
        </w:rPr>
        <w:t>Proposed Product Information (PI)/Consumer Medicine Information (CMI) amendments</w:t>
      </w:r>
    </w:p>
    <w:p w:rsidR="003E4184" w:rsidRPr="003E4184" w:rsidRDefault="003E4184" w:rsidP="003E4184">
      <w:r w:rsidRPr="003E4184">
        <w:t xml:space="preserve">The ACPM agreed with the Delegate to the proposed amendments to the </w:t>
      </w:r>
      <w:r w:rsidR="009C03A7">
        <w:t>PI</w:t>
      </w:r>
      <w:r w:rsidRPr="003E4184">
        <w:t xml:space="preserve"> and </w:t>
      </w:r>
      <w:r w:rsidR="009C03A7">
        <w:t>CMI</w:t>
      </w:r>
      <w:r w:rsidRPr="003E4184">
        <w:t>.</w:t>
      </w:r>
    </w:p>
    <w:p w:rsidR="003E4184" w:rsidRPr="003E4184" w:rsidRDefault="003E4184" w:rsidP="003E4184">
      <w:pPr>
        <w:pStyle w:val="Heading5"/>
        <w:rPr>
          <w:rFonts w:eastAsia="MS Mincho"/>
          <w:highlight w:val="yellow"/>
        </w:rPr>
      </w:pPr>
      <w:r w:rsidRPr="003E4184">
        <w:rPr>
          <w:rFonts w:eastAsia="MS Mincho"/>
        </w:rPr>
        <w:t xml:space="preserve">Specific </w:t>
      </w:r>
      <w:r w:rsidR="000B4DED" w:rsidRPr="003E4184">
        <w:rPr>
          <w:rFonts w:eastAsia="MS Mincho"/>
        </w:rPr>
        <w:t>a</w:t>
      </w:r>
      <w:r w:rsidRPr="003E4184">
        <w:rPr>
          <w:rFonts w:eastAsia="MS Mincho"/>
        </w:rPr>
        <w:t>dvice</w:t>
      </w:r>
    </w:p>
    <w:p w:rsidR="003E4184" w:rsidRPr="003E4184" w:rsidRDefault="003E4184" w:rsidP="003E4184">
      <w:r w:rsidRPr="003E4184">
        <w:t>The ACPM advised the following in response to the Delegate’s specific questions on this submission:</w:t>
      </w:r>
    </w:p>
    <w:p w:rsidR="003E4184" w:rsidRPr="003E4184" w:rsidRDefault="003E4184" w:rsidP="009C03A7">
      <w:pPr>
        <w:pStyle w:val="Numberbullet0"/>
        <w:numPr>
          <w:ilvl w:val="0"/>
          <w:numId w:val="29"/>
        </w:numPr>
      </w:pPr>
      <w:r w:rsidRPr="009C03A7">
        <w:rPr>
          <w:i/>
        </w:rPr>
        <w:t>What is the view of ACPM on the proposed extension of indications statement</w:t>
      </w:r>
      <w:r w:rsidR="003618A7" w:rsidRPr="009C03A7">
        <w:rPr>
          <w:i/>
        </w:rPr>
        <w:t xml:space="preserve"> </w:t>
      </w:r>
      <w:r w:rsidRPr="009C03A7">
        <w:rPr>
          <w:i/>
        </w:rPr>
        <w:t>“</w:t>
      </w:r>
      <w:r w:rsidR="003618A7" w:rsidRPr="009C03A7">
        <w:rPr>
          <w:i/>
        </w:rPr>
        <w:t>Stribild</w:t>
      </w:r>
      <w:r w:rsidRPr="009C03A7">
        <w:rPr>
          <w:i/>
        </w:rPr>
        <w:t xml:space="preserve"> is indicated as a single tablet regimen for the treatment of HIV infection in adults who have no known mutations associated with resistance to the individual components of </w:t>
      </w:r>
      <w:r w:rsidR="003618A7" w:rsidRPr="009C03A7">
        <w:rPr>
          <w:i/>
        </w:rPr>
        <w:t>Stribild</w:t>
      </w:r>
      <w:r w:rsidRPr="009C03A7">
        <w:rPr>
          <w:i/>
        </w:rPr>
        <w:t>”</w:t>
      </w:r>
      <w:r w:rsidRPr="003E4184">
        <w:t>?</w:t>
      </w:r>
    </w:p>
    <w:p w:rsidR="003E4184" w:rsidRPr="003E4184" w:rsidRDefault="003E4184" w:rsidP="003E4184">
      <w:r w:rsidRPr="003E4184">
        <w:t xml:space="preserve">The ACPM noted that the sponsor’s proposed indication would extend use of </w:t>
      </w:r>
      <w:proofErr w:type="spellStart"/>
      <w:r w:rsidRPr="003E4184">
        <w:t>S</w:t>
      </w:r>
      <w:r w:rsidR="009C03A7" w:rsidRPr="003E4184">
        <w:t>tribilid</w:t>
      </w:r>
      <w:proofErr w:type="spellEnd"/>
      <w:r w:rsidRPr="003E4184">
        <w:t xml:space="preserve"> to patients who had prior treatment failure, were treatment intolerant or wanted to change treatment for personal preference, without regard to virological control status. The ACPM noted that the data to support the proposed indication were derived from ‘switching studies’ which excluded salvage treatment </w:t>
      </w:r>
      <w:r w:rsidR="009C03A7">
        <w:t>that is</w:t>
      </w:r>
      <w:r w:rsidRPr="003E4184">
        <w:t xml:space="preserve"> patients failing their current regimens. The ACPM noted that patients failing other regimens but having no resistance to the three anti-retroviral components of </w:t>
      </w:r>
      <w:r w:rsidR="003618A7">
        <w:t>Stribild</w:t>
      </w:r>
      <w:r w:rsidRPr="003E4184">
        <w:t xml:space="preserve"> could be considered analogous to naïve patients with respect to their likelihood of benefit from </w:t>
      </w:r>
      <w:r w:rsidR="003618A7">
        <w:t>Stribild</w:t>
      </w:r>
      <w:r w:rsidRPr="003E4184">
        <w:t xml:space="preserve"> but no data were provided to support this. The ACPM considered that the wording of the FDA indication, which includes virologic status, reflected the absence of such data. The ACPM advised that the indication proposed by the Delegate was more appropriate as it targeted the population in whom efficacy had been demonstrated.</w:t>
      </w:r>
    </w:p>
    <w:p w:rsidR="003618A7" w:rsidRDefault="003E4184" w:rsidP="008E7846">
      <w:r w:rsidRPr="003E4184">
        <w:t>The ACPM advised that implementation by the sponsor of the recommendations outlined above to the satisfaction of the TGA, in addition to the evidence of efficacy and safety provided would support the safe and effective use of this product</w:t>
      </w:r>
      <w:r w:rsidR="003618A7">
        <w:t>.</w:t>
      </w:r>
    </w:p>
    <w:p w:rsidR="008E7846" w:rsidRPr="002E238E" w:rsidRDefault="008E7846" w:rsidP="008E7846">
      <w:pPr>
        <w:pStyle w:val="Heading3"/>
      </w:pPr>
      <w:bookmarkStart w:id="93" w:name="_Toc247691532"/>
      <w:bookmarkStart w:id="94" w:name="_Toc314842516"/>
      <w:bookmarkStart w:id="95" w:name="_Toc481583642"/>
      <w:bookmarkEnd w:id="65"/>
      <w:bookmarkEnd w:id="91"/>
      <w:bookmarkEnd w:id="92"/>
      <w:r>
        <w:t>Outcome</w:t>
      </w:r>
      <w:bookmarkEnd w:id="93"/>
      <w:bookmarkEnd w:id="94"/>
      <w:bookmarkEnd w:id="95"/>
    </w:p>
    <w:p w:rsidR="00D23139" w:rsidRDefault="00D23139" w:rsidP="00D23139">
      <w:bookmarkStart w:id="96" w:name="_Toc247691533"/>
      <w:bookmarkStart w:id="97" w:name="_Toc314842517"/>
      <w:r w:rsidRPr="003E4184">
        <w:t xml:space="preserve">Based on a review of quality, safety and efficacy, TGA approved the registration of </w:t>
      </w:r>
      <w:r w:rsidR="00B7684E" w:rsidRPr="00AA78D9">
        <w:t>Stribild containing (combined 300mg tenofovir disoproxil fumarate, 200 mg</w:t>
      </w:r>
      <w:r w:rsidR="00B7684E">
        <w:t xml:space="preserve"> </w:t>
      </w:r>
      <w:r w:rsidR="00B7684E" w:rsidRPr="00AA78D9">
        <w:t>emtricitabine, 150 mg elvitegravir and 150 mg cobi</w:t>
      </w:r>
      <w:r w:rsidR="00B7684E">
        <w:t>cistat) tablet</w:t>
      </w:r>
      <w:r w:rsidR="009C03A7">
        <w:t>, indicated for:</w:t>
      </w:r>
    </w:p>
    <w:p w:rsidR="00B7684E" w:rsidRPr="00AA78D9" w:rsidRDefault="00B7684E" w:rsidP="00B7684E">
      <w:pPr>
        <w:ind w:left="720"/>
        <w:rPr>
          <w:i/>
        </w:rPr>
      </w:pPr>
      <w:r w:rsidRPr="00AA78D9">
        <w:rPr>
          <w:i/>
        </w:rPr>
        <w:t>Stribild is indicated as a single tablet regimen for the treatment of HIV infection in treatment-naive adults. Stribild is also indicated in certain virologically suppressed (</w:t>
      </w:r>
      <w:proofErr w:type="spellStart"/>
      <w:r w:rsidRPr="00AA78D9">
        <w:rPr>
          <w:i/>
        </w:rPr>
        <w:t>HIVl</w:t>
      </w:r>
      <w:proofErr w:type="spellEnd"/>
      <w:r w:rsidRPr="00AA78D9">
        <w:rPr>
          <w:i/>
        </w:rPr>
        <w:t xml:space="preserve"> RNA &lt; 50 copies/mL) adult patients on a stable antiretroviral regimen at start of therapy in order to replace their current antiretroviral treatment regimen (see Clinical Trials). Patients must not have a history of treatment failure or known mutations associated with resistance to the antiretroviral components of Stribild (tenofovir DF, emtricitabine or elvitegravir).</w:t>
      </w:r>
    </w:p>
    <w:p w:rsidR="00B7684E" w:rsidRPr="00D23139" w:rsidRDefault="00B7684E" w:rsidP="00B7684E">
      <w:pPr>
        <w:ind w:left="720"/>
      </w:pPr>
      <w:r w:rsidRPr="00AA78D9">
        <w:rPr>
          <w:i/>
        </w:rPr>
        <w:t xml:space="preserve">Stribild is a fixed dose combination of one integrase inhibitor, one pharmacokinetic enhancer and two </w:t>
      </w:r>
      <w:proofErr w:type="spellStart"/>
      <w:proofErr w:type="gramStart"/>
      <w:r w:rsidRPr="00AA78D9">
        <w:rPr>
          <w:i/>
        </w:rPr>
        <w:t>nucleos</w:t>
      </w:r>
      <w:proofErr w:type="spellEnd"/>
      <w:r w:rsidRPr="00AA78D9">
        <w:rPr>
          <w:i/>
        </w:rPr>
        <w:t>(</w:t>
      </w:r>
      <w:proofErr w:type="gramEnd"/>
      <w:r w:rsidRPr="00AA78D9">
        <w:rPr>
          <w:i/>
        </w:rPr>
        <w:t>t)ide HIV-I reverse transcriptase inhibitors.</w:t>
      </w:r>
    </w:p>
    <w:p w:rsidR="00D23139" w:rsidRPr="00D23139" w:rsidRDefault="00D23139" w:rsidP="00D23139">
      <w:pPr>
        <w:pStyle w:val="Heading4"/>
      </w:pPr>
      <w:r w:rsidRPr="00D23139">
        <w:lastRenderedPageBreak/>
        <w:t>Specific conditions of registration applying to these goods</w:t>
      </w:r>
    </w:p>
    <w:p w:rsidR="00AA78D9" w:rsidRPr="00AA78D9" w:rsidRDefault="00AA78D9" w:rsidP="00AA78D9">
      <w:r w:rsidRPr="00AA78D9">
        <w:t>The Stribild containing (combined 300mg tenofovir disoproxil fumarate, 200 mg</w:t>
      </w:r>
      <w:r>
        <w:t xml:space="preserve"> </w:t>
      </w:r>
      <w:r w:rsidRPr="00AA78D9">
        <w:t>emtricitabine, 150 mg elvitegravir and 150 mg cobi</w:t>
      </w:r>
      <w:r>
        <w:t xml:space="preserve">cistat) tablet, Risk Management </w:t>
      </w:r>
      <w:r w:rsidRPr="00AA78D9">
        <w:t xml:space="preserve">Plan (RMP); Version: 2.0, dated 30 June 2015, included with submission </w:t>
      </w:r>
      <w:r>
        <w:t xml:space="preserve">PM2014- </w:t>
      </w:r>
      <w:r w:rsidRPr="00AA78D9">
        <w:t>01079-1-2, and any subsequent revisions, as agreed with the TGA will be implemented in Australia.</w:t>
      </w:r>
    </w:p>
    <w:p w:rsidR="008E7846" w:rsidRDefault="00A80B5B" w:rsidP="00AA78D9">
      <w:pPr>
        <w:pStyle w:val="Heading2"/>
      </w:pPr>
      <w:bookmarkStart w:id="98" w:name="_Toc481583643"/>
      <w:proofErr w:type="gramStart"/>
      <w:r>
        <w:t>Attachment 1.</w:t>
      </w:r>
      <w:proofErr w:type="gramEnd"/>
      <w:r>
        <w:t xml:space="preserve"> </w:t>
      </w:r>
      <w:r w:rsidR="008E7846">
        <w:t xml:space="preserve">Product </w:t>
      </w:r>
      <w:r w:rsidR="00AA0ED0">
        <w:t>I</w:t>
      </w:r>
      <w:r w:rsidR="008E7846">
        <w:t>nformation</w:t>
      </w:r>
      <w:bookmarkEnd w:id="96"/>
      <w:bookmarkEnd w:id="97"/>
      <w:bookmarkEnd w:id="98"/>
    </w:p>
    <w:p w:rsidR="00C80137" w:rsidRDefault="006136D7" w:rsidP="00C80137">
      <w:pPr>
        <w:rPr>
          <w:color w:val="000000"/>
          <w:lang w:eastAsia="en-AU"/>
        </w:rPr>
      </w:pPr>
      <w:r w:rsidRPr="002B3624">
        <w:t xml:space="preserve">The </w:t>
      </w:r>
      <w:r>
        <w:t>PI</w:t>
      </w:r>
      <w:r w:rsidRPr="002B3624">
        <w:t xml:space="preserve"> for </w:t>
      </w:r>
      <w:r w:rsidR="00AA78D9" w:rsidRPr="00AA78D9">
        <w:t>Stribild</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7" w:history="1">
        <w:r w:rsidR="007C6B9B" w:rsidRPr="007C6B9B">
          <w:rPr>
            <w:rStyle w:val="Hyperlink"/>
          </w:rPr>
          <w:t>https://www.tga.gov.au/product-information-pi</w:t>
        </w:r>
      </w:hyperlink>
      <w:r w:rsidR="00B7684E">
        <w:t>&gt;.</w:t>
      </w:r>
    </w:p>
    <w:p w:rsidR="00C80137" w:rsidRDefault="00C80137" w:rsidP="00C80137">
      <w:pPr>
        <w:pStyle w:val="Heading2"/>
        <w:rPr>
          <w:lang w:eastAsia="en-AU"/>
        </w:rPr>
      </w:pPr>
      <w:bookmarkStart w:id="99" w:name="_Toc481583644"/>
      <w:proofErr w:type="gramStart"/>
      <w:r>
        <w:rPr>
          <w:lang w:eastAsia="en-AU"/>
        </w:rPr>
        <w:t>Attachment 2.</w:t>
      </w:r>
      <w:proofErr w:type="gramEnd"/>
      <w:r w:rsidR="00A80B5B">
        <w:rPr>
          <w:lang w:eastAsia="en-AU"/>
        </w:rPr>
        <w:t xml:space="preserve"> </w:t>
      </w:r>
      <w:r>
        <w:rPr>
          <w:lang w:eastAsia="en-AU"/>
        </w:rPr>
        <w:t>Extract from the Clinical Evaluation Report</w:t>
      </w:r>
      <w:bookmarkEnd w:id="99"/>
    </w:p>
    <w:p w:rsidR="00291957" w:rsidRDefault="008E7846" w:rsidP="003E4184">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2" w:history="1">
              <w:r w:rsidRPr="004C239D">
                <w:rPr>
                  <w:rStyle w:val="Hyperlink"/>
                </w:rPr>
                <w:t>info@tga.gov.au</w:t>
              </w:r>
            </w:hyperlink>
            <w:r w:rsidR="003618A7">
              <w:t xml:space="preserve"> </w:t>
            </w:r>
            <w:r w:rsidRPr="00487162">
              <w:t>Phone: 1800 020 653</w:t>
            </w:r>
            <w:r w:rsidR="003618A7">
              <w:t xml:space="preserve"> </w:t>
            </w:r>
            <w:r w:rsidRPr="00487162">
              <w:t>Fax: 02 6232 8605</w:t>
            </w:r>
          </w:p>
          <w:p w:rsidR="001C32CD" w:rsidRPr="004C239D" w:rsidRDefault="006A6FE0"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5E5" w:rsidRDefault="002745E5" w:rsidP="00C40A36">
      <w:pPr>
        <w:spacing w:after="0"/>
      </w:pPr>
      <w:r>
        <w:separator/>
      </w:r>
    </w:p>
  </w:endnote>
  <w:endnote w:type="continuationSeparator" w:id="0">
    <w:p w:rsidR="002745E5" w:rsidRDefault="002745E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745E5" w:rsidRPr="00487162" w:rsidTr="00DB750B">
      <w:trPr>
        <w:trHeight w:val="269"/>
      </w:trPr>
      <w:tc>
        <w:tcPr>
          <w:tcW w:w="7371" w:type="dxa"/>
          <w:tcMar>
            <w:top w:w="142" w:type="dxa"/>
            <w:bottom w:w="0" w:type="dxa"/>
          </w:tcMar>
        </w:tcPr>
        <w:p w:rsidR="002745E5" w:rsidRPr="00487162" w:rsidRDefault="002745E5" w:rsidP="00F64CFD">
          <w:pPr>
            <w:pStyle w:val="Footer"/>
          </w:pPr>
          <w:proofErr w:type="spellStart"/>
          <w:r w:rsidRPr="00487162">
            <w:t>AusPA</w:t>
          </w:r>
          <w:r>
            <w:t>R</w:t>
          </w:r>
          <w:proofErr w:type="spellEnd"/>
          <w:r>
            <w:t xml:space="preserve"> -  </w:t>
          </w:r>
          <w:proofErr w:type="spellStart"/>
          <w:r w:rsidR="00FD5EB2" w:rsidRPr="00FD5EB2">
            <w:t>Stribild</w:t>
          </w:r>
          <w:proofErr w:type="spellEnd"/>
          <w:r w:rsidR="00FD5EB2" w:rsidRPr="00FD5EB2">
            <w:t xml:space="preserve"> </w:t>
          </w:r>
          <w:r w:rsidRPr="00700187">
            <w:t xml:space="preserve">- </w:t>
          </w:r>
          <w:proofErr w:type="spellStart"/>
          <w:r w:rsidRPr="00700187">
            <w:t>Tenofovir</w:t>
          </w:r>
          <w:proofErr w:type="spellEnd"/>
          <w:r w:rsidRPr="00700187">
            <w:t xml:space="preserve"> </w:t>
          </w:r>
          <w:proofErr w:type="spellStart"/>
          <w:r>
            <w:t>d</w:t>
          </w:r>
          <w:r w:rsidRPr="00700187">
            <w:t>isoproxil</w:t>
          </w:r>
          <w:proofErr w:type="spellEnd"/>
          <w:r w:rsidRPr="00700187">
            <w:t xml:space="preserve"> </w:t>
          </w:r>
          <w:proofErr w:type="spellStart"/>
          <w:r>
            <w:t>f</w:t>
          </w:r>
          <w:r w:rsidRPr="00700187">
            <w:t>umarate</w:t>
          </w:r>
          <w:proofErr w:type="spellEnd"/>
          <w:r>
            <w:t xml:space="preserve"> /</w:t>
          </w:r>
          <w:r w:rsidRPr="00700187">
            <w:t xml:space="preserve"> Emtricitabine</w:t>
          </w:r>
          <w:r>
            <w:t xml:space="preserve"> /</w:t>
          </w:r>
          <w:r w:rsidRPr="00700187">
            <w:t xml:space="preserve"> Elvitegravir </w:t>
          </w:r>
          <w:r>
            <w:t>/</w:t>
          </w:r>
          <w:r w:rsidRPr="00700187">
            <w:t xml:space="preserve"> Cobicista</w:t>
          </w:r>
          <w:r>
            <w:t>t</w:t>
          </w:r>
          <w:r w:rsidRPr="00700187">
            <w:t xml:space="preserve"> - Gilead Sciences Pty Ltd - PM-2014-01079-1-2</w:t>
          </w:r>
          <w:r>
            <w:t>- Final 1 June 2017</w:t>
          </w:r>
        </w:p>
      </w:tc>
      <w:tc>
        <w:tcPr>
          <w:tcW w:w="1490" w:type="dxa"/>
          <w:tcMar>
            <w:top w:w="142" w:type="dxa"/>
            <w:bottom w:w="0" w:type="dxa"/>
          </w:tcMar>
        </w:tcPr>
        <w:p w:rsidR="002745E5" w:rsidRPr="00487162" w:rsidRDefault="002745E5" w:rsidP="00DB750B">
          <w:pPr>
            <w:pStyle w:val="Footer"/>
            <w:jc w:val="right"/>
          </w:pPr>
          <w:r w:rsidRPr="00487162">
            <w:t xml:space="preserve">Page </w:t>
          </w:r>
          <w:r>
            <w:fldChar w:fldCharType="begin"/>
          </w:r>
          <w:r>
            <w:instrText xml:space="preserve"> PAGE  \* Arabic </w:instrText>
          </w:r>
          <w:r>
            <w:fldChar w:fldCharType="separate"/>
          </w:r>
          <w:r w:rsidR="006A6FE0">
            <w:rPr>
              <w:noProof/>
            </w:rPr>
            <w:t>7</w:t>
          </w:r>
          <w:r>
            <w:fldChar w:fldCharType="end"/>
          </w:r>
          <w:r w:rsidRPr="00487162">
            <w:t xml:space="preserve"> of </w:t>
          </w:r>
          <w:fldSimple w:instr=" NUMPAGES  \* Arabic ">
            <w:r w:rsidR="006A6FE0">
              <w:rPr>
                <w:noProof/>
              </w:rPr>
              <w:t>43</w:t>
            </w:r>
          </w:fldSimple>
        </w:p>
      </w:tc>
    </w:tr>
  </w:tbl>
  <w:p w:rsidR="002745E5" w:rsidRDefault="002745E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745E5" w:rsidRPr="00487162" w:rsidTr="00E45619">
      <w:trPr>
        <w:trHeight w:val="269"/>
      </w:trPr>
      <w:tc>
        <w:tcPr>
          <w:tcW w:w="4519" w:type="dxa"/>
          <w:tcBorders>
            <w:top w:val="single" w:sz="4" w:space="0" w:color="auto"/>
          </w:tcBorders>
          <w:tcMar>
            <w:top w:w="142" w:type="dxa"/>
            <w:bottom w:w="0" w:type="dxa"/>
          </w:tcMar>
        </w:tcPr>
        <w:p w:rsidR="002745E5" w:rsidRPr="00487162" w:rsidRDefault="002745E5" w:rsidP="00FE1DEE">
          <w:pPr>
            <w:pStyle w:val="Footer"/>
          </w:pPr>
          <w:r w:rsidRPr="00487162">
            <w:t>Document title, Part #, Section # - Section title</w:t>
          </w:r>
        </w:p>
        <w:p w:rsidR="002745E5" w:rsidRPr="00487162" w:rsidRDefault="002745E5" w:rsidP="00FE1DEE">
          <w:pPr>
            <w:pStyle w:val="Footer"/>
          </w:pPr>
          <w:r w:rsidRPr="00487162">
            <w:t>V1.0 October 2010</w:t>
          </w:r>
        </w:p>
      </w:tc>
      <w:tc>
        <w:tcPr>
          <w:tcW w:w="4342" w:type="dxa"/>
          <w:tcBorders>
            <w:top w:val="single" w:sz="4" w:space="0" w:color="auto"/>
          </w:tcBorders>
          <w:tcMar>
            <w:top w:w="142" w:type="dxa"/>
            <w:bottom w:w="0" w:type="dxa"/>
          </w:tcMar>
        </w:tcPr>
        <w:p w:rsidR="002745E5" w:rsidRPr="00487162" w:rsidRDefault="002745E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43</w:t>
            </w:r>
          </w:fldSimple>
        </w:p>
      </w:tc>
    </w:tr>
  </w:tbl>
  <w:p w:rsidR="002745E5" w:rsidRDefault="002745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Pr="001C32CD" w:rsidRDefault="002745E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745E5" w:rsidTr="0010601F">
      <w:trPr>
        <w:trHeight w:val="108"/>
      </w:trPr>
      <w:tc>
        <w:tcPr>
          <w:tcW w:w="8875" w:type="dxa"/>
          <w:gridSpan w:val="2"/>
          <w:tcBorders>
            <w:bottom w:val="single" w:sz="4" w:space="0" w:color="auto"/>
          </w:tcBorders>
          <w:tcMar>
            <w:right w:w="284" w:type="dxa"/>
          </w:tcMar>
        </w:tcPr>
        <w:p w:rsidR="002745E5" w:rsidRDefault="002745E5" w:rsidP="006E08B3">
          <w:pPr>
            <w:pStyle w:val="Heading3"/>
          </w:pPr>
          <w:r>
            <w:t>Copyright</w:t>
          </w:r>
        </w:p>
        <w:p w:rsidR="002745E5" w:rsidRDefault="002745E5" w:rsidP="006E08B3">
          <w:r>
            <w:rPr>
              <w:rFonts w:cs="Arial"/>
            </w:rPr>
            <w:t>©</w:t>
          </w:r>
          <w:r>
            <w:t xml:space="preserve"> Commonwealth of Australia [add year]</w:t>
          </w:r>
        </w:p>
        <w:p w:rsidR="002745E5" w:rsidRDefault="002745E5" w:rsidP="006E08B3"/>
        <w:p w:rsidR="002745E5" w:rsidRDefault="002745E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745E5" w:rsidRDefault="002745E5" w:rsidP="006E08B3"/>
        <w:p w:rsidR="002745E5" w:rsidRDefault="002745E5" w:rsidP="006E08B3">
          <w:pPr>
            <w:pStyle w:val="Heading3"/>
          </w:pPr>
          <w:r>
            <w:t>Confidentiality</w:t>
          </w:r>
        </w:p>
        <w:p w:rsidR="002745E5" w:rsidRDefault="002745E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745E5" w:rsidRDefault="002745E5" w:rsidP="006E08B3"/>
        <w:p w:rsidR="002745E5" w:rsidRDefault="002745E5" w:rsidP="006E08B3">
          <w:r>
            <w:t>For submission made by individuals, all personal details, other than your name, will be removed from your submission before it is published on the TGA’s Internet site.</w:t>
          </w:r>
        </w:p>
        <w:p w:rsidR="002745E5" w:rsidRDefault="002745E5" w:rsidP="006E08B3"/>
        <w:p w:rsidR="002745E5" w:rsidRDefault="002745E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745E5" w:rsidTr="0010601F">
      <w:trPr>
        <w:trHeight w:val="417"/>
      </w:trPr>
      <w:tc>
        <w:tcPr>
          <w:tcW w:w="4519" w:type="dxa"/>
          <w:tcBorders>
            <w:top w:val="single" w:sz="4" w:space="0" w:color="auto"/>
          </w:tcBorders>
          <w:tcMar>
            <w:top w:w="142" w:type="dxa"/>
            <w:bottom w:w="0" w:type="dxa"/>
          </w:tcMar>
        </w:tcPr>
        <w:p w:rsidR="002745E5" w:rsidRDefault="002745E5" w:rsidP="006E08B3">
          <w:r>
            <w:t>Document title, Part #, Section # - Section title</w:t>
          </w:r>
        </w:p>
        <w:p w:rsidR="002745E5" w:rsidRDefault="002745E5" w:rsidP="006E08B3">
          <w:r>
            <w:t>V1.0 October 2010</w:t>
          </w:r>
        </w:p>
      </w:tc>
      <w:tc>
        <w:tcPr>
          <w:tcW w:w="4356" w:type="dxa"/>
          <w:tcBorders>
            <w:top w:val="single" w:sz="4" w:space="0" w:color="auto"/>
          </w:tcBorders>
          <w:tcMar>
            <w:top w:w="142" w:type="dxa"/>
            <w:bottom w:w="0" w:type="dxa"/>
          </w:tcMar>
        </w:tcPr>
        <w:p w:rsidR="002745E5" w:rsidRDefault="002745E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43</w:t>
            </w:r>
          </w:fldSimple>
          <w:r>
            <w:t xml:space="preserve">  </w:t>
          </w:r>
        </w:p>
      </w:tc>
    </w:tr>
  </w:tbl>
  <w:p w:rsidR="002745E5" w:rsidRDefault="002745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5E5" w:rsidRDefault="002745E5" w:rsidP="00C40A36">
      <w:pPr>
        <w:spacing w:after="0"/>
      </w:pPr>
      <w:r>
        <w:separator/>
      </w:r>
    </w:p>
  </w:footnote>
  <w:footnote w:type="continuationSeparator" w:id="0">
    <w:p w:rsidR="002745E5" w:rsidRDefault="002745E5" w:rsidP="00C40A36">
      <w:pPr>
        <w:spacing w:after="0"/>
      </w:pPr>
      <w:r>
        <w:continuationSeparator/>
      </w:r>
    </w:p>
  </w:footnote>
  <w:footnote w:id="1">
    <w:p w:rsidR="002745E5" w:rsidRPr="00AC4491" w:rsidRDefault="002745E5" w:rsidP="002745E5">
      <w:pPr>
        <w:pStyle w:val="FootnoteText"/>
        <w:rPr>
          <w:lang w:val="en-US"/>
        </w:rPr>
      </w:pPr>
      <w:r>
        <w:rPr>
          <w:rStyle w:val="FootnoteReference"/>
        </w:rPr>
        <w:footnoteRef/>
      </w:r>
      <w:r>
        <w:t xml:space="preserve"> </w:t>
      </w:r>
      <w:r>
        <w:rPr>
          <w:lang w:val="en-US"/>
        </w:rPr>
        <w:t xml:space="preserve">Clarification; </w:t>
      </w:r>
      <w:r w:rsidRPr="00AC4491">
        <w:t xml:space="preserve">as the </w:t>
      </w:r>
      <w:r w:rsidRPr="002745E5">
        <w:t>protocols</w:t>
      </w:r>
      <w:r w:rsidRPr="00AC4491">
        <w:t xml:space="preserve"> were not available, the sponsor </w:t>
      </w:r>
      <w:r>
        <w:t>provided</w:t>
      </w:r>
      <w:r w:rsidRPr="00AC4491">
        <w:t xml:space="preserve"> an assurance that they would be provided to TGA when </w:t>
      </w:r>
      <w:r w:rsidRPr="002745E5">
        <w:t>available</w:t>
      </w:r>
      <w:r w:rsidRPr="00AC4491">
        <w:t>.</w:t>
      </w:r>
    </w:p>
  </w:footnote>
  <w:footnote w:id="2">
    <w:p w:rsidR="002745E5" w:rsidRPr="000B03C5" w:rsidRDefault="002745E5" w:rsidP="002745E5">
      <w:pPr>
        <w:pStyle w:val="FootnoteText"/>
        <w:rPr>
          <w:lang w:val="en-US"/>
        </w:rPr>
      </w:pPr>
      <w:r>
        <w:rPr>
          <w:rStyle w:val="FootnoteReference"/>
        </w:rPr>
        <w:footnoteRef/>
      </w:r>
      <w:r>
        <w:t xml:space="preserve"> </w:t>
      </w:r>
      <w:r w:rsidRPr="00B262A2">
        <w:t>EMA/838713/2011, June 2012</w:t>
      </w:r>
      <w:r>
        <w:t xml:space="preserve"> guideline on </w:t>
      </w:r>
      <w:r w:rsidRPr="00B262A2">
        <w:t xml:space="preserve">good pharmacovigilance practices: Module V - Risk management </w:t>
      </w:r>
      <w:r w:rsidRPr="002745E5">
        <w:t>systems</w:t>
      </w:r>
      <w:r>
        <w:t>.</w:t>
      </w:r>
    </w:p>
  </w:footnote>
  <w:footnote w:id="3">
    <w:p w:rsidR="002745E5" w:rsidRPr="00AC4491" w:rsidRDefault="002745E5" w:rsidP="000B4DED">
      <w:pPr>
        <w:pStyle w:val="FootnoteText"/>
        <w:rPr>
          <w:lang w:val="en-US"/>
        </w:rPr>
      </w:pPr>
      <w:r>
        <w:rPr>
          <w:rStyle w:val="FootnoteReference"/>
        </w:rPr>
        <w:footnoteRef/>
      </w:r>
      <w:r>
        <w:t xml:space="preserve"> </w:t>
      </w:r>
      <w:r>
        <w:rPr>
          <w:lang w:val="en-US"/>
        </w:rPr>
        <w:t>ACPM considered the submission PM-2013-01524-1-2 for extension of indications of Eviplera in April 2014</w:t>
      </w:r>
    </w:p>
  </w:footnote>
  <w:footnote w:id="4">
    <w:p w:rsidR="002745E5" w:rsidRPr="00CC0642" w:rsidRDefault="002745E5">
      <w:pPr>
        <w:pStyle w:val="FootnoteText"/>
        <w:rPr>
          <w:lang w:val="en-US"/>
        </w:rPr>
      </w:pPr>
      <w:r>
        <w:rPr>
          <w:rStyle w:val="FootnoteReference"/>
        </w:rPr>
        <w:footnoteRef/>
      </w:r>
      <w:r>
        <w:t xml:space="preserve"> </w:t>
      </w:r>
      <w:r>
        <w:rPr>
          <w:lang w:val="en-US"/>
        </w:rPr>
        <w:t xml:space="preserve">NRTI = </w:t>
      </w:r>
      <w:r>
        <w:t>nucleoside or nucleotide reverse transcriptase inhibitor</w:t>
      </w:r>
    </w:p>
  </w:footnote>
  <w:footnote w:id="5">
    <w:p w:rsidR="002745E5" w:rsidRPr="00BB4A75" w:rsidRDefault="002745E5" w:rsidP="000B4DED">
      <w:pPr>
        <w:pStyle w:val="FootnoteText"/>
        <w:rPr>
          <w:rStyle w:val="FootnoteTextChar"/>
        </w:rPr>
      </w:pPr>
      <w:r>
        <w:rPr>
          <w:rStyle w:val="FootnoteReference"/>
        </w:rPr>
        <w:footnoteRef/>
      </w:r>
      <w:r>
        <w:t xml:space="preserve"> </w:t>
      </w:r>
      <w:proofErr w:type="gramStart"/>
      <w:r w:rsidRPr="00BB4A75">
        <w:rPr>
          <w:rStyle w:val="FootnoteTextChar"/>
        </w:rPr>
        <w:t>Guidelines for the Use of Antiretroviral Agents in HIV-1-Infected Adults and Adolescents.</w:t>
      </w:r>
      <w:proofErr w:type="gramEnd"/>
      <w:r w:rsidRPr="00BB4A75">
        <w:rPr>
          <w:rStyle w:val="FootnoteTextChar"/>
        </w:rPr>
        <w:t xml:space="preserve"> </w:t>
      </w:r>
      <w:proofErr w:type="gramStart"/>
      <w:r w:rsidRPr="00BB4A75">
        <w:rPr>
          <w:rStyle w:val="FootnoteTextChar"/>
        </w:rPr>
        <w:t>Revised April 8 2015.</w:t>
      </w:r>
      <w:proofErr w:type="gramEnd"/>
      <w:r w:rsidRPr="00BB4A75">
        <w:rPr>
          <w:rStyle w:val="FootnoteTextChar"/>
        </w:rPr>
        <w:t xml:space="preserve"> Available at: http://aidsinfo.nih.gov/guidelines/html/1/adult-and-adolescent-treatment-guidelines/0</w:t>
      </w:r>
    </w:p>
  </w:footnote>
  <w:footnote w:id="6">
    <w:p w:rsidR="002745E5" w:rsidRPr="00BB4A75" w:rsidRDefault="002745E5" w:rsidP="00BB4A75">
      <w:pPr>
        <w:pStyle w:val="FootnoteText"/>
      </w:pPr>
      <w:r>
        <w:rPr>
          <w:rStyle w:val="FootnoteReference"/>
        </w:rPr>
        <w:footnoteRef/>
      </w:r>
      <w:r>
        <w:t xml:space="preserve"> </w:t>
      </w:r>
      <w:proofErr w:type="gramStart"/>
      <w:r w:rsidRPr="00BB4A75">
        <w:t>Williams I</w:t>
      </w:r>
      <w:r>
        <w:t xml:space="preserve"> </w:t>
      </w:r>
      <w:r w:rsidRPr="00BB4A75">
        <w:t>et al. British HIV Association guidelines for the treatment of HIV-1-positive adults</w:t>
      </w:r>
      <w:r>
        <w:t xml:space="preserve"> </w:t>
      </w:r>
      <w:r w:rsidRPr="00BB4A75">
        <w:t>with antiretroviral therapy 2012 (Updated November 2013.</w:t>
      </w:r>
      <w:proofErr w:type="gramEnd"/>
      <w:r w:rsidRPr="00BB4A75">
        <w:t xml:space="preserve"> All changed text is cast in yellow highlight.). </w:t>
      </w:r>
      <w:r w:rsidRPr="00BB4A75">
        <w:rPr>
          <w:i/>
        </w:rPr>
        <w:t>HIV Med</w:t>
      </w:r>
      <w:r w:rsidRPr="00BB4A75">
        <w:t xml:space="preserve"> 2014</w:t>
      </w:r>
      <w:proofErr w:type="gramStart"/>
      <w:r w:rsidRPr="00BB4A75">
        <w:t>;15</w:t>
      </w:r>
      <w:proofErr w:type="gramEnd"/>
      <w:r w:rsidRPr="00BB4A75">
        <w:t xml:space="preserve"> </w:t>
      </w:r>
      <w:proofErr w:type="spellStart"/>
      <w:r w:rsidRPr="00BB4A75">
        <w:t>Suppl</w:t>
      </w:r>
      <w:proofErr w:type="spellEnd"/>
      <w:r w:rsidRPr="00BB4A75">
        <w:t xml:space="preserve"> 1:1-85.</w:t>
      </w:r>
    </w:p>
  </w:footnote>
  <w:footnote w:id="7">
    <w:p w:rsidR="002745E5" w:rsidRPr="00BB4A75" w:rsidRDefault="002745E5" w:rsidP="000B4DED">
      <w:pPr>
        <w:pStyle w:val="FootnoteText"/>
        <w:rPr>
          <w:lang w:val="en-US"/>
        </w:rPr>
      </w:pPr>
      <w:r>
        <w:rPr>
          <w:rStyle w:val="FootnoteReference"/>
        </w:rPr>
        <w:footnoteRef/>
      </w:r>
      <w:r>
        <w:t xml:space="preserve"> </w:t>
      </w:r>
      <w:r w:rsidRPr="00BB4A75">
        <w:t xml:space="preserve">European AIDS Clinical Society (EACS). </w:t>
      </w:r>
      <w:proofErr w:type="gramStart"/>
      <w:r w:rsidRPr="00BB4A75">
        <w:t>Guidelines.</w:t>
      </w:r>
      <w:proofErr w:type="gramEnd"/>
      <w:r w:rsidRPr="00BB4A75">
        <w:t xml:space="preserve"> </w:t>
      </w:r>
      <w:proofErr w:type="gramStart"/>
      <w:r w:rsidRPr="00BB4A75">
        <w:t>Version 7.1.</w:t>
      </w:r>
      <w:proofErr w:type="gramEnd"/>
      <w:r w:rsidRPr="00BB4A75">
        <w:t xml:space="preserve">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pPr>
      <w:rPr>
        <w:noProof/>
        <w:lang w:eastAsia="en-AU"/>
      </w:rPr>
    </w:pPr>
    <w:r w:rsidRPr="00347824">
      <w:rPr>
        <w:noProof/>
        <w:lang w:eastAsia="en-AU"/>
      </w:rPr>
      <w:drawing>
        <wp:anchor distT="0" distB="0" distL="114300" distR="114300" simplePos="0" relativeHeight="251659264" behindDoc="1" locked="0" layoutInCell="1" allowOverlap="1" wp14:anchorId="384131E5" wp14:editId="3823E6F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745E5" w:rsidRDefault="002745E5" w:rsidP="00593AD1">
    <w:pPr>
      <w:pStyle w:val="HeaderNoLine"/>
    </w:pPr>
    <w:r>
      <w:rPr>
        <w:noProof/>
        <w:lang w:eastAsia="en-AU"/>
      </w:rPr>
      <w:drawing>
        <wp:inline distT="0" distB="0" distL="0" distR="0" wp14:anchorId="545FBA10" wp14:editId="7771E415">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E5" w:rsidRDefault="002745E5" w:rsidP="006E08B3">
    <w:r>
      <w:t>Therapeutic Goods Administration</w:t>
    </w:r>
  </w:p>
  <w:p w:rsidR="002745E5" w:rsidRDefault="002745E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C41C28"/>
    <w:lvl w:ilvl="0">
      <w:start w:val="1"/>
      <w:numFmt w:val="decimal"/>
      <w:lvlText w:val="%1."/>
      <w:lvlJc w:val="left"/>
      <w:pPr>
        <w:tabs>
          <w:tab w:val="num" w:pos="1492"/>
        </w:tabs>
        <w:ind w:left="1492" w:hanging="360"/>
      </w:pPr>
    </w:lvl>
  </w:abstractNum>
  <w:abstractNum w:abstractNumId="1">
    <w:nsid w:val="FFFFFF7D"/>
    <w:multiLevelType w:val="singleLevel"/>
    <w:tmpl w:val="8746F800"/>
    <w:lvl w:ilvl="0">
      <w:start w:val="1"/>
      <w:numFmt w:val="decimal"/>
      <w:lvlText w:val="%1."/>
      <w:lvlJc w:val="left"/>
      <w:pPr>
        <w:tabs>
          <w:tab w:val="num" w:pos="1209"/>
        </w:tabs>
        <w:ind w:left="1209" w:hanging="360"/>
      </w:pPr>
    </w:lvl>
  </w:abstractNum>
  <w:abstractNum w:abstractNumId="2">
    <w:nsid w:val="FFFFFF7E"/>
    <w:multiLevelType w:val="singleLevel"/>
    <w:tmpl w:val="AC561408"/>
    <w:lvl w:ilvl="0">
      <w:start w:val="1"/>
      <w:numFmt w:val="decimal"/>
      <w:lvlText w:val="%1."/>
      <w:lvlJc w:val="left"/>
      <w:pPr>
        <w:tabs>
          <w:tab w:val="num" w:pos="926"/>
        </w:tabs>
        <w:ind w:left="926" w:hanging="360"/>
      </w:pPr>
    </w:lvl>
  </w:abstractNum>
  <w:abstractNum w:abstractNumId="3">
    <w:nsid w:val="FFFFFF7F"/>
    <w:multiLevelType w:val="singleLevel"/>
    <w:tmpl w:val="580AE722"/>
    <w:lvl w:ilvl="0">
      <w:start w:val="1"/>
      <w:numFmt w:val="decimal"/>
      <w:lvlText w:val="%1."/>
      <w:lvlJc w:val="left"/>
      <w:pPr>
        <w:tabs>
          <w:tab w:val="num" w:pos="643"/>
        </w:tabs>
        <w:ind w:left="643" w:hanging="360"/>
      </w:pPr>
    </w:lvl>
  </w:abstractNum>
  <w:abstractNum w:abstractNumId="4">
    <w:nsid w:val="FFFFFF80"/>
    <w:multiLevelType w:val="singleLevel"/>
    <w:tmpl w:val="508EC7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981B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3AF2A94C"/>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A4B4370"/>
    <w:multiLevelType w:val="hybridMultilevel"/>
    <w:tmpl w:val="A07E7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3"/>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274"/>
    <w:rsid w:val="00002031"/>
    <w:rsid w:val="00004734"/>
    <w:rsid w:val="00006B22"/>
    <w:rsid w:val="0001276A"/>
    <w:rsid w:val="000246AE"/>
    <w:rsid w:val="00025C67"/>
    <w:rsid w:val="000344FE"/>
    <w:rsid w:val="000356F4"/>
    <w:rsid w:val="00044772"/>
    <w:rsid w:val="00045AB5"/>
    <w:rsid w:val="0005559E"/>
    <w:rsid w:val="000604D6"/>
    <w:rsid w:val="000734D8"/>
    <w:rsid w:val="00077775"/>
    <w:rsid w:val="00080CEB"/>
    <w:rsid w:val="00090471"/>
    <w:rsid w:val="00096AA7"/>
    <w:rsid w:val="000A3AED"/>
    <w:rsid w:val="000B03C5"/>
    <w:rsid w:val="000B3532"/>
    <w:rsid w:val="000B3A75"/>
    <w:rsid w:val="000B4DED"/>
    <w:rsid w:val="000C00C2"/>
    <w:rsid w:val="000C5877"/>
    <w:rsid w:val="000C690F"/>
    <w:rsid w:val="000D1295"/>
    <w:rsid w:val="000D391B"/>
    <w:rsid w:val="000D3D6D"/>
    <w:rsid w:val="000D4FC7"/>
    <w:rsid w:val="000E6196"/>
    <w:rsid w:val="000F4351"/>
    <w:rsid w:val="000F4869"/>
    <w:rsid w:val="000F5B42"/>
    <w:rsid w:val="000F6E6F"/>
    <w:rsid w:val="0010601F"/>
    <w:rsid w:val="0010788A"/>
    <w:rsid w:val="00107A31"/>
    <w:rsid w:val="00110EA5"/>
    <w:rsid w:val="00112F56"/>
    <w:rsid w:val="00125318"/>
    <w:rsid w:val="001305A2"/>
    <w:rsid w:val="00133238"/>
    <w:rsid w:val="00133A1B"/>
    <w:rsid w:val="0014197B"/>
    <w:rsid w:val="001447CD"/>
    <w:rsid w:val="001516B1"/>
    <w:rsid w:val="00153944"/>
    <w:rsid w:val="00154EBB"/>
    <w:rsid w:val="00156316"/>
    <w:rsid w:val="00161181"/>
    <w:rsid w:val="00162D14"/>
    <w:rsid w:val="00165389"/>
    <w:rsid w:val="0017693F"/>
    <w:rsid w:val="0018110E"/>
    <w:rsid w:val="00181684"/>
    <w:rsid w:val="001843C6"/>
    <w:rsid w:val="001850E0"/>
    <w:rsid w:val="001A2158"/>
    <w:rsid w:val="001A525F"/>
    <w:rsid w:val="001B09F9"/>
    <w:rsid w:val="001B5C90"/>
    <w:rsid w:val="001B6448"/>
    <w:rsid w:val="001C32CD"/>
    <w:rsid w:val="001C6431"/>
    <w:rsid w:val="001D2984"/>
    <w:rsid w:val="001D5999"/>
    <w:rsid w:val="001E07CF"/>
    <w:rsid w:val="001E1A9C"/>
    <w:rsid w:val="001E59F1"/>
    <w:rsid w:val="001F2CEE"/>
    <w:rsid w:val="001F49EB"/>
    <w:rsid w:val="001F6CBA"/>
    <w:rsid w:val="00201D4E"/>
    <w:rsid w:val="002076C9"/>
    <w:rsid w:val="00220B8A"/>
    <w:rsid w:val="002257F3"/>
    <w:rsid w:val="00233456"/>
    <w:rsid w:val="002339A5"/>
    <w:rsid w:val="00257848"/>
    <w:rsid w:val="00262489"/>
    <w:rsid w:val="0027084A"/>
    <w:rsid w:val="00270C73"/>
    <w:rsid w:val="002745E5"/>
    <w:rsid w:val="00286434"/>
    <w:rsid w:val="00286C59"/>
    <w:rsid w:val="00291957"/>
    <w:rsid w:val="002942D1"/>
    <w:rsid w:val="0029501A"/>
    <w:rsid w:val="002A2068"/>
    <w:rsid w:val="002A3721"/>
    <w:rsid w:val="002B1638"/>
    <w:rsid w:val="002B3624"/>
    <w:rsid w:val="002C3353"/>
    <w:rsid w:val="002D0952"/>
    <w:rsid w:val="002D398A"/>
    <w:rsid w:val="002D70C7"/>
    <w:rsid w:val="002D77B6"/>
    <w:rsid w:val="002E0F83"/>
    <w:rsid w:val="002E40B3"/>
    <w:rsid w:val="002E4C9A"/>
    <w:rsid w:val="002F11F8"/>
    <w:rsid w:val="002F3F56"/>
    <w:rsid w:val="002F44B5"/>
    <w:rsid w:val="00307AB6"/>
    <w:rsid w:val="00311AC0"/>
    <w:rsid w:val="00311DDE"/>
    <w:rsid w:val="003176FC"/>
    <w:rsid w:val="0032583B"/>
    <w:rsid w:val="00327883"/>
    <w:rsid w:val="00327F6D"/>
    <w:rsid w:val="003352BE"/>
    <w:rsid w:val="00335504"/>
    <w:rsid w:val="00340C18"/>
    <w:rsid w:val="003442FD"/>
    <w:rsid w:val="00347824"/>
    <w:rsid w:val="00350567"/>
    <w:rsid w:val="003521E8"/>
    <w:rsid w:val="003618A7"/>
    <w:rsid w:val="00370CE3"/>
    <w:rsid w:val="003728F3"/>
    <w:rsid w:val="0037496E"/>
    <w:rsid w:val="00383221"/>
    <w:rsid w:val="0038498C"/>
    <w:rsid w:val="00386150"/>
    <w:rsid w:val="003874CE"/>
    <w:rsid w:val="00390900"/>
    <w:rsid w:val="003A7F6C"/>
    <w:rsid w:val="003B0499"/>
    <w:rsid w:val="003B4D60"/>
    <w:rsid w:val="003B7E39"/>
    <w:rsid w:val="003C58DC"/>
    <w:rsid w:val="003D1E62"/>
    <w:rsid w:val="003D3D39"/>
    <w:rsid w:val="003E0B99"/>
    <w:rsid w:val="003E2486"/>
    <w:rsid w:val="003E3208"/>
    <w:rsid w:val="003E4184"/>
    <w:rsid w:val="003F0B04"/>
    <w:rsid w:val="0040134E"/>
    <w:rsid w:val="004334C7"/>
    <w:rsid w:val="00433AE0"/>
    <w:rsid w:val="00440A2D"/>
    <w:rsid w:val="00441C3F"/>
    <w:rsid w:val="004564A7"/>
    <w:rsid w:val="004617BF"/>
    <w:rsid w:val="00463658"/>
    <w:rsid w:val="004637A0"/>
    <w:rsid w:val="004722CC"/>
    <w:rsid w:val="00475F75"/>
    <w:rsid w:val="004903A6"/>
    <w:rsid w:val="004936E4"/>
    <w:rsid w:val="00494E60"/>
    <w:rsid w:val="00497487"/>
    <w:rsid w:val="004A1C0D"/>
    <w:rsid w:val="004A6189"/>
    <w:rsid w:val="004A7390"/>
    <w:rsid w:val="004B7B76"/>
    <w:rsid w:val="004C239D"/>
    <w:rsid w:val="004C2DCA"/>
    <w:rsid w:val="004C61D2"/>
    <w:rsid w:val="004D31C3"/>
    <w:rsid w:val="004F0C4A"/>
    <w:rsid w:val="004F0F38"/>
    <w:rsid w:val="004F47D6"/>
    <w:rsid w:val="00501921"/>
    <w:rsid w:val="00510505"/>
    <w:rsid w:val="00521B3B"/>
    <w:rsid w:val="00530354"/>
    <w:rsid w:val="0053625B"/>
    <w:rsid w:val="005434C6"/>
    <w:rsid w:val="00543B39"/>
    <w:rsid w:val="00546154"/>
    <w:rsid w:val="00546899"/>
    <w:rsid w:val="00550096"/>
    <w:rsid w:val="005544A7"/>
    <w:rsid w:val="00555280"/>
    <w:rsid w:val="00557FF9"/>
    <w:rsid w:val="00562327"/>
    <w:rsid w:val="005711D5"/>
    <w:rsid w:val="00576378"/>
    <w:rsid w:val="00577130"/>
    <w:rsid w:val="00577945"/>
    <w:rsid w:val="00577E38"/>
    <w:rsid w:val="00585322"/>
    <w:rsid w:val="005857C6"/>
    <w:rsid w:val="00592F6E"/>
    <w:rsid w:val="00593AD1"/>
    <w:rsid w:val="005A68B6"/>
    <w:rsid w:val="005C3394"/>
    <w:rsid w:val="005C5570"/>
    <w:rsid w:val="005C79A4"/>
    <w:rsid w:val="005D5442"/>
    <w:rsid w:val="005D7670"/>
    <w:rsid w:val="005E556E"/>
    <w:rsid w:val="00603F32"/>
    <w:rsid w:val="00605AD4"/>
    <w:rsid w:val="006136D7"/>
    <w:rsid w:val="00613FBC"/>
    <w:rsid w:val="00625A6E"/>
    <w:rsid w:val="00630274"/>
    <w:rsid w:val="006321CD"/>
    <w:rsid w:val="00632398"/>
    <w:rsid w:val="00640FC3"/>
    <w:rsid w:val="00642020"/>
    <w:rsid w:val="0065337B"/>
    <w:rsid w:val="0065419D"/>
    <w:rsid w:val="006542FF"/>
    <w:rsid w:val="006604D8"/>
    <w:rsid w:val="00662616"/>
    <w:rsid w:val="00664A5B"/>
    <w:rsid w:val="00666BA6"/>
    <w:rsid w:val="0066735C"/>
    <w:rsid w:val="006745A0"/>
    <w:rsid w:val="0067477B"/>
    <w:rsid w:val="006763D2"/>
    <w:rsid w:val="00680C08"/>
    <w:rsid w:val="006916A0"/>
    <w:rsid w:val="006931B1"/>
    <w:rsid w:val="00697625"/>
    <w:rsid w:val="006A15C0"/>
    <w:rsid w:val="006A6FE0"/>
    <w:rsid w:val="006B4CEB"/>
    <w:rsid w:val="006C3E2A"/>
    <w:rsid w:val="006C642F"/>
    <w:rsid w:val="006D03E5"/>
    <w:rsid w:val="006D5D3E"/>
    <w:rsid w:val="006E08B3"/>
    <w:rsid w:val="006F17AC"/>
    <w:rsid w:val="006F25B8"/>
    <w:rsid w:val="006F572E"/>
    <w:rsid w:val="00700187"/>
    <w:rsid w:val="007046D6"/>
    <w:rsid w:val="00705DB0"/>
    <w:rsid w:val="00710DBD"/>
    <w:rsid w:val="00713377"/>
    <w:rsid w:val="00722B57"/>
    <w:rsid w:val="00723D50"/>
    <w:rsid w:val="00726EEE"/>
    <w:rsid w:val="00730A0C"/>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57C9"/>
    <w:rsid w:val="007B058F"/>
    <w:rsid w:val="007B6132"/>
    <w:rsid w:val="007B6E9F"/>
    <w:rsid w:val="007C1216"/>
    <w:rsid w:val="007C1AF7"/>
    <w:rsid w:val="007C6B9B"/>
    <w:rsid w:val="00805D27"/>
    <w:rsid w:val="00806DCB"/>
    <w:rsid w:val="00821776"/>
    <w:rsid w:val="008321F5"/>
    <w:rsid w:val="00832369"/>
    <w:rsid w:val="00834660"/>
    <w:rsid w:val="00836BC2"/>
    <w:rsid w:val="0085156D"/>
    <w:rsid w:val="0085641B"/>
    <w:rsid w:val="00857136"/>
    <w:rsid w:val="00875A6B"/>
    <w:rsid w:val="00885B11"/>
    <w:rsid w:val="00886D15"/>
    <w:rsid w:val="00887DD8"/>
    <w:rsid w:val="00891BA9"/>
    <w:rsid w:val="00892831"/>
    <w:rsid w:val="00896018"/>
    <w:rsid w:val="008960DD"/>
    <w:rsid w:val="0089635C"/>
    <w:rsid w:val="008A2B9D"/>
    <w:rsid w:val="008A3D9F"/>
    <w:rsid w:val="008A5E0B"/>
    <w:rsid w:val="008A6D59"/>
    <w:rsid w:val="008B013F"/>
    <w:rsid w:val="008B4B03"/>
    <w:rsid w:val="008B596F"/>
    <w:rsid w:val="008C159F"/>
    <w:rsid w:val="008C1623"/>
    <w:rsid w:val="008C1850"/>
    <w:rsid w:val="008C51A9"/>
    <w:rsid w:val="008E3340"/>
    <w:rsid w:val="008E7846"/>
    <w:rsid w:val="008F02E5"/>
    <w:rsid w:val="008F1CCC"/>
    <w:rsid w:val="008F2967"/>
    <w:rsid w:val="008F6943"/>
    <w:rsid w:val="00902A21"/>
    <w:rsid w:val="00904F26"/>
    <w:rsid w:val="0091625D"/>
    <w:rsid w:val="00920330"/>
    <w:rsid w:val="009219D7"/>
    <w:rsid w:val="00922D53"/>
    <w:rsid w:val="00923B70"/>
    <w:rsid w:val="00924482"/>
    <w:rsid w:val="00930237"/>
    <w:rsid w:val="00937C17"/>
    <w:rsid w:val="00940A89"/>
    <w:rsid w:val="00946EA5"/>
    <w:rsid w:val="00963575"/>
    <w:rsid w:val="00963C08"/>
    <w:rsid w:val="00972824"/>
    <w:rsid w:val="009744ED"/>
    <w:rsid w:val="009752A5"/>
    <w:rsid w:val="0098585A"/>
    <w:rsid w:val="009A4CED"/>
    <w:rsid w:val="009A5E39"/>
    <w:rsid w:val="009A690D"/>
    <w:rsid w:val="009B1D12"/>
    <w:rsid w:val="009B416B"/>
    <w:rsid w:val="009C03A7"/>
    <w:rsid w:val="009C1C38"/>
    <w:rsid w:val="009C4BD5"/>
    <w:rsid w:val="009D7B77"/>
    <w:rsid w:val="009E0BB0"/>
    <w:rsid w:val="009E3FBB"/>
    <w:rsid w:val="009F7353"/>
    <w:rsid w:val="00A04F85"/>
    <w:rsid w:val="00A05FA4"/>
    <w:rsid w:val="00A102E4"/>
    <w:rsid w:val="00A12C42"/>
    <w:rsid w:val="00A14DF7"/>
    <w:rsid w:val="00A156AE"/>
    <w:rsid w:val="00A3246D"/>
    <w:rsid w:val="00A36FA7"/>
    <w:rsid w:val="00A37BE7"/>
    <w:rsid w:val="00A44DDB"/>
    <w:rsid w:val="00A475B7"/>
    <w:rsid w:val="00A47AF7"/>
    <w:rsid w:val="00A47C3E"/>
    <w:rsid w:val="00A50226"/>
    <w:rsid w:val="00A60BAD"/>
    <w:rsid w:val="00A75018"/>
    <w:rsid w:val="00A777C1"/>
    <w:rsid w:val="00A80B5B"/>
    <w:rsid w:val="00A84E36"/>
    <w:rsid w:val="00A964D1"/>
    <w:rsid w:val="00AA0ED0"/>
    <w:rsid w:val="00AA78D9"/>
    <w:rsid w:val="00AB270C"/>
    <w:rsid w:val="00AC2B40"/>
    <w:rsid w:val="00AC2BB2"/>
    <w:rsid w:val="00AC2C3C"/>
    <w:rsid w:val="00AC4491"/>
    <w:rsid w:val="00AC512D"/>
    <w:rsid w:val="00AD0083"/>
    <w:rsid w:val="00AD3935"/>
    <w:rsid w:val="00AE4D8E"/>
    <w:rsid w:val="00AE65EB"/>
    <w:rsid w:val="00AE67A7"/>
    <w:rsid w:val="00AF1D94"/>
    <w:rsid w:val="00AF5B22"/>
    <w:rsid w:val="00AF60C5"/>
    <w:rsid w:val="00B009C6"/>
    <w:rsid w:val="00B01548"/>
    <w:rsid w:val="00B13EBD"/>
    <w:rsid w:val="00B21D29"/>
    <w:rsid w:val="00B25034"/>
    <w:rsid w:val="00B262A2"/>
    <w:rsid w:val="00B33588"/>
    <w:rsid w:val="00B33863"/>
    <w:rsid w:val="00B37D17"/>
    <w:rsid w:val="00B4175E"/>
    <w:rsid w:val="00B452CE"/>
    <w:rsid w:val="00B54C25"/>
    <w:rsid w:val="00B722D8"/>
    <w:rsid w:val="00B7684E"/>
    <w:rsid w:val="00B76B91"/>
    <w:rsid w:val="00B77EB1"/>
    <w:rsid w:val="00B811C6"/>
    <w:rsid w:val="00B855B0"/>
    <w:rsid w:val="00B918B1"/>
    <w:rsid w:val="00B92E08"/>
    <w:rsid w:val="00BB4A75"/>
    <w:rsid w:val="00BC622A"/>
    <w:rsid w:val="00BD23EF"/>
    <w:rsid w:val="00BE0A78"/>
    <w:rsid w:val="00BE6284"/>
    <w:rsid w:val="00BE79F0"/>
    <w:rsid w:val="00BF046D"/>
    <w:rsid w:val="00BF1190"/>
    <w:rsid w:val="00BF2C90"/>
    <w:rsid w:val="00BF5D04"/>
    <w:rsid w:val="00C009AA"/>
    <w:rsid w:val="00C115F1"/>
    <w:rsid w:val="00C1164D"/>
    <w:rsid w:val="00C16861"/>
    <w:rsid w:val="00C24354"/>
    <w:rsid w:val="00C2582B"/>
    <w:rsid w:val="00C346AB"/>
    <w:rsid w:val="00C404A6"/>
    <w:rsid w:val="00C40A36"/>
    <w:rsid w:val="00C44419"/>
    <w:rsid w:val="00C45E7B"/>
    <w:rsid w:val="00C471B1"/>
    <w:rsid w:val="00C6316B"/>
    <w:rsid w:val="00C634A9"/>
    <w:rsid w:val="00C64586"/>
    <w:rsid w:val="00C70D53"/>
    <w:rsid w:val="00C73D0B"/>
    <w:rsid w:val="00C74680"/>
    <w:rsid w:val="00C772FF"/>
    <w:rsid w:val="00C80137"/>
    <w:rsid w:val="00C801AF"/>
    <w:rsid w:val="00C80256"/>
    <w:rsid w:val="00C94CD4"/>
    <w:rsid w:val="00C9747E"/>
    <w:rsid w:val="00CB6BC0"/>
    <w:rsid w:val="00CC0642"/>
    <w:rsid w:val="00CC1B7C"/>
    <w:rsid w:val="00CC727F"/>
    <w:rsid w:val="00CD07B8"/>
    <w:rsid w:val="00CE56E6"/>
    <w:rsid w:val="00CF15C3"/>
    <w:rsid w:val="00CF2B6F"/>
    <w:rsid w:val="00CF2F3E"/>
    <w:rsid w:val="00CF58B6"/>
    <w:rsid w:val="00D0062D"/>
    <w:rsid w:val="00D017ED"/>
    <w:rsid w:val="00D040D3"/>
    <w:rsid w:val="00D04C65"/>
    <w:rsid w:val="00D201D2"/>
    <w:rsid w:val="00D224FE"/>
    <w:rsid w:val="00D23139"/>
    <w:rsid w:val="00D425BB"/>
    <w:rsid w:val="00D6493E"/>
    <w:rsid w:val="00D7195D"/>
    <w:rsid w:val="00D7301E"/>
    <w:rsid w:val="00D83AE1"/>
    <w:rsid w:val="00D855D4"/>
    <w:rsid w:val="00D902C9"/>
    <w:rsid w:val="00D93466"/>
    <w:rsid w:val="00DA1124"/>
    <w:rsid w:val="00DB57F6"/>
    <w:rsid w:val="00DB6124"/>
    <w:rsid w:val="00DB750B"/>
    <w:rsid w:val="00DB75B7"/>
    <w:rsid w:val="00DC3859"/>
    <w:rsid w:val="00DC6E02"/>
    <w:rsid w:val="00DD28CD"/>
    <w:rsid w:val="00DD2A45"/>
    <w:rsid w:val="00DD6AEF"/>
    <w:rsid w:val="00DE02AE"/>
    <w:rsid w:val="00DE3F11"/>
    <w:rsid w:val="00DF1D7F"/>
    <w:rsid w:val="00DF4BE4"/>
    <w:rsid w:val="00E02FB4"/>
    <w:rsid w:val="00E13FC7"/>
    <w:rsid w:val="00E20571"/>
    <w:rsid w:val="00E22646"/>
    <w:rsid w:val="00E235F7"/>
    <w:rsid w:val="00E23659"/>
    <w:rsid w:val="00E239D4"/>
    <w:rsid w:val="00E26130"/>
    <w:rsid w:val="00E337D5"/>
    <w:rsid w:val="00E36CFC"/>
    <w:rsid w:val="00E40B22"/>
    <w:rsid w:val="00E44ED1"/>
    <w:rsid w:val="00E45619"/>
    <w:rsid w:val="00E4588F"/>
    <w:rsid w:val="00E46DA3"/>
    <w:rsid w:val="00E51BB1"/>
    <w:rsid w:val="00E624A5"/>
    <w:rsid w:val="00E64BA4"/>
    <w:rsid w:val="00E677EF"/>
    <w:rsid w:val="00E7344E"/>
    <w:rsid w:val="00E76712"/>
    <w:rsid w:val="00E82665"/>
    <w:rsid w:val="00EB0798"/>
    <w:rsid w:val="00EB40AD"/>
    <w:rsid w:val="00EB586E"/>
    <w:rsid w:val="00EB5FC8"/>
    <w:rsid w:val="00EC463D"/>
    <w:rsid w:val="00EC7A85"/>
    <w:rsid w:val="00ED2922"/>
    <w:rsid w:val="00ED3CAD"/>
    <w:rsid w:val="00ED5A41"/>
    <w:rsid w:val="00EE1DE8"/>
    <w:rsid w:val="00EE27C2"/>
    <w:rsid w:val="00EF0B81"/>
    <w:rsid w:val="00EF4BAD"/>
    <w:rsid w:val="00EF59DC"/>
    <w:rsid w:val="00EF5F47"/>
    <w:rsid w:val="00F033EC"/>
    <w:rsid w:val="00F04F68"/>
    <w:rsid w:val="00F12670"/>
    <w:rsid w:val="00F14B27"/>
    <w:rsid w:val="00F24BC2"/>
    <w:rsid w:val="00F3148D"/>
    <w:rsid w:val="00F325C5"/>
    <w:rsid w:val="00F32FE0"/>
    <w:rsid w:val="00F35298"/>
    <w:rsid w:val="00F47333"/>
    <w:rsid w:val="00F47E37"/>
    <w:rsid w:val="00F53C07"/>
    <w:rsid w:val="00F54B65"/>
    <w:rsid w:val="00F61B50"/>
    <w:rsid w:val="00F640B6"/>
    <w:rsid w:val="00F64CFD"/>
    <w:rsid w:val="00F66DF2"/>
    <w:rsid w:val="00F80E40"/>
    <w:rsid w:val="00F848D9"/>
    <w:rsid w:val="00FA5B82"/>
    <w:rsid w:val="00FA639E"/>
    <w:rsid w:val="00FC1FCA"/>
    <w:rsid w:val="00FC25E4"/>
    <w:rsid w:val="00FC4EF7"/>
    <w:rsid w:val="00FD0824"/>
    <w:rsid w:val="00FD119B"/>
    <w:rsid w:val="00FD1EDC"/>
    <w:rsid w:val="00FD55E0"/>
    <w:rsid w:val="00FD5EB2"/>
    <w:rsid w:val="00FE1DEE"/>
    <w:rsid w:val="00FF2126"/>
    <w:rsid w:val="00FF512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1337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7671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4D31C3"/>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6321CD"/>
    <w:pPr>
      <w:ind w:left="720"/>
      <w:contextualSpacing/>
    </w:pPr>
  </w:style>
  <w:style w:type="character" w:styleId="SubtleReference">
    <w:name w:val="Subtle Reference"/>
    <w:basedOn w:val="DefaultParagraphFont"/>
    <w:uiPriority w:val="31"/>
    <w:rsid w:val="00DD6AEF"/>
    <w:rPr>
      <w:smallCaps/>
      <w:color w:val="B3C960"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1337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7671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4D31C3"/>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6321CD"/>
    <w:pPr>
      <w:ind w:left="720"/>
      <w:contextualSpacing/>
    </w:pPr>
  </w:style>
  <w:style w:type="character" w:styleId="SubtleReference">
    <w:name w:val="Subtle Reference"/>
    <w:basedOn w:val="DefaultParagraphFont"/>
    <w:uiPriority w:val="31"/>
    <w:rsid w:val="00DD6AEF"/>
    <w:rPr>
      <w:smallCaps/>
      <w:color w:val="B3C960"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su\AppData\Local\Hewlett-Packard\HP%20TRIM\TEMP\HPTRIM.154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08F25-275D-4B59-A53C-7F50A501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85</TotalTime>
  <Pages>43</Pages>
  <Words>13125</Words>
  <Characters>79410</Characters>
  <Application>Microsoft Office Word</Application>
  <DocSecurity>0</DocSecurity>
  <Lines>2146</Lines>
  <Paragraphs>994</Paragraphs>
  <ScaleCrop>false</ScaleCrop>
  <HeadingPairs>
    <vt:vector size="2" baseType="variant">
      <vt:variant>
        <vt:lpstr>Title</vt:lpstr>
      </vt:variant>
      <vt:variant>
        <vt:i4>1</vt:i4>
      </vt:variant>
    </vt:vector>
  </HeadingPairs>
  <TitlesOfParts>
    <vt:vector size="1" baseType="lpstr">
      <vt:lpstr>Australian Public Assessment Report for Tenofovir disoproxil fumarate / Emtricitabine / Elvitegravir / Cobicistat</vt:lpstr>
    </vt:vector>
  </TitlesOfParts>
  <Company/>
  <LinksUpToDate>false</LinksUpToDate>
  <CharactersWithSpaces>91541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Tenofovir disoproxil fumarate / Emtricitabine / Elvitegravir / Cobicistat</dc:title>
  <dc:subject>Prescription medicines</dc:subject>
  <dc:creator>Therapeutic Goods Administration</dc:creator>
  <cp:keywords>AusPARs</cp:keywords>
  <cp:lastModifiedBy>MORENO, David</cp:lastModifiedBy>
  <cp:revision>11</cp:revision>
  <cp:lastPrinted>2017-04-19T02:12:00Z</cp:lastPrinted>
  <dcterms:created xsi:type="dcterms:W3CDTF">2017-05-03T02:29:00Z</dcterms:created>
  <dcterms:modified xsi:type="dcterms:W3CDTF">2017-06-07T00:43:00Z</dcterms:modified>
  <cp:category/>
</cp:coreProperties>
</file>