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32B2748" w14:textId="77777777" w:rsidTr="00BF1190">
        <w:trPr>
          <w:trHeight w:val="1863"/>
        </w:trPr>
        <w:tc>
          <w:tcPr>
            <w:tcW w:w="3652" w:type="dxa"/>
            <w:tcBorders>
              <w:top w:val="nil"/>
              <w:left w:val="nil"/>
              <w:bottom w:val="nil"/>
              <w:right w:val="nil"/>
            </w:tcBorders>
          </w:tcPr>
          <w:p w14:paraId="0C7798BC" w14:textId="5B7DBE94" w:rsidR="008E7846" w:rsidRPr="00096AA7" w:rsidRDefault="0005260A" w:rsidP="0005260A">
            <w:pPr>
              <w:rPr>
                <w:rFonts w:ascii="Arial" w:hAnsi="Arial" w:cs="Arial"/>
                <w:b/>
                <w:color w:val="002C47"/>
                <w:sz w:val="36"/>
                <w:szCs w:val="36"/>
              </w:rPr>
            </w:pPr>
            <w:bookmarkStart w:id="0" w:name="_GoBack"/>
            <w:bookmarkEnd w:id="0"/>
            <w:r>
              <w:rPr>
                <w:rFonts w:ascii="Arial" w:hAnsi="Arial" w:cs="Arial"/>
                <w:b/>
                <w:color w:val="002C47"/>
                <w:sz w:val="36"/>
                <w:szCs w:val="36"/>
              </w:rPr>
              <w:t>June</w:t>
            </w:r>
            <w:r w:rsidR="001B3E9F">
              <w:rPr>
                <w:rFonts w:ascii="Arial" w:hAnsi="Arial" w:cs="Arial"/>
                <w:b/>
                <w:color w:val="002C47"/>
                <w:sz w:val="36"/>
                <w:szCs w:val="36"/>
              </w:rPr>
              <w:t xml:space="preserve"> </w:t>
            </w:r>
            <w:r w:rsidR="00FC0C85">
              <w:rPr>
                <w:rFonts w:ascii="Arial" w:hAnsi="Arial" w:cs="Arial"/>
                <w:b/>
                <w:color w:val="002C47"/>
                <w:sz w:val="36"/>
                <w:szCs w:val="36"/>
              </w:rPr>
              <w:t>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8E104B4" w14:textId="77777777" w:rsidTr="0032583B">
        <w:trPr>
          <w:trHeight w:val="868"/>
        </w:trPr>
        <w:tc>
          <w:tcPr>
            <w:tcW w:w="9079" w:type="dxa"/>
          </w:tcPr>
          <w:p w14:paraId="098EDDD6"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3B37AB" w:rsidRPr="003B37AB">
              <w:rPr>
                <w:color w:val="FFFFFF" w:themeColor="background1"/>
              </w:rPr>
              <w:t>Tiotropium</w:t>
            </w:r>
          </w:p>
        </w:tc>
      </w:tr>
      <w:tr w:rsidR="0032583B" w:rsidRPr="00B64760" w14:paraId="34E186BB" w14:textId="77777777" w:rsidTr="0032583B">
        <w:tc>
          <w:tcPr>
            <w:tcW w:w="9079" w:type="dxa"/>
          </w:tcPr>
          <w:p w14:paraId="7B7E3C70" w14:textId="77777777" w:rsidR="0032583B" w:rsidRPr="008E7846" w:rsidRDefault="0032583B" w:rsidP="003B37AB">
            <w:pPr>
              <w:pStyle w:val="Subtitle"/>
              <w:rPr>
                <w:color w:val="FFFFFF" w:themeColor="background1"/>
              </w:rPr>
            </w:pPr>
            <w:r w:rsidRPr="008E7846">
              <w:rPr>
                <w:color w:val="FFFFFF" w:themeColor="background1"/>
              </w:rPr>
              <w:t xml:space="preserve">Proprietary Product Name: </w:t>
            </w:r>
            <w:proofErr w:type="spellStart"/>
            <w:r w:rsidR="003B37AB">
              <w:rPr>
                <w:color w:val="FFFFFF" w:themeColor="background1"/>
              </w:rPr>
              <w:t>B</w:t>
            </w:r>
            <w:r w:rsidR="00FC0C85">
              <w:rPr>
                <w:color w:val="FFFFFF" w:themeColor="background1"/>
              </w:rPr>
              <w:t>raltus</w:t>
            </w:r>
            <w:proofErr w:type="spellEnd"/>
          </w:p>
        </w:tc>
      </w:tr>
      <w:tr w:rsidR="0032583B" w:rsidRPr="00B64760" w14:paraId="06045A4D" w14:textId="77777777" w:rsidTr="0032583B">
        <w:trPr>
          <w:trHeight w:val="486"/>
        </w:trPr>
        <w:tc>
          <w:tcPr>
            <w:tcW w:w="9079" w:type="dxa"/>
          </w:tcPr>
          <w:p w14:paraId="4AFA7918" w14:textId="77777777" w:rsidR="0032583B" w:rsidRPr="008E7846" w:rsidRDefault="0032583B" w:rsidP="0032583B">
            <w:pPr>
              <w:pStyle w:val="Subtitle"/>
              <w:rPr>
                <w:color w:val="FFFFFF" w:themeColor="background1"/>
              </w:rPr>
            </w:pPr>
            <w:r w:rsidRPr="008E7846">
              <w:rPr>
                <w:color w:val="FFFFFF" w:themeColor="background1"/>
              </w:rPr>
              <w:t xml:space="preserve">Sponsor: </w:t>
            </w:r>
            <w:proofErr w:type="spellStart"/>
            <w:r w:rsidR="00FC0C85">
              <w:rPr>
                <w:color w:val="FFFFFF" w:themeColor="background1"/>
              </w:rPr>
              <w:t>Teva</w:t>
            </w:r>
            <w:proofErr w:type="spellEnd"/>
            <w:r w:rsidR="00FC0C85">
              <w:rPr>
                <w:color w:val="FFFFFF" w:themeColor="background1"/>
              </w:rPr>
              <w:t xml:space="preserve"> Pharmaceuticals Pty Ltd</w:t>
            </w:r>
          </w:p>
        </w:tc>
      </w:tr>
    </w:tbl>
    <w:p w14:paraId="7008E182" w14:textId="77777777" w:rsidR="008E7846" w:rsidRPr="0085156D" w:rsidRDefault="008E7846" w:rsidP="0085156D">
      <w:r w:rsidRPr="0085156D">
        <w:br w:type="page"/>
      </w:r>
    </w:p>
    <w:p w14:paraId="1FC03882" w14:textId="77777777" w:rsidR="008E7846" w:rsidRPr="001F6CBA" w:rsidRDefault="008E7846" w:rsidP="008E7846">
      <w:pPr>
        <w:pStyle w:val="NonTOCHeading2"/>
      </w:pPr>
      <w:r w:rsidRPr="001F6CBA">
        <w:lastRenderedPageBreak/>
        <w:t>About the Therapeutic Goods Administration (TGA)</w:t>
      </w:r>
    </w:p>
    <w:p w14:paraId="2C448581"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BC27B2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EFA95F3"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E5779D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7CEB3DBE"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67ACAB37" w14:textId="77777777" w:rsidR="008E7846" w:rsidRDefault="008E7846" w:rsidP="00875A6B">
      <w:pPr>
        <w:pStyle w:val="NonTOCHeading2"/>
      </w:pPr>
      <w:r>
        <w:t xml:space="preserve">About </w:t>
      </w:r>
      <w:proofErr w:type="spellStart"/>
      <w:r>
        <w:t>AusPARs</w:t>
      </w:r>
      <w:proofErr w:type="spellEnd"/>
    </w:p>
    <w:p w14:paraId="66314D4C"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0C6F412B"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2323B8F5"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2C7B5A88"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134CF0D8"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09C0555B" w14:textId="77777777" w:rsidR="00924482" w:rsidRPr="00DF1D7F" w:rsidRDefault="00924482" w:rsidP="00F54B65">
      <w:pPr>
        <w:pStyle w:val="LegalSubheading"/>
        <w:spacing w:before="3120"/>
      </w:pPr>
      <w:r w:rsidRPr="00DF1D7F">
        <w:t>Copyright</w:t>
      </w:r>
    </w:p>
    <w:p w14:paraId="32973117" w14:textId="77777777" w:rsidR="00924482" w:rsidRDefault="00924482" w:rsidP="00924482">
      <w:pPr>
        <w:pStyle w:val="LegalCopy"/>
      </w:pPr>
      <w:r w:rsidRPr="00191B3B">
        <w:rPr>
          <w:rFonts w:cs="Arial"/>
          <w:lang w:val="en-GB"/>
        </w:rPr>
        <w:t>© Comm</w:t>
      </w:r>
      <w:r>
        <w:rPr>
          <w:rFonts w:cs="Arial"/>
          <w:lang w:val="en-GB"/>
        </w:rPr>
        <w:t>onwealth of Australia 201</w:t>
      </w:r>
      <w:r w:rsidR="00FC0C85">
        <w:rPr>
          <w:rFonts w:cs="Arial"/>
          <w:lang w:val="en-GB"/>
        </w:rPr>
        <w:t>9</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6D431F90"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31EB9D8" w14:textId="77777777" w:rsidR="0089635C" w:rsidRPr="0089635C" w:rsidRDefault="0089635C" w:rsidP="0010788A">
          <w:pPr>
            <w:pStyle w:val="Contents"/>
          </w:pPr>
          <w:r w:rsidRPr="0010788A">
            <w:t>Contents</w:t>
          </w:r>
        </w:p>
        <w:p w14:paraId="7553D7E3" w14:textId="77777777" w:rsidR="00900E1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16587403" w:history="1">
            <w:r w:rsidR="00900E19" w:rsidRPr="00AF7798">
              <w:rPr>
                <w:rStyle w:val="Hyperlink"/>
                <w:noProof/>
              </w:rPr>
              <w:t>Common abbreviations</w:t>
            </w:r>
            <w:r w:rsidR="00900E19">
              <w:rPr>
                <w:noProof/>
                <w:webHidden/>
              </w:rPr>
              <w:tab/>
            </w:r>
            <w:r w:rsidR="00900E19">
              <w:rPr>
                <w:noProof/>
                <w:webHidden/>
              </w:rPr>
              <w:fldChar w:fldCharType="begin"/>
            </w:r>
            <w:r w:rsidR="00900E19">
              <w:rPr>
                <w:noProof/>
                <w:webHidden/>
              </w:rPr>
              <w:instrText xml:space="preserve"> PAGEREF _Toc16587403 \h </w:instrText>
            </w:r>
            <w:r w:rsidR="00900E19">
              <w:rPr>
                <w:noProof/>
                <w:webHidden/>
              </w:rPr>
            </w:r>
            <w:r w:rsidR="00900E19">
              <w:rPr>
                <w:noProof/>
                <w:webHidden/>
              </w:rPr>
              <w:fldChar w:fldCharType="separate"/>
            </w:r>
            <w:r w:rsidR="00900E19">
              <w:rPr>
                <w:noProof/>
                <w:webHidden/>
              </w:rPr>
              <w:t>4</w:t>
            </w:r>
            <w:r w:rsidR="00900E19">
              <w:rPr>
                <w:noProof/>
                <w:webHidden/>
              </w:rPr>
              <w:fldChar w:fldCharType="end"/>
            </w:r>
          </w:hyperlink>
        </w:p>
        <w:p w14:paraId="2C8E237D" w14:textId="77777777" w:rsidR="00900E19" w:rsidRDefault="00363802">
          <w:pPr>
            <w:pStyle w:val="TOC2"/>
            <w:rPr>
              <w:rFonts w:asciiTheme="minorHAnsi" w:eastAsiaTheme="minorEastAsia" w:hAnsiTheme="minorHAnsi" w:cstheme="minorBidi"/>
              <w:b w:val="0"/>
              <w:noProof/>
              <w:sz w:val="22"/>
              <w:lang w:eastAsia="en-AU"/>
            </w:rPr>
          </w:pPr>
          <w:hyperlink w:anchor="_Toc16587404" w:history="1">
            <w:r w:rsidR="00900E19" w:rsidRPr="00AF7798">
              <w:rPr>
                <w:rStyle w:val="Hyperlink"/>
                <w:noProof/>
              </w:rPr>
              <w:t>I. Introduction to product submission</w:t>
            </w:r>
            <w:r w:rsidR="00900E19">
              <w:rPr>
                <w:noProof/>
                <w:webHidden/>
              </w:rPr>
              <w:tab/>
            </w:r>
            <w:r w:rsidR="00900E19">
              <w:rPr>
                <w:noProof/>
                <w:webHidden/>
              </w:rPr>
              <w:fldChar w:fldCharType="begin"/>
            </w:r>
            <w:r w:rsidR="00900E19">
              <w:rPr>
                <w:noProof/>
                <w:webHidden/>
              </w:rPr>
              <w:instrText xml:space="preserve"> PAGEREF _Toc16587404 \h </w:instrText>
            </w:r>
            <w:r w:rsidR="00900E19">
              <w:rPr>
                <w:noProof/>
                <w:webHidden/>
              </w:rPr>
            </w:r>
            <w:r w:rsidR="00900E19">
              <w:rPr>
                <w:noProof/>
                <w:webHidden/>
              </w:rPr>
              <w:fldChar w:fldCharType="separate"/>
            </w:r>
            <w:r w:rsidR="00900E19">
              <w:rPr>
                <w:noProof/>
                <w:webHidden/>
              </w:rPr>
              <w:t>6</w:t>
            </w:r>
            <w:r w:rsidR="00900E19">
              <w:rPr>
                <w:noProof/>
                <w:webHidden/>
              </w:rPr>
              <w:fldChar w:fldCharType="end"/>
            </w:r>
          </w:hyperlink>
        </w:p>
        <w:p w14:paraId="63F44E32" w14:textId="77777777" w:rsidR="00900E19" w:rsidRDefault="00363802">
          <w:pPr>
            <w:pStyle w:val="TOC3"/>
            <w:rPr>
              <w:rFonts w:asciiTheme="minorHAnsi" w:eastAsiaTheme="minorEastAsia" w:hAnsiTheme="minorHAnsi" w:cstheme="minorBidi"/>
              <w:noProof/>
              <w:lang w:eastAsia="en-AU"/>
            </w:rPr>
          </w:pPr>
          <w:hyperlink w:anchor="_Toc16587405" w:history="1">
            <w:r w:rsidR="00900E19" w:rsidRPr="00AF7798">
              <w:rPr>
                <w:rStyle w:val="Hyperlink"/>
                <w:noProof/>
                <w:lang w:eastAsia="en-AU"/>
              </w:rPr>
              <w:t>Submission details</w:t>
            </w:r>
            <w:r w:rsidR="00900E19">
              <w:rPr>
                <w:noProof/>
                <w:webHidden/>
              </w:rPr>
              <w:tab/>
            </w:r>
            <w:r w:rsidR="00900E19">
              <w:rPr>
                <w:noProof/>
                <w:webHidden/>
              </w:rPr>
              <w:fldChar w:fldCharType="begin"/>
            </w:r>
            <w:r w:rsidR="00900E19">
              <w:rPr>
                <w:noProof/>
                <w:webHidden/>
              </w:rPr>
              <w:instrText xml:space="preserve"> PAGEREF _Toc16587405 \h </w:instrText>
            </w:r>
            <w:r w:rsidR="00900E19">
              <w:rPr>
                <w:noProof/>
                <w:webHidden/>
              </w:rPr>
            </w:r>
            <w:r w:rsidR="00900E19">
              <w:rPr>
                <w:noProof/>
                <w:webHidden/>
              </w:rPr>
              <w:fldChar w:fldCharType="separate"/>
            </w:r>
            <w:r w:rsidR="00900E19">
              <w:rPr>
                <w:noProof/>
                <w:webHidden/>
              </w:rPr>
              <w:t>6</w:t>
            </w:r>
            <w:r w:rsidR="00900E19">
              <w:rPr>
                <w:noProof/>
                <w:webHidden/>
              </w:rPr>
              <w:fldChar w:fldCharType="end"/>
            </w:r>
          </w:hyperlink>
        </w:p>
        <w:p w14:paraId="2E68C190" w14:textId="77777777" w:rsidR="00900E19" w:rsidRDefault="00363802">
          <w:pPr>
            <w:pStyle w:val="TOC3"/>
            <w:rPr>
              <w:rFonts w:asciiTheme="minorHAnsi" w:eastAsiaTheme="minorEastAsia" w:hAnsiTheme="minorHAnsi" w:cstheme="minorBidi"/>
              <w:noProof/>
              <w:lang w:eastAsia="en-AU"/>
            </w:rPr>
          </w:pPr>
          <w:hyperlink w:anchor="_Toc16587406" w:history="1">
            <w:r w:rsidR="00900E19" w:rsidRPr="00AF7798">
              <w:rPr>
                <w:rStyle w:val="Hyperlink"/>
                <w:noProof/>
              </w:rPr>
              <w:t>Product background</w:t>
            </w:r>
            <w:r w:rsidR="00900E19">
              <w:rPr>
                <w:noProof/>
                <w:webHidden/>
              </w:rPr>
              <w:tab/>
            </w:r>
            <w:r w:rsidR="00900E19">
              <w:rPr>
                <w:noProof/>
                <w:webHidden/>
              </w:rPr>
              <w:fldChar w:fldCharType="begin"/>
            </w:r>
            <w:r w:rsidR="00900E19">
              <w:rPr>
                <w:noProof/>
                <w:webHidden/>
              </w:rPr>
              <w:instrText xml:space="preserve"> PAGEREF _Toc16587406 \h </w:instrText>
            </w:r>
            <w:r w:rsidR="00900E19">
              <w:rPr>
                <w:noProof/>
                <w:webHidden/>
              </w:rPr>
            </w:r>
            <w:r w:rsidR="00900E19">
              <w:rPr>
                <w:noProof/>
                <w:webHidden/>
              </w:rPr>
              <w:fldChar w:fldCharType="separate"/>
            </w:r>
            <w:r w:rsidR="00900E19">
              <w:rPr>
                <w:noProof/>
                <w:webHidden/>
              </w:rPr>
              <w:t>6</w:t>
            </w:r>
            <w:r w:rsidR="00900E19">
              <w:rPr>
                <w:noProof/>
                <w:webHidden/>
              </w:rPr>
              <w:fldChar w:fldCharType="end"/>
            </w:r>
          </w:hyperlink>
        </w:p>
        <w:p w14:paraId="03D66C49" w14:textId="77777777" w:rsidR="00900E19" w:rsidRDefault="00363802">
          <w:pPr>
            <w:pStyle w:val="TOC3"/>
            <w:rPr>
              <w:rFonts w:asciiTheme="minorHAnsi" w:eastAsiaTheme="minorEastAsia" w:hAnsiTheme="minorHAnsi" w:cstheme="minorBidi"/>
              <w:noProof/>
              <w:lang w:eastAsia="en-AU"/>
            </w:rPr>
          </w:pPr>
          <w:hyperlink w:anchor="_Toc16587407" w:history="1">
            <w:r w:rsidR="00900E19" w:rsidRPr="00AF7798">
              <w:rPr>
                <w:rStyle w:val="Hyperlink"/>
                <w:noProof/>
              </w:rPr>
              <w:t>Regulatory status</w:t>
            </w:r>
            <w:r w:rsidR="00900E19">
              <w:rPr>
                <w:noProof/>
                <w:webHidden/>
              </w:rPr>
              <w:tab/>
            </w:r>
            <w:r w:rsidR="00900E19">
              <w:rPr>
                <w:noProof/>
                <w:webHidden/>
              </w:rPr>
              <w:fldChar w:fldCharType="begin"/>
            </w:r>
            <w:r w:rsidR="00900E19">
              <w:rPr>
                <w:noProof/>
                <w:webHidden/>
              </w:rPr>
              <w:instrText xml:space="preserve"> PAGEREF _Toc16587407 \h </w:instrText>
            </w:r>
            <w:r w:rsidR="00900E19">
              <w:rPr>
                <w:noProof/>
                <w:webHidden/>
              </w:rPr>
            </w:r>
            <w:r w:rsidR="00900E19">
              <w:rPr>
                <w:noProof/>
                <w:webHidden/>
              </w:rPr>
              <w:fldChar w:fldCharType="separate"/>
            </w:r>
            <w:r w:rsidR="00900E19">
              <w:rPr>
                <w:noProof/>
                <w:webHidden/>
              </w:rPr>
              <w:t>7</w:t>
            </w:r>
            <w:r w:rsidR="00900E19">
              <w:rPr>
                <w:noProof/>
                <w:webHidden/>
              </w:rPr>
              <w:fldChar w:fldCharType="end"/>
            </w:r>
          </w:hyperlink>
        </w:p>
        <w:p w14:paraId="5404DE1F" w14:textId="77777777" w:rsidR="00900E19" w:rsidRDefault="00363802">
          <w:pPr>
            <w:pStyle w:val="TOC3"/>
            <w:rPr>
              <w:rFonts w:asciiTheme="minorHAnsi" w:eastAsiaTheme="minorEastAsia" w:hAnsiTheme="minorHAnsi" w:cstheme="minorBidi"/>
              <w:noProof/>
              <w:lang w:eastAsia="en-AU"/>
            </w:rPr>
          </w:pPr>
          <w:hyperlink w:anchor="_Toc16587408" w:history="1">
            <w:r w:rsidR="00900E19" w:rsidRPr="00AF7798">
              <w:rPr>
                <w:rStyle w:val="Hyperlink"/>
                <w:noProof/>
              </w:rPr>
              <w:t>Product Information</w:t>
            </w:r>
            <w:r w:rsidR="00900E19">
              <w:rPr>
                <w:noProof/>
                <w:webHidden/>
              </w:rPr>
              <w:tab/>
            </w:r>
            <w:r w:rsidR="00900E19">
              <w:rPr>
                <w:noProof/>
                <w:webHidden/>
              </w:rPr>
              <w:fldChar w:fldCharType="begin"/>
            </w:r>
            <w:r w:rsidR="00900E19">
              <w:rPr>
                <w:noProof/>
                <w:webHidden/>
              </w:rPr>
              <w:instrText xml:space="preserve"> PAGEREF _Toc16587408 \h </w:instrText>
            </w:r>
            <w:r w:rsidR="00900E19">
              <w:rPr>
                <w:noProof/>
                <w:webHidden/>
              </w:rPr>
            </w:r>
            <w:r w:rsidR="00900E19">
              <w:rPr>
                <w:noProof/>
                <w:webHidden/>
              </w:rPr>
              <w:fldChar w:fldCharType="separate"/>
            </w:r>
            <w:r w:rsidR="00900E19">
              <w:rPr>
                <w:noProof/>
                <w:webHidden/>
              </w:rPr>
              <w:t>7</w:t>
            </w:r>
            <w:r w:rsidR="00900E19">
              <w:rPr>
                <w:noProof/>
                <w:webHidden/>
              </w:rPr>
              <w:fldChar w:fldCharType="end"/>
            </w:r>
          </w:hyperlink>
        </w:p>
        <w:p w14:paraId="59CA2E8A" w14:textId="77777777" w:rsidR="00900E19" w:rsidRDefault="00363802">
          <w:pPr>
            <w:pStyle w:val="TOC2"/>
            <w:rPr>
              <w:rFonts w:asciiTheme="minorHAnsi" w:eastAsiaTheme="minorEastAsia" w:hAnsiTheme="minorHAnsi" w:cstheme="minorBidi"/>
              <w:b w:val="0"/>
              <w:noProof/>
              <w:sz w:val="22"/>
              <w:lang w:eastAsia="en-AU"/>
            </w:rPr>
          </w:pPr>
          <w:hyperlink w:anchor="_Toc16587409" w:history="1">
            <w:r w:rsidR="00900E19" w:rsidRPr="00AF7798">
              <w:rPr>
                <w:rStyle w:val="Hyperlink"/>
                <w:noProof/>
              </w:rPr>
              <w:t>II. Registration time line</w:t>
            </w:r>
            <w:r w:rsidR="00900E19">
              <w:rPr>
                <w:noProof/>
                <w:webHidden/>
              </w:rPr>
              <w:tab/>
            </w:r>
            <w:r w:rsidR="00900E19">
              <w:rPr>
                <w:noProof/>
                <w:webHidden/>
              </w:rPr>
              <w:fldChar w:fldCharType="begin"/>
            </w:r>
            <w:r w:rsidR="00900E19">
              <w:rPr>
                <w:noProof/>
                <w:webHidden/>
              </w:rPr>
              <w:instrText xml:space="preserve"> PAGEREF _Toc16587409 \h </w:instrText>
            </w:r>
            <w:r w:rsidR="00900E19">
              <w:rPr>
                <w:noProof/>
                <w:webHidden/>
              </w:rPr>
            </w:r>
            <w:r w:rsidR="00900E19">
              <w:rPr>
                <w:noProof/>
                <w:webHidden/>
              </w:rPr>
              <w:fldChar w:fldCharType="separate"/>
            </w:r>
            <w:r w:rsidR="00900E19">
              <w:rPr>
                <w:noProof/>
                <w:webHidden/>
              </w:rPr>
              <w:t>7</w:t>
            </w:r>
            <w:r w:rsidR="00900E19">
              <w:rPr>
                <w:noProof/>
                <w:webHidden/>
              </w:rPr>
              <w:fldChar w:fldCharType="end"/>
            </w:r>
          </w:hyperlink>
        </w:p>
        <w:p w14:paraId="3C6857D3" w14:textId="77777777" w:rsidR="00900E19" w:rsidRDefault="00363802">
          <w:pPr>
            <w:pStyle w:val="TOC2"/>
            <w:rPr>
              <w:rFonts w:asciiTheme="minorHAnsi" w:eastAsiaTheme="minorEastAsia" w:hAnsiTheme="minorHAnsi" w:cstheme="minorBidi"/>
              <w:b w:val="0"/>
              <w:noProof/>
              <w:sz w:val="22"/>
              <w:lang w:eastAsia="en-AU"/>
            </w:rPr>
          </w:pPr>
          <w:hyperlink w:anchor="_Toc16587410" w:history="1">
            <w:r w:rsidR="00900E19" w:rsidRPr="00AF7798">
              <w:rPr>
                <w:rStyle w:val="Hyperlink"/>
                <w:noProof/>
              </w:rPr>
              <w:t>III. Quality findings</w:t>
            </w:r>
            <w:r w:rsidR="00900E19">
              <w:rPr>
                <w:noProof/>
                <w:webHidden/>
              </w:rPr>
              <w:tab/>
            </w:r>
            <w:r w:rsidR="00900E19">
              <w:rPr>
                <w:noProof/>
                <w:webHidden/>
              </w:rPr>
              <w:fldChar w:fldCharType="begin"/>
            </w:r>
            <w:r w:rsidR="00900E19">
              <w:rPr>
                <w:noProof/>
                <w:webHidden/>
              </w:rPr>
              <w:instrText xml:space="preserve"> PAGEREF _Toc16587410 \h </w:instrText>
            </w:r>
            <w:r w:rsidR="00900E19">
              <w:rPr>
                <w:noProof/>
                <w:webHidden/>
              </w:rPr>
            </w:r>
            <w:r w:rsidR="00900E19">
              <w:rPr>
                <w:noProof/>
                <w:webHidden/>
              </w:rPr>
              <w:fldChar w:fldCharType="separate"/>
            </w:r>
            <w:r w:rsidR="00900E19">
              <w:rPr>
                <w:noProof/>
                <w:webHidden/>
              </w:rPr>
              <w:t>8</w:t>
            </w:r>
            <w:r w:rsidR="00900E19">
              <w:rPr>
                <w:noProof/>
                <w:webHidden/>
              </w:rPr>
              <w:fldChar w:fldCharType="end"/>
            </w:r>
          </w:hyperlink>
        </w:p>
        <w:p w14:paraId="09FDFE84" w14:textId="77777777" w:rsidR="00900E19" w:rsidRDefault="00363802">
          <w:pPr>
            <w:pStyle w:val="TOC3"/>
            <w:rPr>
              <w:rFonts w:asciiTheme="minorHAnsi" w:eastAsiaTheme="minorEastAsia" w:hAnsiTheme="minorHAnsi" w:cstheme="minorBidi"/>
              <w:noProof/>
              <w:lang w:eastAsia="en-AU"/>
            </w:rPr>
          </w:pPr>
          <w:hyperlink w:anchor="_Toc16587411" w:history="1">
            <w:r w:rsidR="00900E19" w:rsidRPr="00AF7798">
              <w:rPr>
                <w:rStyle w:val="Hyperlink"/>
                <w:noProof/>
              </w:rPr>
              <w:t>Drug substance (active ingredient)</w:t>
            </w:r>
            <w:r w:rsidR="00900E19">
              <w:rPr>
                <w:noProof/>
                <w:webHidden/>
              </w:rPr>
              <w:tab/>
            </w:r>
            <w:r w:rsidR="00900E19">
              <w:rPr>
                <w:noProof/>
                <w:webHidden/>
              </w:rPr>
              <w:fldChar w:fldCharType="begin"/>
            </w:r>
            <w:r w:rsidR="00900E19">
              <w:rPr>
                <w:noProof/>
                <w:webHidden/>
              </w:rPr>
              <w:instrText xml:space="preserve"> PAGEREF _Toc16587411 \h </w:instrText>
            </w:r>
            <w:r w:rsidR="00900E19">
              <w:rPr>
                <w:noProof/>
                <w:webHidden/>
              </w:rPr>
            </w:r>
            <w:r w:rsidR="00900E19">
              <w:rPr>
                <w:noProof/>
                <w:webHidden/>
              </w:rPr>
              <w:fldChar w:fldCharType="separate"/>
            </w:r>
            <w:r w:rsidR="00900E19">
              <w:rPr>
                <w:noProof/>
                <w:webHidden/>
              </w:rPr>
              <w:t>8</w:t>
            </w:r>
            <w:r w:rsidR="00900E19">
              <w:rPr>
                <w:noProof/>
                <w:webHidden/>
              </w:rPr>
              <w:fldChar w:fldCharType="end"/>
            </w:r>
          </w:hyperlink>
        </w:p>
        <w:p w14:paraId="7019BEA7" w14:textId="77777777" w:rsidR="00900E19" w:rsidRDefault="00363802">
          <w:pPr>
            <w:pStyle w:val="TOC3"/>
            <w:rPr>
              <w:rFonts w:asciiTheme="minorHAnsi" w:eastAsiaTheme="minorEastAsia" w:hAnsiTheme="minorHAnsi" w:cstheme="minorBidi"/>
              <w:noProof/>
              <w:lang w:eastAsia="en-AU"/>
            </w:rPr>
          </w:pPr>
          <w:hyperlink w:anchor="_Toc16587412" w:history="1">
            <w:r w:rsidR="00900E19" w:rsidRPr="00AF7798">
              <w:rPr>
                <w:rStyle w:val="Hyperlink"/>
                <w:noProof/>
              </w:rPr>
              <w:t>Drug product</w:t>
            </w:r>
            <w:r w:rsidR="00900E19">
              <w:rPr>
                <w:noProof/>
                <w:webHidden/>
              </w:rPr>
              <w:tab/>
            </w:r>
            <w:r w:rsidR="00900E19">
              <w:rPr>
                <w:noProof/>
                <w:webHidden/>
              </w:rPr>
              <w:fldChar w:fldCharType="begin"/>
            </w:r>
            <w:r w:rsidR="00900E19">
              <w:rPr>
                <w:noProof/>
                <w:webHidden/>
              </w:rPr>
              <w:instrText xml:space="preserve"> PAGEREF _Toc16587412 \h </w:instrText>
            </w:r>
            <w:r w:rsidR="00900E19">
              <w:rPr>
                <w:noProof/>
                <w:webHidden/>
              </w:rPr>
            </w:r>
            <w:r w:rsidR="00900E19">
              <w:rPr>
                <w:noProof/>
                <w:webHidden/>
              </w:rPr>
              <w:fldChar w:fldCharType="separate"/>
            </w:r>
            <w:r w:rsidR="00900E19">
              <w:rPr>
                <w:noProof/>
                <w:webHidden/>
              </w:rPr>
              <w:t>9</w:t>
            </w:r>
            <w:r w:rsidR="00900E19">
              <w:rPr>
                <w:noProof/>
                <w:webHidden/>
              </w:rPr>
              <w:fldChar w:fldCharType="end"/>
            </w:r>
          </w:hyperlink>
        </w:p>
        <w:p w14:paraId="26B40F6B" w14:textId="77777777" w:rsidR="00900E19" w:rsidRDefault="00363802">
          <w:pPr>
            <w:pStyle w:val="TOC3"/>
            <w:rPr>
              <w:rFonts w:asciiTheme="minorHAnsi" w:eastAsiaTheme="minorEastAsia" w:hAnsiTheme="minorHAnsi" w:cstheme="minorBidi"/>
              <w:noProof/>
              <w:lang w:eastAsia="en-AU"/>
            </w:rPr>
          </w:pPr>
          <w:hyperlink w:anchor="_Toc16587413" w:history="1">
            <w:r w:rsidR="00900E19" w:rsidRPr="00AF7798">
              <w:rPr>
                <w:rStyle w:val="Hyperlink"/>
                <w:noProof/>
              </w:rPr>
              <w:t>Biopharmaceutics</w:t>
            </w:r>
            <w:r w:rsidR="00900E19">
              <w:rPr>
                <w:noProof/>
                <w:webHidden/>
              </w:rPr>
              <w:tab/>
            </w:r>
            <w:r w:rsidR="00900E19">
              <w:rPr>
                <w:noProof/>
                <w:webHidden/>
              </w:rPr>
              <w:fldChar w:fldCharType="begin"/>
            </w:r>
            <w:r w:rsidR="00900E19">
              <w:rPr>
                <w:noProof/>
                <w:webHidden/>
              </w:rPr>
              <w:instrText xml:space="preserve"> PAGEREF _Toc16587413 \h </w:instrText>
            </w:r>
            <w:r w:rsidR="00900E19">
              <w:rPr>
                <w:noProof/>
                <w:webHidden/>
              </w:rPr>
            </w:r>
            <w:r w:rsidR="00900E19">
              <w:rPr>
                <w:noProof/>
                <w:webHidden/>
              </w:rPr>
              <w:fldChar w:fldCharType="separate"/>
            </w:r>
            <w:r w:rsidR="00900E19">
              <w:rPr>
                <w:noProof/>
                <w:webHidden/>
              </w:rPr>
              <w:t>9</w:t>
            </w:r>
            <w:r w:rsidR="00900E19">
              <w:rPr>
                <w:noProof/>
                <w:webHidden/>
              </w:rPr>
              <w:fldChar w:fldCharType="end"/>
            </w:r>
          </w:hyperlink>
        </w:p>
        <w:p w14:paraId="64C0545C" w14:textId="77777777" w:rsidR="00900E19" w:rsidRDefault="00363802">
          <w:pPr>
            <w:pStyle w:val="TOC2"/>
            <w:rPr>
              <w:rFonts w:asciiTheme="minorHAnsi" w:eastAsiaTheme="minorEastAsia" w:hAnsiTheme="minorHAnsi" w:cstheme="minorBidi"/>
              <w:b w:val="0"/>
              <w:noProof/>
              <w:sz w:val="22"/>
              <w:lang w:eastAsia="en-AU"/>
            </w:rPr>
          </w:pPr>
          <w:hyperlink w:anchor="_Toc16587414" w:history="1">
            <w:r w:rsidR="00900E19" w:rsidRPr="00AF7798">
              <w:rPr>
                <w:rStyle w:val="Hyperlink"/>
                <w:noProof/>
              </w:rPr>
              <w:t>IV. Nonclinical findings</w:t>
            </w:r>
            <w:r w:rsidR="00900E19">
              <w:rPr>
                <w:noProof/>
                <w:webHidden/>
              </w:rPr>
              <w:tab/>
            </w:r>
            <w:r w:rsidR="00900E19">
              <w:rPr>
                <w:noProof/>
                <w:webHidden/>
              </w:rPr>
              <w:fldChar w:fldCharType="begin"/>
            </w:r>
            <w:r w:rsidR="00900E19">
              <w:rPr>
                <w:noProof/>
                <w:webHidden/>
              </w:rPr>
              <w:instrText xml:space="preserve"> PAGEREF _Toc16587414 \h </w:instrText>
            </w:r>
            <w:r w:rsidR="00900E19">
              <w:rPr>
                <w:noProof/>
                <w:webHidden/>
              </w:rPr>
            </w:r>
            <w:r w:rsidR="00900E19">
              <w:rPr>
                <w:noProof/>
                <w:webHidden/>
              </w:rPr>
              <w:fldChar w:fldCharType="separate"/>
            </w:r>
            <w:r w:rsidR="00900E19">
              <w:rPr>
                <w:noProof/>
                <w:webHidden/>
              </w:rPr>
              <w:t>9</w:t>
            </w:r>
            <w:r w:rsidR="00900E19">
              <w:rPr>
                <w:noProof/>
                <w:webHidden/>
              </w:rPr>
              <w:fldChar w:fldCharType="end"/>
            </w:r>
          </w:hyperlink>
        </w:p>
        <w:p w14:paraId="41713B1E" w14:textId="77777777" w:rsidR="00900E19" w:rsidRDefault="00363802">
          <w:pPr>
            <w:pStyle w:val="TOC2"/>
            <w:rPr>
              <w:rFonts w:asciiTheme="minorHAnsi" w:eastAsiaTheme="minorEastAsia" w:hAnsiTheme="minorHAnsi" w:cstheme="minorBidi"/>
              <w:b w:val="0"/>
              <w:noProof/>
              <w:sz w:val="22"/>
              <w:lang w:eastAsia="en-AU"/>
            </w:rPr>
          </w:pPr>
          <w:hyperlink w:anchor="_Toc16587415" w:history="1">
            <w:r w:rsidR="00900E19" w:rsidRPr="00AF7798">
              <w:rPr>
                <w:rStyle w:val="Hyperlink"/>
                <w:noProof/>
              </w:rPr>
              <w:t>V. Clinical findings</w:t>
            </w:r>
            <w:r w:rsidR="00900E19">
              <w:rPr>
                <w:noProof/>
                <w:webHidden/>
              </w:rPr>
              <w:tab/>
            </w:r>
            <w:r w:rsidR="00900E19">
              <w:rPr>
                <w:noProof/>
                <w:webHidden/>
              </w:rPr>
              <w:fldChar w:fldCharType="begin"/>
            </w:r>
            <w:r w:rsidR="00900E19">
              <w:rPr>
                <w:noProof/>
                <w:webHidden/>
              </w:rPr>
              <w:instrText xml:space="preserve"> PAGEREF _Toc16587415 \h </w:instrText>
            </w:r>
            <w:r w:rsidR="00900E19">
              <w:rPr>
                <w:noProof/>
                <w:webHidden/>
              </w:rPr>
            </w:r>
            <w:r w:rsidR="00900E19">
              <w:rPr>
                <w:noProof/>
                <w:webHidden/>
              </w:rPr>
              <w:fldChar w:fldCharType="separate"/>
            </w:r>
            <w:r w:rsidR="00900E19">
              <w:rPr>
                <w:noProof/>
                <w:webHidden/>
              </w:rPr>
              <w:t>9</w:t>
            </w:r>
            <w:r w:rsidR="00900E19">
              <w:rPr>
                <w:noProof/>
                <w:webHidden/>
              </w:rPr>
              <w:fldChar w:fldCharType="end"/>
            </w:r>
          </w:hyperlink>
        </w:p>
        <w:p w14:paraId="2FF5C4BE" w14:textId="77777777" w:rsidR="00900E19" w:rsidRDefault="00363802">
          <w:pPr>
            <w:pStyle w:val="TOC3"/>
            <w:rPr>
              <w:rFonts w:asciiTheme="minorHAnsi" w:eastAsiaTheme="minorEastAsia" w:hAnsiTheme="minorHAnsi" w:cstheme="minorBidi"/>
              <w:noProof/>
              <w:lang w:eastAsia="en-AU"/>
            </w:rPr>
          </w:pPr>
          <w:hyperlink w:anchor="_Toc16587416" w:history="1">
            <w:r w:rsidR="00900E19" w:rsidRPr="00AF7798">
              <w:rPr>
                <w:rStyle w:val="Hyperlink"/>
                <w:noProof/>
              </w:rPr>
              <w:t>Introduction</w:t>
            </w:r>
            <w:r w:rsidR="00900E19">
              <w:rPr>
                <w:noProof/>
                <w:webHidden/>
              </w:rPr>
              <w:tab/>
            </w:r>
            <w:r w:rsidR="00900E19">
              <w:rPr>
                <w:noProof/>
                <w:webHidden/>
              </w:rPr>
              <w:fldChar w:fldCharType="begin"/>
            </w:r>
            <w:r w:rsidR="00900E19">
              <w:rPr>
                <w:noProof/>
                <w:webHidden/>
              </w:rPr>
              <w:instrText xml:space="preserve"> PAGEREF _Toc16587416 \h </w:instrText>
            </w:r>
            <w:r w:rsidR="00900E19">
              <w:rPr>
                <w:noProof/>
                <w:webHidden/>
              </w:rPr>
            </w:r>
            <w:r w:rsidR="00900E19">
              <w:rPr>
                <w:noProof/>
                <w:webHidden/>
              </w:rPr>
              <w:fldChar w:fldCharType="separate"/>
            </w:r>
            <w:r w:rsidR="00900E19">
              <w:rPr>
                <w:noProof/>
                <w:webHidden/>
              </w:rPr>
              <w:t>10</w:t>
            </w:r>
            <w:r w:rsidR="00900E19">
              <w:rPr>
                <w:noProof/>
                <w:webHidden/>
              </w:rPr>
              <w:fldChar w:fldCharType="end"/>
            </w:r>
          </w:hyperlink>
        </w:p>
        <w:p w14:paraId="02897482" w14:textId="77777777" w:rsidR="00900E19" w:rsidRDefault="00363802">
          <w:pPr>
            <w:pStyle w:val="TOC3"/>
            <w:rPr>
              <w:rFonts w:asciiTheme="minorHAnsi" w:eastAsiaTheme="minorEastAsia" w:hAnsiTheme="minorHAnsi" w:cstheme="minorBidi"/>
              <w:noProof/>
              <w:lang w:eastAsia="en-AU"/>
            </w:rPr>
          </w:pPr>
          <w:hyperlink w:anchor="_Toc16587417" w:history="1">
            <w:r w:rsidR="00900E19" w:rsidRPr="00AF7798">
              <w:rPr>
                <w:rStyle w:val="Hyperlink"/>
                <w:noProof/>
              </w:rPr>
              <w:t>Pharmacokinetics</w:t>
            </w:r>
            <w:r w:rsidR="00900E19">
              <w:rPr>
                <w:noProof/>
                <w:webHidden/>
              </w:rPr>
              <w:tab/>
            </w:r>
            <w:r w:rsidR="00900E19">
              <w:rPr>
                <w:noProof/>
                <w:webHidden/>
              </w:rPr>
              <w:fldChar w:fldCharType="begin"/>
            </w:r>
            <w:r w:rsidR="00900E19">
              <w:rPr>
                <w:noProof/>
                <w:webHidden/>
              </w:rPr>
              <w:instrText xml:space="preserve"> PAGEREF _Toc16587417 \h </w:instrText>
            </w:r>
            <w:r w:rsidR="00900E19">
              <w:rPr>
                <w:noProof/>
                <w:webHidden/>
              </w:rPr>
            </w:r>
            <w:r w:rsidR="00900E19">
              <w:rPr>
                <w:noProof/>
                <w:webHidden/>
              </w:rPr>
              <w:fldChar w:fldCharType="separate"/>
            </w:r>
            <w:r w:rsidR="00900E19">
              <w:rPr>
                <w:noProof/>
                <w:webHidden/>
              </w:rPr>
              <w:t>11</w:t>
            </w:r>
            <w:r w:rsidR="00900E19">
              <w:rPr>
                <w:noProof/>
                <w:webHidden/>
              </w:rPr>
              <w:fldChar w:fldCharType="end"/>
            </w:r>
          </w:hyperlink>
        </w:p>
        <w:p w14:paraId="6E475DA4" w14:textId="77777777" w:rsidR="00900E19" w:rsidRDefault="00363802">
          <w:pPr>
            <w:pStyle w:val="TOC3"/>
            <w:rPr>
              <w:rFonts w:asciiTheme="minorHAnsi" w:eastAsiaTheme="minorEastAsia" w:hAnsiTheme="minorHAnsi" w:cstheme="minorBidi"/>
              <w:noProof/>
              <w:lang w:eastAsia="en-AU"/>
            </w:rPr>
          </w:pPr>
          <w:hyperlink w:anchor="_Toc16587418" w:history="1">
            <w:r w:rsidR="00900E19" w:rsidRPr="00AF7798">
              <w:rPr>
                <w:rStyle w:val="Hyperlink"/>
                <w:noProof/>
              </w:rPr>
              <w:t>Pharmacodynamics</w:t>
            </w:r>
            <w:r w:rsidR="00900E19">
              <w:rPr>
                <w:noProof/>
                <w:webHidden/>
              </w:rPr>
              <w:tab/>
            </w:r>
            <w:r w:rsidR="00900E19">
              <w:rPr>
                <w:noProof/>
                <w:webHidden/>
              </w:rPr>
              <w:fldChar w:fldCharType="begin"/>
            </w:r>
            <w:r w:rsidR="00900E19">
              <w:rPr>
                <w:noProof/>
                <w:webHidden/>
              </w:rPr>
              <w:instrText xml:space="preserve"> PAGEREF _Toc16587418 \h </w:instrText>
            </w:r>
            <w:r w:rsidR="00900E19">
              <w:rPr>
                <w:noProof/>
                <w:webHidden/>
              </w:rPr>
            </w:r>
            <w:r w:rsidR="00900E19">
              <w:rPr>
                <w:noProof/>
                <w:webHidden/>
              </w:rPr>
              <w:fldChar w:fldCharType="separate"/>
            </w:r>
            <w:r w:rsidR="00900E19">
              <w:rPr>
                <w:noProof/>
                <w:webHidden/>
              </w:rPr>
              <w:t>14</w:t>
            </w:r>
            <w:r w:rsidR="00900E19">
              <w:rPr>
                <w:noProof/>
                <w:webHidden/>
              </w:rPr>
              <w:fldChar w:fldCharType="end"/>
            </w:r>
          </w:hyperlink>
        </w:p>
        <w:p w14:paraId="42E0422F" w14:textId="77777777" w:rsidR="00900E19" w:rsidRDefault="00363802">
          <w:pPr>
            <w:pStyle w:val="TOC3"/>
            <w:rPr>
              <w:rFonts w:asciiTheme="minorHAnsi" w:eastAsiaTheme="minorEastAsia" w:hAnsiTheme="minorHAnsi" w:cstheme="minorBidi"/>
              <w:noProof/>
              <w:lang w:eastAsia="en-AU"/>
            </w:rPr>
          </w:pPr>
          <w:hyperlink w:anchor="_Toc16587419" w:history="1">
            <w:r w:rsidR="00900E19" w:rsidRPr="00AF7798">
              <w:rPr>
                <w:rStyle w:val="Hyperlink"/>
                <w:noProof/>
              </w:rPr>
              <w:t>Efficacy</w:t>
            </w:r>
            <w:r w:rsidR="00900E19">
              <w:rPr>
                <w:noProof/>
                <w:webHidden/>
              </w:rPr>
              <w:tab/>
            </w:r>
            <w:r w:rsidR="00900E19">
              <w:rPr>
                <w:noProof/>
                <w:webHidden/>
              </w:rPr>
              <w:fldChar w:fldCharType="begin"/>
            </w:r>
            <w:r w:rsidR="00900E19">
              <w:rPr>
                <w:noProof/>
                <w:webHidden/>
              </w:rPr>
              <w:instrText xml:space="preserve"> PAGEREF _Toc16587419 \h </w:instrText>
            </w:r>
            <w:r w:rsidR="00900E19">
              <w:rPr>
                <w:noProof/>
                <w:webHidden/>
              </w:rPr>
            </w:r>
            <w:r w:rsidR="00900E19">
              <w:rPr>
                <w:noProof/>
                <w:webHidden/>
              </w:rPr>
              <w:fldChar w:fldCharType="separate"/>
            </w:r>
            <w:r w:rsidR="00900E19">
              <w:rPr>
                <w:noProof/>
                <w:webHidden/>
              </w:rPr>
              <w:t>14</w:t>
            </w:r>
            <w:r w:rsidR="00900E19">
              <w:rPr>
                <w:noProof/>
                <w:webHidden/>
              </w:rPr>
              <w:fldChar w:fldCharType="end"/>
            </w:r>
          </w:hyperlink>
        </w:p>
        <w:p w14:paraId="3057DB2B" w14:textId="77777777" w:rsidR="00900E19" w:rsidRDefault="00363802">
          <w:pPr>
            <w:pStyle w:val="TOC3"/>
            <w:rPr>
              <w:rFonts w:asciiTheme="minorHAnsi" w:eastAsiaTheme="minorEastAsia" w:hAnsiTheme="minorHAnsi" w:cstheme="minorBidi"/>
              <w:noProof/>
              <w:lang w:eastAsia="en-AU"/>
            </w:rPr>
          </w:pPr>
          <w:hyperlink w:anchor="_Toc16587420" w:history="1">
            <w:r w:rsidR="00900E19" w:rsidRPr="00AF7798">
              <w:rPr>
                <w:rStyle w:val="Hyperlink"/>
                <w:noProof/>
              </w:rPr>
              <w:t>First round recommendation regarding authorisation</w:t>
            </w:r>
            <w:r w:rsidR="00900E19">
              <w:rPr>
                <w:noProof/>
                <w:webHidden/>
              </w:rPr>
              <w:tab/>
            </w:r>
            <w:r w:rsidR="00900E19">
              <w:rPr>
                <w:noProof/>
                <w:webHidden/>
              </w:rPr>
              <w:fldChar w:fldCharType="begin"/>
            </w:r>
            <w:r w:rsidR="00900E19">
              <w:rPr>
                <w:noProof/>
                <w:webHidden/>
              </w:rPr>
              <w:instrText xml:space="preserve"> PAGEREF _Toc16587420 \h </w:instrText>
            </w:r>
            <w:r w:rsidR="00900E19">
              <w:rPr>
                <w:noProof/>
                <w:webHidden/>
              </w:rPr>
            </w:r>
            <w:r w:rsidR="00900E19">
              <w:rPr>
                <w:noProof/>
                <w:webHidden/>
              </w:rPr>
              <w:fldChar w:fldCharType="separate"/>
            </w:r>
            <w:r w:rsidR="00900E19">
              <w:rPr>
                <w:noProof/>
                <w:webHidden/>
              </w:rPr>
              <w:t>15</w:t>
            </w:r>
            <w:r w:rsidR="00900E19">
              <w:rPr>
                <w:noProof/>
                <w:webHidden/>
              </w:rPr>
              <w:fldChar w:fldCharType="end"/>
            </w:r>
          </w:hyperlink>
        </w:p>
        <w:p w14:paraId="357FCF26" w14:textId="77777777" w:rsidR="00900E19" w:rsidRDefault="00363802">
          <w:pPr>
            <w:pStyle w:val="TOC3"/>
            <w:rPr>
              <w:rFonts w:asciiTheme="minorHAnsi" w:eastAsiaTheme="minorEastAsia" w:hAnsiTheme="minorHAnsi" w:cstheme="minorBidi"/>
              <w:noProof/>
              <w:lang w:eastAsia="en-AU"/>
            </w:rPr>
          </w:pPr>
          <w:hyperlink w:anchor="_Toc16587421" w:history="1">
            <w:r w:rsidR="00900E19" w:rsidRPr="00AF7798">
              <w:rPr>
                <w:rStyle w:val="Hyperlink"/>
                <w:noProof/>
              </w:rPr>
              <w:t>Clinical questions and second round evaluation</w:t>
            </w:r>
            <w:r w:rsidR="00900E19">
              <w:rPr>
                <w:noProof/>
                <w:webHidden/>
              </w:rPr>
              <w:tab/>
            </w:r>
            <w:r w:rsidR="00900E19">
              <w:rPr>
                <w:noProof/>
                <w:webHidden/>
              </w:rPr>
              <w:fldChar w:fldCharType="begin"/>
            </w:r>
            <w:r w:rsidR="00900E19">
              <w:rPr>
                <w:noProof/>
                <w:webHidden/>
              </w:rPr>
              <w:instrText xml:space="preserve"> PAGEREF _Toc16587421 \h </w:instrText>
            </w:r>
            <w:r w:rsidR="00900E19">
              <w:rPr>
                <w:noProof/>
                <w:webHidden/>
              </w:rPr>
            </w:r>
            <w:r w:rsidR="00900E19">
              <w:rPr>
                <w:noProof/>
                <w:webHidden/>
              </w:rPr>
              <w:fldChar w:fldCharType="separate"/>
            </w:r>
            <w:r w:rsidR="00900E19">
              <w:rPr>
                <w:noProof/>
                <w:webHidden/>
              </w:rPr>
              <w:t>15</w:t>
            </w:r>
            <w:r w:rsidR="00900E19">
              <w:rPr>
                <w:noProof/>
                <w:webHidden/>
              </w:rPr>
              <w:fldChar w:fldCharType="end"/>
            </w:r>
          </w:hyperlink>
        </w:p>
        <w:p w14:paraId="033AA612" w14:textId="77777777" w:rsidR="00900E19" w:rsidRDefault="00363802">
          <w:pPr>
            <w:pStyle w:val="TOC3"/>
            <w:rPr>
              <w:rFonts w:asciiTheme="minorHAnsi" w:eastAsiaTheme="minorEastAsia" w:hAnsiTheme="minorHAnsi" w:cstheme="minorBidi"/>
              <w:noProof/>
              <w:lang w:eastAsia="en-AU"/>
            </w:rPr>
          </w:pPr>
          <w:hyperlink w:anchor="_Toc16587422" w:history="1">
            <w:r w:rsidR="00900E19" w:rsidRPr="00AF7798">
              <w:rPr>
                <w:rStyle w:val="Hyperlink"/>
                <w:noProof/>
              </w:rPr>
              <w:t>Second round benefit-risk assessment</w:t>
            </w:r>
            <w:r w:rsidR="00900E19">
              <w:rPr>
                <w:noProof/>
                <w:webHidden/>
              </w:rPr>
              <w:tab/>
            </w:r>
            <w:r w:rsidR="00900E19">
              <w:rPr>
                <w:noProof/>
                <w:webHidden/>
              </w:rPr>
              <w:fldChar w:fldCharType="begin"/>
            </w:r>
            <w:r w:rsidR="00900E19">
              <w:rPr>
                <w:noProof/>
                <w:webHidden/>
              </w:rPr>
              <w:instrText xml:space="preserve"> PAGEREF _Toc16587422 \h </w:instrText>
            </w:r>
            <w:r w:rsidR="00900E19">
              <w:rPr>
                <w:noProof/>
                <w:webHidden/>
              </w:rPr>
            </w:r>
            <w:r w:rsidR="00900E19">
              <w:rPr>
                <w:noProof/>
                <w:webHidden/>
              </w:rPr>
              <w:fldChar w:fldCharType="separate"/>
            </w:r>
            <w:r w:rsidR="00900E19">
              <w:rPr>
                <w:noProof/>
                <w:webHidden/>
              </w:rPr>
              <w:t>18</w:t>
            </w:r>
            <w:r w:rsidR="00900E19">
              <w:rPr>
                <w:noProof/>
                <w:webHidden/>
              </w:rPr>
              <w:fldChar w:fldCharType="end"/>
            </w:r>
          </w:hyperlink>
        </w:p>
        <w:p w14:paraId="7C01BC07" w14:textId="77777777" w:rsidR="00900E19" w:rsidRDefault="00363802">
          <w:pPr>
            <w:pStyle w:val="TOC2"/>
            <w:rPr>
              <w:rFonts w:asciiTheme="minorHAnsi" w:eastAsiaTheme="minorEastAsia" w:hAnsiTheme="minorHAnsi" w:cstheme="minorBidi"/>
              <w:b w:val="0"/>
              <w:noProof/>
              <w:sz w:val="22"/>
              <w:lang w:eastAsia="en-AU"/>
            </w:rPr>
          </w:pPr>
          <w:hyperlink w:anchor="_Toc16587423" w:history="1">
            <w:r w:rsidR="00900E19" w:rsidRPr="00AF7798">
              <w:rPr>
                <w:rStyle w:val="Hyperlink"/>
                <w:noProof/>
              </w:rPr>
              <w:t>VI. Pharmacovigilance findings</w:t>
            </w:r>
            <w:r w:rsidR="00900E19">
              <w:rPr>
                <w:noProof/>
                <w:webHidden/>
              </w:rPr>
              <w:tab/>
            </w:r>
            <w:r w:rsidR="00900E19">
              <w:rPr>
                <w:noProof/>
                <w:webHidden/>
              </w:rPr>
              <w:fldChar w:fldCharType="begin"/>
            </w:r>
            <w:r w:rsidR="00900E19">
              <w:rPr>
                <w:noProof/>
                <w:webHidden/>
              </w:rPr>
              <w:instrText xml:space="preserve"> PAGEREF _Toc16587423 \h </w:instrText>
            </w:r>
            <w:r w:rsidR="00900E19">
              <w:rPr>
                <w:noProof/>
                <w:webHidden/>
              </w:rPr>
            </w:r>
            <w:r w:rsidR="00900E19">
              <w:rPr>
                <w:noProof/>
                <w:webHidden/>
              </w:rPr>
              <w:fldChar w:fldCharType="separate"/>
            </w:r>
            <w:r w:rsidR="00900E19">
              <w:rPr>
                <w:noProof/>
                <w:webHidden/>
              </w:rPr>
              <w:t>19</w:t>
            </w:r>
            <w:r w:rsidR="00900E19">
              <w:rPr>
                <w:noProof/>
                <w:webHidden/>
              </w:rPr>
              <w:fldChar w:fldCharType="end"/>
            </w:r>
          </w:hyperlink>
        </w:p>
        <w:p w14:paraId="6997614A" w14:textId="77777777" w:rsidR="00900E19" w:rsidRDefault="00363802">
          <w:pPr>
            <w:pStyle w:val="TOC3"/>
            <w:rPr>
              <w:rFonts w:asciiTheme="minorHAnsi" w:eastAsiaTheme="minorEastAsia" w:hAnsiTheme="minorHAnsi" w:cstheme="minorBidi"/>
              <w:noProof/>
              <w:lang w:eastAsia="en-AU"/>
            </w:rPr>
          </w:pPr>
          <w:hyperlink w:anchor="_Toc16587424" w:history="1">
            <w:r w:rsidR="00900E19" w:rsidRPr="00AF7798">
              <w:rPr>
                <w:rStyle w:val="Hyperlink"/>
                <w:noProof/>
                <w:lang w:eastAsia="en-AU"/>
              </w:rPr>
              <w:t xml:space="preserve">Risk </w:t>
            </w:r>
            <w:r w:rsidR="00900E19" w:rsidRPr="00AF7798">
              <w:rPr>
                <w:rStyle w:val="Hyperlink"/>
                <w:noProof/>
              </w:rPr>
              <w:t>management</w:t>
            </w:r>
            <w:r w:rsidR="00900E19" w:rsidRPr="00AF7798">
              <w:rPr>
                <w:rStyle w:val="Hyperlink"/>
                <w:noProof/>
                <w:lang w:eastAsia="en-AU"/>
              </w:rPr>
              <w:t xml:space="preserve"> plan</w:t>
            </w:r>
            <w:r w:rsidR="00900E19">
              <w:rPr>
                <w:noProof/>
                <w:webHidden/>
              </w:rPr>
              <w:tab/>
            </w:r>
            <w:r w:rsidR="00900E19">
              <w:rPr>
                <w:noProof/>
                <w:webHidden/>
              </w:rPr>
              <w:fldChar w:fldCharType="begin"/>
            </w:r>
            <w:r w:rsidR="00900E19">
              <w:rPr>
                <w:noProof/>
                <w:webHidden/>
              </w:rPr>
              <w:instrText xml:space="preserve"> PAGEREF _Toc16587424 \h </w:instrText>
            </w:r>
            <w:r w:rsidR="00900E19">
              <w:rPr>
                <w:noProof/>
                <w:webHidden/>
              </w:rPr>
            </w:r>
            <w:r w:rsidR="00900E19">
              <w:rPr>
                <w:noProof/>
                <w:webHidden/>
              </w:rPr>
              <w:fldChar w:fldCharType="separate"/>
            </w:r>
            <w:r w:rsidR="00900E19">
              <w:rPr>
                <w:noProof/>
                <w:webHidden/>
              </w:rPr>
              <w:t>19</w:t>
            </w:r>
            <w:r w:rsidR="00900E19">
              <w:rPr>
                <w:noProof/>
                <w:webHidden/>
              </w:rPr>
              <w:fldChar w:fldCharType="end"/>
            </w:r>
          </w:hyperlink>
        </w:p>
        <w:p w14:paraId="6F7C3151" w14:textId="77777777" w:rsidR="00900E19" w:rsidRDefault="00363802">
          <w:pPr>
            <w:pStyle w:val="TOC2"/>
            <w:rPr>
              <w:rFonts w:asciiTheme="minorHAnsi" w:eastAsiaTheme="minorEastAsia" w:hAnsiTheme="minorHAnsi" w:cstheme="minorBidi"/>
              <w:b w:val="0"/>
              <w:noProof/>
              <w:sz w:val="22"/>
              <w:lang w:eastAsia="en-AU"/>
            </w:rPr>
          </w:pPr>
          <w:hyperlink w:anchor="_Toc16587425" w:history="1">
            <w:r w:rsidR="00900E19" w:rsidRPr="00AF7798">
              <w:rPr>
                <w:rStyle w:val="Hyperlink"/>
                <w:noProof/>
              </w:rPr>
              <w:t>VII. Overall conclusion and risk/benefit assessment</w:t>
            </w:r>
            <w:r w:rsidR="00900E19">
              <w:rPr>
                <w:noProof/>
                <w:webHidden/>
              </w:rPr>
              <w:tab/>
            </w:r>
            <w:r w:rsidR="00900E19">
              <w:rPr>
                <w:noProof/>
                <w:webHidden/>
              </w:rPr>
              <w:fldChar w:fldCharType="begin"/>
            </w:r>
            <w:r w:rsidR="00900E19">
              <w:rPr>
                <w:noProof/>
                <w:webHidden/>
              </w:rPr>
              <w:instrText xml:space="preserve"> PAGEREF _Toc16587425 \h </w:instrText>
            </w:r>
            <w:r w:rsidR="00900E19">
              <w:rPr>
                <w:noProof/>
                <w:webHidden/>
              </w:rPr>
            </w:r>
            <w:r w:rsidR="00900E19">
              <w:rPr>
                <w:noProof/>
                <w:webHidden/>
              </w:rPr>
              <w:fldChar w:fldCharType="separate"/>
            </w:r>
            <w:r w:rsidR="00900E19">
              <w:rPr>
                <w:noProof/>
                <w:webHidden/>
              </w:rPr>
              <w:t>20</w:t>
            </w:r>
            <w:r w:rsidR="00900E19">
              <w:rPr>
                <w:noProof/>
                <w:webHidden/>
              </w:rPr>
              <w:fldChar w:fldCharType="end"/>
            </w:r>
          </w:hyperlink>
        </w:p>
        <w:p w14:paraId="0A7CDDAD" w14:textId="77777777" w:rsidR="00900E19" w:rsidRDefault="00363802">
          <w:pPr>
            <w:pStyle w:val="TOC3"/>
            <w:rPr>
              <w:rFonts w:asciiTheme="minorHAnsi" w:eastAsiaTheme="minorEastAsia" w:hAnsiTheme="minorHAnsi" w:cstheme="minorBidi"/>
              <w:noProof/>
              <w:lang w:eastAsia="en-AU"/>
            </w:rPr>
          </w:pPr>
          <w:hyperlink w:anchor="_Toc16587426" w:history="1">
            <w:r w:rsidR="00900E19" w:rsidRPr="00AF7798">
              <w:rPr>
                <w:rStyle w:val="Hyperlink"/>
                <w:noProof/>
              </w:rPr>
              <w:t>Background</w:t>
            </w:r>
            <w:r w:rsidR="00900E19">
              <w:rPr>
                <w:noProof/>
                <w:webHidden/>
              </w:rPr>
              <w:tab/>
            </w:r>
            <w:r w:rsidR="00900E19">
              <w:rPr>
                <w:noProof/>
                <w:webHidden/>
              </w:rPr>
              <w:fldChar w:fldCharType="begin"/>
            </w:r>
            <w:r w:rsidR="00900E19">
              <w:rPr>
                <w:noProof/>
                <w:webHidden/>
              </w:rPr>
              <w:instrText xml:space="preserve"> PAGEREF _Toc16587426 \h </w:instrText>
            </w:r>
            <w:r w:rsidR="00900E19">
              <w:rPr>
                <w:noProof/>
                <w:webHidden/>
              </w:rPr>
            </w:r>
            <w:r w:rsidR="00900E19">
              <w:rPr>
                <w:noProof/>
                <w:webHidden/>
              </w:rPr>
              <w:fldChar w:fldCharType="separate"/>
            </w:r>
            <w:r w:rsidR="00900E19">
              <w:rPr>
                <w:noProof/>
                <w:webHidden/>
              </w:rPr>
              <w:t>20</w:t>
            </w:r>
            <w:r w:rsidR="00900E19">
              <w:rPr>
                <w:noProof/>
                <w:webHidden/>
              </w:rPr>
              <w:fldChar w:fldCharType="end"/>
            </w:r>
          </w:hyperlink>
        </w:p>
        <w:p w14:paraId="7350E2E0" w14:textId="77777777" w:rsidR="00900E19" w:rsidRDefault="00363802">
          <w:pPr>
            <w:pStyle w:val="TOC3"/>
            <w:rPr>
              <w:rFonts w:asciiTheme="minorHAnsi" w:eastAsiaTheme="minorEastAsia" w:hAnsiTheme="minorHAnsi" w:cstheme="minorBidi"/>
              <w:noProof/>
              <w:lang w:eastAsia="en-AU"/>
            </w:rPr>
          </w:pPr>
          <w:hyperlink w:anchor="_Toc16587427" w:history="1">
            <w:r w:rsidR="00900E19" w:rsidRPr="00AF7798">
              <w:rPr>
                <w:rStyle w:val="Hyperlink"/>
                <w:noProof/>
              </w:rPr>
              <w:t>Quality</w:t>
            </w:r>
            <w:r w:rsidR="00900E19">
              <w:rPr>
                <w:noProof/>
                <w:webHidden/>
              </w:rPr>
              <w:tab/>
            </w:r>
            <w:r w:rsidR="00900E19">
              <w:rPr>
                <w:noProof/>
                <w:webHidden/>
              </w:rPr>
              <w:fldChar w:fldCharType="begin"/>
            </w:r>
            <w:r w:rsidR="00900E19">
              <w:rPr>
                <w:noProof/>
                <w:webHidden/>
              </w:rPr>
              <w:instrText xml:space="preserve"> PAGEREF _Toc16587427 \h </w:instrText>
            </w:r>
            <w:r w:rsidR="00900E19">
              <w:rPr>
                <w:noProof/>
                <w:webHidden/>
              </w:rPr>
            </w:r>
            <w:r w:rsidR="00900E19">
              <w:rPr>
                <w:noProof/>
                <w:webHidden/>
              </w:rPr>
              <w:fldChar w:fldCharType="separate"/>
            </w:r>
            <w:r w:rsidR="00900E19">
              <w:rPr>
                <w:noProof/>
                <w:webHidden/>
              </w:rPr>
              <w:t>21</w:t>
            </w:r>
            <w:r w:rsidR="00900E19">
              <w:rPr>
                <w:noProof/>
                <w:webHidden/>
              </w:rPr>
              <w:fldChar w:fldCharType="end"/>
            </w:r>
          </w:hyperlink>
        </w:p>
        <w:p w14:paraId="011CB1F3" w14:textId="77777777" w:rsidR="00900E19" w:rsidRDefault="00363802">
          <w:pPr>
            <w:pStyle w:val="TOC3"/>
            <w:rPr>
              <w:rFonts w:asciiTheme="minorHAnsi" w:eastAsiaTheme="minorEastAsia" w:hAnsiTheme="minorHAnsi" w:cstheme="minorBidi"/>
              <w:noProof/>
              <w:lang w:eastAsia="en-AU"/>
            </w:rPr>
          </w:pPr>
          <w:hyperlink w:anchor="_Toc16587428" w:history="1">
            <w:r w:rsidR="00900E19" w:rsidRPr="00AF7798">
              <w:rPr>
                <w:rStyle w:val="Hyperlink"/>
                <w:noProof/>
              </w:rPr>
              <w:t>Nonclinical</w:t>
            </w:r>
            <w:r w:rsidR="00900E19">
              <w:rPr>
                <w:noProof/>
                <w:webHidden/>
              </w:rPr>
              <w:tab/>
            </w:r>
            <w:r w:rsidR="00900E19">
              <w:rPr>
                <w:noProof/>
                <w:webHidden/>
              </w:rPr>
              <w:fldChar w:fldCharType="begin"/>
            </w:r>
            <w:r w:rsidR="00900E19">
              <w:rPr>
                <w:noProof/>
                <w:webHidden/>
              </w:rPr>
              <w:instrText xml:space="preserve"> PAGEREF _Toc16587428 \h </w:instrText>
            </w:r>
            <w:r w:rsidR="00900E19">
              <w:rPr>
                <w:noProof/>
                <w:webHidden/>
              </w:rPr>
            </w:r>
            <w:r w:rsidR="00900E19">
              <w:rPr>
                <w:noProof/>
                <w:webHidden/>
              </w:rPr>
              <w:fldChar w:fldCharType="separate"/>
            </w:r>
            <w:r w:rsidR="00900E19">
              <w:rPr>
                <w:noProof/>
                <w:webHidden/>
              </w:rPr>
              <w:t>21</w:t>
            </w:r>
            <w:r w:rsidR="00900E19">
              <w:rPr>
                <w:noProof/>
                <w:webHidden/>
              </w:rPr>
              <w:fldChar w:fldCharType="end"/>
            </w:r>
          </w:hyperlink>
        </w:p>
        <w:p w14:paraId="44E37372" w14:textId="77777777" w:rsidR="00900E19" w:rsidRDefault="00363802">
          <w:pPr>
            <w:pStyle w:val="TOC3"/>
            <w:rPr>
              <w:rFonts w:asciiTheme="minorHAnsi" w:eastAsiaTheme="minorEastAsia" w:hAnsiTheme="minorHAnsi" w:cstheme="minorBidi"/>
              <w:noProof/>
              <w:lang w:eastAsia="en-AU"/>
            </w:rPr>
          </w:pPr>
          <w:hyperlink w:anchor="_Toc16587429" w:history="1">
            <w:r w:rsidR="00900E19" w:rsidRPr="00AF7798">
              <w:rPr>
                <w:rStyle w:val="Hyperlink"/>
                <w:noProof/>
              </w:rPr>
              <w:t>Clinical</w:t>
            </w:r>
            <w:r w:rsidR="00900E19">
              <w:rPr>
                <w:noProof/>
                <w:webHidden/>
              </w:rPr>
              <w:tab/>
            </w:r>
            <w:r w:rsidR="00900E19">
              <w:rPr>
                <w:noProof/>
                <w:webHidden/>
              </w:rPr>
              <w:fldChar w:fldCharType="begin"/>
            </w:r>
            <w:r w:rsidR="00900E19">
              <w:rPr>
                <w:noProof/>
                <w:webHidden/>
              </w:rPr>
              <w:instrText xml:space="preserve"> PAGEREF _Toc16587429 \h </w:instrText>
            </w:r>
            <w:r w:rsidR="00900E19">
              <w:rPr>
                <w:noProof/>
                <w:webHidden/>
              </w:rPr>
            </w:r>
            <w:r w:rsidR="00900E19">
              <w:rPr>
                <w:noProof/>
                <w:webHidden/>
              </w:rPr>
              <w:fldChar w:fldCharType="separate"/>
            </w:r>
            <w:r w:rsidR="00900E19">
              <w:rPr>
                <w:noProof/>
                <w:webHidden/>
              </w:rPr>
              <w:t>21</w:t>
            </w:r>
            <w:r w:rsidR="00900E19">
              <w:rPr>
                <w:noProof/>
                <w:webHidden/>
              </w:rPr>
              <w:fldChar w:fldCharType="end"/>
            </w:r>
          </w:hyperlink>
        </w:p>
        <w:p w14:paraId="64D0B0C8" w14:textId="77777777" w:rsidR="00900E19" w:rsidRDefault="00363802">
          <w:pPr>
            <w:pStyle w:val="TOC3"/>
            <w:rPr>
              <w:rFonts w:asciiTheme="minorHAnsi" w:eastAsiaTheme="minorEastAsia" w:hAnsiTheme="minorHAnsi" w:cstheme="minorBidi"/>
              <w:noProof/>
              <w:lang w:eastAsia="en-AU"/>
            </w:rPr>
          </w:pPr>
          <w:hyperlink w:anchor="_Toc16587430" w:history="1">
            <w:r w:rsidR="00900E19" w:rsidRPr="00AF7798">
              <w:rPr>
                <w:rStyle w:val="Hyperlink"/>
                <w:noProof/>
              </w:rPr>
              <w:t>Risk management plan</w:t>
            </w:r>
            <w:r w:rsidR="00900E19">
              <w:rPr>
                <w:noProof/>
                <w:webHidden/>
              </w:rPr>
              <w:tab/>
            </w:r>
            <w:r w:rsidR="00900E19">
              <w:rPr>
                <w:noProof/>
                <w:webHidden/>
              </w:rPr>
              <w:fldChar w:fldCharType="begin"/>
            </w:r>
            <w:r w:rsidR="00900E19">
              <w:rPr>
                <w:noProof/>
                <w:webHidden/>
              </w:rPr>
              <w:instrText xml:space="preserve"> PAGEREF _Toc16587430 \h </w:instrText>
            </w:r>
            <w:r w:rsidR="00900E19">
              <w:rPr>
                <w:noProof/>
                <w:webHidden/>
              </w:rPr>
            </w:r>
            <w:r w:rsidR="00900E19">
              <w:rPr>
                <w:noProof/>
                <w:webHidden/>
              </w:rPr>
              <w:fldChar w:fldCharType="separate"/>
            </w:r>
            <w:r w:rsidR="00900E19">
              <w:rPr>
                <w:noProof/>
                <w:webHidden/>
              </w:rPr>
              <w:t>22</w:t>
            </w:r>
            <w:r w:rsidR="00900E19">
              <w:rPr>
                <w:noProof/>
                <w:webHidden/>
              </w:rPr>
              <w:fldChar w:fldCharType="end"/>
            </w:r>
          </w:hyperlink>
        </w:p>
        <w:p w14:paraId="351AE231" w14:textId="77777777" w:rsidR="00900E19" w:rsidRDefault="00363802">
          <w:pPr>
            <w:pStyle w:val="TOC3"/>
            <w:rPr>
              <w:rFonts w:asciiTheme="minorHAnsi" w:eastAsiaTheme="minorEastAsia" w:hAnsiTheme="minorHAnsi" w:cstheme="minorBidi"/>
              <w:noProof/>
              <w:lang w:eastAsia="en-AU"/>
            </w:rPr>
          </w:pPr>
          <w:hyperlink w:anchor="_Toc16587431" w:history="1">
            <w:r w:rsidR="00900E19" w:rsidRPr="00AF7798">
              <w:rPr>
                <w:rStyle w:val="Hyperlink"/>
                <w:noProof/>
              </w:rPr>
              <w:t>Risk-benefit analysis</w:t>
            </w:r>
            <w:r w:rsidR="00900E19">
              <w:rPr>
                <w:noProof/>
                <w:webHidden/>
              </w:rPr>
              <w:tab/>
            </w:r>
            <w:r w:rsidR="00900E19">
              <w:rPr>
                <w:noProof/>
                <w:webHidden/>
              </w:rPr>
              <w:fldChar w:fldCharType="begin"/>
            </w:r>
            <w:r w:rsidR="00900E19">
              <w:rPr>
                <w:noProof/>
                <w:webHidden/>
              </w:rPr>
              <w:instrText xml:space="preserve"> PAGEREF _Toc16587431 \h </w:instrText>
            </w:r>
            <w:r w:rsidR="00900E19">
              <w:rPr>
                <w:noProof/>
                <w:webHidden/>
              </w:rPr>
            </w:r>
            <w:r w:rsidR="00900E19">
              <w:rPr>
                <w:noProof/>
                <w:webHidden/>
              </w:rPr>
              <w:fldChar w:fldCharType="separate"/>
            </w:r>
            <w:r w:rsidR="00900E19">
              <w:rPr>
                <w:noProof/>
                <w:webHidden/>
              </w:rPr>
              <w:t>24</w:t>
            </w:r>
            <w:r w:rsidR="00900E19">
              <w:rPr>
                <w:noProof/>
                <w:webHidden/>
              </w:rPr>
              <w:fldChar w:fldCharType="end"/>
            </w:r>
          </w:hyperlink>
        </w:p>
        <w:p w14:paraId="63643D1A" w14:textId="77777777" w:rsidR="00900E19" w:rsidRDefault="00363802">
          <w:pPr>
            <w:pStyle w:val="TOC3"/>
            <w:rPr>
              <w:rFonts w:asciiTheme="minorHAnsi" w:eastAsiaTheme="minorEastAsia" w:hAnsiTheme="minorHAnsi" w:cstheme="minorBidi"/>
              <w:noProof/>
              <w:lang w:eastAsia="en-AU"/>
            </w:rPr>
          </w:pPr>
          <w:hyperlink w:anchor="_Toc16587432" w:history="1">
            <w:r w:rsidR="00900E19" w:rsidRPr="00AF7798">
              <w:rPr>
                <w:rStyle w:val="Hyperlink"/>
                <w:noProof/>
              </w:rPr>
              <w:t>Outcome</w:t>
            </w:r>
            <w:r w:rsidR="00900E19">
              <w:rPr>
                <w:noProof/>
                <w:webHidden/>
              </w:rPr>
              <w:tab/>
            </w:r>
            <w:r w:rsidR="00900E19">
              <w:rPr>
                <w:noProof/>
                <w:webHidden/>
              </w:rPr>
              <w:fldChar w:fldCharType="begin"/>
            </w:r>
            <w:r w:rsidR="00900E19">
              <w:rPr>
                <w:noProof/>
                <w:webHidden/>
              </w:rPr>
              <w:instrText xml:space="preserve"> PAGEREF _Toc16587432 \h </w:instrText>
            </w:r>
            <w:r w:rsidR="00900E19">
              <w:rPr>
                <w:noProof/>
                <w:webHidden/>
              </w:rPr>
            </w:r>
            <w:r w:rsidR="00900E19">
              <w:rPr>
                <w:noProof/>
                <w:webHidden/>
              </w:rPr>
              <w:fldChar w:fldCharType="separate"/>
            </w:r>
            <w:r w:rsidR="00900E19">
              <w:rPr>
                <w:noProof/>
                <w:webHidden/>
              </w:rPr>
              <w:t>26</w:t>
            </w:r>
            <w:r w:rsidR="00900E19">
              <w:rPr>
                <w:noProof/>
                <w:webHidden/>
              </w:rPr>
              <w:fldChar w:fldCharType="end"/>
            </w:r>
          </w:hyperlink>
        </w:p>
        <w:p w14:paraId="1788FD58" w14:textId="77777777" w:rsidR="00900E19" w:rsidRDefault="00363802">
          <w:pPr>
            <w:pStyle w:val="TOC2"/>
            <w:rPr>
              <w:rFonts w:asciiTheme="minorHAnsi" w:eastAsiaTheme="minorEastAsia" w:hAnsiTheme="minorHAnsi" w:cstheme="minorBidi"/>
              <w:b w:val="0"/>
              <w:noProof/>
              <w:sz w:val="22"/>
              <w:lang w:eastAsia="en-AU"/>
            </w:rPr>
          </w:pPr>
          <w:hyperlink w:anchor="_Toc16587433" w:history="1">
            <w:r w:rsidR="00900E19" w:rsidRPr="00AF7798">
              <w:rPr>
                <w:rStyle w:val="Hyperlink"/>
                <w:noProof/>
              </w:rPr>
              <w:t>Attachment 1. Product Information</w:t>
            </w:r>
            <w:r w:rsidR="00900E19">
              <w:rPr>
                <w:noProof/>
                <w:webHidden/>
              </w:rPr>
              <w:tab/>
            </w:r>
            <w:r w:rsidR="00900E19">
              <w:rPr>
                <w:noProof/>
                <w:webHidden/>
              </w:rPr>
              <w:fldChar w:fldCharType="begin"/>
            </w:r>
            <w:r w:rsidR="00900E19">
              <w:rPr>
                <w:noProof/>
                <w:webHidden/>
              </w:rPr>
              <w:instrText xml:space="preserve"> PAGEREF _Toc16587433 \h </w:instrText>
            </w:r>
            <w:r w:rsidR="00900E19">
              <w:rPr>
                <w:noProof/>
                <w:webHidden/>
              </w:rPr>
            </w:r>
            <w:r w:rsidR="00900E19">
              <w:rPr>
                <w:noProof/>
                <w:webHidden/>
              </w:rPr>
              <w:fldChar w:fldCharType="separate"/>
            </w:r>
            <w:r w:rsidR="00900E19">
              <w:rPr>
                <w:noProof/>
                <w:webHidden/>
              </w:rPr>
              <w:t>27</w:t>
            </w:r>
            <w:r w:rsidR="00900E19">
              <w:rPr>
                <w:noProof/>
                <w:webHidden/>
              </w:rPr>
              <w:fldChar w:fldCharType="end"/>
            </w:r>
          </w:hyperlink>
        </w:p>
        <w:p w14:paraId="6DC8D49A" w14:textId="77777777" w:rsidR="003A7F6C" w:rsidRPr="00B811C6" w:rsidRDefault="00DB6124" w:rsidP="00B811C6">
          <w:pPr>
            <w:pStyle w:val="TOC2"/>
          </w:pPr>
          <w:r>
            <w:fldChar w:fldCharType="end"/>
          </w:r>
        </w:p>
      </w:sdtContent>
    </w:sdt>
    <w:bookmarkStart w:id="3" w:name="_Toc314842482" w:displacedByCustomXml="prev"/>
    <w:p w14:paraId="4C91057D" w14:textId="77777777" w:rsidR="00FD119B" w:rsidRDefault="00FD119B" w:rsidP="00030ABD">
      <w:r>
        <w:br w:type="page"/>
      </w:r>
    </w:p>
    <w:p w14:paraId="728C7BD3" w14:textId="77777777"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16587403"/>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3F6D34FD"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127751AE"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068535CA" w14:textId="77777777" w:rsidR="00FD119B" w:rsidRPr="00FD119B" w:rsidRDefault="00FD119B" w:rsidP="00FD119B">
            <w:pPr>
              <w:keepNext w:val="0"/>
              <w:ind w:left="0" w:right="0"/>
              <w:rPr>
                <w:szCs w:val="22"/>
                <w:lang w:eastAsia="en-US"/>
              </w:rPr>
            </w:pPr>
            <w:r w:rsidRPr="00FD119B">
              <w:rPr>
                <w:szCs w:val="22"/>
                <w:lang w:eastAsia="en-US"/>
              </w:rPr>
              <w:t>Meaning</w:t>
            </w:r>
          </w:p>
        </w:tc>
      </w:tr>
      <w:tr w:rsidR="008E61E8" w:rsidRPr="00FD119B" w14:paraId="1276DFB8" w14:textId="77777777" w:rsidTr="00FD119B">
        <w:tc>
          <w:tcPr>
            <w:tcW w:w="1809" w:type="dxa"/>
          </w:tcPr>
          <w:p w14:paraId="5B96A700" w14:textId="77777777" w:rsidR="008E61E8" w:rsidRPr="00D77FDD" w:rsidRDefault="008E61E8" w:rsidP="00FC0C85">
            <w:pPr>
              <w:spacing w:line="276" w:lineRule="auto"/>
              <w:jc w:val="both"/>
              <w:rPr>
                <w:rFonts w:asciiTheme="minorHAnsi" w:hAnsiTheme="minorHAnsi"/>
              </w:rPr>
            </w:pPr>
            <w:r>
              <w:t>ADR</w:t>
            </w:r>
          </w:p>
        </w:tc>
        <w:tc>
          <w:tcPr>
            <w:tcW w:w="6911" w:type="dxa"/>
          </w:tcPr>
          <w:p w14:paraId="3D9183B7" w14:textId="77777777" w:rsidR="008E61E8" w:rsidRDefault="008E61E8" w:rsidP="00FC0C85">
            <w:pPr>
              <w:spacing w:line="276" w:lineRule="auto"/>
              <w:jc w:val="both"/>
              <w:rPr>
                <w:rFonts w:asciiTheme="minorHAnsi" w:hAnsiTheme="minorHAnsi"/>
              </w:rPr>
            </w:pPr>
            <w:r>
              <w:t>Adverse drug reaction</w:t>
            </w:r>
          </w:p>
        </w:tc>
      </w:tr>
      <w:tr w:rsidR="00565FBD" w:rsidRPr="00FD119B" w14:paraId="3B87A4C4" w14:textId="77777777" w:rsidTr="00FD119B">
        <w:tc>
          <w:tcPr>
            <w:tcW w:w="1809" w:type="dxa"/>
          </w:tcPr>
          <w:p w14:paraId="75716052"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AE</w:t>
            </w:r>
          </w:p>
        </w:tc>
        <w:tc>
          <w:tcPr>
            <w:tcW w:w="6911" w:type="dxa"/>
          </w:tcPr>
          <w:p w14:paraId="198918C3" w14:textId="77777777" w:rsidR="00565FBD" w:rsidRPr="00D77FDD" w:rsidRDefault="0070416F" w:rsidP="00FC0C85">
            <w:pPr>
              <w:spacing w:line="276" w:lineRule="auto"/>
              <w:jc w:val="both"/>
              <w:rPr>
                <w:rFonts w:asciiTheme="minorHAnsi" w:hAnsiTheme="minorHAnsi"/>
                <w:szCs w:val="22"/>
              </w:rPr>
            </w:pPr>
            <w:r>
              <w:rPr>
                <w:rFonts w:asciiTheme="minorHAnsi" w:hAnsiTheme="minorHAnsi"/>
                <w:szCs w:val="22"/>
              </w:rPr>
              <w:t>Adverse e</w:t>
            </w:r>
            <w:r w:rsidR="00565FBD" w:rsidRPr="00D77FDD">
              <w:rPr>
                <w:rFonts w:asciiTheme="minorHAnsi" w:hAnsiTheme="minorHAnsi"/>
                <w:szCs w:val="22"/>
              </w:rPr>
              <w:t>vent</w:t>
            </w:r>
          </w:p>
        </w:tc>
      </w:tr>
      <w:tr w:rsidR="00565FBD" w:rsidRPr="00FD119B" w14:paraId="46BF9A66" w14:textId="77777777" w:rsidTr="00FD119B">
        <w:tc>
          <w:tcPr>
            <w:tcW w:w="1809" w:type="dxa"/>
          </w:tcPr>
          <w:p w14:paraId="5DC8C852"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AUC</w:t>
            </w:r>
            <w:r w:rsidRPr="00D77FDD">
              <w:rPr>
                <w:rFonts w:asciiTheme="minorHAnsi" w:hAnsiTheme="minorHAnsi"/>
                <w:szCs w:val="22"/>
                <w:vertAlign w:val="subscript"/>
              </w:rPr>
              <w:t>0-t</w:t>
            </w:r>
          </w:p>
        </w:tc>
        <w:tc>
          <w:tcPr>
            <w:tcW w:w="6911" w:type="dxa"/>
          </w:tcPr>
          <w:p w14:paraId="7AB9D8D0" w14:textId="77777777" w:rsidR="00565FBD" w:rsidRPr="00D77FDD" w:rsidRDefault="00565FBD" w:rsidP="00FC0C85">
            <w:pPr>
              <w:autoSpaceDE w:val="0"/>
              <w:autoSpaceDN w:val="0"/>
              <w:adjustRightInd w:val="0"/>
              <w:spacing w:before="0" w:after="0" w:line="240" w:lineRule="auto"/>
              <w:jc w:val="both"/>
              <w:rPr>
                <w:rFonts w:asciiTheme="minorHAnsi" w:eastAsia="TimesNewRoman" w:hAnsiTheme="minorHAnsi" w:cs="TimesNewRoman"/>
                <w:szCs w:val="22"/>
              </w:rPr>
            </w:pPr>
            <w:r w:rsidRPr="00D77FDD">
              <w:rPr>
                <w:rFonts w:asciiTheme="minorHAnsi" w:hAnsiTheme="minorHAnsi"/>
                <w:szCs w:val="22"/>
              </w:rPr>
              <w:t xml:space="preserve">Area under the drug concentration versus time </w:t>
            </w:r>
            <w:r w:rsidRPr="00D77FDD">
              <w:rPr>
                <w:rFonts w:asciiTheme="minorHAnsi" w:eastAsia="TimesNewRoman" w:hAnsiTheme="minorHAnsi" w:cs="TimesNewRoman"/>
                <w:szCs w:val="22"/>
              </w:rPr>
              <w:t>curve until last measurable sampling time point</w:t>
            </w:r>
          </w:p>
        </w:tc>
      </w:tr>
      <w:tr w:rsidR="004B5819" w:rsidRPr="00FD119B" w14:paraId="5AB238DD" w14:textId="77777777" w:rsidTr="004B5819">
        <w:tc>
          <w:tcPr>
            <w:tcW w:w="1809" w:type="dxa"/>
          </w:tcPr>
          <w:p w14:paraId="3F931831" w14:textId="77777777" w:rsidR="004B5819" w:rsidRPr="00D77FDD" w:rsidRDefault="004B5819" w:rsidP="00FC0C85">
            <w:pPr>
              <w:spacing w:line="276" w:lineRule="auto"/>
              <w:jc w:val="both"/>
              <w:rPr>
                <w:rFonts w:asciiTheme="minorHAnsi" w:hAnsiTheme="minorHAnsi"/>
              </w:rPr>
            </w:pPr>
            <w:r w:rsidRPr="00D77FDD">
              <w:t>BE</w:t>
            </w:r>
          </w:p>
        </w:tc>
        <w:tc>
          <w:tcPr>
            <w:tcW w:w="6911" w:type="dxa"/>
            <w:vAlign w:val="center"/>
          </w:tcPr>
          <w:p w14:paraId="0913E12D" w14:textId="77777777" w:rsidR="004B5819" w:rsidRPr="00D77FDD" w:rsidRDefault="004B5819" w:rsidP="004B5819">
            <w:pPr>
              <w:autoSpaceDE w:val="0"/>
              <w:autoSpaceDN w:val="0"/>
              <w:adjustRightInd w:val="0"/>
              <w:spacing w:before="0" w:after="0" w:line="240" w:lineRule="auto"/>
              <w:rPr>
                <w:rFonts w:asciiTheme="minorHAnsi" w:hAnsiTheme="minorHAnsi"/>
              </w:rPr>
            </w:pPr>
            <w:r>
              <w:rPr>
                <w:rFonts w:asciiTheme="minorHAnsi" w:hAnsiTheme="minorHAnsi"/>
              </w:rPr>
              <w:t>Bioequivalence</w:t>
            </w:r>
          </w:p>
        </w:tc>
      </w:tr>
      <w:tr w:rsidR="00565FBD" w:rsidRPr="00FD119B" w14:paraId="0617F8E6" w14:textId="77777777" w:rsidTr="00FD119B">
        <w:tc>
          <w:tcPr>
            <w:tcW w:w="1809" w:type="dxa"/>
          </w:tcPr>
          <w:p w14:paraId="023C5500"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CI</w:t>
            </w:r>
          </w:p>
        </w:tc>
        <w:tc>
          <w:tcPr>
            <w:tcW w:w="6911" w:type="dxa"/>
          </w:tcPr>
          <w:p w14:paraId="5F9584E4" w14:textId="77777777" w:rsidR="00565FBD" w:rsidRPr="00D77FDD" w:rsidRDefault="00565FBD" w:rsidP="00267E1F">
            <w:pPr>
              <w:spacing w:line="276" w:lineRule="auto"/>
              <w:jc w:val="both"/>
              <w:rPr>
                <w:rFonts w:asciiTheme="minorHAnsi" w:hAnsiTheme="minorHAnsi"/>
                <w:szCs w:val="22"/>
              </w:rPr>
            </w:pPr>
            <w:r w:rsidRPr="00D77FDD">
              <w:rPr>
                <w:rFonts w:asciiTheme="minorHAnsi" w:hAnsiTheme="minorHAnsi"/>
                <w:szCs w:val="22"/>
              </w:rPr>
              <w:t xml:space="preserve">Confidence </w:t>
            </w:r>
            <w:r w:rsidR="00267E1F">
              <w:rPr>
                <w:rFonts w:asciiTheme="minorHAnsi" w:hAnsiTheme="minorHAnsi"/>
                <w:szCs w:val="22"/>
              </w:rPr>
              <w:t>i</w:t>
            </w:r>
            <w:r w:rsidRPr="00D77FDD">
              <w:rPr>
                <w:rFonts w:asciiTheme="minorHAnsi" w:hAnsiTheme="minorHAnsi"/>
                <w:szCs w:val="22"/>
              </w:rPr>
              <w:t>nterval</w:t>
            </w:r>
          </w:p>
        </w:tc>
      </w:tr>
      <w:tr w:rsidR="00565FBD" w:rsidRPr="00FD119B" w14:paraId="70319BFB" w14:textId="77777777" w:rsidTr="00FD119B">
        <w:tc>
          <w:tcPr>
            <w:tcW w:w="1809" w:type="dxa"/>
          </w:tcPr>
          <w:p w14:paraId="60B44068" w14:textId="77777777" w:rsidR="00565FBD" w:rsidRPr="00D77FDD" w:rsidRDefault="0028670C" w:rsidP="00FC0C85">
            <w:pPr>
              <w:spacing w:line="276" w:lineRule="auto"/>
              <w:jc w:val="both"/>
              <w:rPr>
                <w:rFonts w:asciiTheme="minorHAnsi" w:hAnsiTheme="minorHAnsi"/>
                <w:szCs w:val="22"/>
              </w:rPr>
            </w:pPr>
            <w:proofErr w:type="spellStart"/>
            <w:r w:rsidRPr="00794740">
              <w:t>C</w:t>
            </w:r>
            <w:r w:rsidRPr="0028670C">
              <w:rPr>
                <w:vertAlign w:val="subscript"/>
              </w:rPr>
              <w:t>max</w:t>
            </w:r>
            <w:proofErr w:type="spellEnd"/>
          </w:p>
        </w:tc>
        <w:tc>
          <w:tcPr>
            <w:tcW w:w="6911" w:type="dxa"/>
          </w:tcPr>
          <w:p w14:paraId="7E17C01A" w14:textId="77777777" w:rsidR="00565FBD" w:rsidRPr="00D77FDD" w:rsidRDefault="00565FBD" w:rsidP="00FC0C85">
            <w:pPr>
              <w:spacing w:line="276" w:lineRule="auto"/>
              <w:jc w:val="both"/>
              <w:rPr>
                <w:rFonts w:asciiTheme="minorHAnsi" w:hAnsiTheme="minorHAnsi"/>
                <w:szCs w:val="22"/>
              </w:rPr>
            </w:pPr>
            <w:r w:rsidRPr="00D77FDD">
              <w:rPr>
                <w:rFonts w:asciiTheme="minorHAnsi" w:eastAsia="TimesNewRoman" w:hAnsiTheme="minorHAnsi" w:cs="TimesNewRoman"/>
                <w:szCs w:val="22"/>
              </w:rPr>
              <w:t>Maximum measured concentration of drug</w:t>
            </w:r>
          </w:p>
        </w:tc>
      </w:tr>
      <w:tr w:rsidR="0070416F" w:rsidRPr="00FD119B" w14:paraId="537C7156" w14:textId="77777777" w:rsidTr="00FD119B">
        <w:tc>
          <w:tcPr>
            <w:tcW w:w="1809" w:type="dxa"/>
          </w:tcPr>
          <w:p w14:paraId="3A39D3CF" w14:textId="77777777" w:rsidR="0070416F" w:rsidRPr="0070416F" w:rsidRDefault="0070416F" w:rsidP="00FC0C85">
            <w:pPr>
              <w:spacing w:line="276" w:lineRule="auto"/>
              <w:jc w:val="both"/>
            </w:pPr>
            <w:r w:rsidRPr="0070416F">
              <w:t>COPD</w:t>
            </w:r>
          </w:p>
        </w:tc>
        <w:tc>
          <w:tcPr>
            <w:tcW w:w="6911" w:type="dxa"/>
          </w:tcPr>
          <w:p w14:paraId="577F8E21" w14:textId="77777777" w:rsidR="0070416F" w:rsidRPr="0070416F" w:rsidRDefault="0070416F" w:rsidP="00FC0C85">
            <w:pPr>
              <w:spacing w:line="276" w:lineRule="auto"/>
              <w:jc w:val="both"/>
              <w:rPr>
                <w:rFonts w:asciiTheme="minorHAnsi" w:eastAsia="TimesNewRoman" w:hAnsiTheme="minorHAnsi" w:cs="TimesNewRoman"/>
              </w:rPr>
            </w:pPr>
            <w:r w:rsidRPr="0070416F">
              <w:rPr>
                <w:rFonts w:asciiTheme="minorHAnsi" w:eastAsia="TimesNewRoman" w:hAnsiTheme="minorHAnsi" w:cs="TimesNewRoman"/>
              </w:rPr>
              <w:t>Chronic obstructive pulmonary disease</w:t>
            </w:r>
          </w:p>
        </w:tc>
      </w:tr>
      <w:tr w:rsidR="002865E8" w:rsidRPr="00FD119B" w14:paraId="60799EB6" w14:textId="77777777" w:rsidTr="00FD119B">
        <w:tc>
          <w:tcPr>
            <w:tcW w:w="1809" w:type="dxa"/>
          </w:tcPr>
          <w:p w14:paraId="6814D8EA" w14:textId="77777777" w:rsidR="002865E8" w:rsidRPr="0070416F" w:rsidRDefault="002865E8" w:rsidP="00FC0C85">
            <w:pPr>
              <w:spacing w:line="276" w:lineRule="auto"/>
              <w:jc w:val="both"/>
            </w:pPr>
            <w:r>
              <w:t>CV</w:t>
            </w:r>
          </w:p>
        </w:tc>
        <w:tc>
          <w:tcPr>
            <w:tcW w:w="6911" w:type="dxa"/>
          </w:tcPr>
          <w:p w14:paraId="02D27FB3" w14:textId="77777777" w:rsidR="002865E8" w:rsidRPr="0070416F" w:rsidRDefault="002865E8" w:rsidP="00FC0C85">
            <w:pPr>
              <w:spacing w:line="276" w:lineRule="auto"/>
              <w:jc w:val="both"/>
              <w:rPr>
                <w:rFonts w:asciiTheme="minorHAnsi" w:eastAsia="TimesNewRoman" w:hAnsiTheme="minorHAnsi" w:cs="TimesNewRoman"/>
              </w:rPr>
            </w:pPr>
            <w:r>
              <w:rPr>
                <w:rFonts w:asciiTheme="minorHAnsi" w:eastAsia="TimesNewRoman" w:hAnsiTheme="minorHAnsi" w:cs="TimesNewRoman"/>
              </w:rPr>
              <w:t>Coefficient of variation</w:t>
            </w:r>
          </w:p>
        </w:tc>
      </w:tr>
      <w:tr w:rsidR="002865E8" w:rsidRPr="00FD119B" w14:paraId="2ED2AE38" w14:textId="77777777" w:rsidTr="00FD119B">
        <w:tc>
          <w:tcPr>
            <w:tcW w:w="1809" w:type="dxa"/>
          </w:tcPr>
          <w:p w14:paraId="34CA9E29" w14:textId="77777777" w:rsidR="002865E8" w:rsidRPr="0070416F" w:rsidRDefault="002865E8" w:rsidP="00FC0C85">
            <w:pPr>
              <w:spacing w:line="276" w:lineRule="auto"/>
              <w:jc w:val="both"/>
            </w:pPr>
            <w:r w:rsidRPr="00AD060C">
              <w:t>DHPC</w:t>
            </w:r>
          </w:p>
        </w:tc>
        <w:tc>
          <w:tcPr>
            <w:tcW w:w="6911" w:type="dxa"/>
          </w:tcPr>
          <w:p w14:paraId="5C2266E8" w14:textId="77777777" w:rsidR="002865E8" w:rsidRPr="0070416F" w:rsidRDefault="002865E8" w:rsidP="002865E8">
            <w:pPr>
              <w:spacing w:line="276" w:lineRule="auto"/>
              <w:jc w:val="both"/>
              <w:rPr>
                <w:rFonts w:asciiTheme="minorHAnsi" w:eastAsia="TimesNewRoman" w:hAnsiTheme="minorHAnsi" w:cs="TimesNewRoman"/>
              </w:rPr>
            </w:pPr>
            <w:r>
              <w:t>D</w:t>
            </w:r>
            <w:r w:rsidRPr="00AD060C">
              <w:t>irect healthcare professional communicat</w:t>
            </w:r>
            <w:r>
              <w:t>ion</w:t>
            </w:r>
          </w:p>
        </w:tc>
      </w:tr>
      <w:tr w:rsidR="00565FBD" w:rsidRPr="00FD119B" w14:paraId="04A895E3" w14:textId="77777777" w:rsidTr="00FD119B">
        <w:tc>
          <w:tcPr>
            <w:tcW w:w="1809" w:type="dxa"/>
          </w:tcPr>
          <w:p w14:paraId="63726F50" w14:textId="77777777" w:rsidR="00565FBD" w:rsidRPr="00D77FDD" w:rsidRDefault="00565FBD" w:rsidP="00FC0C85">
            <w:pPr>
              <w:spacing w:line="276" w:lineRule="auto"/>
              <w:jc w:val="both"/>
              <w:rPr>
                <w:rFonts w:asciiTheme="minorHAnsi" w:hAnsiTheme="minorHAnsi"/>
              </w:rPr>
            </w:pPr>
            <w:r w:rsidRPr="00D77FDD">
              <w:rPr>
                <w:rFonts w:asciiTheme="minorHAnsi" w:hAnsiTheme="minorHAnsi"/>
              </w:rPr>
              <w:t>DPI</w:t>
            </w:r>
          </w:p>
        </w:tc>
        <w:tc>
          <w:tcPr>
            <w:tcW w:w="6911" w:type="dxa"/>
          </w:tcPr>
          <w:p w14:paraId="38252927" w14:textId="77777777" w:rsidR="00565FBD" w:rsidRPr="00D77FDD" w:rsidRDefault="00565FBD" w:rsidP="00FC0C85">
            <w:pPr>
              <w:spacing w:line="276" w:lineRule="auto"/>
              <w:jc w:val="both"/>
              <w:rPr>
                <w:rFonts w:asciiTheme="minorHAnsi" w:eastAsia="TimesNewRoman" w:hAnsiTheme="minorHAnsi" w:cs="TimesNewRoman"/>
              </w:rPr>
            </w:pPr>
            <w:r w:rsidRPr="00D77FDD">
              <w:rPr>
                <w:rFonts w:asciiTheme="minorHAnsi" w:eastAsia="TimesNewRoman" w:hAnsiTheme="minorHAnsi" w:cs="TimesNewRoman"/>
              </w:rPr>
              <w:t xml:space="preserve">Dry </w:t>
            </w:r>
            <w:r w:rsidR="0070416F" w:rsidRPr="00D77FDD">
              <w:rPr>
                <w:rFonts w:asciiTheme="minorHAnsi" w:eastAsia="TimesNewRoman" w:hAnsiTheme="minorHAnsi" w:cs="TimesNewRoman"/>
              </w:rPr>
              <w:t>powder inhaler</w:t>
            </w:r>
          </w:p>
        </w:tc>
      </w:tr>
      <w:tr w:rsidR="0070416F" w:rsidRPr="00FD119B" w14:paraId="009F0B9A" w14:textId="77777777" w:rsidTr="00FD119B">
        <w:tc>
          <w:tcPr>
            <w:tcW w:w="1809" w:type="dxa"/>
          </w:tcPr>
          <w:p w14:paraId="528ADB56" w14:textId="77777777" w:rsidR="0070416F" w:rsidRPr="00D77FDD" w:rsidRDefault="0070416F" w:rsidP="00FC0C85">
            <w:pPr>
              <w:spacing w:line="276" w:lineRule="auto"/>
              <w:jc w:val="both"/>
              <w:rPr>
                <w:rFonts w:asciiTheme="minorHAnsi" w:hAnsiTheme="minorHAnsi"/>
              </w:rPr>
            </w:pPr>
            <w:r>
              <w:t>EU</w:t>
            </w:r>
          </w:p>
        </w:tc>
        <w:tc>
          <w:tcPr>
            <w:tcW w:w="6911" w:type="dxa"/>
          </w:tcPr>
          <w:p w14:paraId="340D6316" w14:textId="77777777" w:rsidR="0070416F" w:rsidRPr="00D77FDD" w:rsidRDefault="0070416F" w:rsidP="0070416F">
            <w:pPr>
              <w:spacing w:line="276" w:lineRule="auto"/>
              <w:jc w:val="both"/>
              <w:rPr>
                <w:rFonts w:asciiTheme="minorHAnsi" w:eastAsia="TimesNewRoman" w:hAnsiTheme="minorHAnsi" w:cs="TimesNewRoman"/>
              </w:rPr>
            </w:pPr>
            <w:r>
              <w:t>European Union</w:t>
            </w:r>
          </w:p>
        </w:tc>
      </w:tr>
      <w:tr w:rsidR="002865E8" w:rsidRPr="00FD119B" w14:paraId="70CE30BC" w14:textId="77777777" w:rsidTr="00FD119B">
        <w:tc>
          <w:tcPr>
            <w:tcW w:w="1809" w:type="dxa"/>
          </w:tcPr>
          <w:p w14:paraId="708CC6CB" w14:textId="77777777" w:rsidR="002865E8" w:rsidRDefault="002865E8" w:rsidP="00FC0C85">
            <w:pPr>
              <w:spacing w:line="276" w:lineRule="auto"/>
              <w:jc w:val="both"/>
            </w:pPr>
            <w:r w:rsidRPr="006C3311">
              <w:t>GMP</w:t>
            </w:r>
          </w:p>
        </w:tc>
        <w:tc>
          <w:tcPr>
            <w:tcW w:w="6911" w:type="dxa"/>
          </w:tcPr>
          <w:p w14:paraId="63B34E42" w14:textId="181E3704" w:rsidR="002865E8" w:rsidRDefault="002865E8" w:rsidP="0005260A">
            <w:pPr>
              <w:spacing w:line="276" w:lineRule="auto"/>
              <w:jc w:val="both"/>
            </w:pPr>
            <w:r>
              <w:t xml:space="preserve">Good </w:t>
            </w:r>
            <w:r w:rsidR="0005260A">
              <w:t>Manufacturing Practice</w:t>
            </w:r>
          </w:p>
        </w:tc>
      </w:tr>
      <w:tr w:rsidR="00267E1F" w:rsidRPr="00FD119B" w14:paraId="2402D4F4" w14:textId="77777777" w:rsidTr="00FD119B">
        <w:tc>
          <w:tcPr>
            <w:tcW w:w="1809" w:type="dxa"/>
          </w:tcPr>
          <w:p w14:paraId="313098AE" w14:textId="5A3156C4" w:rsidR="00267E1F" w:rsidRDefault="00267E1F" w:rsidP="00FC0C85">
            <w:pPr>
              <w:spacing w:line="276" w:lineRule="auto"/>
              <w:jc w:val="both"/>
            </w:pPr>
            <w:r>
              <w:t>HCP</w:t>
            </w:r>
          </w:p>
        </w:tc>
        <w:tc>
          <w:tcPr>
            <w:tcW w:w="6911" w:type="dxa"/>
          </w:tcPr>
          <w:p w14:paraId="305E12C5" w14:textId="31DA8488" w:rsidR="00267E1F" w:rsidRDefault="00267E1F" w:rsidP="00267E1F">
            <w:pPr>
              <w:spacing w:line="276" w:lineRule="auto"/>
              <w:jc w:val="both"/>
            </w:pPr>
            <w:r>
              <w:t>Health care provider</w:t>
            </w:r>
          </w:p>
        </w:tc>
      </w:tr>
      <w:tr w:rsidR="0070416F" w:rsidRPr="00FD119B" w14:paraId="0CEB8348" w14:textId="77777777" w:rsidTr="00FD119B">
        <w:tc>
          <w:tcPr>
            <w:tcW w:w="1809" w:type="dxa"/>
          </w:tcPr>
          <w:p w14:paraId="1BB04FC3" w14:textId="77777777" w:rsidR="0070416F" w:rsidRDefault="0070416F" w:rsidP="00FC0C85">
            <w:pPr>
              <w:spacing w:line="276" w:lineRule="auto"/>
              <w:jc w:val="both"/>
            </w:pPr>
            <w:r>
              <w:t>HPLC</w:t>
            </w:r>
          </w:p>
        </w:tc>
        <w:tc>
          <w:tcPr>
            <w:tcW w:w="6911" w:type="dxa"/>
          </w:tcPr>
          <w:p w14:paraId="55F0AB61" w14:textId="77777777" w:rsidR="0070416F" w:rsidRDefault="0070416F" w:rsidP="0070416F">
            <w:pPr>
              <w:spacing w:line="276" w:lineRule="auto"/>
              <w:jc w:val="both"/>
            </w:pPr>
            <w:r>
              <w:t>High performance liquid chromatography</w:t>
            </w:r>
          </w:p>
        </w:tc>
      </w:tr>
      <w:tr w:rsidR="00565FBD" w:rsidRPr="00FD119B" w14:paraId="6FA7693C" w14:textId="77777777" w:rsidTr="00FD119B">
        <w:tc>
          <w:tcPr>
            <w:tcW w:w="1809" w:type="dxa"/>
          </w:tcPr>
          <w:p w14:paraId="421808DE"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ICH</w:t>
            </w:r>
          </w:p>
        </w:tc>
        <w:tc>
          <w:tcPr>
            <w:tcW w:w="6911" w:type="dxa"/>
          </w:tcPr>
          <w:p w14:paraId="2F1910D4" w14:textId="77777777" w:rsidR="00565FBD" w:rsidRPr="00D77FDD" w:rsidRDefault="00565FBD" w:rsidP="00FC0C85">
            <w:pPr>
              <w:spacing w:line="276" w:lineRule="auto"/>
              <w:jc w:val="both"/>
              <w:rPr>
                <w:rFonts w:asciiTheme="minorHAnsi" w:hAnsiTheme="minorHAnsi"/>
                <w:szCs w:val="22"/>
              </w:rPr>
            </w:pPr>
            <w:r w:rsidRPr="00D77FDD">
              <w:rPr>
                <w:rFonts w:asciiTheme="minorHAnsi" w:eastAsia="TimesNewRoman" w:hAnsiTheme="minorHAnsi" w:cs="TimesNewRoman"/>
                <w:szCs w:val="22"/>
              </w:rPr>
              <w:t>International Council on Harmonisation</w:t>
            </w:r>
          </w:p>
        </w:tc>
      </w:tr>
      <w:tr w:rsidR="00565FBD" w:rsidRPr="00FD119B" w14:paraId="7E35DE8A" w14:textId="77777777" w:rsidTr="00FD119B">
        <w:tc>
          <w:tcPr>
            <w:tcW w:w="1809" w:type="dxa"/>
          </w:tcPr>
          <w:p w14:paraId="047D02EF" w14:textId="77777777" w:rsidR="00565FBD" w:rsidRPr="00D77FDD" w:rsidRDefault="003F7201" w:rsidP="00FC0C85">
            <w:pPr>
              <w:spacing w:line="276" w:lineRule="auto"/>
              <w:jc w:val="both"/>
              <w:rPr>
                <w:rFonts w:asciiTheme="minorHAnsi" w:hAnsiTheme="minorHAnsi"/>
              </w:rPr>
            </w:pPr>
            <w:r>
              <w:rPr>
                <w:rFonts w:asciiTheme="minorHAnsi" w:hAnsiTheme="minorHAnsi"/>
              </w:rPr>
              <w:t>LLQ</w:t>
            </w:r>
          </w:p>
        </w:tc>
        <w:tc>
          <w:tcPr>
            <w:tcW w:w="6911" w:type="dxa"/>
          </w:tcPr>
          <w:p w14:paraId="4AE64019" w14:textId="55F697D4" w:rsidR="00565FBD" w:rsidRPr="00D77FDD" w:rsidRDefault="00565FBD" w:rsidP="0005260A">
            <w:pPr>
              <w:spacing w:line="276" w:lineRule="auto"/>
              <w:jc w:val="both"/>
              <w:rPr>
                <w:rFonts w:asciiTheme="minorHAnsi" w:eastAsia="TimesNewRoman" w:hAnsiTheme="minorHAnsi" w:cs="TimesNewRoman"/>
              </w:rPr>
            </w:pPr>
            <w:r w:rsidRPr="00D77FDD">
              <w:rPr>
                <w:rFonts w:asciiTheme="minorHAnsi" w:eastAsia="TimesNewRoman" w:hAnsiTheme="minorHAnsi" w:cs="TimesNewRoman"/>
              </w:rPr>
              <w:t xml:space="preserve">Lower </w:t>
            </w:r>
            <w:r w:rsidR="0005260A">
              <w:rPr>
                <w:rFonts w:asciiTheme="minorHAnsi" w:eastAsia="TimesNewRoman" w:hAnsiTheme="minorHAnsi" w:cs="TimesNewRoman"/>
              </w:rPr>
              <w:t>l</w:t>
            </w:r>
            <w:r w:rsidR="0005260A" w:rsidRPr="00D77FDD">
              <w:rPr>
                <w:rFonts w:asciiTheme="minorHAnsi" w:eastAsia="TimesNewRoman" w:hAnsiTheme="minorHAnsi" w:cs="TimesNewRoman"/>
              </w:rPr>
              <w:t xml:space="preserve">imit </w:t>
            </w:r>
            <w:r w:rsidRPr="00D77FDD">
              <w:rPr>
                <w:rFonts w:asciiTheme="minorHAnsi" w:eastAsia="TimesNewRoman" w:hAnsiTheme="minorHAnsi" w:cs="TimesNewRoman"/>
              </w:rPr>
              <w:t xml:space="preserve">of </w:t>
            </w:r>
            <w:r w:rsidR="0005260A">
              <w:rPr>
                <w:rFonts w:asciiTheme="minorHAnsi" w:eastAsia="TimesNewRoman" w:hAnsiTheme="minorHAnsi" w:cs="TimesNewRoman"/>
              </w:rPr>
              <w:t>q</w:t>
            </w:r>
            <w:r w:rsidR="0005260A" w:rsidRPr="00D77FDD">
              <w:rPr>
                <w:rFonts w:asciiTheme="minorHAnsi" w:eastAsia="TimesNewRoman" w:hAnsiTheme="minorHAnsi" w:cs="TimesNewRoman"/>
              </w:rPr>
              <w:t>uantification</w:t>
            </w:r>
          </w:p>
        </w:tc>
      </w:tr>
      <w:tr w:rsidR="0070416F" w:rsidRPr="00FD119B" w14:paraId="3095375D" w14:textId="77777777" w:rsidTr="00FD119B">
        <w:tc>
          <w:tcPr>
            <w:tcW w:w="1809" w:type="dxa"/>
          </w:tcPr>
          <w:p w14:paraId="73A73DB4" w14:textId="77777777" w:rsidR="0070416F" w:rsidRPr="00D77FDD" w:rsidRDefault="0070416F" w:rsidP="00FC0C85">
            <w:pPr>
              <w:spacing w:line="276" w:lineRule="auto"/>
              <w:jc w:val="both"/>
              <w:rPr>
                <w:rFonts w:asciiTheme="minorHAnsi" w:hAnsiTheme="minorHAnsi"/>
              </w:rPr>
            </w:pPr>
            <w:r>
              <w:t>PI</w:t>
            </w:r>
          </w:p>
        </w:tc>
        <w:tc>
          <w:tcPr>
            <w:tcW w:w="6911" w:type="dxa"/>
          </w:tcPr>
          <w:p w14:paraId="71F7200B" w14:textId="1069496D" w:rsidR="0070416F" w:rsidRPr="00D77FDD" w:rsidRDefault="0070416F" w:rsidP="0070416F">
            <w:pPr>
              <w:spacing w:line="276" w:lineRule="auto"/>
              <w:jc w:val="both"/>
              <w:rPr>
                <w:rFonts w:asciiTheme="minorHAnsi" w:eastAsia="TimesNewRoman" w:hAnsiTheme="minorHAnsi" w:cs="TimesNewRoman"/>
              </w:rPr>
            </w:pPr>
            <w:r>
              <w:t>Product</w:t>
            </w:r>
            <w:r w:rsidR="0077726B">
              <w:t xml:space="preserve"> </w:t>
            </w:r>
            <w:r w:rsidR="0005260A">
              <w:t>I</w:t>
            </w:r>
            <w:r>
              <w:t>nformation</w:t>
            </w:r>
          </w:p>
        </w:tc>
      </w:tr>
      <w:tr w:rsidR="00565FBD" w:rsidRPr="00FD119B" w14:paraId="0938D458" w14:textId="77777777" w:rsidTr="00FD119B">
        <w:tc>
          <w:tcPr>
            <w:tcW w:w="1809" w:type="dxa"/>
          </w:tcPr>
          <w:p w14:paraId="6779BDE1"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PK</w:t>
            </w:r>
          </w:p>
        </w:tc>
        <w:tc>
          <w:tcPr>
            <w:tcW w:w="6911" w:type="dxa"/>
          </w:tcPr>
          <w:p w14:paraId="44764B70" w14:textId="32C5B359" w:rsidR="00565FBD" w:rsidRPr="00D77FDD" w:rsidRDefault="00565FBD" w:rsidP="00FC0C85">
            <w:pPr>
              <w:spacing w:line="276" w:lineRule="auto"/>
              <w:jc w:val="both"/>
              <w:rPr>
                <w:rFonts w:asciiTheme="minorHAnsi" w:hAnsiTheme="minorHAnsi"/>
                <w:szCs w:val="22"/>
              </w:rPr>
            </w:pPr>
            <w:r w:rsidRPr="00D77FDD">
              <w:rPr>
                <w:rFonts w:asciiTheme="minorHAnsi" w:eastAsia="TimesNewRoman" w:hAnsiTheme="minorHAnsi" w:cs="TimesNewRoman"/>
                <w:szCs w:val="22"/>
              </w:rPr>
              <w:t>Pharmacokinetic</w:t>
            </w:r>
            <w:r w:rsidR="0005260A">
              <w:rPr>
                <w:rFonts w:asciiTheme="minorHAnsi" w:eastAsia="TimesNewRoman" w:hAnsiTheme="minorHAnsi" w:cs="TimesNewRoman"/>
                <w:szCs w:val="22"/>
              </w:rPr>
              <w:t>(s)</w:t>
            </w:r>
          </w:p>
        </w:tc>
      </w:tr>
      <w:tr w:rsidR="00565FBD" w:rsidRPr="00FD119B" w14:paraId="6648F78C" w14:textId="77777777" w:rsidTr="00FD119B">
        <w:tc>
          <w:tcPr>
            <w:tcW w:w="1809" w:type="dxa"/>
          </w:tcPr>
          <w:p w14:paraId="6436E079"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PD</w:t>
            </w:r>
          </w:p>
        </w:tc>
        <w:tc>
          <w:tcPr>
            <w:tcW w:w="6911" w:type="dxa"/>
          </w:tcPr>
          <w:p w14:paraId="284E7E1D" w14:textId="339C213D" w:rsidR="00565FBD" w:rsidRPr="00D77FDD" w:rsidRDefault="00565FBD" w:rsidP="00FC0C85">
            <w:pPr>
              <w:spacing w:line="276" w:lineRule="auto"/>
              <w:jc w:val="both"/>
              <w:rPr>
                <w:rFonts w:asciiTheme="minorHAnsi" w:hAnsiTheme="minorHAnsi"/>
                <w:szCs w:val="22"/>
              </w:rPr>
            </w:pPr>
            <w:proofErr w:type="spellStart"/>
            <w:r w:rsidRPr="00D77FDD">
              <w:rPr>
                <w:rFonts w:asciiTheme="minorHAnsi" w:hAnsiTheme="minorHAnsi"/>
                <w:szCs w:val="22"/>
              </w:rPr>
              <w:t>Pharmacodynamic</w:t>
            </w:r>
            <w:proofErr w:type="spellEnd"/>
            <w:r w:rsidR="0005260A">
              <w:rPr>
                <w:rFonts w:asciiTheme="minorHAnsi" w:hAnsiTheme="minorHAnsi"/>
                <w:szCs w:val="22"/>
              </w:rPr>
              <w:t>(</w:t>
            </w:r>
            <w:r w:rsidRPr="00D77FDD">
              <w:rPr>
                <w:rFonts w:asciiTheme="minorHAnsi" w:hAnsiTheme="minorHAnsi"/>
                <w:szCs w:val="22"/>
              </w:rPr>
              <w:t>s</w:t>
            </w:r>
            <w:r w:rsidR="0005260A">
              <w:rPr>
                <w:rFonts w:asciiTheme="minorHAnsi" w:hAnsiTheme="minorHAnsi"/>
                <w:szCs w:val="22"/>
              </w:rPr>
              <w:t>)</w:t>
            </w:r>
          </w:p>
        </w:tc>
      </w:tr>
      <w:tr w:rsidR="00565FBD" w:rsidRPr="00FD119B" w14:paraId="6A7DA33E" w14:textId="77777777" w:rsidTr="00FD119B">
        <w:tc>
          <w:tcPr>
            <w:tcW w:w="1809" w:type="dxa"/>
          </w:tcPr>
          <w:p w14:paraId="184DADF9" w14:textId="77777777" w:rsidR="00565FBD" w:rsidRPr="00D77FDD" w:rsidRDefault="00565FBD" w:rsidP="0070416F">
            <w:pPr>
              <w:spacing w:line="276" w:lineRule="auto"/>
              <w:jc w:val="both"/>
              <w:rPr>
                <w:rFonts w:asciiTheme="minorHAnsi" w:hAnsiTheme="minorHAnsi"/>
                <w:szCs w:val="22"/>
              </w:rPr>
            </w:pPr>
            <w:r w:rsidRPr="00D77FDD">
              <w:rPr>
                <w:rFonts w:asciiTheme="minorHAnsi" w:hAnsiTheme="minorHAnsi"/>
                <w:szCs w:val="22"/>
              </w:rPr>
              <w:t>SAE</w:t>
            </w:r>
          </w:p>
        </w:tc>
        <w:tc>
          <w:tcPr>
            <w:tcW w:w="6911" w:type="dxa"/>
          </w:tcPr>
          <w:p w14:paraId="7717E373" w14:textId="5964565B" w:rsidR="00565FBD" w:rsidRPr="00D77FDD" w:rsidRDefault="00565FBD" w:rsidP="0005260A">
            <w:pPr>
              <w:spacing w:line="276" w:lineRule="auto"/>
              <w:jc w:val="both"/>
              <w:rPr>
                <w:rFonts w:asciiTheme="minorHAnsi" w:hAnsiTheme="minorHAnsi"/>
                <w:szCs w:val="22"/>
              </w:rPr>
            </w:pPr>
            <w:r w:rsidRPr="00D77FDD">
              <w:rPr>
                <w:rFonts w:asciiTheme="minorHAnsi" w:hAnsiTheme="minorHAnsi"/>
                <w:szCs w:val="22"/>
              </w:rPr>
              <w:t xml:space="preserve">Serious </w:t>
            </w:r>
            <w:r w:rsidR="0005260A">
              <w:rPr>
                <w:rFonts w:asciiTheme="minorHAnsi" w:hAnsiTheme="minorHAnsi"/>
                <w:szCs w:val="22"/>
              </w:rPr>
              <w:t>a</w:t>
            </w:r>
            <w:r w:rsidR="0005260A" w:rsidRPr="00D77FDD">
              <w:rPr>
                <w:rFonts w:asciiTheme="minorHAnsi" w:hAnsiTheme="minorHAnsi"/>
                <w:szCs w:val="22"/>
              </w:rPr>
              <w:t xml:space="preserve">dverse </w:t>
            </w:r>
            <w:r w:rsidR="0005260A">
              <w:rPr>
                <w:rFonts w:asciiTheme="minorHAnsi" w:hAnsiTheme="minorHAnsi"/>
                <w:szCs w:val="22"/>
              </w:rPr>
              <w:t>e</w:t>
            </w:r>
            <w:r w:rsidR="0005260A" w:rsidRPr="00D77FDD">
              <w:rPr>
                <w:rFonts w:asciiTheme="minorHAnsi" w:hAnsiTheme="minorHAnsi"/>
                <w:szCs w:val="22"/>
              </w:rPr>
              <w:t>vent</w:t>
            </w:r>
          </w:p>
        </w:tc>
      </w:tr>
      <w:tr w:rsidR="00565FBD" w:rsidRPr="00FD119B" w14:paraId="210371D0" w14:textId="77777777" w:rsidTr="00FD119B">
        <w:tc>
          <w:tcPr>
            <w:tcW w:w="1809" w:type="dxa"/>
          </w:tcPr>
          <w:p w14:paraId="70EC7416" w14:textId="77777777" w:rsidR="00565FBD" w:rsidRPr="00D77FDD" w:rsidRDefault="00565FBD" w:rsidP="00FC0C85">
            <w:pPr>
              <w:spacing w:line="276" w:lineRule="auto"/>
              <w:jc w:val="both"/>
              <w:rPr>
                <w:rFonts w:asciiTheme="minorHAnsi" w:hAnsiTheme="minorHAnsi"/>
                <w:szCs w:val="22"/>
              </w:rPr>
            </w:pPr>
            <w:r w:rsidRPr="00D77FDD">
              <w:rPr>
                <w:rFonts w:asciiTheme="minorHAnsi" w:hAnsiTheme="minorHAnsi"/>
                <w:szCs w:val="22"/>
              </w:rPr>
              <w:t>SD</w:t>
            </w:r>
          </w:p>
        </w:tc>
        <w:tc>
          <w:tcPr>
            <w:tcW w:w="6911" w:type="dxa"/>
          </w:tcPr>
          <w:p w14:paraId="3A2E65C8" w14:textId="7951CE27" w:rsidR="00565FBD" w:rsidRPr="00D77FDD" w:rsidRDefault="00565FBD" w:rsidP="0005260A">
            <w:pPr>
              <w:spacing w:line="276" w:lineRule="auto"/>
              <w:jc w:val="both"/>
              <w:rPr>
                <w:rFonts w:asciiTheme="minorHAnsi" w:hAnsiTheme="minorHAnsi"/>
                <w:szCs w:val="22"/>
              </w:rPr>
            </w:pPr>
            <w:r w:rsidRPr="00D77FDD">
              <w:rPr>
                <w:rFonts w:asciiTheme="minorHAnsi" w:eastAsia="TimesNewRoman" w:hAnsiTheme="minorHAnsi" w:cs="TimesNewRoman"/>
                <w:szCs w:val="22"/>
              </w:rPr>
              <w:t xml:space="preserve">Standard </w:t>
            </w:r>
            <w:r w:rsidR="0005260A">
              <w:rPr>
                <w:rFonts w:asciiTheme="minorHAnsi" w:eastAsia="TimesNewRoman" w:hAnsiTheme="minorHAnsi" w:cs="TimesNewRoman"/>
                <w:szCs w:val="22"/>
              </w:rPr>
              <w:t>d</w:t>
            </w:r>
            <w:r w:rsidR="0005260A" w:rsidRPr="00D77FDD">
              <w:rPr>
                <w:rFonts w:asciiTheme="minorHAnsi" w:eastAsia="TimesNewRoman" w:hAnsiTheme="minorHAnsi" w:cs="TimesNewRoman"/>
                <w:szCs w:val="22"/>
              </w:rPr>
              <w:t>eviation</w:t>
            </w:r>
          </w:p>
        </w:tc>
      </w:tr>
      <w:tr w:rsidR="0070416F" w:rsidRPr="00FD119B" w14:paraId="054D153B" w14:textId="77777777" w:rsidTr="00FD119B">
        <w:tc>
          <w:tcPr>
            <w:tcW w:w="1809" w:type="dxa"/>
          </w:tcPr>
          <w:p w14:paraId="1C320F55" w14:textId="77777777" w:rsidR="0070416F" w:rsidRPr="00D77FDD" w:rsidRDefault="0070416F" w:rsidP="00FC0C85">
            <w:pPr>
              <w:spacing w:line="276" w:lineRule="auto"/>
              <w:jc w:val="both"/>
              <w:rPr>
                <w:rFonts w:asciiTheme="minorHAnsi" w:hAnsiTheme="minorHAnsi"/>
              </w:rPr>
            </w:pPr>
            <w:r w:rsidRPr="00D77FDD">
              <w:t>TGA</w:t>
            </w:r>
          </w:p>
        </w:tc>
        <w:tc>
          <w:tcPr>
            <w:tcW w:w="6911" w:type="dxa"/>
          </w:tcPr>
          <w:p w14:paraId="4782F064" w14:textId="77777777" w:rsidR="0070416F" w:rsidRPr="00D77FDD" w:rsidRDefault="0070416F" w:rsidP="00FC0C85">
            <w:pPr>
              <w:spacing w:line="276" w:lineRule="auto"/>
              <w:jc w:val="both"/>
              <w:rPr>
                <w:rFonts w:asciiTheme="minorHAnsi" w:eastAsia="TimesNewRoman" w:hAnsiTheme="minorHAnsi" w:cs="TimesNewRoman"/>
              </w:rPr>
            </w:pPr>
            <w:r>
              <w:rPr>
                <w:rFonts w:asciiTheme="minorHAnsi" w:eastAsia="TimesNewRoman" w:hAnsiTheme="minorHAnsi" w:cs="TimesNewRoman"/>
              </w:rPr>
              <w:t>Therapeutic Goods Administration</w:t>
            </w:r>
          </w:p>
        </w:tc>
      </w:tr>
      <w:tr w:rsidR="00565FBD" w:rsidRPr="00FD119B" w14:paraId="4DDBEB58" w14:textId="77777777" w:rsidTr="00FD119B">
        <w:tc>
          <w:tcPr>
            <w:tcW w:w="1809" w:type="dxa"/>
          </w:tcPr>
          <w:p w14:paraId="7934374C" w14:textId="77777777" w:rsidR="00565FBD" w:rsidRPr="00D77FDD" w:rsidRDefault="0028670C" w:rsidP="00FC0C85">
            <w:pPr>
              <w:spacing w:line="276" w:lineRule="auto"/>
              <w:jc w:val="both"/>
              <w:rPr>
                <w:rFonts w:asciiTheme="minorHAnsi" w:hAnsiTheme="minorHAnsi"/>
                <w:szCs w:val="22"/>
                <w:vertAlign w:val="subscript"/>
              </w:rPr>
            </w:pPr>
            <w:proofErr w:type="spellStart"/>
            <w:r w:rsidRPr="00794740">
              <w:t>t</w:t>
            </w:r>
            <w:r w:rsidRPr="0028670C">
              <w:rPr>
                <w:vertAlign w:val="subscript"/>
              </w:rPr>
              <w:t>max</w:t>
            </w:r>
            <w:proofErr w:type="spellEnd"/>
          </w:p>
        </w:tc>
        <w:tc>
          <w:tcPr>
            <w:tcW w:w="6911" w:type="dxa"/>
          </w:tcPr>
          <w:p w14:paraId="633A47A8" w14:textId="77777777" w:rsidR="00565FBD" w:rsidRPr="00D77FDD" w:rsidRDefault="00565FBD" w:rsidP="00FC0C85">
            <w:pPr>
              <w:spacing w:line="276" w:lineRule="auto"/>
              <w:jc w:val="both"/>
              <w:rPr>
                <w:rFonts w:asciiTheme="minorHAnsi" w:eastAsia="TimesNewRoman" w:hAnsiTheme="minorHAnsi" w:cs="TimesNewRoman"/>
                <w:szCs w:val="22"/>
              </w:rPr>
            </w:pPr>
            <w:r w:rsidRPr="00D77FDD">
              <w:rPr>
                <w:rFonts w:asciiTheme="minorHAnsi" w:eastAsia="TimesNewRoman" w:hAnsiTheme="minorHAnsi" w:cs="TimesNewRoman"/>
                <w:szCs w:val="22"/>
              </w:rPr>
              <w:t>Time to observe maximum drug concentration</w:t>
            </w:r>
          </w:p>
        </w:tc>
      </w:tr>
      <w:tr w:rsidR="00565FBD" w:rsidRPr="00FD119B" w14:paraId="679611E5" w14:textId="77777777" w:rsidTr="00FD119B">
        <w:tc>
          <w:tcPr>
            <w:tcW w:w="1809" w:type="dxa"/>
          </w:tcPr>
          <w:p w14:paraId="08E07DB7" w14:textId="77777777" w:rsidR="00565FBD" w:rsidRPr="00D77FDD" w:rsidRDefault="00565FBD" w:rsidP="00FC0C85">
            <w:pPr>
              <w:spacing w:line="276" w:lineRule="auto"/>
              <w:jc w:val="both"/>
              <w:rPr>
                <w:rFonts w:asciiTheme="minorHAnsi" w:hAnsiTheme="minorHAnsi"/>
                <w:vertAlign w:val="subscript"/>
              </w:rPr>
            </w:pPr>
            <w:r w:rsidRPr="00D77FDD">
              <w:rPr>
                <w:rFonts w:asciiTheme="minorHAnsi" w:hAnsiTheme="minorHAnsi"/>
              </w:rPr>
              <w:lastRenderedPageBreak/>
              <w:t>t</w:t>
            </w:r>
            <w:r w:rsidRPr="00D77FDD">
              <w:rPr>
                <w:rFonts w:asciiTheme="minorHAnsi" w:hAnsiTheme="minorHAnsi"/>
                <w:vertAlign w:val="subscript"/>
              </w:rPr>
              <w:t>1/2</w:t>
            </w:r>
          </w:p>
        </w:tc>
        <w:tc>
          <w:tcPr>
            <w:tcW w:w="6911" w:type="dxa"/>
          </w:tcPr>
          <w:p w14:paraId="27439ACA" w14:textId="77777777" w:rsidR="00565FBD" w:rsidRPr="00D77FDD" w:rsidRDefault="00565FBD" w:rsidP="00FC0C85">
            <w:pPr>
              <w:spacing w:line="276" w:lineRule="auto"/>
              <w:jc w:val="both"/>
              <w:rPr>
                <w:rFonts w:asciiTheme="minorHAnsi" w:eastAsia="TimesNewRoman" w:hAnsiTheme="minorHAnsi" w:cs="TimesNewRoman"/>
              </w:rPr>
            </w:pPr>
            <w:r w:rsidRPr="00D77FDD">
              <w:rPr>
                <w:rFonts w:asciiTheme="minorHAnsi" w:eastAsia="TimesNewRoman" w:hAnsiTheme="minorHAnsi" w:cs="TimesNewRoman"/>
              </w:rPr>
              <w:t>Half life</w:t>
            </w:r>
          </w:p>
        </w:tc>
      </w:tr>
      <w:tr w:rsidR="0070416F" w:rsidRPr="00FD119B" w14:paraId="1539EB8B" w14:textId="77777777" w:rsidTr="00FD119B">
        <w:tc>
          <w:tcPr>
            <w:tcW w:w="1809" w:type="dxa"/>
          </w:tcPr>
          <w:p w14:paraId="03396838" w14:textId="77777777" w:rsidR="0070416F" w:rsidRPr="00D77FDD" w:rsidRDefault="0070416F" w:rsidP="00FC0C85">
            <w:pPr>
              <w:spacing w:line="276" w:lineRule="auto"/>
              <w:jc w:val="both"/>
              <w:rPr>
                <w:rFonts w:asciiTheme="minorHAnsi" w:hAnsiTheme="minorHAnsi"/>
              </w:rPr>
            </w:pPr>
            <w:r>
              <w:t>XPRD</w:t>
            </w:r>
          </w:p>
        </w:tc>
        <w:tc>
          <w:tcPr>
            <w:tcW w:w="6911" w:type="dxa"/>
          </w:tcPr>
          <w:p w14:paraId="4C5FE0A5" w14:textId="77777777" w:rsidR="0070416F" w:rsidRPr="00D77FDD" w:rsidRDefault="0070416F" w:rsidP="0070416F">
            <w:pPr>
              <w:spacing w:line="276" w:lineRule="auto"/>
              <w:jc w:val="both"/>
              <w:rPr>
                <w:rFonts w:asciiTheme="minorHAnsi" w:eastAsia="TimesNewRoman" w:hAnsiTheme="minorHAnsi" w:cs="TimesNewRoman"/>
              </w:rPr>
            </w:pPr>
            <w:r>
              <w:t>X-ray powder diffraction</w:t>
            </w:r>
          </w:p>
        </w:tc>
      </w:tr>
    </w:tbl>
    <w:p w14:paraId="34B8953B" w14:textId="77777777" w:rsidR="00FD119B" w:rsidRPr="00FD119B" w:rsidRDefault="00FD119B" w:rsidP="00030ABD">
      <w:r w:rsidRPr="00FD119B">
        <w:br w:type="page"/>
      </w:r>
    </w:p>
    <w:p w14:paraId="2841C4A3" w14:textId="77777777" w:rsidR="008E7846" w:rsidRDefault="00F53C07" w:rsidP="008E7846">
      <w:pPr>
        <w:pStyle w:val="Heading2"/>
      </w:pPr>
      <w:bookmarkStart w:id="9" w:name="_Toc16587404"/>
      <w:r>
        <w:lastRenderedPageBreak/>
        <w:t>I.</w:t>
      </w:r>
      <w:r w:rsidR="008E7846">
        <w:t xml:space="preserve"> Introduction to product submission</w:t>
      </w:r>
      <w:bookmarkEnd w:id="9"/>
      <w:bookmarkEnd w:id="3"/>
      <w:bookmarkEnd w:id="1"/>
    </w:p>
    <w:p w14:paraId="7E2170A3" w14:textId="77777777" w:rsidR="008E7846" w:rsidRDefault="008E7846" w:rsidP="008E7846">
      <w:pPr>
        <w:pStyle w:val="Heading3"/>
        <w:rPr>
          <w:lang w:eastAsia="en-AU"/>
        </w:rPr>
      </w:pPr>
      <w:bookmarkStart w:id="10" w:name="_Toc247691502"/>
      <w:bookmarkStart w:id="11" w:name="_Toc314842483"/>
      <w:bookmarkStart w:id="12" w:name="_Toc16587405"/>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F14E68F" w14:textId="77777777" w:rsidTr="003735BC">
        <w:tc>
          <w:tcPr>
            <w:tcW w:w="2907" w:type="dxa"/>
          </w:tcPr>
          <w:p w14:paraId="63EB0BBB"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B2E0223" w14:textId="77777777" w:rsidR="008E7846" w:rsidRPr="003D1E62" w:rsidRDefault="008E7846" w:rsidP="00CC68B1">
            <w:r w:rsidRPr="003D1E62">
              <w:t xml:space="preserve">New </w:t>
            </w:r>
            <w:r w:rsidR="00CC68B1">
              <w:t>generic medicine</w:t>
            </w:r>
          </w:p>
        </w:tc>
      </w:tr>
      <w:tr w:rsidR="008E7846" w:rsidRPr="003D1E62" w14:paraId="79B5EE82" w14:textId="77777777" w:rsidTr="003735BC">
        <w:tc>
          <w:tcPr>
            <w:tcW w:w="2907" w:type="dxa"/>
          </w:tcPr>
          <w:p w14:paraId="1FDDE0BB" w14:textId="77777777" w:rsidR="008E7846" w:rsidRPr="003D1E62" w:rsidRDefault="008E7846" w:rsidP="003D1E62">
            <w:r w:rsidRPr="003D1E62">
              <w:rPr>
                <w:i/>
              </w:rPr>
              <w:t>Decision</w:t>
            </w:r>
            <w:r w:rsidRPr="003D1E62">
              <w:t>:</w:t>
            </w:r>
          </w:p>
        </w:tc>
        <w:tc>
          <w:tcPr>
            <w:tcW w:w="6307" w:type="dxa"/>
          </w:tcPr>
          <w:p w14:paraId="1E03252D" w14:textId="77777777" w:rsidR="008E7846" w:rsidRPr="003D1E62" w:rsidRDefault="00CC68B1" w:rsidP="00CC68B1">
            <w:r>
              <w:t>Approved</w:t>
            </w:r>
          </w:p>
        </w:tc>
      </w:tr>
      <w:tr w:rsidR="008E7846" w:rsidRPr="003D1E62" w14:paraId="2A5F2119" w14:textId="77777777" w:rsidTr="003735BC">
        <w:tc>
          <w:tcPr>
            <w:tcW w:w="2907" w:type="dxa"/>
          </w:tcPr>
          <w:p w14:paraId="538BF626"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3B6EF2A3" w14:textId="77777777" w:rsidR="008E7846" w:rsidRPr="003D1E62" w:rsidRDefault="001E02C1" w:rsidP="001B5C90">
            <w:r>
              <w:t>31 October 2018</w:t>
            </w:r>
          </w:p>
        </w:tc>
      </w:tr>
      <w:tr w:rsidR="00ED2922" w:rsidRPr="003D1E62" w14:paraId="606765AF" w14:textId="77777777" w:rsidTr="003735BC">
        <w:tc>
          <w:tcPr>
            <w:tcW w:w="2907" w:type="dxa"/>
          </w:tcPr>
          <w:p w14:paraId="1E85734E" w14:textId="77777777" w:rsidR="00ED2922" w:rsidRPr="00441C3F" w:rsidRDefault="00ED2922" w:rsidP="001B5C90">
            <w:pPr>
              <w:rPr>
                <w:i/>
              </w:rPr>
            </w:pPr>
            <w:r w:rsidRPr="00441C3F">
              <w:rPr>
                <w:i/>
              </w:rPr>
              <w:t>Date of entry onto ARTG</w:t>
            </w:r>
            <w:r w:rsidR="00500337">
              <w:rPr>
                <w:i/>
              </w:rPr>
              <w:t>:</w:t>
            </w:r>
          </w:p>
        </w:tc>
        <w:tc>
          <w:tcPr>
            <w:tcW w:w="6307" w:type="dxa"/>
          </w:tcPr>
          <w:p w14:paraId="00A54C29" w14:textId="77777777" w:rsidR="00ED2922" w:rsidRPr="00441C3F" w:rsidRDefault="001E02C1" w:rsidP="00EC463D">
            <w:pPr>
              <w:rPr>
                <w:i/>
              </w:rPr>
            </w:pPr>
            <w:r>
              <w:t>15 November 2018</w:t>
            </w:r>
          </w:p>
        </w:tc>
      </w:tr>
      <w:tr w:rsidR="00500337" w:rsidRPr="003D1E62" w14:paraId="64B41E13" w14:textId="77777777" w:rsidTr="003735BC">
        <w:tc>
          <w:tcPr>
            <w:tcW w:w="2907" w:type="dxa"/>
          </w:tcPr>
          <w:p w14:paraId="79B4CB88" w14:textId="77777777" w:rsidR="00500337" w:rsidRPr="00441C3F" w:rsidRDefault="001E02C1" w:rsidP="001B5C90">
            <w:pPr>
              <w:rPr>
                <w:i/>
              </w:rPr>
            </w:pPr>
            <w:r>
              <w:rPr>
                <w:i/>
              </w:rPr>
              <w:t>ARTG number</w:t>
            </w:r>
            <w:r w:rsidR="00500337">
              <w:rPr>
                <w:i/>
              </w:rPr>
              <w:t>:</w:t>
            </w:r>
          </w:p>
        </w:tc>
        <w:tc>
          <w:tcPr>
            <w:tcW w:w="6307" w:type="dxa"/>
          </w:tcPr>
          <w:p w14:paraId="27F1075C" w14:textId="77777777" w:rsidR="00500337" w:rsidRPr="00441C3F" w:rsidRDefault="001E02C1" w:rsidP="00EC463D">
            <w:r>
              <w:t>293317</w:t>
            </w:r>
          </w:p>
        </w:tc>
      </w:tr>
      <w:tr w:rsidR="003735BC" w:rsidRPr="003D1E62" w14:paraId="0EABCF30" w14:textId="77777777" w:rsidTr="003735BC">
        <w:tc>
          <w:tcPr>
            <w:tcW w:w="2907" w:type="dxa"/>
          </w:tcPr>
          <w:p w14:paraId="6CF2ADF2"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3507FE19" w14:textId="77777777" w:rsidR="003735BC" w:rsidRPr="00487162" w:rsidRDefault="00FC0C85" w:rsidP="003735BC">
            <w:r>
              <w:t>No</w:t>
            </w:r>
          </w:p>
        </w:tc>
      </w:tr>
    </w:tbl>
    <w:p w14:paraId="70383090"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44E875C0" w14:textId="77777777" w:rsidTr="00BF1190">
        <w:tc>
          <w:tcPr>
            <w:tcW w:w="2907" w:type="dxa"/>
          </w:tcPr>
          <w:p w14:paraId="36ABF322" w14:textId="77777777" w:rsidR="008E7846" w:rsidRPr="00487162" w:rsidRDefault="006C3311" w:rsidP="00E45619">
            <w:pPr>
              <w:rPr>
                <w:i/>
              </w:rPr>
            </w:pPr>
            <w:r>
              <w:rPr>
                <w:i/>
              </w:rPr>
              <w:t>Active ingredient</w:t>
            </w:r>
            <w:r w:rsidR="001B5C90">
              <w:rPr>
                <w:i/>
              </w:rPr>
              <w:t>:</w:t>
            </w:r>
          </w:p>
        </w:tc>
        <w:tc>
          <w:tcPr>
            <w:tcW w:w="6307" w:type="dxa"/>
          </w:tcPr>
          <w:p w14:paraId="7D9B2BB3" w14:textId="77777777" w:rsidR="008E7846" w:rsidRPr="00487162" w:rsidRDefault="006C3311" w:rsidP="00E45619">
            <w:r>
              <w:t>Tiotropium (as bromide)</w:t>
            </w:r>
          </w:p>
        </w:tc>
      </w:tr>
      <w:tr w:rsidR="008E7846" w:rsidRPr="00487162" w14:paraId="2A261C11" w14:textId="77777777" w:rsidTr="00BF1190">
        <w:tc>
          <w:tcPr>
            <w:tcW w:w="2907" w:type="dxa"/>
          </w:tcPr>
          <w:p w14:paraId="24FA2D2E" w14:textId="77777777" w:rsidR="008E7846" w:rsidRPr="00487162" w:rsidRDefault="008E7846" w:rsidP="001B5C90">
            <w:pPr>
              <w:rPr>
                <w:i/>
              </w:rPr>
            </w:pPr>
            <w:r w:rsidRPr="00487162">
              <w:rPr>
                <w:i/>
              </w:rPr>
              <w:t>Product</w:t>
            </w:r>
            <w:r w:rsidR="006C3311">
              <w:rPr>
                <w:i/>
              </w:rPr>
              <w:t xml:space="preserve"> name</w:t>
            </w:r>
            <w:r w:rsidR="001B5C90">
              <w:rPr>
                <w:i/>
              </w:rPr>
              <w:t>:</w:t>
            </w:r>
          </w:p>
        </w:tc>
        <w:tc>
          <w:tcPr>
            <w:tcW w:w="6307" w:type="dxa"/>
          </w:tcPr>
          <w:p w14:paraId="2CA3FCCD" w14:textId="77777777" w:rsidR="008E7846" w:rsidRPr="00487162" w:rsidRDefault="006C3311" w:rsidP="00E45619">
            <w:proofErr w:type="spellStart"/>
            <w:r>
              <w:t>Braltus</w:t>
            </w:r>
            <w:proofErr w:type="spellEnd"/>
          </w:p>
        </w:tc>
      </w:tr>
      <w:tr w:rsidR="008E7846" w:rsidRPr="00487162" w14:paraId="4F4CEDE0" w14:textId="77777777" w:rsidTr="00BF1190">
        <w:tc>
          <w:tcPr>
            <w:tcW w:w="2907" w:type="dxa"/>
          </w:tcPr>
          <w:p w14:paraId="130F789E"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39300F7" w14:textId="77777777" w:rsidR="008E7846" w:rsidRDefault="006C3311" w:rsidP="00E45619">
            <w:proofErr w:type="spellStart"/>
            <w:r>
              <w:t>Teva</w:t>
            </w:r>
            <w:proofErr w:type="spellEnd"/>
            <w:r>
              <w:t xml:space="preserve"> Pharma Australia Pty Ltd</w:t>
            </w:r>
          </w:p>
          <w:p w14:paraId="4998ED14" w14:textId="77777777" w:rsidR="006C3311" w:rsidRDefault="006C3311" w:rsidP="00E45619">
            <w:r>
              <w:t>Locked Bag 2053</w:t>
            </w:r>
          </w:p>
          <w:p w14:paraId="0ACC00F2" w14:textId="77777777" w:rsidR="006C3311" w:rsidRPr="00487162" w:rsidRDefault="006C3311" w:rsidP="00E45619">
            <w:r>
              <w:t>North Ryde BC NSW 1670</w:t>
            </w:r>
          </w:p>
        </w:tc>
      </w:tr>
      <w:tr w:rsidR="008E7846" w:rsidRPr="00487162" w14:paraId="788466CC" w14:textId="77777777" w:rsidTr="00BF1190">
        <w:tc>
          <w:tcPr>
            <w:tcW w:w="2907" w:type="dxa"/>
          </w:tcPr>
          <w:p w14:paraId="554E796C" w14:textId="77777777" w:rsidR="008E7846" w:rsidRPr="00487162" w:rsidRDefault="006C3311" w:rsidP="00E45619">
            <w:pPr>
              <w:rPr>
                <w:i/>
              </w:rPr>
            </w:pPr>
            <w:r>
              <w:rPr>
                <w:i/>
              </w:rPr>
              <w:t>Dose form</w:t>
            </w:r>
            <w:r w:rsidR="001B5C90">
              <w:rPr>
                <w:i/>
              </w:rPr>
              <w:t>:</w:t>
            </w:r>
          </w:p>
        </w:tc>
        <w:tc>
          <w:tcPr>
            <w:tcW w:w="6307" w:type="dxa"/>
          </w:tcPr>
          <w:p w14:paraId="3E951647" w14:textId="77777777" w:rsidR="008E7846" w:rsidRPr="00487162" w:rsidRDefault="006C3311" w:rsidP="00E45619">
            <w:r>
              <w:t>Hard capsule</w:t>
            </w:r>
          </w:p>
        </w:tc>
      </w:tr>
      <w:tr w:rsidR="008E7846" w:rsidRPr="00487162" w14:paraId="1B011D66" w14:textId="77777777" w:rsidTr="00BF1190">
        <w:tc>
          <w:tcPr>
            <w:tcW w:w="2907" w:type="dxa"/>
          </w:tcPr>
          <w:p w14:paraId="0A68AB7B" w14:textId="77777777" w:rsidR="008E7846" w:rsidRPr="00487162" w:rsidRDefault="006C3311" w:rsidP="00E45619">
            <w:pPr>
              <w:rPr>
                <w:i/>
              </w:rPr>
            </w:pPr>
            <w:r>
              <w:rPr>
                <w:i/>
              </w:rPr>
              <w:t>Strength</w:t>
            </w:r>
            <w:r w:rsidR="008E7846" w:rsidRPr="00487162">
              <w:rPr>
                <w:i/>
              </w:rPr>
              <w:t>:</w:t>
            </w:r>
          </w:p>
        </w:tc>
        <w:tc>
          <w:tcPr>
            <w:tcW w:w="6307" w:type="dxa"/>
          </w:tcPr>
          <w:p w14:paraId="6C873B76" w14:textId="77777777" w:rsidR="008E7846" w:rsidRPr="00487162" w:rsidRDefault="006C3311" w:rsidP="00E45619">
            <w:r>
              <w:t xml:space="preserve">13 </w:t>
            </w:r>
            <w:proofErr w:type="spellStart"/>
            <w:r>
              <w:t>μg</w:t>
            </w:r>
            <w:proofErr w:type="spellEnd"/>
          </w:p>
        </w:tc>
      </w:tr>
      <w:tr w:rsidR="008E7846" w:rsidRPr="00487162" w14:paraId="1C64E3E9" w14:textId="77777777" w:rsidTr="00BF1190">
        <w:tc>
          <w:tcPr>
            <w:tcW w:w="2907" w:type="dxa"/>
          </w:tcPr>
          <w:p w14:paraId="14D18B87" w14:textId="77777777" w:rsidR="008E7846" w:rsidRPr="00487162" w:rsidRDefault="006C3311" w:rsidP="00E45619">
            <w:pPr>
              <w:rPr>
                <w:i/>
              </w:rPr>
            </w:pPr>
            <w:r>
              <w:rPr>
                <w:i/>
              </w:rPr>
              <w:t>Container</w:t>
            </w:r>
            <w:r w:rsidR="008E7846" w:rsidRPr="00487162">
              <w:rPr>
                <w:i/>
              </w:rPr>
              <w:t>:</w:t>
            </w:r>
          </w:p>
        </w:tc>
        <w:tc>
          <w:tcPr>
            <w:tcW w:w="6307" w:type="dxa"/>
          </w:tcPr>
          <w:p w14:paraId="45E279BB" w14:textId="77777777" w:rsidR="008E7846" w:rsidRPr="00487162" w:rsidRDefault="006C3311" w:rsidP="00E45619">
            <w:r>
              <w:t>Bottle</w:t>
            </w:r>
          </w:p>
        </w:tc>
      </w:tr>
      <w:tr w:rsidR="008E7846" w:rsidRPr="00487162" w14:paraId="6BC95C6C" w14:textId="77777777" w:rsidTr="00BF1190">
        <w:tc>
          <w:tcPr>
            <w:tcW w:w="2907" w:type="dxa"/>
          </w:tcPr>
          <w:p w14:paraId="6588277A" w14:textId="77777777" w:rsidR="008E7846" w:rsidRPr="00487162" w:rsidRDefault="006C3311" w:rsidP="00E45619">
            <w:pPr>
              <w:rPr>
                <w:i/>
              </w:rPr>
            </w:pPr>
            <w:r>
              <w:rPr>
                <w:i/>
              </w:rPr>
              <w:t>Pack size</w:t>
            </w:r>
            <w:r w:rsidR="008E7846" w:rsidRPr="00487162">
              <w:rPr>
                <w:i/>
              </w:rPr>
              <w:t>:</w:t>
            </w:r>
          </w:p>
        </w:tc>
        <w:tc>
          <w:tcPr>
            <w:tcW w:w="6307" w:type="dxa"/>
          </w:tcPr>
          <w:p w14:paraId="335F5840" w14:textId="77777777" w:rsidR="008E7846" w:rsidRPr="00487162" w:rsidRDefault="006C3311" w:rsidP="00E45619">
            <w:r>
              <w:t>30</w:t>
            </w:r>
          </w:p>
        </w:tc>
      </w:tr>
      <w:tr w:rsidR="008E7846" w:rsidRPr="00487162" w14:paraId="4FCD2EA7" w14:textId="77777777" w:rsidTr="00BF1190">
        <w:tc>
          <w:tcPr>
            <w:tcW w:w="2907" w:type="dxa"/>
          </w:tcPr>
          <w:p w14:paraId="26EB9EE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83B237C" w14:textId="77777777" w:rsidR="008E7846" w:rsidRPr="00147800" w:rsidRDefault="00B850D9" w:rsidP="00E45619">
            <w:pPr>
              <w:rPr>
                <w:i/>
              </w:rPr>
            </w:pPr>
            <w:proofErr w:type="spellStart"/>
            <w:r>
              <w:rPr>
                <w:i/>
              </w:rPr>
              <w:t>Braltus</w:t>
            </w:r>
            <w:proofErr w:type="spellEnd"/>
            <w:r w:rsidR="00147800" w:rsidRPr="00565FBD">
              <w:rPr>
                <w:i/>
              </w:rPr>
              <w:t xml:space="preserve"> is indicated for the long term maintenance treatment of bronchospasm and dyspnoea associated with chronic obstructive pulmonary disease (COPD). </w:t>
            </w:r>
            <w:proofErr w:type="spellStart"/>
            <w:r>
              <w:rPr>
                <w:i/>
              </w:rPr>
              <w:t>Braltus</w:t>
            </w:r>
            <w:proofErr w:type="spellEnd"/>
            <w:r w:rsidR="00147800" w:rsidRPr="00565FBD">
              <w:rPr>
                <w:i/>
              </w:rPr>
              <w:t xml:space="preserve"> is indicated for the prevention of COPD exacerbations.</w:t>
            </w:r>
          </w:p>
        </w:tc>
      </w:tr>
      <w:tr w:rsidR="008E7846" w:rsidRPr="00487162" w14:paraId="0AC1F8C3" w14:textId="77777777" w:rsidTr="00BF1190">
        <w:tc>
          <w:tcPr>
            <w:tcW w:w="2907" w:type="dxa"/>
          </w:tcPr>
          <w:p w14:paraId="0D839802" w14:textId="77777777" w:rsidR="008E7846" w:rsidRPr="00487162" w:rsidRDefault="006C3311" w:rsidP="00E45619">
            <w:pPr>
              <w:rPr>
                <w:i/>
              </w:rPr>
            </w:pPr>
            <w:r>
              <w:rPr>
                <w:i/>
              </w:rPr>
              <w:t>Route</w:t>
            </w:r>
            <w:r w:rsidR="008E7846" w:rsidRPr="00487162">
              <w:rPr>
                <w:i/>
              </w:rPr>
              <w:t xml:space="preserve"> of administration:</w:t>
            </w:r>
          </w:p>
        </w:tc>
        <w:tc>
          <w:tcPr>
            <w:tcW w:w="6307" w:type="dxa"/>
          </w:tcPr>
          <w:p w14:paraId="0C6B4851" w14:textId="525E99FD" w:rsidR="008E7846" w:rsidRPr="00487162" w:rsidRDefault="0005260A" w:rsidP="00E45619">
            <w:r>
              <w:t>I</w:t>
            </w:r>
            <w:r w:rsidR="006C3311">
              <w:t>nhalation</w:t>
            </w:r>
          </w:p>
        </w:tc>
      </w:tr>
      <w:tr w:rsidR="008E7846" w:rsidRPr="00487162" w14:paraId="790EFD7B" w14:textId="77777777" w:rsidTr="00BF1190">
        <w:tc>
          <w:tcPr>
            <w:tcW w:w="2907" w:type="dxa"/>
          </w:tcPr>
          <w:p w14:paraId="4E710032" w14:textId="77777777" w:rsidR="008E7846" w:rsidRPr="00487162" w:rsidRDefault="008E7846" w:rsidP="00E45619">
            <w:pPr>
              <w:rPr>
                <w:i/>
              </w:rPr>
            </w:pPr>
            <w:r w:rsidRPr="00487162">
              <w:rPr>
                <w:i/>
              </w:rPr>
              <w:t>Dosage:</w:t>
            </w:r>
          </w:p>
        </w:tc>
        <w:tc>
          <w:tcPr>
            <w:tcW w:w="6307" w:type="dxa"/>
          </w:tcPr>
          <w:p w14:paraId="60215035" w14:textId="77777777" w:rsidR="008E7846" w:rsidRPr="00487162" w:rsidRDefault="00E36710" w:rsidP="00E45619">
            <w:r>
              <w:t>One capsule daily</w:t>
            </w:r>
          </w:p>
        </w:tc>
      </w:tr>
    </w:tbl>
    <w:p w14:paraId="4F1F5E08" w14:textId="77777777" w:rsidR="008E7846" w:rsidRDefault="008E7846" w:rsidP="00030ABD">
      <w:pPr>
        <w:pStyle w:val="Heading3"/>
      </w:pPr>
      <w:bookmarkStart w:id="13" w:name="_Toc247691503"/>
      <w:bookmarkStart w:id="14" w:name="_Toc314842484"/>
      <w:bookmarkStart w:id="15" w:name="_Toc16587406"/>
      <w:r>
        <w:t xml:space="preserve">Product </w:t>
      </w:r>
      <w:r w:rsidRPr="00030ABD">
        <w:t>background</w:t>
      </w:r>
      <w:bookmarkEnd w:id="13"/>
      <w:bookmarkEnd w:id="14"/>
      <w:bookmarkEnd w:id="15"/>
    </w:p>
    <w:p w14:paraId="0167269C" w14:textId="12466770" w:rsidR="00565FBD" w:rsidRDefault="00940A89" w:rsidP="00030ABD">
      <w:r w:rsidRPr="00940A89">
        <w:t xml:space="preserve">This </w:t>
      </w:r>
      <w:proofErr w:type="spellStart"/>
      <w:r w:rsidRPr="00940A89">
        <w:t>AusPAR</w:t>
      </w:r>
      <w:proofErr w:type="spellEnd"/>
      <w:r w:rsidRPr="00940A89">
        <w:t xml:space="preserve"> describes the application by </w:t>
      </w:r>
      <w:proofErr w:type="spellStart"/>
      <w:r w:rsidR="00565FBD">
        <w:t>Teva</w:t>
      </w:r>
      <w:proofErr w:type="spellEnd"/>
      <w:r w:rsidR="00565FBD">
        <w:t xml:space="preserve"> </w:t>
      </w:r>
      <w:r w:rsidR="00653E0C">
        <w:t>Pharma</w:t>
      </w:r>
      <w:r w:rsidR="00565FBD">
        <w:t xml:space="preserve"> Australia Pty Ltd (</w:t>
      </w:r>
      <w:r w:rsidRPr="00940A89">
        <w:t>the sponsor</w:t>
      </w:r>
      <w:r w:rsidR="00565FBD">
        <w:t>)</w:t>
      </w:r>
      <w:r w:rsidRPr="00940A89">
        <w:t xml:space="preserve"> to register </w:t>
      </w:r>
      <w:proofErr w:type="spellStart"/>
      <w:r w:rsidR="00565FBD">
        <w:t>Braltus</w:t>
      </w:r>
      <w:proofErr w:type="spellEnd"/>
      <w:r w:rsidR="00565FBD">
        <w:t xml:space="preserve"> tiotropium bromide 13 </w:t>
      </w:r>
      <w:proofErr w:type="spellStart"/>
      <w:r w:rsidR="00565FBD">
        <w:t>μg</w:t>
      </w:r>
      <w:proofErr w:type="spellEnd"/>
      <w:r w:rsidRPr="00940A89">
        <w:t xml:space="preserve"> </w:t>
      </w:r>
      <w:r w:rsidR="00565FBD">
        <w:t>for the following indication:</w:t>
      </w:r>
    </w:p>
    <w:p w14:paraId="6D40F002" w14:textId="77777777" w:rsidR="00565FBD" w:rsidRPr="00565FBD" w:rsidRDefault="00B850D9" w:rsidP="00565FBD">
      <w:pPr>
        <w:ind w:left="720"/>
        <w:rPr>
          <w:i/>
        </w:rPr>
      </w:pPr>
      <w:proofErr w:type="spellStart"/>
      <w:r>
        <w:rPr>
          <w:i/>
        </w:rPr>
        <w:t>Braltus</w:t>
      </w:r>
      <w:proofErr w:type="spellEnd"/>
      <w:r w:rsidR="00565FBD" w:rsidRPr="00565FBD">
        <w:rPr>
          <w:i/>
        </w:rPr>
        <w:t xml:space="preserve"> is indicated for the long term maintenance treatment of bronchospasm and dyspnoea associated with chronic obstructive pulmonary disease (COPD). </w:t>
      </w:r>
      <w:proofErr w:type="spellStart"/>
      <w:r>
        <w:rPr>
          <w:i/>
        </w:rPr>
        <w:t>Braltus</w:t>
      </w:r>
      <w:proofErr w:type="spellEnd"/>
      <w:r w:rsidR="00565FBD" w:rsidRPr="00565FBD">
        <w:rPr>
          <w:i/>
        </w:rPr>
        <w:t xml:space="preserve"> is indicated for the prevention of COPD exacerbations.</w:t>
      </w:r>
    </w:p>
    <w:p w14:paraId="6F44658D" w14:textId="77777777" w:rsidR="00565FBD" w:rsidRDefault="00565FBD" w:rsidP="00565FBD">
      <w:pPr>
        <w:jc w:val="both"/>
      </w:pPr>
      <w:r w:rsidRPr="00D77FDD">
        <w:lastRenderedPageBreak/>
        <w:t xml:space="preserve">This is </w:t>
      </w:r>
      <w:r w:rsidR="00C437E7">
        <w:t>a medicine</w:t>
      </w:r>
      <w:r w:rsidR="00FF2861">
        <w:t xml:space="preserve"> therapeutically equivalent</w:t>
      </w:r>
      <w:r w:rsidR="00C437E7">
        <w:t xml:space="preserve"> to </w:t>
      </w:r>
      <w:r w:rsidR="0028670C">
        <w:t>Spiriva</w:t>
      </w:r>
      <w:r w:rsidR="00C437E7">
        <w:t xml:space="preserve">. This indication is </w:t>
      </w:r>
      <w:r w:rsidRPr="00D77FDD">
        <w:t xml:space="preserve">the same as the TGA </w:t>
      </w:r>
      <w:r>
        <w:t xml:space="preserve">approved indication for </w:t>
      </w:r>
      <w:r w:rsidR="0028670C">
        <w:t>Spiriva</w:t>
      </w:r>
      <w:r w:rsidR="002935DF">
        <w:t xml:space="preserve"> tiotropium 18 </w:t>
      </w:r>
      <w:proofErr w:type="spellStart"/>
      <w:r w:rsidR="002935DF">
        <w:t>μg</w:t>
      </w:r>
      <w:proofErr w:type="spellEnd"/>
      <w:r w:rsidR="001B169F">
        <w:t>,</w:t>
      </w:r>
      <w:r w:rsidR="002935DF">
        <w:t xml:space="preserve"> powder for inhalation blister pack (ARTG 81525)</w:t>
      </w:r>
    </w:p>
    <w:p w14:paraId="2DF8BC19" w14:textId="77777777" w:rsidR="00565FBD" w:rsidRDefault="00565FBD" w:rsidP="00030ABD">
      <w:r w:rsidRPr="00D77FDD">
        <w:t>Tiotropium is a long-acting, specific anti-muscarinic (anticholinergic) agent.</w:t>
      </w:r>
    </w:p>
    <w:p w14:paraId="3A54D7E2" w14:textId="77777777" w:rsidR="00565FBD" w:rsidRPr="00D77FDD" w:rsidRDefault="001B169F" w:rsidP="00565FBD">
      <w:pPr>
        <w:jc w:val="both"/>
      </w:pPr>
      <w:r>
        <w:t xml:space="preserve">The delivery device </w:t>
      </w:r>
      <w:r w:rsidR="00FF2861">
        <w:t>to be used with</w:t>
      </w:r>
      <w:r>
        <w:t xml:space="preserve"> </w:t>
      </w:r>
      <w:proofErr w:type="spellStart"/>
      <w:r>
        <w:t>Braltus</w:t>
      </w:r>
      <w:proofErr w:type="spellEnd"/>
      <w:r>
        <w:t xml:space="preserve"> is </w:t>
      </w:r>
      <w:r w:rsidR="00FF2861">
        <w:t>called the</w:t>
      </w:r>
      <w:r>
        <w:t xml:space="preserve"> </w:t>
      </w:r>
      <w:proofErr w:type="spellStart"/>
      <w:r>
        <w:t>Zonda</w:t>
      </w:r>
      <w:proofErr w:type="spellEnd"/>
      <w:r>
        <w:t xml:space="preserve"> device, and the device used for </w:t>
      </w:r>
      <w:r w:rsidR="0028670C">
        <w:t>Spiriva</w:t>
      </w:r>
      <w:r>
        <w:t xml:space="preserve"> is </w:t>
      </w:r>
      <w:r w:rsidR="00FF2861">
        <w:t xml:space="preserve">called </w:t>
      </w:r>
      <w:r>
        <w:t xml:space="preserve">a </w:t>
      </w:r>
      <w:proofErr w:type="spellStart"/>
      <w:r>
        <w:t>Handihaler</w:t>
      </w:r>
      <w:proofErr w:type="spellEnd"/>
      <w:r>
        <w:t xml:space="preserve"> device.</w:t>
      </w:r>
    </w:p>
    <w:p w14:paraId="63EAD9E8" w14:textId="77777777" w:rsidR="008E7846" w:rsidRPr="003F31A2" w:rsidRDefault="00386150" w:rsidP="00030ABD">
      <w:pPr>
        <w:pStyle w:val="Heading3"/>
      </w:pPr>
      <w:bookmarkStart w:id="16" w:name="_Toc314842485"/>
      <w:bookmarkStart w:id="17" w:name="_Toc247691504"/>
      <w:bookmarkStart w:id="18" w:name="_Toc16587407"/>
      <w:r>
        <w:t xml:space="preserve">Regulatory </w:t>
      </w:r>
      <w:r w:rsidRPr="00030ABD">
        <w:t>s</w:t>
      </w:r>
      <w:r w:rsidR="008E7846" w:rsidRPr="00030ABD">
        <w:t>tatus</w:t>
      </w:r>
      <w:bookmarkEnd w:id="16"/>
      <w:bookmarkEnd w:id="17"/>
      <w:bookmarkEnd w:id="18"/>
    </w:p>
    <w:p w14:paraId="43B68D32" w14:textId="77777777" w:rsidR="00940A89" w:rsidRPr="00940A89" w:rsidRDefault="00940A89" w:rsidP="00030ABD">
      <w:bookmarkStart w:id="19" w:name="_Toc247691505"/>
      <w:bookmarkStart w:id="20" w:name="_Toc314842486"/>
      <w:r w:rsidRPr="00940A89">
        <w:t>The product received initial registration on the Australian Register</w:t>
      </w:r>
      <w:r w:rsidR="00147800">
        <w:t xml:space="preserve"> of Therapeutic Goods (ARTG) on 15 November 2018</w:t>
      </w:r>
    </w:p>
    <w:p w14:paraId="4D5390ED" w14:textId="7274586A" w:rsidR="00940A89" w:rsidRDefault="00940A89" w:rsidP="00940A89">
      <w:r w:rsidRPr="00940A89">
        <w:t xml:space="preserve">At the time the TGA considered this </w:t>
      </w:r>
      <w:r w:rsidR="004F3B70" w:rsidRPr="00940A89">
        <w:t>application;</w:t>
      </w:r>
      <w:r w:rsidRPr="00940A89">
        <w:t xml:space="preserve"> a similar application </w:t>
      </w:r>
      <w:r w:rsidR="001B3E9F">
        <w:t xml:space="preserve">had been considered </w:t>
      </w:r>
      <w:r>
        <w:t xml:space="preserve">in </w:t>
      </w:r>
      <w:r w:rsidR="004A245F">
        <w:t xml:space="preserve">the </w:t>
      </w:r>
      <w:r w:rsidR="0070416F">
        <w:t>European Union (</w:t>
      </w:r>
      <w:r w:rsidR="004A245F">
        <w:t>EU</w:t>
      </w:r>
      <w:r w:rsidR="0070416F">
        <w:t>)</w:t>
      </w:r>
      <w:r w:rsidR="004A245F">
        <w:t xml:space="preserve"> via the decentralised procedure </w:t>
      </w:r>
      <w:r w:rsidR="0098052A">
        <w:t>and had received a positive opinion on 24 June 2016</w:t>
      </w:r>
      <w:r>
        <w:t>.</w:t>
      </w:r>
    </w:p>
    <w:p w14:paraId="19EBC52B" w14:textId="77777777" w:rsidR="008E7846" w:rsidRDefault="008E7846" w:rsidP="00030ABD">
      <w:pPr>
        <w:pStyle w:val="Heading3"/>
      </w:pPr>
      <w:bookmarkStart w:id="21" w:name="_Toc16587408"/>
      <w:r>
        <w:t xml:space="preserve">Product </w:t>
      </w:r>
      <w:r w:rsidRPr="00030ABD">
        <w:t>Information</w:t>
      </w:r>
      <w:bookmarkEnd w:id="19"/>
      <w:bookmarkEnd w:id="20"/>
      <w:bookmarkEnd w:id="21"/>
    </w:p>
    <w:p w14:paraId="04F7B9C6" w14:textId="77777777" w:rsidR="00940A89" w:rsidRDefault="006136D7" w:rsidP="00030ABD">
      <w:bookmarkStart w:id="22" w:name="_Toc247691506"/>
      <w:bookmarkStart w:id="23"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2E9E886B" w14:textId="77777777" w:rsidR="00500337" w:rsidRDefault="00500337" w:rsidP="00030ABD">
      <w:pPr>
        <w:pStyle w:val="Heading2"/>
      </w:pPr>
      <w:bookmarkStart w:id="24" w:name="_Toc504480011"/>
      <w:bookmarkStart w:id="25" w:name="_Toc16587409"/>
      <w:r>
        <w:t xml:space="preserve">II. </w:t>
      </w:r>
      <w:r w:rsidRPr="00030ABD">
        <w:t>Registration</w:t>
      </w:r>
      <w:r>
        <w:t xml:space="preserve"> time line</w:t>
      </w:r>
      <w:bookmarkEnd w:id="24"/>
      <w:bookmarkEnd w:id="25"/>
    </w:p>
    <w:p w14:paraId="12E44026" w14:textId="27191A29" w:rsidR="00500337" w:rsidRDefault="00500337" w:rsidP="00030ABD">
      <w:r>
        <w:t xml:space="preserve">The following table captures the key steps and dates for this application and which are detailed and discussed in this </w:t>
      </w:r>
      <w:proofErr w:type="spellStart"/>
      <w:r>
        <w:t>AusPAR</w:t>
      </w:r>
      <w:proofErr w:type="spellEnd"/>
      <w:r>
        <w:t>.</w:t>
      </w:r>
    </w:p>
    <w:p w14:paraId="597DAC06" w14:textId="77777777" w:rsidR="00500337" w:rsidRPr="0098052A" w:rsidRDefault="0098052A" w:rsidP="00030ABD">
      <w:pPr>
        <w:pStyle w:val="TableTitle"/>
      </w:pPr>
      <w:r>
        <w:t>Table 1: Registration timeline for submission PM-</w:t>
      </w:r>
      <w:r w:rsidRPr="00030ABD">
        <w:t>2017</w:t>
      </w:r>
      <w:r>
        <w:t>-03103-1-5</w:t>
      </w:r>
    </w:p>
    <w:tbl>
      <w:tblPr>
        <w:tblStyle w:val="TableTGAblue"/>
        <w:tblW w:w="0" w:type="auto"/>
        <w:tblLook w:val="04A0" w:firstRow="1" w:lastRow="0" w:firstColumn="1" w:lastColumn="0" w:noHBand="0" w:noVBand="1"/>
      </w:tblPr>
      <w:tblGrid>
        <w:gridCol w:w="4360"/>
        <w:gridCol w:w="4360"/>
      </w:tblGrid>
      <w:tr w:rsidR="00500337" w14:paraId="01EDE842"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453D4130" w14:textId="77777777" w:rsidR="00500337" w:rsidRDefault="00500337" w:rsidP="00030ABD">
            <w:r>
              <w:t>Description</w:t>
            </w:r>
          </w:p>
        </w:tc>
        <w:tc>
          <w:tcPr>
            <w:tcW w:w="4360" w:type="dxa"/>
          </w:tcPr>
          <w:p w14:paraId="59FAB490" w14:textId="77777777" w:rsidR="00500337" w:rsidRDefault="00500337" w:rsidP="00030ABD">
            <w:r>
              <w:t>Date</w:t>
            </w:r>
          </w:p>
        </w:tc>
      </w:tr>
      <w:tr w:rsidR="00500337" w14:paraId="0316512F" w14:textId="77777777" w:rsidTr="00500337">
        <w:tc>
          <w:tcPr>
            <w:tcW w:w="4360" w:type="dxa"/>
          </w:tcPr>
          <w:p w14:paraId="1EF3EDB1" w14:textId="77777777" w:rsidR="00500337" w:rsidRDefault="00500337" w:rsidP="00030ABD">
            <w:r>
              <w:t>Submission dossier accepted and first round evaluation commenced</w:t>
            </w:r>
          </w:p>
        </w:tc>
        <w:tc>
          <w:tcPr>
            <w:tcW w:w="4360" w:type="dxa"/>
          </w:tcPr>
          <w:p w14:paraId="0EF25E3F" w14:textId="77777777" w:rsidR="00500337" w:rsidRDefault="00CC68B1" w:rsidP="00030ABD">
            <w:r>
              <w:t>9 October 2017</w:t>
            </w:r>
          </w:p>
        </w:tc>
      </w:tr>
      <w:tr w:rsidR="00500337" w14:paraId="227CF0DD" w14:textId="77777777" w:rsidTr="00500337">
        <w:tc>
          <w:tcPr>
            <w:tcW w:w="4360" w:type="dxa"/>
          </w:tcPr>
          <w:p w14:paraId="0A3537B1" w14:textId="77777777" w:rsidR="00500337" w:rsidRDefault="00500337" w:rsidP="00030ABD">
            <w:r>
              <w:t>First round evaluation completed</w:t>
            </w:r>
          </w:p>
        </w:tc>
        <w:tc>
          <w:tcPr>
            <w:tcW w:w="4360" w:type="dxa"/>
          </w:tcPr>
          <w:p w14:paraId="36A63CF2" w14:textId="77777777" w:rsidR="00500337" w:rsidRDefault="00CC68B1" w:rsidP="00030ABD">
            <w:r>
              <w:t>10 April 2018</w:t>
            </w:r>
          </w:p>
        </w:tc>
      </w:tr>
      <w:tr w:rsidR="00500337" w14:paraId="0EDD65E7" w14:textId="77777777" w:rsidTr="00500337">
        <w:tc>
          <w:tcPr>
            <w:tcW w:w="4360" w:type="dxa"/>
          </w:tcPr>
          <w:p w14:paraId="2E311A7D" w14:textId="77777777" w:rsidR="00500337" w:rsidRDefault="00500337" w:rsidP="00030ABD">
            <w:r>
              <w:t>Sponsor provides responses on questions raised in first round evaluation</w:t>
            </w:r>
          </w:p>
        </w:tc>
        <w:tc>
          <w:tcPr>
            <w:tcW w:w="4360" w:type="dxa"/>
          </w:tcPr>
          <w:p w14:paraId="2CD1FCD6" w14:textId="77777777" w:rsidR="00500337" w:rsidRDefault="00CC68B1" w:rsidP="00030ABD">
            <w:r>
              <w:t>12 June 2018</w:t>
            </w:r>
          </w:p>
        </w:tc>
      </w:tr>
      <w:tr w:rsidR="00500337" w14:paraId="276209A9" w14:textId="77777777" w:rsidTr="00500337">
        <w:tc>
          <w:tcPr>
            <w:tcW w:w="4360" w:type="dxa"/>
          </w:tcPr>
          <w:p w14:paraId="5E9AFF52" w14:textId="77777777" w:rsidR="00500337" w:rsidRDefault="00500337" w:rsidP="00030ABD">
            <w:r>
              <w:t>Second round evaluation completed</w:t>
            </w:r>
          </w:p>
        </w:tc>
        <w:tc>
          <w:tcPr>
            <w:tcW w:w="4360" w:type="dxa"/>
          </w:tcPr>
          <w:p w14:paraId="7B41D3AA" w14:textId="77777777" w:rsidR="00500337" w:rsidRDefault="00CC68B1" w:rsidP="00030ABD">
            <w:r>
              <w:t>14 August 2018</w:t>
            </w:r>
          </w:p>
        </w:tc>
      </w:tr>
      <w:tr w:rsidR="00500337" w14:paraId="75E4A17E" w14:textId="77777777" w:rsidTr="00500337">
        <w:tc>
          <w:tcPr>
            <w:tcW w:w="4360" w:type="dxa"/>
          </w:tcPr>
          <w:p w14:paraId="77195742" w14:textId="77777777" w:rsidR="00500337" w:rsidRDefault="00500337" w:rsidP="00030ABD">
            <w:r>
              <w:t xml:space="preserve">Delegate’s </w:t>
            </w:r>
            <w:r w:rsidR="001B169F">
              <w:t>Overall benefit-risk assessment.</w:t>
            </w:r>
          </w:p>
        </w:tc>
        <w:tc>
          <w:tcPr>
            <w:tcW w:w="4360" w:type="dxa"/>
          </w:tcPr>
          <w:p w14:paraId="22356807" w14:textId="77777777" w:rsidR="00500337" w:rsidRDefault="00B57860" w:rsidP="00030ABD">
            <w:r>
              <w:t>19 September 2018</w:t>
            </w:r>
          </w:p>
        </w:tc>
      </w:tr>
      <w:tr w:rsidR="00500337" w14:paraId="67671061" w14:textId="77777777" w:rsidTr="00500337">
        <w:tc>
          <w:tcPr>
            <w:tcW w:w="4360" w:type="dxa"/>
          </w:tcPr>
          <w:p w14:paraId="5F144D84" w14:textId="77777777" w:rsidR="00500337" w:rsidRDefault="00500337" w:rsidP="00030ABD">
            <w:r>
              <w:t>Sponsor’s response</w:t>
            </w:r>
            <w:r w:rsidR="001B169F">
              <w:t xml:space="preserve"> to Delegate’s Overall benefit-risk assessment</w:t>
            </w:r>
          </w:p>
        </w:tc>
        <w:tc>
          <w:tcPr>
            <w:tcW w:w="4360" w:type="dxa"/>
          </w:tcPr>
          <w:p w14:paraId="28EEACC7" w14:textId="77777777" w:rsidR="00500337" w:rsidRDefault="00B57860" w:rsidP="00030ABD">
            <w:r>
              <w:t>28 September 2018</w:t>
            </w:r>
          </w:p>
        </w:tc>
      </w:tr>
      <w:tr w:rsidR="00500337" w14:paraId="091243FE" w14:textId="77777777" w:rsidTr="00500337">
        <w:tc>
          <w:tcPr>
            <w:tcW w:w="4360" w:type="dxa"/>
          </w:tcPr>
          <w:p w14:paraId="77EC3B04" w14:textId="77777777" w:rsidR="00500337" w:rsidRDefault="00500337" w:rsidP="00030ABD">
            <w:r>
              <w:t>Registration decision (Outcome)</w:t>
            </w:r>
          </w:p>
        </w:tc>
        <w:tc>
          <w:tcPr>
            <w:tcW w:w="4360" w:type="dxa"/>
          </w:tcPr>
          <w:p w14:paraId="3CA10A3B" w14:textId="77777777" w:rsidR="00500337" w:rsidRDefault="001B169F" w:rsidP="00030ABD">
            <w:r>
              <w:t>31 October 2018</w:t>
            </w:r>
          </w:p>
        </w:tc>
      </w:tr>
      <w:tr w:rsidR="00500337" w14:paraId="1E79A29B" w14:textId="77777777" w:rsidTr="00500337">
        <w:tc>
          <w:tcPr>
            <w:tcW w:w="4360" w:type="dxa"/>
          </w:tcPr>
          <w:p w14:paraId="1CC7107D" w14:textId="77777777" w:rsidR="00500337" w:rsidRDefault="00500337" w:rsidP="00030ABD">
            <w:r>
              <w:t>Completion of administrative activities and registration on ARTG</w:t>
            </w:r>
          </w:p>
        </w:tc>
        <w:tc>
          <w:tcPr>
            <w:tcW w:w="4360" w:type="dxa"/>
          </w:tcPr>
          <w:p w14:paraId="1BD03B24" w14:textId="77777777" w:rsidR="00500337" w:rsidRDefault="001B169F" w:rsidP="00030ABD">
            <w:r>
              <w:t>15 November 2018</w:t>
            </w:r>
          </w:p>
        </w:tc>
      </w:tr>
      <w:tr w:rsidR="00500337" w14:paraId="691AEA92" w14:textId="77777777" w:rsidTr="00500337">
        <w:tc>
          <w:tcPr>
            <w:tcW w:w="4360" w:type="dxa"/>
          </w:tcPr>
          <w:p w14:paraId="3B5FD592" w14:textId="77777777" w:rsidR="00500337" w:rsidRDefault="00500337" w:rsidP="00030ABD">
            <w:r>
              <w:lastRenderedPageBreak/>
              <w:t>Number of working days from submission dossier acceptance to registration decision*</w:t>
            </w:r>
          </w:p>
        </w:tc>
        <w:tc>
          <w:tcPr>
            <w:tcW w:w="4360" w:type="dxa"/>
          </w:tcPr>
          <w:p w14:paraId="669123E5" w14:textId="77777777" w:rsidR="00500337" w:rsidRDefault="00CC68B1" w:rsidP="00030ABD">
            <w:r>
              <w:t>224</w:t>
            </w:r>
          </w:p>
        </w:tc>
      </w:tr>
    </w:tbl>
    <w:p w14:paraId="48A5CFD6" w14:textId="77777777" w:rsidR="00500337" w:rsidRDefault="00500337" w:rsidP="00030ABD">
      <w:pPr>
        <w:pStyle w:val="TableDescription"/>
      </w:pPr>
      <w:r>
        <w:t>*</w:t>
      </w:r>
      <w:r w:rsidR="00BF3774" w:rsidRPr="00BF3774">
        <w:t xml:space="preserve">Statutory </w:t>
      </w:r>
      <w:r>
        <w:t>timeframe for standard applications is 2</w:t>
      </w:r>
      <w:r w:rsidR="00BF3774">
        <w:t>55</w:t>
      </w:r>
      <w:r>
        <w:t xml:space="preserve"> working days</w:t>
      </w:r>
    </w:p>
    <w:p w14:paraId="1C2314B1" w14:textId="77777777" w:rsidR="00500337" w:rsidRDefault="00500337" w:rsidP="00030ABD">
      <w:r>
        <w:t>Evaluations included under Quality findings incorporate both the first and second round evaluations.</w:t>
      </w:r>
    </w:p>
    <w:p w14:paraId="08DD9CE0" w14:textId="6DC2CF9E" w:rsidR="00FF2861" w:rsidRDefault="00FF2861" w:rsidP="00030ABD">
      <w:r>
        <w:t>To establish therapeutic equivalenc</w:t>
      </w:r>
      <w:r w:rsidR="00183A51">
        <w:t xml:space="preserve">e for orally inhaled products, </w:t>
      </w:r>
      <w:r>
        <w:t>the TGA uses the EU guidance framework</w:t>
      </w:r>
      <w:r w:rsidR="0070416F">
        <w:t>.</w:t>
      </w:r>
      <w:bookmarkStart w:id="26" w:name="_Ref3367711"/>
      <w:r w:rsidR="0070416F">
        <w:rPr>
          <w:rStyle w:val="FootnoteReference"/>
        </w:rPr>
        <w:footnoteReference w:id="1"/>
      </w:r>
      <w:bookmarkEnd w:id="26"/>
      <w:r>
        <w:t xml:space="preserve"> This involves a st</w:t>
      </w:r>
      <w:r w:rsidR="0070416F">
        <w:t>epwise approach involving psych</w:t>
      </w:r>
      <w:r>
        <w:t xml:space="preserve">ochemical, pharmacokinetic, </w:t>
      </w:r>
      <w:proofErr w:type="spellStart"/>
      <w:r>
        <w:t>pharmacodynamic</w:t>
      </w:r>
      <w:proofErr w:type="spellEnd"/>
      <w:r>
        <w:t xml:space="preserve"> and clinical studies. It is a joint evaluation by the chemistry (quality) and clinical stream</w:t>
      </w:r>
      <w:r w:rsidR="0005260A">
        <w:t>s</w:t>
      </w:r>
      <w:r>
        <w:t>.</w:t>
      </w:r>
    </w:p>
    <w:p w14:paraId="38D7F74C" w14:textId="77777777" w:rsidR="008E7846" w:rsidRPr="003602A9" w:rsidRDefault="00500337" w:rsidP="00030ABD">
      <w:pPr>
        <w:pStyle w:val="Heading2"/>
      </w:pPr>
      <w:bookmarkStart w:id="27" w:name="_Toc16587410"/>
      <w:r>
        <w:t>I</w:t>
      </w:r>
      <w:r w:rsidR="008E7846">
        <w:t>II. Quality</w:t>
      </w:r>
      <w:bookmarkEnd w:id="2"/>
      <w:r w:rsidR="008E7846">
        <w:t xml:space="preserve"> </w:t>
      </w:r>
      <w:r w:rsidR="008E7846" w:rsidRPr="00030ABD">
        <w:t>findings</w:t>
      </w:r>
      <w:bookmarkEnd w:id="22"/>
      <w:bookmarkEnd w:id="23"/>
      <w:bookmarkEnd w:id="27"/>
    </w:p>
    <w:p w14:paraId="5036E1BF" w14:textId="77777777" w:rsidR="008E7846" w:rsidRDefault="008E7846" w:rsidP="00030ABD">
      <w:pPr>
        <w:pStyle w:val="Heading3"/>
      </w:pPr>
      <w:bookmarkStart w:id="28" w:name="_Toc247691507"/>
      <w:bookmarkStart w:id="29" w:name="_Toc314842488"/>
      <w:bookmarkStart w:id="30" w:name="_Toc16587411"/>
      <w:r w:rsidRPr="008751DC">
        <w:t xml:space="preserve">Drug </w:t>
      </w:r>
      <w:r>
        <w:t>s</w:t>
      </w:r>
      <w:r w:rsidRPr="008751DC">
        <w:t>ubstance</w:t>
      </w:r>
      <w:r>
        <w:t xml:space="preserve"> (</w:t>
      </w:r>
      <w:r w:rsidRPr="00030ABD">
        <w:t>active</w:t>
      </w:r>
      <w:r>
        <w:t xml:space="preserve"> ingredient)</w:t>
      </w:r>
      <w:bookmarkEnd w:id="28"/>
      <w:bookmarkEnd w:id="29"/>
      <w:bookmarkEnd w:id="30"/>
    </w:p>
    <w:p w14:paraId="647F2CA2" w14:textId="61FB815E" w:rsidR="004C154C" w:rsidRDefault="004C154C" w:rsidP="00030ABD">
      <w:r>
        <w:rPr>
          <w:lang w:val="en-CA"/>
        </w:rPr>
        <w:t xml:space="preserve">Tiotropium bromide </w:t>
      </w:r>
      <w:r>
        <w:rPr>
          <w:rFonts w:eastAsia="Times New Roman"/>
        </w:rPr>
        <w:t xml:space="preserve">is made by chemical synthesis. </w:t>
      </w:r>
      <w:r>
        <w:t xml:space="preserve">There are known polymorphs of </w:t>
      </w:r>
      <w:r w:rsidR="0005260A">
        <w:rPr>
          <w:lang w:val="en-CA"/>
        </w:rPr>
        <w:t xml:space="preserve">tiotropium </w:t>
      </w:r>
      <w:r>
        <w:rPr>
          <w:lang w:val="en-CA"/>
        </w:rPr>
        <w:t>bromide</w:t>
      </w:r>
      <w:r w:rsidR="0005260A">
        <w:rPr>
          <w:lang w:val="en-CA"/>
        </w:rPr>
        <w:t>;</w:t>
      </w:r>
      <w:r>
        <w:rPr>
          <w:lang w:val="en-CA"/>
        </w:rPr>
        <w:t xml:space="preserve"> the stated polymorphic form is </w:t>
      </w:r>
      <w:r w:rsidR="00B850D9">
        <w:t>manufactured consistently.</w:t>
      </w:r>
    </w:p>
    <w:p w14:paraId="4AB28EE5" w14:textId="77777777" w:rsidR="00030ABD" w:rsidRDefault="004C154C" w:rsidP="0073721C">
      <w:pPr>
        <w:pStyle w:val="FigureTitle"/>
      </w:pPr>
      <w:r w:rsidRPr="00030ABD">
        <w:t>Figure 1: Structure of tiotropium bromide</w:t>
      </w:r>
    </w:p>
    <w:p w14:paraId="1CD00069" w14:textId="3F20B69E" w:rsidR="004C154C" w:rsidRDefault="002F0520" w:rsidP="00030ABD">
      <w:r w:rsidRPr="009873EF">
        <w:rPr>
          <w:noProof/>
          <w:lang w:eastAsia="en-AU"/>
        </w:rPr>
        <w:drawing>
          <wp:inline distT="0" distB="0" distL="0" distR="0" wp14:anchorId="2D5D963B" wp14:editId="63CCF06F">
            <wp:extent cx="3343275" cy="1895475"/>
            <wp:effectExtent l="0" t="0" r="9525" b="9525"/>
            <wp:docPr id="6" name="Picture 6" descr="Figure 1: Structure of tiotropium br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43275" cy="1895475"/>
                    </a:xfrm>
                    <a:prstGeom prst="rect">
                      <a:avLst/>
                    </a:prstGeom>
                  </pic:spPr>
                </pic:pic>
              </a:graphicData>
            </a:graphic>
          </wp:inline>
        </w:drawing>
      </w:r>
    </w:p>
    <w:p w14:paraId="72AC80DA" w14:textId="5B11AA4B" w:rsidR="00183A51" w:rsidRDefault="00C66A53" w:rsidP="00030ABD">
      <w:pPr>
        <w:rPr>
          <w:lang w:eastAsia="en-AU"/>
        </w:rPr>
      </w:pPr>
      <w:r>
        <w:rPr>
          <w:lang w:eastAsia="en-AU"/>
        </w:rPr>
        <w:t>Tiotropium bromide</w:t>
      </w:r>
      <w:r w:rsidR="00653E0C">
        <w:rPr>
          <w:lang w:eastAsia="en-AU"/>
        </w:rPr>
        <w:t xml:space="preserve">; </w:t>
      </w:r>
      <w:r w:rsidR="00677C57">
        <w:rPr>
          <w:lang w:eastAsia="en-AU"/>
        </w:rPr>
        <w:t>methanol solvate is used in the manufacture of the product. It is dissolved and spray dried with lactose.</w:t>
      </w:r>
    </w:p>
    <w:p w14:paraId="5ED81AB0" w14:textId="65DB6BB5" w:rsidR="004C154C" w:rsidRDefault="004C154C" w:rsidP="00030ABD">
      <w:r>
        <w:t>The drug substance is appropriately controlled by acceptable tests and limits for appearance, identity (</w:t>
      </w:r>
      <w:r w:rsidR="0070416F">
        <w:t>high performance liquid chromatography (</w:t>
      </w:r>
      <w:r>
        <w:t>HPLC</w:t>
      </w:r>
      <w:r w:rsidR="0070416F">
        <w:t>)</w:t>
      </w:r>
      <w:r>
        <w:t xml:space="preserve">, bromides and </w:t>
      </w:r>
      <w:r w:rsidR="0070416F">
        <w:t>X</w:t>
      </w:r>
      <w:r w:rsidR="0070416F">
        <w:noBreakHyphen/>
        <w:t>ray powder diffraction (</w:t>
      </w:r>
      <w:r>
        <w:t>XPRD</w:t>
      </w:r>
      <w:r w:rsidR="0070416F">
        <w:t>)</w:t>
      </w:r>
      <w:r>
        <w:t xml:space="preserve">), assay, related substances, heavy metals, water content, residual solvents and sulphated ash. Related substances and residual solvents have been controlled according to the </w:t>
      </w:r>
      <w:r w:rsidR="0070416F">
        <w:rPr>
          <w:rFonts w:asciiTheme="minorHAnsi" w:eastAsia="TimesNewRoman" w:hAnsiTheme="minorHAnsi" w:cs="TimesNewRoman"/>
        </w:rPr>
        <w:t>International Council on Harmonisation</w:t>
      </w:r>
      <w:r w:rsidR="0070416F">
        <w:t xml:space="preserve"> (</w:t>
      </w:r>
      <w:r>
        <w:t>ICH</w:t>
      </w:r>
      <w:r w:rsidR="0070416F">
        <w:t>)</w:t>
      </w:r>
      <w:r>
        <w:t xml:space="preserve"> guidelines. The specifications are c</w:t>
      </w:r>
      <w:r w:rsidR="00B850D9">
        <w:t>ompliant with the B</w:t>
      </w:r>
      <w:r w:rsidR="0070416F">
        <w:t xml:space="preserve">ritish </w:t>
      </w:r>
      <w:r w:rsidR="00975CA8">
        <w:t>Pharmacop</w:t>
      </w:r>
      <w:r w:rsidR="0005260A">
        <w:t>o</w:t>
      </w:r>
      <w:r w:rsidR="00975CA8">
        <w:t xml:space="preserve">eia </w:t>
      </w:r>
      <w:r w:rsidR="00B850D9">
        <w:t>monograph.</w:t>
      </w:r>
    </w:p>
    <w:p w14:paraId="2384B691" w14:textId="77777777" w:rsidR="00C66A53" w:rsidRDefault="00C66A53" w:rsidP="00030ABD">
      <w:pPr>
        <w:pStyle w:val="Heading4"/>
      </w:pPr>
      <w:r w:rsidRPr="00030ABD">
        <w:lastRenderedPageBreak/>
        <w:t>Excipients</w:t>
      </w:r>
    </w:p>
    <w:p w14:paraId="355CB058" w14:textId="77777777" w:rsidR="00C66A53" w:rsidRPr="00BB0AF4" w:rsidRDefault="00C66A53" w:rsidP="00030ABD">
      <w:pPr>
        <w:pStyle w:val="Heading5"/>
        <w:rPr>
          <w:lang w:eastAsia="en-AU"/>
        </w:rPr>
      </w:pPr>
      <w:r w:rsidRPr="00BB0AF4">
        <w:rPr>
          <w:lang w:eastAsia="en-AU"/>
        </w:rPr>
        <w:t xml:space="preserve">Lactose </w:t>
      </w:r>
      <w:r w:rsidRPr="00030ABD">
        <w:t>monohydrate</w:t>
      </w:r>
    </w:p>
    <w:p w14:paraId="3FE5E760" w14:textId="77777777" w:rsidR="00C66A53" w:rsidRPr="00C66A53" w:rsidRDefault="00C66A53" w:rsidP="00030ABD">
      <w:r>
        <w:rPr>
          <w:lang w:eastAsia="en-AU"/>
        </w:rPr>
        <w:t>Lactose monohydrate is the only excipient used in the drug product. Particle size was determined to be a critical parameter and as such is controlled.</w:t>
      </w:r>
    </w:p>
    <w:p w14:paraId="71EA2BAF" w14:textId="77777777" w:rsidR="008E7846" w:rsidRDefault="008E7846" w:rsidP="00030ABD">
      <w:pPr>
        <w:pStyle w:val="Heading3"/>
      </w:pPr>
      <w:bookmarkStart w:id="31" w:name="_Toc247691508"/>
      <w:bookmarkStart w:id="32" w:name="_Toc314842490"/>
      <w:bookmarkStart w:id="33" w:name="_Toc16587412"/>
      <w:r w:rsidRPr="008751DC">
        <w:t xml:space="preserve">Drug </w:t>
      </w:r>
      <w:r w:rsidRPr="00030ABD">
        <w:t>product</w:t>
      </w:r>
      <w:bookmarkEnd w:id="31"/>
      <w:bookmarkEnd w:id="32"/>
      <w:bookmarkEnd w:id="33"/>
    </w:p>
    <w:p w14:paraId="3F9AC24C" w14:textId="77777777" w:rsidR="004C154C" w:rsidRDefault="004C154C" w:rsidP="00030ABD">
      <w:pPr>
        <w:rPr>
          <w:lang w:eastAsia="en-AU"/>
        </w:rPr>
      </w:pPr>
      <w:r>
        <w:rPr>
          <w:lang w:eastAsia="en-AU"/>
        </w:rPr>
        <w:t>The proposed drug product consists of a capsule containing a blend of tiotropium bromide and l</w:t>
      </w:r>
      <w:r w:rsidR="00B850D9">
        <w:rPr>
          <w:lang w:eastAsia="en-AU"/>
        </w:rPr>
        <w:t xml:space="preserve">actose monohydrate and a single </w:t>
      </w:r>
      <w:r>
        <w:rPr>
          <w:lang w:eastAsia="en-AU"/>
        </w:rPr>
        <w:t xml:space="preserve">dose inhaler device. There is 13 </w:t>
      </w:r>
      <w:proofErr w:type="spellStart"/>
      <w:r w:rsidR="00B850D9">
        <w:rPr>
          <w:lang w:eastAsia="en-AU"/>
        </w:rPr>
        <w:t>μg</w:t>
      </w:r>
      <w:proofErr w:type="spellEnd"/>
      <w:r>
        <w:rPr>
          <w:lang w:eastAsia="en-AU"/>
        </w:rPr>
        <w:t xml:space="preserve"> tiotropium (as bromide) in each capsule. When used with the supplied inhaler device it is designed to deliver 10 </w:t>
      </w:r>
      <w:proofErr w:type="spellStart"/>
      <w:r w:rsidR="00B850D9">
        <w:rPr>
          <w:lang w:eastAsia="en-AU"/>
        </w:rPr>
        <w:t>μg</w:t>
      </w:r>
      <w:proofErr w:type="spellEnd"/>
      <w:r w:rsidR="00B850D9">
        <w:rPr>
          <w:lang w:eastAsia="en-AU"/>
        </w:rPr>
        <w:t xml:space="preserve"> tiotropium to the patient.</w:t>
      </w:r>
    </w:p>
    <w:p w14:paraId="2F1CC2D7" w14:textId="77777777" w:rsidR="004C154C" w:rsidRDefault="004C154C" w:rsidP="004C154C">
      <w:pPr>
        <w:rPr>
          <w:lang w:eastAsia="en-AU"/>
        </w:rPr>
      </w:pPr>
      <w:r>
        <w:rPr>
          <w:lang w:eastAsia="en-AU"/>
        </w:rPr>
        <w:t xml:space="preserve">The capsules are packed in </w:t>
      </w:r>
      <w:r w:rsidR="008E61E8">
        <w:rPr>
          <w:lang w:eastAsia="en-AU"/>
        </w:rPr>
        <w:t>high density polyethylene (</w:t>
      </w:r>
      <w:r>
        <w:rPr>
          <w:lang w:eastAsia="en-AU"/>
        </w:rPr>
        <w:t>HDPE</w:t>
      </w:r>
      <w:r w:rsidR="008E61E8">
        <w:rPr>
          <w:lang w:eastAsia="en-AU"/>
        </w:rPr>
        <w:t>)</w:t>
      </w:r>
      <w:r>
        <w:rPr>
          <w:lang w:eastAsia="en-AU"/>
        </w:rPr>
        <w:t xml:space="preserve"> bottles with a child resistant cap containing a desiccant. The bottles contain 30 capsules. The inhaler device is designed to only be used with this product and is</w:t>
      </w:r>
      <w:r w:rsidR="00B850D9">
        <w:rPr>
          <w:lang w:eastAsia="en-AU"/>
        </w:rPr>
        <w:t xml:space="preserve"> to be discarded after 30 uses.</w:t>
      </w:r>
    </w:p>
    <w:p w14:paraId="7D6B74CA" w14:textId="3488E985" w:rsidR="004C154C" w:rsidRDefault="004C154C" w:rsidP="004C154C">
      <w:pPr>
        <w:rPr>
          <w:lang w:eastAsia="en-AU"/>
        </w:rPr>
      </w:pPr>
      <w:r>
        <w:rPr>
          <w:lang w:eastAsia="en-AU"/>
        </w:rPr>
        <w:t xml:space="preserve">The manufacturing process </w:t>
      </w:r>
      <w:r w:rsidR="00653E0C">
        <w:rPr>
          <w:lang w:eastAsia="en-AU"/>
        </w:rPr>
        <w:t xml:space="preserve">involves spray drying the drug substance </w:t>
      </w:r>
      <w:r>
        <w:rPr>
          <w:lang w:eastAsia="en-AU"/>
        </w:rPr>
        <w:t>with lactose and filling the blend in empty capsule shells.</w:t>
      </w:r>
    </w:p>
    <w:p w14:paraId="1E6C5C8D" w14:textId="42E93ED3" w:rsidR="004C154C" w:rsidRDefault="004C154C" w:rsidP="00030ABD">
      <w:pPr>
        <w:rPr>
          <w:lang w:eastAsia="en-AU"/>
        </w:rPr>
      </w:pPr>
      <w:r>
        <w:rPr>
          <w:lang w:eastAsia="en-AU"/>
        </w:rPr>
        <w:t xml:space="preserve">The finished product is appropriately controlled using the finished product specifications. The specifications include acceptable tests and limits for appearance, identity (HPLC and </w:t>
      </w:r>
      <w:r w:rsidR="0005260A">
        <w:rPr>
          <w:lang w:eastAsia="en-AU"/>
        </w:rPr>
        <w:t>ultra v</w:t>
      </w:r>
      <w:r w:rsidR="008E61E8">
        <w:rPr>
          <w:lang w:eastAsia="en-AU"/>
        </w:rPr>
        <w:t>iolet</w:t>
      </w:r>
      <w:r>
        <w:rPr>
          <w:lang w:eastAsia="en-AU"/>
        </w:rPr>
        <w:t>), assay, content uniformity, water content, degradation products, mean delivered dose, uniformity of delivered dose, aerodynamic particle size, foreign particulate matter, amorphous content and microbial purity. All individual degradation products are controlled according to the ICH identification threshold (</w:t>
      </w:r>
      <w:r w:rsidR="008E61E8">
        <w:rPr>
          <w:lang w:eastAsia="en-AU"/>
        </w:rPr>
        <w:t>not more than (</w:t>
      </w:r>
      <w:r>
        <w:rPr>
          <w:lang w:eastAsia="en-AU"/>
        </w:rPr>
        <w:t>NMT</w:t>
      </w:r>
      <w:r w:rsidR="008E61E8">
        <w:rPr>
          <w:lang w:eastAsia="en-AU"/>
        </w:rPr>
        <w:t>)</w:t>
      </w:r>
      <w:r>
        <w:rPr>
          <w:lang w:eastAsia="en-AU"/>
        </w:rPr>
        <w:t xml:space="preserve"> 1.0%), except for impurity G which has been qualified based on levels found in the reference product.</w:t>
      </w:r>
    </w:p>
    <w:p w14:paraId="3E2747BE" w14:textId="091BFF65" w:rsidR="004C154C" w:rsidRDefault="004C154C" w:rsidP="004C154C">
      <w:pPr>
        <w:rPr>
          <w:lang w:eastAsia="en-AU"/>
        </w:rPr>
      </w:pPr>
      <w:r>
        <w:rPr>
          <w:lang w:eastAsia="en-AU"/>
        </w:rPr>
        <w:t>A shelf</w:t>
      </w:r>
      <w:r w:rsidR="0005260A">
        <w:rPr>
          <w:lang w:eastAsia="en-AU"/>
        </w:rPr>
        <w:t xml:space="preserve"> </w:t>
      </w:r>
      <w:r>
        <w:rPr>
          <w:lang w:eastAsia="en-AU"/>
        </w:rPr>
        <w:t>life of 24 months when stored below 25</w:t>
      </w:r>
      <w:r w:rsidR="008E61E8">
        <w:rPr>
          <w:lang w:eastAsia="en-AU"/>
        </w:rPr>
        <w:t>°</w:t>
      </w:r>
      <w:r>
        <w:rPr>
          <w:lang w:eastAsia="en-AU"/>
        </w:rPr>
        <w:t>C is recommended in the proposed container closure.</w:t>
      </w:r>
    </w:p>
    <w:p w14:paraId="03F8188C" w14:textId="77777777" w:rsidR="004C154C" w:rsidRDefault="004C154C" w:rsidP="00030ABD">
      <w:pPr>
        <w:pStyle w:val="Heading3"/>
      </w:pPr>
      <w:bookmarkStart w:id="34" w:name="_Toc314842491"/>
      <w:bookmarkStart w:id="35" w:name="_Toc16587413"/>
      <w:r w:rsidRPr="00030ABD">
        <w:t>Biopharmaceutics</w:t>
      </w:r>
      <w:bookmarkEnd w:id="34"/>
      <w:bookmarkEnd w:id="35"/>
    </w:p>
    <w:p w14:paraId="5FD26223" w14:textId="29015A7E" w:rsidR="00940A89" w:rsidRPr="00940A89" w:rsidRDefault="004C154C" w:rsidP="00030ABD">
      <w:pPr>
        <w:rPr>
          <w:lang w:eastAsia="en-AU"/>
        </w:rPr>
      </w:pPr>
      <w:r>
        <w:rPr>
          <w:lang w:eastAsia="en-AU"/>
        </w:rPr>
        <w:t xml:space="preserve">Section 5.2 of </w:t>
      </w:r>
      <w:r w:rsidR="00B850D9">
        <w:rPr>
          <w:lang w:eastAsia="en-AU"/>
        </w:rPr>
        <w:t>the guideline</w:t>
      </w:r>
      <w:proofErr w:type="gramStart"/>
      <w:r w:rsidR="008E61E8">
        <w:rPr>
          <w:lang w:eastAsia="en-AU"/>
        </w:rPr>
        <w:t>;</w:t>
      </w:r>
      <w:proofErr w:type="gramEnd"/>
      <w:r w:rsidR="008E61E8" w:rsidRPr="008E61E8">
        <w:rPr>
          <w:rStyle w:val="FootnoteReference"/>
          <w:lang w:eastAsia="en-AU"/>
        </w:rPr>
        <w:fldChar w:fldCharType="begin"/>
      </w:r>
      <w:r w:rsidR="008E61E8" w:rsidRPr="008E61E8">
        <w:rPr>
          <w:vertAlign w:val="superscript"/>
          <w:lang w:eastAsia="en-AU"/>
        </w:rPr>
        <w:instrText xml:space="preserve"> NOTEREF _Ref3367711 \h </w:instrText>
      </w:r>
      <w:r w:rsidR="008E61E8" w:rsidRPr="008E61E8">
        <w:rPr>
          <w:rStyle w:val="FootnoteReference"/>
          <w:lang w:eastAsia="en-AU"/>
        </w:rPr>
        <w:instrText xml:space="preserve"> \* MERGEFORMAT </w:instrText>
      </w:r>
      <w:r w:rsidR="008E61E8" w:rsidRPr="008E61E8">
        <w:rPr>
          <w:rStyle w:val="FootnoteReference"/>
          <w:lang w:eastAsia="en-AU"/>
        </w:rPr>
      </w:r>
      <w:r w:rsidR="008E61E8" w:rsidRPr="008E61E8">
        <w:rPr>
          <w:rStyle w:val="FootnoteReference"/>
          <w:lang w:eastAsia="en-AU"/>
        </w:rPr>
        <w:fldChar w:fldCharType="separate"/>
      </w:r>
      <w:r w:rsidR="00363802">
        <w:rPr>
          <w:vertAlign w:val="superscript"/>
          <w:lang w:eastAsia="en-AU"/>
        </w:rPr>
        <w:t>1</w:t>
      </w:r>
      <w:r w:rsidR="008E61E8" w:rsidRPr="008E61E8">
        <w:rPr>
          <w:rStyle w:val="FootnoteReference"/>
          <w:lang w:eastAsia="en-AU"/>
        </w:rPr>
        <w:fldChar w:fldCharType="end"/>
      </w:r>
      <w:r w:rsidR="00B850D9">
        <w:rPr>
          <w:lang w:eastAsia="en-AU"/>
        </w:rPr>
        <w:t xml:space="preserve"> </w:t>
      </w:r>
      <w:r>
        <w:rPr>
          <w:lang w:eastAsia="en-AU"/>
        </w:rPr>
        <w:t xml:space="preserve">outlines when </w:t>
      </w:r>
      <w:r w:rsidRPr="0077726B">
        <w:rPr>
          <w:i/>
          <w:lang w:eastAsia="en-AU"/>
        </w:rPr>
        <w:t>in vitro</w:t>
      </w:r>
      <w:r>
        <w:rPr>
          <w:lang w:eastAsia="en-AU"/>
        </w:rPr>
        <w:t xml:space="preserve"> data are sufficient to establish ther</w:t>
      </w:r>
      <w:r w:rsidR="00B850D9">
        <w:rPr>
          <w:lang w:eastAsia="en-AU"/>
        </w:rPr>
        <w:t xml:space="preserve">apeutic equivalence for metered </w:t>
      </w:r>
      <w:r>
        <w:rPr>
          <w:lang w:eastAsia="en-AU"/>
        </w:rPr>
        <w:t>dose inhalation medicines. The target delivered dose of the test and reference products were similar, however, all of the criteria were not satisfied for the test product and so pharmacokinetic studies have been provided to demonstrate therapeutic equivalence. In these studies</w:t>
      </w:r>
      <w:r w:rsidR="0005260A">
        <w:rPr>
          <w:lang w:eastAsia="en-AU"/>
        </w:rPr>
        <w:t>,</w:t>
      </w:r>
      <w:r>
        <w:rPr>
          <w:lang w:eastAsia="en-AU"/>
        </w:rPr>
        <w:t xml:space="preserve"> 2 capsules of both the test and reference products are administered to healthy subjects (AUC</w:t>
      </w:r>
      <w:r>
        <w:rPr>
          <w:vertAlign w:val="subscript"/>
          <w:lang w:eastAsia="en-AU"/>
        </w:rPr>
        <w:t>0-t</w:t>
      </w:r>
      <w:r w:rsidR="0005260A">
        <w:rPr>
          <w:lang w:eastAsia="en-AU"/>
        </w:rPr>
        <w:t>,</w:t>
      </w:r>
      <w:r w:rsidR="0070416F">
        <w:rPr>
          <w:rStyle w:val="FootnoteReference"/>
          <w:lang w:eastAsia="en-AU"/>
        </w:rPr>
        <w:footnoteReference w:id="2"/>
      </w:r>
      <w:r w:rsidR="0005260A">
        <w:rPr>
          <w:lang w:eastAsia="en-AU"/>
        </w:rPr>
        <w:t xml:space="preserve"> </w:t>
      </w:r>
      <w:r w:rsidR="00B850D9">
        <w:rPr>
          <w:lang w:eastAsia="en-AU"/>
        </w:rPr>
        <w:t>101.3% to</w:t>
      </w:r>
      <w:r>
        <w:rPr>
          <w:lang w:eastAsia="en-AU"/>
        </w:rPr>
        <w:t xml:space="preserve"> 111.6%</w:t>
      </w:r>
      <w:r w:rsidR="0005260A">
        <w:rPr>
          <w:lang w:eastAsia="en-AU"/>
        </w:rPr>
        <w:t>;</w:t>
      </w:r>
      <w:r>
        <w:rPr>
          <w:lang w:eastAsia="en-AU"/>
        </w:rPr>
        <w:t xml:space="preserve"> </w:t>
      </w:r>
      <w:proofErr w:type="spellStart"/>
      <w:r w:rsidR="0028670C" w:rsidRPr="00794740">
        <w:t>C</w:t>
      </w:r>
      <w:r w:rsidR="0028670C" w:rsidRPr="0028670C">
        <w:rPr>
          <w:vertAlign w:val="subscript"/>
        </w:rPr>
        <w:t>max</w:t>
      </w:r>
      <w:proofErr w:type="spellEnd"/>
      <w:r w:rsidR="0005260A">
        <w:t>,</w:t>
      </w:r>
      <w:r w:rsidR="0070416F">
        <w:rPr>
          <w:rStyle w:val="FootnoteReference"/>
        </w:rPr>
        <w:footnoteReference w:id="3"/>
      </w:r>
      <w:r w:rsidR="00B850D9">
        <w:rPr>
          <w:lang w:eastAsia="en-AU"/>
        </w:rPr>
        <w:t xml:space="preserve"> 87.3% to</w:t>
      </w:r>
      <w:r>
        <w:rPr>
          <w:lang w:eastAsia="en-AU"/>
        </w:rPr>
        <w:t xml:space="preserve"> 106.6%). These have been assessed in detail by the clinical evaluator.</w:t>
      </w:r>
    </w:p>
    <w:p w14:paraId="250BCA29" w14:textId="77777777" w:rsidR="008E7846" w:rsidRDefault="008E7846" w:rsidP="00030ABD">
      <w:pPr>
        <w:pStyle w:val="Heading2"/>
      </w:pPr>
      <w:bookmarkStart w:id="36" w:name="_Toc196046439"/>
      <w:bookmarkStart w:id="37" w:name="_Toc247691510"/>
      <w:bookmarkStart w:id="38" w:name="_Toc314842494"/>
      <w:bookmarkStart w:id="39" w:name="_Toc16587414"/>
      <w:r>
        <w:t>I</w:t>
      </w:r>
      <w:r w:rsidR="00500337">
        <w:t>V</w:t>
      </w:r>
      <w:r>
        <w:t>. Nonclinical</w:t>
      </w:r>
      <w:bookmarkEnd w:id="36"/>
      <w:r>
        <w:t xml:space="preserve"> </w:t>
      </w:r>
      <w:r w:rsidRPr="00030ABD">
        <w:t>findings</w:t>
      </w:r>
      <w:bookmarkEnd w:id="37"/>
      <w:bookmarkEnd w:id="38"/>
      <w:bookmarkEnd w:id="39"/>
    </w:p>
    <w:p w14:paraId="50573A85" w14:textId="77777777" w:rsidR="00940A89" w:rsidRDefault="00940A89" w:rsidP="000E6196">
      <w:bookmarkStart w:id="40" w:name="_Toc247691511"/>
      <w:bookmarkStart w:id="41" w:name="_Toc314842495"/>
      <w:r>
        <w:t>There was no requirement for a nonclinical evaluation in a submission of this type.</w:t>
      </w:r>
    </w:p>
    <w:p w14:paraId="3D6CDFED" w14:textId="77777777" w:rsidR="008E7846" w:rsidRPr="00254787" w:rsidRDefault="008E7846" w:rsidP="00030ABD">
      <w:pPr>
        <w:pStyle w:val="Heading2"/>
      </w:pPr>
      <w:bookmarkStart w:id="42" w:name="_Toc196046462"/>
      <w:bookmarkStart w:id="43" w:name="_Toc247691516"/>
      <w:bookmarkStart w:id="44" w:name="_Toc314842500"/>
      <w:bookmarkStart w:id="45" w:name="_Toc16587415"/>
      <w:bookmarkStart w:id="46" w:name="_Toc163441353"/>
      <w:bookmarkStart w:id="47" w:name="_Toc163441348"/>
      <w:bookmarkEnd w:id="40"/>
      <w:bookmarkEnd w:id="41"/>
      <w:r>
        <w:t xml:space="preserve">V. </w:t>
      </w:r>
      <w:r w:rsidRPr="00254787">
        <w:t>Clinical</w:t>
      </w:r>
      <w:bookmarkEnd w:id="42"/>
      <w:r>
        <w:t xml:space="preserve"> </w:t>
      </w:r>
      <w:r w:rsidR="003A7F6C" w:rsidRPr="00030ABD">
        <w:t>f</w:t>
      </w:r>
      <w:r w:rsidRPr="00030ABD">
        <w:t>indings</w:t>
      </w:r>
      <w:bookmarkEnd w:id="43"/>
      <w:bookmarkEnd w:id="44"/>
      <w:bookmarkEnd w:id="45"/>
    </w:p>
    <w:p w14:paraId="14D7583F" w14:textId="77777777" w:rsidR="00C80137" w:rsidRDefault="00C80137" w:rsidP="00030ABD">
      <w:bookmarkStart w:id="48" w:name="_Toc196046463"/>
      <w:r>
        <w:t xml:space="preserve">A summary of the </w:t>
      </w:r>
      <w:r w:rsidRPr="00FD70B8">
        <w:t>clinical findings is presented in this section.</w:t>
      </w:r>
    </w:p>
    <w:p w14:paraId="246137DD" w14:textId="77777777" w:rsidR="008E7846" w:rsidRDefault="008E7846" w:rsidP="00030ABD">
      <w:pPr>
        <w:pStyle w:val="Heading3"/>
      </w:pPr>
      <w:bookmarkStart w:id="49" w:name="_Toc247691517"/>
      <w:bookmarkStart w:id="50" w:name="_Toc314842501"/>
      <w:bookmarkStart w:id="51" w:name="_Toc16587416"/>
      <w:r w:rsidRPr="00030ABD">
        <w:lastRenderedPageBreak/>
        <w:t>Introduction</w:t>
      </w:r>
      <w:bookmarkEnd w:id="48"/>
      <w:bookmarkEnd w:id="49"/>
      <w:bookmarkEnd w:id="50"/>
      <w:bookmarkEnd w:id="51"/>
    </w:p>
    <w:p w14:paraId="40A8DDFF" w14:textId="77777777" w:rsidR="00C437E7" w:rsidRPr="00C437E7" w:rsidRDefault="004F3B70" w:rsidP="00030ABD">
      <w:pPr>
        <w:pStyle w:val="Heading4"/>
      </w:pPr>
      <w:r>
        <w:t xml:space="preserve">Dosage forms </w:t>
      </w:r>
      <w:r w:rsidRPr="00030ABD">
        <w:t>and</w:t>
      </w:r>
      <w:r>
        <w:t xml:space="preserve"> strengths</w:t>
      </w:r>
    </w:p>
    <w:p w14:paraId="295948C5" w14:textId="33F9667F" w:rsidR="00C437E7" w:rsidRPr="00973BF8" w:rsidRDefault="00C437E7" w:rsidP="00973BF8">
      <w:pPr>
        <w:pStyle w:val="Heading5"/>
      </w:pPr>
      <w:r w:rsidRPr="00973BF8">
        <w:rPr>
          <w:rStyle w:val="Heading5Char"/>
          <w:rFonts w:eastAsia="Cambria"/>
          <w:b/>
          <w:bCs/>
          <w:i/>
        </w:rPr>
        <w:t xml:space="preserve">New </w:t>
      </w:r>
      <w:r w:rsidR="006942E1" w:rsidRPr="00973BF8">
        <w:rPr>
          <w:rStyle w:val="Heading5Char"/>
          <w:rFonts w:eastAsia="Cambria"/>
          <w:b/>
          <w:bCs/>
          <w:i/>
        </w:rPr>
        <w:t xml:space="preserve">medicine </w:t>
      </w:r>
      <w:r w:rsidRPr="00973BF8">
        <w:rPr>
          <w:rStyle w:val="Heading5Char"/>
          <w:rFonts w:eastAsia="Cambria"/>
          <w:b/>
          <w:bCs/>
          <w:i/>
        </w:rPr>
        <w:t>(</w:t>
      </w:r>
      <w:proofErr w:type="spellStart"/>
      <w:r w:rsidRPr="00973BF8">
        <w:rPr>
          <w:rStyle w:val="Heading5Char"/>
          <w:rFonts w:eastAsia="Cambria"/>
          <w:b/>
          <w:bCs/>
          <w:i/>
        </w:rPr>
        <w:t>Braltus</w:t>
      </w:r>
      <w:proofErr w:type="spellEnd"/>
      <w:r w:rsidRPr="00973BF8">
        <w:rPr>
          <w:rStyle w:val="Heading5Char"/>
          <w:rFonts w:eastAsia="Cambria"/>
          <w:b/>
          <w:bCs/>
          <w:i/>
        </w:rPr>
        <w:t>)</w:t>
      </w:r>
    </w:p>
    <w:p w14:paraId="61496BD5" w14:textId="77777777" w:rsidR="00C437E7" w:rsidRPr="00C437E7" w:rsidRDefault="00C437E7" w:rsidP="00973BF8">
      <w:r w:rsidRPr="00C437E7">
        <w:t>Dosage form: Tiotropium bromide as powder fo</w:t>
      </w:r>
      <w:r w:rsidR="00B850D9">
        <w:t xml:space="preserve">r inhalation in a </w:t>
      </w:r>
      <w:proofErr w:type="spellStart"/>
      <w:r w:rsidR="00B850D9">
        <w:t>Z</w:t>
      </w:r>
      <w:r w:rsidR="008E61E8">
        <w:t>onda</w:t>
      </w:r>
      <w:proofErr w:type="spellEnd"/>
      <w:r w:rsidR="00B850D9">
        <w:t xml:space="preserve"> device.</w:t>
      </w:r>
    </w:p>
    <w:p w14:paraId="58BAA20B" w14:textId="77777777" w:rsidR="00471266" w:rsidRDefault="00C437E7" w:rsidP="00973BF8">
      <w:r w:rsidRPr="00C437E7">
        <w:t xml:space="preserve">Each hard </w:t>
      </w:r>
      <w:proofErr w:type="spellStart"/>
      <w:r w:rsidRPr="00C437E7">
        <w:t>B</w:t>
      </w:r>
      <w:r w:rsidR="00B850D9" w:rsidRPr="00C437E7">
        <w:t>raltus</w:t>
      </w:r>
      <w:proofErr w:type="spellEnd"/>
      <w:r w:rsidRPr="00C437E7">
        <w:t xml:space="preserve"> capsule contains 13 </w:t>
      </w:r>
      <w:proofErr w:type="spellStart"/>
      <w:r w:rsidR="008E61E8">
        <w:rPr>
          <w:lang w:eastAsia="en-AU"/>
        </w:rPr>
        <w:t>μg</w:t>
      </w:r>
      <w:proofErr w:type="spellEnd"/>
      <w:r w:rsidRPr="00C437E7">
        <w:t xml:space="preserve"> tiotropium, equivalent to 15.6 </w:t>
      </w:r>
      <w:proofErr w:type="spellStart"/>
      <w:r w:rsidR="00B850D9">
        <w:rPr>
          <w:lang w:eastAsia="en-AU"/>
        </w:rPr>
        <w:t>μg</w:t>
      </w:r>
      <w:proofErr w:type="spellEnd"/>
      <w:r w:rsidRPr="00C437E7">
        <w:t xml:space="preserve"> tiotropium </w:t>
      </w:r>
      <w:proofErr w:type="gramStart"/>
      <w:r w:rsidRPr="00C437E7">
        <w:t>bromide</w:t>
      </w:r>
      <w:proofErr w:type="gramEnd"/>
      <w:r w:rsidRPr="00C437E7">
        <w:t xml:space="preserve"> and the excipient lactose monohydrate (which contains milk protein)</w:t>
      </w:r>
      <w:r w:rsidR="00471266">
        <w:t>.</w:t>
      </w:r>
    </w:p>
    <w:p w14:paraId="0AE76DC5" w14:textId="77777777" w:rsidR="00C437E7" w:rsidRPr="00973BF8" w:rsidRDefault="00C437E7" w:rsidP="00973BF8">
      <w:pPr>
        <w:pStyle w:val="Heading5"/>
      </w:pPr>
      <w:r w:rsidRPr="00973BF8">
        <w:rPr>
          <w:rStyle w:val="Heading5Char"/>
          <w:rFonts w:eastAsia="Cambria"/>
          <w:b/>
          <w:bCs/>
          <w:i/>
        </w:rPr>
        <w:t>Reference medicine (</w:t>
      </w:r>
      <w:r w:rsidR="0028670C" w:rsidRPr="00973BF8">
        <w:rPr>
          <w:rStyle w:val="Heading5Char"/>
          <w:rFonts w:eastAsia="Cambria"/>
          <w:b/>
          <w:bCs/>
          <w:i/>
        </w:rPr>
        <w:t>Spiriva</w:t>
      </w:r>
      <w:r w:rsidRPr="00973BF8">
        <w:rPr>
          <w:rStyle w:val="Heading5Char"/>
          <w:rFonts w:eastAsia="Cambria"/>
          <w:b/>
          <w:bCs/>
          <w:i/>
        </w:rPr>
        <w:t>)</w:t>
      </w:r>
    </w:p>
    <w:p w14:paraId="6B6AD603" w14:textId="77777777" w:rsidR="00C437E7" w:rsidRDefault="00C437E7" w:rsidP="00973BF8">
      <w:r w:rsidRPr="00C437E7">
        <w:t xml:space="preserve">Dosage form: Tiotropium bromide monohydrate as powder for inhalation in a </w:t>
      </w:r>
      <w:proofErr w:type="spellStart"/>
      <w:r w:rsidRPr="00C437E7">
        <w:t>Handihaler</w:t>
      </w:r>
      <w:proofErr w:type="spellEnd"/>
      <w:r w:rsidRPr="00C437E7">
        <w:t xml:space="preserve"> device. Each hard gelatine </w:t>
      </w:r>
      <w:r w:rsidR="0028670C">
        <w:t>Spiriva</w:t>
      </w:r>
      <w:r w:rsidRPr="00C437E7">
        <w:t xml:space="preserve"> capsule contains 18 </w:t>
      </w:r>
      <w:proofErr w:type="spellStart"/>
      <w:r w:rsidR="008E61E8">
        <w:rPr>
          <w:lang w:eastAsia="en-AU"/>
        </w:rPr>
        <w:t>μg</w:t>
      </w:r>
      <w:proofErr w:type="spellEnd"/>
      <w:r>
        <w:t xml:space="preserve"> tiotropium, equivalent to </w:t>
      </w:r>
      <w:proofErr w:type="gramStart"/>
      <w:r w:rsidRPr="00C437E7">
        <w:t xml:space="preserve">22.5 </w:t>
      </w:r>
      <w:proofErr w:type="spellStart"/>
      <w:r w:rsidR="00B850D9">
        <w:rPr>
          <w:lang w:eastAsia="en-AU"/>
        </w:rPr>
        <w:t>μg</w:t>
      </w:r>
      <w:proofErr w:type="spellEnd"/>
      <w:r w:rsidRPr="00C437E7">
        <w:t xml:space="preserve"> tiotropium bromide monohydrate</w:t>
      </w:r>
      <w:proofErr w:type="gramEnd"/>
      <w:r w:rsidRPr="00C437E7">
        <w:t xml:space="preserve"> and the</w:t>
      </w:r>
      <w:r>
        <w:t xml:space="preserve"> excipient lactose monohydrate </w:t>
      </w:r>
      <w:r w:rsidRPr="00C437E7">
        <w:t>(which contains milk protein).</w:t>
      </w:r>
    </w:p>
    <w:p w14:paraId="7CA11ACF" w14:textId="77777777" w:rsidR="00C437E7" w:rsidRDefault="00B850D9" w:rsidP="00973BF8">
      <w:pPr>
        <w:pStyle w:val="FigureTitle"/>
      </w:pPr>
      <w:r>
        <w:t>Figure 2</w:t>
      </w:r>
      <w:r w:rsidR="00C437E7">
        <w:t xml:space="preserve">: </w:t>
      </w:r>
      <w:proofErr w:type="spellStart"/>
      <w:r w:rsidR="00C437E7">
        <w:t>Z</w:t>
      </w:r>
      <w:r w:rsidR="00534EEB">
        <w:t>onda</w:t>
      </w:r>
      <w:proofErr w:type="spellEnd"/>
      <w:r w:rsidR="00C437E7">
        <w:t xml:space="preserve"> and </w:t>
      </w:r>
      <w:proofErr w:type="spellStart"/>
      <w:r w:rsidR="00C437E7" w:rsidRPr="00973BF8">
        <w:t>Handihaler</w:t>
      </w:r>
      <w:proofErr w:type="spellEnd"/>
      <w:r w:rsidR="00C437E7">
        <w:t xml:space="preserve"> Dry Powder Inhaler devices</w:t>
      </w:r>
    </w:p>
    <w:p w14:paraId="4B8E82CA" w14:textId="77777777" w:rsidR="00C437E7" w:rsidRPr="00C437E7" w:rsidRDefault="00C437E7" w:rsidP="00973BF8">
      <w:r>
        <w:rPr>
          <w:noProof/>
          <w:lang w:eastAsia="en-AU"/>
        </w:rPr>
        <w:drawing>
          <wp:inline distT="0" distB="0" distL="0" distR="0" wp14:anchorId="22F9F263" wp14:editId="69D47F5A">
            <wp:extent cx="5400040" cy="2203919"/>
            <wp:effectExtent l="0" t="0" r="0" b="6350"/>
            <wp:docPr id="1" name="Picture 1" descr="Figure 2: Zonda and Handihaler Dry Powder Inhaler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2203919"/>
                    </a:xfrm>
                    <a:prstGeom prst="rect">
                      <a:avLst/>
                    </a:prstGeom>
                  </pic:spPr>
                </pic:pic>
              </a:graphicData>
            </a:graphic>
          </wp:inline>
        </w:drawing>
      </w:r>
      <w:bookmarkStart w:id="52" w:name="_Toc196046464"/>
      <w:bookmarkStart w:id="53" w:name="_Toc247691518"/>
      <w:bookmarkStart w:id="54" w:name="_Toc314842502"/>
    </w:p>
    <w:p w14:paraId="353C6882" w14:textId="77777777" w:rsidR="00DE6467" w:rsidRPr="00DE6467" w:rsidRDefault="00DE6467" w:rsidP="00973BF8">
      <w:pPr>
        <w:pStyle w:val="Heading4"/>
      </w:pPr>
      <w:r w:rsidRPr="00973BF8">
        <w:t>Formulation</w:t>
      </w:r>
    </w:p>
    <w:p w14:paraId="698216FF" w14:textId="77777777" w:rsidR="00DE6467" w:rsidRPr="00DE6467" w:rsidRDefault="00DE6467" w:rsidP="00973BF8">
      <w:pPr>
        <w:pStyle w:val="Heading5"/>
      </w:pPr>
      <w:r>
        <w:t xml:space="preserve">Formulation </w:t>
      </w:r>
      <w:r w:rsidRPr="00973BF8">
        <w:t>development</w:t>
      </w:r>
    </w:p>
    <w:p w14:paraId="3EB91153" w14:textId="31FC4FE8" w:rsidR="00DE6467" w:rsidRPr="00DE6467" w:rsidRDefault="00DE6467" w:rsidP="00973BF8">
      <w:r w:rsidRPr="00DE6467">
        <w:t xml:space="preserve">The </w:t>
      </w:r>
      <w:r w:rsidR="00677C57">
        <w:t>manufacture</w:t>
      </w:r>
      <w:r w:rsidR="00677C57" w:rsidRPr="00DE6467">
        <w:t xml:space="preserve"> </w:t>
      </w:r>
      <w:r w:rsidRPr="00DE6467">
        <w:t>utilised</w:t>
      </w:r>
      <w:r w:rsidR="00677C57">
        <w:t xml:space="preserve"> a </w:t>
      </w:r>
      <w:r w:rsidR="003B5288" w:rsidRPr="00DE6467">
        <w:t xml:space="preserve">spray dried </w:t>
      </w:r>
      <w:r w:rsidRPr="00DE6467">
        <w:t xml:space="preserve">formulation of tiotropium/lactose to achieve a stable form </w:t>
      </w:r>
      <w:r w:rsidR="0077726B" w:rsidRPr="00DE6467">
        <w:t>o</w:t>
      </w:r>
      <w:r w:rsidR="0077726B">
        <w:t xml:space="preserve">f </w:t>
      </w:r>
      <w:r w:rsidR="0077726B" w:rsidRPr="003B5288">
        <w:t>tiotropium</w:t>
      </w:r>
      <w:r w:rsidR="003B5288">
        <w:t xml:space="preserve"> bromide</w:t>
      </w:r>
    </w:p>
    <w:p w14:paraId="5CDA6B14" w14:textId="77777777" w:rsidR="00DE6467" w:rsidRPr="00DE6467" w:rsidRDefault="00DE6467" w:rsidP="00DE6467">
      <w:r w:rsidRPr="00DE6467">
        <w:t xml:space="preserve">Active ingredient: Tiotropium 13 </w:t>
      </w:r>
      <w:proofErr w:type="spellStart"/>
      <w:r w:rsidR="00B850D9">
        <w:rPr>
          <w:lang w:eastAsia="en-AU"/>
        </w:rPr>
        <w:t>μg</w:t>
      </w:r>
      <w:proofErr w:type="spellEnd"/>
      <w:r w:rsidRPr="00DE6467">
        <w:t xml:space="preserve">, equivalent to </w:t>
      </w:r>
      <w:r>
        <w:t xml:space="preserve">15.6 </w:t>
      </w:r>
      <w:proofErr w:type="spellStart"/>
      <w:r w:rsidR="00B850D9">
        <w:rPr>
          <w:lang w:eastAsia="en-AU"/>
        </w:rPr>
        <w:t>μg</w:t>
      </w:r>
      <w:proofErr w:type="spellEnd"/>
      <w:r>
        <w:t xml:space="preserve"> of tiotropium bromide.</w:t>
      </w:r>
    </w:p>
    <w:p w14:paraId="424AB482" w14:textId="13FA5218" w:rsidR="00DE6467" w:rsidRPr="00DE6467" w:rsidRDefault="00DE6467" w:rsidP="00DE6467">
      <w:r w:rsidRPr="00DE6467">
        <w:t xml:space="preserve">The quantity of active ingredient in the capsule is different to the innovator product </w:t>
      </w:r>
      <w:r w:rsidR="0028670C">
        <w:t>Spiriva</w:t>
      </w:r>
      <w:r w:rsidRPr="00DE6467">
        <w:t xml:space="preserve"> that contains 18 </w:t>
      </w:r>
      <w:proofErr w:type="spellStart"/>
      <w:r w:rsidR="00B850D9">
        <w:rPr>
          <w:lang w:eastAsia="en-AU"/>
        </w:rPr>
        <w:t>μg</w:t>
      </w:r>
      <w:proofErr w:type="spellEnd"/>
      <w:r w:rsidRPr="00DE6467">
        <w:t xml:space="preserve"> tiotropium, equivalent </w:t>
      </w:r>
      <w:proofErr w:type="gramStart"/>
      <w:r w:rsidRPr="00DE6467">
        <w:t xml:space="preserve">to 22 </w:t>
      </w:r>
      <w:proofErr w:type="spellStart"/>
      <w:r w:rsidR="00B850D9">
        <w:rPr>
          <w:lang w:eastAsia="en-AU"/>
        </w:rPr>
        <w:t>μg</w:t>
      </w:r>
      <w:proofErr w:type="spellEnd"/>
      <w:r w:rsidRPr="00DE6467">
        <w:t xml:space="preserve"> tiotropium bromide monohydrate</w:t>
      </w:r>
      <w:proofErr w:type="gramEnd"/>
      <w:r w:rsidRPr="00DE6467">
        <w:t>. Howev</w:t>
      </w:r>
      <w:r w:rsidRPr="00973BF8">
        <w:t>e</w:t>
      </w:r>
      <w:r w:rsidRPr="00DE6467">
        <w:t xml:space="preserve">r, the delivered dose for both </w:t>
      </w:r>
      <w:proofErr w:type="spellStart"/>
      <w:r w:rsidRPr="00DE6467">
        <w:t>Braltus</w:t>
      </w:r>
      <w:proofErr w:type="spellEnd"/>
      <w:r w:rsidRPr="00DE6467">
        <w:t xml:space="preserve"> and</w:t>
      </w:r>
      <w:r w:rsidR="00B850D9">
        <w:t xml:space="preserve"> </w:t>
      </w:r>
      <w:r w:rsidR="0028670C">
        <w:t>Spiriva</w:t>
      </w:r>
      <w:r w:rsidR="00B850D9">
        <w:t xml:space="preserve"> is the same at 10 </w:t>
      </w:r>
      <w:proofErr w:type="spellStart"/>
      <w:r w:rsidR="00B850D9">
        <w:rPr>
          <w:lang w:eastAsia="en-AU"/>
        </w:rPr>
        <w:t>μg</w:t>
      </w:r>
      <w:proofErr w:type="spellEnd"/>
      <w:r>
        <w:t>.</w:t>
      </w:r>
      <w:r w:rsidR="00FF2861" w:rsidRPr="00FF2861">
        <w:t xml:space="preserve"> </w:t>
      </w:r>
      <w:r w:rsidR="00FF2861">
        <w:t>This was attributed to the</w:t>
      </w:r>
      <w:r w:rsidR="00677C57">
        <w:t xml:space="preserve"> </w:t>
      </w:r>
      <w:r w:rsidR="003B5288">
        <w:t xml:space="preserve">manufacturing technique </w:t>
      </w:r>
      <w:r w:rsidR="00183A51">
        <w:t xml:space="preserve">which </w:t>
      </w:r>
      <w:r w:rsidR="008E61E8">
        <w:t>resulted in a more efficient</w:t>
      </w:r>
      <w:r w:rsidR="00FF2861">
        <w:t xml:space="preserve"> delivery of the delivered dose of tiotropium while achieving equivalent aerodynamic particle size distribution.</w:t>
      </w:r>
    </w:p>
    <w:p w14:paraId="46FBBBB0" w14:textId="77777777" w:rsidR="00DE6467" w:rsidRPr="00DE6467" w:rsidRDefault="00DE6467" w:rsidP="00973BF8">
      <w:pPr>
        <w:pStyle w:val="Heading5"/>
        <w:rPr>
          <w:rFonts w:eastAsiaTheme="minorHAnsi"/>
        </w:rPr>
      </w:pPr>
      <w:r w:rsidRPr="00973BF8">
        <w:t>Excipients</w:t>
      </w:r>
    </w:p>
    <w:p w14:paraId="425C2E52" w14:textId="052C30F1" w:rsidR="00DE6467" w:rsidRPr="00DE6467" w:rsidRDefault="00DE6467" w:rsidP="00973BF8">
      <w:r w:rsidRPr="00DE6467">
        <w:t xml:space="preserve">Lactose monohydrate: 18 mg/capsule. This is quantitatively different to </w:t>
      </w:r>
      <w:r w:rsidR="003B5288">
        <w:t xml:space="preserve">amount in the </w:t>
      </w:r>
      <w:r w:rsidRPr="00DE6467">
        <w:t>capsule of the same excipient in the innovator product.</w:t>
      </w:r>
    </w:p>
    <w:p w14:paraId="6569E265" w14:textId="77777777" w:rsidR="00605AD4" w:rsidRDefault="00605AD4" w:rsidP="00605AD4">
      <w:pPr>
        <w:pStyle w:val="Heading4"/>
      </w:pPr>
      <w:r w:rsidRPr="00605AD4">
        <w:t>Contents of the clinical dossier</w:t>
      </w:r>
    </w:p>
    <w:p w14:paraId="2A1F1808" w14:textId="341D3196" w:rsidR="003961E5" w:rsidRPr="003961E5" w:rsidRDefault="003961E5" w:rsidP="00973BF8">
      <w:r w:rsidRPr="003961E5">
        <w:t>The dossier was confined to bioequivalence comparison of the pro</w:t>
      </w:r>
      <w:r w:rsidR="00572AFC">
        <w:t>posed and registered dose form</w:t>
      </w:r>
      <w:r w:rsidR="0005260A">
        <w:t>, and contained the following:</w:t>
      </w:r>
    </w:p>
    <w:p w14:paraId="05E9AE7F" w14:textId="77777777" w:rsidR="003961E5" w:rsidRPr="003961E5" w:rsidRDefault="00572AFC" w:rsidP="00572AFC">
      <w:pPr>
        <w:pStyle w:val="ListBullet"/>
      </w:pPr>
      <w:r>
        <w:lastRenderedPageBreak/>
        <w:t>Bioequivalence studies</w:t>
      </w:r>
    </w:p>
    <w:p w14:paraId="70D7EB77" w14:textId="77777777" w:rsidR="003961E5" w:rsidRPr="003961E5" w:rsidRDefault="003961E5" w:rsidP="00973BF8">
      <w:pPr>
        <w:pStyle w:val="ListBullet"/>
      </w:pPr>
      <w:r w:rsidRPr="00973BF8">
        <w:t>L</w:t>
      </w:r>
      <w:r w:rsidR="00572AFC" w:rsidRPr="00973BF8">
        <w:t>iterature</w:t>
      </w:r>
      <w:r w:rsidR="00572AFC">
        <w:t xml:space="preserve"> references.</w:t>
      </w:r>
    </w:p>
    <w:p w14:paraId="26713050" w14:textId="77777777" w:rsidR="00605AD4" w:rsidRDefault="00605AD4" w:rsidP="00973BF8">
      <w:pPr>
        <w:pStyle w:val="Heading4"/>
      </w:pPr>
      <w:r w:rsidRPr="00973BF8">
        <w:t>Paediatric</w:t>
      </w:r>
      <w:r w:rsidRPr="00605AD4">
        <w:t xml:space="preserve"> data</w:t>
      </w:r>
    </w:p>
    <w:p w14:paraId="5F573F1B" w14:textId="5F041FFB" w:rsidR="00500337" w:rsidRDefault="0005260A" w:rsidP="00973BF8">
      <w:r>
        <w:t>Paediatric data was n</w:t>
      </w:r>
      <w:r w:rsidR="00572AFC">
        <w:t>ot included in the dossier. Paediatric data is not required for establishing bioequivalence for generic medications.</w:t>
      </w:r>
    </w:p>
    <w:p w14:paraId="311CEB0A" w14:textId="77777777" w:rsidR="00DE6467" w:rsidRDefault="00DE6467" w:rsidP="00DE6467">
      <w:pPr>
        <w:pStyle w:val="Heading4"/>
      </w:pPr>
      <w:r>
        <w:t>Guidance</w:t>
      </w:r>
    </w:p>
    <w:p w14:paraId="3D71BE9E" w14:textId="3C4BCDE1" w:rsidR="00DE6467" w:rsidRPr="00DE6467" w:rsidRDefault="0005260A" w:rsidP="00DE6467">
      <w:r>
        <w:t>The r</w:t>
      </w:r>
      <w:r w:rsidR="00DE6467" w:rsidRPr="00DE6467">
        <w:t>elevant TGA adopted guidelines referred for the purpose ev</w:t>
      </w:r>
      <w:r w:rsidR="008E61E8">
        <w:t>aluation of bioequivalence are:</w:t>
      </w:r>
    </w:p>
    <w:p w14:paraId="4FAA8106" w14:textId="77777777" w:rsidR="00DE6467" w:rsidRPr="00DE6467" w:rsidRDefault="00DE6467" w:rsidP="00973BF8">
      <w:pPr>
        <w:pStyle w:val="ListBullet"/>
      </w:pPr>
      <w:r w:rsidRPr="00DE6467">
        <w:t>CPMP/EWP/</w:t>
      </w:r>
      <w:r w:rsidRPr="00973BF8">
        <w:t>QWP</w:t>
      </w:r>
      <w:r w:rsidRPr="00DE6467">
        <w:t>/1401/98 Rev</w:t>
      </w:r>
      <w:r w:rsidR="00B850D9">
        <w:t>. 1</w:t>
      </w:r>
      <w:r w:rsidR="00C143A1">
        <w:t>:</w:t>
      </w:r>
      <w:r w:rsidR="00B850D9">
        <w:t xml:space="preserve"> </w:t>
      </w:r>
      <w:r w:rsidR="00C143A1">
        <w:t>Guideline on the investigation of bioequivalence</w:t>
      </w:r>
      <w:r w:rsidR="00B850D9">
        <w:t>.</w:t>
      </w:r>
    </w:p>
    <w:p w14:paraId="5B24A3E9" w14:textId="77777777" w:rsidR="00DE6467" w:rsidRPr="00DE6467" w:rsidRDefault="00DE6467" w:rsidP="00DE6467">
      <w:pPr>
        <w:pStyle w:val="ListBullet"/>
      </w:pPr>
      <w:r w:rsidRPr="00DE6467">
        <w:t>CPMP/EWP/239/95 final</w:t>
      </w:r>
      <w:r w:rsidR="00C143A1">
        <w:t xml:space="preserve">: </w:t>
      </w:r>
      <w:r w:rsidRPr="00DE6467">
        <w:t>Note for guidance on the clinical requirements for locally acting products</w:t>
      </w:r>
      <w:r w:rsidR="00C143A1">
        <w:t xml:space="preserve"> containing known constituents.</w:t>
      </w:r>
    </w:p>
    <w:p w14:paraId="27B10E98" w14:textId="77777777" w:rsidR="00DE6467" w:rsidRPr="00DE6467" w:rsidRDefault="00DE6467" w:rsidP="00DE6467">
      <w:pPr>
        <w:pStyle w:val="ListBullet"/>
      </w:pPr>
      <w:r w:rsidRPr="00DE6467">
        <w:t>CPMP/ICH/363/96 Note for Guidance for statistical principles for clinical t</w:t>
      </w:r>
      <w:r w:rsidR="00C143A1">
        <w:t>rials.</w:t>
      </w:r>
    </w:p>
    <w:p w14:paraId="4E8994BD" w14:textId="77777777" w:rsidR="00DE6467" w:rsidRPr="00DE6467" w:rsidRDefault="00DE6467" w:rsidP="00DE6467">
      <w:pPr>
        <w:pStyle w:val="ListBullet"/>
      </w:pPr>
      <w:r w:rsidRPr="00DE6467">
        <w:t>CPMP/EWP/4151/00 Rev. 1 Guideline on the requirements for clinical documentation for orally inhaled products (OIP) including the requirements for demonstration of therapeutic equivalence between two inhaled products for the use in the treatment of asthma and chronic obstructive pulmonary disease (COPD) in adults and for the use in the treatment of asth</w:t>
      </w:r>
      <w:r w:rsidR="00C143A1">
        <w:t>ma in children and adolescents.</w:t>
      </w:r>
    </w:p>
    <w:p w14:paraId="4152E8BA" w14:textId="31ED9374" w:rsidR="00DE6467" w:rsidRPr="00DE6467" w:rsidRDefault="00DE6467" w:rsidP="0077726B">
      <w:pPr>
        <w:pStyle w:val="ListBullet"/>
      </w:pPr>
      <w:r w:rsidRPr="00DE6467">
        <w:t>CHMP/EWP/2922/01 Rev.1 Guideline on the clinical investigation of medical produc</w:t>
      </w:r>
      <w:r w:rsidR="00C143A1">
        <w:t>ts for the treatment of asthma.</w:t>
      </w:r>
      <w:r w:rsidR="0077726B">
        <w:t xml:space="preserve"> </w:t>
      </w:r>
      <w:r w:rsidRPr="00DE6467">
        <w:t>TGA standards and guidelines for prescription medicines: http://www.tga.gov.au/publication/australian-regulatory-guidelines-prescription-medicines-a</w:t>
      </w:r>
      <w:r w:rsidR="00C143A1">
        <w:t>rgpm. Local guidance 15 and 17.</w:t>
      </w:r>
    </w:p>
    <w:p w14:paraId="24B70A07" w14:textId="24FDA69D" w:rsidR="00DE6467" w:rsidRDefault="00DE6467" w:rsidP="00973BF8">
      <w:r w:rsidRPr="00DE6467">
        <w:t>The TGA uses a stepwise approach to the assessment of bioequivalence of inhaled medications. This includes reviewing information about physiochemical properties (</w:t>
      </w:r>
      <w:r w:rsidR="00C143A1">
        <w:t>quality</w:t>
      </w:r>
      <w:r w:rsidRPr="00DE6467">
        <w:t xml:space="preserve">), </w:t>
      </w:r>
      <w:r w:rsidR="00653E0C">
        <w:t>d</w:t>
      </w:r>
      <w:r w:rsidRPr="00DE6467">
        <w:t>evice (</w:t>
      </w:r>
      <w:r w:rsidR="00C143A1">
        <w:t xml:space="preserve">quality </w:t>
      </w:r>
      <w:r w:rsidRPr="00DE6467">
        <w:t xml:space="preserve">and </w:t>
      </w:r>
      <w:r w:rsidR="00C143A1">
        <w:t>clinical</w:t>
      </w:r>
      <w:r w:rsidRPr="00DE6467">
        <w:t xml:space="preserve">), </w:t>
      </w:r>
      <w:r w:rsidR="00C143A1">
        <w:t>pharmacokinetics</w:t>
      </w:r>
      <w:r w:rsidRPr="00DE6467">
        <w:t xml:space="preserve">, </w:t>
      </w:r>
      <w:r w:rsidR="00C143A1">
        <w:t>pharmacodynamics</w:t>
      </w:r>
      <w:r w:rsidRPr="00DE6467">
        <w:t xml:space="preserve"> and </w:t>
      </w:r>
      <w:r w:rsidR="00C143A1">
        <w:t>where relevant; clinical studies</w:t>
      </w:r>
      <w:r w:rsidRPr="00DE6467">
        <w:t>.</w:t>
      </w:r>
    </w:p>
    <w:p w14:paraId="1D087BF2" w14:textId="482D24F1" w:rsidR="003961E5" w:rsidRPr="00DE6467" w:rsidRDefault="003961E5" w:rsidP="00973BF8">
      <w:r>
        <w:t xml:space="preserve">The sponsor has stated that </w:t>
      </w:r>
      <w:r w:rsidR="008E61E8">
        <w:t>the g</w:t>
      </w:r>
      <w:r w:rsidR="00C143A1">
        <w:t>uideline on the investigation of bioequivalence</w:t>
      </w:r>
      <w:r w:rsidR="00D70E7F">
        <w:t>;</w:t>
      </w:r>
      <w:r w:rsidR="00C143A1">
        <w:rPr>
          <w:rStyle w:val="FootnoteReference"/>
        </w:rPr>
        <w:footnoteReference w:id="4"/>
      </w:r>
      <w:r w:rsidR="00C143A1">
        <w:rPr>
          <w:rFonts w:ascii="Times New Roman" w:hAnsi="Times New Roman"/>
        </w:rPr>
        <w:t xml:space="preserve"> </w:t>
      </w:r>
      <w:r>
        <w:rPr>
          <w:rFonts w:ascii="Times New Roman" w:hAnsi="Times New Roman"/>
        </w:rPr>
        <w:t>and CPMP/EWP/4151/00 Rev. 1</w:t>
      </w:r>
      <w:bookmarkStart w:id="55" w:name="_Ref2689199"/>
      <w:r w:rsidR="00D70E7F">
        <w:rPr>
          <w:rFonts w:ascii="Times New Roman" w:hAnsi="Times New Roman"/>
        </w:rPr>
        <w:t>,</w:t>
      </w:r>
      <w:r w:rsidR="00C143A1">
        <w:rPr>
          <w:rStyle w:val="FootnoteReference"/>
          <w:rFonts w:ascii="Times New Roman" w:hAnsi="Times New Roman"/>
        </w:rPr>
        <w:footnoteReference w:id="5"/>
      </w:r>
      <w:bookmarkEnd w:id="55"/>
      <w:r>
        <w:rPr>
          <w:rFonts w:ascii="Times New Roman" w:hAnsi="Times New Roman"/>
        </w:rPr>
        <w:t xml:space="preserve"> were referred during product development.</w:t>
      </w:r>
    </w:p>
    <w:p w14:paraId="6987BEBD" w14:textId="77777777" w:rsidR="00605AD4" w:rsidRDefault="00605AD4" w:rsidP="00973BF8">
      <w:pPr>
        <w:pStyle w:val="Heading4"/>
      </w:pPr>
      <w:r w:rsidRPr="00605AD4">
        <w:t>Good clinical practice</w:t>
      </w:r>
    </w:p>
    <w:p w14:paraId="17AD51F9" w14:textId="16C75C8F" w:rsidR="00500337" w:rsidRPr="00572AFC" w:rsidRDefault="00572AFC" w:rsidP="00973BF8">
      <w:r w:rsidRPr="00572AFC">
        <w:t>The sponsor states that the clinical study reports in the submission state the studies complied with CPMP/ICH/135/95 Note for Guidance on Good Clinical Practice (as annotated with TGA comments)</w:t>
      </w:r>
      <w:r w:rsidR="00653E0C">
        <w:t>.</w:t>
      </w:r>
    </w:p>
    <w:p w14:paraId="6F2E73DA" w14:textId="77777777" w:rsidR="008E7846" w:rsidRDefault="008E7846" w:rsidP="00973BF8">
      <w:pPr>
        <w:pStyle w:val="Heading3"/>
      </w:pPr>
      <w:bookmarkStart w:id="56" w:name="_Toc16587417"/>
      <w:r w:rsidRPr="00973BF8">
        <w:t>Pharmacokinetics</w:t>
      </w:r>
      <w:bookmarkEnd w:id="46"/>
      <w:bookmarkEnd w:id="52"/>
      <w:bookmarkEnd w:id="53"/>
      <w:bookmarkEnd w:id="54"/>
      <w:bookmarkEnd w:id="56"/>
    </w:p>
    <w:p w14:paraId="641F6D73" w14:textId="77777777" w:rsidR="00572AFC" w:rsidRDefault="004F3B70" w:rsidP="00973BF8">
      <w:pPr>
        <w:pStyle w:val="Heading4"/>
      </w:pPr>
      <w:r w:rsidRPr="00973BF8">
        <w:t>Absorption</w:t>
      </w:r>
    </w:p>
    <w:p w14:paraId="24B6CD57" w14:textId="15B583AC" w:rsidR="00572AFC" w:rsidRPr="00572AFC" w:rsidRDefault="00572AFC" w:rsidP="00973BF8">
      <w:r>
        <w:t>Tiotropium (as stat</w:t>
      </w:r>
      <w:r w:rsidR="00C143A1">
        <w:t xml:space="preserve">ed in </w:t>
      </w:r>
      <w:r w:rsidR="00405A00">
        <w:t>Australian</w:t>
      </w:r>
      <w:r w:rsidR="00C143A1">
        <w:t xml:space="preserve"> </w:t>
      </w:r>
      <w:r w:rsidR="0028670C">
        <w:t>Spiriva</w:t>
      </w:r>
      <w:r w:rsidR="00C143A1">
        <w:t xml:space="preserve"> PI).</w:t>
      </w:r>
    </w:p>
    <w:p w14:paraId="13F0400D" w14:textId="77777777" w:rsidR="00572AFC" w:rsidRPr="00572AFC" w:rsidRDefault="00572AFC" w:rsidP="00973BF8">
      <w:r w:rsidRPr="00572AFC">
        <w:lastRenderedPageBreak/>
        <w:t xml:space="preserve">It is expected from the chemical structure of the compound that tiotropium is poorly absorbed from the gastro-intestinal tract. This was confirmed in a study in young healthy volunteers, </w:t>
      </w:r>
      <w:r w:rsidR="00C143A1">
        <w:t xml:space="preserve">with a low bioavailability of 2 to </w:t>
      </w:r>
      <w:r w:rsidRPr="00572AFC">
        <w:t xml:space="preserve">3% for oral solutions. Food is not expected to influence the absorption of </w:t>
      </w:r>
      <w:r w:rsidR="00C143A1">
        <w:t>tiotropium for the same reason.</w:t>
      </w:r>
    </w:p>
    <w:p w14:paraId="02D5E41B" w14:textId="77777777" w:rsidR="00572AFC" w:rsidRPr="00572AFC" w:rsidRDefault="00572AFC" w:rsidP="00C143A1">
      <w:r w:rsidRPr="00572AFC">
        <w:t xml:space="preserve">Following inhalation in young healthy volunteers, the absolute bioavailability was 19.5% that suggests that around 20% of inhaled drug reaches the lung. Being a </w:t>
      </w:r>
      <w:r w:rsidR="0070416F">
        <w:rPr>
          <w:rFonts w:asciiTheme="minorHAnsi" w:eastAsia="TimesNewRoman" w:hAnsiTheme="minorHAnsi" w:cs="TimesNewRoman"/>
        </w:rPr>
        <w:t>dry powder inhale</w:t>
      </w:r>
      <w:r w:rsidR="00C143A1">
        <w:rPr>
          <w:rFonts w:asciiTheme="minorHAnsi" w:eastAsia="TimesNewRoman" w:hAnsiTheme="minorHAnsi" w:cs="TimesNewRoman"/>
        </w:rPr>
        <w:t>r</w:t>
      </w:r>
      <w:r w:rsidR="00C143A1" w:rsidRPr="00572AFC">
        <w:t xml:space="preserve"> </w:t>
      </w:r>
      <w:r w:rsidR="00C143A1">
        <w:t>(</w:t>
      </w:r>
      <w:r w:rsidRPr="00572AFC">
        <w:t>DPI</w:t>
      </w:r>
      <w:r w:rsidR="00C143A1">
        <w:t>)</w:t>
      </w:r>
      <w:r w:rsidRPr="00572AFC">
        <w:t xml:space="preserve">, the rest of the inhaled powder would be deposited in upper airway and </w:t>
      </w:r>
      <w:r w:rsidR="00C143A1">
        <w:t>swallowed following inhalation.</w:t>
      </w:r>
    </w:p>
    <w:p w14:paraId="629C87D2" w14:textId="77777777" w:rsidR="00572AFC" w:rsidRPr="00572AFC" w:rsidRDefault="00572AFC" w:rsidP="00973BF8">
      <w:r w:rsidRPr="00572AFC">
        <w:t xml:space="preserve">Maximum tiotropium plasma </w:t>
      </w:r>
      <w:r w:rsidR="00C143A1">
        <w:t>concentrations were observed 5 to</w:t>
      </w:r>
      <w:r w:rsidRPr="00572AFC">
        <w:t xml:space="preserve"> 7 minutes after inhalation (short </w:t>
      </w:r>
      <w:proofErr w:type="spellStart"/>
      <w:r w:rsidR="0028670C" w:rsidRPr="00794740">
        <w:t>t</w:t>
      </w:r>
      <w:r w:rsidR="0028670C" w:rsidRPr="0028670C">
        <w:rPr>
          <w:vertAlign w:val="subscript"/>
        </w:rPr>
        <w:t>max</w:t>
      </w:r>
      <w:proofErr w:type="spellEnd"/>
      <w:r w:rsidRPr="00572AFC">
        <w:t xml:space="preserve">). At steady state, peak tiotropium plasma concentrations in patients with COPD were </w:t>
      </w:r>
      <w:proofErr w:type="gramStart"/>
      <w:r w:rsidRPr="00572AFC">
        <w:t xml:space="preserve">12.9 </w:t>
      </w:r>
      <w:proofErr w:type="spellStart"/>
      <w:r w:rsidRPr="00572AFC">
        <w:t>pg</w:t>
      </w:r>
      <w:proofErr w:type="spellEnd"/>
      <w:r w:rsidRPr="00572AFC">
        <w:t>/mL</w:t>
      </w:r>
      <w:proofErr w:type="gramEnd"/>
      <w:r w:rsidRPr="00572AFC">
        <w:t xml:space="preserve"> and decreased rapidly in a multi-compartmental manner. Steady state trough plasma </w:t>
      </w:r>
      <w:r w:rsidR="00C143A1">
        <w:t xml:space="preserve">concentrations were </w:t>
      </w:r>
      <w:proofErr w:type="gramStart"/>
      <w:r w:rsidR="00C143A1">
        <w:t xml:space="preserve">1.71 </w:t>
      </w:r>
      <w:proofErr w:type="spellStart"/>
      <w:r w:rsidR="00C143A1">
        <w:t>pg</w:t>
      </w:r>
      <w:proofErr w:type="spellEnd"/>
      <w:r w:rsidR="00C143A1">
        <w:t>/</w:t>
      </w:r>
      <w:proofErr w:type="spellStart"/>
      <w:r w:rsidR="00C143A1">
        <w:t>mL</w:t>
      </w:r>
      <w:proofErr w:type="gramEnd"/>
      <w:r w:rsidR="00C143A1">
        <w:t>.</w:t>
      </w:r>
      <w:proofErr w:type="spellEnd"/>
    </w:p>
    <w:p w14:paraId="2A135CFB" w14:textId="77777777" w:rsidR="00572AFC" w:rsidRPr="00572AFC" w:rsidRDefault="00C143A1" w:rsidP="00973BF8">
      <w:pPr>
        <w:pStyle w:val="Heading4"/>
      </w:pPr>
      <w:r w:rsidRPr="00973BF8">
        <w:t>Metabolism</w:t>
      </w:r>
    </w:p>
    <w:p w14:paraId="43E2E3EC" w14:textId="77777777" w:rsidR="00572AFC" w:rsidRPr="00572AFC" w:rsidRDefault="00572AFC" w:rsidP="00973BF8">
      <w:r w:rsidRPr="00572AFC">
        <w:t>Metabolism does not occur to any great extent in young healthy volunteers. Approximately 74% of tiotropium is excreted in urine as uncha</w:t>
      </w:r>
      <w:r w:rsidR="00C143A1">
        <w:t>nged after an intravenous dose.</w:t>
      </w:r>
    </w:p>
    <w:p w14:paraId="724EAD4C" w14:textId="15AA3CB5" w:rsidR="00572AFC" w:rsidRPr="00572AFC" w:rsidRDefault="00572AFC" w:rsidP="00973BF8">
      <w:pPr>
        <w:pStyle w:val="Heading4"/>
      </w:pPr>
      <w:r w:rsidRPr="00973BF8">
        <w:t>Excretion</w:t>
      </w:r>
    </w:p>
    <w:p w14:paraId="4F5B3146" w14:textId="77777777" w:rsidR="00572AFC" w:rsidRPr="00572AFC" w:rsidRDefault="00572AFC" w:rsidP="00973BF8">
      <w:r w:rsidRPr="00572AFC">
        <w:t>The effective half-life of tiotropium ranges between 27 to 45 h</w:t>
      </w:r>
      <w:r w:rsidR="00C143A1">
        <w:t>ours</w:t>
      </w:r>
      <w:r w:rsidRPr="00572AFC">
        <w:t xml:space="preserve"> following inhalation by patients with COPD. Total clearance was 880 mL/min after an intravenous dose in young healthy volunteers. Following inhalation of tiotropium by patients with COPD, urinary excretion is 7% (1.3 </w:t>
      </w:r>
      <w:proofErr w:type="spellStart"/>
      <w:r w:rsidRPr="00572AFC">
        <w:t>μg</w:t>
      </w:r>
      <w:proofErr w:type="spellEnd"/>
      <w:r w:rsidRPr="00572AFC">
        <w:t>) of the unchanged dose over 24 hours, the remainder being mainly non-absorbed drug in the gut that is eliminated via the faeces. The renal clearance of tiotropium exceeds the creatinine clearance, indicating secretion into the urine. After chronic, once daily inhalation by patients with COPD, pharmacokinetic steady state was</w:t>
      </w:r>
      <w:r w:rsidR="00C143A1">
        <w:t xml:space="preserve"> reached by D</w:t>
      </w:r>
      <w:r w:rsidRPr="00572AFC">
        <w:t>ay 7, with no accumulation thereafter. Tiotropium demonstrates linear pharmacokinetics in the therapeutic range independent of the formulation.</w:t>
      </w:r>
    </w:p>
    <w:p w14:paraId="787E1D39" w14:textId="77777777" w:rsidR="00605AD4" w:rsidRDefault="00605AD4" w:rsidP="00973BF8">
      <w:pPr>
        <w:pStyle w:val="Heading4"/>
      </w:pPr>
      <w:r>
        <w:t>Studies</w:t>
      </w:r>
      <w:r w:rsidR="00500337">
        <w:t xml:space="preserve"> providing </w:t>
      </w:r>
      <w:r w:rsidR="00500337" w:rsidRPr="00973BF8">
        <w:t>pharmacokinetic</w:t>
      </w:r>
      <w:r w:rsidR="00500337">
        <w:t xml:space="preserve"> data</w:t>
      </w:r>
    </w:p>
    <w:p w14:paraId="193408E6" w14:textId="77777777" w:rsidR="00572AFC" w:rsidRPr="00572AFC" w:rsidRDefault="00794740" w:rsidP="00973BF8">
      <w:pPr>
        <w:pStyle w:val="Heading5"/>
        <w:rPr>
          <w:rFonts w:eastAsiaTheme="minorHAnsi"/>
        </w:rPr>
      </w:pPr>
      <w:r>
        <w:rPr>
          <w:rFonts w:eastAsiaTheme="minorHAnsi"/>
        </w:rPr>
        <w:t xml:space="preserve">Study </w:t>
      </w:r>
      <w:r w:rsidRPr="00973BF8">
        <w:rPr>
          <w:rFonts w:eastAsiaTheme="minorHAnsi"/>
        </w:rPr>
        <w:t>CLL11002</w:t>
      </w:r>
    </w:p>
    <w:p w14:paraId="7C461653" w14:textId="77777777" w:rsidR="00572AFC" w:rsidRPr="00572AFC" w:rsidRDefault="00572AFC" w:rsidP="00973BF8">
      <w:r w:rsidRPr="00572AFC">
        <w:t>Primary objective: To assess the bi</w:t>
      </w:r>
      <w:r w:rsidR="0028670C">
        <w:t xml:space="preserve">oavailability of two different </w:t>
      </w:r>
      <w:r w:rsidR="008E61E8">
        <w:t xml:space="preserve">dry </w:t>
      </w:r>
      <w:r w:rsidR="0028670C">
        <w:t>i</w:t>
      </w:r>
      <w:r w:rsidRPr="00572AFC">
        <w:t>nhalation powder</w:t>
      </w:r>
      <w:r w:rsidR="008E61E8">
        <w:t xml:space="preserve"> products</w:t>
      </w:r>
      <w:r w:rsidRPr="00572AFC">
        <w:t>, administered as test drugs (T</w:t>
      </w:r>
      <w:r w:rsidR="00471266" w:rsidRPr="00572AFC">
        <w:t>est</w:t>
      </w:r>
      <w:r w:rsidRPr="00572AFC">
        <w:t xml:space="preserve"> 1</w:t>
      </w:r>
      <w:r w:rsidR="008E61E8">
        <w:t>:</w:t>
      </w:r>
      <w:r w:rsidRPr="00572AFC">
        <w:t xml:space="preserve"> Tiotropium 12 </w:t>
      </w:r>
      <w:proofErr w:type="spellStart"/>
      <w:r w:rsidRPr="00572AFC">
        <w:t>μg</w:t>
      </w:r>
      <w:proofErr w:type="spellEnd"/>
      <w:r w:rsidRPr="00572AFC">
        <w:t xml:space="preserve"> inhalation powder and T</w:t>
      </w:r>
      <w:r w:rsidR="00471266" w:rsidRPr="00572AFC">
        <w:t>est</w:t>
      </w:r>
      <w:r w:rsidRPr="00572AFC">
        <w:t xml:space="preserve"> 2</w:t>
      </w:r>
      <w:r w:rsidR="008E61E8">
        <w:t>:</w:t>
      </w:r>
      <w:r w:rsidRPr="00572AFC">
        <w:t xml:space="preserve"> Tiotropium 18 </w:t>
      </w:r>
      <w:proofErr w:type="spellStart"/>
      <w:r w:rsidRPr="00572AFC">
        <w:t>μg</w:t>
      </w:r>
      <w:proofErr w:type="spellEnd"/>
      <w:r w:rsidRPr="00572AFC">
        <w:t xml:space="preserve"> inhalation powder), compared to </w:t>
      </w:r>
      <w:r w:rsidR="008E61E8">
        <w:t>r</w:t>
      </w:r>
      <w:r w:rsidR="0028670C" w:rsidRPr="00572AFC">
        <w:t>eference</w:t>
      </w:r>
      <w:r w:rsidRPr="00572AFC">
        <w:t xml:space="preserve"> drug (</w:t>
      </w:r>
      <w:r w:rsidR="0028670C">
        <w:t>Spiriva</w:t>
      </w:r>
      <w:r w:rsidRPr="00572AFC">
        <w:t xml:space="preserve"> 1</w:t>
      </w:r>
      <w:r w:rsidR="00C143A1">
        <w:t xml:space="preserve">8 </w:t>
      </w:r>
      <w:proofErr w:type="spellStart"/>
      <w:r w:rsidR="0028670C">
        <w:t>μg</w:t>
      </w:r>
      <w:proofErr w:type="spellEnd"/>
      <w:r w:rsidR="00C143A1">
        <w:t xml:space="preserve"> inhalation powder).</w:t>
      </w:r>
    </w:p>
    <w:p w14:paraId="27D365E4" w14:textId="77777777" w:rsidR="00500337" w:rsidRDefault="00572AFC" w:rsidP="0028670C">
      <w:r w:rsidRPr="00572AFC">
        <w:t>Secondary objective: To assess the safety of the preparations on the basis of adverse events and/or adverse drug reactions.</w:t>
      </w:r>
    </w:p>
    <w:p w14:paraId="73F8997E" w14:textId="77777777" w:rsidR="00794740" w:rsidRPr="00794740" w:rsidRDefault="008E61E8" w:rsidP="0028670C">
      <w:r>
        <w:t>This was an o</w:t>
      </w:r>
      <w:r w:rsidR="00794740" w:rsidRPr="00794740">
        <w:t xml:space="preserve">pen label, </w:t>
      </w:r>
      <w:r w:rsidR="00471266">
        <w:t xml:space="preserve">monocentric, randomised, single </w:t>
      </w:r>
      <w:r w:rsidR="00794740" w:rsidRPr="00794740">
        <w:t>dose,</w:t>
      </w:r>
      <w:r w:rsidR="0028670C">
        <w:t xml:space="preserve"> three-period, crossover trial.</w:t>
      </w:r>
    </w:p>
    <w:p w14:paraId="2325636C" w14:textId="77777777" w:rsidR="00794740" w:rsidRPr="00794740" w:rsidRDefault="00794740" w:rsidP="00973BF8">
      <w:r w:rsidRPr="00794740">
        <w:t xml:space="preserve">12 healthy subjects were recruited. </w:t>
      </w:r>
      <w:r w:rsidR="008E61E8">
        <w:t>A w</w:t>
      </w:r>
      <w:r w:rsidRPr="00794740">
        <w:t>ash-out period of 7 days was observed betwee</w:t>
      </w:r>
      <w:r w:rsidR="0028670C">
        <w:t>n the subsequent study periods.</w:t>
      </w:r>
    </w:p>
    <w:p w14:paraId="6C63E865" w14:textId="77777777" w:rsidR="00794740" w:rsidRPr="00794740" w:rsidRDefault="00794740" w:rsidP="00973BF8">
      <w:r w:rsidRPr="00794740">
        <w:t>Subjects were administered with one oral inhalation (sin</w:t>
      </w:r>
      <w:r w:rsidR="008E61E8">
        <w:t xml:space="preserve">gle dose) of 12 </w:t>
      </w:r>
      <w:proofErr w:type="spellStart"/>
      <w:r w:rsidR="008E61E8">
        <w:t>μg</w:t>
      </w:r>
      <w:proofErr w:type="spellEnd"/>
      <w:r w:rsidR="008E61E8">
        <w:t xml:space="preserve"> tiotropium (Test 1), 18 </w:t>
      </w:r>
      <w:proofErr w:type="spellStart"/>
      <w:r w:rsidR="008E61E8">
        <w:t>μg</w:t>
      </w:r>
      <w:proofErr w:type="spellEnd"/>
      <w:r w:rsidR="008E61E8">
        <w:t xml:space="preserve"> tiotropium (T</w:t>
      </w:r>
      <w:r w:rsidRPr="00794740">
        <w:t xml:space="preserve">est 2) and reference drug </w:t>
      </w:r>
      <w:r w:rsidR="0028670C">
        <w:t>Spiriva</w:t>
      </w:r>
      <w:r w:rsidRPr="00794740">
        <w:t>. Drugs were administered under fasting conditions in 3 study periods, which was followed by blood samplings for analysis. Blood sampling was done at pre-dose and 0:02, 0:04, 0:06, 0:08, 0:10, 0:15, 0:30, 0:45, 1:00, 1:30, 2:00, 4:00, 6:00, 9:00, 12:00, 15:00 and 24</w:t>
      </w:r>
      <w:r w:rsidR="0028670C">
        <w:t>:00 hours after the inhalation.</w:t>
      </w:r>
    </w:p>
    <w:p w14:paraId="4FD75371" w14:textId="77777777" w:rsidR="00794740" w:rsidRPr="00794740" w:rsidRDefault="00794740" w:rsidP="00794740">
      <w:r w:rsidRPr="00794740">
        <w:t xml:space="preserve">As the plan was to conduct descriptive statistics, no power calculation was performed to assess sample size. Twelve subjects completed all study periods according to the protocol. </w:t>
      </w:r>
      <w:r w:rsidRPr="00794740">
        <w:lastRenderedPageBreak/>
        <w:t xml:space="preserve">To assess bioavailability, 90% </w:t>
      </w:r>
      <w:r w:rsidR="0070416F">
        <w:rPr>
          <w:rFonts w:asciiTheme="minorHAnsi" w:hAnsiTheme="minorHAnsi"/>
        </w:rPr>
        <w:t>confidence interval</w:t>
      </w:r>
      <w:r w:rsidR="0070416F" w:rsidRPr="00794740">
        <w:t xml:space="preserve"> </w:t>
      </w:r>
      <w:r w:rsidR="0070416F">
        <w:t>(</w:t>
      </w:r>
      <w:r w:rsidRPr="00794740">
        <w:t>CI</w:t>
      </w:r>
      <w:r w:rsidR="0070416F">
        <w:t>)</w:t>
      </w:r>
      <w:r w:rsidRPr="00794740">
        <w:t xml:space="preserve"> was calculated for intra-individual ratios of primary endpoints and was compared</w:t>
      </w:r>
      <w:r w:rsidR="0028670C">
        <w:t xml:space="preserve"> within acceptance ranges of 80 to 125%.</w:t>
      </w:r>
    </w:p>
    <w:p w14:paraId="12A8ED7F" w14:textId="77777777" w:rsidR="00794740" w:rsidRPr="00794740" w:rsidRDefault="00794740" w:rsidP="00973BF8">
      <w:r w:rsidRPr="00794740">
        <w:t>The sponsor states that these analyses were performed for the estimation of sample sizes for pivotal study. The effectiv</w:t>
      </w:r>
      <w:r w:rsidR="0028670C">
        <w:t xml:space="preserve">e half-life of tiotropium is 27 to </w:t>
      </w:r>
      <w:r w:rsidRPr="00794740">
        <w:t>45 hours; hence, a wash out period of 7 days</w:t>
      </w:r>
      <w:r w:rsidR="0028670C">
        <w:t xml:space="preserve"> is not considered as adequate.</w:t>
      </w:r>
    </w:p>
    <w:p w14:paraId="75ABD3A3" w14:textId="77777777" w:rsidR="00794740" w:rsidRPr="00794740" w:rsidRDefault="00794740" w:rsidP="00794740">
      <w:r w:rsidRPr="00794740">
        <w:t>Tiotropium assay: The method of assay was liquid chromatography with a reversed phase column and tandem mass spe</w:t>
      </w:r>
      <w:r w:rsidR="0028670C">
        <w:t>ctrometry detection (LC/MS/MS).</w:t>
      </w:r>
    </w:p>
    <w:p w14:paraId="5BE2FE63" w14:textId="77777777" w:rsidR="00794740" w:rsidRPr="00794740" w:rsidRDefault="00794740" w:rsidP="00794740">
      <w:r w:rsidRPr="00794740">
        <w:t xml:space="preserve">Primary endpoints: </w:t>
      </w:r>
      <w:proofErr w:type="gramStart"/>
      <w:r w:rsidRPr="00794740">
        <w:t>AUC</w:t>
      </w:r>
      <w:r w:rsidRPr="0028670C">
        <w:rPr>
          <w:vertAlign w:val="subscript"/>
        </w:rPr>
        <w:t>(</w:t>
      </w:r>
      <w:proofErr w:type="gramEnd"/>
      <w:r w:rsidRPr="0028670C">
        <w:rPr>
          <w:vertAlign w:val="subscript"/>
        </w:rPr>
        <w:t>0-t)</w:t>
      </w:r>
      <w:r w:rsidRPr="00794740">
        <w:t xml:space="preserve"> and </w:t>
      </w:r>
      <w:proofErr w:type="spellStart"/>
      <w:r w:rsidR="0028670C" w:rsidRPr="00794740">
        <w:t>C</w:t>
      </w:r>
      <w:r w:rsidR="0028670C" w:rsidRPr="0028670C">
        <w:rPr>
          <w:vertAlign w:val="subscript"/>
        </w:rPr>
        <w:t>max</w:t>
      </w:r>
      <w:proofErr w:type="spellEnd"/>
      <w:r w:rsidR="0028670C">
        <w:t xml:space="preserve"> of tiotropium.</w:t>
      </w:r>
    </w:p>
    <w:p w14:paraId="2E4604A4" w14:textId="77777777" w:rsidR="00794740" w:rsidRPr="00794740" w:rsidRDefault="00794740" w:rsidP="00794740">
      <w:r w:rsidRPr="00794740">
        <w:t xml:space="preserve">Secondary endpoint: </w:t>
      </w:r>
      <w:proofErr w:type="spellStart"/>
      <w:r w:rsidR="0028670C" w:rsidRPr="00794740">
        <w:t>t</w:t>
      </w:r>
      <w:r w:rsidR="0028670C" w:rsidRPr="0028670C">
        <w:rPr>
          <w:vertAlign w:val="subscript"/>
        </w:rPr>
        <w:t>max</w:t>
      </w:r>
      <w:proofErr w:type="spellEnd"/>
      <w:r w:rsidR="0028670C">
        <w:t xml:space="preserve"> of tiotropium.</w:t>
      </w:r>
    </w:p>
    <w:p w14:paraId="4F2CD7E7" w14:textId="77777777" w:rsidR="00794740" w:rsidRPr="00794740" w:rsidRDefault="00794740" w:rsidP="00973BF8">
      <w:r w:rsidRPr="00794740">
        <w:t>A descriptive and comparative statistical evaluation was per</w:t>
      </w:r>
      <w:r w:rsidR="0028670C">
        <w:t>formed for all study endpoints.</w:t>
      </w:r>
    </w:p>
    <w:p w14:paraId="066387F9" w14:textId="77777777" w:rsidR="00572AFC" w:rsidRPr="00794740" w:rsidRDefault="00794740" w:rsidP="00973BF8">
      <w:r w:rsidRPr="00794740">
        <w:t xml:space="preserve">Safety outcome measures </w:t>
      </w:r>
      <w:r w:rsidR="0070416F" w:rsidRPr="00794740">
        <w:t xml:space="preserve">were </w:t>
      </w:r>
      <w:r w:rsidR="0070416F">
        <w:rPr>
          <w:rFonts w:asciiTheme="minorHAnsi" w:hAnsiTheme="minorHAnsi"/>
        </w:rPr>
        <w:t>adverse events</w:t>
      </w:r>
      <w:r w:rsidR="0070416F" w:rsidRPr="00794740">
        <w:t xml:space="preserve"> </w:t>
      </w:r>
      <w:r w:rsidR="0070416F">
        <w:t>(</w:t>
      </w:r>
      <w:r w:rsidRPr="00794740">
        <w:t>AEs</w:t>
      </w:r>
      <w:r w:rsidR="0070416F">
        <w:t>)</w:t>
      </w:r>
      <w:r w:rsidRPr="00794740">
        <w:t xml:space="preserve"> and/or </w:t>
      </w:r>
      <w:r w:rsidR="008E61E8">
        <w:t>adverse drug reactions (</w:t>
      </w:r>
      <w:r w:rsidRPr="00794740">
        <w:t>ADRs</w:t>
      </w:r>
      <w:r w:rsidR="008E61E8">
        <w:t>)</w:t>
      </w:r>
      <w:r w:rsidRPr="00794740">
        <w:t xml:space="preserve"> during the study period.</w:t>
      </w:r>
    </w:p>
    <w:p w14:paraId="336400C6" w14:textId="77777777" w:rsidR="00794740" w:rsidRPr="00794740" w:rsidRDefault="0028670C" w:rsidP="00973BF8">
      <w:pPr>
        <w:pStyle w:val="Heading5"/>
        <w:rPr>
          <w:rFonts w:eastAsiaTheme="minorHAnsi"/>
        </w:rPr>
      </w:pPr>
      <w:r>
        <w:rPr>
          <w:rFonts w:eastAsiaTheme="minorHAnsi"/>
        </w:rPr>
        <w:t xml:space="preserve">Study </w:t>
      </w:r>
      <w:r w:rsidRPr="00973BF8">
        <w:rPr>
          <w:rFonts w:eastAsiaTheme="minorHAnsi"/>
        </w:rPr>
        <w:t>CLL12003</w:t>
      </w:r>
    </w:p>
    <w:p w14:paraId="1E7E70F1" w14:textId="77777777" w:rsidR="00794740" w:rsidRPr="00794740" w:rsidRDefault="00794740" w:rsidP="00973BF8">
      <w:r w:rsidRPr="00794740">
        <w:t>This study was conducted to assess relative bioavailability of the test product (</w:t>
      </w:r>
      <w:proofErr w:type="spellStart"/>
      <w:r w:rsidRPr="00794740">
        <w:t>Braltus</w:t>
      </w:r>
      <w:proofErr w:type="spellEnd"/>
      <w:r w:rsidRPr="00794740">
        <w:t>), in comparison with the referen</w:t>
      </w:r>
      <w:r w:rsidR="0028670C">
        <w:t>ce product (Spiriva).</w:t>
      </w:r>
    </w:p>
    <w:p w14:paraId="73BF8C30" w14:textId="77777777" w:rsidR="00471266" w:rsidRDefault="00794740" w:rsidP="00973BF8">
      <w:r w:rsidRPr="00794740">
        <w:t xml:space="preserve">Primary objective: To assess the systemic exposure of one pre-dispensed test formulation containing 13 </w:t>
      </w:r>
      <w:proofErr w:type="spellStart"/>
      <w:r w:rsidRPr="00794740">
        <w:t>μg</w:t>
      </w:r>
      <w:proofErr w:type="spellEnd"/>
      <w:r w:rsidRPr="00794740">
        <w:t xml:space="preserve"> tiotropium (as tiotropium bromide) T</w:t>
      </w:r>
      <w:r w:rsidR="0028670C" w:rsidRPr="00794740">
        <w:t>est</w:t>
      </w:r>
      <w:r w:rsidRPr="00794740">
        <w:t>, compared to R</w:t>
      </w:r>
      <w:r w:rsidR="0028670C" w:rsidRPr="00794740">
        <w:t>eference</w:t>
      </w:r>
      <w:r w:rsidRPr="00794740">
        <w:t xml:space="preserve"> product (</w:t>
      </w:r>
      <w:r w:rsidR="0028670C">
        <w:t>Spiriva</w:t>
      </w:r>
      <w:r w:rsidRPr="00794740">
        <w:t>) 18 microgram, inhalation powder</w:t>
      </w:r>
      <w:r w:rsidR="00471266">
        <w:t>.</w:t>
      </w:r>
    </w:p>
    <w:p w14:paraId="167207F3" w14:textId="77777777" w:rsidR="00794740" w:rsidRPr="00794740" w:rsidRDefault="00794740" w:rsidP="00794740">
      <w:r w:rsidRPr="00794740">
        <w:t>Secondary objective: To evaluate AEs</w:t>
      </w:r>
      <w:r w:rsidR="0028670C">
        <w:t xml:space="preserve"> and assess safety of products.</w:t>
      </w:r>
    </w:p>
    <w:p w14:paraId="2FA7A828" w14:textId="77777777" w:rsidR="00794740" w:rsidRPr="00794740" w:rsidRDefault="00794740" w:rsidP="00794740">
      <w:r w:rsidRPr="00794740">
        <w:t xml:space="preserve">Study design: </w:t>
      </w:r>
      <w:r w:rsidR="0028670C">
        <w:t xml:space="preserve">Monocentric, </w:t>
      </w:r>
      <w:r w:rsidR="008E61E8">
        <w:t xml:space="preserve">randomized, single dose, double </w:t>
      </w:r>
      <w:r w:rsidR="0028670C">
        <w:t xml:space="preserve">blind, double dummy, 3 </w:t>
      </w:r>
      <w:proofErr w:type="gramStart"/>
      <w:r w:rsidR="008E61E8">
        <w:t>way</w:t>
      </w:r>
      <w:proofErr w:type="gramEnd"/>
      <w:r w:rsidR="008E61E8">
        <w:t xml:space="preserve">, semi </w:t>
      </w:r>
      <w:r w:rsidRPr="00794740">
        <w:t>repl</w:t>
      </w:r>
      <w:r w:rsidR="008E61E8">
        <w:t xml:space="preserve">icate, crossover study in a two </w:t>
      </w:r>
      <w:r w:rsidRPr="00794740">
        <w:t>stage de</w:t>
      </w:r>
      <w:r w:rsidR="0028670C">
        <w:t>sign with one interim analysis.</w:t>
      </w:r>
    </w:p>
    <w:p w14:paraId="4DEAC6D2" w14:textId="77777777" w:rsidR="00794740" w:rsidRPr="00794740" w:rsidRDefault="00794740" w:rsidP="00794740">
      <w:r w:rsidRPr="00794740">
        <w:t xml:space="preserve">Wash-out period of 10 days was </w:t>
      </w:r>
      <w:r w:rsidR="0028670C">
        <w:t>observed between study periods.</w:t>
      </w:r>
    </w:p>
    <w:p w14:paraId="42DA3A49" w14:textId="77777777" w:rsidR="00794740" w:rsidRPr="00794740" w:rsidRDefault="00794740" w:rsidP="00794740">
      <w:r w:rsidRPr="00794740">
        <w:t xml:space="preserve">The primary endpoints in the present trial were </w:t>
      </w:r>
      <w:proofErr w:type="gramStart"/>
      <w:r w:rsidRPr="00794740">
        <w:t>AUC</w:t>
      </w:r>
      <w:r w:rsidRPr="0028670C">
        <w:rPr>
          <w:vertAlign w:val="subscript"/>
        </w:rPr>
        <w:t>(</w:t>
      </w:r>
      <w:proofErr w:type="gramEnd"/>
      <w:r w:rsidRPr="0028670C">
        <w:rPr>
          <w:vertAlign w:val="subscript"/>
        </w:rPr>
        <w:t>0-t)</w:t>
      </w:r>
      <w:r w:rsidRPr="00794740">
        <w:t xml:space="preserve"> and </w:t>
      </w:r>
      <w:proofErr w:type="spellStart"/>
      <w:r w:rsidR="0028670C" w:rsidRPr="00794740">
        <w:t>C</w:t>
      </w:r>
      <w:r w:rsidR="0028670C" w:rsidRPr="0028670C">
        <w:rPr>
          <w:vertAlign w:val="subscript"/>
        </w:rPr>
        <w:t>max</w:t>
      </w:r>
      <w:proofErr w:type="spellEnd"/>
      <w:r w:rsidR="0028670C">
        <w:t xml:space="preserve"> of tiotropium.</w:t>
      </w:r>
    </w:p>
    <w:p w14:paraId="48FACDBF" w14:textId="77777777" w:rsidR="00794740" w:rsidRPr="00794740" w:rsidRDefault="00794740" w:rsidP="00794740">
      <w:r w:rsidRPr="00794740">
        <w:t xml:space="preserve">The key secondary endpoint was </w:t>
      </w:r>
      <w:proofErr w:type="spellStart"/>
      <w:r w:rsidR="0028670C" w:rsidRPr="00794740">
        <w:t>t</w:t>
      </w:r>
      <w:r w:rsidR="0028670C" w:rsidRPr="0028670C">
        <w:rPr>
          <w:vertAlign w:val="subscript"/>
        </w:rPr>
        <w:t>max</w:t>
      </w:r>
      <w:proofErr w:type="spellEnd"/>
      <w:r w:rsidR="0028670C">
        <w:t xml:space="preserve"> of tiotropium.</w:t>
      </w:r>
    </w:p>
    <w:p w14:paraId="58B40050" w14:textId="77777777" w:rsidR="00572AFC" w:rsidRDefault="00794740" w:rsidP="00794740">
      <w:r w:rsidRPr="00794740">
        <w:t xml:space="preserve">The trial was planned to be performed according to a two-stage design, with an interim analysis to determine whether </w:t>
      </w:r>
      <w:r w:rsidR="0028670C">
        <w:t>bioequivalence</w:t>
      </w:r>
      <w:r w:rsidRPr="00794740">
        <w:t xml:space="preserve"> has been established, and also to re-consider number of subjects required.</w:t>
      </w:r>
    </w:p>
    <w:p w14:paraId="0C7CD46F" w14:textId="77777777" w:rsidR="00794740" w:rsidRPr="00794740" w:rsidRDefault="00794740" w:rsidP="00973BF8">
      <w:pPr>
        <w:pStyle w:val="ListBullet"/>
      </w:pPr>
      <w:r w:rsidRPr="00794740">
        <w:t xml:space="preserve">Test </w:t>
      </w:r>
      <w:r w:rsidRPr="00973BF8">
        <w:t>product</w:t>
      </w:r>
      <w:r w:rsidRPr="00794740">
        <w:t xml:space="preserve">: Tiotropium 10 </w:t>
      </w:r>
      <w:proofErr w:type="spellStart"/>
      <w:r w:rsidRPr="00794740">
        <w:t>μg</w:t>
      </w:r>
      <w:proofErr w:type="spellEnd"/>
      <w:r w:rsidRPr="00794740">
        <w:t xml:space="preserve"> delivered dose inhalation powder. 15.6 </w:t>
      </w:r>
      <w:proofErr w:type="spellStart"/>
      <w:r w:rsidRPr="00794740">
        <w:t>μg</w:t>
      </w:r>
      <w:proofErr w:type="spellEnd"/>
      <w:r w:rsidRPr="00794740">
        <w:t xml:space="preserve"> tiotropium bromide </w:t>
      </w:r>
      <w:r w:rsidRPr="00973BF8">
        <w:t>equivalent</w:t>
      </w:r>
      <w:r w:rsidRPr="00794740">
        <w:t xml:space="preserve"> to 1</w:t>
      </w:r>
      <w:r w:rsidR="0028670C">
        <w:t xml:space="preserve">3 </w:t>
      </w:r>
      <w:proofErr w:type="spellStart"/>
      <w:r w:rsidR="0028670C">
        <w:t>μg</w:t>
      </w:r>
      <w:proofErr w:type="spellEnd"/>
      <w:r w:rsidR="0028670C">
        <w:t xml:space="preserve"> tiotropium per inhalation. </w:t>
      </w:r>
      <w:r w:rsidRPr="00794740">
        <w:t>The deliv</w:t>
      </w:r>
      <w:r>
        <w:t xml:space="preserve">ered dose is 10 </w:t>
      </w:r>
      <w:proofErr w:type="spellStart"/>
      <w:r>
        <w:t>μg</w:t>
      </w:r>
      <w:proofErr w:type="spellEnd"/>
      <w:r>
        <w:t xml:space="preserve"> tiotropium. </w:t>
      </w:r>
      <w:r w:rsidR="0028670C">
        <w:t xml:space="preserve">Device: </w:t>
      </w:r>
      <w:proofErr w:type="spellStart"/>
      <w:r w:rsidR="0028670C">
        <w:t>Zonda</w:t>
      </w:r>
      <w:proofErr w:type="spellEnd"/>
      <w:r w:rsidR="0028670C">
        <w:t xml:space="preserve"> inhaler.</w:t>
      </w:r>
    </w:p>
    <w:p w14:paraId="2BEE51DC" w14:textId="77777777" w:rsidR="00794740" w:rsidRDefault="00794740" w:rsidP="00794740">
      <w:pPr>
        <w:pStyle w:val="ListBullet"/>
      </w:pPr>
      <w:r w:rsidRPr="00794740">
        <w:t xml:space="preserve">Reference product: </w:t>
      </w:r>
      <w:r w:rsidR="0028670C">
        <w:t>Spiriva</w:t>
      </w:r>
      <w:r w:rsidRPr="00794740">
        <w:t xml:space="preserve"> 18 </w:t>
      </w:r>
      <w:proofErr w:type="spellStart"/>
      <w:r w:rsidR="0028670C">
        <w:t>μg</w:t>
      </w:r>
      <w:proofErr w:type="spellEnd"/>
      <w:r w:rsidRPr="00794740">
        <w:t xml:space="preserve">, inhalation powder. 22.5 </w:t>
      </w:r>
      <w:proofErr w:type="spellStart"/>
      <w:r w:rsidRPr="00794740">
        <w:t>μg</w:t>
      </w:r>
      <w:proofErr w:type="spellEnd"/>
      <w:r w:rsidRPr="00794740">
        <w:t xml:space="preserve"> tiotropium bromide monohydrate equivalent to 18</w:t>
      </w:r>
      <w:r w:rsidR="0028670C">
        <w:t xml:space="preserve"> </w:t>
      </w:r>
      <w:proofErr w:type="spellStart"/>
      <w:r w:rsidR="0028670C">
        <w:t>μg</w:t>
      </w:r>
      <w:proofErr w:type="spellEnd"/>
      <w:r w:rsidR="0028670C">
        <w:t xml:space="preserve"> tiotropium per inhalation. </w:t>
      </w:r>
      <w:r w:rsidRPr="00794740">
        <w:t>The deliv</w:t>
      </w:r>
      <w:r w:rsidR="0028670C">
        <w:t>ered dose is 10 </w:t>
      </w:r>
      <w:proofErr w:type="spellStart"/>
      <w:r w:rsidR="0028670C">
        <w:t>μg</w:t>
      </w:r>
      <w:proofErr w:type="spellEnd"/>
      <w:r w:rsidR="0028670C">
        <w:t xml:space="preserve"> tiotropium. </w:t>
      </w:r>
      <w:r w:rsidRPr="00794740">
        <w:t xml:space="preserve">Device: </w:t>
      </w:r>
      <w:proofErr w:type="spellStart"/>
      <w:r w:rsidR="0028670C">
        <w:t>Handihaler</w:t>
      </w:r>
      <w:proofErr w:type="spellEnd"/>
      <w:r w:rsidRPr="00794740">
        <w:t>.</w:t>
      </w:r>
    </w:p>
    <w:p w14:paraId="70C72CDA" w14:textId="77777777" w:rsidR="00794740" w:rsidRPr="00794740" w:rsidRDefault="00794740" w:rsidP="00973BF8">
      <w:pPr>
        <w:pStyle w:val="Heading5"/>
        <w:rPr>
          <w:rFonts w:eastAsiaTheme="minorHAnsi"/>
        </w:rPr>
      </w:pPr>
      <w:r w:rsidRPr="00794740">
        <w:rPr>
          <w:rFonts w:eastAsiaTheme="minorHAnsi"/>
        </w:rPr>
        <w:t>Stu</w:t>
      </w:r>
      <w:r w:rsidR="0028670C">
        <w:rPr>
          <w:rFonts w:eastAsiaTheme="minorHAnsi"/>
        </w:rPr>
        <w:t xml:space="preserve">dy 3: </w:t>
      </w:r>
      <w:r w:rsidR="0028670C" w:rsidRPr="00973BF8">
        <w:rPr>
          <w:rFonts w:eastAsiaTheme="minorHAnsi"/>
        </w:rPr>
        <w:t>CLL</w:t>
      </w:r>
      <w:r w:rsidR="0028670C">
        <w:rPr>
          <w:rFonts w:eastAsiaTheme="minorHAnsi"/>
        </w:rPr>
        <w:t xml:space="preserve"> 13002 (Pivotal study)</w:t>
      </w:r>
    </w:p>
    <w:p w14:paraId="24108F6C" w14:textId="77777777" w:rsidR="00471266" w:rsidRDefault="00794740" w:rsidP="00973BF8">
      <w:r w:rsidRPr="00794740">
        <w:t xml:space="preserve">Primary objective: To assess the systemic exposure of test formulation containing 13 </w:t>
      </w:r>
      <w:proofErr w:type="spellStart"/>
      <w:r w:rsidR="008E61E8">
        <w:rPr>
          <w:lang w:eastAsia="en-AU"/>
        </w:rPr>
        <w:t>μg</w:t>
      </w:r>
      <w:proofErr w:type="spellEnd"/>
      <w:r w:rsidRPr="00794740">
        <w:t xml:space="preserve"> tiotropium with </w:t>
      </w:r>
      <w:proofErr w:type="spellStart"/>
      <w:r w:rsidRPr="00794740">
        <w:t>Zonda</w:t>
      </w:r>
      <w:proofErr w:type="spellEnd"/>
      <w:r w:rsidRPr="00794740">
        <w:t xml:space="preserve"> device (T</w:t>
      </w:r>
      <w:r w:rsidR="008E61E8" w:rsidRPr="00794740">
        <w:t>est</w:t>
      </w:r>
      <w:r w:rsidRPr="00794740">
        <w:t xml:space="preserve">) compared to </w:t>
      </w:r>
      <w:r w:rsidR="008E61E8" w:rsidRPr="00794740">
        <w:t>reference</w:t>
      </w:r>
      <w:r w:rsidRPr="00794740">
        <w:t xml:space="preserve"> product </w:t>
      </w:r>
      <w:r w:rsidR="0028670C">
        <w:t>Spiriva</w:t>
      </w:r>
      <w:r w:rsidRPr="00794740">
        <w:t xml:space="preserve">18 </w:t>
      </w:r>
      <w:proofErr w:type="spellStart"/>
      <w:r w:rsidR="008E61E8">
        <w:rPr>
          <w:lang w:eastAsia="en-AU"/>
        </w:rPr>
        <w:t>μg</w:t>
      </w:r>
      <w:proofErr w:type="spellEnd"/>
      <w:r w:rsidRPr="00794740">
        <w:t xml:space="preserve"> tio</w:t>
      </w:r>
      <w:r w:rsidR="00471266">
        <w:t xml:space="preserve">tropium inhalation powder with </w:t>
      </w:r>
      <w:proofErr w:type="spellStart"/>
      <w:r w:rsidR="00471266">
        <w:t>Handihaler</w:t>
      </w:r>
      <w:proofErr w:type="spellEnd"/>
      <w:r w:rsidR="00471266">
        <w:t xml:space="preserve"> device.</w:t>
      </w:r>
    </w:p>
    <w:p w14:paraId="2A5AEF30" w14:textId="77777777" w:rsidR="00471266" w:rsidRDefault="00794740" w:rsidP="00794740">
      <w:r w:rsidRPr="00794740">
        <w:t>Secondary objective: To investigate safety of the preparations</w:t>
      </w:r>
      <w:r w:rsidR="00471266">
        <w:t>.</w:t>
      </w:r>
    </w:p>
    <w:p w14:paraId="7D96CCD1" w14:textId="77777777" w:rsidR="00794740" w:rsidRPr="00794740" w:rsidRDefault="00794740" w:rsidP="00973BF8">
      <w:r w:rsidRPr="00794740">
        <w:t xml:space="preserve">Study design: </w:t>
      </w:r>
      <w:r w:rsidR="0028670C">
        <w:t xml:space="preserve">Monocentric, randomized, single dose, open, 3 </w:t>
      </w:r>
      <w:proofErr w:type="gramStart"/>
      <w:r w:rsidR="008E61E8">
        <w:t>way</w:t>
      </w:r>
      <w:proofErr w:type="gramEnd"/>
      <w:r w:rsidR="008E61E8">
        <w:t xml:space="preserve">, semi </w:t>
      </w:r>
      <w:r w:rsidRPr="00794740">
        <w:t>repl</w:t>
      </w:r>
      <w:r w:rsidR="0028670C">
        <w:t xml:space="preserve">icate, crossover study in a two </w:t>
      </w:r>
      <w:r w:rsidRPr="00794740">
        <w:t>stage design with one interim analysi</w:t>
      </w:r>
      <w:r w:rsidR="0028670C">
        <w:t>s and sample size reassessment.</w:t>
      </w:r>
    </w:p>
    <w:p w14:paraId="1D3C599A" w14:textId="77777777" w:rsidR="00471266" w:rsidRDefault="00794740" w:rsidP="00794740">
      <w:r w:rsidRPr="00794740">
        <w:t>Healthy subjects were recruited. Wash out period was 10 days</w:t>
      </w:r>
      <w:r w:rsidR="00471266">
        <w:t>.</w:t>
      </w:r>
    </w:p>
    <w:p w14:paraId="2F461D2C" w14:textId="77777777" w:rsidR="00471266" w:rsidRDefault="00794740" w:rsidP="00794740">
      <w:r w:rsidRPr="00794740">
        <w:t>The trial was planned to be performed according to a two-stage design</w:t>
      </w:r>
      <w:r w:rsidR="00471266">
        <w:t>.</w:t>
      </w:r>
    </w:p>
    <w:p w14:paraId="2FD9EB9D" w14:textId="77777777" w:rsidR="00471266" w:rsidRDefault="00794740" w:rsidP="00794740">
      <w:r w:rsidRPr="00794740">
        <w:lastRenderedPageBreak/>
        <w:t>An interim evaluation of results was performed after the first 18 subjects completed all study periods. The interim evaluation of the results of the first 18 subjects revealed that a total sample size of 30 subjects (including the first group of 18 subjects) was needed for reaching a power of 90% for proving bioequivalence of both products Therefore, 12 additional subjects were randomized in the 2nd stage of the trial</w:t>
      </w:r>
      <w:r w:rsidR="00471266">
        <w:t>.</w:t>
      </w:r>
    </w:p>
    <w:p w14:paraId="5630BC94" w14:textId="77777777" w:rsidR="00794740" w:rsidRPr="00794740" w:rsidRDefault="00794740" w:rsidP="00794740">
      <w:r w:rsidRPr="00794740">
        <w:t xml:space="preserve">The study used a higher dose (two capsules of test and reference products, </w:t>
      </w:r>
      <w:r w:rsidR="00471266">
        <w:t>that is</w:t>
      </w:r>
      <w:r w:rsidRPr="00794740">
        <w:t xml:space="preserve">, 20 </w:t>
      </w:r>
      <w:proofErr w:type="spellStart"/>
      <w:r w:rsidR="00471266">
        <w:t>μg</w:t>
      </w:r>
      <w:proofErr w:type="spellEnd"/>
      <w:r w:rsidRPr="00794740">
        <w:t xml:space="preserve"> of delivered dose) of tiotropium to achieve higher systemic concentration of tiotropium as in the previous studies many values were stated as below </w:t>
      </w:r>
      <w:r w:rsidR="0070416F" w:rsidRPr="00794740">
        <w:t xml:space="preserve">the </w:t>
      </w:r>
      <w:r w:rsidR="0070416F">
        <w:rPr>
          <w:rFonts w:asciiTheme="minorHAnsi" w:eastAsia="TimesNewRoman" w:hAnsiTheme="minorHAnsi" w:cs="TimesNewRoman"/>
        </w:rPr>
        <w:t>lower limit of quantification</w:t>
      </w:r>
      <w:r w:rsidR="0070416F" w:rsidRPr="00794740">
        <w:t xml:space="preserve"> </w:t>
      </w:r>
      <w:r w:rsidR="0070416F">
        <w:t>(</w:t>
      </w:r>
      <w:r w:rsidR="003F7201">
        <w:t>LLQ</w:t>
      </w:r>
      <w:r w:rsidR="0070416F">
        <w:t>)</w:t>
      </w:r>
      <w:r w:rsidRPr="00794740">
        <w:t xml:space="preserve"> </w:t>
      </w:r>
      <w:proofErr w:type="gramStart"/>
      <w:r w:rsidRPr="00794740">
        <w:t xml:space="preserve">of 0.5 </w:t>
      </w:r>
      <w:proofErr w:type="spellStart"/>
      <w:r w:rsidRPr="00794740">
        <w:t>pg</w:t>
      </w:r>
      <w:proofErr w:type="spellEnd"/>
      <w:r w:rsidRPr="00794740">
        <w:t>/ml</w:t>
      </w:r>
      <w:proofErr w:type="gramEnd"/>
      <w:r w:rsidRPr="00794740">
        <w:t xml:space="preserve">. In addition, the assay liquid chromatography with a reversed phase column and tandem mass spectrometry detection (LC/MS/MS)) was improved and </w:t>
      </w:r>
      <w:r w:rsidR="003F7201">
        <w:t>LLQ</w:t>
      </w:r>
      <w:r w:rsidRPr="00794740">
        <w:t xml:space="preserve"> lowered from 0.5 to 0.2</w:t>
      </w:r>
      <w:r w:rsidR="0070416F">
        <w:t xml:space="preserve"> </w:t>
      </w:r>
      <w:proofErr w:type="spellStart"/>
      <w:r w:rsidRPr="00794740">
        <w:t>pg</w:t>
      </w:r>
      <w:proofErr w:type="spellEnd"/>
      <w:r w:rsidRPr="00794740">
        <w:t>/ml.</w:t>
      </w:r>
    </w:p>
    <w:p w14:paraId="26BF4BBD" w14:textId="77777777" w:rsidR="00605AD4" w:rsidRDefault="00605AD4" w:rsidP="00973BF8">
      <w:pPr>
        <w:pStyle w:val="Heading4"/>
      </w:pPr>
      <w:r>
        <w:t>Evaluator’s conclusions on pharmacokinetics</w:t>
      </w:r>
    </w:p>
    <w:p w14:paraId="13C96090" w14:textId="77777777" w:rsidR="005F6C38" w:rsidRPr="00D77FDD" w:rsidRDefault="005F6C38" w:rsidP="00471266">
      <w:r w:rsidRPr="00D77FDD">
        <w:t>The absorption characteristic</w:t>
      </w:r>
      <w:r w:rsidR="00471266">
        <w:t xml:space="preserve">s of tiotropium indicate a near </w:t>
      </w:r>
      <w:r w:rsidRPr="00D77FDD">
        <w:t xml:space="preserve">complete absorption from the lung, which suggest that the </w:t>
      </w:r>
      <w:r w:rsidR="0070416F">
        <w:rPr>
          <w:rFonts w:asciiTheme="minorHAnsi" w:eastAsia="TimesNewRoman" w:hAnsiTheme="minorHAnsi" w:cs="TimesNewRoman"/>
        </w:rPr>
        <w:t>pharmacokinetic</w:t>
      </w:r>
      <w:r w:rsidR="0070416F" w:rsidRPr="00D77FDD">
        <w:t xml:space="preserve"> </w:t>
      </w:r>
      <w:r w:rsidR="0070416F">
        <w:t>(</w:t>
      </w:r>
      <w:r w:rsidRPr="00D77FDD">
        <w:t>PK</w:t>
      </w:r>
      <w:r w:rsidR="0070416F">
        <w:t>)</w:t>
      </w:r>
      <w:r w:rsidRPr="00D77FDD">
        <w:t xml:space="preserve"> parameters that were measured in these studies could be considered as surrogate measures of lung deposition. The PK parameters that were estimated in the pivotal study are within the acceptable range to establish bioequivalence.</w:t>
      </w:r>
    </w:p>
    <w:p w14:paraId="2F8A320E" w14:textId="77777777" w:rsidR="00471266" w:rsidRDefault="005F6C38" w:rsidP="00973BF8">
      <w:r w:rsidRPr="00D77FDD">
        <w:t xml:space="preserve">In </w:t>
      </w:r>
      <w:r w:rsidR="004B5819">
        <w:t>Stud</w:t>
      </w:r>
      <w:r w:rsidRPr="00D77FDD">
        <w:t xml:space="preserve">ies CLL 11002 and CLL 12003, the sponsor was unable to demonstrate </w:t>
      </w:r>
      <w:r w:rsidR="004B5819">
        <w:t>bioequivalence (</w:t>
      </w:r>
      <w:r w:rsidRPr="00D77FDD">
        <w:t>BE</w:t>
      </w:r>
      <w:r w:rsidR="004B5819">
        <w:t>)</w:t>
      </w:r>
      <w:r w:rsidRPr="00D77FDD">
        <w:t xml:space="preserve"> because of problems with high variability of the PK variables. Problems with assay and </w:t>
      </w:r>
      <w:r w:rsidR="00FF2861">
        <w:t xml:space="preserve">timing of the PK sampling </w:t>
      </w:r>
      <w:r w:rsidRPr="00D77FDD">
        <w:t xml:space="preserve">around </w:t>
      </w:r>
      <w:proofErr w:type="spellStart"/>
      <w:r w:rsidR="0028670C" w:rsidRPr="00794740">
        <w:t>C</w:t>
      </w:r>
      <w:r w:rsidR="0028670C" w:rsidRPr="0028670C">
        <w:rPr>
          <w:vertAlign w:val="subscript"/>
        </w:rPr>
        <w:t>max</w:t>
      </w:r>
      <w:proofErr w:type="spellEnd"/>
      <w:r w:rsidRPr="00D77FDD">
        <w:t xml:space="preserve"> would have contributed and were addressed in the third and pivotal study</w:t>
      </w:r>
      <w:r w:rsidR="00471266">
        <w:t>.</w:t>
      </w:r>
    </w:p>
    <w:p w14:paraId="63AF1056" w14:textId="77777777" w:rsidR="00471266" w:rsidRDefault="00471266" w:rsidP="00471266">
      <w:r>
        <w:t xml:space="preserve">The pivotal study used a three way cross </w:t>
      </w:r>
      <w:r w:rsidR="005F6C38" w:rsidRPr="00D77FDD">
        <w:t>over design. This is appropriate and consistent with the guidelines.</w:t>
      </w:r>
    </w:p>
    <w:p w14:paraId="4E12977F" w14:textId="77777777" w:rsidR="005F6C38" w:rsidRPr="00D77FDD" w:rsidRDefault="005F6C38" w:rsidP="00471266">
      <w:r w:rsidRPr="00D77FDD">
        <w:t xml:space="preserve">Charcoal block was not utilised in the pivotal BE study. The sponsor has substantiated this approach by providing literature based evidence that suggest tiotropium is not absorbed in </w:t>
      </w:r>
      <w:r w:rsidR="004B5819">
        <w:t xml:space="preserve">the gastrointestinal tract </w:t>
      </w:r>
      <w:r w:rsidRPr="00D77FDD">
        <w:t xml:space="preserve">due to its electrical charge and hence its systemic availability is negligible. Moreover, the shorter mean </w:t>
      </w:r>
      <w:proofErr w:type="spellStart"/>
      <w:r w:rsidR="0028670C" w:rsidRPr="00794740">
        <w:t>t</w:t>
      </w:r>
      <w:r w:rsidR="0028670C" w:rsidRPr="0028670C">
        <w:rPr>
          <w:vertAlign w:val="subscript"/>
        </w:rPr>
        <w:t>max</w:t>
      </w:r>
      <w:proofErr w:type="spellEnd"/>
      <w:r w:rsidR="00471266">
        <w:t xml:space="preserve"> for tiotropium of (5 to </w:t>
      </w:r>
      <w:r w:rsidRPr="00D77FDD">
        <w:t xml:space="preserve">7 minutes) and higher </w:t>
      </w:r>
      <w:proofErr w:type="spellStart"/>
      <w:r w:rsidR="0028670C" w:rsidRPr="00794740">
        <w:t>C</w:t>
      </w:r>
      <w:r w:rsidR="0028670C" w:rsidRPr="0028670C">
        <w:rPr>
          <w:vertAlign w:val="subscript"/>
        </w:rPr>
        <w:t>max</w:t>
      </w:r>
      <w:proofErr w:type="spellEnd"/>
      <w:r w:rsidRPr="00D77FDD">
        <w:t xml:space="preserve"> suggest systemic levels measured could be used as surrogate markers of lung deposition. In view of these facts, the sponsor’s approach of not using charcoal block is considered acceptable.</w:t>
      </w:r>
    </w:p>
    <w:p w14:paraId="3A4ABE53" w14:textId="77777777" w:rsidR="00500337" w:rsidRPr="00500337" w:rsidRDefault="005F6C38" w:rsidP="00973BF8">
      <w:r w:rsidRPr="00D77FDD">
        <w:t xml:space="preserve">The reference product and the device were manufactured in Germany and are not the same as that registered in Australia. The sponsor has provided studies that compared flow characteristics of </w:t>
      </w:r>
      <w:r w:rsidR="0028670C">
        <w:t>Spiriva</w:t>
      </w:r>
      <w:r w:rsidRPr="00D77FDD">
        <w:t xml:space="preserve"> inhalers that are TGA registered and those that are registered in </w:t>
      </w:r>
      <w:r w:rsidRPr="00471266">
        <w:t>EU (used in studies in this submission). The quality report will be refer</w:t>
      </w:r>
      <w:r w:rsidR="00471266">
        <w:t>red to ascertain comparability.</w:t>
      </w:r>
    </w:p>
    <w:p w14:paraId="6074522A" w14:textId="77777777" w:rsidR="008E7846" w:rsidRDefault="008E7846" w:rsidP="00973BF8">
      <w:pPr>
        <w:pStyle w:val="Heading3"/>
      </w:pPr>
      <w:bookmarkStart w:id="57" w:name="_Toc196046481"/>
      <w:bookmarkStart w:id="58" w:name="_Toc247691520"/>
      <w:bookmarkStart w:id="59" w:name="_Toc314842503"/>
      <w:bookmarkStart w:id="60" w:name="_Toc16587418"/>
      <w:r w:rsidRPr="00973BF8">
        <w:t>Pharmacodynamics</w:t>
      </w:r>
      <w:bookmarkEnd w:id="47"/>
      <w:bookmarkEnd w:id="57"/>
      <w:bookmarkEnd w:id="58"/>
      <w:bookmarkEnd w:id="59"/>
      <w:bookmarkEnd w:id="60"/>
    </w:p>
    <w:p w14:paraId="6980F131" w14:textId="023E8862" w:rsidR="00500337" w:rsidRPr="00500337" w:rsidRDefault="005F6C38" w:rsidP="00973BF8">
      <w:r w:rsidRPr="00D77FDD">
        <w:rPr>
          <w:lang w:eastAsia="ja-JP"/>
        </w:rPr>
        <w:t xml:space="preserve">No studies to assess </w:t>
      </w:r>
      <w:proofErr w:type="spellStart"/>
      <w:r w:rsidRPr="00D77FDD">
        <w:rPr>
          <w:lang w:eastAsia="ja-JP"/>
        </w:rPr>
        <w:t>pharmacodynamic</w:t>
      </w:r>
      <w:proofErr w:type="spellEnd"/>
      <w:r w:rsidRPr="00D77FDD">
        <w:rPr>
          <w:lang w:eastAsia="ja-JP"/>
        </w:rPr>
        <w:t xml:space="preserve"> parameters were </w:t>
      </w:r>
      <w:r w:rsidR="00FF2861">
        <w:rPr>
          <w:lang w:eastAsia="ja-JP"/>
        </w:rPr>
        <w:t>required as the PK studies were sufficient to establish bioequivalence.</w:t>
      </w:r>
    </w:p>
    <w:p w14:paraId="12B1E023" w14:textId="77777777" w:rsidR="008E7846" w:rsidRPr="00254787" w:rsidRDefault="008E7846" w:rsidP="008E7846">
      <w:pPr>
        <w:pStyle w:val="Heading3"/>
      </w:pPr>
      <w:bookmarkStart w:id="61" w:name="_Toc163441372"/>
      <w:bookmarkStart w:id="62" w:name="_Toc196046485"/>
      <w:bookmarkStart w:id="63" w:name="_Toc247691521"/>
      <w:bookmarkStart w:id="64" w:name="_Toc314842504"/>
      <w:bookmarkStart w:id="65" w:name="_Toc16587419"/>
      <w:r w:rsidRPr="00254787">
        <w:t>Efficacy</w:t>
      </w:r>
      <w:bookmarkEnd w:id="61"/>
      <w:bookmarkEnd w:id="62"/>
      <w:bookmarkEnd w:id="63"/>
      <w:bookmarkEnd w:id="64"/>
      <w:bookmarkEnd w:id="65"/>
    </w:p>
    <w:p w14:paraId="4CF05171" w14:textId="77777777" w:rsidR="00605AD4" w:rsidRDefault="00605AD4" w:rsidP="00973BF8">
      <w:pPr>
        <w:pStyle w:val="Heading4"/>
      </w:pPr>
      <w:bookmarkStart w:id="66" w:name="_Toc184439992"/>
      <w:bookmarkStart w:id="67" w:name="_Toc184440279"/>
      <w:bookmarkStart w:id="68" w:name="_Toc184444657"/>
      <w:bookmarkStart w:id="69" w:name="_Toc196046487"/>
      <w:r>
        <w:t xml:space="preserve">Studies </w:t>
      </w:r>
      <w:r w:rsidRPr="00973BF8">
        <w:t>providing</w:t>
      </w:r>
      <w:r>
        <w:t xml:space="preserve"> efficacy data</w:t>
      </w:r>
    </w:p>
    <w:p w14:paraId="3A7134C4" w14:textId="77777777" w:rsidR="00500337" w:rsidRPr="00500337" w:rsidRDefault="005F6C38" w:rsidP="00973BF8">
      <w:r w:rsidRPr="00D77FDD">
        <w:rPr>
          <w:lang w:eastAsia="ja-JP"/>
        </w:rPr>
        <w:t xml:space="preserve">No studies to assess clinical efficacy </w:t>
      </w:r>
      <w:r w:rsidR="00FF2861">
        <w:rPr>
          <w:lang w:eastAsia="ja-JP"/>
        </w:rPr>
        <w:t>and safety were required as the physiochemical and PK studies were sufficient to establish therapeutic equivalence.</w:t>
      </w:r>
    </w:p>
    <w:p w14:paraId="24021F71" w14:textId="77777777" w:rsidR="005F6C38" w:rsidRPr="00D77FDD" w:rsidRDefault="00605AD4" w:rsidP="00973BF8">
      <w:pPr>
        <w:pStyle w:val="Heading4"/>
      </w:pPr>
      <w:r>
        <w:lastRenderedPageBreak/>
        <w:t>Evaluator’s conclusions on efficacy</w:t>
      </w:r>
    </w:p>
    <w:p w14:paraId="007CFC89" w14:textId="77777777" w:rsidR="00471266" w:rsidRDefault="005F6C38" w:rsidP="00471266">
      <w:pPr>
        <w:rPr>
          <w:lang w:eastAsia="ja-JP"/>
        </w:rPr>
      </w:pPr>
      <w:r w:rsidRPr="00D77FDD">
        <w:rPr>
          <w:lang w:eastAsia="ja-JP"/>
        </w:rPr>
        <w:t>The sponsor has not addressed whether the tiotropium bromide salt or tiotropium bromide mon</w:t>
      </w:r>
      <w:r w:rsidR="00E05137">
        <w:rPr>
          <w:lang w:eastAsia="ja-JP"/>
        </w:rPr>
        <w:t>o</w:t>
      </w:r>
      <w:r w:rsidRPr="00D77FDD">
        <w:rPr>
          <w:lang w:eastAsia="ja-JP"/>
        </w:rPr>
        <w:t>hydrate salt would have any difference in efficacy</w:t>
      </w:r>
      <w:r w:rsidR="00471266">
        <w:rPr>
          <w:lang w:eastAsia="ja-JP"/>
        </w:rPr>
        <w:t>.</w:t>
      </w:r>
    </w:p>
    <w:p w14:paraId="55F0B603" w14:textId="77777777" w:rsidR="00471266" w:rsidRDefault="005F6C38" w:rsidP="00973BF8">
      <w:r w:rsidRPr="00D77FDD">
        <w:t xml:space="preserve">The pivotal </w:t>
      </w:r>
      <w:r w:rsidR="00471266">
        <w:t>bioequivalence study</w:t>
      </w:r>
      <w:r w:rsidRPr="00D77FDD">
        <w:t xml:space="preserve"> demonstrated systemic bio</w:t>
      </w:r>
      <w:r>
        <w:t>e</w:t>
      </w:r>
      <w:r w:rsidRPr="00D77FDD">
        <w:t xml:space="preserve">quivalence </w:t>
      </w:r>
      <w:r w:rsidR="00FF2861">
        <w:t>using</w:t>
      </w:r>
      <w:r w:rsidR="00FF2861" w:rsidRPr="00D77FDD">
        <w:t xml:space="preserve"> </w:t>
      </w:r>
      <w:r w:rsidRPr="00D77FDD">
        <w:t>a 20</w:t>
      </w:r>
      <w:r w:rsidR="00471266" w:rsidRPr="00471266">
        <w:t xml:space="preserve"> </w:t>
      </w:r>
      <w:proofErr w:type="spellStart"/>
      <w:r w:rsidR="00471266">
        <w:t>μg</w:t>
      </w:r>
      <w:proofErr w:type="spellEnd"/>
      <w:r w:rsidRPr="00D77FDD">
        <w:t xml:space="preserve"> </w:t>
      </w:r>
      <w:r>
        <w:t xml:space="preserve">delivered </w:t>
      </w:r>
      <w:r w:rsidRPr="00D77FDD">
        <w:t>dose of tiotropium. This is likely to correlate with pulmonary delivery thus clinical efficacy and safety. Thus, extrapolation from the innovator in this regard is acceptable</w:t>
      </w:r>
      <w:r w:rsidR="00471266">
        <w:t>.</w:t>
      </w:r>
    </w:p>
    <w:p w14:paraId="0E836B4F" w14:textId="77777777" w:rsidR="00605AD4" w:rsidRPr="00605AD4" w:rsidRDefault="005F6C38" w:rsidP="00471266">
      <w:r w:rsidRPr="00D77FDD">
        <w:t>Tiotropium has a wide therapeutic index</w:t>
      </w:r>
      <w:r>
        <w:t xml:space="preserve"> and t</w:t>
      </w:r>
      <w:r w:rsidRPr="00D77FDD">
        <w:t>here is a single dose recommendation</w:t>
      </w:r>
      <w:r>
        <w:t xml:space="preserve"> for this product.</w:t>
      </w:r>
      <w:bookmarkStart w:id="70" w:name="_Toc247691524"/>
      <w:bookmarkStart w:id="71" w:name="_Toc314842508"/>
      <w:bookmarkStart w:id="72" w:name="_Toc196046504"/>
      <w:bookmarkStart w:id="73" w:name="_Toc163441390"/>
      <w:bookmarkEnd w:id="66"/>
      <w:bookmarkEnd w:id="67"/>
      <w:bookmarkEnd w:id="68"/>
      <w:bookmarkEnd w:id="69"/>
    </w:p>
    <w:p w14:paraId="62B868F3" w14:textId="053D7FD7" w:rsidR="00605AD4" w:rsidRPr="00605AD4" w:rsidRDefault="00605AD4" w:rsidP="00973BF8">
      <w:pPr>
        <w:pStyle w:val="Heading3"/>
        <w:rPr>
          <w:rFonts w:eastAsia="Cambria"/>
        </w:rPr>
      </w:pPr>
      <w:bookmarkStart w:id="74" w:name="_Toc16587420"/>
      <w:r w:rsidRPr="00605AD4">
        <w:rPr>
          <w:rFonts w:eastAsia="Cambria"/>
        </w:rPr>
        <w:t xml:space="preserve">First </w:t>
      </w:r>
      <w:r w:rsidR="00973BF8">
        <w:rPr>
          <w:rFonts w:eastAsia="Cambria"/>
        </w:rPr>
        <w:t>r</w:t>
      </w:r>
      <w:r w:rsidRPr="00605AD4">
        <w:rPr>
          <w:rFonts w:eastAsia="Cambria"/>
        </w:rPr>
        <w:t xml:space="preserve">ound </w:t>
      </w:r>
      <w:r w:rsidR="00973BF8">
        <w:rPr>
          <w:rFonts w:eastAsia="Cambria"/>
        </w:rPr>
        <w:t>r</w:t>
      </w:r>
      <w:r w:rsidRPr="00605AD4">
        <w:rPr>
          <w:rFonts w:eastAsia="Cambria"/>
        </w:rPr>
        <w:t xml:space="preserve">ecommendation </w:t>
      </w:r>
      <w:r w:rsidR="00973BF8">
        <w:rPr>
          <w:rFonts w:eastAsia="Cambria"/>
        </w:rPr>
        <w:t>r</w:t>
      </w:r>
      <w:r w:rsidRPr="00605AD4">
        <w:rPr>
          <w:rFonts w:eastAsia="Cambria"/>
        </w:rPr>
        <w:t xml:space="preserve">egarding </w:t>
      </w:r>
      <w:r w:rsidR="00973BF8" w:rsidRPr="00973BF8">
        <w:rPr>
          <w:rFonts w:eastAsia="Cambria"/>
        </w:rPr>
        <w:t>a</w:t>
      </w:r>
      <w:r w:rsidRPr="00973BF8">
        <w:rPr>
          <w:rFonts w:eastAsia="Cambria"/>
        </w:rPr>
        <w:t>uthorisation</w:t>
      </w:r>
      <w:bookmarkEnd w:id="74"/>
    </w:p>
    <w:p w14:paraId="579F1568" w14:textId="77777777" w:rsidR="005F6C38" w:rsidRPr="00D77FDD" w:rsidRDefault="005F6C38" w:rsidP="00471266">
      <w:r w:rsidRPr="00D77FDD">
        <w:t>Further information is required before this application would be considered satisfactory for approval</w:t>
      </w:r>
      <w:r w:rsidR="00471266">
        <w:t>:</w:t>
      </w:r>
    </w:p>
    <w:p w14:paraId="0D051C8A" w14:textId="77777777" w:rsidR="005F6C38" w:rsidRPr="00D77FDD" w:rsidRDefault="005F6C38" w:rsidP="00973BF8">
      <w:pPr>
        <w:pStyle w:val="Numberbullet0"/>
      </w:pPr>
      <w:r w:rsidRPr="00D77FDD">
        <w:t xml:space="preserve">Is there any potential difference in metabolism, stability or receptor binding of the </w:t>
      </w:r>
      <w:r w:rsidRPr="00973BF8">
        <w:t>monohydrate</w:t>
      </w:r>
      <w:r w:rsidRPr="00D77FDD">
        <w:t xml:space="preserve"> form of tiotropium bromide versus tiotropium bromide?</w:t>
      </w:r>
    </w:p>
    <w:p w14:paraId="182480E0" w14:textId="3402D6C4" w:rsidR="005F6C38" w:rsidRPr="00D77FDD" w:rsidRDefault="005F6C38" w:rsidP="00471266">
      <w:pPr>
        <w:pStyle w:val="Numberbullet0"/>
      </w:pPr>
      <w:r w:rsidRPr="00D77FDD">
        <w:t xml:space="preserve">Are the European and Australian reference product of acceptable comparability to accept the </w:t>
      </w:r>
      <w:r w:rsidR="00D70E7F">
        <w:t>bioequivalence</w:t>
      </w:r>
      <w:r w:rsidR="00D70E7F" w:rsidRPr="00D77FDD">
        <w:t xml:space="preserve"> </w:t>
      </w:r>
      <w:r w:rsidRPr="00D77FDD">
        <w:t>studies</w:t>
      </w:r>
      <w:r w:rsidR="00471266">
        <w:t>?</w:t>
      </w:r>
    </w:p>
    <w:p w14:paraId="4B70C154" w14:textId="77777777" w:rsidR="005F6C38" w:rsidRDefault="005F6C38" w:rsidP="00471266">
      <w:pPr>
        <w:pStyle w:val="Numberbullet0"/>
      </w:pPr>
      <w:r>
        <w:t>I</w:t>
      </w:r>
      <w:r w:rsidRPr="00D77FDD">
        <w:t>s the handling of both devices the same?</w:t>
      </w:r>
    </w:p>
    <w:p w14:paraId="3FB596F2" w14:textId="77777777" w:rsidR="005F6C38" w:rsidRPr="00D77FDD" w:rsidRDefault="005F6C38" w:rsidP="00471266">
      <w:pPr>
        <w:pStyle w:val="Numberbullet0"/>
      </w:pPr>
      <w:r w:rsidRPr="00D77FDD">
        <w:t>Will patients need education to handle the new device</w:t>
      </w:r>
      <w:r>
        <w:t>?</w:t>
      </w:r>
    </w:p>
    <w:p w14:paraId="346C9D2E" w14:textId="77777777" w:rsidR="005F6C38" w:rsidRPr="00D77FDD" w:rsidRDefault="005F6C38" w:rsidP="00973BF8">
      <w:pPr>
        <w:pStyle w:val="Numberbullet0"/>
      </w:pPr>
      <w:r>
        <w:t>W</w:t>
      </w:r>
      <w:r w:rsidRPr="00D77FDD">
        <w:t xml:space="preserve">hat are the potential clinical consequences </w:t>
      </w:r>
      <w:r>
        <w:t xml:space="preserve">related to </w:t>
      </w:r>
      <w:r w:rsidRPr="00D77FDD">
        <w:t>increased quan</w:t>
      </w:r>
      <w:r w:rsidR="00471266">
        <w:t xml:space="preserve">tity of lactose as </w:t>
      </w:r>
      <w:r w:rsidR="00471266" w:rsidRPr="00973BF8">
        <w:t>an</w:t>
      </w:r>
      <w:r w:rsidR="00471266">
        <w:t xml:space="preserve"> excipient?</w:t>
      </w:r>
    </w:p>
    <w:p w14:paraId="45D6AA54" w14:textId="77777777" w:rsidR="00605AD4" w:rsidRDefault="005F6C38" w:rsidP="004E2150">
      <w:r w:rsidRPr="00D77FDD">
        <w:t xml:space="preserve">Since drug delivery from </w:t>
      </w:r>
      <w:r w:rsidR="00471266">
        <w:t xml:space="preserve">a </w:t>
      </w:r>
      <w:r w:rsidR="00471266">
        <w:rPr>
          <w:rFonts w:asciiTheme="minorHAnsi" w:eastAsia="TimesNewRoman" w:hAnsiTheme="minorHAnsi" w:cs="TimesNewRoman"/>
        </w:rPr>
        <w:t xml:space="preserve">dry </w:t>
      </w:r>
      <w:r w:rsidR="00471266" w:rsidRPr="00471266">
        <w:rPr>
          <w:rFonts w:asciiTheme="minorHAnsi" w:eastAsia="TimesNewRoman" w:hAnsiTheme="minorHAnsi" w:cs="TimesNewRoman"/>
        </w:rPr>
        <w:t>powder inhaler</w:t>
      </w:r>
      <w:r w:rsidR="00471266" w:rsidRPr="00471266">
        <w:t xml:space="preserve"> (</w:t>
      </w:r>
      <w:r w:rsidRPr="00471266">
        <w:t>DPI</w:t>
      </w:r>
      <w:r w:rsidR="00471266" w:rsidRPr="00471266">
        <w:t>)</w:t>
      </w:r>
      <w:r w:rsidRPr="00471266">
        <w:t xml:space="preserve"> is largely dependent</w:t>
      </w:r>
      <w:r w:rsidRPr="00D77FDD">
        <w:t xml:space="preserve"> on flow rate that is required to activate the device, the flow rate characteristics in the targeted patient population in critical. The quality evaluation report on </w:t>
      </w:r>
      <w:r w:rsidRPr="00471266">
        <w:rPr>
          <w:i/>
        </w:rPr>
        <w:t>in</w:t>
      </w:r>
      <w:r w:rsidR="00471266" w:rsidRPr="00471266">
        <w:rPr>
          <w:i/>
        </w:rPr>
        <w:t xml:space="preserve"> </w:t>
      </w:r>
      <w:r w:rsidRPr="00471266">
        <w:rPr>
          <w:i/>
        </w:rPr>
        <w:t>vitro</w:t>
      </w:r>
      <w:r w:rsidRPr="00D77FDD">
        <w:t xml:space="preserve"> measures that assess flow characteristics in COPD patients will be examined to assess comparability in that a</w:t>
      </w:r>
      <w:r w:rsidR="00471266">
        <w:t>spect.</w:t>
      </w:r>
      <w:r w:rsidR="004B5819" w:rsidRPr="004B5819">
        <w:rPr>
          <w:vertAlign w:val="superscript"/>
        </w:rPr>
        <w:fldChar w:fldCharType="begin"/>
      </w:r>
      <w:r w:rsidR="004B5819" w:rsidRPr="004B5819">
        <w:rPr>
          <w:vertAlign w:val="superscript"/>
        </w:rPr>
        <w:instrText xml:space="preserve"> NOTEREF _Ref3367711 \h  \* MERGEFORMAT </w:instrText>
      </w:r>
      <w:r w:rsidR="004B5819" w:rsidRPr="004B5819">
        <w:rPr>
          <w:vertAlign w:val="superscript"/>
        </w:rPr>
      </w:r>
      <w:r w:rsidR="004B5819" w:rsidRPr="004B5819">
        <w:rPr>
          <w:vertAlign w:val="superscript"/>
        </w:rPr>
        <w:fldChar w:fldCharType="separate"/>
      </w:r>
      <w:r w:rsidR="00363802">
        <w:rPr>
          <w:vertAlign w:val="superscript"/>
        </w:rPr>
        <w:t>1</w:t>
      </w:r>
      <w:r w:rsidR="004B5819" w:rsidRPr="004B5819">
        <w:rPr>
          <w:vertAlign w:val="superscript"/>
        </w:rPr>
        <w:fldChar w:fldCharType="end"/>
      </w:r>
    </w:p>
    <w:p w14:paraId="57513055" w14:textId="1A8FB6FC" w:rsidR="002F5122" w:rsidRPr="00267E1F" w:rsidRDefault="002F5122" w:rsidP="004E2150">
      <w:pPr>
        <w:pStyle w:val="Heading3"/>
        <w:rPr>
          <w:rFonts w:eastAsia="Cambria"/>
        </w:rPr>
      </w:pPr>
      <w:bookmarkStart w:id="75" w:name="_Toc16587421"/>
      <w:r w:rsidRPr="004E2150">
        <w:t>Clinical</w:t>
      </w:r>
      <w:r w:rsidRPr="002F5122">
        <w:t xml:space="preserve"> </w:t>
      </w:r>
      <w:r w:rsidR="00973BF8">
        <w:t>q</w:t>
      </w:r>
      <w:r w:rsidRPr="002F5122">
        <w:t>uestions</w:t>
      </w:r>
      <w:r w:rsidR="00267E1F">
        <w:t xml:space="preserve"> and </w:t>
      </w:r>
      <w:r w:rsidR="00973BF8">
        <w:rPr>
          <w:rFonts w:eastAsia="Cambria"/>
        </w:rPr>
        <w:t>s</w:t>
      </w:r>
      <w:r w:rsidR="00267E1F" w:rsidRPr="00605AD4">
        <w:rPr>
          <w:rFonts w:eastAsia="Cambria"/>
        </w:rPr>
        <w:t xml:space="preserve">econd </w:t>
      </w:r>
      <w:r w:rsidR="00973BF8">
        <w:rPr>
          <w:rFonts w:eastAsia="Cambria"/>
        </w:rPr>
        <w:t>r</w:t>
      </w:r>
      <w:r w:rsidR="00267E1F" w:rsidRPr="00605AD4">
        <w:rPr>
          <w:rFonts w:eastAsia="Cambria"/>
        </w:rPr>
        <w:t xml:space="preserve">ound </w:t>
      </w:r>
      <w:r w:rsidR="00973BF8" w:rsidRPr="00973BF8">
        <w:rPr>
          <w:rFonts w:eastAsia="Cambria"/>
        </w:rPr>
        <w:t>e</w:t>
      </w:r>
      <w:r w:rsidR="00267E1F" w:rsidRPr="00973BF8">
        <w:rPr>
          <w:rFonts w:eastAsia="Cambria"/>
        </w:rPr>
        <w:t>valuation</w:t>
      </w:r>
      <w:bookmarkEnd w:id="75"/>
    </w:p>
    <w:p w14:paraId="60B80238" w14:textId="77777777" w:rsidR="005F6C38" w:rsidRPr="00602B61" w:rsidRDefault="005F6C38" w:rsidP="00973BF8">
      <w:pPr>
        <w:pStyle w:val="Heading4"/>
      </w:pPr>
      <w:r w:rsidRPr="00973BF8">
        <w:t>Pharmacokinetics</w:t>
      </w:r>
    </w:p>
    <w:p w14:paraId="0E3A1A47" w14:textId="77777777" w:rsidR="005F6C38" w:rsidRPr="000D0887" w:rsidRDefault="005F6C38" w:rsidP="000D0887">
      <w:pPr>
        <w:pStyle w:val="Numberbullet0"/>
        <w:numPr>
          <w:ilvl w:val="0"/>
          <w:numId w:val="40"/>
        </w:numPr>
        <w:rPr>
          <w:b/>
          <w:i/>
        </w:rPr>
      </w:pPr>
      <w:r w:rsidRPr="000D0887">
        <w:rPr>
          <w:b/>
          <w:i/>
        </w:rPr>
        <w:t xml:space="preserve">Please clarify the rationale for using two reference groups with the same dose in the pivotal </w:t>
      </w:r>
      <w:r w:rsidR="004B5819">
        <w:rPr>
          <w:b/>
          <w:i/>
        </w:rPr>
        <w:t>Stud</w:t>
      </w:r>
      <w:r w:rsidRPr="000D0887">
        <w:rPr>
          <w:b/>
          <w:i/>
        </w:rPr>
        <w:t>y CLL 13002.</w:t>
      </w:r>
    </w:p>
    <w:p w14:paraId="660ED9E7" w14:textId="77777777" w:rsidR="000D0887" w:rsidRPr="000D0887" w:rsidRDefault="000D0887" w:rsidP="004E2150">
      <w:pPr>
        <w:pStyle w:val="Heading5"/>
      </w:pPr>
      <w:r w:rsidRPr="000D0887">
        <w:t>Sponsor’s response</w:t>
      </w:r>
    </w:p>
    <w:p w14:paraId="62CA5107" w14:textId="77777777" w:rsidR="005F6C38" w:rsidRDefault="005F6C38" w:rsidP="004E2150">
      <w:r>
        <w:t>Two reference groups were included as a partially replicated study d</w:t>
      </w:r>
      <w:r w:rsidR="000D0887">
        <w:t>esign was adopted for S</w:t>
      </w:r>
      <w:r>
        <w:t>tudy CLL13002 that facilitates estimation of intra-subject variability.</w:t>
      </w:r>
      <w:r w:rsidR="000D0887">
        <w:t xml:space="preserve"> </w:t>
      </w:r>
      <w:r>
        <w:t xml:space="preserve">Intra subject variability was 22.40% for </w:t>
      </w:r>
      <w:proofErr w:type="spellStart"/>
      <w:r w:rsidR="0028670C" w:rsidRPr="00794740">
        <w:t>C</w:t>
      </w:r>
      <w:r w:rsidR="0028670C" w:rsidRPr="0028670C">
        <w:rPr>
          <w:vertAlign w:val="subscript"/>
        </w:rPr>
        <w:t>max</w:t>
      </w:r>
      <w:proofErr w:type="spellEnd"/>
      <w:r>
        <w:t xml:space="preserve"> and 11.92% for AUC</w:t>
      </w:r>
      <w:r w:rsidRPr="000D0887">
        <w:rPr>
          <w:vertAlign w:val="subscript"/>
        </w:rPr>
        <w:t>0-t</w:t>
      </w:r>
      <w:r>
        <w:t xml:space="preserve">. Extent of variability in those results does not affect the bioequivalence limits established for this product which </w:t>
      </w:r>
      <w:r w:rsidR="000D0887">
        <w:t>was the accepted range of 80.00 to</w:t>
      </w:r>
      <w:r>
        <w:t>125.00%.</w:t>
      </w:r>
    </w:p>
    <w:p w14:paraId="069358C8" w14:textId="77777777" w:rsidR="000D0887" w:rsidRDefault="005F6C38" w:rsidP="004E2150">
      <w:pPr>
        <w:pStyle w:val="Heading5"/>
      </w:pPr>
      <w:r w:rsidRPr="000D0887">
        <w:t>Evaluator’s comment</w:t>
      </w:r>
    </w:p>
    <w:p w14:paraId="5DC19EF6" w14:textId="77777777" w:rsidR="00471266" w:rsidRDefault="005F6C38" w:rsidP="004E2150">
      <w:r>
        <w:t xml:space="preserve">Partial replicated study design with repeating reference product and scaling the </w:t>
      </w:r>
      <w:r w:rsidR="000D0887">
        <w:t>bioequivalence</w:t>
      </w:r>
      <w:r>
        <w:t xml:space="preserve"> for reference variability is an accepted methodo</w:t>
      </w:r>
      <w:r w:rsidR="000D0887">
        <w:t xml:space="preserve">logy for drugs with high within </w:t>
      </w:r>
      <w:r>
        <w:t xml:space="preserve">subject variability. Orally inhaled products are known to have higher inherent </w:t>
      </w:r>
      <w:r>
        <w:lastRenderedPageBreak/>
        <w:t>intra-subject variability. Sponsor’s response is adeq</w:t>
      </w:r>
      <w:r w:rsidR="00267E1F">
        <w:t>uate and is in accordance with g</w:t>
      </w:r>
      <w:r>
        <w:t>uideline on the investigation of bioequivalence</w:t>
      </w:r>
      <w:r w:rsidR="00BC281D">
        <w:t>.</w:t>
      </w:r>
      <w:bookmarkStart w:id="76" w:name="_Ref2772077"/>
      <w:r w:rsidR="00BC281D">
        <w:rPr>
          <w:rStyle w:val="FootnoteReference"/>
        </w:rPr>
        <w:footnoteReference w:id="6"/>
      </w:r>
      <w:bookmarkEnd w:id="76"/>
      <w:r>
        <w:t xml:space="preserve"> The intra-subject variability is less than 30% and hence the accepted CI range is suited for this study</w:t>
      </w:r>
      <w:r w:rsidR="00471266">
        <w:t>.</w:t>
      </w:r>
    </w:p>
    <w:p w14:paraId="67FC26F2" w14:textId="6BF5FBC3" w:rsidR="005F6C38" w:rsidRPr="000D0887" w:rsidRDefault="005F6C38" w:rsidP="000D0887">
      <w:pPr>
        <w:pStyle w:val="Numberbullet0"/>
        <w:rPr>
          <w:b/>
          <w:i/>
        </w:rPr>
      </w:pPr>
      <w:r w:rsidRPr="000D0887">
        <w:rPr>
          <w:b/>
          <w:i/>
        </w:rPr>
        <w:t xml:space="preserve">The delivered dose is 10 mcg (same as </w:t>
      </w:r>
      <w:r w:rsidR="0028670C" w:rsidRPr="000D0887">
        <w:rPr>
          <w:b/>
          <w:i/>
        </w:rPr>
        <w:t>Spiriva</w:t>
      </w:r>
      <w:r w:rsidRPr="000D0887">
        <w:rPr>
          <w:b/>
          <w:i/>
        </w:rPr>
        <w:t xml:space="preserve">), in spite of the lower dose (13 </w:t>
      </w:r>
      <w:proofErr w:type="spellStart"/>
      <w:r w:rsidR="00653E0C">
        <w:rPr>
          <w:b/>
          <w:i/>
        </w:rPr>
        <w:t>μg</w:t>
      </w:r>
      <w:proofErr w:type="spellEnd"/>
      <w:r w:rsidR="00653E0C">
        <w:rPr>
          <w:b/>
          <w:i/>
        </w:rPr>
        <w:t xml:space="preserve"> </w:t>
      </w:r>
      <w:r w:rsidRPr="000D0887">
        <w:rPr>
          <w:b/>
          <w:i/>
        </w:rPr>
        <w:t>v</w:t>
      </w:r>
      <w:r w:rsidR="00653E0C">
        <w:rPr>
          <w:b/>
          <w:i/>
        </w:rPr>
        <w:t>ersu</w:t>
      </w:r>
      <w:r w:rsidRPr="000D0887">
        <w:rPr>
          <w:b/>
          <w:i/>
        </w:rPr>
        <w:t xml:space="preserve">s 18 </w:t>
      </w:r>
      <w:proofErr w:type="spellStart"/>
      <w:r w:rsidR="00653E0C">
        <w:rPr>
          <w:b/>
          <w:i/>
        </w:rPr>
        <w:t>μ</w:t>
      </w:r>
      <w:r w:rsidRPr="000D0887">
        <w:rPr>
          <w:b/>
          <w:i/>
        </w:rPr>
        <w:t>g</w:t>
      </w:r>
      <w:proofErr w:type="spellEnd"/>
      <w:r w:rsidRPr="000D0887">
        <w:rPr>
          <w:b/>
          <w:i/>
        </w:rPr>
        <w:t xml:space="preserve">) in </w:t>
      </w:r>
      <w:proofErr w:type="spellStart"/>
      <w:r w:rsidRPr="000D0887">
        <w:rPr>
          <w:b/>
          <w:i/>
        </w:rPr>
        <w:t>Braltus</w:t>
      </w:r>
      <w:proofErr w:type="spellEnd"/>
      <w:r w:rsidRPr="000D0887">
        <w:rPr>
          <w:b/>
          <w:i/>
        </w:rPr>
        <w:t xml:space="preserve"> capsule. Please clarify how this is achieved?</w:t>
      </w:r>
    </w:p>
    <w:p w14:paraId="4F6EFB1D" w14:textId="77777777" w:rsidR="000D0887" w:rsidRPr="000D0887" w:rsidRDefault="005F6C38" w:rsidP="004E2150">
      <w:pPr>
        <w:pStyle w:val="Heading5"/>
      </w:pPr>
      <w:r w:rsidRPr="000D0887">
        <w:t>Sponsor’s response</w:t>
      </w:r>
    </w:p>
    <w:p w14:paraId="6FA46245" w14:textId="114FEB8B" w:rsidR="005F6C38" w:rsidRDefault="00CD09D9" w:rsidP="004E2150">
      <w:r>
        <w:t>[Information redacted]</w:t>
      </w:r>
      <w:r w:rsidR="005F6C38">
        <w:t xml:space="preserve">. The sponsor claims that the difference in formulation of </w:t>
      </w:r>
      <w:proofErr w:type="spellStart"/>
      <w:r w:rsidR="005F6C38">
        <w:t>Braltus</w:t>
      </w:r>
      <w:proofErr w:type="spellEnd"/>
      <w:r w:rsidR="005F6C38">
        <w:t xml:space="preserve"> enables improved aerodynamic characteristics and thus greater efficiency. This is the reason for the same delivered dose achieved from </w:t>
      </w:r>
      <w:proofErr w:type="spellStart"/>
      <w:r w:rsidR="005F6C38">
        <w:t>Braltus</w:t>
      </w:r>
      <w:proofErr w:type="spellEnd"/>
      <w:r w:rsidR="005F6C38">
        <w:t xml:space="preserve"> for a lower quantity of tiotropium (13</w:t>
      </w:r>
      <w:r w:rsidR="000D0887" w:rsidRPr="000D0887">
        <w:t xml:space="preserve"> </w:t>
      </w:r>
      <w:proofErr w:type="spellStart"/>
      <w:r w:rsidR="000D0887">
        <w:t>μg</w:t>
      </w:r>
      <w:proofErr w:type="spellEnd"/>
      <w:r w:rsidR="005F6C38">
        <w:t xml:space="preserve">), compared to </w:t>
      </w:r>
      <w:r w:rsidR="0028670C">
        <w:t>Spiriva</w:t>
      </w:r>
      <w:r w:rsidR="005F6C38">
        <w:t xml:space="preserve"> (18</w:t>
      </w:r>
      <w:r w:rsidR="000D0887" w:rsidRPr="000D0887">
        <w:t xml:space="preserve"> </w:t>
      </w:r>
      <w:proofErr w:type="spellStart"/>
      <w:r w:rsidR="000D0887">
        <w:t>μg</w:t>
      </w:r>
      <w:proofErr w:type="spellEnd"/>
      <w:r w:rsidR="005F6C38">
        <w:t>).</w:t>
      </w:r>
    </w:p>
    <w:p w14:paraId="105AF000" w14:textId="77777777" w:rsidR="000D0887" w:rsidRPr="000D0887" w:rsidRDefault="005F6C38" w:rsidP="004E2150">
      <w:pPr>
        <w:pStyle w:val="Heading5"/>
      </w:pPr>
      <w:r w:rsidRPr="000D0887">
        <w:t>Evaluator’s comment</w:t>
      </w:r>
    </w:p>
    <w:p w14:paraId="0BB5D817" w14:textId="77777777" w:rsidR="005F6C38" w:rsidRDefault="005F6C38" w:rsidP="000D0887">
      <w:r>
        <w:t xml:space="preserve">The sponsor’s response is adequate. From a clinical perspective, the pivotal clinical study demonstrated comparable bioavailability and bioequivalence. No efficacy data was submitted. Considering the short </w:t>
      </w:r>
      <w:proofErr w:type="spellStart"/>
      <w:r w:rsidR="0028670C" w:rsidRPr="00794740">
        <w:t>t</w:t>
      </w:r>
      <w:r w:rsidR="0028670C" w:rsidRPr="0028670C">
        <w:rPr>
          <w:vertAlign w:val="subscript"/>
        </w:rPr>
        <w:t>max</w:t>
      </w:r>
      <w:proofErr w:type="spellEnd"/>
      <w:r>
        <w:t xml:space="preserve"> and high </w:t>
      </w:r>
      <w:proofErr w:type="spellStart"/>
      <w:r w:rsidR="0028670C" w:rsidRPr="00794740">
        <w:t>C</w:t>
      </w:r>
      <w:r w:rsidR="0028670C" w:rsidRPr="0028670C">
        <w:rPr>
          <w:vertAlign w:val="subscript"/>
        </w:rPr>
        <w:t>max</w:t>
      </w:r>
      <w:proofErr w:type="spellEnd"/>
      <w:r>
        <w:t xml:space="preserve">, the </w:t>
      </w:r>
      <w:r w:rsidR="000D0887">
        <w:t xml:space="preserve">bioequivalence </w:t>
      </w:r>
      <w:r>
        <w:t>data are considered as surrogate measures of lung disposition/efficacy of tiotropium.</w:t>
      </w:r>
    </w:p>
    <w:p w14:paraId="5A2FA4A6" w14:textId="77777777" w:rsidR="005F6C38" w:rsidRDefault="005F6C38" w:rsidP="004E2150">
      <w:pPr>
        <w:pStyle w:val="Heading4"/>
      </w:pPr>
      <w:r w:rsidRPr="004E2150">
        <w:t>Efficacy</w:t>
      </w:r>
    </w:p>
    <w:p w14:paraId="70CC5A48" w14:textId="77777777" w:rsidR="005F6C38" w:rsidRPr="000D0887" w:rsidRDefault="005F6C38" w:rsidP="005F6C38">
      <w:pPr>
        <w:pStyle w:val="Numberbullet0"/>
        <w:numPr>
          <w:ilvl w:val="0"/>
          <w:numId w:val="25"/>
        </w:numPr>
        <w:rPr>
          <w:b/>
          <w:i/>
        </w:rPr>
      </w:pPr>
      <w:r w:rsidRPr="000D0887">
        <w:rPr>
          <w:b/>
          <w:i/>
        </w:rPr>
        <w:t>Please describe any impact that the extra quantity of lactose may have on efficacy and safety.</w:t>
      </w:r>
    </w:p>
    <w:p w14:paraId="6AB05E29" w14:textId="77777777" w:rsidR="000D0887" w:rsidRPr="000D0887" w:rsidRDefault="005F6C38" w:rsidP="004E2150">
      <w:pPr>
        <w:pStyle w:val="Heading5"/>
      </w:pPr>
      <w:r w:rsidRPr="000D0887">
        <w:t>Sponsor’s response</w:t>
      </w:r>
    </w:p>
    <w:p w14:paraId="0B193B37" w14:textId="77777777" w:rsidR="005F6C38" w:rsidRDefault="005F6C38" w:rsidP="004E2150">
      <w:r>
        <w:t xml:space="preserve">The extra quantity of lactose in the tiotropium formulation is not considered to have an impact over safety. With the once daily administration, the maximum daily lactose exposition would be 17.74 mg, compared to 5.5 mg from </w:t>
      </w:r>
      <w:r w:rsidR="0028670C">
        <w:t>Spiriva</w:t>
      </w:r>
      <w:r>
        <w:t>.</w:t>
      </w:r>
    </w:p>
    <w:p w14:paraId="62016B2B" w14:textId="420BF968" w:rsidR="00471266" w:rsidRDefault="005F6C38" w:rsidP="004E2150">
      <w:r>
        <w:t xml:space="preserve">The sponsor has listed few inhalers that are approved in EU for the treatment of asthma and COPD that contain greater quantity of lactose/dose, when compared to </w:t>
      </w:r>
      <w:proofErr w:type="spellStart"/>
      <w:r>
        <w:t>Braltus</w:t>
      </w:r>
      <w:proofErr w:type="spellEnd"/>
      <w:r>
        <w:t xml:space="preserve">. These are </w:t>
      </w:r>
      <w:proofErr w:type="spellStart"/>
      <w:r>
        <w:t>Foradil</w:t>
      </w:r>
      <w:proofErr w:type="spellEnd"/>
      <w:r>
        <w:t xml:space="preserve"> 12</w:t>
      </w:r>
      <w:r w:rsidR="000D0887" w:rsidRPr="000D0887">
        <w:t xml:space="preserve"> </w:t>
      </w:r>
      <w:proofErr w:type="spellStart"/>
      <w:r w:rsidR="000D0887">
        <w:t>μg</w:t>
      </w:r>
      <w:proofErr w:type="spellEnd"/>
      <w:r>
        <w:t xml:space="preserve"> (formoterol fumarate dehydrate as </w:t>
      </w:r>
      <w:r w:rsidR="00267E1F">
        <w:t>active pharmaceutical ingredient (API)</w:t>
      </w:r>
      <w:r>
        <w:t xml:space="preserve">) with 25 mg lactose/capsule. </w:t>
      </w:r>
      <w:proofErr w:type="spellStart"/>
      <w:r>
        <w:t>Foradil</w:t>
      </w:r>
      <w:proofErr w:type="spellEnd"/>
      <w:r>
        <w:t xml:space="preserve"> is administrated twice daily, thus the daily exposure is 50 mg of lactose. </w:t>
      </w:r>
      <w:proofErr w:type="spellStart"/>
      <w:proofErr w:type="gramStart"/>
      <w:r>
        <w:t>Onbrez</w:t>
      </w:r>
      <w:proofErr w:type="spellEnd"/>
      <w:r>
        <w:t xml:space="preserve"> </w:t>
      </w:r>
      <w:proofErr w:type="spellStart"/>
      <w:r>
        <w:t>breezehaler</w:t>
      </w:r>
      <w:proofErr w:type="spellEnd"/>
      <w:r>
        <w:t xml:space="preserve"> 150 </w:t>
      </w:r>
      <w:proofErr w:type="spellStart"/>
      <w:r w:rsidR="000D0887">
        <w:t>μg</w:t>
      </w:r>
      <w:proofErr w:type="spellEnd"/>
      <w:r>
        <w:t xml:space="preserve"> (</w:t>
      </w:r>
      <w:proofErr w:type="spellStart"/>
      <w:r>
        <w:t>indacaterol</w:t>
      </w:r>
      <w:proofErr w:type="spellEnd"/>
      <w:r>
        <w:t xml:space="preserve"> as </w:t>
      </w:r>
      <w:r w:rsidR="00267E1F">
        <w:t>API</w:t>
      </w:r>
      <w:r>
        <w:t xml:space="preserve"> contains 24.8</w:t>
      </w:r>
      <w:r w:rsidR="00885F40">
        <w:t> </w:t>
      </w:r>
      <w:r>
        <w:t>mg of lactose/capsule, with a daily exposure of 49.6 mg of lactose.</w:t>
      </w:r>
      <w:proofErr w:type="gramEnd"/>
      <w:r>
        <w:t xml:space="preserve"> </w:t>
      </w:r>
      <w:proofErr w:type="spellStart"/>
      <w:r>
        <w:t>Onbrez</w:t>
      </w:r>
      <w:proofErr w:type="spellEnd"/>
      <w:r>
        <w:t xml:space="preserve"> is approved by TGA for the indication of treatment of COPD</w:t>
      </w:r>
      <w:r w:rsidR="00471266">
        <w:t>.</w:t>
      </w:r>
    </w:p>
    <w:p w14:paraId="6B7947AE" w14:textId="77777777" w:rsidR="005F6C38" w:rsidRDefault="005F6C38" w:rsidP="000D0887">
      <w:r>
        <w:t>The bioequivalence demonstrated in the study in terms of the rate and extent of absorption suggests that the excess amount of lactose has not interfered with lung disposition and thus efficacy. The adverse events reported from the BE study was in line with known safety profile of tiotropium.</w:t>
      </w:r>
    </w:p>
    <w:p w14:paraId="26BFD01B" w14:textId="77777777" w:rsidR="000D0887" w:rsidRPr="000D0887" w:rsidRDefault="005F6C38" w:rsidP="004E2150">
      <w:pPr>
        <w:pStyle w:val="Heading5"/>
      </w:pPr>
      <w:r w:rsidRPr="000D0887">
        <w:t>Evaluator’s comments</w:t>
      </w:r>
    </w:p>
    <w:p w14:paraId="279F52E2" w14:textId="77777777" w:rsidR="005F6C38" w:rsidRDefault="005F6C38" w:rsidP="004E2150">
      <w:r>
        <w:t xml:space="preserve">The sponsor’s response is adequate. Lactose, as an excipient has been used in many other TGA approved DPIs used for similar indications. Based on the surrogate measures from BE study, the quantitative difference between the test and reference products does not appear to affect drug delivery and efficacy. No evidence of increased bronchial irritability and/or paradoxical bronchospasm was noted in subjects in </w:t>
      </w:r>
      <w:proofErr w:type="spellStart"/>
      <w:r>
        <w:t>Braltus</w:t>
      </w:r>
      <w:proofErr w:type="spellEnd"/>
      <w:r>
        <w:t xml:space="preserve"> group, compared to </w:t>
      </w:r>
      <w:r w:rsidR="0028670C">
        <w:t>Spiriva</w:t>
      </w:r>
      <w:r>
        <w:t xml:space="preserve"> group. Hence, from a clinical perspective, it does not appear to be an issue. PI and </w:t>
      </w:r>
      <w:r w:rsidR="00267E1F">
        <w:t>consumer medicine information (</w:t>
      </w:r>
      <w:r>
        <w:t>CMI</w:t>
      </w:r>
      <w:r w:rsidR="00267E1F">
        <w:t>)</w:t>
      </w:r>
      <w:r>
        <w:t xml:space="preserve"> contain statements that clearly state the presence of lactose in the product.</w:t>
      </w:r>
    </w:p>
    <w:p w14:paraId="263B6EFC" w14:textId="77777777" w:rsidR="005F6C38" w:rsidRDefault="005F6C38" w:rsidP="000D0887">
      <w:r>
        <w:lastRenderedPageBreak/>
        <w:t xml:space="preserve">The sponsor has also provided a vegetarian option for capsules. The proprietary ingredient name is </w:t>
      </w:r>
      <w:proofErr w:type="spellStart"/>
      <w:r>
        <w:t>Vcaps</w:t>
      </w:r>
      <w:proofErr w:type="spellEnd"/>
      <w:r>
        <w:t>, Proprietary Ingredient ID 10127.</w:t>
      </w:r>
      <w:r w:rsidR="00267E1F">
        <w:t xml:space="preserve"> </w:t>
      </w:r>
      <w:proofErr w:type="spellStart"/>
      <w:r>
        <w:t>Vcaps</w:t>
      </w:r>
      <w:proofErr w:type="spellEnd"/>
      <w:r>
        <w:t xml:space="preserve"> are a new alternative to animal gelatine capsules. They are composed of inert vegetable cellulose. </w:t>
      </w:r>
      <w:r w:rsidR="000C19E5">
        <w:t>The quality</w:t>
      </w:r>
      <w:r w:rsidRPr="00080063">
        <w:t xml:space="preserve"> </w:t>
      </w:r>
      <w:r w:rsidR="00267E1F">
        <w:t>evaluators’</w:t>
      </w:r>
      <w:r w:rsidRPr="00080063">
        <w:t xml:space="preserve"> comments need to be referred for comparability of drug delivery between </w:t>
      </w:r>
      <w:proofErr w:type="spellStart"/>
      <w:r w:rsidRPr="00080063">
        <w:t>Vcaps</w:t>
      </w:r>
      <w:proofErr w:type="spellEnd"/>
      <w:r w:rsidRPr="00080063">
        <w:t xml:space="preserve"> and </w:t>
      </w:r>
      <w:proofErr w:type="spellStart"/>
      <w:r w:rsidRPr="00080063">
        <w:t>Braltus</w:t>
      </w:r>
      <w:proofErr w:type="spellEnd"/>
      <w:r w:rsidRPr="00080063">
        <w:t xml:space="preserve"> capsules.</w:t>
      </w:r>
    </w:p>
    <w:p w14:paraId="511D8CF1" w14:textId="77777777" w:rsidR="005F6C38" w:rsidRPr="000C19E5" w:rsidRDefault="005F6C38" w:rsidP="005F6C38">
      <w:pPr>
        <w:pStyle w:val="Numberbullet0"/>
        <w:numPr>
          <w:ilvl w:val="0"/>
          <w:numId w:val="25"/>
        </w:numPr>
        <w:rPr>
          <w:b/>
          <w:i/>
        </w:rPr>
      </w:pPr>
      <w:r w:rsidRPr="000C19E5">
        <w:rPr>
          <w:b/>
          <w:i/>
        </w:rPr>
        <w:t>Please describe the impact of different salt of tiotropium on efficacy and safety.</w:t>
      </w:r>
    </w:p>
    <w:p w14:paraId="75B4D9C1" w14:textId="77777777" w:rsidR="000C19E5" w:rsidRPr="000C19E5" w:rsidRDefault="005F6C38" w:rsidP="004E2150">
      <w:pPr>
        <w:pStyle w:val="Heading5"/>
      </w:pPr>
      <w:r w:rsidRPr="000C19E5">
        <w:t>Sponsor’s response</w:t>
      </w:r>
    </w:p>
    <w:p w14:paraId="1A300B99" w14:textId="6F891035" w:rsidR="006136D7" w:rsidRDefault="00CD09D9" w:rsidP="004E2150">
      <w:r>
        <w:t>Tiotropium bromide methanol solvate is used in the manufacture of tiotropium dry powder inhaler. During manufacture it is transformed to tiotropium bromide</w:t>
      </w:r>
      <w:r w:rsidRPr="00CD09D9">
        <w:t xml:space="preserve"> </w:t>
      </w:r>
      <w:r>
        <w:t>Therefore, tiotropium bromide is the API in the finished product which will reach the receptor in the bronchial smooth muscle.</w:t>
      </w:r>
      <w:r w:rsidRPr="00CD09D9">
        <w:t xml:space="preserve"> </w:t>
      </w:r>
      <w:r>
        <w:t>Similarly, tiotropium salt in the reference product is in the monohydrate form and the active drug that is delivered to the lung is tiotropium.</w:t>
      </w:r>
      <w:r w:rsidR="0071672C">
        <w:t xml:space="preserve"> Absolute solubility of tiotropium spray dried matrix (test) and tiotropium bromide monohydrate (reference) assessed by </w:t>
      </w:r>
      <w:r w:rsidR="0071672C" w:rsidRPr="000C19E5">
        <w:rPr>
          <w:i/>
        </w:rPr>
        <w:t>in vitro tests</w:t>
      </w:r>
      <w:r w:rsidR="0071672C">
        <w:t xml:space="preserve"> were comparable.</w:t>
      </w:r>
    </w:p>
    <w:p w14:paraId="40399FE9" w14:textId="77777777" w:rsidR="00471266" w:rsidRDefault="005F6C38" w:rsidP="000C19E5">
      <w:r>
        <w:t>The dissolution profiles (extent and rate) across formulations were performed in a media that simulated lung fluid.</w:t>
      </w:r>
      <w:r w:rsidR="000D0887">
        <w:t xml:space="preserve"> </w:t>
      </w:r>
      <w:r w:rsidR="000C19E5">
        <w:t>Phosphate buffered s</w:t>
      </w:r>
      <w:r>
        <w:t>aline at pH7.4 was chosen as the media.</w:t>
      </w:r>
      <w:r w:rsidR="000D0887">
        <w:t xml:space="preserve"> </w:t>
      </w:r>
      <w:r>
        <w:t xml:space="preserve">Both the test and reference drugs were dissolved in this media until </w:t>
      </w:r>
      <w:r w:rsidR="000C19E5">
        <w:t>saturation was achieved (approximately 25 to</w:t>
      </w:r>
      <w:r>
        <w:t xml:space="preserve"> 30 mins)</w:t>
      </w:r>
      <w:r w:rsidR="00471266">
        <w:t>.</w:t>
      </w:r>
    </w:p>
    <w:p w14:paraId="7DB87160" w14:textId="77777777" w:rsidR="005F6C38" w:rsidRDefault="005F6C38" w:rsidP="004E2150">
      <w:pPr>
        <w:pStyle w:val="FigureTitle"/>
      </w:pPr>
      <w:bookmarkStart w:id="77" w:name="_Toc517954966"/>
      <w:r>
        <w:t xml:space="preserve">Figure </w:t>
      </w:r>
      <w:r w:rsidR="00534EEB">
        <w:t>3</w:t>
      </w:r>
      <w:r>
        <w:t>: Comparison of mean dissolutio</w:t>
      </w:r>
      <w:r w:rsidR="00534EEB">
        <w:t>n profile of fine particles of t</w:t>
      </w:r>
      <w:r>
        <w:t xml:space="preserve">iotropium </w:t>
      </w:r>
      <w:r w:rsidRPr="004E2150">
        <w:t>between</w:t>
      </w:r>
      <w:r>
        <w:t xml:space="preserve"> </w:t>
      </w:r>
      <w:proofErr w:type="spellStart"/>
      <w:r>
        <w:t>Braltus</w:t>
      </w:r>
      <w:proofErr w:type="spellEnd"/>
      <w:r>
        <w:t xml:space="preserve"> and </w:t>
      </w:r>
      <w:r w:rsidR="0028670C">
        <w:t>Spiriva</w:t>
      </w:r>
      <w:r>
        <w:t xml:space="preserve"> (as% dissolved of the fine fraction)</w:t>
      </w:r>
      <w:bookmarkEnd w:id="77"/>
    </w:p>
    <w:p w14:paraId="27E277DF" w14:textId="77777777" w:rsidR="005F6C38" w:rsidRDefault="005F6C38" w:rsidP="004E2150">
      <w:r>
        <w:rPr>
          <w:noProof/>
          <w:lang w:eastAsia="en-AU"/>
        </w:rPr>
        <w:drawing>
          <wp:inline distT="0" distB="0" distL="0" distR="0" wp14:anchorId="600C950C" wp14:editId="5DBEC89F">
            <wp:extent cx="5400040" cy="3030867"/>
            <wp:effectExtent l="0" t="0" r="0" b="0"/>
            <wp:docPr id="3" name="Picture 3" descr="Figure 3: Comparison of mean dissolution profile of fine particles of tiotropium between Braltus and Spiriva (as% dissolved of the fine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030867"/>
                    </a:xfrm>
                    <a:prstGeom prst="rect">
                      <a:avLst/>
                    </a:prstGeom>
                    <a:noFill/>
                    <a:ln>
                      <a:noFill/>
                    </a:ln>
                  </pic:spPr>
                </pic:pic>
              </a:graphicData>
            </a:graphic>
          </wp:inline>
        </w:drawing>
      </w:r>
    </w:p>
    <w:p w14:paraId="361D7390" w14:textId="77777777" w:rsidR="000C19E5" w:rsidRDefault="00267E1F" w:rsidP="004E2150">
      <w:pPr>
        <w:pStyle w:val="Heading5"/>
      </w:pPr>
      <w:r>
        <w:t>Evaluator’s comment</w:t>
      </w:r>
    </w:p>
    <w:p w14:paraId="22E73514" w14:textId="77777777" w:rsidR="005F6C38" w:rsidRDefault="005F6C38" w:rsidP="004E2150">
      <w:r>
        <w:t xml:space="preserve">Overall, the rate of dissolution of API in PBS appears comparable. The </w:t>
      </w:r>
      <w:r w:rsidR="000C19E5">
        <w:t xml:space="preserve">quality </w:t>
      </w:r>
      <w:r w:rsidR="00BC281D">
        <w:t>evaluator’s</w:t>
      </w:r>
      <w:r>
        <w:t xml:space="preserve"> report needs to be referred for final comments.</w:t>
      </w:r>
    </w:p>
    <w:p w14:paraId="1AEC0AF9" w14:textId="77777777" w:rsidR="005F6C38" w:rsidRPr="000C19E5" w:rsidRDefault="005F6C38" w:rsidP="00267E1F">
      <w:pPr>
        <w:pStyle w:val="Numberbullet0"/>
        <w:keepNext/>
        <w:numPr>
          <w:ilvl w:val="0"/>
          <w:numId w:val="25"/>
        </w:numPr>
        <w:rPr>
          <w:b/>
          <w:i/>
        </w:rPr>
      </w:pPr>
      <w:r w:rsidRPr="000C19E5">
        <w:rPr>
          <w:b/>
          <w:i/>
        </w:rPr>
        <w:t xml:space="preserve">Comparability of Australian </w:t>
      </w:r>
      <w:r w:rsidR="000C19E5" w:rsidRPr="000C19E5">
        <w:rPr>
          <w:b/>
          <w:i/>
        </w:rPr>
        <w:t>and European reference products.</w:t>
      </w:r>
    </w:p>
    <w:p w14:paraId="6C6DA99A" w14:textId="77777777" w:rsidR="005F6C38" w:rsidRDefault="005F6C38" w:rsidP="004E2150">
      <w:pPr>
        <w:pStyle w:val="FigureTitle"/>
      </w:pPr>
      <w:bookmarkStart w:id="78" w:name="_Toc517954967"/>
      <w:r>
        <w:t xml:space="preserve">Figure </w:t>
      </w:r>
      <w:r w:rsidR="00534EEB">
        <w:t>4</w:t>
      </w:r>
      <w:r>
        <w:t xml:space="preserve">: </w:t>
      </w:r>
      <w:r w:rsidRPr="004E2150">
        <w:t>Device</w:t>
      </w:r>
      <w:r>
        <w:t xml:space="preserve"> comparison across reference products (</w:t>
      </w:r>
      <w:proofErr w:type="spellStart"/>
      <w:r>
        <w:t>Handihaler</w:t>
      </w:r>
      <w:proofErr w:type="spellEnd"/>
      <w:r>
        <w:t>) and test product (</w:t>
      </w:r>
      <w:proofErr w:type="spellStart"/>
      <w:r>
        <w:t>Zonda</w:t>
      </w:r>
      <w:proofErr w:type="spellEnd"/>
      <w:r>
        <w:t xml:space="preserve"> inhaler)</w:t>
      </w:r>
      <w:bookmarkEnd w:id="78"/>
    </w:p>
    <w:p w14:paraId="46106D29" w14:textId="60C0D5A2" w:rsidR="005F6C38" w:rsidRDefault="0071672C" w:rsidP="004E2150">
      <w:r w:rsidRPr="0073721C">
        <w:t>[</w:t>
      </w:r>
      <w:r w:rsidR="0090374F" w:rsidRPr="0073721C">
        <w:t>Information</w:t>
      </w:r>
      <w:r w:rsidRPr="0073721C">
        <w:t xml:space="preserve"> redacted</w:t>
      </w:r>
      <w:r w:rsidRPr="0005260A">
        <w:t>]</w:t>
      </w:r>
    </w:p>
    <w:p w14:paraId="7F388D3D" w14:textId="77777777" w:rsidR="000C19E5" w:rsidRPr="000C19E5" w:rsidRDefault="000C19E5" w:rsidP="004E2150">
      <w:pPr>
        <w:pStyle w:val="Heading5"/>
      </w:pPr>
      <w:r w:rsidRPr="000C19E5">
        <w:t>Evaluator’s comment</w:t>
      </w:r>
      <w:r w:rsidR="00267E1F">
        <w:t>:</w:t>
      </w:r>
    </w:p>
    <w:p w14:paraId="378F6B13" w14:textId="60D08044" w:rsidR="00471266" w:rsidRDefault="005F6C38" w:rsidP="004E2150">
      <w:r>
        <w:t xml:space="preserve">From a clinical perspective, the </w:t>
      </w:r>
      <w:r w:rsidR="0090374F">
        <w:t>similarity between devices is</w:t>
      </w:r>
      <w:r>
        <w:t xml:space="preserve"> expected to be comparable for patients during transition from </w:t>
      </w:r>
      <w:proofErr w:type="spellStart"/>
      <w:r>
        <w:t>Braltus</w:t>
      </w:r>
      <w:proofErr w:type="spellEnd"/>
      <w:r>
        <w:t xml:space="preserve"> to </w:t>
      </w:r>
      <w:r w:rsidR="0028670C">
        <w:t>Spiriva</w:t>
      </w:r>
      <w:r>
        <w:t xml:space="preserve"> or vice versa</w:t>
      </w:r>
      <w:r w:rsidR="00471266">
        <w:t>.</w:t>
      </w:r>
    </w:p>
    <w:p w14:paraId="140B92F1" w14:textId="77777777" w:rsidR="005F6C38" w:rsidRPr="00F330AF" w:rsidRDefault="005F6C38" w:rsidP="000C19E5">
      <w:r>
        <w:lastRenderedPageBreak/>
        <w:t xml:space="preserve">The sponsor has performed </w:t>
      </w:r>
      <w:r w:rsidRPr="0073721C">
        <w:rPr>
          <w:i/>
        </w:rPr>
        <w:t>in</w:t>
      </w:r>
      <w:r w:rsidR="000C19E5" w:rsidRPr="0073721C">
        <w:rPr>
          <w:i/>
        </w:rPr>
        <w:t xml:space="preserve"> </w:t>
      </w:r>
      <w:r w:rsidRPr="0073721C">
        <w:rPr>
          <w:i/>
        </w:rPr>
        <w:t>vitro</w:t>
      </w:r>
      <w:r>
        <w:t xml:space="preserve"> studies to compare physical characteristics between EU and Australian reference products. </w:t>
      </w:r>
      <w:r w:rsidR="000C19E5">
        <w:t xml:space="preserve">The quality </w:t>
      </w:r>
      <w:r w:rsidR="00BC281D">
        <w:t>evaluator’s</w:t>
      </w:r>
      <w:r>
        <w:t xml:space="preserve"> </w:t>
      </w:r>
      <w:r w:rsidR="00BC281D">
        <w:t>concluded that these were acceptable</w:t>
      </w:r>
      <w:r w:rsidR="000C19E5">
        <w:t>.</w:t>
      </w:r>
    </w:p>
    <w:p w14:paraId="1B10F5A1" w14:textId="77777777" w:rsidR="005F6C38" w:rsidRPr="0054632B" w:rsidRDefault="005F6C38" w:rsidP="004E2150">
      <w:pPr>
        <w:pStyle w:val="Heading4"/>
      </w:pPr>
      <w:r w:rsidRPr="0054632B">
        <w:t>PI and CMI</w:t>
      </w:r>
    </w:p>
    <w:p w14:paraId="74ABDF4D" w14:textId="77777777" w:rsidR="005F6C38" w:rsidRPr="000C19E5" w:rsidRDefault="005F6C38" w:rsidP="005F6C38">
      <w:pPr>
        <w:pStyle w:val="Numberbullet0"/>
        <w:numPr>
          <w:ilvl w:val="0"/>
          <w:numId w:val="25"/>
        </w:numPr>
        <w:rPr>
          <w:b/>
          <w:i/>
        </w:rPr>
      </w:pPr>
      <w:r w:rsidRPr="000C19E5">
        <w:rPr>
          <w:b/>
          <w:i/>
        </w:rPr>
        <w:t xml:space="preserve">In spite of the same delivered dose, the lower dose in capsule (13 </w:t>
      </w:r>
      <w:proofErr w:type="spellStart"/>
      <w:r w:rsidR="000C19E5" w:rsidRPr="000C19E5">
        <w:rPr>
          <w:b/>
          <w:i/>
        </w:rPr>
        <w:t>μg</w:t>
      </w:r>
      <w:proofErr w:type="spellEnd"/>
      <w:r w:rsidRPr="000C19E5">
        <w:rPr>
          <w:b/>
          <w:i/>
        </w:rPr>
        <w:t xml:space="preserve">) of </w:t>
      </w:r>
      <w:proofErr w:type="spellStart"/>
      <w:r w:rsidRPr="000C19E5">
        <w:rPr>
          <w:b/>
          <w:i/>
        </w:rPr>
        <w:t>Braltus</w:t>
      </w:r>
      <w:proofErr w:type="spellEnd"/>
      <w:r w:rsidRPr="000C19E5">
        <w:rPr>
          <w:b/>
          <w:i/>
        </w:rPr>
        <w:t xml:space="preserve">, compared to 18 </w:t>
      </w:r>
      <w:proofErr w:type="spellStart"/>
      <w:r w:rsidR="000C19E5" w:rsidRPr="000C19E5">
        <w:rPr>
          <w:b/>
          <w:i/>
        </w:rPr>
        <w:t>μg</w:t>
      </w:r>
      <w:proofErr w:type="spellEnd"/>
      <w:r w:rsidRPr="000C19E5">
        <w:rPr>
          <w:b/>
          <w:i/>
        </w:rPr>
        <w:t xml:space="preserve"> in </w:t>
      </w:r>
      <w:r w:rsidR="0028670C" w:rsidRPr="000C19E5">
        <w:rPr>
          <w:b/>
          <w:i/>
        </w:rPr>
        <w:t>Spiriva</w:t>
      </w:r>
      <w:r w:rsidRPr="000C19E5">
        <w:rPr>
          <w:b/>
          <w:i/>
        </w:rPr>
        <w:t xml:space="preserve"> raises the potential for medication errors (over dosage), when attempting to achieve the same dose. Please comment on risk mitigation strategies adopted in PI, CMI and label to address the difference in tiotropium dose in capsules in </w:t>
      </w:r>
      <w:proofErr w:type="spellStart"/>
      <w:r w:rsidRPr="000C19E5">
        <w:rPr>
          <w:b/>
          <w:i/>
        </w:rPr>
        <w:t>Braltus</w:t>
      </w:r>
      <w:proofErr w:type="spellEnd"/>
      <w:r w:rsidRPr="000C19E5">
        <w:rPr>
          <w:b/>
          <w:i/>
        </w:rPr>
        <w:t xml:space="preserve">, compared to </w:t>
      </w:r>
      <w:r w:rsidR="0028670C" w:rsidRPr="000C19E5">
        <w:rPr>
          <w:b/>
          <w:i/>
        </w:rPr>
        <w:t>Spiriva</w:t>
      </w:r>
      <w:r w:rsidRPr="000C19E5">
        <w:rPr>
          <w:b/>
          <w:i/>
        </w:rPr>
        <w:t>.</w:t>
      </w:r>
    </w:p>
    <w:p w14:paraId="00A2878F" w14:textId="77777777" w:rsidR="000C19E5" w:rsidRPr="00885F40" w:rsidRDefault="000C19E5" w:rsidP="004E2150">
      <w:pPr>
        <w:pStyle w:val="Heading5"/>
      </w:pPr>
      <w:r w:rsidRPr="0073721C">
        <w:t>Spon</w:t>
      </w:r>
      <w:r w:rsidRPr="004E2150">
        <w:rPr>
          <w:rFonts w:eastAsia="Cambria"/>
        </w:rPr>
        <w:t>s</w:t>
      </w:r>
      <w:r w:rsidRPr="0073721C">
        <w:t>or’s response</w:t>
      </w:r>
    </w:p>
    <w:p w14:paraId="763732B7" w14:textId="77777777" w:rsidR="005F6C38" w:rsidRDefault="005F6C38" w:rsidP="004E2150">
      <w:r>
        <w:t xml:space="preserve">The dosage and administration section of PI has instructions to </w:t>
      </w:r>
      <w:r w:rsidRPr="000C19E5">
        <w:t>take one capsule once daily, rather than based on active drug content and/or delivered dose. Outer packaging and the container label also contains instructions to take one capsule as the recommended dose. The sponsor also states that the summary of bioequivalence study</w:t>
      </w:r>
      <w:r>
        <w:t xml:space="preserve"> in the PI will be referenced, in case of any further queries. The sponsor has mentioned that the proposed educational material for </w:t>
      </w:r>
      <w:r w:rsidR="000C19E5">
        <w:t>health care providers (</w:t>
      </w:r>
      <w:r>
        <w:t>HCPs</w:t>
      </w:r>
      <w:r w:rsidR="000C19E5">
        <w:t>)</w:t>
      </w:r>
      <w:r>
        <w:t xml:space="preserve"> will be aimed at providing information related to the </w:t>
      </w:r>
      <w:r w:rsidR="000C19E5">
        <w:t>bioequivalence</w:t>
      </w:r>
      <w:r>
        <w:t xml:space="preserve"> between </w:t>
      </w:r>
      <w:proofErr w:type="spellStart"/>
      <w:r>
        <w:t>Braltus</w:t>
      </w:r>
      <w:proofErr w:type="spellEnd"/>
      <w:r>
        <w:t xml:space="preserve"> and </w:t>
      </w:r>
      <w:r w:rsidR="0028670C">
        <w:t>Spiriva</w:t>
      </w:r>
      <w:r>
        <w:t xml:space="preserve">; in spite of the difference in the quantity of API. The sponsor has also mentioned their willingness to provide information about </w:t>
      </w:r>
      <w:r w:rsidR="000C19E5">
        <w:t>bioequivalence</w:t>
      </w:r>
      <w:r>
        <w:t xml:space="preserve"> study in the CMI. The evaluator considers that this will be beyond the scope of CMI document.</w:t>
      </w:r>
    </w:p>
    <w:p w14:paraId="3EA19868" w14:textId="77777777" w:rsidR="000C19E5" w:rsidRPr="000C19E5" w:rsidRDefault="005F6C38" w:rsidP="004E2150">
      <w:pPr>
        <w:pStyle w:val="Heading5"/>
      </w:pPr>
      <w:r w:rsidRPr="000C19E5">
        <w:t>Evaluator’s comment</w:t>
      </w:r>
    </w:p>
    <w:p w14:paraId="5860B1CF" w14:textId="77777777" w:rsidR="005F6C38" w:rsidRPr="00605AD4" w:rsidRDefault="005F6C38" w:rsidP="006136D7">
      <w:r>
        <w:t xml:space="preserve">The indication expressed as </w:t>
      </w:r>
      <w:r w:rsidR="00B850D9">
        <w:t>‘</w:t>
      </w:r>
      <w:r>
        <w:t>one capsule once daily</w:t>
      </w:r>
      <w:r w:rsidR="00B850D9">
        <w:t>’</w:t>
      </w:r>
      <w:r>
        <w:t xml:space="preserve"> instead of the quantity of API will clarify that the recommended dosages are identical between</w:t>
      </w:r>
      <w:r w:rsidRPr="004E2150">
        <w:t xml:space="preserve"> </w:t>
      </w:r>
      <w:proofErr w:type="spellStart"/>
      <w:r>
        <w:t>Braltus</w:t>
      </w:r>
      <w:proofErr w:type="spellEnd"/>
      <w:r>
        <w:t xml:space="preserve"> and </w:t>
      </w:r>
      <w:r w:rsidR="0028670C">
        <w:t>Spiriva</w:t>
      </w:r>
      <w:r>
        <w:t xml:space="preserve">. However, the actual quantity of API will still be displayed on the carton and label and hence there is a potential for dosage errors. As recommended in </w:t>
      </w:r>
      <w:r w:rsidR="000C19E5">
        <w:t>the first round</w:t>
      </w:r>
      <w:r>
        <w:t xml:space="preserve">, the evaluator considers the inclusion of a statement in CMI as necessary: </w:t>
      </w:r>
      <w:proofErr w:type="spellStart"/>
      <w:r w:rsidRPr="005543C3">
        <w:rPr>
          <w:i/>
        </w:rPr>
        <w:t>Braltus</w:t>
      </w:r>
      <w:proofErr w:type="spellEnd"/>
      <w:r w:rsidRPr="005543C3">
        <w:rPr>
          <w:i/>
        </w:rPr>
        <w:t xml:space="preserve"> is equivalent to </w:t>
      </w:r>
      <w:r w:rsidR="0028670C">
        <w:rPr>
          <w:i/>
        </w:rPr>
        <w:t>Spiriva</w:t>
      </w:r>
      <w:r w:rsidRPr="005543C3">
        <w:rPr>
          <w:i/>
        </w:rPr>
        <w:t>, with the same dosage of one capsule to be taken once daily. Do not take these drugs together.</w:t>
      </w:r>
    </w:p>
    <w:p w14:paraId="10923ED9" w14:textId="01E3F93E" w:rsidR="00605AD4" w:rsidRPr="00605AD4" w:rsidRDefault="00605AD4" w:rsidP="004E2150">
      <w:pPr>
        <w:pStyle w:val="Heading3"/>
        <w:rPr>
          <w:rFonts w:eastAsia="Cambria"/>
        </w:rPr>
      </w:pPr>
      <w:bookmarkStart w:id="79" w:name="_Toc16587422"/>
      <w:r w:rsidRPr="00605AD4">
        <w:rPr>
          <w:rFonts w:eastAsia="Cambria"/>
        </w:rPr>
        <w:t xml:space="preserve">Second </w:t>
      </w:r>
      <w:r w:rsidR="004E2150">
        <w:rPr>
          <w:rFonts w:eastAsia="Cambria"/>
        </w:rPr>
        <w:t>r</w:t>
      </w:r>
      <w:r w:rsidRPr="00605AD4">
        <w:rPr>
          <w:rFonts w:eastAsia="Cambria"/>
        </w:rPr>
        <w:t xml:space="preserve">ound </w:t>
      </w:r>
      <w:r w:rsidR="004E2150">
        <w:rPr>
          <w:rFonts w:eastAsia="Cambria"/>
        </w:rPr>
        <w:t>b</w:t>
      </w:r>
      <w:r w:rsidRPr="00605AD4">
        <w:rPr>
          <w:rFonts w:eastAsia="Cambria"/>
        </w:rPr>
        <w:t>enefit-</w:t>
      </w:r>
      <w:r w:rsidR="004E2150">
        <w:rPr>
          <w:rFonts w:eastAsia="Cambria"/>
        </w:rPr>
        <w:t>r</w:t>
      </w:r>
      <w:r w:rsidRPr="00605AD4">
        <w:rPr>
          <w:rFonts w:eastAsia="Cambria"/>
        </w:rPr>
        <w:t xml:space="preserve">isk </w:t>
      </w:r>
      <w:r w:rsidR="004E2150" w:rsidRPr="004E2150">
        <w:rPr>
          <w:rFonts w:eastAsia="Cambria"/>
        </w:rPr>
        <w:t>a</w:t>
      </w:r>
      <w:r w:rsidRPr="004E2150">
        <w:rPr>
          <w:rFonts w:eastAsia="Cambria"/>
        </w:rPr>
        <w:t>ssessment</w:t>
      </w:r>
      <w:bookmarkEnd w:id="79"/>
    </w:p>
    <w:p w14:paraId="5581CCD8" w14:textId="77777777" w:rsidR="005F6C38" w:rsidRDefault="005F6C38" w:rsidP="004E2150">
      <w:pPr>
        <w:pStyle w:val="ListBullet"/>
      </w:pPr>
      <w:r>
        <w:t xml:space="preserve">From a clinical perspective, the sponsor has adequately justified the difference in </w:t>
      </w:r>
      <w:r w:rsidRPr="004E2150">
        <w:t>excipients</w:t>
      </w:r>
      <w:r>
        <w:t xml:space="preserve"> and it does not seem to be having an impact on bio-equivalence between test and reference products</w:t>
      </w:r>
      <w:r w:rsidR="00BC281D">
        <w:t>.</w:t>
      </w:r>
      <w:r w:rsidR="00BC281D" w:rsidRPr="009B4BE7">
        <w:rPr>
          <w:vertAlign w:val="superscript"/>
        </w:rPr>
        <w:fldChar w:fldCharType="begin"/>
      </w:r>
      <w:r w:rsidR="00BC281D" w:rsidRPr="009B4BE7">
        <w:rPr>
          <w:vertAlign w:val="superscript"/>
        </w:rPr>
        <w:instrText xml:space="preserve"> NOTEREF _Ref2772077 \h </w:instrText>
      </w:r>
      <w:r w:rsidR="00BC281D">
        <w:rPr>
          <w:vertAlign w:val="superscript"/>
        </w:rPr>
        <w:instrText xml:space="preserve"> \* MERGEFORMAT </w:instrText>
      </w:r>
      <w:r w:rsidR="00BC281D" w:rsidRPr="009B4BE7">
        <w:rPr>
          <w:vertAlign w:val="superscript"/>
        </w:rPr>
      </w:r>
      <w:r w:rsidR="00BC281D" w:rsidRPr="009B4BE7">
        <w:rPr>
          <w:vertAlign w:val="superscript"/>
        </w:rPr>
        <w:fldChar w:fldCharType="separate"/>
      </w:r>
      <w:r w:rsidR="00363802">
        <w:rPr>
          <w:vertAlign w:val="superscript"/>
        </w:rPr>
        <w:t>6</w:t>
      </w:r>
      <w:r w:rsidR="00BC281D" w:rsidRPr="009B4BE7">
        <w:rPr>
          <w:vertAlign w:val="superscript"/>
        </w:rPr>
        <w:fldChar w:fldCharType="end"/>
      </w:r>
      <w:r>
        <w:t xml:space="preserve"> </w:t>
      </w:r>
      <w:r w:rsidR="000C19E5">
        <w:t>The quality evaluator’s</w:t>
      </w:r>
      <w:r>
        <w:t xml:space="preserve"> comments needs to be referred for comparability of physiochemical properties between test and reference products in order to determine the therapeutic equivalence between </w:t>
      </w:r>
      <w:r w:rsidR="0028670C">
        <w:t>Spiriva</w:t>
      </w:r>
      <w:r>
        <w:t xml:space="preserve"> and </w:t>
      </w:r>
      <w:proofErr w:type="spellStart"/>
      <w:r>
        <w:t>Braltus</w:t>
      </w:r>
      <w:proofErr w:type="spellEnd"/>
      <w:r>
        <w:t>.</w:t>
      </w:r>
    </w:p>
    <w:p w14:paraId="6F9C5547" w14:textId="77777777" w:rsidR="00471266" w:rsidRDefault="005F6C38" w:rsidP="002060AD">
      <w:pPr>
        <w:pStyle w:val="ListBullet"/>
      </w:pPr>
      <w:r>
        <w:t xml:space="preserve">The comparability of physical appearance of </w:t>
      </w:r>
      <w:r w:rsidR="0028670C">
        <w:t>Spiriva</w:t>
      </w:r>
      <w:r>
        <w:t xml:space="preserve"> and </w:t>
      </w:r>
      <w:proofErr w:type="spellStart"/>
      <w:r>
        <w:t>Braltus</w:t>
      </w:r>
      <w:proofErr w:type="spellEnd"/>
      <w:r>
        <w:t xml:space="preserve"> devices indicate that it is unlikely to have difficulty with handling for patients, when switching from one device to the other. However</w:t>
      </w:r>
      <w:r w:rsidR="000C19E5">
        <w:t>,</w:t>
      </w:r>
      <w:r w:rsidR="000C19E5" w:rsidRPr="000C19E5">
        <w:t xml:space="preserve"> </w:t>
      </w:r>
      <w:r w:rsidR="000C19E5">
        <w:t>the quality evaluator’s comments</w:t>
      </w:r>
      <w:r>
        <w:t xml:space="preserve"> related to comparability of critical dimensions and flow characteristics between devices need to be referred for final impression</w:t>
      </w:r>
      <w:r w:rsidR="00471266">
        <w:t>.</w:t>
      </w:r>
    </w:p>
    <w:p w14:paraId="5B808AB0" w14:textId="77777777" w:rsidR="00471266" w:rsidRDefault="005F6C38" w:rsidP="002060AD">
      <w:pPr>
        <w:pStyle w:val="ListBullet"/>
      </w:pPr>
      <w:r>
        <w:t>The increased quantity of lactose does not appear to have significant clinical consequences related to API delivery and/or patient safety</w:t>
      </w:r>
      <w:r w:rsidR="00471266">
        <w:t>.</w:t>
      </w:r>
    </w:p>
    <w:p w14:paraId="6D55728D" w14:textId="77777777" w:rsidR="00471266" w:rsidRDefault="005F6C38" w:rsidP="004E2150">
      <w:pPr>
        <w:rPr>
          <w:lang w:eastAsia="ja-JP"/>
        </w:rPr>
      </w:pPr>
      <w:r>
        <w:rPr>
          <w:lang w:eastAsia="ja-JP"/>
        </w:rPr>
        <w:t>At this point in time, based on the clinical data in th</w:t>
      </w:r>
      <w:r w:rsidR="002865E8">
        <w:rPr>
          <w:lang w:eastAsia="ja-JP"/>
        </w:rPr>
        <w:t>is submission, the evaluator has</w:t>
      </w:r>
      <w:r>
        <w:rPr>
          <w:lang w:eastAsia="ja-JP"/>
        </w:rPr>
        <w:t xml:space="preserve"> no major objections for recommendation of </w:t>
      </w:r>
      <w:proofErr w:type="spellStart"/>
      <w:r>
        <w:rPr>
          <w:lang w:eastAsia="ja-JP"/>
        </w:rPr>
        <w:t>Braltus</w:t>
      </w:r>
      <w:proofErr w:type="spellEnd"/>
      <w:r>
        <w:rPr>
          <w:lang w:eastAsia="ja-JP"/>
        </w:rPr>
        <w:t xml:space="preserve"> DPI for authorisation</w:t>
      </w:r>
      <w:r w:rsidR="00471266">
        <w:rPr>
          <w:lang w:eastAsia="ja-JP"/>
        </w:rPr>
        <w:t>.</w:t>
      </w:r>
    </w:p>
    <w:p w14:paraId="02188BA7" w14:textId="77777777" w:rsidR="008E7846" w:rsidRPr="00E41208" w:rsidRDefault="008E7846" w:rsidP="004E2150">
      <w:pPr>
        <w:pStyle w:val="Heading2"/>
      </w:pPr>
      <w:bookmarkStart w:id="80" w:name="_Toc16587423"/>
      <w:r w:rsidRPr="00E41208">
        <w:lastRenderedPageBreak/>
        <w:t>V</w:t>
      </w:r>
      <w:r w:rsidR="00500337">
        <w:t>I</w:t>
      </w:r>
      <w:r w:rsidRPr="00E41208">
        <w:t xml:space="preserve">. </w:t>
      </w:r>
      <w:r w:rsidRPr="004E2150">
        <w:t>Pharmacovigilance</w:t>
      </w:r>
      <w:r w:rsidRPr="00E41208">
        <w:t xml:space="preserve"> </w:t>
      </w:r>
      <w:r>
        <w:t>f</w:t>
      </w:r>
      <w:r w:rsidRPr="00E41208">
        <w:t>indings</w:t>
      </w:r>
      <w:bookmarkEnd w:id="70"/>
      <w:bookmarkEnd w:id="71"/>
      <w:bookmarkEnd w:id="80"/>
    </w:p>
    <w:p w14:paraId="02B24609" w14:textId="77777777" w:rsidR="008E7846" w:rsidRDefault="00386150" w:rsidP="004E2150">
      <w:pPr>
        <w:pStyle w:val="Heading3"/>
        <w:rPr>
          <w:lang w:eastAsia="en-AU"/>
        </w:rPr>
      </w:pPr>
      <w:bookmarkStart w:id="81" w:name="_Toc247691526"/>
      <w:bookmarkStart w:id="82" w:name="_Toc314842509"/>
      <w:bookmarkStart w:id="83" w:name="_Toc16587424"/>
      <w:r>
        <w:rPr>
          <w:lang w:eastAsia="en-AU"/>
        </w:rPr>
        <w:t xml:space="preserve">Risk </w:t>
      </w:r>
      <w:r w:rsidRPr="004E2150">
        <w:t>m</w:t>
      </w:r>
      <w:r w:rsidR="008E7846" w:rsidRPr="004E2150">
        <w:t>anagement</w:t>
      </w:r>
      <w:r w:rsidR="008E7846">
        <w:rPr>
          <w:lang w:eastAsia="en-AU"/>
        </w:rPr>
        <w:t xml:space="preserve"> </w:t>
      </w:r>
      <w:r>
        <w:rPr>
          <w:lang w:eastAsia="en-AU"/>
        </w:rPr>
        <w:t>p</w:t>
      </w:r>
      <w:r w:rsidR="008E7846">
        <w:rPr>
          <w:lang w:eastAsia="en-AU"/>
        </w:rPr>
        <w:t>lan</w:t>
      </w:r>
      <w:bookmarkEnd w:id="81"/>
      <w:bookmarkEnd w:id="82"/>
      <w:bookmarkEnd w:id="83"/>
    </w:p>
    <w:p w14:paraId="0C357BE0" w14:textId="77777777" w:rsidR="00AD060C" w:rsidRPr="00AD060C" w:rsidRDefault="00AD060C" w:rsidP="004E2150">
      <w:bookmarkStart w:id="84" w:name="_Toc247691527"/>
      <w:bookmarkStart w:id="85" w:name="_Toc314842510"/>
      <w:r w:rsidRPr="00AD060C">
        <w:t xml:space="preserve">The </w:t>
      </w:r>
      <w:r w:rsidR="000C19E5">
        <w:t>Risk Management Plan (RMP) evaluation</w:t>
      </w:r>
      <w:r w:rsidRPr="00AD060C">
        <w:t xml:space="preserve"> section provided advice that an RMP evaluation was not required for this generic submission. Consequently, no RMP has been submitted for evaluation.</w:t>
      </w:r>
      <w:r w:rsidR="00BC281D">
        <w:t xml:space="preserve"> However, the RMP team was consulted to review the labelling and health care professional communication during the evaluation.</w:t>
      </w:r>
    </w:p>
    <w:p w14:paraId="7ADDF81D" w14:textId="77777777" w:rsidR="00AD060C" w:rsidRPr="00AD060C" w:rsidRDefault="00BC281D" w:rsidP="000C19E5">
      <w:r>
        <w:t>T</w:t>
      </w:r>
      <w:r w:rsidR="00AD060C" w:rsidRPr="00AD060C">
        <w:t xml:space="preserve">he sponsor provided a copy of the draft direct healthcare professional communication (DHPC). The DHPC is proposed by the sponsor to mitigate the risk of medication errors between </w:t>
      </w:r>
      <w:r w:rsidR="0028670C">
        <w:t>Spiriva</w:t>
      </w:r>
      <w:r w:rsidR="00AD060C" w:rsidRPr="00AD060C">
        <w:t xml:space="preserve"> (reference product)</w:t>
      </w:r>
      <w:r w:rsidR="002865E8">
        <w:t xml:space="preserve"> and </w:t>
      </w:r>
      <w:proofErr w:type="spellStart"/>
      <w:r w:rsidR="002865E8">
        <w:t>Braltus</w:t>
      </w:r>
      <w:proofErr w:type="spellEnd"/>
      <w:r w:rsidR="002865E8">
        <w:t xml:space="preserve"> (generic product).</w:t>
      </w:r>
    </w:p>
    <w:p w14:paraId="30846E82" w14:textId="77777777" w:rsidR="00AD060C" w:rsidRPr="00AD060C" w:rsidRDefault="00AD060C" w:rsidP="000C19E5">
      <w:r w:rsidRPr="00AD060C">
        <w:t xml:space="preserve">As requested, the focus of </w:t>
      </w:r>
      <w:r w:rsidR="00BC281D" w:rsidRPr="00AD060C">
        <w:t>th</w:t>
      </w:r>
      <w:r w:rsidR="00BC281D">
        <w:t>e RMP</w:t>
      </w:r>
      <w:r w:rsidR="00BC281D" w:rsidRPr="00AD060C">
        <w:t xml:space="preserve"> </w:t>
      </w:r>
      <w:r w:rsidRPr="00AD060C">
        <w:t xml:space="preserve">review </w:t>
      </w:r>
      <w:r w:rsidR="00BC281D">
        <w:t>wa</w:t>
      </w:r>
      <w:r w:rsidRPr="00AD060C">
        <w:t xml:space="preserve">s on the adequacy of the proposed DHPC and package insert, </w:t>
      </w:r>
      <w:r w:rsidR="00BC281D">
        <w:t xml:space="preserve">with the </w:t>
      </w:r>
      <w:r w:rsidR="002865E8">
        <w:t>understanding</w:t>
      </w:r>
      <w:r w:rsidR="00BC281D">
        <w:t xml:space="preserve"> that the</w:t>
      </w:r>
      <w:r w:rsidR="00BC281D" w:rsidRPr="00AD060C">
        <w:t xml:space="preserve"> </w:t>
      </w:r>
      <w:r w:rsidRPr="00AD060C">
        <w:t xml:space="preserve">product that is </w:t>
      </w:r>
      <w:r w:rsidR="00D76962">
        <w:t>considered to be therapeutically equivalent</w:t>
      </w:r>
      <w:r w:rsidRPr="00AD060C">
        <w:t xml:space="preserve"> to the reference product.</w:t>
      </w:r>
    </w:p>
    <w:p w14:paraId="6390504F" w14:textId="77777777" w:rsidR="00456765" w:rsidRDefault="00AD060C" w:rsidP="004E2150">
      <w:pPr>
        <w:pStyle w:val="Heading4"/>
        <w:rPr>
          <w:lang w:eastAsia="en-AU"/>
        </w:rPr>
      </w:pPr>
      <w:r w:rsidRPr="004E2150">
        <w:t>Recommendations</w:t>
      </w:r>
    </w:p>
    <w:p w14:paraId="3265D3CC" w14:textId="77777777" w:rsidR="00AD060C" w:rsidRPr="00AD060C" w:rsidRDefault="00AD060C" w:rsidP="004E2150">
      <w:pPr>
        <w:pStyle w:val="Heading5"/>
        <w:rPr>
          <w:lang w:eastAsia="en-AU"/>
        </w:rPr>
      </w:pPr>
      <w:r w:rsidRPr="004E2150">
        <w:t>Recommendation</w:t>
      </w:r>
      <w:r>
        <w:rPr>
          <w:lang w:eastAsia="en-AU"/>
        </w:rPr>
        <w:t xml:space="preserve"> 1</w:t>
      </w:r>
    </w:p>
    <w:p w14:paraId="077AFE92" w14:textId="77777777" w:rsidR="00AD060C" w:rsidRPr="00AD060C" w:rsidRDefault="00AD060C" w:rsidP="004E2150">
      <w:r w:rsidRPr="00AD060C">
        <w:t xml:space="preserve">The sponsor has advised in the PI that </w:t>
      </w:r>
      <w:proofErr w:type="spellStart"/>
      <w:r w:rsidRPr="00AD060C">
        <w:t>Braltus</w:t>
      </w:r>
      <w:proofErr w:type="spellEnd"/>
      <w:r w:rsidRPr="00AD060C">
        <w:t xml:space="preserve"> and </w:t>
      </w:r>
      <w:r w:rsidR="0028670C">
        <w:t>Spiriva</w:t>
      </w:r>
      <w:r w:rsidRPr="00AD060C">
        <w:t xml:space="preserve"> are bioequivalent. This bioequivalence is established between the use of </w:t>
      </w:r>
      <w:proofErr w:type="spellStart"/>
      <w:r w:rsidRPr="00AD060C">
        <w:t>Braltus</w:t>
      </w:r>
      <w:proofErr w:type="spellEnd"/>
      <w:r w:rsidRPr="00AD060C">
        <w:t xml:space="preserve"> with </w:t>
      </w:r>
      <w:proofErr w:type="spellStart"/>
      <w:r w:rsidRPr="00AD060C">
        <w:t>Zonda</w:t>
      </w:r>
      <w:proofErr w:type="spellEnd"/>
      <w:r w:rsidRPr="00AD060C">
        <w:t xml:space="preserve"> device and the use of </w:t>
      </w:r>
      <w:r w:rsidR="0028670C">
        <w:t>Spiriva</w:t>
      </w:r>
      <w:r w:rsidRPr="00AD060C">
        <w:t xml:space="preserve"> with </w:t>
      </w:r>
      <w:proofErr w:type="spellStart"/>
      <w:r w:rsidRPr="00AD060C">
        <w:t>Handihaler</w:t>
      </w:r>
      <w:proofErr w:type="spellEnd"/>
      <w:r w:rsidRPr="00AD060C">
        <w:t xml:space="preserve"> device. </w:t>
      </w:r>
      <w:r w:rsidR="00D76962">
        <w:t>T</w:t>
      </w:r>
      <w:r w:rsidRPr="00AD060C">
        <w:t xml:space="preserve">he suggested inhalation techniques </w:t>
      </w:r>
      <w:r w:rsidR="00D76962">
        <w:t>we</w:t>
      </w:r>
      <w:r w:rsidR="00D76962" w:rsidRPr="00AD060C">
        <w:t xml:space="preserve">re </w:t>
      </w:r>
      <w:r w:rsidRPr="00AD060C">
        <w:t>similar for both products</w:t>
      </w:r>
      <w:r w:rsidR="00D76962">
        <w:t>.</w:t>
      </w:r>
      <w:r w:rsidRPr="00AD060C">
        <w:t xml:space="preserve"> </w:t>
      </w:r>
      <w:r w:rsidR="00D76962">
        <w:t xml:space="preserve">However </w:t>
      </w:r>
      <w:r w:rsidRPr="00AD060C">
        <w:t xml:space="preserve">there </w:t>
      </w:r>
      <w:r w:rsidR="00D76962">
        <w:t>were</w:t>
      </w:r>
      <w:r w:rsidR="00D76962" w:rsidRPr="00AD060C">
        <w:t xml:space="preserve"> </w:t>
      </w:r>
      <w:r w:rsidR="00D76962">
        <w:t>some</w:t>
      </w:r>
      <w:r w:rsidR="00D76962" w:rsidRPr="00AD060C">
        <w:t xml:space="preserve"> </w:t>
      </w:r>
      <w:r w:rsidRPr="00AD060C">
        <w:t xml:space="preserve">differences between </w:t>
      </w:r>
      <w:proofErr w:type="spellStart"/>
      <w:r w:rsidRPr="00AD060C">
        <w:t>Zond</w:t>
      </w:r>
      <w:r w:rsidR="000C19E5">
        <w:t>a</w:t>
      </w:r>
      <w:proofErr w:type="spellEnd"/>
      <w:r w:rsidR="000C19E5">
        <w:t xml:space="preserve"> device and </w:t>
      </w:r>
      <w:proofErr w:type="spellStart"/>
      <w:r w:rsidR="000C19E5">
        <w:t>Handihaler</w:t>
      </w:r>
      <w:proofErr w:type="spellEnd"/>
      <w:r w:rsidR="000C19E5">
        <w:t xml:space="preserve"> device:</w:t>
      </w:r>
    </w:p>
    <w:p w14:paraId="1484E921" w14:textId="77777777" w:rsidR="00471266" w:rsidRDefault="000C19E5" w:rsidP="00AD060C">
      <w:pPr>
        <w:pStyle w:val="Numberbullet0"/>
        <w:numPr>
          <w:ilvl w:val="0"/>
          <w:numId w:val="37"/>
        </w:numPr>
      </w:pPr>
      <w:proofErr w:type="spellStart"/>
      <w:r>
        <w:t>H</w:t>
      </w:r>
      <w:r w:rsidR="00AD060C" w:rsidRPr="00AD060C">
        <w:t>andihaler</w:t>
      </w:r>
      <w:proofErr w:type="spellEnd"/>
      <w:r w:rsidR="00AD060C" w:rsidRPr="00AD060C">
        <w:t xml:space="preserve"> device is expected to be reused with different bottles of capsule for inhalation. The device is dispensed separately from </w:t>
      </w:r>
      <w:r w:rsidR="0028670C">
        <w:t>Spiriva</w:t>
      </w:r>
      <w:r w:rsidR="00AD060C" w:rsidRPr="00AD060C">
        <w:t xml:space="preserve"> capsules. In contrast, each </w:t>
      </w:r>
      <w:proofErr w:type="spellStart"/>
      <w:r w:rsidR="00AD060C" w:rsidRPr="00AD060C">
        <w:t>Braltus</w:t>
      </w:r>
      <w:proofErr w:type="spellEnd"/>
      <w:r w:rsidR="00AD060C" w:rsidRPr="00AD060C">
        <w:t xml:space="preserve"> capsule bottle contains a new </w:t>
      </w:r>
      <w:proofErr w:type="spellStart"/>
      <w:r w:rsidR="00AD060C" w:rsidRPr="00AD060C">
        <w:t>Zonda</w:t>
      </w:r>
      <w:proofErr w:type="spellEnd"/>
      <w:r w:rsidR="00AD060C" w:rsidRPr="00AD060C">
        <w:t xml:space="preserve"> device which is not expected for use more than 30 times</w:t>
      </w:r>
      <w:r w:rsidR="00471266">
        <w:t>.</w:t>
      </w:r>
    </w:p>
    <w:p w14:paraId="49F05268" w14:textId="77777777" w:rsidR="00471266" w:rsidRDefault="00AD060C" w:rsidP="00AD060C">
      <w:pPr>
        <w:pStyle w:val="Numberbullet0"/>
        <w:numPr>
          <w:ilvl w:val="0"/>
          <w:numId w:val="37"/>
        </w:numPr>
      </w:pPr>
      <w:r w:rsidRPr="00AD060C">
        <w:t>The colour and shape of the two devices are different</w:t>
      </w:r>
      <w:r w:rsidR="00471266">
        <w:t>.</w:t>
      </w:r>
    </w:p>
    <w:p w14:paraId="23963B32" w14:textId="77777777" w:rsidR="00471266" w:rsidRDefault="00AD060C" w:rsidP="00AD060C">
      <w:pPr>
        <w:pStyle w:val="Numberbullet0"/>
        <w:numPr>
          <w:ilvl w:val="0"/>
          <w:numId w:val="37"/>
        </w:numPr>
      </w:pPr>
      <w:proofErr w:type="spellStart"/>
      <w:r w:rsidRPr="00AD060C">
        <w:t>Handihaler</w:t>
      </w:r>
      <w:proofErr w:type="spellEnd"/>
      <w:r w:rsidRPr="00AD060C">
        <w:t xml:space="preserve"> device is expected to be cleaned with water once a month. </w:t>
      </w:r>
      <w:r w:rsidR="000C19E5">
        <w:t xml:space="preserve">The </w:t>
      </w:r>
      <w:proofErr w:type="spellStart"/>
      <w:r w:rsidRPr="00AD060C">
        <w:t>Zonda</w:t>
      </w:r>
      <w:proofErr w:type="spellEnd"/>
      <w:r w:rsidRPr="00AD060C">
        <w:t xml:space="preserve"> device is expected to be cleaned with dry cloth or tissue if necessary</w:t>
      </w:r>
      <w:r w:rsidR="00471266">
        <w:t>.</w:t>
      </w:r>
    </w:p>
    <w:p w14:paraId="5569B7B7" w14:textId="77777777" w:rsidR="00AD060C" w:rsidRPr="00AD060C" w:rsidRDefault="00AD060C" w:rsidP="004E2150">
      <w:r w:rsidRPr="00AD060C">
        <w:t>To ensure adequate counselling for patients, it is recommended that the followi</w:t>
      </w:r>
      <w:r w:rsidR="000C19E5">
        <w:t>ng advice is added to the DHPC:</w:t>
      </w:r>
    </w:p>
    <w:p w14:paraId="53B9DD6B" w14:textId="77777777" w:rsidR="00471266" w:rsidRDefault="00AD060C" w:rsidP="000C19E5">
      <w:pPr>
        <w:ind w:left="720"/>
      </w:pPr>
      <w:r w:rsidRPr="00AD060C">
        <w:t xml:space="preserve">Each box of </w:t>
      </w:r>
      <w:proofErr w:type="spellStart"/>
      <w:r w:rsidRPr="00AD060C">
        <w:t>Braltus</w:t>
      </w:r>
      <w:proofErr w:type="spellEnd"/>
      <w:r w:rsidRPr="00AD060C">
        <w:t xml:space="preserve"> contains a new </w:t>
      </w:r>
      <w:proofErr w:type="spellStart"/>
      <w:r w:rsidRPr="00AD060C">
        <w:t>Zonda</w:t>
      </w:r>
      <w:proofErr w:type="spellEnd"/>
      <w:r w:rsidRPr="00AD060C">
        <w:t xml:space="preserve"> inhaler and inhalation capsules. Patients being switched from </w:t>
      </w:r>
      <w:r w:rsidR="0028670C">
        <w:t>Spiriva</w:t>
      </w:r>
      <w:r w:rsidRPr="00AD060C">
        <w:t xml:space="preserve"> must use the </w:t>
      </w:r>
      <w:proofErr w:type="spellStart"/>
      <w:r w:rsidRPr="00AD060C">
        <w:t>Zonda</w:t>
      </w:r>
      <w:proofErr w:type="spellEnd"/>
      <w:r w:rsidRPr="00AD060C">
        <w:t xml:space="preserve"> inhaler with </w:t>
      </w:r>
      <w:proofErr w:type="spellStart"/>
      <w:r w:rsidRPr="00AD060C">
        <w:t>Braltus</w:t>
      </w:r>
      <w:proofErr w:type="spellEnd"/>
      <w:r w:rsidRPr="00AD060C">
        <w:t xml:space="preserve"> to deliver the intended dose. The </w:t>
      </w:r>
      <w:proofErr w:type="spellStart"/>
      <w:r w:rsidRPr="00AD060C">
        <w:t>Zonda</w:t>
      </w:r>
      <w:proofErr w:type="spellEnd"/>
      <w:r w:rsidRPr="00AD060C">
        <w:t xml:space="preserve"> inhaler should be discarded after 30 uses</w:t>
      </w:r>
      <w:r w:rsidR="00471266">
        <w:t>.</w:t>
      </w:r>
    </w:p>
    <w:p w14:paraId="1C7027F7" w14:textId="77777777" w:rsidR="00AD060C" w:rsidRDefault="00AD060C" w:rsidP="004E2150">
      <w:pPr>
        <w:pStyle w:val="Heading5"/>
        <w:rPr>
          <w:lang w:eastAsia="en-AU"/>
        </w:rPr>
      </w:pPr>
      <w:r w:rsidRPr="004E2150">
        <w:t>Recommendation</w:t>
      </w:r>
      <w:r>
        <w:rPr>
          <w:lang w:eastAsia="en-AU"/>
        </w:rPr>
        <w:t xml:space="preserve"> 2</w:t>
      </w:r>
    </w:p>
    <w:p w14:paraId="15B9FD42" w14:textId="77777777" w:rsidR="00471266" w:rsidRDefault="00AD060C" w:rsidP="00AD060C">
      <w:r w:rsidRPr="00AD060C">
        <w:t xml:space="preserve">The proposed electronic distribution of the </w:t>
      </w:r>
      <w:r w:rsidR="002865E8">
        <w:t>DHPC</w:t>
      </w:r>
      <w:r w:rsidRPr="00AD060C">
        <w:t xml:space="preserve"> is acceptable. The sponsor should include relevant nurse practitioners on the distribution list</w:t>
      </w:r>
      <w:r w:rsidR="00471266">
        <w:t>.</w:t>
      </w:r>
    </w:p>
    <w:p w14:paraId="1B358E3E" w14:textId="77777777" w:rsidR="00AD060C" w:rsidRPr="00AD060C" w:rsidRDefault="00AD060C" w:rsidP="004E2150">
      <w:pPr>
        <w:pStyle w:val="Heading5"/>
        <w:rPr>
          <w:lang w:eastAsia="en-AU"/>
        </w:rPr>
      </w:pPr>
      <w:r w:rsidRPr="004E2150">
        <w:t>Recommendation</w:t>
      </w:r>
      <w:r>
        <w:rPr>
          <w:lang w:eastAsia="en-AU"/>
        </w:rPr>
        <w:t xml:space="preserve"> 3</w:t>
      </w:r>
    </w:p>
    <w:p w14:paraId="709E9C04" w14:textId="77777777" w:rsidR="00AD060C" w:rsidRPr="00AD060C" w:rsidRDefault="00AD060C" w:rsidP="00AD060C">
      <w:r w:rsidRPr="00AD060C">
        <w:t>The sponsor should provide its implementation plan for the DHPC. The follow</w:t>
      </w:r>
      <w:r w:rsidR="000C19E5">
        <w:t>ing aspects should be included:</w:t>
      </w:r>
    </w:p>
    <w:p w14:paraId="0FD427D6" w14:textId="39D5976E" w:rsidR="00AD060C" w:rsidRPr="00AD060C" w:rsidRDefault="006942E1" w:rsidP="004E2150">
      <w:pPr>
        <w:pStyle w:val="Numberbullet0"/>
        <w:numPr>
          <w:ilvl w:val="0"/>
          <w:numId w:val="38"/>
        </w:numPr>
      </w:pPr>
      <w:r w:rsidRPr="004E2150">
        <w:t>planned</w:t>
      </w:r>
      <w:r>
        <w:t xml:space="preserve"> </w:t>
      </w:r>
      <w:r w:rsidR="000C19E5">
        <w:t>delivery time frame</w:t>
      </w:r>
      <w:r>
        <w:t>;</w:t>
      </w:r>
    </w:p>
    <w:p w14:paraId="59090340" w14:textId="521F31EC" w:rsidR="00AD060C" w:rsidRPr="00AD060C" w:rsidRDefault="006942E1" w:rsidP="00AD060C">
      <w:pPr>
        <w:pStyle w:val="Numberbullet0"/>
        <w:numPr>
          <w:ilvl w:val="0"/>
          <w:numId w:val="38"/>
        </w:numPr>
      </w:pPr>
      <w:r>
        <w:t>h</w:t>
      </w:r>
      <w:r w:rsidRPr="00AD060C">
        <w:t xml:space="preserve">ow </w:t>
      </w:r>
      <w:r w:rsidR="00AD060C" w:rsidRPr="00AD060C">
        <w:t>will the list of individual recipients be obtained to ensure the in</w:t>
      </w:r>
      <w:r w:rsidR="000C19E5">
        <w:t>tended recipients are included</w:t>
      </w:r>
      <w:r>
        <w:t>; and</w:t>
      </w:r>
    </w:p>
    <w:p w14:paraId="49CE852B" w14:textId="11CB1835" w:rsidR="00AD060C" w:rsidRPr="00AD060C" w:rsidRDefault="006942E1" w:rsidP="00AD060C">
      <w:pPr>
        <w:pStyle w:val="Numberbullet0"/>
        <w:numPr>
          <w:ilvl w:val="0"/>
          <w:numId w:val="38"/>
        </w:numPr>
      </w:pPr>
      <w:proofErr w:type="gramStart"/>
      <w:r>
        <w:t>h</w:t>
      </w:r>
      <w:r w:rsidRPr="00AD060C">
        <w:t>ow</w:t>
      </w:r>
      <w:proofErr w:type="gramEnd"/>
      <w:r w:rsidRPr="00AD060C">
        <w:t xml:space="preserve"> </w:t>
      </w:r>
      <w:r w:rsidR="00AD060C" w:rsidRPr="00AD060C">
        <w:t>will the DHPC be delivered electronically? If the DHPC is to be delivered by email, delivery and read receipts should be requested.</w:t>
      </w:r>
    </w:p>
    <w:p w14:paraId="12D79113" w14:textId="77777777" w:rsidR="00AD060C" w:rsidRPr="00AD060C" w:rsidRDefault="00AD060C" w:rsidP="004E2150">
      <w:pPr>
        <w:pStyle w:val="Heading5"/>
        <w:rPr>
          <w:lang w:eastAsia="en-AU"/>
        </w:rPr>
      </w:pPr>
      <w:r w:rsidRPr="004E2150">
        <w:lastRenderedPageBreak/>
        <w:t>Recommendation</w:t>
      </w:r>
      <w:r>
        <w:rPr>
          <w:lang w:eastAsia="en-AU"/>
        </w:rPr>
        <w:t xml:space="preserve"> 4</w:t>
      </w:r>
    </w:p>
    <w:p w14:paraId="72E54032" w14:textId="77777777" w:rsidR="00AD060C" w:rsidRPr="00AD060C" w:rsidRDefault="00AD060C" w:rsidP="00AD060C">
      <w:r w:rsidRPr="00AD060C">
        <w:t xml:space="preserve">It is noted that unlike the instructions for use provided in the CMI for </w:t>
      </w:r>
      <w:r w:rsidR="0028670C">
        <w:t>Spiriva</w:t>
      </w:r>
      <w:r w:rsidRPr="00AD060C">
        <w:t xml:space="preserve">, no instructions on cleaning with water have been provided for </w:t>
      </w:r>
      <w:proofErr w:type="spellStart"/>
      <w:r w:rsidRPr="00AD060C">
        <w:t>Braltus</w:t>
      </w:r>
      <w:proofErr w:type="spellEnd"/>
      <w:r w:rsidRPr="00AD060C">
        <w:t xml:space="preserve">. It is unclear whether this is because the </w:t>
      </w:r>
      <w:proofErr w:type="spellStart"/>
      <w:r w:rsidRPr="00AD060C">
        <w:t>Zonda</w:t>
      </w:r>
      <w:proofErr w:type="spellEnd"/>
      <w:r w:rsidRPr="00AD060C">
        <w:t xml:space="preserve"> device is not expected to be reused for more than 30 times and therefore, does not require water cleaning. The sponsor should provide clarification as to whether the </w:t>
      </w:r>
      <w:proofErr w:type="spellStart"/>
      <w:r w:rsidRPr="00AD060C">
        <w:t>Zonda</w:t>
      </w:r>
      <w:proofErr w:type="spellEnd"/>
      <w:r w:rsidRPr="00AD060C">
        <w:t xml:space="preserve"> device can be cleaned and rinsed with water. Advice on/against water cleaning should be provided in both ‘Information for the patient’ and the CMI to ensure adequate maintenance of the device.</w:t>
      </w:r>
    </w:p>
    <w:p w14:paraId="5FDCA424" w14:textId="77777777" w:rsidR="00AD060C" w:rsidRDefault="00AD060C" w:rsidP="00AD060C">
      <w:pPr>
        <w:pStyle w:val="Heading5"/>
        <w:rPr>
          <w:lang w:eastAsia="en-AU"/>
        </w:rPr>
      </w:pPr>
      <w:r>
        <w:rPr>
          <w:lang w:eastAsia="en-AU"/>
        </w:rPr>
        <w:t>Recommendation 5</w:t>
      </w:r>
    </w:p>
    <w:p w14:paraId="2E91DB29" w14:textId="77777777" w:rsidR="00AD060C" w:rsidRPr="00AD060C" w:rsidRDefault="000C19E5" w:rsidP="004E2150">
      <w:r>
        <w:t>The D</w:t>
      </w:r>
      <w:r w:rsidR="00AD060C" w:rsidRPr="00AD060C">
        <w:t>elegate has made a specific request for advice</w:t>
      </w:r>
      <w:bookmarkStart w:id="86" w:name="_Ref524605494"/>
      <w:r w:rsidR="00AD060C" w:rsidRPr="009B4BE7">
        <w:rPr>
          <w:vertAlign w:val="superscript"/>
        </w:rPr>
        <w:footnoteReference w:id="7"/>
      </w:r>
      <w:bookmarkEnd w:id="86"/>
      <w:r w:rsidR="00AD060C" w:rsidRPr="00AD060C">
        <w:t xml:space="preserve"> from the RMP eva</w:t>
      </w:r>
      <w:r>
        <w:t>luator on the following matter:</w:t>
      </w:r>
    </w:p>
    <w:p w14:paraId="2C9184D2" w14:textId="77777777" w:rsidR="00AD060C" w:rsidRPr="00AD060C" w:rsidRDefault="000C19E5" w:rsidP="00AD060C">
      <w:r>
        <w:t>The quality evaluator</w:t>
      </w:r>
      <w:r w:rsidR="00AD060C" w:rsidRPr="00AD060C">
        <w:t xml:space="preserve"> would prefer that the delivered dose was displayed in a more prominent location in addition to the metered dose. See below for an example:</w:t>
      </w:r>
    </w:p>
    <w:p w14:paraId="65A1265B" w14:textId="77777777" w:rsidR="00AD060C" w:rsidRPr="00AD060C" w:rsidRDefault="00AD060C" w:rsidP="00AD060C">
      <w:pPr>
        <w:ind w:left="720"/>
      </w:pPr>
      <w:r w:rsidRPr="00AD060C">
        <w:t>‘</w:t>
      </w:r>
      <w:proofErr w:type="spellStart"/>
      <w:r w:rsidRPr="00AD060C">
        <w:t>Braltus</w:t>
      </w:r>
      <w:proofErr w:type="spellEnd"/>
    </w:p>
    <w:p w14:paraId="7249687E" w14:textId="77777777" w:rsidR="00AD060C" w:rsidRPr="00AD060C" w:rsidRDefault="00AD060C" w:rsidP="00AD060C">
      <w:pPr>
        <w:ind w:left="720"/>
      </w:pPr>
      <w:r w:rsidRPr="00AD060C">
        <w:t>Tiotropium (as bromide) 13 microgram metered dose</w:t>
      </w:r>
    </w:p>
    <w:p w14:paraId="053A9826" w14:textId="77777777" w:rsidR="00AD060C" w:rsidRPr="00AD060C" w:rsidRDefault="00AD060C" w:rsidP="00AD060C">
      <w:pPr>
        <w:ind w:left="720"/>
      </w:pPr>
      <w:r w:rsidRPr="00AD060C">
        <w:t>Tiotropium (as bromide) 10 microgram delivered dose’</w:t>
      </w:r>
    </w:p>
    <w:p w14:paraId="33EB8C59" w14:textId="77777777" w:rsidR="00471266" w:rsidRDefault="00AD060C" w:rsidP="004E2150">
      <w:r w:rsidRPr="00AD060C">
        <w:t>The RMP evaluator supports the proposed label change to show the delivered dose in addition to the metered dose to avoid confusion. However, it has been noted that the DHPC states ‘13 microgram’ as ‘pre-metered dose’ whilst the label states ’13 microgram’ as ‘metered dose’. It is recommended that the term is used consistently to avoid confusion</w:t>
      </w:r>
      <w:r w:rsidR="00471266">
        <w:t>.</w:t>
      </w:r>
    </w:p>
    <w:p w14:paraId="6E74020E" w14:textId="77777777" w:rsidR="00456765" w:rsidRPr="00BB4B51" w:rsidRDefault="00456765" w:rsidP="004E2150">
      <w:pPr>
        <w:pStyle w:val="Heading4"/>
      </w:pPr>
      <w:bookmarkStart w:id="87" w:name="_Toc477354124"/>
      <w:r>
        <w:t>Proposed wording for conditions of registration</w:t>
      </w:r>
      <w:bookmarkEnd w:id="87"/>
    </w:p>
    <w:p w14:paraId="737FB71D" w14:textId="77777777" w:rsidR="00471266" w:rsidRDefault="00AD060C" w:rsidP="00456765">
      <w:r w:rsidRPr="00AD060C">
        <w:t>No RMP has been provided for this submission. Therefore, no RMP versions are provided for inclusion in conditions of registration</w:t>
      </w:r>
      <w:r w:rsidR="00471266">
        <w:t>.</w:t>
      </w:r>
    </w:p>
    <w:p w14:paraId="05A0C043" w14:textId="77777777" w:rsidR="008E7846" w:rsidRPr="00792A32" w:rsidRDefault="008E7846" w:rsidP="004E2150">
      <w:pPr>
        <w:pStyle w:val="Heading2"/>
      </w:pPr>
      <w:bookmarkStart w:id="88" w:name="_Toc16587425"/>
      <w:r>
        <w:t>V</w:t>
      </w:r>
      <w:r w:rsidR="00456765">
        <w:t>I</w:t>
      </w:r>
      <w:r>
        <w:t xml:space="preserve">I. </w:t>
      </w:r>
      <w:r w:rsidRPr="004E2150">
        <w:t>Overall</w:t>
      </w:r>
      <w:r w:rsidRPr="00792A32">
        <w:t xml:space="preserve"> </w:t>
      </w:r>
      <w:r>
        <w:t>c</w:t>
      </w:r>
      <w:r w:rsidRPr="00792A32">
        <w:t xml:space="preserve">onclusion and </w:t>
      </w:r>
      <w:r>
        <w:t>r</w:t>
      </w:r>
      <w:r w:rsidRPr="00792A32">
        <w:t>isk/</w:t>
      </w:r>
      <w:r>
        <w:t>b</w:t>
      </w:r>
      <w:r w:rsidRPr="00792A32">
        <w:t xml:space="preserve">enefit </w:t>
      </w:r>
      <w:r>
        <w:t>a</w:t>
      </w:r>
      <w:r w:rsidRPr="00792A32">
        <w:t>ssessment</w:t>
      </w:r>
      <w:bookmarkEnd w:id="72"/>
      <w:bookmarkEnd w:id="84"/>
      <w:bookmarkEnd w:id="85"/>
      <w:bookmarkEnd w:id="88"/>
    </w:p>
    <w:p w14:paraId="02FC6D09" w14:textId="77777777" w:rsidR="008E7846" w:rsidRDefault="008E7846" w:rsidP="008E7846">
      <w:bookmarkStart w:id="89" w:name="_Toc247691528"/>
      <w:r>
        <w:t xml:space="preserve">The submission was summarised in the following </w:t>
      </w:r>
      <w:r w:rsidRPr="00EF5C48">
        <w:t xml:space="preserve">Delegate’s </w:t>
      </w:r>
      <w:r>
        <w:t>overview</w:t>
      </w:r>
      <w:r w:rsidRPr="00EF5C48">
        <w:t xml:space="preserve"> and recommendation</w:t>
      </w:r>
      <w:r>
        <w:t>s:</w:t>
      </w:r>
    </w:p>
    <w:p w14:paraId="28EFA991" w14:textId="77777777" w:rsidR="006C3311" w:rsidRDefault="006C3311" w:rsidP="004E2150">
      <w:pPr>
        <w:pStyle w:val="Heading3"/>
      </w:pPr>
      <w:bookmarkStart w:id="90" w:name="_Toc16587426"/>
      <w:r w:rsidRPr="004E2150">
        <w:t>Background</w:t>
      </w:r>
      <w:bookmarkEnd w:id="90"/>
    </w:p>
    <w:p w14:paraId="0D48FB78" w14:textId="77777777" w:rsidR="006C3311" w:rsidRPr="006C3311" w:rsidRDefault="006C3311" w:rsidP="006C3311">
      <w:r w:rsidRPr="006C3311">
        <w:t xml:space="preserve">Tiotropium is a long acting muscarinic agonist. It acts in </w:t>
      </w:r>
      <w:r w:rsidR="00B770CF">
        <w:t>the airway as a bronchodilator.</w:t>
      </w:r>
    </w:p>
    <w:p w14:paraId="43E3E244" w14:textId="77777777" w:rsidR="006C3311" w:rsidRPr="006C3311" w:rsidRDefault="006C3311" w:rsidP="004E2150">
      <w:r w:rsidRPr="006C3311">
        <w:t xml:space="preserve">The innovator medicine is </w:t>
      </w:r>
      <w:r w:rsidR="0028670C">
        <w:t>Spiriva</w:t>
      </w:r>
      <w:r w:rsidRPr="006C3311">
        <w:t xml:space="preserve"> (made by </w:t>
      </w:r>
      <w:proofErr w:type="spellStart"/>
      <w:r w:rsidRPr="006C3311">
        <w:t>Boehringer</w:t>
      </w:r>
      <w:proofErr w:type="spellEnd"/>
      <w:r w:rsidRPr="006C3311">
        <w:t xml:space="preserve"> </w:t>
      </w:r>
      <w:proofErr w:type="spellStart"/>
      <w:r w:rsidRPr="006C3311">
        <w:t>Ingelheim</w:t>
      </w:r>
      <w:proofErr w:type="spellEnd"/>
      <w:r w:rsidRPr="006C3311">
        <w:t xml:space="preserve">). The innovator contains </w:t>
      </w:r>
      <w:r w:rsidR="00B770CF">
        <w:t>t</w:t>
      </w:r>
      <w:r w:rsidRPr="006C3311">
        <w:t xml:space="preserve">iotropium bromide monohydrate as powder for inhalation in a </w:t>
      </w:r>
      <w:proofErr w:type="spellStart"/>
      <w:r w:rsidRPr="006C3311">
        <w:t>Handihaler</w:t>
      </w:r>
      <w:proofErr w:type="spellEnd"/>
      <w:r w:rsidRPr="006C3311">
        <w:t xml:space="preserve"> device. Each hard gelatine </w:t>
      </w:r>
      <w:r w:rsidR="0028670C">
        <w:t>Spiriva</w:t>
      </w:r>
      <w:r w:rsidRPr="006C3311">
        <w:t xml:space="preserve"> capsule contains 18 </w:t>
      </w:r>
      <w:proofErr w:type="spellStart"/>
      <w:r w:rsidR="00B770CF">
        <w:t>μg</w:t>
      </w:r>
      <w:proofErr w:type="spellEnd"/>
      <w:r w:rsidRPr="006C3311">
        <w:t xml:space="preserve"> tiotropium, equivalent to 22.5 </w:t>
      </w:r>
      <w:proofErr w:type="spellStart"/>
      <w:r w:rsidR="00B770CF">
        <w:t>μg</w:t>
      </w:r>
      <w:proofErr w:type="spellEnd"/>
      <w:r w:rsidRPr="006C3311">
        <w:t xml:space="preserve"> tiotropium </w:t>
      </w:r>
      <w:proofErr w:type="gramStart"/>
      <w:r w:rsidRPr="006C3311">
        <w:t>bromide</w:t>
      </w:r>
      <w:proofErr w:type="gramEnd"/>
      <w:r w:rsidRPr="006C3311">
        <w:t xml:space="preserve"> (monohydrate) and the excipient lactose monohydrate.</w:t>
      </w:r>
    </w:p>
    <w:p w14:paraId="186C22F9" w14:textId="77777777" w:rsidR="00471266" w:rsidRDefault="00B850D9" w:rsidP="006C3311">
      <w:proofErr w:type="spellStart"/>
      <w:r>
        <w:t>Braltus</w:t>
      </w:r>
      <w:proofErr w:type="spellEnd"/>
      <w:r w:rsidR="00B770CF">
        <w:t xml:space="preserve"> contains t</w:t>
      </w:r>
      <w:r w:rsidR="006C3311" w:rsidRPr="006C3311">
        <w:t xml:space="preserve">iotropium bromide as powder for inhalation in a </w:t>
      </w:r>
      <w:proofErr w:type="spellStart"/>
      <w:r w:rsidR="006C3311" w:rsidRPr="006C3311">
        <w:t>Z</w:t>
      </w:r>
      <w:r w:rsidR="00B770CF" w:rsidRPr="006C3311">
        <w:t>onda</w:t>
      </w:r>
      <w:proofErr w:type="spellEnd"/>
      <w:r w:rsidR="006C3311" w:rsidRPr="006C3311">
        <w:t xml:space="preserve"> device. Each hard </w:t>
      </w:r>
      <w:proofErr w:type="spellStart"/>
      <w:r>
        <w:t>Braltus</w:t>
      </w:r>
      <w:proofErr w:type="spellEnd"/>
      <w:r w:rsidR="006C3311" w:rsidRPr="006C3311">
        <w:t xml:space="preserve"> capsule contains 13 </w:t>
      </w:r>
      <w:proofErr w:type="spellStart"/>
      <w:r w:rsidR="00B770CF">
        <w:t>μg</w:t>
      </w:r>
      <w:proofErr w:type="spellEnd"/>
      <w:r w:rsidR="006C3311" w:rsidRPr="006C3311">
        <w:t xml:space="preserve"> tiotropium, equivalent to 15.6 </w:t>
      </w:r>
      <w:proofErr w:type="spellStart"/>
      <w:r w:rsidR="00B770CF">
        <w:t>μg</w:t>
      </w:r>
      <w:proofErr w:type="spellEnd"/>
      <w:r w:rsidR="006C3311" w:rsidRPr="006C3311">
        <w:t xml:space="preserve"> tiotropium </w:t>
      </w:r>
      <w:proofErr w:type="gramStart"/>
      <w:r w:rsidR="006C3311" w:rsidRPr="006C3311">
        <w:t>bromide</w:t>
      </w:r>
      <w:proofErr w:type="gramEnd"/>
      <w:r w:rsidR="006C3311" w:rsidRPr="006C3311">
        <w:t xml:space="preserve"> and the excipient lactose monohydrate</w:t>
      </w:r>
      <w:r w:rsidR="00471266">
        <w:t>.</w:t>
      </w:r>
    </w:p>
    <w:p w14:paraId="07865CE3" w14:textId="77777777" w:rsidR="00471266" w:rsidRDefault="006C3311" w:rsidP="004E2150">
      <w:r w:rsidRPr="006C3311">
        <w:t xml:space="preserve">One inhalation of </w:t>
      </w:r>
      <w:proofErr w:type="spellStart"/>
      <w:r w:rsidR="00B850D9">
        <w:t>Braltus</w:t>
      </w:r>
      <w:proofErr w:type="spellEnd"/>
      <w:r w:rsidRPr="006C3311">
        <w:t xml:space="preserve"> delivers the same dose as one inhalation on </w:t>
      </w:r>
      <w:r w:rsidR="0028670C">
        <w:t>Spiriva</w:t>
      </w:r>
      <w:r w:rsidRPr="006C3311">
        <w:t xml:space="preserve">. The lower dose of active drug in the </w:t>
      </w:r>
      <w:proofErr w:type="spellStart"/>
      <w:r w:rsidR="00B850D9">
        <w:t>Braltus</w:t>
      </w:r>
      <w:proofErr w:type="spellEnd"/>
      <w:r w:rsidRPr="006C3311">
        <w:t xml:space="preserve"> capsule/device is due to a difference in the way the product is manufactured, which leads to more efficient drug delivery. The active drug </w:t>
      </w:r>
      <w:r w:rsidRPr="006C3311">
        <w:lastRenderedPageBreak/>
        <w:t>reaching the lung with both devices is tiotropium bromide. The two devices have comparable air flow resistance and flow rate and a 4</w:t>
      </w:r>
      <w:r w:rsidR="00B770CF">
        <w:t xml:space="preserve"> </w:t>
      </w:r>
      <w:proofErr w:type="spellStart"/>
      <w:r w:rsidRPr="006C3311">
        <w:t>Kpa</w:t>
      </w:r>
      <w:proofErr w:type="spellEnd"/>
      <w:r w:rsidRPr="006C3311">
        <w:t xml:space="preserve"> pressure drop</w:t>
      </w:r>
      <w:r w:rsidR="00471266">
        <w:t>.</w:t>
      </w:r>
    </w:p>
    <w:p w14:paraId="48A62D4E" w14:textId="77777777" w:rsidR="006C3311" w:rsidRPr="006C3311" w:rsidRDefault="006C3311" w:rsidP="004E2150">
      <w:r w:rsidRPr="006C3311">
        <w:t>Tiotropium (</w:t>
      </w:r>
      <w:r w:rsidR="0028670C">
        <w:t>Spiriva</w:t>
      </w:r>
      <w:r w:rsidRPr="006C3311">
        <w:t xml:space="preserve">) was first registered in Australia in 2002. It is widely used in the management of COPD. Tiotropium is also available as a </w:t>
      </w:r>
      <w:proofErr w:type="spellStart"/>
      <w:r w:rsidRPr="006C3311">
        <w:t>R</w:t>
      </w:r>
      <w:r w:rsidR="00B770CF" w:rsidRPr="006C3311">
        <w:t>espimat</w:t>
      </w:r>
      <w:proofErr w:type="spellEnd"/>
      <w:r w:rsidRPr="006C3311">
        <w:t xml:space="preserve"> inha</w:t>
      </w:r>
      <w:r w:rsidR="00B770CF">
        <w:t>ler at a dose of 2.5 </w:t>
      </w:r>
      <w:proofErr w:type="spellStart"/>
      <w:r w:rsidR="00B770CF">
        <w:t>μg</w:t>
      </w:r>
      <w:proofErr w:type="spellEnd"/>
      <w:r w:rsidR="00B770CF" w:rsidRPr="006C3311">
        <w:t xml:space="preserve"> </w:t>
      </w:r>
      <w:r w:rsidRPr="006C3311">
        <w:t xml:space="preserve">/inhalation. This is not bioequivalent to </w:t>
      </w:r>
      <w:r w:rsidR="0028670C">
        <w:t>Spiriva</w:t>
      </w:r>
      <w:r w:rsidRPr="006C3311">
        <w:t>.</w:t>
      </w:r>
    </w:p>
    <w:p w14:paraId="2A24F60F" w14:textId="77777777" w:rsidR="006C3311" w:rsidRPr="006C3311" w:rsidRDefault="00B850D9" w:rsidP="006C3311">
      <w:proofErr w:type="spellStart"/>
      <w:r>
        <w:t>Braltus</w:t>
      </w:r>
      <w:proofErr w:type="spellEnd"/>
      <w:r w:rsidR="006C3311" w:rsidRPr="006C3311">
        <w:t xml:space="preserve"> has been approved in the EU in 2016.</w:t>
      </w:r>
    </w:p>
    <w:p w14:paraId="6700666D" w14:textId="77777777" w:rsidR="008E7846" w:rsidRDefault="008E7846" w:rsidP="004E2150">
      <w:pPr>
        <w:pStyle w:val="Heading3"/>
      </w:pPr>
      <w:bookmarkStart w:id="91" w:name="_Toc314842511"/>
      <w:bookmarkStart w:id="92" w:name="_Toc16587427"/>
      <w:r w:rsidRPr="004E2150">
        <w:t>Quality</w:t>
      </w:r>
      <w:bookmarkEnd w:id="89"/>
      <w:bookmarkEnd w:id="91"/>
      <w:bookmarkEnd w:id="92"/>
    </w:p>
    <w:p w14:paraId="156660A8" w14:textId="77777777" w:rsidR="006C3311" w:rsidRPr="006C3311" w:rsidRDefault="006C3311" w:rsidP="006C3311">
      <w:r w:rsidRPr="006C3311">
        <w:t xml:space="preserve">The chemistry clearance document </w:t>
      </w:r>
      <w:r w:rsidR="00B770CF">
        <w:t>was provided.</w:t>
      </w:r>
    </w:p>
    <w:p w14:paraId="1396C694" w14:textId="77777777" w:rsidR="006C3311" w:rsidRPr="006C3311" w:rsidRDefault="006C3311" w:rsidP="004E2150">
      <w:r w:rsidRPr="006C3311">
        <w:t>There were no concerns with the drug substance specifications of the API manufacturer, the drug substance specifications of the finished product manufacturer, finished product specifications or shelf life.</w:t>
      </w:r>
    </w:p>
    <w:p w14:paraId="1A4CE26D" w14:textId="77777777" w:rsidR="006C3311" w:rsidRPr="006C3311" w:rsidRDefault="006C3311" w:rsidP="006C3311">
      <w:r w:rsidRPr="006C3311">
        <w:t xml:space="preserve">The labelling was compliant with Therapeutic Goods Order </w:t>
      </w:r>
      <w:r w:rsidR="002865E8" w:rsidRPr="006C3311">
        <w:t>91;</w:t>
      </w:r>
      <w:r w:rsidRPr="006C3311">
        <w:t xml:space="preserve"> however suggestions were made to avoid medication confusion.</w:t>
      </w:r>
    </w:p>
    <w:p w14:paraId="12972E17" w14:textId="42669A63" w:rsidR="00730F8A" w:rsidRDefault="002865E8" w:rsidP="008E7846">
      <w:r>
        <w:t xml:space="preserve">Good </w:t>
      </w:r>
      <w:r w:rsidR="006942E1">
        <w:t>Manufacturing Practice</w:t>
      </w:r>
      <w:r w:rsidR="006942E1" w:rsidRPr="006C3311">
        <w:t xml:space="preserve"> </w:t>
      </w:r>
      <w:r>
        <w:t>(</w:t>
      </w:r>
      <w:r w:rsidR="006C3311" w:rsidRPr="006C3311">
        <w:t>GMP</w:t>
      </w:r>
      <w:r>
        <w:t>)</w:t>
      </w:r>
      <w:r w:rsidR="006C3311" w:rsidRPr="006C3311">
        <w:t xml:space="preserve"> clearances </w:t>
      </w:r>
      <w:r w:rsidR="00B770CF">
        <w:t>were valid until 29 March 2019.</w:t>
      </w:r>
    </w:p>
    <w:p w14:paraId="4CCFEE90" w14:textId="77777777" w:rsidR="008E7846" w:rsidRDefault="008E7846" w:rsidP="004E2150">
      <w:pPr>
        <w:pStyle w:val="Heading3"/>
      </w:pPr>
      <w:bookmarkStart w:id="93" w:name="_Toc314842512"/>
      <w:bookmarkStart w:id="94" w:name="_Toc16587428"/>
      <w:r w:rsidRPr="004E2150">
        <w:t>Nonclinical</w:t>
      </w:r>
      <w:bookmarkEnd w:id="93"/>
      <w:bookmarkEnd w:id="94"/>
    </w:p>
    <w:p w14:paraId="5FFFEBB8" w14:textId="77777777" w:rsidR="008E7846" w:rsidRDefault="008E7846" w:rsidP="004E2150">
      <w:r>
        <w:t>There was no requirement for a nonclinical evaluation in a submission of this type.</w:t>
      </w:r>
    </w:p>
    <w:p w14:paraId="7802D0C6" w14:textId="77777777" w:rsidR="008E7846" w:rsidRDefault="008E7846" w:rsidP="008E7846">
      <w:pPr>
        <w:pStyle w:val="Heading3"/>
      </w:pPr>
      <w:bookmarkStart w:id="95" w:name="_Toc247691530"/>
      <w:bookmarkStart w:id="96" w:name="_Toc314842513"/>
      <w:bookmarkStart w:id="97" w:name="_Toc16587429"/>
      <w:r>
        <w:t>Clinical</w:t>
      </w:r>
      <w:bookmarkEnd w:id="95"/>
      <w:bookmarkEnd w:id="96"/>
      <w:bookmarkEnd w:id="97"/>
    </w:p>
    <w:p w14:paraId="1F104174" w14:textId="77777777" w:rsidR="006C3311" w:rsidRDefault="006C3311" w:rsidP="006C3311">
      <w:pPr>
        <w:pStyle w:val="Heading4"/>
      </w:pPr>
      <w:bookmarkStart w:id="98" w:name="_Toc314842514"/>
      <w:r w:rsidRPr="003F08CF">
        <w:t>Pharmacology</w:t>
      </w:r>
    </w:p>
    <w:p w14:paraId="4DABCCFE" w14:textId="77777777" w:rsidR="006C3311" w:rsidRPr="006C3311" w:rsidRDefault="006C3311" w:rsidP="004E2150">
      <w:r w:rsidRPr="006C3311">
        <w:t>The f</w:t>
      </w:r>
      <w:r w:rsidR="002865E8">
        <w:t>ollowing studies were submitted.</w:t>
      </w:r>
    </w:p>
    <w:p w14:paraId="52E3FB8C" w14:textId="77777777" w:rsidR="00B770CF" w:rsidRDefault="00756B7D" w:rsidP="004E2150">
      <w:pPr>
        <w:pStyle w:val="Heading5"/>
      </w:pPr>
      <w:r>
        <w:t xml:space="preserve">Study </w:t>
      </w:r>
      <w:r w:rsidR="00B770CF" w:rsidRPr="004E2150">
        <w:t>CLL1102</w:t>
      </w:r>
    </w:p>
    <w:p w14:paraId="0F360A72" w14:textId="77777777" w:rsidR="006C3311" w:rsidRDefault="006C3311" w:rsidP="004E2150">
      <w:r>
        <w:t>T</w:t>
      </w:r>
      <w:r w:rsidRPr="00773A94">
        <w:t>his was a study to assess the bioavailability of two different inhalation powders, test 1 tiotropium 12</w:t>
      </w:r>
      <w:r>
        <w:t xml:space="preserve"> </w:t>
      </w:r>
      <w:proofErr w:type="spellStart"/>
      <w:r w:rsidR="00B770CF">
        <w:t>μg</w:t>
      </w:r>
      <w:proofErr w:type="spellEnd"/>
      <w:r w:rsidR="00B770CF" w:rsidRPr="00773A94">
        <w:t xml:space="preserve"> </w:t>
      </w:r>
      <w:r w:rsidRPr="00773A94">
        <w:t>inhalation powder, and test 2 tiotropium 18</w:t>
      </w:r>
      <w:r>
        <w:t xml:space="preserve"> </w:t>
      </w:r>
      <w:proofErr w:type="spellStart"/>
      <w:r w:rsidR="00B770CF">
        <w:t>μg</w:t>
      </w:r>
      <w:proofErr w:type="spellEnd"/>
      <w:r w:rsidRPr="00773A94">
        <w:t xml:space="preserve"> inhalation </w:t>
      </w:r>
      <w:proofErr w:type="gramStart"/>
      <w:r w:rsidRPr="00773A94">
        <w:t>powder</w:t>
      </w:r>
      <w:proofErr w:type="gramEnd"/>
      <w:r w:rsidRPr="00773A94">
        <w:t xml:space="preserve"> relative to the reference, </w:t>
      </w:r>
      <w:r w:rsidR="0028670C">
        <w:t>Spiriva</w:t>
      </w:r>
      <w:r w:rsidRPr="00773A94">
        <w:t xml:space="preserve">. </w:t>
      </w:r>
      <w:r>
        <w:t>The inhalation device use</w:t>
      </w:r>
      <w:r w:rsidR="00B770CF">
        <w:t xml:space="preserve">d was the </w:t>
      </w:r>
      <w:proofErr w:type="spellStart"/>
      <w:r w:rsidR="00B770CF">
        <w:t>monodose</w:t>
      </w:r>
      <w:proofErr w:type="spellEnd"/>
      <w:r w:rsidR="00B770CF">
        <w:t xml:space="preserve"> device (not </w:t>
      </w:r>
      <w:proofErr w:type="spellStart"/>
      <w:r w:rsidR="00B770CF">
        <w:t>Z</w:t>
      </w:r>
      <w:r>
        <w:t>onda</w:t>
      </w:r>
      <w:proofErr w:type="spellEnd"/>
      <w:r>
        <w:t>).</w:t>
      </w:r>
    </w:p>
    <w:p w14:paraId="273B7010" w14:textId="3DC5BBC7" w:rsidR="00471266" w:rsidRDefault="006C3311" w:rsidP="00756B7D">
      <w:r>
        <w:t xml:space="preserve">This was an open labelled, randomised, single dose, three </w:t>
      </w:r>
      <w:proofErr w:type="gramStart"/>
      <w:r>
        <w:t>period</w:t>
      </w:r>
      <w:proofErr w:type="gramEnd"/>
      <w:r>
        <w:t xml:space="preserve"> cross over study. </w:t>
      </w:r>
      <w:r w:rsidR="00B770CF">
        <w:t xml:space="preserve">Twelve </w:t>
      </w:r>
      <w:r>
        <w:t xml:space="preserve">subjects were recruited. The main endpoints were AUC, </w:t>
      </w:r>
      <w:proofErr w:type="spellStart"/>
      <w:r w:rsidR="0028670C" w:rsidRPr="00794740">
        <w:t>C</w:t>
      </w:r>
      <w:r w:rsidR="0028670C" w:rsidRPr="0028670C">
        <w:rPr>
          <w:vertAlign w:val="subscript"/>
        </w:rPr>
        <w:t>max</w:t>
      </w:r>
      <w:proofErr w:type="spellEnd"/>
      <w:r>
        <w:t xml:space="preserve">, </w:t>
      </w:r>
      <w:proofErr w:type="spellStart"/>
      <w:r w:rsidR="0028670C" w:rsidRPr="00794740">
        <w:t>t</w:t>
      </w:r>
      <w:r w:rsidR="0028670C" w:rsidRPr="0028670C">
        <w:rPr>
          <w:vertAlign w:val="subscript"/>
        </w:rPr>
        <w:t>max</w:t>
      </w:r>
      <w:proofErr w:type="spellEnd"/>
      <w:r>
        <w:t xml:space="preserve"> and adverse events</w:t>
      </w:r>
      <w:r w:rsidR="00471266">
        <w:t>.</w:t>
      </w:r>
    </w:p>
    <w:p w14:paraId="2E46D594" w14:textId="4C611BF1" w:rsidR="00471266" w:rsidRDefault="006C3311" w:rsidP="004E2150">
      <w:r>
        <w:t>Neither inhalation formulation was bioequivalent to the reference inhaler.</w:t>
      </w:r>
      <w:r w:rsidR="000D0887">
        <w:t xml:space="preserve"> </w:t>
      </w:r>
      <w:r>
        <w:t>The upper 90%</w:t>
      </w:r>
      <w:r w:rsidR="001D7586">
        <w:t> </w:t>
      </w:r>
      <w:r>
        <w:t xml:space="preserve">CI AUC of both formulations was over 125%. The lower 90% </w:t>
      </w:r>
      <w:r w:rsidR="001D7586">
        <w:rPr>
          <w:rFonts w:asciiTheme="minorHAnsi" w:hAnsiTheme="minorHAnsi"/>
        </w:rPr>
        <w:t>CI</w:t>
      </w:r>
      <w:r>
        <w:t xml:space="preserve"> was less than 80% for both formulations. There was a high CV</w:t>
      </w:r>
      <w:r w:rsidR="00471266">
        <w:t>.</w:t>
      </w:r>
    </w:p>
    <w:p w14:paraId="6E7C5858" w14:textId="77777777" w:rsidR="006C3311" w:rsidRDefault="006C3311" w:rsidP="00756B7D">
      <w:r>
        <w:t>The results of this study assisted in the design of subsequent bioequivalent studies</w:t>
      </w:r>
      <w:r w:rsidR="00471266">
        <w:t>.</w:t>
      </w:r>
    </w:p>
    <w:p w14:paraId="3356100C" w14:textId="77777777" w:rsidR="00756B7D" w:rsidRDefault="00756B7D" w:rsidP="004E2150">
      <w:pPr>
        <w:pStyle w:val="Heading5"/>
      </w:pPr>
      <w:r>
        <w:t xml:space="preserve">Study </w:t>
      </w:r>
      <w:r w:rsidR="006C3311" w:rsidRPr="00C94071">
        <w:t>CLL12003</w:t>
      </w:r>
    </w:p>
    <w:p w14:paraId="07B25B61" w14:textId="77777777" w:rsidR="006C3311" w:rsidRPr="00756B7D" w:rsidRDefault="006C3311" w:rsidP="004E2150">
      <w:r w:rsidRPr="00C94071">
        <w:t>This study used a 13</w:t>
      </w:r>
      <w:r>
        <w:t xml:space="preserve"> </w:t>
      </w:r>
      <w:proofErr w:type="spellStart"/>
      <w:r w:rsidR="00756B7D">
        <w:t>μg</w:t>
      </w:r>
      <w:proofErr w:type="spellEnd"/>
      <w:r w:rsidRPr="00985EEE">
        <w:t xml:space="preserve"> </w:t>
      </w:r>
      <w:r w:rsidRPr="00C94071">
        <w:t xml:space="preserve">dose of tiotropium in the </w:t>
      </w:r>
      <w:proofErr w:type="spellStart"/>
      <w:r w:rsidRPr="00C94071">
        <w:t>Zonda</w:t>
      </w:r>
      <w:proofErr w:type="spellEnd"/>
      <w:r w:rsidRPr="00C94071">
        <w:t xml:space="preserve"> inhaler. </w:t>
      </w:r>
      <w:r>
        <w:t>The design was a monocentric, randomized, si</w:t>
      </w:r>
      <w:r w:rsidR="00756B7D">
        <w:t xml:space="preserve">ngle dose, double blind, double </w:t>
      </w:r>
      <w:r>
        <w:t xml:space="preserve">dummy, 3 way semi-replicate cross over study in a two stage design with one interim analysis. There was a wash out period of 10 days between doses. The primary endpoints were AUC and </w:t>
      </w:r>
      <w:proofErr w:type="spellStart"/>
      <w:r w:rsidR="0028670C" w:rsidRPr="00794740">
        <w:t>C</w:t>
      </w:r>
      <w:r w:rsidR="0028670C" w:rsidRPr="0028670C">
        <w:rPr>
          <w:vertAlign w:val="subscript"/>
        </w:rPr>
        <w:t>max</w:t>
      </w:r>
      <w:proofErr w:type="spellEnd"/>
      <w:r>
        <w:t xml:space="preserve">. </w:t>
      </w:r>
      <w:proofErr w:type="spellStart"/>
      <w:proofErr w:type="gramStart"/>
      <w:r w:rsidR="0028670C" w:rsidRPr="00794740">
        <w:t>t</w:t>
      </w:r>
      <w:r w:rsidR="0028670C" w:rsidRPr="0028670C">
        <w:rPr>
          <w:vertAlign w:val="subscript"/>
        </w:rPr>
        <w:t>max</w:t>
      </w:r>
      <w:proofErr w:type="spellEnd"/>
      <w:proofErr w:type="gramEnd"/>
      <w:r>
        <w:t xml:space="preserve"> was a secondary endpoint. This study used a wider confidence interval for bioequivalence based </w:t>
      </w:r>
      <w:r w:rsidR="00756B7D">
        <w:t>on the high CV of endpoints in S</w:t>
      </w:r>
      <w:r>
        <w:t xml:space="preserve">tudy CLL102. At the end of stage 1 of this study, the upper 90% CI for AUC was well above the specified range, and the upper and lower CI for </w:t>
      </w:r>
      <w:proofErr w:type="spellStart"/>
      <w:r w:rsidR="0028670C" w:rsidRPr="00794740">
        <w:t>C</w:t>
      </w:r>
      <w:r w:rsidR="0028670C" w:rsidRPr="0028670C">
        <w:rPr>
          <w:vertAlign w:val="subscript"/>
        </w:rPr>
        <w:t>max</w:t>
      </w:r>
      <w:proofErr w:type="spellEnd"/>
      <w:r>
        <w:t xml:space="preserve"> were beyond the specified range, stage 2 was not performed.</w:t>
      </w:r>
    </w:p>
    <w:p w14:paraId="6068427F" w14:textId="77777777" w:rsidR="006C3311" w:rsidRDefault="00756B7D" w:rsidP="00756B7D">
      <w:pPr>
        <w:pStyle w:val="Heading5"/>
      </w:pPr>
      <w:r>
        <w:lastRenderedPageBreak/>
        <w:t xml:space="preserve">Study </w:t>
      </w:r>
      <w:r w:rsidR="006C3311" w:rsidRPr="00CA7000">
        <w:t>CLL13002</w:t>
      </w:r>
    </w:p>
    <w:p w14:paraId="1ACBED10" w14:textId="77777777" w:rsidR="006C3311" w:rsidRDefault="00756B7D" w:rsidP="004E2150">
      <w:r>
        <w:t>This study was similar to S</w:t>
      </w:r>
      <w:r w:rsidR="006C3311" w:rsidRPr="00CA7000">
        <w:t xml:space="preserve">tudy CLL12003, however the methodology was improved. It used a larger sample size (30 patients), higher dose of tiotropium (2 puffs) and an improved assay for tiotropium with lower LLQ. </w:t>
      </w:r>
      <w:r w:rsidR="006C3311">
        <w:t xml:space="preserve">After the second phase of the study, the upper and lower confidence intervals for the AUC and </w:t>
      </w:r>
      <w:proofErr w:type="spellStart"/>
      <w:r w:rsidR="0028670C" w:rsidRPr="00794740">
        <w:t>C</w:t>
      </w:r>
      <w:r w:rsidR="0028670C" w:rsidRPr="0028670C">
        <w:rPr>
          <w:vertAlign w:val="subscript"/>
        </w:rPr>
        <w:t>max</w:t>
      </w:r>
      <w:proofErr w:type="spellEnd"/>
      <w:r w:rsidR="006C3311">
        <w:t xml:space="preserve"> were wi</w:t>
      </w:r>
      <w:r>
        <w:t xml:space="preserve">thin the acceptable range of 80 to </w:t>
      </w:r>
      <w:r w:rsidR="006C3311">
        <w:t xml:space="preserve">125%. Thus, the test product </w:t>
      </w:r>
      <w:proofErr w:type="spellStart"/>
      <w:r w:rsidR="00B850D9">
        <w:t>Braltus</w:t>
      </w:r>
      <w:proofErr w:type="spellEnd"/>
      <w:r w:rsidR="006C3311">
        <w:t xml:space="preserve"> was considered bioequivalent to </w:t>
      </w:r>
      <w:r w:rsidR="0028670C">
        <w:t>Spiriva</w:t>
      </w:r>
      <w:r w:rsidR="00471266">
        <w:t>.</w:t>
      </w:r>
    </w:p>
    <w:p w14:paraId="1C523A02" w14:textId="77777777" w:rsidR="006C3311" w:rsidRPr="00756B7D" w:rsidRDefault="006C3311" w:rsidP="00756B7D">
      <w:r>
        <w:t xml:space="preserve">None of these studies utilised a charcoal block or AUC0-30min. This was considered appropriate for tiotropium due to the near complete absorption from the lung and minimal absorption from the </w:t>
      </w:r>
      <w:r w:rsidR="003F7201">
        <w:t>gastrointestinal tract (</w:t>
      </w:r>
      <w:r>
        <w:t>GIT</w:t>
      </w:r>
      <w:r w:rsidR="003F7201">
        <w:t>)</w:t>
      </w:r>
      <w:r>
        <w:t>.</w:t>
      </w:r>
    </w:p>
    <w:p w14:paraId="1988253D" w14:textId="77777777" w:rsidR="006C3311" w:rsidRPr="007B49AC" w:rsidRDefault="006C3311" w:rsidP="00756B7D">
      <w:r>
        <w:t>The clinical evaluator had the following comments in relation to the PI:</w:t>
      </w:r>
    </w:p>
    <w:p w14:paraId="170945B7" w14:textId="77777777" w:rsidR="006C3311" w:rsidRPr="00756B7D" w:rsidRDefault="006C3311" w:rsidP="00756B7D">
      <w:pPr>
        <w:pStyle w:val="Numberbullet0"/>
        <w:numPr>
          <w:ilvl w:val="0"/>
          <w:numId w:val="41"/>
        </w:numPr>
      </w:pPr>
      <w:r w:rsidRPr="00756B7D">
        <w:t xml:space="preserve">With the difference in the quantity of API between </w:t>
      </w:r>
      <w:proofErr w:type="spellStart"/>
      <w:r w:rsidRPr="00756B7D">
        <w:t>Braltus</w:t>
      </w:r>
      <w:proofErr w:type="spellEnd"/>
      <w:r w:rsidRPr="00756B7D">
        <w:t xml:space="preserve"> and </w:t>
      </w:r>
      <w:r w:rsidR="0028670C" w:rsidRPr="00756B7D">
        <w:t>Spiriva</w:t>
      </w:r>
      <w:r w:rsidRPr="00756B7D">
        <w:t xml:space="preserve">, sponsor needs to mention at the beginning of the PI under the section: Name of the medicine: </w:t>
      </w:r>
      <w:proofErr w:type="spellStart"/>
      <w:r w:rsidRPr="00756B7D">
        <w:t>Braltus</w:t>
      </w:r>
      <w:proofErr w:type="spellEnd"/>
      <w:r w:rsidRPr="00756B7D">
        <w:t xml:space="preserve"> is a generic product of </w:t>
      </w:r>
      <w:r w:rsidR="0028670C" w:rsidRPr="00756B7D">
        <w:t>Spiriva</w:t>
      </w:r>
      <w:r w:rsidRPr="00756B7D">
        <w:t xml:space="preserve"> (See </w:t>
      </w:r>
      <w:proofErr w:type="spellStart"/>
      <w:r w:rsidRPr="0073721C">
        <w:rPr>
          <w:i/>
        </w:rPr>
        <w:t>Braltus</w:t>
      </w:r>
      <w:proofErr w:type="spellEnd"/>
      <w:r w:rsidRPr="0073721C">
        <w:rPr>
          <w:i/>
        </w:rPr>
        <w:t xml:space="preserve"> pharmacokinetic profile</w:t>
      </w:r>
      <w:r w:rsidRPr="00756B7D">
        <w:t xml:space="preserve"> under </w:t>
      </w:r>
      <w:r w:rsidRPr="0073721C">
        <w:rPr>
          <w:i/>
        </w:rPr>
        <w:t>P</w:t>
      </w:r>
      <w:r w:rsidR="003F7201" w:rsidRPr="0073721C">
        <w:rPr>
          <w:i/>
        </w:rPr>
        <w:t>harmacology</w:t>
      </w:r>
      <w:r w:rsidRPr="00756B7D">
        <w:t>).</w:t>
      </w:r>
    </w:p>
    <w:p w14:paraId="59C44BEE" w14:textId="77777777" w:rsidR="006C3311" w:rsidRPr="00756B7D" w:rsidRDefault="006C3311" w:rsidP="00756B7D">
      <w:pPr>
        <w:pStyle w:val="Numberbullet0"/>
        <w:numPr>
          <w:ilvl w:val="0"/>
          <w:numId w:val="41"/>
        </w:numPr>
      </w:pPr>
      <w:r w:rsidRPr="00756B7D">
        <w:t xml:space="preserve">Describe about the comparability (therapeutic equivalence) of </w:t>
      </w:r>
      <w:proofErr w:type="spellStart"/>
      <w:r w:rsidRPr="00756B7D">
        <w:t>Braltus</w:t>
      </w:r>
      <w:proofErr w:type="spellEnd"/>
      <w:r w:rsidRPr="00756B7D">
        <w:t xml:space="preserve"> to </w:t>
      </w:r>
      <w:r w:rsidR="0028670C" w:rsidRPr="00756B7D">
        <w:t>Spiriva</w:t>
      </w:r>
      <w:r w:rsidRPr="00756B7D">
        <w:t xml:space="preserve"> under </w:t>
      </w:r>
      <w:r w:rsidR="00B850D9" w:rsidRPr="00756B7D">
        <w:t>‘</w:t>
      </w:r>
      <w:proofErr w:type="spellStart"/>
      <w:r w:rsidRPr="0073721C">
        <w:rPr>
          <w:i/>
        </w:rPr>
        <w:t>Braltus</w:t>
      </w:r>
      <w:proofErr w:type="spellEnd"/>
      <w:r w:rsidRPr="0073721C">
        <w:rPr>
          <w:i/>
        </w:rPr>
        <w:t xml:space="preserve"> pharmacokinetic profile</w:t>
      </w:r>
      <w:r w:rsidR="00B850D9" w:rsidRPr="0073721C">
        <w:rPr>
          <w:i/>
        </w:rPr>
        <w:t>’</w:t>
      </w:r>
      <w:r w:rsidRPr="00756B7D">
        <w:t xml:space="preserve"> heading as: The comparability of </w:t>
      </w:r>
      <w:proofErr w:type="spellStart"/>
      <w:r w:rsidRPr="00756B7D">
        <w:t>Braltus</w:t>
      </w:r>
      <w:proofErr w:type="spellEnd"/>
      <w:r w:rsidRPr="00756B7D">
        <w:t xml:space="preserve"> and </w:t>
      </w:r>
      <w:r w:rsidR="0028670C" w:rsidRPr="00756B7D">
        <w:t>Spiriva</w:t>
      </w:r>
      <w:r w:rsidRPr="00756B7D">
        <w:t xml:space="preserve"> was made on the basis of findings related to their physiochemical, flow geometry, particle size and distribution and systemic bioequivalence study.</w:t>
      </w:r>
    </w:p>
    <w:p w14:paraId="5AA1CA1E" w14:textId="4A8E24DD" w:rsidR="00756B7D" w:rsidRDefault="001D7586" w:rsidP="00756B7D">
      <w:pPr>
        <w:pStyle w:val="Numberbullet0"/>
        <w:numPr>
          <w:ilvl w:val="0"/>
          <w:numId w:val="41"/>
        </w:numPr>
      </w:pPr>
      <w:r>
        <w:t>The s</w:t>
      </w:r>
      <w:r w:rsidR="006C3311" w:rsidRPr="00756B7D">
        <w:t xml:space="preserve">ponsor needs to describe the </w:t>
      </w:r>
      <w:proofErr w:type="spellStart"/>
      <w:r w:rsidR="006C3311" w:rsidRPr="00756B7D">
        <w:t>Vcaps</w:t>
      </w:r>
      <w:proofErr w:type="spellEnd"/>
      <w:r w:rsidR="006C3311" w:rsidRPr="00756B7D">
        <w:t xml:space="preserve"> </w:t>
      </w:r>
      <w:proofErr w:type="spellStart"/>
      <w:r w:rsidR="006C3311" w:rsidRPr="00756B7D">
        <w:t>Braltus</w:t>
      </w:r>
      <w:proofErr w:type="spellEnd"/>
      <w:r w:rsidR="006C3311" w:rsidRPr="00756B7D">
        <w:t xml:space="preserve"> capsules in the presentation and storage section as:</w:t>
      </w:r>
    </w:p>
    <w:p w14:paraId="0BD3C6E1" w14:textId="77DD38F8" w:rsidR="00471266" w:rsidRPr="00756B7D" w:rsidRDefault="00B850D9" w:rsidP="00756B7D">
      <w:pPr>
        <w:ind w:left="720"/>
      </w:pPr>
      <w:r w:rsidRPr="00756B7D">
        <w:t>‘</w:t>
      </w:r>
      <w:r w:rsidR="006C3311" w:rsidRPr="00756B7D">
        <w:t xml:space="preserve">Each hard </w:t>
      </w:r>
      <w:proofErr w:type="spellStart"/>
      <w:r w:rsidR="006C3311" w:rsidRPr="00756B7D">
        <w:t>Braltus</w:t>
      </w:r>
      <w:proofErr w:type="spellEnd"/>
      <w:r w:rsidR="006C3311" w:rsidRPr="00756B7D">
        <w:t xml:space="preserve"> capsule contains ….. </w:t>
      </w:r>
      <w:proofErr w:type="gramStart"/>
      <w:r w:rsidR="006C3311" w:rsidRPr="00756B7D">
        <w:t>and</w:t>
      </w:r>
      <w:proofErr w:type="gramEnd"/>
      <w:r w:rsidR="006C3311" w:rsidRPr="00756B7D">
        <w:t xml:space="preserve"> the excipient lactose monohydrate (which contains milk protein). </w:t>
      </w:r>
      <w:proofErr w:type="spellStart"/>
      <w:r w:rsidR="006C3311" w:rsidRPr="00756B7D">
        <w:t>Braltus</w:t>
      </w:r>
      <w:proofErr w:type="spellEnd"/>
      <w:r w:rsidR="006C3311" w:rsidRPr="00756B7D">
        <w:t xml:space="preserve"> is </w:t>
      </w:r>
      <w:r w:rsidR="00100C0D">
        <w:t>provided</w:t>
      </w:r>
      <w:r w:rsidR="00100C0D" w:rsidRPr="00756B7D">
        <w:t xml:space="preserve"> </w:t>
      </w:r>
      <w:r w:rsidR="006C3311" w:rsidRPr="00756B7D">
        <w:t xml:space="preserve">as </w:t>
      </w:r>
      <w:proofErr w:type="spellStart"/>
      <w:r w:rsidR="006C3311" w:rsidRPr="00756B7D">
        <w:t>Vcaps</w:t>
      </w:r>
      <w:proofErr w:type="spellEnd"/>
      <w:r w:rsidR="006C3311" w:rsidRPr="00756B7D">
        <w:t xml:space="preserve">; </w:t>
      </w:r>
      <w:r w:rsidR="00100C0D">
        <w:t>a</w:t>
      </w:r>
      <w:r w:rsidR="006C3311" w:rsidRPr="00756B7D">
        <w:t xml:space="preserve"> vegetarian alternative empty hard capsule size 3</w:t>
      </w:r>
      <w:r w:rsidR="00100C0D">
        <w:t>.</w:t>
      </w:r>
    </w:p>
    <w:p w14:paraId="56816161" w14:textId="4E37286F" w:rsidR="00471266" w:rsidRPr="00756B7D" w:rsidRDefault="006C3311" w:rsidP="00756B7D">
      <w:pPr>
        <w:pStyle w:val="Numberbullet0"/>
        <w:numPr>
          <w:ilvl w:val="0"/>
          <w:numId w:val="41"/>
        </w:numPr>
      </w:pPr>
      <w:r w:rsidRPr="00756B7D">
        <w:t xml:space="preserve">Under the dosage and administration section, for the benefit of Healthcare Practitioners, the sponsor needs to mention the availability of </w:t>
      </w:r>
      <w:proofErr w:type="spellStart"/>
      <w:r w:rsidRPr="00756B7D">
        <w:t>Braltus</w:t>
      </w:r>
      <w:proofErr w:type="spellEnd"/>
      <w:r w:rsidRPr="00756B7D">
        <w:t xml:space="preserve"> </w:t>
      </w:r>
      <w:proofErr w:type="spellStart"/>
      <w:r w:rsidRPr="00756B7D">
        <w:t>Vcaps</w:t>
      </w:r>
      <w:proofErr w:type="spellEnd"/>
      <w:r w:rsidRPr="00756B7D">
        <w:t xml:space="preserve"> as a vegetarian alternative</w:t>
      </w:r>
      <w:r w:rsidR="0090374F">
        <w:t>.</w:t>
      </w:r>
    </w:p>
    <w:p w14:paraId="3C81B68E" w14:textId="77777777" w:rsidR="00456765" w:rsidRPr="00756B7D" w:rsidRDefault="006C3311" w:rsidP="00756B7D">
      <w:pPr>
        <w:spacing w:before="0" w:after="0" w:line="240" w:lineRule="auto"/>
        <w:rPr>
          <w:rFonts w:asciiTheme="minorHAnsi" w:hAnsiTheme="minorHAnsi"/>
        </w:rPr>
      </w:pPr>
      <w:r>
        <w:rPr>
          <w:rFonts w:asciiTheme="minorHAnsi" w:hAnsiTheme="minorHAnsi"/>
        </w:rPr>
        <w:t>The sponsor made changes to the PI as a result of the clinical evaluator’s requests.</w:t>
      </w:r>
    </w:p>
    <w:p w14:paraId="57454A23" w14:textId="77777777" w:rsidR="008E7846" w:rsidRPr="00756B7D" w:rsidRDefault="00386150" w:rsidP="004E2150">
      <w:pPr>
        <w:pStyle w:val="Heading3"/>
      </w:pPr>
      <w:bookmarkStart w:id="99" w:name="_Toc16587430"/>
      <w:r w:rsidRPr="00756B7D">
        <w:t xml:space="preserve">Risk </w:t>
      </w:r>
      <w:r w:rsidRPr="004E2150">
        <w:t>m</w:t>
      </w:r>
      <w:r w:rsidR="008E7846" w:rsidRPr="004E2150">
        <w:t>anagement</w:t>
      </w:r>
      <w:r w:rsidR="008E7846" w:rsidRPr="00756B7D">
        <w:t xml:space="preserve"> </w:t>
      </w:r>
      <w:r w:rsidRPr="00756B7D">
        <w:t>p</w:t>
      </w:r>
      <w:r w:rsidR="008E7846" w:rsidRPr="00756B7D">
        <w:t>lan</w:t>
      </w:r>
      <w:bookmarkEnd w:id="98"/>
      <w:bookmarkEnd w:id="99"/>
    </w:p>
    <w:p w14:paraId="183A17C7" w14:textId="77777777" w:rsidR="00565FBD" w:rsidRDefault="00565FBD" w:rsidP="00756B7D">
      <w:r w:rsidRPr="00565FBD">
        <w:t>An RMP e</w:t>
      </w:r>
      <w:r w:rsidR="00756B7D">
        <w:t>valuation was requested by the D</w:t>
      </w:r>
      <w:r w:rsidRPr="00565FBD">
        <w:t xml:space="preserve">elegate in view of the concerns about medication confusion with the different amount of medicine in the capsule and on the label for </w:t>
      </w:r>
      <w:proofErr w:type="spellStart"/>
      <w:r w:rsidR="00B850D9">
        <w:t>Braltus</w:t>
      </w:r>
      <w:proofErr w:type="spellEnd"/>
      <w:r w:rsidRPr="00565FBD">
        <w:t xml:space="preserve"> and </w:t>
      </w:r>
      <w:r w:rsidR="0028670C">
        <w:t>Spiriva</w:t>
      </w:r>
      <w:r w:rsidRPr="00565FBD">
        <w:t>.</w:t>
      </w:r>
    </w:p>
    <w:p w14:paraId="07AEF8D3" w14:textId="77777777" w:rsidR="00684354" w:rsidRPr="00565FBD" w:rsidRDefault="00684354" w:rsidP="004E2150">
      <w:pPr>
        <w:pStyle w:val="Heading4"/>
      </w:pPr>
      <w:r w:rsidRPr="004E2150">
        <w:t>Recommendations</w:t>
      </w:r>
      <w:r>
        <w:t xml:space="preserve"> of the RMP evaluator</w:t>
      </w:r>
    </w:p>
    <w:p w14:paraId="5E8C6DB9" w14:textId="4EE4E89E" w:rsidR="00565FBD" w:rsidRPr="00206F6E" w:rsidRDefault="00565FBD" w:rsidP="00756B7D">
      <w:r w:rsidRPr="00206F6E">
        <w:t>The RMP evaluator ha</w:t>
      </w:r>
      <w:r w:rsidR="003F7201">
        <w:t>d the following recommendations</w:t>
      </w:r>
      <w:r w:rsidR="001D7586">
        <w:t>.</w:t>
      </w:r>
    </w:p>
    <w:p w14:paraId="4C5A3F74" w14:textId="77777777" w:rsidR="00756B7D" w:rsidRDefault="00684354" w:rsidP="004E2150">
      <w:pPr>
        <w:pStyle w:val="Heading5"/>
      </w:pPr>
      <w:r w:rsidRPr="004E2150">
        <w:t>Recommendation</w:t>
      </w:r>
      <w:r>
        <w:t xml:space="preserve"> 1</w:t>
      </w:r>
    </w:p>
    <w:p w14:paraId="3D411889" w14:textId="77777777" w:rsidR="00565FBD" w:rsidRDefault="00565FBD" w:rsidP="004E2150">
      <w:r>
        <w:t xml:space="preserve">The sponsor has advised in the PI that </w:t>
      </w:r>
      <w:proofErr w:type="spellStart"/>
      <w:r w:rsidR="00B850D9">
        <w:t>Braltus</w:t>
      </w:r>
      <w:proofErr w:type="spellEnd"/>
      <w:r>
        <w:t xml:space="preserve"> and </w:t>
      </w:r>
      <w:r w:rsidR="0028670C">
        <w:t>Spiriva</w:t>
      </w:r>
      <w:r>
        <w:t xml:space="preserve"> are bioequivalent. This bioequivalence is established between the use of </w:t>
      </w:r>
      <w:proofErr w:type="spellStart"/>
      <w:r w:rsidR="00B850D9">
        <w:t>Braltus</w:t>
      </w:r>
      <w:proofErr w:type="spellEnd"/>
      <w:r>
        <w:t xml:space="preserve"> with </w:t>
      </w:r>
      <w:proofErr w:type="spellStart"/>
      <w:r w:rsidR="008E61E8">
        <w:t>Zonda</w:t>
      </w:r>
      <w:proofErr w:type="spellEnd"/>
      <w:r>
        <w:t xml:space="preserve"> device and the use of </w:t>
      </w:r>
      <w:r w:rsidR="0028670C">
        <w:t>Spiriva</w:t>
      </w:r>
      <w:r>
        <w:t xml:space="preserve"> with </w:t>
      </w:r>
      <w:proofErr w:type="spellStart"/>
      <w:r>
        <w:t>H</w:t>
      </w:r>
      <w:r w:rsidR="00756B7D">
        <w:t>andihaler</w:t>
      </w:r>
      <w:proofErr w:type="spellEnd"/>
      <w:r>
        <w:t xml:space="preserve"> device. </w:t>
      </w:r>
      <w:r w:rsidR="00D76962">
        <w:t>T</w:t>
      </w:r>
      <w:r>
        <w:t xml:space="preserve">he suggested inhalation techniques </w:t>
      </w:r>
      <w:r w:rsidR="00D76962">
        <w:t xml:space="preserve">were </w:t>
      </w:r>
      <w:r>
        <w:t>similar for both products</w:t>
      </w:r>
      <w:r w:rsidR="00D76962">
        <w:t>. However</w:t>
      </w:r>
      <w:r>
        <w:t xml:space="preserve"> there </w:t>
      </w:r>
      <w:r w:rsidR="00D76962">
        <w:t>were some</w:t>
      </w:r>
      <w:r>
        <w:t xml:space="preserve"> differences between </w:t>
      </w:r>
      <w:proofErr w:type="spellStart"/>
      <w:r>
        <w:t>Z</w:t>
      </w:r>
      <w:r w:rsidR="00D76962">
        <w:t>onda</w:t>
      </w:r>
      <w:proofErr w:type="spellEnd"/>
      <w:r>
        <w:t xml:space="preserve"> device and </w:t>
      </w:r>
      <w:proofErr w:type="spellStart"/>
      <w:r>
        <w:t>H</w:t>
      </w:r>
      <w:r w:rsidR="00756B7D">
        <w:t>andihaler</w:t>
      </w:r>
      <w:proofErr w:type="spellEnd"/>
      <w:r w:rsidR="00756B7D">
        <w:t xml:space="preserve"> device:</w:t>
      </w:r>
    </w:p>
    <w:p w14:paraId="05571FFB" w14:textId="77777777" w:rsidR="00471266" w:rsidRDefault="00565FBD" w:rsidP="004E2150">
      <w:pPr>
        <w:pStyle w:val="Numberbullet0"/>
        <w:numPr>
          <w:ilvl w:val="0"/>
          <w:numId w:val="42"/>
        </w:numPr>
      </w:pPr>
      <w:proofErr w:type="spellStart"/>
      <w:r>
        <w:t>H</w:t>
      </w:r>
      <w:r w:rsidR="00756B7D">
        <w:t>andihaler</w:t>
      </w:r>
      <w:proofErr w:type="spellEnd"/>
      <w:r>
        <w:t xml:space="preserve"> device is expected to be reused with different bottles of capsule for </w:t>
      </w:r>
      <w:r w:rsidRPr="004E2150">
        <w:t>inhalation</w:t>
      </w:r>
      <w:r>
        <w:t xml:space="preserve">. The device is dispensed separately from </w:t>
      </w:r>
      <w:r w:rsidR="0028670C">
        <w:t>Spiriva</w:t>
      </w:r>
      <w:r>
        <w:t xml:space="preserve"> capsules. In contrast, each </w:t>
      </w:r>
      <w:proofErr w:type="spellStart"/>
      <w:r w:rsidR="00B850D9">
        <w:t>Braltus</w:t>
      </w:r>
      <w:proofErr w:type="spellEnd"/>
      <w:r>
        <w:t xml:space="preserve"> capsule bottle contains a new </w:t>
      </w:r>
      <w:proofErr w:type="spellStart"/>
      <w:r>
        <w:t>Z</w:t>
      </w:r>
      <w:r w:rsidR="00756B7D">
        <w:t>onda</w:t>
      </w:r>
      <w:proofErr w:type="spellEnd"/>
      <w:r>
        <w:t xml:space="preserve"> device which is not expected for use more than 30 times</w:t>
      </w:r>
      <w:r w:rsidR="00471266">
        <w:t>.</w:t>
      </w:r>
    </w:p>
    <w:p w14:paraId="7A729C59" w14:textId="77777777" w:rsidR="00471266" w:rsidRDefault="00565FBD" w:rsidP="00756B7D">
      <w:pPr>
        <w:pStyle w:val="Numberbullet0"/>
        <w:numPr>
          <w:ilvl w:val="0"/>
          <w:numId w:val="42"/>
        </w:numPr>
      </w:pPr>
      <w:r>
        <w:lastRenderedPageBreak/>
        <w:t>The colour and shape of the two devices are different</w:t>
      </w:r>
      <w:r w:rsidR="00471266">
        <w:t>.</w:t>
      </w:r>
    </w:p>
    <w:p w14:paraId="19E4FD11" w14:textId="77777777" w:rsidR="00471266" w:rsidRDefault="00565FBD" w:rsidP="00756B7D">
      <w:pPr>
        <w:pStyle w:val="Numberbullet0"/>
        <w:numPr>
          <w:ilvl w:val="0"/>
          <w:numId w:val="42"/>
        </w:numPr>
      </w:pPr>
      <w:proofErr w:type="spellStart"/>
      <w:r>
        <w:t>H</w:t>
      </w:r>
      <w:r w:rsidR="00756B7D">
        <w:t>andihaler</w:t>
      </w:r>
      <w:proofErr w:type="spellEnd"/>
      <w:r>
        <w:t xml:space="preserve"> device is expected to be cleaned with water once a month. </w:t>
      </w:r>
      <w:proofErr w:type="spellStart"/>
      <w:r>
        <w:t>Z</w:t>
      </w:r>
      <w:r w:rsidR="00756B7D">
        <w:t>onda</w:t>
      </w:r>
      <w:proofErr w:type="spellEnd"/>
      <w:r>
        <w:t xml:space="preserve"> device is expected to be cleaned with dry cloth or tissue if necessary</w:t>
      </w:r>
      <w:r w:rsidR="00471266">
        <w:t>.</w:t>
      </w:r>
    </w:p>
    <w:p w14:paraId="00CD3D09" w14:textId="77777777" w:rsidR="00565FBD" w:rsidRDefault="00565FBD" w:rsidP="004E2150">
      <w:r>
        <w:t>To ensure adequate counselling for patients, it is recommended that the followi</w:t>
      </w:r>
      <w:r w:rsidR="00756B7D">
        <w:t>ng advice is added to the DHPC:</w:t>
      </w:r>
    </w:p>
    <w:p w14:paraId="5CAB3D29" w14:textId="77777777" w:rsidR="00471266" w:rsidRDefault="00565FBD" w:rsidP="00756B7D">
      <w:pPr>
        <w:ind w:left="720"/>
      </w:pPr>
      <w:r>
        <w:t xml:space="preserve">Each box of </w:t>
      </w:r>
      <w:proofErr w:type="spellStart"/>
      <w:r w:rsidR="00B850D9">
        <w:t>Braltus</w:t>
      </w:r>
      <w:proofErr w:type="spellEnd"/>
      <w:r>
        <w:t xml:space="preserve"> contains a new </w:t>
      </w:r>
      <w:proofErr w:type="spellStart"/>
      <w:r>
        <w:t>Z</w:t>
      </w:r>
      <w:r w:rsidR="00756B7D">
        <w:t>onda</w:t>
      </w:r>
      <w:proofErr w:type="spellEnd"/>
      <w:r>
        <w:t xml:space="preserve"> inhaler and inhalation capsules. Patients being switched from </w:t>
      </w:r>
      <w:r w:rsidR="0028670C">
        <w:t>Spiriva</w:t>
      </w:r>
      <w:r>
        <w:t xml:space="preserve"> must use the </w:t>
      </w:r>
      <w:proofErr w:type="spellStart"/>
      <w:r>
        <w:t>Z</w:t>
      </w:r>
      <w:r w:rsidR="00756B7D">
        <w:t>onda</w:t>
      </w:r>
      <w:proofErr w:type="spellEnd"/>
      <w:r w:rsidR="00756B7D">
        <w:t xml:space="preserve"> </w:t>
      </w:r>
      <w:r>
        <w:t xml:space="preserve">inhaler with </w:t>
      </w:r>
      <w:proofErr w:type="spellStart"/>
      <w:r w:rsidR="00B850D9">
        <w:t>Braltus</w:t>
      </w:r>
      <w:proofErr w:type="spellEnd"/>
      <w:r>
        <w:t xml:space="preserve"> to deliver the intended dose. The </w:t>
      </w:r>
      <w:proofErr w:type="spellStart"/>
      <w:r>
        <w:t>Z</w:t>
      </w:r>
      <w:r w:rsidR="00756B7D">
        <w:t>onda</w:t>
      </w:r>
      <w:proofErr w:type="spellEnd"/>
      <w:r>
        <w:t xml:space="preserve"> inhaler should be discarded after 30 uses</w:t>
      </w:r>
      <w:r w:rsidR="00471266">
        <w:t>.</w:t>
      </w:r>
    </w:p>
    <w:p w14:paraId="30564542" w14:textId="77777777" w:rsidR="00684354" w:rsidRDefault="00684354" w:rsidP="004E2150">
      <w:pPr>
        <w:pStyle w:val="Heading5"/>
      </w:pPr>
      <w:r w:rsidRPr="004E2150">
        <w:t>Recommendation</w:t>
      </w:r>
      <w:r>
        <w:t xml:space="preserve"> 2</w:t>
      </w:r>
    </w:p>
    <w:p w14:paraId="78ABC17A" w14:textId="1F70149A" w:rsidR="00471266" w:rsidRDefault="00565FBD" w:rsidP="00565FBD">
      <w:r>
        <w:t xml:space="preserve">The proposed electronic distribution of the </w:t>
      </w:r>
      <w:r w:rsidR="003F7201">
        <w:t>DHPC</w:t>
      </w:r>
      <w:r w:rsidR="001D7586">
        <w:t xml:space="preserve"> information</w:t>
      </w:r>
      <w:r>
        <w:t xml:space="preserve"> is acceptable. The sponsor should include relevant nurse practitioners on the distribution list</w:t>
      </w:r>
      <w:r w:rsidR="00471266">
        <w:t>.</w:t>
      </w:r>
    </w:p>
    <w:p w14:paraId="702A509D" w14:textId="77777777" w:rsidR="00684354" w:rsidRDefault="00565FBD" w:rsidP="004E2150">
      <w:pPr>
        <w:pStyle w:val="Heading5"/>
      </w:pPr>
      <w:r w:rsidRPr="004E2150">
        <w:t>R</w:t>
      </w:r>
      <w:r w:rsidR="00684354" w:rsidRPr="004E2150">
        <w:t>ecommendation</w:t>
      </w:r>
      <w:r w:rsidR="00684354">
        <w:t xml:space="preserve"> 3</w:t>
      </w:r>
    </w:p>
    <w:p w14:paraId="22639B70" w14:textId="29D3085A" w:rsidR="00565FBD" w:rsidRDefault="00565FBD" w:rsidP="004E2150">
      <w:r>
        <w:t>The sponsor should provide its implementation plan for the DHPC</w:t>
      </w:r>
      <w:r w:rsidR="001D7586">
        <w:t xml:space="preserve"> information</w:t>
      </w:r>
      <w:r>
        <w:t>. The follow</w:t>
      </w:r>
      <w:r w:rsidR="00684354">
        <w:t>ing aspects should be included:</w:t>
      </w:r>
    </w:p>
    <w:p w14:paraId="624EC9AA" w14:textId="3516FFF8" w:rsidR="00565FBD" w:rsidRDefault="001D7586" w:rsidP="004E2150">
      <w:pPr>
        <w:pStyle w:val="Numberbullet0"/>
        <w:numPr>
          <w:ilvl w:val="0"/>
          <w:numId w:val="43"/>
        </w:numPr>
      </w:pPr>
      <w:r>
        <w:t xml:space="preserve">planned </w:t>
      </w:r>
      <w:r w:rsidR="00565FBD" w:rsidRPr="004E2150">
        <w:t>delivery</w:t>
      </w:r>
      <w:r w:rsidR="00565FBD">
        <w:t xml:space="preserve"> time frame;</w:t>
      </w:r>
    </w:p>
    <w:p w14:paraId="039B5E85" w14:textId="50E8A9F9" w:rsidR="00565FBD" w:rsidRDefault="001D7586" w:rsidP="00684354">
      <w:pPr>
        <w:pStyle w:val="Numberbullet0"/>
        <w:numPr>
          <w:ilvl w:val="0"/>
          <w:numId w:val="43"/>
        </w:numPr>
      </w:pPr>
      <w:r>
        <w:t xml:space="preserve">how </w:t>
      </w:r>
      <w:r w:rsidR="00565FBD">
        <w:t>will the list of individual recipients be obtained to ensure the intended recipien</w:t>
      </w:r>
      <w:r w:rsidR="00684354">
        <w:t>ts are included;</w:t>
      </w:r>
      <w:r>
        <w:t xml:space="preserve"> and</w:t>
      </w:r>
    </w:p>
    <w:p w14:paraId="7A85CD09" w14:textId="08CD9512" w:rsidR="00565FBD" w:rsidRDefault="001D7586" w:rsidP="00684354">
      <w:pPr>
        <w:pStyle w:val="Numberbullet0"/>
        <w:numPr>
          <w:ilvl w:val="0"/>
          <w:numId w:val="43"/>
        </w:numPr>
      </w:pPr>
      <w:proofErr w:type="gramStart"/>
      <w:r>
        <w:t>how</w:t>
      </w:r>
      <w:proofErr w:type="gramEnd"/>
      <w:r>
        <w:t xml:space="preserve"> </w:t>
      </w:r>
      <w:r w:rsidR="00565FBD">
        <w:t>will the DHPC be delivered electronically? If the DHPC is to be delivered by email, delivery and read receipts should be requested.</w:t>
      </w:r>
    </w:p>
    <w:p w14:paraId="7A17BF5D" w14:textId="77777777" w:rsidR="00684354" w:rsidRDefault="00684354" w:rsidP="004E2150">
      <w:pPr>
        <w:pStyle w:val="Heading5"/>
      </w:pPr>
      <w:r w:rsidRPr="004E2150">
        <w:t>Recommendation</w:t>
      </w:r>
      <w:r>
        <w:t xml:space="preserve"> 4</w:t>
      </w:r>
    </w:p>
    <w:p w14:paraId="7C153E9B" w14:textId="77777777" w:rsidR="00565FBD" w:rsidRDefault="00565FBD" w:rsidP="004E2150">
      <w:r>
        <w:t xml:space="preserve">It is noted that unlike the instructions for use provided in the CMI for </w:t>
      </w:r>
      <w:r w:rsidR="0028670C">
        <w:t>Spiriva</w:t>
      </w:r>
      <w:r>
        <w:t xml:space="preserve">, no instructions on cleaning with water have been provided for </w:t>
      </w:r>
      <w:proofErr w:type="spellStart"/>
      <w:r w:rsidR="00B850D9">
        <w:t>Braltus</w:t>
      </w:r>
      <w:proofErr w:type="spellEnd"/>
      <w:r>
        <w:t xml:space="preserve">. It is unclear whether this is because the </w:t>
      </w:r>
      <w:proofErr w:type="spellStart"/>
      <w:r>
        <w:t>Z</w:t>
      </w:r>
      <w:r w:rsidR="00684354">
        <w:t>onda</w:t>
      </w:r>
      <w:proofErr w:type="spellEnd"/>
      <w:r>
        <w:t xml:space="preserve"> device is not expected to be reused for more than 30 times and therefore, does not require water cleaning. The sponsor should provide clarification as to whether the </w:t>
      </w:r>
      <w:proofErr w:type="spellStart"/>
      <w:r w:rsidR="00684354">
        <w:t>Zonda</w:t>
      </w:r>
      <w:proofErr w:type="spellEnd"/>
      <w:r>
        <w:t xml:space="preserve"> device can be cleaned and rinsed with water. Advice on/against water cleaning should be provided in both ‘Information for the patient’ and the CMI to ensure adequate maintenance of the device.</w:t>
      </w:r>
    </w:p>
    <w:p w14:paraId="560FA8D5" w14:textId="77777777" w:rsidR="00684354" w:rsidRDefault="00565FBD" w:rsidP="00684354">
      <w:pPr>
        <w:pStyle w:val="Heading5"/>
      </w:pPr>
      <w:r w:rsidRPr="00154B39">
        <w:t>Recommendation 5</w:t>
      </w:r>
    </w:p>
    <w:p w14:paraId="31CCDC34" w14:textId="77777777" w:rsidR="00565FBD" w:rsidRDefault="00565FBD" w:rsidP="00684354">
      <w:r>
        <w:t>T</w:t>
      </w:r>
      <w:r w:rsidR="00684354">
        <w:t>he D</w:t>
      </w:r>
      <w:r>
        <w:t>elegate has made a specific request for advice</w:t>
      </w:r>
      <w:r w:rsidR="000D0887">
        <w:t xml:space="preserve"> </w:t>
      </w:r>
      <w:r>
        <w:t>from the RMP eva</w:t>
      </w:r>
      <w:r w:rsidR="00684354">
        <w:t>luator on the following matter:</w:t>
      </w:r>
    </w:p>
    <w:p w14:paraId="1B289527" w14:textId="77777777" w:rsidR="00565FBD" w:rsidRDefault="00684354" w:rsidP="00684354">
      <w:r>
        <w:t>The quality evaluator</w:t>
      </w:r>
      <w:r w:rsidR="00565FBD">
        <w:t xml:space="preserve"> would prefer that the delivered dose was displayed in a more prominent location in addition to the metered dose. See below for an example:</w:t>
      </w:r>
    </w:p>
    <w:p w14:paraId="7EEEBFF9" w14:textId="77777777" w:rsidR="00565FBD" w:rsidRPr="0073721C" w:rsidRDefault="00565FBD" w:rsidP="0073721C">
      <w:pPr>
        <w:ind w:left="720"/>
        <w:rPr>
          <w:i/>
        </w:rPr>
      </w:pPr>
      <w:r w:rsidRPr="0073721C">
        <w:rPr>
          <w:i/>
        </w:rPr>
        <w:t>‘</w:t>
      </w:r>
      <w:proofErr w:type="spellStart"/>
      <w:r w:rsidRPr="0073721C">
        <w:rPr>
          <w:i/>
        </w:rPr>
        <w:t>Braltus</w:t>
      </w:r>
      <w:proofErr w:type="spellEnd"/>
    </w:p>
    <w:p w14:paraId="2847A640" w14:textId="77777777" w:rsidR="00565FBD" w:rsidRPr="0073721C" w:rsidRDefault="00565FBD" w:rsidP="0073721C">
      <w:pPr>
        <w:ind w:left="720"/>
        <w:rPr>
          <w:i/>
        </w:rPr>
      </w:pPr>
      <w:r w:rsidRPr="0073721C">
        <w:rPr>
          <w:i/>
        </w:rPr>
        <w:t>Tiotropium (as bromide) 13 microgram metered dose</w:t>
      </w:r>
    </w:p>
    <w:p w14:paraId="5FC1A337" w14:textId="77777777" w:rsidR="00565FBD" w:rsidRPr="001D7586" w:rsidRDefault="00565FBD" w:rsidP="0073721C">
      <w:pPr>
        <w:ind w:left="720"/>
      </w:pPr>
      <w:r w:rsidRPr="0073721C">
        <w:rPr>
          <w:i/>
        </w:rPr>
        <w:t>Tiotropium (as bromide) 10 microgram delivered dose’</w:t>
      </w:r>
    </w:p>
    <w:p w14:paraId="229F5723" w14:textId="14E90C2D" w:rsidR="00565FBD" w:rsidRPr="00565FBD" w:rsidRDefault="00565FBD" w:rsidP="004E2150">
      <w:r>
        <w:t>The RMP evaluator supports the proposed label change to show the delivered dose in addition to the metered dose to avoid confusion. However, it has been noted that the D</w:t>
      </w:r>
      <w:r w:rsidR="001D7586">
        <w:t>ear </w:t>
      </w:r>
      <w:r>
        <w:t>HPC</w:t>
      </w:r>
      <w:r w:rsidR="001D7586">
        <w:t xml:space="preserve"> information</w:t>
      </w:r>
      <w:r>
        <w:t xml:space="preserve"> states ‘13 microgram’ as ‘pre-metered dose’ whilst the label states ‘13 microgram’ as ‘metered dose’. It is recommended that the term is used c</w:t>
      </w:r>
      <w:r w:rsidR="00684354">
        <w:t>onsistently to avoid confusion.</w:t>
      </w:r>
    </w:p>
    <w:p w14:paraId="55DEB19B" w14:textId="77777777" w:rsidR="008E7846" w:rsidRDefault="00AA0ED0" w:rsidP="004E2150">
      <w:pPr>
        <w:pStyle w:val="Heading3"/>
      </w:pPr>
      <w:bookmarkStart w:id="100" w:name="_Toc247691531"/>
      <w:bookmarkStart w:id="101" w:name="_Toc314842515"/>
      <w:bookmarkStart w:id="102" w:name="_Toc16587431"/>
      <w:bookmarkStart w:id="103" w:name="_Toc196046505"/>
      <w:bookmarkStart w:id="104" w:name="_Toc196046949"/>
      <w:r>
        <w:lastRenderedPageBreak/>
        <w:t>Risk-</w:t>
      </w:r>
      <w:r w:rsidRPr="004E2150">
        <w:t>benefit</w:t>
      </w:r>
      <w:r>
        <w:t xml:space="preserve"> a</w:t>
      </w:r>
      <w:r w:rsidR="008E7846">
        <w:t>nalysis</w:t>
      </w:r>
      <w:bookmarkEnd w:id="100"/>
      <w:bookmarkEnd w:id="101"/>
      <w:bookmarkEnd w:id="102"/>
    </w:p>
    <w:p w14:paraId="5B50639E" w14:textId="77777777" w:rsidR="00D23139" w:rsidRDefault="00684354" w:rsidP="00D23139">
      <w:pPr>
        <w:pStyle w:val="Heading4"/>
      </w:pPr>
      <w:r>
        <w:t>Delegate’s considerations</w:t>
      </w:r>
    </w:p>
    <w:p w14:paraId="360A9C36" w14:textId="77777777" w:rsidR="00565FBD" w:rsidRPr="00565FBD" w:rsidRDefault="00684354" w:rsidP="004E2150">
      <w:r>
        <w:t>The Delegate is</w:t>
      </w:r>
      <w:r w:rsidR="00565FBD" w:rsidRPr="00565FBD">
        <w:t xml:space="preserve"> satisfied that the delivered dose of the </w:t>
      </w:r>
      <w:r w:rsidR="0028670C">
        <w:t>Spiriva</w:t>
      </w:r>
      <w:r w:rsidR="00565FBD" w:rsidRPr="00565FBD">
        <w:t xml:space="preserve"> and </w:t>
      </w:r>
      <w:proofErr w:type="spellStart"/>
      <w:r w:rsidR="00B850D9">
        <w:t>Braltus</w:t>
      </w:r>
      <w:proofErr w:type="spellEnd"/>
      <w:r w:rsidR="00565FBD" w:rsidRPr="00565FBD">
        <w:t xml:space="preserve"> inhaler is bioequivalent and that </w:t>
      </w:r>
      <w:proofErr w:type="spellStart"/>
      <w:r w:rsidR="00B850D9">
        <w:t>Braltus</w:t>
      </w:r>
      <w:proofErr w:type="spellEnd"/>
      <w:r w:rsidR="00565FBD" w:rsidRPr="00565FBD">
        <w:t xml:space="preserve"> could be considered </w:t>
      </w:r>
      <w:r w:rsidR="00D76962">
        <w:t>therapeutically equivalent to</w:t>
      </w:r>
      <w:r w:rsidR="00565FBD" w:rsidRPr="00565FBD">
        <w:t xml:space="preserve"> </w:t>
      </w:r>
      <w:r w:rsidR="0028670C">
        <w:t>Spiriva</w:t>
      </w:r>
      <w:r>
        <w:t>.</w:t>
      </w:r>
    </w:p>
    <w:p w14:paraId="5017881A" w14:textId="77777777" w:rsidR="00565FBD" w:rsidRPr="00565FBD" w:rsidRDefault="00565FBD" w:rsidP="00684354">
      <w:r w:rsidRPr="00565FBD">
        <w:t>However, before this application can be approved, the following changes are required to the labelling, product information and health care provider letter to provide clarity over the differences in the two products.</w:t>
      </w:r>
    </w:p>
    <w:p w14:paraId="31CD2809" w14:textId="77777777" w:rsidR="00565FBD" w:rsidRPr="00684354" w:rsidRDefault="00684354" w:rsidP="004E2150">
      <w:pPr>
        <w:pStyle w:val="Heading5"/>
      </w:pPr>
      <w:r w:rsidRPr="004E2150">
        <w:t>Label</w:t>
      </w:r>
    </w:p>
    <w:p w14:paraId="2685ABE6" w14:textId="77777777" w:rsidR="00565FBD" w:rsidRPr="00E835E1" w:rsidRDefault="00684354" w:rsidP="004E2150">
      <w:r>
        <w:t>The Delegate has</w:t>
      </w:r>
      <w:r w:rsidR="00565FBD" w:rsidRPr="00E835E1">
        <w:t xml:space="preserve"> reviewed the labels on the carton and device</w:t>
      </w:r>
      <w:r w:rsidR="00565FBD">
        <w:t xml:space="preserve"> that were sent in with the post </w:t>
      </w:r>
      <w:r w:rsidR="00F50582">
        <w:t>second round evaluation</w:t>
      </w:r>
      <w:r w:rsidR="00565FBD">
        <w:t xml:space="preserve"> response</w:t>
      </w:r>
      <w:r w:rsidR="00565FBD" w:rsidRPr="00E835E1">
        <w:t>.</w:t>
      </w:r>
    </w:p>
    <w:p w14:paraId="71206D18" w14:textId="77777777" w:rsidR="00565FBD" w:rsidRDefault="00565FBD" w:rsidP="00684354">
      <w:r w:rsidRPr="00E835E1">
        <w:t>In relation to the carton, both the metered dose and delivered dose need to be clear (similar to this label below from the bottle)</w:t>
      </w:r>
      <w:r w:rsidR="00684354">
        <w:t>.</w:t>
      </w:r>
    </w:p>
    <w:p w14:paraId="04062A0F" w14:textId="77777777" w:rsidR="00684354" w:rsidRDefault="00534EEB" w:rsidP="004E2150">
      <w:pPr>
        <w:pStyle w:val="FigureTitle"/>
      </w:pPr>
      <w:r w:rsidRPr="004E2150">
        <w:t>Figure</w:t>
      </w:r>
      <w:r>
        <w:t xml:space="preserve"> 5</w:t>
      </w:r>
      <w:r w:rsidR="00684354">
        <w:t xml:space="preserve">: Label for bottle for </w:t>
      </w:r>
      <w:proofErr w:type="spellStart"/>
      <w:r w:rsidR="00684354">
        <w:t>Braltus</w:t>
      </w:r>
      <w:proofErr w:type="spellEnd"/>
      <w:r w:rsidR="00684354">
        <w:t xml:space="preserve"> capsules</w:t>
      </w:r>
    </w:p>
    <w:p w14:paraId="7B882A22" w14:textId="77777777" w:rsidR="00456765" w:rsidRDefault="00565FBD" w:rsidP="004E2150">
      <w:r>
        <w:rPr>
          <w:noProof/>
          <w:lang w:eastAsia="en-AU"/>
        </w:rPr>
        <w:drawing>
          <wp:inline distT="0" distB="0" distL="0" distR="0" wp14:anchorId="0839EB74" wp14:editId="310A7059">
            <wp:extent cx="4740858" cy="1441378"/>
            <wp:effectExtent l="0" t="0" r="3175" b="6985"/>
            <wp:docPr id="8" name="Picture 8" descr="Figure 5: Label for bottle for Braltus caps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0960" cy="1444449"/>
                    </a:xfrm>
                    <a:prstGeom prst="rect">
                      <a:avLst/>
                    </a:prstGeom>
                    <a:noFill/>
                    <a:ln>
                      <a:noFill/>
                    </a:ln>
                  </pic:spPr>
                </pic:pic>
              </a:graphicData>
            </a:graphic>
          </wp:inline>
        </w:drawing>
      </w:r>
    </w:p>
    <w:p w14:paraId="31C54C65" w14:textId="77777777" w:rsidR="00471266" w:rsidRDefault="00565FBD" w:rsidP="004E2150">
      <w:r w:rsidRPr="00E835E1">
        <w:t xml:space="preserve">In relation to the bottle, it is unclear how each of the three labels will be displayed. Could </w:t>
      </w:r>
      <w:r>
        <w:t>the sponsor</w:t>
      </w:r>
      <w:r w:rsidRPr="00E835E1">
        <w:t xml:space="preserve"> please clarify </w:t>
      </w:r>
      <w:r w:rsidR="00F50582" w:rsidRPr="00E835E1">
        <w:t>this</w:t>
      </w:r>
      <w:r w:rsidR="00F50582">
        <w:t>?</w:t>
      </w:r>
    </w:p>
    <w:p w14:paraId="769D8004" w14:textId="77777777" w:rsidR="001D7586" w:rsidRDefault="00565FBD" w:rsidP="004E2150">
      <w:pPr>
        <w:pStyle w:val="Heading5"/>
      </w:pPr>
      <w:r w:rsidRPr="004E2150">
        <w:t>Product</w:t>
      </w:r>
      <w:r w:rsidRPr="00F50582">
        <w:t xml:space="preserve"> Information</w:t>
      </w:r>
    </w:p>
    <w:p w14:paraId="791083D9" w14:textId="5C2C9142" w:rsidR="00565FBD" w:rsidRPr="00F50582" w:rsidRDefault="001D7586" w:rsidP="004E2150">
      <w:r>
        <w:t>From</w:t>
      </w:r>
      <w:r w:rsidR="0073721C">
        <w:t xml:space="preserve"> </w:t>
      </w:r>
      <w:r w:rsidR="00565FBD" w:rsidRPr="00F50582">
        <w:t>version 13082018 v0.3:</w:t>
      </w:r>
    </w:p>
    <w:p w14:paraId="099F0EC7" w14:textId="77777777" w:rsidR="00565FBD" w:rsidRDefault="003F7201" w:rsidP="004E2150">
      <w:pPr>
        <w:pStyle w:val="ListBullet"/>
      </w:pPr>
      <w:r>
        <w:t>(</w:t>
      </w:r>
      <w:r w:rsidR="00565FBD">
        <w:t>page 4</w:t>
      </w:r>
      <w:r>
        <w:t>)</w:t>
      </w:r>
      <w:r w:rsidR="00565FBD">
        <w:t xml:space="preserve">, </w:t>
      </w:r>
      <w:proofErr w:type="spellStart"/>
      <w:r w:rsidR="00B850D9" w:rsidRPr="004E2150">
        <w:t>Braltus</w:t>
      </w:r>
      <w:proofErr w:type="spellEnd"/>
      <w:r w:rsidR="00565FBD">
        <w:t xml:space="preserve"> </w:t>
      </w:r>
      <w:r w:rsidR="00F50582">
        <w:t>pharmacokinetic</w:t>
      </w:r>
      <w:r w:rsidR="00565FBD">
        <w:t xml:space="preserve"> profile:</w:t>
      </w:r>
    </w:p>
    <w:p w14:paraId="36068DFC" w14:textId="77777777" w:rsidR="00565FBD" w:rsidRDefault="00565FBD" w:rsidP="00721494">
      <w:pPr>
        <w:pStyle w:val="ListBullet"/>
        <w:numPr>
          <w:ilvl w:val="0"/>
          <w:numId w:val="0"/>
        </w:numPr>
        <w:ind w:left="360"/>
      </w:pPr>
      <w:r>
        <w:t>For inhaled products, the amount of drug delivered is dependent upon the formulation and the device used. Please include the trade name and the name of the delivery device for the reference product.</w:t>
      </w:r>
    </w:p>
    <w:p w14:paraId="3481BE09" w14:textId="77777777" w:rsidR="00565FBD" w:rsidRDefault="003F7201" w:rsidP="00721494">
      <w:pPr>
        <w:pStyle w:val="ListBullet"/>
      </w:pPr>
      <w:r>
        <w:t>(</w:t>
      </w:r>
      <w:r w:rsidR="00565FBD">
        <w:t xml:space="preserve">page 19 </w:t>
      </w:r>
      <w:r w:rsidR="00565FBD" w:rsidRPr="00721494">
        <w:t>and</w:t>
      </w:r>
      <w:r w:rsidR="00565FBD">
        <w:t xml:space="preserve"> 1</w:t>
      </w:r>
      <w:r>
        <w:t>)</w:t>
      </w:r>
      <w:r w:rsidR="00565FBD">
        <w:t xml:space="preserve"> N</w:t>
      </w:r>
      <w:r>
        <w:t>ame</w:t>
      </w:r>
    </w:p>
    <w:p w14:paraId="70642FAA" w14:textId="77777777" w:rsidR="00565FBD" w:rsidRDefault="00565FBD" w:rsidP="00721494">
      <w:pPr>
        <w:pStyle w:val="ListBullet"/>
        <w:numPr>
          <w:ilvl w:val="0"/>
          <w:numId w:val="0"/>
        </w:numPr>
        <w:ind w:left="360"/>
      </w:pPr>
      <w:r>
        <w:t>Please include the statement: ‘</w:t>
      </w:r>
      <w:proofErr w:type="spellStart"/>
      <w:r w:rsidR="00B850D9">
        <w:t>Braltus</w:t>
      </w:r>
      <w:proofErr w:type="spellEnd"/>
      <w:r>
        <w:t xml:space="preserve"> is a generic version of </w:t>
      </w:r>
      <w:proofErr w:type="spellStart"/>
      <w:r>
        <w:t>S</w:t>
      </w:r>
      <w:r w:rsidR="00F50582">
        <w:t>priva</w:t>
      </w:r>
      <w:proofErr w:type="spellEnd"/>
      <w:r>
        <w:t xml:space="preserve">’ and relocate the statement </w:t>
      </w:r>
      <w:r w:rsidR="00B850D9">
        <w:t>‘</w:t>
      </w:r>
      <w:proofErr w:type="spellStart"/>
      <w:r w:rsidR="00B850D9">
        <w:t>Braltus</w:t>
      </w:r>
      <w:proofErr w:type="spellEnd"/>
      <w:r>
        <w:t xml:space="preserve"> and </w:t>
      </w:r>
      <w:r w:rsidR="0028670C">
        <w:t>Spiriva</w:t>
      </w:r>
      <w:r>
        <w:t xml:space="preserve"> both deliver 10 micrograms of tiotropium bromide</w:t>
      </w:r>
      <w:r w:rsidR="00B850D9">
        <w:t>’</w:t>
      </w:r>
      <w:r>
        <w:t xml:space="preserve"> from the Dosage and administration section to the </w:t>
      </w:r>
      <w:r w:rsidR="003F7201">
        <w:t xml:space="preserve">name of medicine </w:t>
      </w:r>
      <w:r>
        <w:t xml:space="preserve">section. </w:t>
      </w:r>
      <w:r w:rsidR="00F50582">
        <w:t>The Delegate</w:t>
      </w:r>
      <w:r>
        <w:t xml:space="preserve"> acknowledge</w:t>
      </w:r>
      <w:r w:rsidR="00F50582">
        <w:t>s</w:t>
      </w:r>
      <w:r>
        <w:t xml:space="preserve"> that this is not a usual requirement for a generic. However, </w:t>
      </w:r>
      <w:proofErr w:type="spellStart"/>
      <w:r w:rsidR="00B850D9">
        <w:t>Braltus</w:t>
      </w:r>
      <w:proofErr w:type="spellEnd"/>
      <w:r>
        <w:t xml:space="preserve"> has a number of features not typical of a generic</w:t>
      </w:r>
      <w:r w:rsidR="00471266">
        <w:t>.</w:t>
      </w:r>
    </w:p>
    <w:p w14:paraId="4E858923" w14:textId="77777777" w:rsidR="00565FBD" w:rsidRDefault="003F7201" w:rsidP="00721494">
      <w:pPr>
        <w:pStyle w:val="ListBullet"/>
      </w:pPr>
      <w:r>
        <w:t>(</w:t>
      </w:r>
      <w:r w:rsidR="00565FBD">
        <w:t>Page 1 and 20</w:t>
      </w:r>
      <w:r>
        <w:t xml:space="preserve">) </w:t>
      </w:r>
      <w:proofErr w:type="spellStart"/>
      <w:r>
        <w:t>Vcaps</w:t>
      </w:r>
      <w:proofErr w:type="spellEnd"/>
    </w:p>
    <w:p w14:paraId="73EAF1A2" w14:textId="77777777" w:rsidR="00565FBD" w:rsidRPr="00E835E1" w:rsidRDefault="00565FBD" w:rsidP="00721494">
      <w:pPr>
        <w:pStyle w:val="ListBullet"/>
        <w:numPr>
          <w:ilvl w:val="0"/>
          <w:numId w:val="0"/>
        </w:numPr>
        <w:ind w:left="360"/>
      </w:pPr>
      <w:r>
        <w:t xml:space="preserve">The description of the </w:t>
      </w:r>
      <w:proofErr w:type="spellStart"/>
      <w:r>
        <w:t>Vcap</w:t>
      </w:r>
      <w:proofErr w:type="spellEnd"/>
      <w:r>
        <w:t xml:space="preserve"> under presentation and description remains confusing. It reads as the </w:t>
      </w:r>
      <w:proofErr w:type="spellStart"/>
      <w:r w:rsidRPr="00721494">
        <w:t>Vcaps</w:t>
      </w:r>
      <w:proofErr w:type="spellEnd"/>
      <w:r>
        <w:t xml:space="preserve"> are an excipient. Please clarify that the outer capsule is known as a </w:t>
      </w:r>
      <w:proofErr w:type="spellStart"/>
      <w:r>
        <w:t>Vcap</w:t>
      </w:r>
      <w:proofErr w:type="spellEnd"/>
      <w:r>
        <w:t xml:space="preserve"> and describe what it is made of. Please clarify if the capsule shell is inhaled or remains in the device.</w:t>
      </w:r>
    </w:p>
    <w:p w14:paraId="43773237" w14:textId="77777777" w:rsidR="00565FBD" w:rsidRPr="00F50582" w:rsidRDefault="003F7201" w:rsidP="00721494">
      <w:pPr>
        <w:pStyle w:val="Heading5"/>
      </w:pPr>
      <w:r w:rsidRPr="00721494">
        <w:t>Health</w:t>
      </w:r>
      <w:r>
        <w:t xml:space="preserve"> care provider letter</w:t>
      </w:r>
    </w:p>
    <w:p w14:paraId="4ECE3575" w14:textId="77777777" w:rsidR="00471266" w:rsidRDefault="00565FBD" w:rsidP="00721494">
      <w:r w:rsidRPr="00154B39">
        <w:t>Please use metered dose rather than pre-metered dose for consistency</w:t>
      </w:r>
      <w:r w:rsidR="00471266">
        <w:t>.</w:t>
      </w:r>
    </w:p>
    <w:p w14:paraId="57E59C4C" w14:textId="77777777" w:rsidR="00565FBD" w:rsidRPr="00F50582" w:rsidRDefault="00565FBD" w:rsidP="00F50582">
      <w:r w:rsidRPr="00154B39">
        <w:t xml:space="preserve">Please respond </w:t>
      </w:r>
      <w:r>
        <w:t xml:space="preserve">to </w:t>
      </w:r>
      <w:r w:rsidRPr="00154B39">
        <w:t>the R</w:t>
      </w:r>
      <w:r w:rsidR="003F7201">
        <w:t>MP evaluator’s recommendations.</w:t>
      </w:r>
    </w:p>
    <w:p w14:paraId="1EAA04CD" w14:textId="12E70521" w:rsidR="00F50582" w:rsidRPr="00F50582" w:rsidRDefault="003F7201" w:rsidP="00721494">
      <w:pPr>
        <w:pStyle w:val="Heading5"/>
      </w:pPr>
      <w:r w:rsidRPr="00721494">
        <w:lastRenderedPageBreak/>
        <w:t>CMI</w:t>
      </w:r>
    </w:p>
    <w:p w14:paraId="7B86E33E" w14:textId="77777777" w:rsidR="00565FBD" w:rsidRPr="00F50582" w:rsidRDefault="00565FBD" w:rsidP="00456765">
      <w:pPr>
        <w:rPr>
          <w:b/>
        </w:rPr>
      </w:pPr>
      <w:r w:rsidRPr="00565FBD">
        <w:t>Please respond to the RMP evaluator’s recommendations.</w:t>
      </w:r>
    </w:p>
    <w:p w14:paraId="00C8B943" w14:textId="77777777" w:rsidR="00D23139" w:rsidRDefault="00A22D57" w:rsidP="00721494">
      <w:pPr>
        <w:pStyle w:val="Heading4"/>
      </w:pPr>
      <w:r w:rsidRPr="00721494">
        <w:t>Request</w:t>
      </w:r>
      <w:r>
        <w:t xml:space="preserve"> for AC</w:t>
      </w:r>
      <w:r w:rsidR="00D23139" w:rsidRPr="00D23139">
        <w:t>M advice</w:t>
      </w:r>
    </w:p>
    <w:p w14:paraId="2F77FD02" w14:textId="77777777" w:rsidR="00456765" w:rsidRPr="00456765" w:rsidRDefault="00610165" w:rsidP="00456765">
      <w:r>
        <w:t xml:space="preserve">This </w:t>
      </w:r>
      <w:r w:rsidR="002935DF">
        <w:t>submission</w:t>
      </w:r>
      <w:r>
        <w:t xml:space="preserve"> </w:t>
      </w:r>
      <w:r w:rsidR="002935DF">
        <w:t>was not referred to the ACM.</w:t>
      </w:r>
    </w:p>
    <w:p w14:paraId="2931FC03" w14:textId="43BC87B3" w:rsidR="00D23139" w:rsidRDefault="00456765" w:rsidP="00721494">
      <w:pPr>
        <w:pStyle w:val="Heading4"/>
      </w:pPr>
      <w:r w:rsidRPr="00721494">
        <w:t>Response</w:t>
      </w:r>
      <w:r>
        <w:t xml:space="preserve"> from </w:t>
      </w:r>
      <w:r w:rsidR="001D7586">
        <w:t>sponsor</w:t>
      </w:r>
    </w:p>
    <w:p w14:paraId="7D9DCC9A" w14:textId="714F8E28" w:rsidR="00E36710" w:rsidRPr="00F50582" w:rsidRDefault="00E36710" w:rsidP="00721494">
      <w:pPr>
        <w:pStyle w:val="Heading5"/>
      </w:pPr>
      <w:r w:rsidRPr="00721494">
        <w:t>Label</w:t>
      </w:r>
    </w:p>
    <w:p w14:paraId="29BF1969" w14:textId="67BC65B8" w:rsidR="00E36710" w:rsidRPr="00E36710" w:rsidRDefault="00E36710" w:rsidP="00721494">
      <w:r w:rsidRPr="00E36710">
        <w:t>The sponsor has updated the labels to refer to the streng</w:t>
      </w:r>
      <w:r>
        <w:t xml:space="preserve">th of the product as </w:t>
      </w:r>
      <w:r w:rsidR="001D7586">
        <w:t xml:space="preserve">tiotropium </w:t>
      </w:r>
      <w:r w:rsidRPr="00E36710">
        <w:t xml:space="preserve">(as bromide) 13 </w:t>
      </w:r>
      <w:proofErr w:type="spellStart"/>
      <w:r w:rsidR="00F50582">
        <w:t>μg</w:t>
      </w:r>
      <w:proofErr w:type="spellEnd"/>
      <w:r w:rsidRPr="00E36710">
        <w:t xml:space="preserve">, that is the metered </w:t>
      </w:r>
      <w:r>
        <w:t xml:space="preserve">dose. This is acceptable as the </w:t>
      </w:r>
      <w:r w:rsidRPr="00E36710">
        <w:t>innovator product is described as the metered dose. Ho</w:t>
      </w:r>
      <w:r>
        <w:t xml:space="preserve">wever; as the innovator product </w:t>
      </w:r>
      <w:r w:rsidRPr="00E36710">
        <w:t xml:space="preserve">is labelled as an 18 </w:t>
      </w:r>
      <w:proofErr w:type="spellStart"/>
      <w:r w:rsidR="00F50582">
        <w:t>μg</w:t>
      </w:r>
      <w:proofErr w:type="spellEnd"/>
      <w:r w:rsidRPr="00E36710">
        <w:t xml:space="preserve"> metered dose which is</w:t>
      </w:r>
      <w:r>
        <w:t xml:space="preserve"> claimed to be bioequivalent to </w:t>
      </w:r>
      <w:r w:rsidRPr="00E36710">
        <w:t>the sponsor’s 13</w:t>
      </w:r>
      <w:r w:rsidR="00F50582">
        <w:t> </w:t>
      </w:r>
      <w:proofErr w:type="spellStart"/>
      <w:r w:rsidR="00F50582">
        <w:t>μg</w:t>
      </w:r>
      <w:proofErr w:type="spellEnd"/>
      <w:r w:rsidRPr="00E36710">
        <w:t xml:space="preserve"> metered dose product, it</w:t>
      </w:r>
      <w:r>
        <w:t xml:space="preserve"> is considered that the sponsor </w:t>
      </w:r>
      <w:r w:rsidRPr="00E36710">
        <w:t>should also include the delivered dose on the labels.</w:t>
      </w:r>
      <w:r>
        <w:t xml:space="preserve"> A statement along the lines of </w:t>
      </w:r>
      <w:r w:rsidRPr="00E36710">
        <w:t>‘Each capsule contains 13</w:t>
      </w:r>
      <w:r w:rsidR="001D7586">
        <w:t> </w:t>
      </w:r>
      <w:r w:rsidRPr="00E36710">
        <w:t>micrograms of tiotropium (</w:t>
      </w:r>
      <w:r>
        <w:t xml:space="preserve">as bromide) and will deliver 10 </w:t>
      </w:r>
      <w:r w:rsidRPr="00E36710">
        <w:t>micrograms of tiotropium’ would be considered acceptable.</w:t>
      </w:r>
    </w:p>
    <w:p w14:paraId="233E8AC4" w14:textId="0D1202C9" w:rsidR="00E36710" w:rsidRPr="00E36710" w:rsidRDefault="00E36710" w:rsidP="00F50582">
      <w:r w:rsidRPr="00E36710">
        <w:t xml:space="preserve">The inclusion of the delivered dose on the label </w:t>
      </w:r>
      <w:r>
        <w:t xml:space="preserve">will also satisfy the preferred </w:t>
      </w:r>
      <w:r w:rsidRPr="00E36710">
        <w:t>expression of the quantity or proportion of active ingredi</w:t>
      </w:r>
      <w:r>
        <w:t xml:space="preserve">ents by the dry powder inhaler, </w:t>
      </w:r>
      <w:r w:rsidRPr="00E36710">
        <w:t xml:space="preserve">that is as the quantity delivered (refer </w:t>
      </w:r>
      <w:r w:rsidR="001D7586">
        <w:t xml:space="preserve">to </w:t>
      </w:r>
      <w:r w:rsidRPr="00E36710">
        <w:t>TGO 91 Section 11(2</w:t>
      </w:r>
      <w:proofErr w:type="gramStart"/>
      <w:r w:rsidRPr="00E36710">
        <w:t>)(</w:t>
      </w:r>
      <w:proofErr w:type="gramEnd"/>
      <w:r w:rsidRPr="00E36710">
        <w:t>h)).</w:t>
      </w:r>
    </w:p>
    <w:p w14:paraId="315E4ED4" w14:textId="77777777" w:rsidR="00E36710" w:rsidRPr="00E36710" w:rsidRDefault="00E36710" w:rsidP="00F50582">
      <w:r w:rsidRPr="00E36710">
        <w:t xml:space="preserve">The </w:t>
      </w:r>
      <w:r w:rsidR="00F50582">
        <w:t>D</w:t>
      </w:r>
      <w:r w:rsidRPr="00E36710">
        <w:t>elegate has been consulted regarding t</w:t>
      </w:r>
      <w:r>
        <w:t xml:space="preserve">he labelling of the product and </w:t>
      </w:r>
      <w:r w:rsidRPr="00E36710">
        <w:t xml:space="preserve">concurs that the delivered dose should be </w:t>
      </w:r>
      <w:r w:rsidR="00F50582">
        <w:t>included on the labels.</w:t>
      </w:r>
    </w:p>
    <w:p w14:paraId="0A02FBC0" w14:textId="77777777" w:rsidR="00E36710" w:rsidRPr="00F50582" w:rsidRDefault="00F50582" w:rsidP="00721494">
      <w:pPr>
        <w:pStyle w:val="Heading6"/>
      </w:pPr>
      <w:r w:rsidRPr="00F50582">
        <w:t>Sponsor r</w:t>
      </w:r>
      <w:r w:rsidR="00E36710" w:rsidRPr="00F50582">
        <w:t>esponse:</w:t>
      </w:r>
    </w:p>
    <w:p w14:paraId="2F80BB55" w14:textId="77777777" w:rsidR="00E36710" w:rsidRDefault="00E36710" w:rsidP="00721494">
      <w:r w:rsidRPr="00E36710">
        <w:t>The inclusion of the delivered dose has been i</w:t>
      </w:r>
      <w:r w:rsidR="003F7201">
        <w:t>ncluded on the carton and label.</w:t>
      </w:r>
    </w:p>
    <w:p w14:paraId="789F89C3" w14:textId="419721A7" w:rsidR="00E36710" w:rsidRPr="00F50582" w:rsidRDefault="00E36710" w:rsidP="00721494">
      <w:pPr>
        <w:pStyle w:val="Heading5"/>
      </w:pPr>
      <w:r w:rsidRPr="00F50582">
        <w:t xml:space="preserve">Product </w:t>
      </w:r>
      <w:r w:rsidRPr="00721494">
        <w:t>Information</w:t>
      </w:r>
    </w:p>
    <w:p w14:paraId="1B74EE89" w14:textId="5DF2ED64" w:rsidR="00E36710" w:rsidRPr="00E36710" w:rsidRDefault="00E36710" w:rsidP="00F50582">
      <w:r w:rsidRPr="00E36710">
        <w:t>The PI has been amended to include ‘</w:t>
      </w:r>
      <w:proofErr w:type="spellStart"/>
      <w:r w:rsidRPr="00E36710">
        <w:t>Vcaps</w:t>
      </w:r>
      <w:proofErr w:type="spellEnd"/>
      <w:r w:rsidR="006A1954">
        <w:t>.</w:t>
      </w:r>
      <w:r w:rsidRPr="00E36710">
        <w:t xml:space="preserve"> </w:t>
      </w:r>
      <w:r w:rsidR="001D7586">
        <w:t>T</w:t>
      </w:r>
      <w:r w:rsidRPr="00E36710">
        <w:t>he Ve</w:t>
      </w:r>
      <w:r>
        <w:t xml:space="preserve">getarian Alternative empty hard </w:t>
      </w:r>
      <w:r w:rsidRPr="00E36710">
        <w:t>capsule size 3 (Natural/Natural)’ in the PI, however the</w:t>
      </w:r>
      <w:r>
        <w:t xml:space="preserve"> previous (2011) version of the </w:t>
      </w:r>
      <w:r w:rsidRPr="00E36710">
        <w:t xml:space="preserve">PI requires that this information is included in the </w:t>
      </w:r>
      <w:r>
        <w:t>‘D</w:t>
      </w:r>
      <w:r w:rsidR="00F50582">
        <w:t>escription</w:t>
      </w:r>
      <w:r>
        <w:t xml:space="preserve">’ section of the PI </w:t>
      </w:r>
      <w:r w:rsidRPr="00E36710">
        <w:t>where lactose monohydrate is also claimed as an excipient.</w:t>
      </w:r>
    </w:p>
    <w:p w14:paraId="6FEFB870" w14:textId="77777777" w:rsidR="00E36710" w:rsidRPr="00E36710" w:rsidRDefault="00F50582" w:rsidP="00721494">
      <w:r>
        <w:t>The clinical D</w:t>
      </w:r>
      <w:r w:rsidR="00E36710" w:rsidRPr="00E36710">
        <w:t>elegate also recommends that the co</w:t>
      </w:r>
      <w:r w:rsidR="00E36710">
        <w:t xml:space="preserve">mpany consider referring to the </w:t>
      </w:r>
      <w:r w:rsidR="00E36710" w:rsidRPr="00E36710">
        <w:t>capsules as ‘</w:t>
      </w:r>
      <w:proofErr w:type="spellStart"/>
      <w:r w:rsidR="00E36710" w:rsidRPr="00E36710">
        <w:t>Vcaps</w:t>
      </w:r>
      <w:proofErr w:type="spellEnd"/>
      <w:r w:rsidR="00E36710" w:rsidRPr="00E36710">
        <w:t xml:space="preserve">’, </w:t>
      </w:r>
      <w:r>
        <w:t>for example</w:t>
      </w:r>
      <w:r w:rsidR="00E36710" w:rsidRPr="00E36710">
        <w:t xml:space="preserve"> ‘</w:t>
      </w:r>
      <w:proofErr w:type="spellStart"/>
      <w:r w:rsidR="00E36710" w:rsidRPr="00E36710">
        <w:t>Braltus</w:t>
      </w:r>
      <w:proofErr w:type="spellEnd"/>
      <w:r w:rsidR="00E36710" w:rsidRPr="00E36710">
        <w:t xml:space="preserve"> </w:t>
      </w:r>
      <w:proofErr w:type="spellStart"/>
      <w:r w:rsidR="00E36710" w:rsidRPr="00E36710">
        <w:t>Vcaps</w:t>
      </w:r>
      <w:proofErr w:type="spellEnd"/>
      <w:r w:rsidR="00E36710" w:rsidRPr="00E36710">
        <w:t>’, instead of</w:t>
      </w:r>
      <w:r w:rsidR="00E36710">
        <w:t xml:space="preserve"> ‘</w:t>
      </w:r>
      <w:proofErr w:type="spellStart"/>
      <w:r w:rsidR="00E36710">
        <w:t>Braltus</w:t>
      </w:r>
      <w:proofErr w:type="spellEnd"/>
      <w:r w:rsidR="00E36710">
        <w:t xml:space="preserve"> capsules’ in order to </w:t>
      </w:r>
      <w:r w:rsidR="00E36710" w:rsidRPr="00E36710">
        <w:t>emphasise that standard capsules (</w:t>
      </w:r>
      <w:r>
        <w:t>for example</w:t>
      </w:r>
      <w:r w:rsidR="00E36710" w:rsidRPr="00E36710">
        <w:t xml:space="preserve"> </w:t>
      </w:r>
      <w:proofErr w:type="spellStart"/>
      <w:r w:rsidR="00E36710" w:rsidRPr="00E36710">
        <w:t>gelatin</w:t>
      </w:r>
      <w:proofErr w:type="spellEnd"/>
      <w:r w:rsidR="00E36710" w:rsidRPr="00E36710">
        <w:t>) are</w:t>
      </w:r>
      <w:r w:rsidR="00E36710">
        <w:t xml:space="preserve"> not available that </w:t>
      </w:r>
      <w:proofErr w:type="spellStart"/>
      <w:r w:rsidR="00E36710">
        <w:t>Braltus</w:t>
      </w:r>
      <w:proofErr w:type="spellEnd"/>
      <w:r w:rsidR="00E36710">
        <w:t xml:space="preserve"> is </w:t>
      </w:r>
      <w:r w:rsidR="00E36710" w:rsidRPr="00E36710">
        <w:t xml:space="preserve">available only in </w:t>
      </w:r>
      <w:proofErr w:type="spellStart"/>
      <w:r w:rsidR="00E36710" w:rsidRPr="00E36710">
        <w:t>Vcaps</w:t>
      </w:r>
      <w:proofErr w:type="spellEnd"/>
      <w:r w:rsidR="00E36710" w:rsidRPr="00E36710">
        <w:t xml:space="preserve">. The PI should </w:t>
      </w:r>
      <w:r w:rsidR="00E36710">
        <w:t>be updated to refer to ‘</w:t>
      </w:r>
      <w:proofErr w:type="spellStart"/>
      <w:r w:rsidR="00E36710">
        <w:t>Vcaps</w:t>
      </w:r>
      <w:proofErr w:type="spellEnd"/>
      <w:r w:rsidR="00E36710">
        <w:t xml:space="preserve">’, </w:t>
      </w:r>
      <w:r w:rsidR="00E36710" w:rsidRPr="00E36710">
        <w:t xml:space="preserve">particularly under the heading </w:t>
      </w:r>
      <w:r w:rsidR="00E36710" w:rsidRPr="0073721C">
        <w:rPr>
          <w:i/>
        </w:rPr>
        <w:t>Presentation and Storage Conditions</w:t>
      </w:r>
      <w:r w:rsidR="00E36710" w:rsidRPr="00E36710">
        <w:t>.</w:t>
      </w:r>
    </w:p>
    <w:p w14:paraId="5A838324" w14:textId="4E518A20" w:rsidR="00E36710" w:rsidRPr="00E36710" w:rsidRDefault="00E36710" w:rsidP="00F50582">
      <w:r w:rsidRPr="00E36710">
        <w:t>Additionally, in order to avoid potential dosing confusion, it would be</w:t>
      </w:r>
      <w:r>
        <w:t xml:space="preserve"> useful if the PI </w:t>
      </w:r>
      <w:r w:rsidRPr="00E36710">
        <w:t>included a statement describing the delivered do</w:t>
      </w:r>
      <w:r>
        <w:t xml:space="preserve">se of </w:t>
      </w:r>
      <w:proofErr w:type="spellStart"/>
      <w:r>
        <w:t>Braltus</w:t>
      </w:r>
      <w:proofErr w:type="spellEnd"/>
      <w:r>
        <w:t xml:space="preserve"> and the reference </w:t>
      </w:r>
      <w:r w:rsidRPr="00E36710">
        <w:t>product</w:t>
      </w:r>
      <w:r w:rsidR="001D7586">
        <w:t xml:space="preserve">. </w:t>
      </w:r>
      <w:r w:rsidRPr="00E36710">
        <w:t>The sponsor should be asked to</w:t>
      </w:r>
      <w:r>
        <w:t xml:space="preserve"> </w:t>
      </w:r>
      <w:r w:rsidRPr="00E36710">
        <w:t>include the statement ‘</w:t>
      </w:r>
      <w:proofErr w:type="spellStart"/>
      <w:r w:rsidRPr="00E36710">
        <w:t>Braltus</w:t>
      </w:r>
      <w:proofErr w:type="spellEnd"/>
      <w:r w:rsidRPr="00E36710">
        <w:t xml:space="preserve"> and </w:t>
      </w:r>
      <w:r w:rsidR="0028670C">
        <w:t>Spiriva</w:t>
      </w:r>
      <w:r w:rsidRPr="00E36710">
        <w:t xml:space="preserve"> both deliver 10 micrograms of tiotropium and</w:t>
      </w:r>
      <w:r>
        <w:t xml:space="preserve"> </w:t>
      </w:r>
      <w:r w:rsidRPr="00E36710">
        <w:t>are equivalent’ (or words to that effect) in the PI.</w:t>
      </w:r>
    </w:p>
    <w:p w14:paraId="024AEFFF" w14:textId="77777777" w:rsidR="00E36710" w:rsidRPr="00E36710" w:rsidRDefault="00E36710" w:rsidP="00F50582">
      <w:r w:rsidRPr="00E36710">
        <w:t>(Note that the PI is not in the format introduced in 2018. Although it is preferred that</w:t>
      </w:r>
      <w:r>
        <w:t xml:space="preserve"> </w:t>
      </w:r>
      <w:r w:rsidRPr="00E36710">
        <w:t>the ‘new’ format is followed for new registrations, there i</w:t>
      </w:r>
      <w:r>
        <w:t xml:space="preserve">s a transition period in effect </w:t>
      </w:r>
      <w:r w:rsidRPr="00E36710">
        <w:t>and it is expected that the format of the PI will be revised prior to the end of this period.)</w:t>
      </w:r>
    </w:p>
    <w:p w14:paraId="0FE5BD0A" w14:textId="77777777" w:rsidR="00E36710" w:rsidRPr="00F50582" w:rsidRDefault="00F50582" w:rsidP="00721494">
      <w:pPr>
        <w:pStyle w:val="Heading6"/>
      </w:pPr>
      <w:r w:rsidRPr="00F50582">
        <w:t>Sponsor r</w:t>
      </w:r>
      <w:r w:rsidR="00E36710" w:rsidRPr="00F50582">
        <w:t>esponse:</w:t>
      </w:r>
    </w:p>
    <w:p w14:paraId="7B91F356" w14:textId="5253AE4F" w:rsidR="00E36710" w:rsidRPr="00E36710" w:rsidRDefault="00E36710" w:rsidP="00721494">
      <w:r w:rsidRPr="00E36710">
        <w:t>‘</w:t>
      </w:r>
      <w:proofErr w:type="spellStart"/>
      <w:r w:rsidRPr="00E36710">
        <w:t>Vcaps</w:t>
      </w:r>
      <w:proofErr w:type="spellEnd"/>
      <w:r w:rsidR="0090374F">
        <w:t>;</w:t>
      </w:r>
      <w:r w:rsidRPr="00E36710">
        <w:t xml:space="preserve"> The Vegetarian Alternative empty hard capsul</w:t>
      </w:r>
      <w:r>
        <w:t xml:space="preserve">e size 3 (Natural/Natural)’ has </w:t>
      </w:r>
      <w:r w:rsidRPr="00E36710">
        <w:t xml:space="preserve">been included in the </w:t>
      </w:r>
      <w:r w:rsidR="00F50582">
        <w:t>‘</w:t>
      </w:r>
      <w:r w:rsidRPr="00E36710">
        <w:t>D</w:t>
      </w:r>
      <w:r w:rsidR="00F50582" w:rsidRPr="00E36710">
        <w:t>escription</w:t>
      </w:r>
      <w:r w:rsidR="00F50582">
        <w:t>’</w:t>
      </w:r>
      <w:r w:rsidRPr="00E36710">
        <w:t xml:space="preserve"> section of the PI.</w:t>
      </w:r>
    </w:p>
    <w:p w14:paraId="29311EC2" w14:textId="77777777" w:rsidR="00E36710" w:rsidRPr="00E36710" w:rsidRDefault="00E36710" w:rsidP="00534EEB">
      <w:r w:rsidRPr="00E36710">
        <w:t>All recommendations have been accepted with t</w:t>
      </w:r>
      <w:r>
        <w:t xml:space="preserve">he exception of the adoption of </w:t>
      </w:r>
      <w:r w:rsidR="00534EEB">
        <w:t>‘</w:t>
      </w:r>
      <w:proofErr w:type="spellStart"/>
      <w:r w:rsidRPr="00E36710">
        <w:t>Braltus</w:t>
      </w:r>
      <w:proofErr w:type="spellEnd"/>
      <w:r w:rsidRPr="00E36710">
        <w:t xml:space="preserve"> </w:t>
      </w:r>
      <w:proofErr w:type="spellStart"/>
      <w:r w:rsidRPr="00E36710">
        <w:t>Vcaps</w:t>
      </w:r>
      <w:proofErr w:type="spellEnd"/>
      <w:r w:rsidR="00B850D9">
        <w:t>’</w:t>
      </w:r>
      <w:r w:rsidRPr="00E36710">
        <w:t xml:space="preserve"> as it appears to detract from the trade</w:t>
      </w:r>
      <w:r>
        <w:t xml:space="preserve">name, </w:t>
      </w:r>
      <w:proofErr w:type="spellStart"/>
      <w:r>
        <w:t>Braltus</w:t>
      </w:r>
      <w:proofErr w:type="spellEnd"/>
      <w:r>
        <w:t xml:space="preserve">. Given that </w:t>
      </w:r>
      <w:proofErr w:type="spellStart"/>
      <w:r>
        <w:t>Vcaps</w:t>
      </w:r>
      <w:proofErr w:type="spellEnd"/>
      <w:r>
        <w:t xml:space="preserve"> </w:t>
      </w:r>
      <w:r w:rsidRPr="00E36710">
        <w:t>is the vegetarian option, there is no risk of patients in</w:t>
      </w:r>
      <w:r>
        <w:t xml:space="preserve">advertently eating animal based </w:t>
      </w:r>
      <w:r w:rsidRPr="00E36710">
        <w:t>products.</w:t>
      </w:r>
    </w:p>
    <w:p w14:paraId="5C75BD56" w14:textId="77777777" w:rsidR="00B1498C" w:rsidRPr="00E36710" w:rsidRDefault="00534EEB" w:rsidP="00534EEB">
      <w:r>
        <w:lastRenderedPageBreak/>
        <w:t>The PI, CMI and PIL have</w:t>
      </w:r>
      <w:r w:rsidR="00E36710" w:rsidRPr="00E36710">
        <w:t xml:space="preserve"> been updated to include the</w:t>
      </w:r>
      <w:r w:rsidR="00E36710">
        <w:t xml:space="preserve"> statement ‘</w:t>
      </w:r>
      <w:proofErr w:type="spellStart"/>
      <w:r w:rsidR="00E36710">
        <w:t>Braltus</w:t>
      </w:r>
      <w:proofErr w:type="spellEnd"/>
      <w:r w:rsidR="00E36710">
        <w:t xml:space="preserve"> and </w:t>
      </w:r>
      <w:r w:rsidR="0028670C">
        <w:t>Spiriva</w:t>
      </w:r>
      <w:r w:rsidR="00E36710">
        <w:t xml:space="preserve"> </w:t>
      </w:r>
      <w:r w:rsidR="00E36710" w:rsidRPr="00E36710">
        <w:t xml:space="preserve">both deliver 10 micrograms of </w:t>
      </w:r>
      <w:r w:rsidR="00E36710">
        <w:t xml:space="preserve">tiotropium and are equivalent.’ </w:t>
      </w:r>
      <w:r w:rsidR="00E36710" w:rsidRPr="00E36710">
        <w:t>A reformatted version of the PI has been included</w:t>
      </w:r>
      <w:r>
        <w:t xml:space="preserve"> in this re</w:t>
      </w:r>
      <w:r w:rsidR="003F7201">
        <w:t>s</w:t>
      </w:r>
      <w:r>
        <w:t>ponse</w:t>
      </w:r>
      <w:r w:rsidR="00E36710" w:rsidRPr="00E36710">
        <w:t>.</w:t>
      </w:r>
    </w:p>
    <w:p w14:paraId="2BED634F" w14:textId="51BB297F" w:rsidR="008E7846" w:rsidRDefault="008E7846" w:rsidP="00721494">
      <w:pPr>
        <w:pStyle w:val="Heading4"/>
      </w:pPr>
      <w:r>
        <w:t xml:space="preserve">Advisory </w:t>
      </w:r>
      <w:r w:rsidR="00721494">
        <w:t>c</w:t>
      </w:r>
      <w:r>
        <w:t xml:space="preserve">ommittee </w:t>
      </w:r>
      <w:r w:rsidR="00721494" w:rsidRPr="00721494">
        <w:t>c</w:t>
      </w:r>
      <w:r w:rsidRPr="00721494">
        <w:t>onsiderations</w:t>
      </w:r>
      <w:r w:rsidR="00456765">
        <w:rPr>
          <w:rStyle w:val="FootnoteReference"/>
        </w:rPr>
        <w:footnoteReference w:id="8"/>
      </w:r>
    </w:p>
    <w:p w14:paraId="4D07AA16" w14:textId="292CCE0F" w:rsidR="00456765" w:rsidRPr="00A322B3" w:rsidRDefault="00456765" w:rsidP="008E7846">
      <w:r>
        <w:rPr>
          <w:bCs/>
        </w:rPr>
        <w:t>The Delegate did not refer this application to the Advisory Committee on Medicines (ACM) for advice.</w:t>
      </w:r>
    </w:p>
    <w:p w14:paraId="3A14E669" w14:textId="77777777" w:rsidR="008E7846" w:rsidRPr="002E238E" w:rsidRDefault="008E7846" w:rsidP="00721494">
      <w:pPr>
        <w:pStyle w:val="Heading3"/>
      </w:pPr>
      <w:bookmarkStart w:id="105" w:name="_Toc247691532"/>
      <w:bookmarkStart w:id="106" w:name="_Toc314842516"/>
      <w:bookmarkStart w:id="107" w:name="_Toc16587432"/>
      <w:bookmarkEnd w:id="73"/>
      <w:bookmarkEnd w:id="103"/>
      <w:bookmarkEnd w:id="104"/>
      <w:r w:rsidRPr="00721494">
        <w:t>Outcome</w:t>
      </w:r>
      <w:bookmarkEnd w:id="105"/>
      <w:bookmarkEnd w:id="106"/>
      <w:bookmarkEnd w:id="107"/>
    </w:p>
    <w:p w14:paraId="4ED80A82" w14:textId="36E9E686" w:rsidR="00D23139" w:rsidRPr="00610165" w:rsidRDefault="00D23139" w:rsidP="00721494">
      <w:pPr>
        <w:rPr>
          <w:rFonts w:eastAsiaTheme="minorHAnsi" w:cs="Cambria"/>
        </w:rPr>
      </w:pPr>
      <w:bookmarkStart w:id="108" w:name="_Toc247691533"/>
      <w:bookmarkStart w:id="109" w:name="_Toc314842517"/>
      <w:r w:rsidRPr="00D23139">
        <w:t xml:space="preserve">Based on a review of quality, safety and efficacy, TGA approved the registration of </w:t>
      </w:r>
      <w:proofErr w:type="spellStart"/>
      <w:r w:rsidR="00B850D9">
        <w:rPr>
          <w:rFonts w:eastAsiaTheme="minorHAnsi" w:cs="Cambria"/>
        </w:rPr>
        <w:t>Braltus</w:t>
      </w:r>
      <w:proofErr w:type="spellEnd"/>
      <w:r w:rsidR="009873EF">
        <w:rPr>
          <w:rFonts w:eastAsiaTheme="minorHAnsi" w:cs="Cambria"/>
        </w:rPr>
        <w:t> </w:t>
      </w:r>
      <w:r w:rsidR="00610165">
        <w:rPr>
          <w:rFonts w:eastAsiaTheme="minorHAnsi" w:cs="Cambria"/>
        </w:rPr>
        <w:t>tiotropium (as bromide) 13 microgram powder for inhalation in hard capsule</w:t>
      </w:r>
      <w:r w:rsidR="00610165" w:rsidRPr="00D23139">
        <w:t xml:space="preserve"> </w:t>
      </w:r>
      <w:r w:rsidRPr="00D23139">
        <w:t>indicated for:</w:t>
      </w:r>
    </w:p>
    <w:p w14:paraId="5117F830" w14:textId="77777777" w:rsidR="00610165" w:rsidRPr="00534EEB" w:rsidRDefault="00B850D9" w:rsidP="00534EEB">
      <w:pPr>
        <w:ind w:left="720"/>
        <w:rPr>
          <w:i/>
        </w:rPr>
      </w:pPr>
      <w:proofErr w:type="spellStart"/>
      <w:r w:rsidRPr="00534EEB">
        <w:rPr>
          <w:i/>
        </w:rPr>
        <w:t>Braltus</w:t>
      </w:r>
      <w:proofErr w:type="spellEnd"/>
      <w:r w:rsidR="00610165" w:rsidRPr="00534EEB">
        <w:rPr>
          <w:i/>
        </w:rPr>
        <w:t xml:space="preserve"> is indicated for the long term maintenance treatment of bronchospasm and dyspnoea associated with chronic obstructive pulmonary disease (COPD).</w:t>
      </w:r>
    </w:p>
    <w:p w14:paraId="1F9936E9" w14:textId="77777777" w:rsidR="00D23139" w:rsidRPr="00534EEB" w:rsidRDefault="00B850D9" w:rsidP="00534EEB">
      <w:pPr>
        <w:ind w:left="720"/>
        <w:rPr>
          <w:i/>
        </w:rPr>
      </w:pPr>
      <w:proofErr w:type="spellStart"/>
      <w:r w:rsidRPr="00534EEB">
        <w:rPr>
          <w:i/>
        </w:rPr>
        <w:t>Braltus</w:t>
      </w:r>
      <w:proofErr w:type="spellEnd"/>
      <w:r w:rsidR="00610165" w:rsidRPr="00534EEB">
        <w:rPr>
          <w:i/>
        </w:rPr>
        <w:t xml:space="preserve"> is indicated for the prevention of COPD exacerbations.</w:t>
      </w:r>
    </w:p>
    <w:p w14:paraId="53DC4A95" w14:textId="77777777" w:rsidR="00D23139" w:rsidRDefault="00D23139" w:rsidP="00721494">
      <w:pPr>
        <w:pStyle w:val="Heading4"/>
      </w:pPr>
      <w:r w:rsidRPr="00D23139">
        <w:t>Specific conditions of registration applying to these goods</w:t>
      </w:r>
    </w:p>
    <w:p w14:paraId="452609F9" w14:textId="77777777" w:rsidR="00FC0C85" w:rsidRDefault="00FC0C85" w:rsidP="00721494">
      <w:pPr>
        <w:pStyle w:val="ListBullet"/>
      </w:pPr>
      <w:r>
        <w:t>The actual date of commencement of supply is to be not</w:t>
      </w:r>
      <w:r w:rsidR="00610165">
        <w:t xml:space="preserve">ified to the Head, Prescription </w:t>
      </w:r>
      <w:r>
        <w:t xml:space="preserve">Medicines </w:t>
      </w:r>
      <w:r w:rsidRPr="00721494">
        <w:t>Authorisation</w:t>
      </w:r>
      <w:r>
        <w:t xml:space="preserve"> Branch, </w:t>
      </w:r>
      <w:proofErr w:type="gramStart"/>
      <w:r>
        <w:t>TGA</w:t>
      </w:r>
      <w:proofErr w:type="gramEnd"/>
      <w:r>
        <w:t>. Should it be de</w:t>
      </w:r>
      <w:r w:rsidR="00610165">
        <w:t xml:space="preserve">cided not to proceed to supply, </w:t>
      </w:r>
      <w:r>
        <w:t>notification to this effect should be provided.</w:t>
      </w:r>
    </w:p>
    <w:p w14:paraId="5F59791C" w14:textId="77777777" w:rsidR="00FC0C85" w:rsidRPr="00610165" w:rsidRDefault="00FC0C85" w:rsidP="00721494">
      <w:pPr>
        <w:pStyle w:val="ListBullet"/>
      </w:pPr>
      <w:r>
        <w:t>Post marketing reports are to be prepared annually u</w:t>
      </w:r>
      <w:r w:rsidR="00610165">
        <w:t xml:space="preserve">ntil the period covered by such </w:t>
      </w:r>
      <w:r>
        <w:t>reports is not less than three years from the date of this approval letter. No</w:t>
      </w:r>
      <w:r w:rsidR="00610165">
        <w:t xml:space="preserve"> fewer than </w:t>
      </w:r>
      <w:r>
        <w:t xml:space="preserve">three annual reports are to </w:t>
      </w:r>
      <w:r w:rsidRPr="00721494">
        <w:t>be</w:t>
      </w:r>
      <w:r>
        <w:t xml:space="preserve"> prepared. The r</w:t>
      </w:r>
      <w:r w:rsidR="00610165">
        <w:t xml:space="preserve">eports are to at least meet the </w:t>
      </w:r>
      <w:r>
        <w:t>requirements for Periodic Safety Update Reports (PSURs) as described in the European</w:t>
      </w:r>
      <w:r w:rsidR="00610165">
        <w:t xml:space="preserve"> </w:t>
      </w:r>
      <w:r>
        <w:t xml:space="preserve">Medicines Agency’s </w:t>
      </w:r>
      <w:r>
        <w:rPr>
          <w:rFonts w:ascii="Cambria-Italic" w:hAnsi="Cambria-Italic" w:cs="Cambria-Italic"/>
          <w:i/>
          <w:iCs/>
        </w:rPr>
        <w:t>Guideline on good pharmacovigilance practices (GVP) Module VII</w:t>
      </w:r>
      <w:r w:rsidR="00610165">
        <w:rPr>
          <w:rFonts w:ascii="Cambria-Italic" w:hAnsi="Cambria-Italic" w:cs="Cambria-Italic"/>
          <w:i/>
          <w:iCs/>
        </w:rPr>
        <w:t xml:space="preserve"> </w:t>
      </w:r>
      <w:r>
        <w:rPr>
          <w:rFonts w:ascii="Cambria-Italic" w:hAnsi="Cambria-Italic" w:cs="Cambria-Italic"/>
          <w:i/>
          <w:iCs/>
        </w:rPr>
        <w:t>Periodic</w:t>
      </w:r>
      <w:r w:rsidR="00610165">
        <w:t xml:space="preserve"> </w:t>
      </w:r>
      <w:r>
        <w:rPr>
          <w:rFonts w:ascii="Cambria-Italic" w:hAnsi="Cambria-Italic" w:cs="Cambria-Italic"/>
          <w:i/>
          <w:iCs/>
        </w:rPr>
        <w:t xml:space="preserve">Safety Update Report </w:t>
      </w:r>
      <w:r>
        <w:t xml:space="preserve">(Rev 1), Part VII.B. </w:t>
      </w:r>
      <w:r>
        <w:rPr>
          <w:rFonts w:ascii="Cambria-Italic" w:hAnsi="Cambria-Italic" w:cs="Cambria-Italic"/>
          <w:i/>
          <w:iCs/>
        </w:rPr>
        <w:t>Structures and processes</w:t>
      </w:r>
      <w:r w:rsidR="00610165">
        <w:t xml:space="preserve">. Reports are </w:t>
      </w:r>
      <w:r>
        <w:t>to be submitted to the TGA only when reques</w:t>
      </w:r>
      <w:r w:rsidR="00610165">
        <w:t xml:space="preserve">ted in writing by the TGA. When </w:t>
      </w:r>
      <w:r>
        <w:t>requested, reports must be provided to the TGA</w:t>
      </w:r>
      <w:r w:rsidR="00610165">
        <w:t xml:space="preserve"> within ten (10) calendar days. </w:t>
      </w:r>
      <w:r>
        <w:t xml:space="preserve">Preparation of the report must be completed within ninety calendar days of the </w:t>
      </w:r>
      <w:proofErr w:type="spellStart"/>
      <w:r>
        <w:t>data</w:t>
      </w:r>
      <w:r w:rsidR="00610165">
        <w:t>lock</w:t>
      </w:r>
      <w:proofErr w:type="spellEnd"/>
      <w:r w:rsidR="00610165">
        <w:t xml:space="preserve"> point for that report. An annual report may be made up of two PSURs each covering six months. Note that submission of a PSUR does not constitute an application to vary the registration.</w:t>
      </w:r>
    </w:p>
    <w:p w14:paraId="06881758" w14:textId="77777777" w:rsidR="008E7846" w:rsidRDefault="00A80B5B" w:rsidP="00721494">
      <w:pPr>
        <w:pStyle w:val="Heading2"/>
      </w:pPr>
      <w:bookmarkStart w:id="110" w:name="_Toc16587433"/>
      <w:proofErr w:type="gramStart"/>
      <w:r w:rsidRPr="00721494">
        <w:lastRenderedPageBreak/>
        <w:t>Attachment</w:t>
      </w:r>
      <w:r>
        <w:t xml:space="preserve"> 1.</w:t>
      </w:r>
      <w:proofErr w:type="gramEnd"/>
      <w:r>
        <w:t xml:space="preserve"> </w:t>
      </w:r>
      <w:r w:rsidR="008E7846">
        <w:t xml:space="preserve">Product </w:t>
      </w:r>
      <w:r w:rsidR="00AA0ED0">
        <w:t>I</w:t>
      </w:r>
      <w:r w:rsidR="008E7846">
        <w:t>nformation</w:t>
      </w:r>
      <w:bookmarkEnd w:id="108"/>
      <w:bookmarkEnd w:id="109"/>
      <w:bookmarkEnd w:id="110"/>
    </w:p>
    <w:p w14:paraId="2DF43B39" w14:textId="77777777" w:rsidR="00471266" w:rsidRDefault="006136D7" w:rsidP="00721494">
      <w:r w:rsidRPr="002B3624">
        <w:t xml:space="preserve">The </w:t>
      </w:r>
      <w:r>
        <w:t>PI</w:t>
      </w:r>
      <w:r w:rsidRPr="002B3624">
        <w:t xml:space="preserve"> for </w:t>
      </w:r>
      <w:proofErr w:type="spellStart"/>
      <w:r w:rsidR="00AD060C">
        <w:t>Braltus</w:t>
      </w:r>
      <w:proofErr w:type="spellEnd"/>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C6B9B" w:rsidRPr="007C6B9B">
        <w:t>&gt;</w:t>
      </w:r>
      <w:r w:rsidR="00471266">
        <w:t>.</w:t>
      </w:r>
    </w:p>
    <w:p w14:paraId="0D90D2A6" w14:textId="77777777" w:rsidR="00291957" w:rsidRDefault="00291957" w:rsidP="00291957">
      <w:pPr>
        <w:rPr>
          <w:lang w:eastAsia="ja-JP"/>
        </w:rPr>
      </w:pPr>
    </w:p>
    <w:p w14:paraId="07EDF516"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416FAE8" w14:textId="77777777" w:rsidTr="00A05FA4">
        <w:trPr>
          <w:trHeight w:hRule="exact" w:val="704"/>
        </w:trPr>
        <w:tc>
          <w:tcPr>
            <w:tcW w:w="9175" w:type="dxa"/>
          </w:tcPr>
          <w:p w14:paraId="4EE00B1B" w14:textId="77777777" w:rsidR="001C32CD" w:rsidRPr="00487162" w:rsidRDefault="001C32CD" w:rsidP="00A05FA4">
            <w:pPr>
              <w:pStyle w:val="TGASignoff"/>
            </w:pPr>
            <w:r w:rsidRPr="00487162">
              <w:lastRenderedPageBreak/>
              <w:t>Therapeutic Goods Administration</w:t>
            </w:r>
          </w:p>
        </w:tc>
      </w:tr>
      <w:tr w:rsidR="001C32CD" w:rsidRPr="004C239D" w14:paraId="555DAC47" w14:textId="77777777" w:rsidTr="00A05FA4">
        <w:trPr>
          <w:trHeight w:val="1221"/>
        </w:trPr>
        <w:tc>
          <w:tcPr>
            <w:tcW w:w="9175" w:type="dxa"/>
            <w:tcMar>
              <w:top w:w="28" w:type="dxa"/>
            </w:tcMar>
          </w:tcPr>
          <w:p w14:paraId="00A43F92" w14:textId="77777777" w:rsidR="001C32CD" w:rsidRPr="00487162" w:rsidRDefault="001C32CD" w:rsidP="00A05FA4">
            <w:pPr>
              <w:pStyle w:val="Address"/>
            </w:pPr>
            <w:r w:rsidRPr="00487162">
              <w:t>PO Box 100 Woden ACT 2606 Australia</w:t>
            </w:r>
          </w:p>
          <w:p w14:paraId="38277ABD"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000D0887">
              <w:t xml:space="preserve"> </w:t>
            </w:r>
            <w:r w:rsidRPr="00487162">
              <w:t>Phone: 1800 020 653</w:t>
            </w:r>
            <w:r w:rsidR="000D0887">
              <w:t xml:space="preserve"> </w:t>
            </w:r>
            <w:r w:rsidRPr="00487162">
              <w:t>Fax: 02 6232 8605</w:t>
            </w:r>
          </w:p>
          <w:p w14:paraId="5D9C6F10" w14:textId="77777777" w:rsidR="001C32CD" w:rsidRPr="004C239D" w:rsidRDefault="00363802"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05A6F61D" w14:textId="77777777" w:rsidR="00774E1D" w:rsidRPr="008A5E0B" w:rsidRDefault="00774E1D" w:rsidP="00721494"/>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40CDF1" w15:done="0"/>
  <w15:commentEx w15:paraId="0323F30F" w15:done="0"/>
  <w15:commentEx w15:paraId="0F40F990" w15:done="0"/>
  <w15:commentEx w15:paraId="19572F2A" w15:done="0"/>
  <w15:commentEx w15:paraId="4CBE207E" w15:done="0"/>
  <w15:commentEx w15:paraId="01A987B1" w15:done="0"/>
  <w15:commentEx w15:paraId="393E027E" w15:done="0"/>
  <w15:commentEx w15:paraId="5A8DA3FE" w15:done="0"/>
  <w15:commentEx w15:paraId="7880353C" w15:done="0"/>
  <w15:commentEx w15:paraId="51002773" w15:done="0"/>
  <w15:commentEx w15:paraId="5B3EE7B8" w15:done="0"/>
  <w15:commentEx w15:paraId="1C60AD2A" w15:done="0"/>
  <w15:commentEx w15:paraId="013DB37C" w15:done="0"/>
  <w15:commentEx w15:paraId="1D6447F6" w15:done="0"/>
  <w15:commentEx w15:paraId="73B29977" w15:done="0"/>
  <w15:commentEx w15:paraId="49A2ADC6" w15:done="0"/>
  <w15:commentEx w15:paraId="0DF8C460" w15:done="0"/>
  <w15:commentEx w15:paraId="3981485E" w15:done="0"/>
  <w15:commentEx w15:paraId="3714D63B" w15:done="0"/>
  <w15:commentEx w15:paraId="39C8EC5A" w15:done="0"/>
  <w15:commentEx w15:paraId="06531EC6" w15:done="0"/>
  <w15:commentEx w15:paraId="0EF6892C" w15:done="0"/>
  <w15:commentEx w15:paraId="494DCC9E" w15:done="0"/>
  <w15:commentEx w15:paraId="53ACDA4B" w15:done="0"/>
  <w15:commentEx w15:paraId="09802495" w15:done="0"/>
  <w15:commentEx w15:paraId="0B1002E0" w15:done="0"/>
  <w15:commentEx w15:paraId="7EDF4C31" w15:paraIdParent="0B1002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572F2A" w16cid:durableId="203CDA67"/>
  <w16cid:commentId w16cid:paraId="40B91721" w16cid:durableId="203CDA3A"/>
  <w16cid:commentId w16cid:paraId="17B921A9" w16cid:durableId="203CDA7D"/>
  <w16cid:commentId w16cid:paraId="344D0D9D" w16cid:durableId="203CDA92"/>
  <w16cid:commentId w16cid:paraId="0B1002E0" w16cid:durableId="203CDB97"/>
  <w16cid:commentId w16cid:paraId="7EDF4C31" w16cid:durableId="203CD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D2DD8" w14:textId="77777777" w:rsidR="00030ABD" w:rsidRDefault="00030ABD" w:rsidP="00C40A36">
      <w:pPr>
        <w:spacing w:after="0"/>
      </w:pPr>
      <w:r>
        <w:separator/>
      </w:r>
    </w:p>
    <w:p w14:paraId="09602B69" w14:textId="77777777" w:rsidR="00030ABD" w:rsidRDefault="00030ABD"/>
  </w:endnote>
  <w:endnote w:type="continuationSeparator" w:id="0">
    <w:p w14:paraId="2B211F67" w14:textId="77777777" w:rsidR="00030ABD" w:rsidRDefault="00030ABD" w:rsidP="00C40A36">
      <w:pPr>
        <w:spacing w:after="0"/>
      </w:pPr>
      <w:r>
        <w:continuationSeparator/>
      </w:r>
    </w:p>
    <w:p w14:paraId="0D8D87C3" w14:textId="77777777" w:rsidR="00030ABD" w:rsidRDefault="0003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9070000" w:usb2="00000010" w:usb3="00000000" w:csb0="000A0001" w:csb1="00000000"/>
  </w:font>
  <w:font w:name="Wingdings 3">
    <w:panose1 w:val="05040102010807070707"/>
    <w:charset w:val="02"/>
    <w:family w:val="roman"/>
    <w:pitch w:val="variable"/>
    <w:sig w:usb0="00000000" w:usb1="10000000" w:usb2="00000000" w:usb3="00000000" w:csb0="80000000" w:csb1="00000000"/>
  </w:font>
  <w:font w:name="Cambria-Italic">
    <w:altName w:val="Cambria"/>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30ABD" w:rsidRPr="00487162" w14:paraId="67DDB9E9" w14:textId="77777777" w:rsidTr="00DB750B">
      <w:trPr>
        <w:trHeight w:val="269"/>
      </w:trPr>
      <w:tc>
        <w:tcPr>
          <w:tcW w:w="7371" w:type="dxa"/>
          <w:tcMar>
            <w:top w:w="142" w:type="dxa"/>
            <w:bottom w:w="0" w:type="dxa"/>
          </w:tcMar>
        </w:tcPr>
        <w:p w14:paraId="126D80D5" w14:textId="64A3CF5D" w:rsidR="00030ABD" w:rsidRPr="00487162" w:rsidRDefault="00030ABD" w:rsidP="00AA1CFA">
          <w:pPr>
            <w:pStyle w:val="Footer"/>
          </w:pPr>
          <w:proofErr w:type="spellStart"/>
          <w:r w:rsidRPr="00487162">
            <w:t>AusPA</w:t>
          </w:r>
          <w:r>
            <w:t>R</w:t>
          </w:r>
          <w:proofErr w:type="spellEnd"/>
          <w:r>
            <w:t xml:space="preserve"> </w:t>
          </w:r>
          <w:r w:rsidRPr="003B37AB">
            <w:t xml:space="preserve">BRALTUS - Tiotropium - </w:t>
          </w:r>
          <w:proofErr w:type="spellStart"/>
          <w:r w:rsidRPr="003B37AB">
            <w:t>Teva</w:t>
          </w:r>
          <w:proofErr w:type="spellEnd"/>
          <w:r w:rsidRPr="003B37AB">
            <w:t xml:space="preserve"> Pharmaceuticals Pty Ltd - PM-2017-03103-1-5</w:t>
          </w:r>
          <w:r>
            <w:br/>
            <w:t>FINAL 13 June  2019</w:t>
          </w:r>
        </w:p>
      </w:tc>
      <w:tc>
        <w:tcPr>
          <w:tcW w:w="1490" w:type="dxa"/>
          <w:tcMar>
            <w:top w:w="142" w:type="dxa"/>
            <w:bottom w:w="0" w:type="dxa"/>
          </w:tcMar>
        </w:tcPr>
        <w:p w14:paraId="0DF41531" w14:textId="52938978" w:rsidR="00030ABD" w:rsidRPr="00487162" w:rsidRDefault="00030ABD" w:rsidP="00DB750B">
          <w:pPr>
            <w:pStyle w:val="Footer"/>
            <w:jc w:val="right"/>
          </w:pPr>
          <w:r w:rsidRPr="00487162">
            <w:t xml:space="preserve">Page </w:t>
          </w:r>
          <w:r>
            <w:fldChar w:fldCharType="begin"/>
          </w:r>
          <w:r>
            <w:instrText xml:space="preserve"> PAGE  \* Arabic </w:instrText>
          </w:r>
          <w:r>
            <w:fldChar w:fldCharType="separate"/>
          </w:r>
          <w:r w:rsidR="00363802">
            <w:rPr>
              <w:noProof/>
            </w:rPr>
            <w:t>2</w:t>
          </w:r>
          <w:r>
            <w:fldChar w:fldCharType="end"/>
          </w:r>
          <w:r w:rsidRPr="00487162">
            <w:t xml:space="preserve"> of </w:t>
          </w:r>
          <w:r>
            <w:rPr>
              <w:noProof/>
            </w:rPr>
            <w:fldChar w:fldCharType="begin"/>
          </w:r>
          <w:r>
            <w:rPr>
              <w:noProof/>
            </w:rPr>
            <w:instrText xml:space="preserve"> NUMPAGES  \* Arabic </w:instrText>
          </w:r>
          <w:r>
            <w:rPr>
              <w:noProof/>
            </w:rPr>
            <w:fldChar w:fldCharType="separate"/>
          </w:r>
          <w:r w:rsidR="00363802">
            <w:rPr>
              <w:noProof/>
            </w:rPr>
            <w:t>28</w:t>
          </w:r>
          <w:r>
            <w:rPr>
              <w:noProof/>
            </w:rPr>
            <w:fldChar w:fldCharType="end"/>
          </w:r>
        </w:p>
      </w:tc>
    </w:tr>
  </w:tbl>
  <w:p w14:paraId="403219EE" w14:textId="77777777" w:rsidR="00030ABD" w:rsidRDefault="00030ABD"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30ABD" w:rsidRPr="00487162" w14:paraId="43CA25F2" w14:textId="77777777" w:rsidTr="00E45619">
      <w:trPr>
        <w:trHeight w:val="269"/>
      </w:trPr>
      <w:tc>
        <w:tcPr>
          <w:tcW w:w="4519" w:type="dxa"/>
          <w:tcBorders>
            <w:top w:val="single" w:sz="4" w:space="0" w:color="auto"/>
          </w:tcBorders>
          <w:tcMar>
            <w:top w:w="142" w:type="dxa"/>
            <w:bottom w:w="0" w:type="dxa"/>
          </w:tcMar>
        </w:tcPr>
        <w:p w14:paraId="44250EA4" w14:textId="77777777" w:rsidR="00030ABD" w:rsidRPr="00487162" w:rsidRDefault="00030ABD" w:rsidP="00FE1DEE">
          <w:pPr>
            <w:pStyle w:val="Footer"/>
          </w:pPr>
          <w:r w:rsidRPr="00487162">
            <w:t>Document title, Part #, Section # - Section title</w:t>
          </w:r>
        </w:p>
        <w:p w14:paraId="5CAF8151" w14:textId="77777777" w:rsidR="00030ABD" w:rsidRPr="00487162" w:rsidRDefault="00030ABD" w:rsidP="00FE1DEE">
          <w:pPr>
            <w:pStyle w:val="Footer"/>
          </w:pPr>
          <w:r w:rsidRPr="00487162">
            <w:t>V1.0 October 2010</w:t>
          </w:r>
        </w:p>
      </w:tc>
      <w:tc>
        <w:tcPr>
          <w:tcW w:w="4342" w:type="dxa"/>
          <w:tcBorders>
            <w:top w:val="single" w:sz="4" w:space="0" w:color="auto"/>
          </w:tcBorders>
          <w:tcMar>
            <w:top w:w="142" w:type="dxa"/>
            <w:bottom w:w="0" w:type="dxa"/>
          </w:tcMar>
        </w:tcPr>
        <w:p w14:paraId="5400F52A" w14:textId="77777777" w:rsidR="00030ABD" w:rsidRPr="00487162" w:rsidRDefault="00030AB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sidR="00363802">
            <w:rPr>
              <w:noProof/>
            </w:rPr>
            <w:t>1</w:t>
          </w:r>
          <w:r>
            <w:rPr>
              <w:noProof/>
            </w:rPr>
            <w:fldChar w:fldCharType="end"/>
          </w:r>
        </w:p>
      </w:tc>
    </w:tr>
  </w:tbl>
  <w:p w14:paraId="3D1E9F03" w14:textId="77777777" w:rsidR="00030ABD" w:rsidRDefault="00030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7AA9C" w14:textId="77777777" w:rsidR="00030ABD" w:rsidRPr="001C32CD" w:rsidRDefault="00030ABD" w:rsidP="001C32CD">
    <w:pPr>
      <w:pStyle w:val="Footer"/>
    </w:pPr>
  </w:p>
  <w:p w14:paraId="5C40A87B" w14:textId="77777777" w:rsidR="00030ABD" w:rsidRDefault="00030AB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30ABD" w14:paraId="1D143855" w14:textId="77777777" w:rsidTr="0010601F">
      <w:trPr>
        <w:trHeight w:val="108"/>
      </w:trPr>
      <w:tc>
        <w:tcPr>
          <w:tcW w:w="8875" w:type="dxa"/>
          <w:gridSpan w:val="2"/>
          <w:tcBorders>
            <w:bottom w:val="single" w:sz="4" w:space="0" w:color="auto"/>
          </w:tcBorders>
          <w:tcMar>
            <w:right w:w="284" w:type="dxa"/>
          </w:tcMar>
        </w:tcPr>
        <w:p w14:paraId="1093E618" w14:textId="77777777" w:rsidR="00030ABD" w:rsidRDefault="00030ABD" w:rsidP="006E08B3">
          <w:pPr>
            <w:pStyle w:val="Heading3"/>
          </w:pPr>
          <w:r>
            <w:t>Copyright</w:t>
          </w:r>
        </w:p>
        <w:p w14:paraId="14EEF3BF" w14:textId="77777777" w:rsidR="00030ABD" w:rsidRDefault="00030ABD" w:rsidP="006E08B3">
          <w:r>
            <w:rPr>
              <w:rFonts w:cs="Arial"/>
            </w:rPr>
            <w:t>©</w:t>
          </w:r>
          <w:r>
            <w:t xml:space="preserve"> Commonwealth of Australia [add year]</w:t>
          </w:r>
        </w:p>
        <w:p w14:paraId="2E09B5BD" w14:textId="77777777" w:rsidR="00030ABD" w:rsidRDefault="00030ABD" w:rsidP="006E08B3"/>
        <w:p w14:paraId="458DD4D9" w14:textId="77777777" w:rsidR="00030ABD" w:rsidRDefault="00030AB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6D2B63B8" w14:textId="77777777" w:rsidR="00030ABD" w:rsidRDefault="00030ABD" w:rsidP="006E08B3"/>
        <w:p w14:paraId="349D7059" w14:textId="77777777" w:rsidR="00030ABD" w:rsidRDefault="00030ABD" w:rsidP="006E08B3">
          <w:pPr>
            <w:pStyle w:val="Heading3"/>
          </w:pPr>
          <w:r>
            <w:t>Confidentiality</w:t>
          </w:r>
        </w:p>
        <w:p w14:paraId="16EBCC65" w14:textId="77777777" w:rsidR="00030ABD" w:rsidRDefault="00030AB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F0CEBCC" w14:textId="77777777" w:rsidR="00030ABD" w:rsidRDefault="00030ABD" w:rsidP="006E08B3"/>
        <w:p w14:paraId="5DBED849" w14:textId="77777777" w:rsidR="00030ABD" w:rsidRDefault="00030ABD" w:rsidP="006E08B3">
          <w:r>
            <w:t>For submission made by individuals, all personal details, other than your name, will be removed from your submission before it is published on the TGA’s Internet site.</w:t>
          </w:r>
        </w:p>
        <w:p w14:paraId="7D7C4700" w14:textId="77777777" w:rsidR="00030ABD" w:rsidRDefault="00030ABD" w:rsidP="006E08B3"/>
        <w:p w14:paraId="23BCCD14" w14:textId="77777777" w:rsidR="00030ABD" w:rsidRDefault="00030AB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30ABD" w14:paraId="7BB2CCCE" w14:textId="77777777" w:rsidTr="0010601F">
      <w:trPr>
        <w:trHeight w:val="417"/>
      </w:trPr>
      <w:tc>
        <w:tcPr>
          <w:tcW w:w="4519" w:type="dxa"/>
          <w:tcBorders>
            <w:top w:val="single" w:sz="4" w:space="0" w:color="auto"/>
          </w:tcBorders>
          <w:tcMar>
            <w:top w:w="142" w:type="dxa"/>
            <w:bottom w:w="0" w:type="dxa"/>
          </w:tcMar>
        </w:tcPr>
        <w:p w14:paraId="2BC1D3F8" w14:textId="77777777" w:rsidR="00030ABD" w:rsidRDefault="00030ABD" w:rsidP="006E08B3">
          <w:r>
            <w:t>Document title, Part #, Section # - Section title</w:t>
          </w:r>
        </w:p>
        <w:p w14:paraId="45EDA8AF" w14:textId="77777777" w:rsidR="00030ABD" w:rsidRDefault="00030ABD" w:rsidP="006E08B3">
          <w:r>
            <w:t>V1.0 October 2010</w:t>
          </w:r>
        </w:p>
      </w:tc>
      <w:tc>
        <w:tcPr>
          <w:tcW w:w="4356" w:type="dxa"/>
          <w:tcBorders>
            <w:top w:val="single" w:sz="4" w:space="0" w:color="auto"/>
          </w:tcBorders>
          <w:tcMar>
            <w:top w:w="142" w:type="dxa"/>
            <w:bottom w:w="0" w:type="dxa"/>
          </w:tcMar>
        </w:tcPr>
        <w:p w14:paraId="496D2860" w14:textId="77777777" w:rsidR="00030ABD" w:rsidRDefault="00030AB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sidR="00363802">
            <w:rPr>
              <w:noProof/>
            </w:rPr>
            <w:t>1</w:t>
          </w:r>
          <w:r>
            <w:rPr>
              <w:noProof/>
            </w:rPr>
            <w:fldChar w:fldCharType="end"/>
          </w:r>
          <w:r>
            <w:t xml:space="preserve"> </w:t>
          </w:r>
        </w:p>
      </w:tc>
    </w:tr>
  </w:tbl>
  <w:p w14:paraId="1567E430" w14:textId="77777777" w:rsidR="00030ABD" w:rsidRDefault="00030ABD"/>
  <w:p w14:paraId="6E465A5C" w14:textId="77777777" w:rsidR="00030ABD" w:rsidRDefault="00030A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582E1" w14:textId="77777777" w:rsidR="00030ABD" w:rsidRDefault="00030ABD" w:rsidP="00C40A36">
      <w:pPr>
        <w:spacing w:after="0"/>
      </w:pPr>
      <w:r>
        <w:separator/>
      </w:r>
    </w:p>
    <w:p w14:paraId="08EEE296" w14:textId="77777777" w:rsidR="00030ABD" w:rsidRDefault="00030ABD"/>
  </w:footnote>
  <w:footnote w:type="continuationSeparator" w:id="0">
    <w:p w14:paraId="509CC4B3" w14:textId="77777777" w:rsidR="00030ABD" w:rsidRDefault="00030ABD" w:rsidP="00C40A36">
      <w:pPr>
        <w:spacing w:after="0"/>
      </w:pPr>
      <w:r>
        <w:continuationSeparator/>
      </w:r>
    </w:p>
    <w:p w14:paraId="2855445A" w14:textId="77777777" w:rsidR="00030ABD" w:rsidRDefault="00030ABD"/>
  </w:footnote>
  <w:footnote w:id="1">
    <w:p w14:paraId="596C55FD" w14:textId="77777777" w:rsidR="00030ABD" w:rsidRPr="0070416F" w:rsidRDefault="00030ABD" w:rsidP="00030ABD">
      <w:pPr>
        <w:pStyle w:val="FootnoteText"/>
        <w:rPr>
          <w:lang w:val="en-US"/>
        </w:rPr>
      </w:pPr>
      <w:r>
        <w:rPr>
          <w:rStyle w:val="FootnoteReference"/>
        </w:rPr>
        <w:footnoteRef/>
      </w:r>
      <w:r>
        <w:t xml:space="preserve"> </w:t>
      </w:r>
      <w:r>
        <w:rPr>
          <w:lang w:eastAsia="en-AU"/>
        </w:rPr>
        <w:t xml:space="preserve">CPMP/EWP/4151/00 Rev 1 </w:t>
      </w:r>
      <w:r>
        <w:t xml:space="preserve">Guideline on the requirements for clinical documentation for orally inhaled products (OIP) including the </w:t>
      </w:r>
      <w:r w:rsidRPr="00030ABD">
        <w:t>requirements</w:t>
      </w:r>
      <w:r>
        <w:t xml:space="preserve"> for demonstration of therapeutic equivalence between two inhaled products for use in the treatment of asthma and chronic obstructive pulmonary disease (COPD) in adults and for use in the treatment of asthma in children and adolescents</w:t>
      </w:r>
    </w:p>
  </w:footnote>
  <w:footnote w:id="2">
    <w:p w14:paraId="2C2BB2BA" w14:textId="77777777" w:rsidR="00030ABD" w:rsidRPr="0070416F" w:rsidRDefault="00030ABD" w:rsidP="00030ABD">
      <w:pPr>
        <w:pStyle w:val="FootnoteText"/>
        <w:rPr>
          <w:lang w:val="en-US"/>
        </w:rPr>
      </w:pPr>
      <w:r>
        <w:rPr>
          <w:rStyle w:val="FootnoteReference"/>
        </w:rPr>
        <w:footnoteRef/>
      </w:r>
      <w:r>
        <w:t xml:space="preserve"> AUC</w:t>
      </w:r>
      <w:r>
        <w:rPr>
          <w:vertAlign w:val="subscript"/>
        </w:rPr>
        <w:t xml:space="preserve">0-t </w:t>
      </w:r>
      <w:r>
        <w:t xml:space="preserve">: </w:t>
      </w:r>
      <w:r w:rsidRPr="00030ABD">
        <w:t>Area</w:t>
      </w:r>
      <w:r>
        <w:t xml:space="preserve"> under the drug concentration versus time </w:t>
      </w:r>
      <w:r>
        <w:rPr>
          <w:rFonts w:eastAsia="TimesNewRoman" w:cs="TimesNewRoman"/>
        </w:rPr>
        <w:t>curve until last measurable sampling time point</w:t>
      </w:r>
    </w:p>
  </w:footnote>
  <w:footnote w:id="3">
    <w:p w14:paraId="23744344" w14:textId="77777777" w:rsidR="00030ABD" w:rsidRPr="0070416F" w:rsidRDefault="00030ABD">
      <w:pPr>
        <w:pStyle w:val="FootnoteText"/>
        <w:rPr>
          <w:lang w:val="en-US"/>
        </w:rPr>
      </w:pPr>
      <w:r>
        <w:rPr>
          <w:rStyle w:val="FootnoteReference"/>
        </w:rPr>
        <w:footnoteRef/>
      </w:r>
      <w:r>
        <w:t xml:space="preserve"> </w:t>
      </w:r>
      <w:proofErr w:type="spellStart"/>
      <w:r w:rsidRPr="0070416F">
        <w:t>C</w:t>
      </w:r>
      <w:r w:rsidRPr="0070416F">
        <w:rPr>
          <w:vertAlign w:val="subscript"/>
        </w:rPr>
        <w:t>max</w:t>
      </w:r>
      <w:proofErr w:type="spellEnd"/>
      <w:r>
        <w:t xml:space="preserve">: </w:t>
      </w:r>
      <w:r>
        <w:rPr>
          <w:rFonts w:asciiTheme="minorHAnsi" w:eastAsia="TimesNewRoman" w:hAnsiTheme="minorHAnsi" w:cs="TimesNewRoman"/>
        </w:rPr>
        <w:t>Maximum measured concentration of drug</w:t>
      </w:r>
    </w:p>
  </w:footnote>
  <w:footnote w:id="4">
    <w:p w14:paraId="3E455C4C" w14:textId="77777777" w:rsidR="00030ABD" w:rsidRPr="00C143A1" w:rsidRDefault="00030ABD">
      <w:pPr>
        <w:pStyle w:val="FootnoteText"/>
        <w:rPr>
          <w:lang w:val="en-US"/>
        </w:rPr>
      </w:pPr>
      <w:r>
        <w:rPr>
          <w:rStyle w:val="FootnoteReference"/>
        </w:rPr>
        <w:footnoteRef/>
      </w:r>
      <w:r>
        <w:t xml:space="preserve"> </w:t>
      </w:r>
      <w:r w:rsidRPr="00DE6467">
        <w:t>CPMP/EWP/QWP/1401/98 Rev</w:t>
      </w:r>
      <w:r>
        <w:t>. 1: Guideline on the investigation of bioequivalence</w:t>
      </w:r>
    </w:p>
  </w:footnote>
  <w:footnote w:id="5">
    <w:p w14:paraId="05F2AC3A" w14:textId="77777777" w:rsidR="00030ABD" w:rsidRPr="00C143A1" w:rsidRDefault="00030ABD">
      <w:pPr>
        <w:pStyle w:val="FootnoteText"/>
        <w:rPr>
          <w:lang w:val="en-US"/>
        </w:rPr>
      </w:pPr>
      <w:r>
        <w:rPr>
          <w:rStyle w:val="FootnoteReference"/>
        </w:rPr>
        <w:footnoteRef/>
      </w:r>
      <w:r>
        <w:t xml:space="preserve"> </w:t>
      </w:r>
      <w:r w:rsidRPr="00DE6467">
        <w:t>CPMP/EWP/4151/00 Rev. 1 Guideline on the requirements for clinical documentation for orally inhaled products (OIP) including the requirements for demonstration of therapeutic equivalence between two inhaled products for the use in the treatment of asthma and chronic obstructive pulmonary disease (COPD) in adults and for the use in the treatment of asth</w:t>
      </w:r>
      <w:r>
        <w:t>ma in children and adolescents</w:t>
      </w:r>
    </w:p>
  </w:footnote>
  <w:footnote w:id="6">
    <w:p w14:paraId="49C5CDAA" w14:textId="77777777" w:rsidR="00030ABD" w:rsidRPr="00BC281D" w:rsidRDefault="00030ABD" w:rsidP="004E2150">
      <w:pPr>
        <w:pStyle w:val="FootnoteText"/>
      </w:pPr>
      <w:r w:rsidRPr="00405A00">
        <w:rPr>
          <w:vertAlign w:val="superscript"/>
        </w:rPr>
        <w:footnoteRef/>
      </w:r>
      <w:r w:rsidRPr="00BC281D">
        <w:t xml:space="preserve"> </w:t>
      </w:r>
      <w:proofErr w:type="gramStart"/>
      <w:r w:rsidRPr="009B4BE7">
        <w:t>CPMP/</w:t>
      </w:r>
      <w:r w:rsidRPr="004E2150">
        <w:t>EWP</w:t>
      </w:r>
      <w:r w:rsidRPr="009B4BE7">
        <w:t xml:space="preserve">/QWP/1401/98 Rev. 1/ </w:t>
      </w:r>
      <w:proofErr w:type="spellStart"/>
      <w:r w:rsidRPr="009B4BE7">
        <w:t>Corr</w:t>
      </w:r>
      <w:proofErr w:type="spellEnd"/>
      <w:r w:rsidRPr="009B4BE7">
        <w:t xml:space="preserve"> **</w:t>
      </w:r>
      <w:r w:rsidRPr="00BC281D">
        <w:t xml:space="preserve"> Guideline on the investigation of bioequivalence</w:t>
      </w:r>
      <w:r>
        <w:t>.</w:t>
      </w:r>
      <w:proofErr w:type="gramEnd"/>
    </w:p>
  </w:footnote>
  <w:footnote w:id="7">
    <w:p w14:paraId="446FCD1F" w14:textId="77777777" w:rsidR="00030ABD" w:rsidRPr="007411DA" w:rsidRDefault="00030ABD" w:rsidP="004E2150">
      <w:pPr>
        <w:pStyle w:val="FootnoteText"/>
        <w:rPr>
          <w:lang w:val="en-US"/>
        </w:rPr>
      </w:pPr>
      <w:r>
        <w:rPr>
          <w:rStyle w:val="FootnoteReference"/>
        </w:rPr>
        <w:footnoteRef/>
      </w:r>
      <w:r>
        <w:t xml:space="preserve"> TGA </w:t>
      </w:r>
      <w:r w:rsidRPr="004E2150">
        <w:t>Delegate</w:t>
      </w:r>
      <w:r>
        <w:t xml:space="preserve"> request</w:t>
      </w:r>
    </w:p>
  </w:footnote>
  <w:footnote w:id="8">
    <w:p w14:paraId="101CFA5A" w14:textId="77777777" w:rsidR="00030ABD" w:rsidRDefault="00030ABD" w:rsidP="00721494">
      <w:pPr>
        <w:pStyle w:val="FootnoteText"/>
      </w:pPr>
      <w:r>
        <w:rPr>
          <w:rStyle w:val="FootnoteReference"/>
        </w:rPr>
        <w:footnoteRef/>
      </w:r>
      <w:r>
        <w:t xml:space="preserve"> The ACM provides independent medical and scientific advice to the Minister for Health and the Therapeutic </w:t>
      </w:r>
      <w:r w:rsidRPr="00721494">
        <w:t>Goods</w:t>
      </w:r>
      <w:r>
        <w:t xml:space="preserve"> Administration (TGA) on issues relating to the safety, quality and efficacy of medicines supplied in Australia including issues relating to pre-market and post-market functions for medicines.</w:t>
      </w:r>
    </w:p>
    <w:p w14:paraId="42BD0B3D" w14:textId="77777777" w:rsidR="00030ABD" w:rsidRPr="00456765" w:rsidRDefault="00030ABD"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AB66" w14:textId="77777777" w:rsidR="00030ABD" w:rsidRDefault="00030AB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5E4" w14:textId="77777777" w:rsidR="00030ABD" w:rsidRDefault="00030ABD">
    <w:pPr>
      <w:rPr>
        <w:noProof/>
        <w:lang w:eastAsia="en-AU"/>
      </w:rPr>
    </w:pPr>
    <w:r w:rsidRPr="00347824">
      <w:rPr>
        <w:noProof/>
        <w:lang w:eastAsia="en-AU"/>
      </w:rPr>
      <w:drawing>
        <wp:anchor distT="0" distB="0" distL="114300" distR="114300" simplePos="0" relativeHeight="251659264" behindDoc="1" locked="0" layoutInCell="1" allowOverlap="1" wp14:anchorId="4D3438BC" wp14:editId="677150B9">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757A2D2" w14:textId="77777777" w:rsidR="00030ABD" w:rsidRDefault="00030ABD" w:rsidP="00593AD1">
    <w:pPr>
      <w:pStyle w:val="HeaderNoLine"/>
    </w:pPr>
    <w:r>
      <w:rPr>
        <w:noProof/>
        <w:lang w:eastAsia="en-AU"/>
      </w:rPr>
      <w:drawing>
        <wp:inline distT="0" distB="0" distL="0" distR="0" wp14:anchorId="0132AD8A" wp14:editId="103842EE">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274B" w14:textId="77777777" w:rsidR="00030ABD" w:rsidRDefault="00030A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A6449" w14:textId="77777777" w:rsidR="00030ABD" w:rsidRDefault="00030AB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185F" w14:textId="77777777" w:rsidR="00030ABD" w:rsidRDefault="00030AB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5E1AF" w14:textId="77777777" w:rsidR="00030ABD" w:rsidRDefault="00030ABD">
    <w:pPr>
      <w:pStyle w:val="Header"/>
    </w:pPr>
  </w:p>
  <w:p w14:paraId="1C36237C" w14:textId="77777777" w:rsidR="00030ABD" w:rsidRDefault="00030AB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D1056" w14:textId="77777777" w:rsidR="00030ABD" w:rsidRDefault="00030ABD" w:rsidP="004C239D">
    <w:pPr>
      <w:pStyle w:val="HeaderNoLine"/>
    </w:pPr>
  </w:p>
  <w:p w14:paraId="325DD098" w14:textId="77777777" w:rsidR="00030ABD" w:rsidRDefault="00030AB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D2DEE" w14:textId="77777777" w:rsidR="00030ABD" w:rsidRDefault="00030ABD" w:rsidP="006E08B3">
    <w:r>
      <w:t>Therapeutic Goods Administration</w:t>
    </w:r>
  </w:p>
  <w:p w14:paraId="3C27F414" w14:textId="77777777" w:rsidR="00030ABD" w:rsidRDefault="00030ABD" w:rsidP="006D03E5"/>
  <w:p w14:paraId="6462E7DD" w14:textId="77777777" w:rsidR="00030ABD" w:rsidRDefault="00030A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11B147F"/>
    <w:multiLevelType w:val="hybridMultilevel"/>
    <w:tmpl w:val="F5B4A0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2518C4"/>
    <w:multiLevelType w:val="hybridMultilevel"/>
    <w:tmpl w:val="BF5CBB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128E1F5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E1A711B"/>
    <w:multiLevelType w:val="hybridMultilevel"/>
    <w:tmpl w:val="E16EC14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27A52BD"/>
    <w:multiLevelType w:val="multilevel"/>
    <w:tmpl w:val="6284B7C8"/>
    <w:numStyleLink w:val="Recommendations"/>
  </w:abstractNum>
  <w:abstractNum w:abstractNumId="11">
    <w:nsid w:val="305F68F6"/>
    <w:multiLevelType w:val="hybridMultilevel"/>
    <w:tmpl w:val="F1E8D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B024D9A"/>
    <w:multiLevelType w:val="hybridMultilevel"/>
    <w:tmpl w:val="2446E1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7"/>
  </w:num>
  <w:num w:numId="17">
    <w:abstractNumId w:val="7"/>
  </w:num>
  <w:num w:numId="18">
    <w:abstractNumId w:val="7"/>
  </w:num>
  <w:num w:numId="19">
    <w:abstractNumId w:val="8"/>
  </w:num>
  <w:num w:numId="20">
    <w:abstractNumId w:val="8"/>
  </w:num>
  <w:num w:numId="21">
    <w:abstractNumId w:val="8"/>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7">
    <w:abstractNumId w:val="14"/>
  </w:num>
  <w:num w:numId="28">
    <w:abstractNumId w:val="15"/>
  </w:num>
  <w:num w:numId="29">
    <w:abstractNumId w:val="5"/>
  </w:num>
  <w:num w:numId="30">
    <w:abstractNumId w:val="13"/>
  </w:num>
  <w:num w:numId="31">
    <w:abstractNumId w:val="11"/>
  </w:num>
  <w:num w:numId="32">
    <w:abstractNumId w:val="6"/>
  </w:num>
  <w:num w:numId="33">
    <w:abstractNumId w:val="12"/>
  </w:num>
  <w:num w:numId="34">
    <w:abstractNumId w:val="10"/>
  </w:num>
  <w:num w:numId="35">
    <w:abstractNumId w:val="4"/>
  </w:num>
  <w:num w:numId="36">
    <w:abstractNumId w:val="9"/>
  </w:num>
  <w:num w:numId="3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8">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0">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1">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2">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3">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4">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58"/>
    <w:rsid w:val="00002031"/>
    <w:rsid w:val="00004734"/>
    <w:rsid w:val="00006B22"/>
    <w:rsid w:val="0001276A"/>
    <w:rsid w:val="000246AE"/>
    <w:rsid w:val="00025C67"/>
    <w:rsid w:val="00030ABD"/>
    <w:rsid w:val="00030B83"/>
    <w:rsid w:val="00044772"/>
    <w:rsid w:val="00050441"/>
    <w:rsid w:val="0005260A"/>
    <w:rsid w:val="00052EA6"/>
    <w:rsid w:val="0005559E"/>
    <w:rsid w:val="000604D6"/>
    <w:rsid w:val="000734D8"/>
    <w:rsid w:val="00077775"/>
    <w:rsid w:val="00090471"/>
    <w:rsid w:val="00096AA7"/>
    <w:rsid w:val="000A3AED"/>
    <w:rsid w:val="000B3532"/>
    <w:rsid w:val="000B3A75"/>
    <w:rsid w:val="000C00C2"/>
    <w:rsid w:val="000C19E5"/>
    <w:rsid w:val="000C5278"/>
    <w:rsid w:val="000C690F"/>
    <w:rsid w:val="000D0887"/>
    <w:rsid w:val="000D1295"/>
    <w:rsid w:val="000D391B"/>
    <w:rsid w:val="000D3D6D"/>
    <w:rsid w:val="000D4FC7"/>
    <w:rsid w:val="000E6196"/>
    <w:rsid w:val="000F0D78"/>
    <w:rsid w:val="000F4869"/>
    <w:rsid w:val="000F5B42"/>
    <w:rsid w:val="000F6E6F"/>
    <w:rsid w:val="00100C0D"/>
    <w:rsid w:val="0010601F"/>
    <w:rsid w:val="0010788A"/>
    <w:rsid w:val="00107A31"/>
    <w:rsid w:val="00110EA5"/>
    <w:rsid w:val="00112F56"/>
    <w:rsid w:val="00124ACD"/>
    <w:rsid w:val="00125318"/>
    <w:rsid w:val="001305A2"/>
    <w:rsid w:val="00133238"/>
    <w:rsid w:val="00133A1B"/>
    <w:rsid w:val="0014197B"/>
    <w:rsid w:val="001447CD"/>
    <w:rsid w:val="00147800"/>
    <w:rsid w:val="001516B1"/>
    <w:rsid w:val="00154EBB"/>
    <w:rsid w:val="00156316"/>
    <w:rsid w:val="00161181"/>
    <w:rsid w:val="00162D14"/>
    <w:rsid w:val="00163780"/>
    <w:rsid w:val="00165389"/>
    <w:rsid w:val="0017693F"/>
    <w:rsid w:val="0018110E"/>
    <w:rsid w:val="00181684"/>
    <w:rsid w:val="00183A51"/>
    <w:rsid w:val="001843C6"/>
    <w:rsid w:val="001850E0"/>
    <w:rsid w:val="001A2158"/>
    <w:rsid w:val="001A525F"/>
    <w:rsid w:val="001B09F9"/>
    <w:rsid w:val="001B169F"/>
    <w:rsid w:val="001B3E9F"/>
    <w:rsid w:val="001B5C90"/>
    <w:rsid w:val="001B6448"/>
    <w:rsid w:val="001C32CD"/>
    <w:rsid w:val="001D2984"/>
    <w:rsid w:val="001D7586"/>
    <w:rsid w:val="001E02C1"/>
    <w:rsid w:val="001E07CF"/>
    <w:rsid w:val="001E59F1"/>
    <w:rsid w:val="001F02C9"/>
    <w:rsid w:val="001F2CEE"/>
    <w:rsid w:val="001F49EB"/>
    <w:rsid w:val="001F6CBA"/>
    <w:rsid w:val="00201D4E"/>
    <w:rsid w:val="00204CD4"/>
    <w:rsid w:val="002060AD"/>
    <w:rsid w:val="002076C9"/>
    <w:rsid w:val="00220B8A"/>
    <w:rsid w:val="002235FA"/>
    <w:rsid w:val="002257F3"/>
    <w:rsid w:val="00233456"/>
    <w:rsid w:val="002339A5"/>
    <w:rsid w:val="00257848"/>
    <w:rsid w:val="00263E50"/>
    <w:rsid w:val="00267E1F"/>
    <w:rsid w:val="0027084A"/>
    <w:rsid w:val="00286434"/>
    <w:rsid w:val="002865E8"/>
    <w:rsid w:val="0028670C"/>
    <w:rsid w:val="00286C59"/>
    <w:rsid w:val="00291957"/>
    <w:rsid w:val="00291C8E"/>
    <w:rsid w:val="002935DF"/>
    <w:rsid w:val="002942D1"/>
    <w:rsid w:val="0029501A"/>
    <w:rsid w:val="002A3721"/>
    <w:rsid w:val="002B1638"/>
    <w:rsid w:val="002B3624"/>
    <w:rsid w:val="002D0952"/>
    <w:rsid w:val="002D7F01"/>
    <w:rsid w:val="002E40B3"/>
    <w:rsid w:val="002E4C9A"/>
    <w:rsid w:val="002F0520"/>
    <w:rsid w:val="002F11F8"/>
    <w:rsid w:val="002F3F56"/>
    <w:rsid w:val="002F44B5"/>
    <w:rsid w:val="002F5122"/>
    <w:rsid w:val="00311AC0"/>
    <w:rsid w:val="003176FC"/>
    <w:rsid w:val="00321471"/>
    <w:rsid w:val="0032583B"/>
    <w:rsid w:val="00327883"/>
    <w:rsid w:val="00335504"/>
    <w:rsid w:val="00340C18"/>
    <w:rsid w:val="00341412"/>
    <w:rsid w:val="003442FD"/>
    <w:rsid w:val="00347824"/>
    <w:rsid w:val="00350567"/>
    <w:rsid w:val="003521E8"/>
    <w:rsid w:val="00363802"/>
    <w:rsid w:val="00370CE3"/>
    <w:rsid w:val="003728F3"/>
    <w:rsid w:val="003735BC"/>
    <w:rsid w:val="0037496E"/>
    <w:rsid w:val="00383221"/>
    <w:rsid w:val="00386150"/>
    <w:rsid w:val="003874CE"/>
    <w:rsid w:val="00390900"/>
    <w:rsid w:val="00390DA9"/>
    <w:rsid w:val="00392E5E"/>
    <w:rsid w:val="003961E5"/>
    <w:rsid w:val="003A57E0"/>
    <w:rsid w:val="003A7F6C"/>
    <w:rsid w:val="003B37AB"/>
    <w:rsid w:val="003B4D60"/>
    <w:rsid w:val="003B5288"/>
    <w:rsid w:val="003B7E39"/>
    <w:rsid w:val="003C58DC"/>
    <w:rsid w:val="003D1E62"/>
    <w:rsid w:val="003E0B99"/>
    <w:rsid w:val="003E2486"/>
    <w:rsid w:val="003E3208"/>
    <w:rsid w:val="003F0B04"/>
    <w:rsid w:val="003F7201"/>
    <w:rsid w:val="0040134E"/>
    <w:rsid w:val="00405A00"/>
    <w:rsid w:val="00405D9B"/>
    <w:rsid w:val="00407BE0"/>
    <w:rsid w:val="004138BB"/>
    <w:rsid w:val="004334C7"/>
    <w:rsid w:val="00440A2D"/>
    <w:rsid w:val="00441C3F"/>
    <w:rsid w:val="004528E4"/>
    <w:rsid w:val="004564A7"/>
    <w:rsid w:val="00456765"/>
    <w:rsid w:val="004617BF"/>
    <w:rsid w:val="00463658"/>
    <w:rsid w:val="004637A0"/>
    <w:rsid w:val="00471266"/>
    <w:rsid w:val="004722CC"/>
    <w:rsid w:val="004936E4"/>
    <w:rsid w:val="00494E60"/>
    <w:rsid w:val="00497487"/>
    <w:rsid w:val="004A245F"/>
    <w:rsid w:val="004A6189"/>
    <w:rsid w:val="004A7390"/>
    <w:rsid w:val="004B5819"/>
    <w:rsid w:val="004B7B76"/>
    <w:rsid w:val="004C154C"/>
    <w:rsid w:val="004C239D"/>
    <w:rsid w:val="004C2DCA"/>
    <w:rsid w:val="004C61D2"/>
    <w:rsid w:val="004E2150"/>
    <w:rsid w:val="004F0C4A"/>
    <w:rsid w:val="004F0F38"/>
    <w:rsid w:val="004F3B70"/>
    <w:rsid w:val="004F47D6"/>
    <w:rsid w:val="00500337"/>
    <w:rsid w:val="00501921"/>
    <w:rsid w:val="00530354"/>
    <w:rsid w:val="00534EEB"/>
    <w:rsid w:val="0053625B"/>
    <w:rsid w:val="005434C6"/>
    <w:rsid w:val="00543B39"/>
    <w:rsid w:val="00546154"/>
    <w:rsid w:val="00550096"/>
    <w:rsid w:val="00555280"/>
    <w:rsid w:val="00557FF9"/>
    <w:rsid w:val="00562327"/>
    <w:rsid w:val="00565FBD"/>
    <w:rsid w:val="005711D5"/>
    <w:rsid w:val="00572AFC"/>
    <w:rsid w:val="00576378"/>
    <w:rsid w:val="00577130"/>
    <w:rsid w:val="00577945"/>
    <w:rsid w:val="00577E38"/>
    <w:rsid w:val="00585322"/>
    <w:rsid w:val="005857C6"/>
    <w:rsid w:val="005924A6"/>
    <w:rsid w:val="00592F6E"/>
    <w:rsid w:val="00593AD1"/>
    <w:rsid w:val="005A68B6"/>
    <w:rsid w:val="005B23CB"/>
    <w:rsid w:val="005C5570"/>
    <w:rsid w:val="005C79A4"/>
    <w:rsid w:val="005D4A8F"/>
    <w:rsid w:val="005D5442"/>
    <w:rsid w:val="005F6C38"/>
    <w:rsid w:val="00603F32"/>
    <w:rsid w:val="00605AD4"/>
    <w:rsid w:val="00610165"/>
    <w:rsid w:val="006136D7"/>
    <w:rsid w:val="00625A6E"/>
    <w:rsid w:val="00632398"/>
    <w:rsid w:val="00640FC3"/>
    <w:rsid w:val="00642020"/>
    <w:rsid w:val="0065337B"/>
    <w:rsid w:val="00653E0C"/>
    <w:rsid w:val="0065419D"/>
    <w:rsid w:val="006603BC"/>
    <w:rsid w:val="006604D8"/>
    <w:rsid w:val="00664A5B"/>
    <w:rsid w:val="0066735C"/>
    <w:rsid w:val="00670253"/>
    <w:rsid w:val="006763D2"/>
    <w:rsid w:val="00677C57"/>
    <w:rsid w:val="00680C08"/>
    <w:rsid w:val="00684354"/>
    <w:rsid w:val="006916A0"/>
    <w:rsid w:val="006931B1"/>
    <w:rsid w:val="006942E1"/>
    <w:rsid w:val="00697756"/>
    <w:rsid w:val="006A15C0"/>
    <w:rsid w:val="006A1954"/>
    <w:rsid w:val="006C3311"/>
    <w:rsid w:val="006C3E2A"/>
    <w:rsid w:val="006C642F"/>
    <w:rsid w:val="006D03E5"/>
    <w:rsid w:val="006D5D3E"/>
    <w:rsid w:val="006E08B3"/>
    <w:rsid w:val="006F17AC"/>
    <w:rsid w:val="006F25B8"/>
    <w:rsid w:val="006F572E"/>
    <w:rsid w:val="006F6061"/>
    <w:rsid w:val="0070416F"/>
    <w:rsid w:val="007046D6"/>
    <w:rsid w:val="00705DB0"/>
    <w:rsid w:val="0071672C"/>
    <w:rsid w:val="00721494"/>
    <w:rsid w:val="00722B57"/>
    <w:rsid w:val="00730F8A"/>
    <w:rsid w:val="00735A8C"/>
    <w:rsid w:val="0073721C"/>
    <w:rsid w:val="0074253D"/>
    <w:rsid w:val="0074429B"/>
    <w:rsid w:val="00756B7D"/>
    <w:rsid w:val="007615BC"/>
    <w:rsid w:val="00762F05"/>
    <w:rsid w:val="007652FF"/>
    <w:rsid w:val="00770CAC"/>
    <w:rsid w:val="00770EF1"/>
    <w:rsid w:val="00773EF7"/>
    <w:rsid w:val="00774E1D"/>
    <w:rsid w:val="00774E48"/>
    <w:rsid w:val="007765D8"/>
    <w:rsid w:val="0077675A"/>
    <w:rsid w:val="00777094"/>
    <w:rsid w:val="0077726B"/>
    <w:rsid w:val="00780355"/>
    <w:rsid w:val="007819FD"/>
    <w:rsid w:val="00785717"/>
    <w:rsid w:val="00785721"/>
    <w:rsid w:val="00793A59"/>
    <w:rsid w:val="00794740"/>
    <w:rsid w:val="007A46F5"/>
    <w:rsid w:val="007B6132"/>
    <w:rsid w:val="007B6E9F"/>
    <w:rsid w:val="007C1216"/>
    <w:rsid w:val="007C1AF7"/>
    <w:rsid w:val="007C6B9B"/>
    <w:rsid w:val="00801367"/>
    <w:rsid w:val="00805D27"/>
    <w:rsid w:val="008063A4"/>
    <w:rsid w:val="00806DCB"/>
    <w:rsid w:val="00821776"/>
    <w:rsid w:val="008321F5"/>
    <w:rsid w:val="00832369"/>
    <w:rsid w:val="00834660"/>
    <w:rsid w:val="00836BC2"/>
    <w:rsid w:val="0085156D"/>
    <w:rsid w:val="00852B28"/>
    <w:rsid w:val="0085388E"/>
    <w:rsid w:val="0085641B"/>
    <w:rsid w:val="00857136"/>
    <w:rsid w:val="00875A6B"/>
    <w:rsid w:val="00885B11"/>
    <w:rsid w:val="00885F40"/>
    <w:rsid w:val="00886D15"/>
    <w:rsid w:val="00887DD8"/>
    <w:rsid w:val="00891BA9"/>
    <w:rsid w:val="00896018"/>
    <w:rsid w:val="008960DD"/>
    <w:rsid w:val="0089635C"/>
    <w:rsid w:val="008A1397"/>
    <w:rsid w:val="008A2B9D"/>
    <w:rsid w:val="008A3D9F"/>
    <w:rsid w:val="008A5E0B"/>
    <w:rsid w:val="008A6D59"/>
    <w:rsid w:val="008A703B"/>
    <w:rsid w:val="008B4B03"/>
    <w:rsid w:val="008B596F"/>
    <w:rsid w:val="008C159F"/>
    <w:rsid w:val="008C1623"/>
    <w:rsid w:val="008C1850"/>
    <w:rsid w:val="008C51A9"/>
    <w:rsid w:val="008E61E8"/>
    <w:rsid w:val="008E7846"/>
    <w:rsid w:val="008F02E5"/>
    <w:rsid w:val="008F1CCC"/>
    <w:rsid w:val="008F2967"/>
    <w:rsid w:val="008F6943"/>
    <w:rsid w:val="00900E19"/>
    <w:rsid w:val="00902A21"/>
    <w:rsid w:val="0090374F"/>
    <w:rsid w:val="009121CE"/>
    <w:rsid w:val="0091523F"/>
    <w:rsid w:val="00920330"/>
    <w:rsid w:val="009219D7"/>
    <w:rsid w:val="00922D53"/>
    <w:rsid w:val="00923B70"/>
    <w:rsid w:val="00924482"/>
    <w:rsid w:val="00930237"/>
    <w:rsid w:val="00937C17"/>
    <w:rsid w:val="00940A89"/>
    <w:rsid w:val="00946EA5"/>
    <w:rsid w:val="009510C8"/>
    <w:rsid w:val="00963C08"/>
    <w:rsid w:val="00973012"/>
    <w:rsid w:val="00973BF8"/>
    <w:rsid w:val="009752A5"/>
    <w:rsid w:val="00975CA8"/>
    <w:rsid w:val="0098052A"/>
    <w:rsid w:val="0098585A"/>
    <w:rsid w:val="009873EF"/>
    <w:rsid w:val="009A4CED"/>
    <w:rsid w:val="009A690D"/>
    <w:rsid w:val="009B1D12"/>
    <w:rsid w:val="009B416B"/>
    <w:rsid w:val="009B4BE7"/>
    <w:rsid w:val="009C4BD5"/>
    <w:rsid w:val="009C6886"/>
    <w:rsid w:val="009D5F58"/>
    <w:rsid w:val="009D7284"/>
    <w:rsid w:val="009D7B77"/>
    <w:rsid w:val="009E0BB0"/>
    <w:rsid w:val="009E3FBB"/>
    <w:rsid w:val="009F7353"/>
    <w:rsid w:val="00A04F85"/>
    <w:rsid w:val="00A05FA4"/>
    <w:rsid w:val="00A102E4"/>
    <w:rsid w:val="00A12C42"/>
    <w:rsid w:val="00A14DF7"/>
    <w:rsid w:val="00A22D57"/>
    <w:rsid w:val="00A3246D"/>
    <w:rsid w:val="00A32476"/>
    <w:rsid w:val="00A36FA7"/>
    <w:rsid w:val="00A44DDB"/>
    <w:rsid w:val="00A475B7"/>
    <w:rsid w:val="00A47AF7"/>
    <w:rsid w:val="00A47C3E"/>
    <w:rsid w:val="00A50226"/>
    <w:rsid w:val="00A52431"/>
    <w:rsid w:val="00A57AC7"/>
    <w:rsid w:val="00A60BAD"/>
    <w:rsid w:val="00A76DD2"/>
    <w:rsid w:val="00A77F87"/>
    <w:rsid w:val="00A80B5B"/>
    <w:rsid w:val="00A84E36"/>
    <w:rsid w:val="00A964D1"/>
    <w:rsid w:val="00AA0ED0"/>
    <w:rsid w:val="00AA1CFA"/>
    <w:rsid w:val="00AC2B40"/>
    <w:rsid w:val="00AC2BB2"/>
    <w:rsid w:val="00AC2C3C"/>
    <w:rsid w:val="00AC512D"/>
    <w:rsid w:val="00AD0083"/>
    <w:rsid w:val="00AD060C"/>
    <w:rsid w:val="00AD3935"/>
    <w:rsid w:val="00AE65EB"/>
    <w:rsid w:val="00AE67A7"/>
    <w:rsid w:val="00AF1D94"/>
    <w:rsid w:val="00AF60C5"/>
    <w:rsid w:val="00B009C6"/>
    <w:rsid w:val="00B01548"/>
    <w:rsid w:val="00B13EBD"/>
    <w:rsid w:val="00B1498C"/>
    <w:rsid w:val="00B21D29"/>
    <w:rsid w:val="00B25034"/>
    <w:rsid w:val="00B33588"/>
    <w:rsid w:val="00B33863"/>
    <w:rsid w:val="00B37D17"/>
    <w:rsid w:val="00B4175E"/>
    <w:rsid w:val="00B41C85"/>
    <w:rsid w:val="00B452CE"/>
    <w:rsid w:val="00B54C25"/>
    <w:rsid w:val="00B57860"/>
    <w:rsid w:val="00B76B91"/>
    <w:rsid w:val="00B770CF"/>
    <w:rsid w:val="00B77EB1"/>
    <w:rsid w:val="00B811C6"/>
    <w:rsid w:val="00B850D9"/>
    <w:rsid w:val="00B855B0"/>
    <w:rsid w:val="00B92E08"/>
    <w:rsid w:val="00BC281D"/>
    <w:rsid w:val="00BC622A"/>
    <w:rsid w:val="00BE0A78"/>
    <w:rsid w:val="00BE79F0"/>
    <w:rsid w:val="00BF046D"/>
    <w:rsid w:val="00BF1190"/>
    <w:rsid w:val="00BF3774"/>
    <w:rsid w:val="00BF4239"/>
    <w:rsid w:val="00BF5D04"/>
    <w:rsid w:val="00C009AA"/>
    <w:rsid w:val="00C1164D"/>
    <w:rsid w:val="00C143A1"/>
    <w:rsid w:val="00C16861"/>
    <w:rsid w:val="00C30639"/>
    <w:rsid w:val="00C346AB"/>
    <w:rsid w:val="00C404A6"/>
    <w:rsid w:val="00C40A36"/>
    <w:rsid w:val="00C437E7"/>
    <w:rsid w:val="00C44419"/>
    <w:rsid w:val="00C45E7B"/>
    <w:rsid w:val="00C471B1"/>
    <w:rsid w:val="00C6316B"/>
    <w:rsid w:val="00C634A9"/>
    <w:rsid w:val="00C64586"/>
    <w:rsid w:val="00C66A53"/>
    <w:rsid w:val="00C70D53"/>
    <w:rsid w:val="00C73D0B"/>
    <w:rsid w:val="00C772FF"/>
    <w:rsid w:val="00C80137"/>
    <w:rsid w:val="00C801AF"/>
    <w:rsid w:val="00C80256"/>
    <w:rsid w:val="00C94CD4"/>
    <w:rsid w:val="00C9747E"/>
    <w:rsid w:val="00CB6BC0"/>
    <w:rsid w:val="00CC1B7C"/>
    <w:rsid w:val="00CC68B1"/>
    <w:rsid w:val="00CC727F"/>
    <w:rsid w:val="00CD09D9"/>
    <w:rsid w:val="00CF15C3"/>
    <w:rsid w:val="00CF2B6F"/>
    <w:rsid w:val="00CF2F3E"/>
    <w:rsid w:val="00CF58B6"/>
    <w:rsid w:val="00D0062D"/>
    <w:rsid w:val="00D017ED"/>
    <w:rsid w:val="00D040D3"/>
    <w:rsid w:val="00D04C65"/>
    <w:rsid w:val="00D201D2"/>
    <w:rsid w:val="00D224FE"/>
    <w:rsid w:val="00D23139"/>
    <w:rsid w:val="00D26AFE"/>
    <w:rsid w:val="00D425BB"/>
    <w:rsid w:val="00D453FA"/>
    <w:rsid w:val="00D556F7"/>
    <w:rsid w:val="00D6493E"/>
    <w:rsid w:val="00D70E7F"/>
    <w:rsid w:val="00D7195D"/>
    <w:rsid w:val="00D7301E"/>
    <w:rsid w:val="00D76962"/>
    <w:rsid w:val="00D83AE1"/>
    <w:rsid w:val="00D855D4"/>
    <w:rsid w:val="00D902C9"/>
    <w:rsid w:val="00D93466"/>
    <w:rsid w:val="00DA1124"/>
    <w:rsid w:val="00DB06B8"/>
    <w:rsid w:val="00DB6124"/>
    <w:rsid w:val="00DB750B"/>
    <w:rsid w:val="00DB75B7"/>
    <w:rsid w:val="00DC2916"/>
    <w:rsid w:val="00DC6E02"/>
    <w:rsid w:val="00DD0063"/>
    <w:rsid w:val="00DD28CD"/>
    <w:rsid w:val="00DE02AE"/>
    <w:rsid w:val="00DE39D1"/>
    <w:rsid w:val="00DE6467"/>
    <w:rsid w:val="00DF1D7F"/>
    <w:rsid w:val="00DF4BE4"/>
    <w:rsid w:val="00E0099B"/>
    <w:rsid w:val="00E02382"/>
    <w:rsid w:val="00E02FB4"/>
    <w:rsid w:val="00E05137"/>
    <w:rsid w:val="00E13FC7"/>
    <w:rsid w:val="00E20571"/>
    <w:rsid w:val="00E235F7"/>
    <w:rsid w:val="00E23659"/>
    <w:rsid w:val="00E239D4"/>
    <w:rsid w:val="00E26130"/>
    <w:rsid w:val="00E36710"/>
    <w:rsid w:val="00E40B22"/>
    <w:rsid w:val="00E44ED1"/>
    <w:rsid w:val="00E45619"/>
    <w:rsid w:val="00E4588F"/>
    <w:rsid w:val="00E46DA3"/>
    <w:rsid w:val="00E51BB1"/>
    <w:rsid w:val="00E624A5"/>
    <w:rsid w:val="00E64BA4"/>
    <w:rsid w:val="00E7344E"/>
    <w:rsid w:val="00E82665"/>
    <w:rsid w:val="00EA583C"/>
    <w:rsid w:val="00EB0798"/>
    <w:rsid w:val="00EB40AD"/>
    <w:rsid w:val="00EB586E"/>
    <w:rsid w:val="00EB5FC8"/>
    <w:rsid w:val="00EC463D"/>
    <w:rsid w:val="00EC7A85"/>
    <w:rsid w:val="00ED2922"/>
    <w:rsid w:val="00ED3CAD"/>
    <w:rsid w:val="00ED5A41"/>
    <w:rsid w:val="00EE1DE8"/>
    <w:rsid w:val="00EE22BF"/>
    <w:rsid w:val="00EE27C2"/>
    <w:rsid w:val="00EF4BAD"/>
    <w:rsid w:val="00EF59DC"/>
    <w:rsid w:val="00F033EC"/>
    <w:rsid w:val="00F04F68"/>
    <w:rsid w:val="00F12670"/>
    <w:rsid w:val="00F14B27"/>
    <w:rsid w:val="00F3148D"/>
    <w:rsid w:val="00F325C5"/>
    <w:rsid w:val="00F32FE0"/>
    <w:rsid w:val="00F34A23"/>
    <w:rsid w:val="00F35298"/>
    <w:rsid w:val="00F47333"/>
    <w:rsid w:val="00F47E37"/>
    <w:rsid w:val="00F50582"/>
    <w:rsid w:val="00F53C07"/>
    <w:rsid w:val="00F54B65"/>
    <w:rsid w:val="00F640B6"/>
    <w:rsid w:val="00F65EA1"/>
    <w:rsid w:val="00F66DF2"/>
    <w:rsid w:val="00F721A6"/>
    <w:rsid w:val="00F80E40"/>
    <w:rsid w:val="00F848D9"/>
    <w:rsid w:val="00F85BBE"/>
    <w:rsid w:val="00FA5069"/>
    <w:rsid w:val="00FA5B82"/>
    <w:rsid w:val="00FA639E"/>
    <w:rsid w:val="00FC0C85"/>
    <w:rsid w:val="00FC1FCA"/>
    <w:rsid w:val="00FC25E4"/>
    <w:rsid w:val="00FC3530"/>
    <w:rsid w:val="00FC4EF7"/>
    <w:rsid w:val="00FD0824"/>
    <w:rsid w:val="00FD119B"/>
    <w:rsid w:val="00FD1EDC"/>
    <w:rsid w:val="00FE1DEE"/>
    <w:rsid w:val="00FF067F"/>
    <w:rsid w:val="00FF2126"/>
    <w:rsid w:val="00FF2861"/>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E6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00E1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973BF8"/>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73BF8"/>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07BE0"/>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565FBD"/>
    <w:pPr>
      <w:adjustRightInd w:val="0"/>
      <w:snapToGrid w:val="0"/>
      <w:spacing w:before="180" w:after="180"/>
      <w:ind w:left="720"/>
      <w:contextualSpacing/>
    </w:pPr>
    <w:rPr>
      <w:rFonts w:eastAsia="MS Mincho"/>
      <w:szCs w:val="20"/>
      <w:lang w:eastAsia="ja-JP"/>
    </w:rPr>
  </w:style>
  <w:style w:type="paragraph" w:customStyle="1" w:styleId="Default">
    <w:name w:val="Default"/>
    <w:rsid w:val="00C437E7"/>
    <w:pPr>
      <w:autoSpaceDE w:val="0"/>
      <w:autoSpaceDN w:val="0"/>
      <w:adjustRightInd w:val="0"/>
      <w:spacing w:after="0" w:line="240" w:lineRule="auto"/>
    </w:pPr>
    <w:rPr>
      <w:rFonts w:ascii="Arial" w:hAnsi="Arial" w:cs="Arial"/>
      <w:color w:val="000000"/>
      <w:sz w:val="24"/>
      <w:szCs w:val="24"/>
    </w:rPr>
  </w:style>
  <w:style w:type="paragraph" w:customStyle="1" w:styleId="Bulletlist">
    <w:name w:val="Bullet list"/>
    <w:basedOn w:val="Normal"/>
    <w:link w:val="BulletlistChar"/>
    <w:qFormat/>
    <w:rsid w:val="00AD060C"/>
    <w:pPr>
      <w:numPr>
        <w:numId w:val="32"/>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AD060C"/>
    <w:rPr>
      <w:rFonts w:ascii="Cambria" w:eastAsia="Times New Roman" w:hAnsi="Cambria" w:cs="Times New Roman"/>
      <w:snapToGrid w:val="0"/>
      <w:kern w:val="2"/>
      <w:sz w:val="23"/>
    </w:rPr>
  </w:style>
  <w:style w:type="paragraph" w:customStyle="1" w:styleId="Standard">
    <w:name w:val="Standard"/>
    <w:basedOn w:val="Normal"/>
    <w:link w:val="StandardChar"/>
    <w:qFormat/>
    <w:rsid w:val="00AD060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AD060C"/>
    <w:rPr>
      <w:rFonts w:ascii="Cambria" w:eastAsia="Times New Roman" w:hAnsi="Cambria" w:cs="Times New Roman"/>
      <w:snapToGrid w:val="0"/>
      <w:kern w:val="16"/>
      <w:sz w:val="23"/>
      <w:szCs w:val="24"/>
    </w:rPr>
  </w:style>
  <w:style w:type="numbering" w:customStyle="1" w:styleId="Recommendations">
    <w:name w:val="Recommendations"/>
    <w:uiPriority w:val="99"/>
    <w:rsid w:val="00AD060C"/>
    <w:pPr>
      <w:numPr>
        <w:numId w:val="33"/>
      </w:numPr>
    </w:pPr>
  </w:style>
  <w:style w:type="paragraph" w:styleId="Quote">
    <w:name w:val="Quote"/>
    <w:basedOn w:val="Normal"/>
    <w:next w:val="Normal"/>
    <w:link w:val="QuoteChar"/>
    <w:uiPriority w:val="29"/>
    <w:qFormat/>
    <w:rsid w:val="00AD060C"/>
    <w:pPr>
      <w:spacing w:before="0" w:after="200" w:line="276" w:lineRule="auto"/>
      <w:ind w:left="397" w:right="170"/>
    </w:pPr>
    <w:rPr>
      <w:rFonts w:asciiTheme="majorHAnsi" w:eastAsiaTheme="minorHAnsi" w:hAnsiTheme="majorHAnsi" w:cstheme="minorBidi"/>
      <w:i/>
      <w:iCs/>
      <w:color w:val="000000" w:themeColor="text1"/>
      <w:sz w:val="23"/>
    </w:rPr>
  </w:style>
  <w:style w:type="character" w:customStyle="1" w:styleId="QuoteChar">
    <w:name w:val="Quote Char"/>
    <w:basedOn w:val="DefaultParagraphFont"/>
    <w:link w:val="Quote"/>
    <w:uiPriority w:val="29"/>
    <w:rsid w:val="00AD060C"/>
    <w:rPr>
      <w:rFonts w:asciiTheme="majorHAnsi" w:hAnsiTheme="majorHAnsi"/>
      <w:i/>
      <w:iCs/>
      <w:color w:val="000000" w:themeColor="text1"/>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00E1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973BF8"/>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73BF8"/>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07BE0"/>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565FBD"/>
    <w:pPr>
      <w:adjustRightInd w:val="0"/>
      <w:snapToGrid w:val="0"/>
      <w:spacing w:before="180" w:after="180"/>
      <w:ind w:left="720"/>
      <w:contextualSpacing/>
    </w:pPr>
    <w:rPr>
      <w:rFonts w:eastAsia="MS Mincho"/>
      <w:szCs w:val="20"/>
      <w:lang w:eastAsia="ja-JP"/>
    </w:rPr>
  </w:style>
  <w:style w:type="paragraph" w:customStyle="1" w:styleId="Default">
    <w:name w:val="Default"/>
    <w:rsid w:val="00C437E7"/>
    <w:pPr>
      <w:autoSpaceDE w:val="0"/>
      <w:autoSpaceDN w:val="0"/>
      <w:adjustRightInd w:val="0"/>
      <w:spacing w:after="0" w:line="240" w:lineRule="auto"/>
    </w:pPr>
    <w:rPr>
      <w:rFonts w:ascii="Arial" w:hAnsi="Arial" w:cs="Arial"/>
      <w:color w:val="000000"/>
      <w:sz w:val="24"/>
      <w:szCs w:val="24"/>
    </w:rPr>
  </w:style>
  <w:style w:type="paragraph" w:customStyle="1" w:styleId="Bulletlist">
    <w:name w:val="Bullet list"/>
    <w:basedOn w:val="Normal"/>
    <w:link w:val="BulletlistChar"/>
    <w:qFormat/>
    <w:rsid w:val="00AD060C"/>
    <w:pPr>
      <w:numPr>
        <w:numId w:val="32"/>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AD060C"/>
    <w:rPr>
      <w:rFonts w:ascii="Cambria" w:eastAsia="Times New Roman" w:hAnsi="Cambria" w:cs="Times New Roman"/>
      <w:snapToGrid w:val="0"/>
      <w:kern w:val="2"/>
      <w:sz w:val="23"/>
    </w:rPr>
  </w:style>
  <w:style w:type="paragraph" w:customStyle="1" w:styleId="Standard">
    <w:name w:val="Standard"/>
    <w:basedOn w:val="Normal"/>
    <w:link w:val="StandardChar"/>
    <w:qFormat/>
    <w:rsid w:val="00AD060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AD060C"/>
    <w:rPr>
      <w:rFonts w:ascii="Cambria" w:eastAsia="Times New Roman" w:hAnsi="Cambria" w:cs="Times New Roman"/>
      <w:snapToGrid w:val="0"/>
      <w:kern w:val="16"/>
      <w:sz w:val="23"/>
      <w:szCs w:val="24"/>
    </w:rPr>
  </w:style>
  <w:style w:type="numbering" w:customStyle="1" w:styleId="Recommendations">
    <w:name w:val="Recommendations"/>
    <w:uiPriority w:val="99"/>
    <w:rsid w:val="00AD060C"/>
    <w:pPr>
      <w:numPr>
        <w:numId w:val="33"/>
      </w:numPr>
    </w:pPr>
  </w:style>
  <w:style w:type="paragraph" w:styleId="Quote">
    <w:name w:val="Quote"/>
    <w:basedOn w:val="Normal"/>
    <w:next w:val="Normal"/>
    <w:link w:val="QuoteChar"/>
    <w:uiPriority w:val="29"/>
    <w:qFormat/>
    <w:rsid w:val="00AD060C"/>
    <w:pPr>
      <w:spacing w:before="0" w:after="200" w:line="276" w:lineRule="auto"/>
      <w:ind w:left="397" w:right="170"/>
    </w:pPr>
    <w:rPr>
      <w:rFonts w:asciiTheme="majorHAnsi" w:eastAsiaTheme="minorHAnsi" w:hAnsiTheme="majorHAnsi" w:cstheme="minorBidi"/>
      <w:i/>
      <w:iCs/>
      <w:color w:val="000000" w:themeColor="text1"/>
      <w:sz w:val="23"/>
    </w:rPr>
  </w:style>
  <w:style w:type="character" w:customStyle="1" w:styleId="QuoteChar">
    <w:name w:val="Quote Char"/>
    <w:basedOn w:val="DefaultParagraphFont"/>
    <w:link w:val="Quote"/>
    <w:uiPriority w:val="29"/>
    <w:rsid w:val="00AD060C"/>
    <w:rPr>
      <w:rFonts w:asciiTheme="majorHAnsi" w:hAnsiTheme="majorHAnsi"/>
      <w:i/>
      <w:iCs/>
      <w:color w:val="000000"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2048">
      <w:bodyDiv w:val="1"/>
      <w:marLeft w:val="0"/>
      <w:marRight w:val="0"/>
      <w:marTop w:val="0"/>
      <w:marBottom w:val="0"/>
      <w:divBdr>
        <w:top w:val="none" w:sz="0" w:space="0" w:color="auto"/>
        <w:left w:val="none" w:sz="0" w:space="0" w:color="auto"/>
        <w:bottom w:val="none" w:sz="0" w:space="0" w:color="auto"/>
        <w:right w:val="none" w:sz="0" w:space="0" w:color="auto"/>
      </w:divBdr>
    </w:div>
    <w:div w:id="419906771">
      <w:bodyDiv w:val="1"/>
      <w:marLeft w:val="0"/>
      <w:marRight w:val="0"/>
      <w:marTop w:val="0"/>
      <w:marBottom w:val="0"/>
      <w:divBdr>
        <w:top w:val="none" w:sz="0" w:space="0" w:color="auto"/>
        <w:left w:val="none" w:sz="0" w:space="0" w:color="auto"/>
        <w:bottom w:val="none" w:sz="0" w:space="0" w:color="auto"/>
        <w:right w:val="none" w:sz="0" w:space="0" w:color="auto"/>
      </w:divBdr>
    </w:div>
    <w:div w:id="683173493">
      <w:bodyDiv w:val="1"/>
      <w:marLeft w:val="0"/>
      <w:marRight w:val="0"/>
      <w:marTop w:val="0"/>
      <w:marBottom w:val="0"/>
      <w:divBdr>
        <w:top w:val="none" w:sz="0" w:space="0" w:color="auto"/>
        <w:left w:val="none" w:sz="0" w:space="0" w:color="auto"/>
        <w:bottom w:val="none" w:sz="0" w:space="0" w:color="auto"/>
        <w:right w:val="none" w:sz="0" w:space="0" w:color="auto"/>
      </w:divBdr>
    </w:div>
    <w:div w:id="940918871">
      <w:bodyDiv w:val="1"/>
      <w:marLeft w:val="0"/>
      <w:marRight w:val="0"/>
      <w:marTop w:val="0"/>
      <w:marBottom w:val="0"/>
      <w:divBdr>
        <w:top w:val="none" w:sz="0" w:space="0" w:color="auto"/>
        <w:left w:val="none" w:sz="0" w:space="0" w:color="auto"/>
        <w:bottom w:val="none" w:sz="0" w:space="0" w:color="auto"/>
        <w:right w:val="none" w:sz="0" w:space="0" w:color="auto"/>
      </w:divBdr>
    </w:div>
    <w:div w:id="947158534">
      <w:bodyDiv w:val="1"/>
      <w:marLeft w:val="0"/>
      <w:marRight w:val="0"/>
      <w:marTop w:val="0"/>
      <w:marBottom w:val="0"/>
      <w:divBdr>
        <w:top w:val="none" w:sz="0" w:space="0" w:color="auto"/>
        <w:left w:val="none" w:sz="0" w:space="0" w:color="auto"/>
        <w:bottom w:val="none" w:sz="0" w:space="0" w:color="auto"/>
        <w:right w:val="none" w:sz="0" w:space="0" w:color="auto"/>
      </w:divBdr>
    </w:div>
    <w:div w:id="1032345227">
      <w:bodyDiv w:val="1"/>
      <w:marLeft w:val="0"/>
      <w:marRight w:val="0"/>
      <w:marTop w:val="0"/>
      <w:marBottom w:val="0"/>
      <w:divBdr>
        <w:top w:val="none" w:sz="0" w:space="0" w:color="auto"/>
        <w:left w:val="none" w:sz="0" w:space="0" w:color="auto"/>
        <w:bottom w:val="none" w:sz="0" w:space="0" w:color="auto"/>
        <w:right w:val="none" w:sz="0" w:space="0" w:color="auto"/>
      </w:divBdr>
    </w:div>
    <w:div w:id="205156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eader" Target="header6.xml"/><Relationship Id="rId39" Type="http://schemas.microsoft.com/office/2011/relationships/people" Target="NUL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yperlink" Target="https://www.tga.gov.au"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522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9473-90D6-4984-AA15-AFBEDD12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46</TotalTime>
  <Pages>28</Pages>
  <Words>8541</Words>
  <Characters>48685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Australian Public Assessment Report for Tiotropium</vt:lpstr>
    </vt:vector>
  </TitlesOfParts>
  <Company/>
  <LinksUpToDate>false</LinksUpToDate>
  <CharactersWithSpaces>57112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Tiotropium</dc:title>
  <dc:subject>Prescription medicines</dc:subject>
  <dc:creator>Therapeutic Goods Administration</dc:creator>
  <cp:keywords>AusPARs</cp:keywords>
  <cp:lastModifiedBy>SEARSON, Lisa</cp:lastModifiedBy>
  <cp:revision>6</cp:revision>
  <cp:lastPrinted>2015-09-22T23:39:00Z</cp:lastPrinted>
  <dcterms:created xsi:type="dcterms:W3CDTF">2019-08-13T00:32:00Z</dcterms:created>
  <dcterms:modified xsi:type="dcterms:W3CDTF">2019-08-15T00:46:00Z</dcterms:modified>
</cp:coreProperties>
</file>