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CA" w:rsidRDefault="00EB4BCA" w:rsidP="00EB4BCA">
      <w:pPr>
        <w:shd w:val="pct10" w:color="auto" w:fill="auto"/>
        <w:jc w:val="center"/>
        <w:rPr>
          <w:rFonts w:ascii="Arial" w:hAnsi="Arial"/>
          <w:b/>
        </w:rPr>
      </w:pPr>
    </w:p>
    <w:p w:rsidR="00EB4BCA" w:rsidRDefault="00CE1427" w:rsidP="00EB4BCA">
      <w:pPr>
        <w:shd w:val="pct10" w:color="auto" w:fill="auto"/>
        <w:jc w:val="center"/>
        <w:rPr>
          <w:rFonts w:ascii="Arial" w:hAnsi="Arial"/>
          <w:b/>
          <w:sz w:val="28"/>
        </w:rPr>
      </w:pPr>
      <w:r>
        <w:rPr>
          <w:rFonts w:ascii="Arial" w:hAnsi="Arial"/>
          <w:b/>
          <w:sz w:val="28"/>
        </w:rPr>
        <w:t>FAVINT</w:t>
      </w:r>
      <w:r w:rsidR="00E1093F">
        <w:rPr>
          <w:rFonts w:ascii="Arial" w:hAnsi="Arial" w:cs="Arial"/>
          <w:b/>
          <w:sz w:val="28"/>
          <w:vertAlign w:val="superscript"/>
        </w:rPr>
        <w:t>®</w:t>
      </w:r>
      <w:r w:rsidR="00EB4BCA">
        <w:rPr>
          <w:rFonts w:ascii="Arial" w:hAnsi="Arial"/>
          <w:b/>
          <w:sz w:val="28"/>
        </w:rPr>
        <w:t xml:space="preserve"> </w:t>
      </w:r>
      <w:r w:rsidR="00E1093F">
        <w:rPr>
          <w:rFonts w:ascii="Arial" w:hAnsi="Arial"/>
          <w:b/>
          <w:sz w:val="28"/>
        </w:rPr>
        <w:t>RESPIMAT</w:t>
      </w:r>
      <w:r w:rsidR="00E1093F" w:rsidRPr="009E24D3">
        <w:rPr>
          <w:rFonts w:ascii="Arial" w:hAnsi="Arial" w:cs="Arial"/>
          <w:b/>
          <w:sz w:val="28"/>
          <w:vertAlign w:val="superscript"/>
        </w:rPr>
        <w:t>®</w:t>
      </w:r>
    </w:p>
    <w:p w:rsidR="00100430" w:rsidRDefault="00EB4BCA" w:rsidP="00EB4BCA">
      <w:pPr>
        <w:pStyle w:val="ActiveIngredientPI"/>
      </w:pPr>
      <w:r>
        <w:t>(tiotropium bromide)</w:t>
      </w:r>
    </w:p>
    <w:p w:rsidR="00100430" w:rsidRDefault="00100430" w:rsidP="00EB4BCA">
      <w:pPr>
        <w:pStyle w:val="PIHeading1"/>
      </w:pPr>
      <w:r>
        <w:t xml:space="preserve">NAME OF THE </w:t>
      </w:r>
      <w:r w:rsidR="00C03806">
        <w:t>MEDICINE</w:t>
      </w:r>
    </w:p>
    <w:p w:rsidR="009B54FC" w:rsidRDefault="006F35CE" w:rsidP="009E24D3">
      <w:pPr>
        <w:pStyle w:val="TextPI"/>
        <w:spacing w:line="240" w:lineRule="auto"/>
      </w:pPr>
      <w:r>
        <w:t xml:space="preserve">Active ingredient: </w:t>
      </w:r>
      <w:r>
        <w:tab/>
        <w:t>tiotropium (as tiotropium bromide monohydrate)</w:t>
      </w:r>
    </w:p>
    <w:p w:rsidR="00100430" w:rsidRDefault="00100430" w:rsidP="009E24D3">
      <w:pPr>
        <w:pStyle w:val="Text"/>
        <w:tabs>
          <w:tab w:val="left" w:pos="2127"/>
        </w:tabs>
        <w:adjustRightInd w:val="0"/>
        <w:spacing w:before="120" w:after="120" w:line="240" w:lineRule="auto"/>
        <w:ind w:left="2127" w:hanging="2127"/>
        <w:rPr>
          <w:rFonts w:ascii="Arial" w:hAnsi="Arial"/>
          <w:sz w:val="22"/>
        </w:rPr>
      </w:pPr>
      <w:r>
        <w:rPr>
          <w:rFonts w:ascii="Arial" w:hAnsi="Arial"/>
          <w:sz w:val="22"/>
        </w:rPr>
        <w:t>Chemical name:</w:t>
      </w:r>
      <w:r>
        <w:rPr>
          <w:rFonts w:ascii="Arial" w:hAnsi="Arial"/>
          <w:sz w:val="22"/>
        </w:rPr>
        <w:tab/>
      </w:r>
      <w:r w:rsidR="00CD6241">
        <w:rPr>
          <w:rFonts w:ascii="Arial" w:hAnsi="Arial"/>
          <w:sz w:val="22"/>
        </w:rPr>
        <w:tab/>
      </w:r>
      <w:r>
        <w:rPr>
          <w:rFonts w:ascii="Arial" w:hAnsi="Arial"/>
          <w:sz w:val="22"/>
        </w:rPr>
        <w:t>3-Oxa-9-azoniatricyclo[3.3.1.0</w:t>
      </w:r>
      <w:r>
        <w:rPr>
          <w:rFonts w:ascii="Arial" w:hAnsi="Arial"/>
          <w:sz w:val="22"/>
          <w:vertAlign w:val="superscript"/>
        </w:rPr>
        <w:t>2,4</w:t>
      </w:r>
      <w:r>
        <w:rPr>
          <w:rFonts w:ascii="Arial" w:hAnsi="Arial"/>
          <w:sz w:val="22"/>
        </w:rPr>
        <w:t>]</w:t>
      </w:r>
      <w:proofErr w:type="spellStart"/>
      <w:r>
        <w:rPr>
          <w:rFonts w:ascii="Arial" w:hAnsi="Arial"/>
          <w:sz w:val="22"/>
        </w:rPr>
        <w:t>nonane</w:t>
      </w:r>
      <w:proofErr w:type="spellEnd"/>
      <w:r>
        <w:rPr>
          <w:rFonts w:ascii="Arial" w:hAnsi="Arial"/>
          <w:sz w:val="22"/>
        </w:rPr>
        <w:t>, 7-[(hydroxydi-2-thienylacetyl)oxy]-9,9-dimethyl-, bromide, monohydrate, (1</w:t>
      </w:r>
      <w:r>
        <w:rPr>
          <w:rFonts w:ascii="Arial" w:hAnsi="Arial"/>
          <w:sz w:val="22"/>
        </w:rPr>
        <w:sym w:font="Symbol" w:char="F061"/>
      </w:r>
      <w:r>
        <w:rPr>
          <w:rFonts w:ascii="Arial" w:hAnsi="Arial"/>
          <w:sz w:val="22"/>
        </w:rPr>
        <w:t>, 2</w:t>
      </w:r>
      <w:r>
        <w:rPr>
          <w:rFonts w:ascii="Arial" w:hAnsi="Arial"/>
          <w:sz w:val="22"/>
        </w:rPr>
        <w:sym w:font="Symbol" w:char="F062"/>
      </w:r>
      <w:r>
        <w:rPr>
          <w:rFonts w:ascii="Arial" w:hAnsi="Arial"/>
          <w:sz w:val="22"/>
        </w:rPr>
        <w:t>, 4</w:t>
      </w:r>
      <w:r>
        <w:rPr>
          <w:rFonts w:ascii="Arial" w:hAnsi="Arial"/>
          <w:sz w:val="22"/>
        </w:rPr>
        <w:sym w:font="Symbol" w:char="F062"/>
      </w:r>
      <w:r>
        <w:rPr>
          <w:rFonts w:ascii="Arial" w:hAnsi="Arial"/>
          <w:sz w:val="22"/>
        </w:rPr>
        <w:t>, 5</w:t>
      </w:r>
      <w:r>
        <w:rPr>
          <w:rFonts w:ascii="Arial" w:hAnsi="Arial"/>
          <w:sz w:val="22"/>
        </w:rPr>
        <w:sym w:font="Symbol" w:char="F061"/>
      </w:r>
      <w:r>
        <w:rPr>
          <w:rFonts w:ascii="Arial" w:hAnsi="Arial"/>
          <w:sz w:val="22"/>
        </w:rPr>
        <w:t>, 7</w:t>
      </w:r>
      <w:r>
        <w:rPr>
          <w:rFonts w:ascii="Arial" w:hAnsi="Arial"/>
          <w:sz w:val="22"/>
        </w:rPr>
        <w:sym w:font="Symbol" w:char="F062"/>
      </w:r>
      <w:r>
        <w:rPr>
          <w:rFonts w:ascii="Arial" w:hAnsi="Arial"/>
          <w:sz w:val="22"/>
        </w:rPr>
        <w:t>)-</w:t>
      </w:r>
    </w:p>
    <w:p w:rsidR="00100430" w:rsidRPr="00F13E02" w:rsidRDefault="000D2E58" w:rsidP="009E24D3">
      <w:pPr>
        <w:pStyle w:val="Text"/>
        <w:tabs>
          <w:tab w:val="left" w:pos="2127"/>
        </w:tabs>
        <w:spacing w:before="120" w:after="120" w:line="240" w:lineRule="auto"/>
        <w:ind w:left="2127" w:hanging="2127"/>
        <w:rPr>
          <w:rFonts w:ascii="Arial" w:hAnsi="Arial"/>
          <w:sz w:val="22"/>
          <w:lang w:val="pt-PT"/>
        </w:rPr>
      </w:pPr>
      <w:r w:rsidRPr="00F13E02">
        <w:rPr>
          <w:rFonts w:ascii="Arial" w:hAnsi="Arial"/>
          <w:sz w:val="22"/>
          <w:lang w:val="pt-PT"/>
        </w:rPr>
        <w:t>Molecular</w:t>
      </w:r>
      <w:r w:rsidR="00100430" w:rsidRPr="00F13E02">
        <w:rPr>
          <w:rFonts w:ascii="Arial" w:hAnsi="Arial"/>
          <w:sz w:val="22"/>
          <w:lang w:val="pt-PT"/>
        </w:rPr>
        <w:t xml:space="preserve"> formula:</w:t>
      </w:r>
      <w:r w:rsidR="00100430" w:rsidRPr="00F13E02">
        <w:rPr>
          <w:rFonts w:ascii="Arial" w:hAnsi="Arial"/>
          <w:sz w:val="22"/>
          <w:lang w:val="pt-PT"/>
        </w:rPr>
        <w:tab/>
      </w:r>
      <w:r w:rsidR="00CD6241">
        <w:rPr>
          <w:rFonts w:ascii="Arial" w:hAnsi="Arial"/>
          <w:sz w:val="22"/>
          <w:lang w:val="pt-PT"/>
        </w:rPr>
        <w:tab/>
      </w:r>
      <w:r w:rsidR="00100430" w:rsidRPr="00F13E02">
        <w:rPr>
          <w:rFonts w:ascii="Arial" w:hAnsi="Arial"/>
          <w:sz w:val="22"/>
          <w:lang w:val="pt-PT"/>
        </w:rPr>
        <w:t>C</w:t>
      </w:r>
      <w:r w:rsidR="00100430" w:rsidRPr="00F13E02">
        <w:rPr>
          <w:rFonts w:ascii="Arial" w:hAnsi="Arial"/>
          <w:sz w:val="22"/>
          <w:vertAlign w:val="subscript"/>
          <w:lang w:val="pt-PT"/>
        </w:rPr>
        <w:t>19</w:t>
      </w:r>
      <w:r w:rsidR="00100430" w:rsidRPr="00F13E02">
        <w:rPr>
          <w:rFonts w:ascii="Arial" w:hAnsi="Arial"/>
          <w:sz w:val="22"/>
          <w:lang w:val="pt-PT"/>
        </w:rPr>
        <w:t>H</w:t>
      </w:r>
      <w:r w:rsidR="00100430" w:rsidRPr="00F13E02">
        <w:rPr>
          <w:rFonts w:ascii="Arial" w:hAnsi="Arial"/>
          <w:sz w:val="22"/>
          <w:vertAlign w:val="subscript"/>
          <w:lang w:val="pt-PT"/>
        </w:rPr>
        <w:t>22</w:t>
      </w:r>
      <w:r w:rsidR="00100430" w:rsidRPr="00F13E02">
        <w:rPr>
          <w:rFonts w:ascii="Arial" w:hAnsi="Arial"/>
          <w:sz w:val="22"/>
          <w:lang w:val="pt-PT"/>
        </w:rPr>
        <w:t>NO</w:t>
      </w:r>
      <w:r w:rsidR="00100430" w:rsidRPr="00F13E02">
        <w:rPr>
          <w:rFonts w:ascii="Arial" w:hAnsi="Arial"/>
          <w:sz w:val="22"/>
          <w:vertAlign w:val="subscript"/>
          <w:lang w:val="pt-PT"/>
        </w:rPr>
        <w:t>4</w:t>
      </w:r>
      <w:r w:rsidR="00100430" w:rsidRPr="00F13E02">
        <w:rPr>
          <w:rFonts w:ascii="Arial" w:hAnsi="Arial"/>
          <w:sz w:val="22"/>
          <w:lang w:val="pt-PT"/>
        </w:rPr>
        <w:t>S</w:t>
      </w:r>
      <w:r w:rsidR="00100430" w:rsidRPr="00F13E02">
        <w:rPr>
          <w:rFonts w:ascii="Arial" w:hAnsi="Arial"/>
          <w:sz w:val="22"/>
          <w:vertAlign w:val="subscript"/>
          <w:lang w:val="pt-PT"/>
        </w:rPr>
        <w:t>2</w:t>
      </w:r>
      <w:r w:rsidR="00100430" w:rsidRPr="00F13E02">
        <w:rPr>
          <w:rFonts w:ascii="Arial" w:hAnsi="Arial"/>
          <w:sz w:val="22"/>
          <w:lang w:val="pt-PT"/>
        </w:rPr>
        <w:t>Br.H</w:t>
      </w:r>
      <w:r w:rsidR="00100430" w:rsidRPr="00F13E02">
        <w:rPr>
          <w:rFonts w:ascii="Arial" w:hAnsi="Arial"/>
          <w:sz w:val="22"/>
          <w:vertAlign w:val="subscript"/>
          <w:lang w:val="pt-PT"/>
        </w:rPr>
        <w:t>2</w:t>
      </w:r>
      <w:r w:rsidR="00100430" w:rsidRPr="00F13E02">
        <w:rPr>
          <w:rFonts w:ascii="Arial" w:hAnsi="Arial"/>
          <w:sz w:val="22"/>
          <w:lang w:val="pt-PT"/>
        </w:rPr>
        <w:t>O</w:t>
      </w:r>
    </w:p>
    <w:p w:rsidR="00100430" w:rsidRPr="00F13E02" w:rsidRDefault="00100430" w:rsidP="009E24D3">
      <w:pPr>
        <w:pStyle w:val="Text"/>
        <w:tabs>
          <w:tab w:val="left" w:pos="2127"/>
        </w:tabs>
        <w:spacing w:before="120" w:after="120" w:line="240" w:lineRule="auto"/>
        <w:ind w:left="2127" w:hanging="2127"/>
        <w:rPr>
          <w:rFonts w:ascii="Arial" w:hAnsi="Arial"/>
          <w:sz w:val="22"/>
          <w:lang w:val="pt-PT"/>
        </w:rPr>
      </w:pPr>
      <w:r w:rsidRPr="00F13E02">
        <w:rPr>
          <w:rFonts w:ascii="Arial" w:hAnsi="Arial"/>
          <w:sz w:val="22"/>
          <w:lang w:val="pt-PT"/>
        </w:rPr>
        <w:t>Molecular weight:</w:t>
      </w:r>
      <w:r w:rsidRPr="00F13E02">
        <w:rPr>
          <w:rFonts w:ascii="Arial" w:hAnsi="Arial"/>
          <w:sz w:val="22"/>
          <w:lang w:val="pt-PT"/>
        </w:rPr>
        <w:tab/>
      </w:r>
      <w:r w:rsidR="00CD6241">
        <w:rPr>
          <w:rFonts w:ascii="Arial" w:hAnsi="Arial"/>
          <w:sz w:val="22"/>
          <w:lang w:val="pt-PT"/>
        </w:rPr>
        <w:tab/>
      </w:r>
      <w:r w:rsidRPr="00F13E02">
        <w:rPr>
          <w:rFonts w:ascii="Arial" w:hAnsi="Arial"/>
          <w:sz w:val="22"/>
          <w:lang w:val="pt-PT"/>
        </w:rPr>
        <w:t>490.4 (monohydrate)</w:t>
      </w:r>
    </w:p>
    <w:p w:rsidR="00100430" w:rsidRDefault="00100430" w:rsidP="009E24D3">
      <w:pPr>
        <w:pStyle w:val="Text"/>
        <w:tabs>
          <w:tab w:val="left" w:pos="2127"/>
        </w:tabs>
        <w:spacing w:before="120" w:after="120" w:line="240" w:lineRule="auto"/>
        <w:ind w:left="2127" w:hanging="2127"/>
        <w:rPr>
          <w:rFonts w:ascii="Arial" w:hAnsi="Arial"/>
          <w:sz w:val="22"/>
        </w:rPr>
      </w:pPr>
      <w:r>
        <w:rPr>
          <w:rFonts w:ascii="Arial" w:hAnsi="Arial"/>
          <w:sz w:val="22"/>
        </w:rPr>
        <w:t>CAS number:</w:t>
      </w:r>
      <w:r>
        <w:rPr>
          <w:rFonts w:ascii="Arial" w:hAnsi="Arial"/>
          <w:sz w:val="22"/>
        </w:rPr>
        <w:tab/>
      </w:r>
      <w:r>
        <w:rPr>
          <w:rFonts w:ascii="Arial" w:hAnsi="Arial"/>
          <w:sz w:val="22"/>
        </w:rPr>
        <w:tab/>
        <w:t>139404-48-1</w:t>
      </w:r>
    </w:p>
    <w:p w:rsidR="00100430" w:rsidRDefault="006F35CE" w:rsidP="009E24D3">
      <w:pPr>
        <w:spacing w:before="120" w:after="120"/>
        <w:jc w:val="left"/>
        <w:rPr>
          <w:rFonts w:ascii="Arial" w:hAnsi="Arial"/>
          <w:sz w:val="22"/>
        </w:rPr>
      </w:pPr>
      <w:r>
        <w:rPr>
          <w:rFonts w:ascii="Arial" w:hAnsi="Arial"/>
          <w:sz w:val="22"/>
          <w:lang w:val="en-GB"/>
        </w:rPr>
        <w:t>Structural formula:</w:t>
      </w:r>
      <w:r>
        <w:rPr>
          <w:rFonts w:ascii="Arial" w:hAnsi="Arial"/>
          <w:sz w:val="22"/>
          <w:lang w:val="en-GB"/>
        </w:rPr>
        <w:tab/>
      </w:r>
    </w:p>
    <w:p w:rsidR="00100430" w:rsidRDefault="009B54FC" w:rsidP="009E24D3">
      <w:pPr>
        <w:spacing w:before="120" w:after="120"/>
        <w:jc w:val="center"/>
        <w:rPr>
          <w:sz w:val="22"/>
        </w:rPr>
      </w:pPr>
      <w:r>
        <w:rPr>
          <w:noProof/>
          <w:sz w:val="22"/>
          <w:lang w:val="en-AU" w:eastAsia="en-AU"/>
        </w:rPr>
        <w:drawing>
          <wp:inline distT="0" distB="0" distL="0" distR="0" wp14:anchorId="34ABD84D" wp14:editId="3F95D49E">
            <wp:extent cx="1190625" cy="1171575"/>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171575"/>
                    </a:xfrm>
                    <a:prstGeom prst="rect">
                      <a:avLst/>
                    </a:prstGeom>
                    <a:noFill/>
                    <a:ln>
                      <a:noFill/>
                    </a:ln>
                  </pic:spPr>
                </pic:pic>
              </a:graphicData>
            </a:graphic>
          </wp:inline>
        </w:drawing>
      </w:r>
    </w:p>
    <w:p w:rsidR="00511CDD" w:rsidRDefault="00511CDD" w:rsidP="00511CDD">
      <w:pPr>
        <w:pStyle w:val="PIHeading1"/>
      </w:pPr>
      <w:r>
        <w:t>DESCRIPTION</w:t>
      </w:r>
    </w:p>
    <w:p w:rsidR="00100430" w:rsidRDefault="00100430" w:rsidP="009E24D3">
      <w:pPr>
        <w:pStyle w:val="TextPI"/>
        <w:spacing w:line="240" w:lineRule="auto"/>
      </w:pPr>
      <w:r>
        <w:t>Tiotropium bromide is a white to yellowish-white, odourless crystalline powder. It exists as a quaternary ammonium salt, and there are no ionisable functional groups on the molecule. The active substance is not optically active.</w:t>
      </w:r>
    </w:p>
    <w:p w:rsidR="00100430" w:rsidRDefault="00100430" w:rsidP="009E24D3">
      <w:pPr>
        <w:pStyle w:val="TextPI"/>
        <w:spacing w:line="240" w:lineRule="auto"/>
      </w:pPr>
      <w:r>
        <w:t>Tiotropium bromide is freely soluble in dimethyl sulphoxide, soluble in methanol, sparingly soluble in water and practically insoluble in methylene chloride. The solubility in aqueous solutions at room temperature is approx. 2.5%, independent of pH. At pH 7.4, the apparent partition coefficient (log P</w:t>
      </w:r>
      <w:r>
        <w:rPr>
          <w:vertAlign w:val="subscript"/>
        </w:rPr>
        <w:t>app</w:t>
      </w:r>
      <w:r>
        <w:t>) is -2.25.</w:t>
      </w:r>
    </w:p>
    <w:p w:rsidR="00100430" w:rsidRDefault="00100430" w:rsidP="009E24D3">
      <w:pPr>
        <w:pStyle w:val="TextPI"/>
        <w:spacing w:line="240" w:lineRule="auto"/>
      </w:pPr>
      <w:r>
        <w:t>A monohydrate form of tiotropium bromide is produced by the synthetic process. The compound melts with decomposition between 225°C and 235°C, when determined by differential scanning calorimetry at a heating rate of 10 K per minute.</w:t>
      </w:r>
    </w:p>
    <w:p w:rsidR="001E28A1" w:rsidRDefault="006F35CE" w:rsidP="009E24D3">
      <w:pPr>
        <w:pStyle w:val="TextPI"/>
        <w:spacing w:line="240" w:lineRule="auto"/>
      </w:pPr>
      <w:r>
        <w:t>E</w:t>
      </w:r>
      <w:r w:rsidR="001E28A1">
        <w:t xml:space="preserve">xcipients </w:t>
      </w:r>
      <w:r>
        <w:t xml:space="preserve">include </w:t>
      </w:r>
      <w:r w:rsidR="001E28A1">
        <w:t>benzalkonium chloride, disodium edetate, water-purified, and hydrochloric acid for pH adjustment.</w:t>
      </w:r>
    </w:p>
    <w:p w:rsidR="00100430" w:rsidRDefault="00C03806" w:rsidP="00EB4BCA">
      <w:pPr>
        <w:pStyle w:val="PIHeading1"/>
      </w:pPr>
      <w:r>
        <w:t>PHARMACOLOGY</w:t>
      </w:r>
    </w:p>
    <w:p w:rsidR="00A95631" w:rsidRPr="00F24B73" w:rsidRDefault="00A95631" w:rsidP="009E24D3">
      <w:pPr>
        <w:pStyle w:val="Text"/>
        <w:spacing w:before="120" w:after="120" w:line="240" w:lineRule="auto"/>
      </w:pPr>
      <w:r w:rsidRPr="00CD6241">
        <w:rPr>
          <w:rFonts w:ascii="Arial" w:hAnsi="Arial"/>
          <w:sz w:val="22"/>
          <w:lang w:val="en-GB"/>
        </w:rPr>
        <w:t xml:space="preserve">Pharmacotherapeutic group: </w:t>
      </w:r>
      <w:r>
        <w:rPr>
          <w:rFonts w:ascii="Arial" w:hAnsi="Arial"/>
          <w:sz w:val="22"/>
          <w:lang w:val="en-GB"/>
        </w:rPr>
        <w:tab/>
      </w:r>
      <w:r w:rsidRPr="00CD6241">
        <w:rPr>
          <w:rFonts w:ascii="Arial" w:hAnsi="Arial"/>
          <w:sz w:val="22"/>
          <w:lang w:val="en-GB"/>
        </w:rPr>
        <w:t>Other drugs for obstructive airway diseases, inhalants, anticholinergics; ATC code: R03B B04</w:t>
      </w:r>
    </w:p>
    <w:p w:rsidR="00100430" w:rsidRDefault="00100430" w:rsidP="009E24D3">
      <w:pPr>
        <w:pStyle w:val="TextPI"/>
        <w:spacing w:line="240" w:lineRule="auto"/>
      </w:pPr>
      <w:r>
        <w:t>Tiotropium is a long-acting, specific antimuscarinic (anticholinergic) agent. It has similar affinity to the muscarinic receptor subtypes M</w:t>
      </w:r>
      <w:r>
        <w:rPr>
          <w:vertAlign w:val="subscript"/>
        </w:rPr>
        <w:t>1</w:t>
      </w:r>
      <w:r>
        <w:t xml:space="preserve"> to M</w:t>
      </w:r>
      <w:r>
        <w:rPr>
          <w:vertAlign w:val="subscript"/>
        </w:rPr>
        <w:t>5</w:t>
      </w:r>
      <w:r>
        <w:t xml:space="preserve"> (K</w:t>
      </w:r>
      <w:r>
        <w:rPr>
          <w:vertAlign w:val="subscript"/>
        </w:rPr>
        <w:t>D</w:t>
      </w:r>
      <w:r>
        <w:t xml:space="preserve"> 5-41 pM). In the airways, inhibition by tiotropium of M</w:t>
      </w:r>
      <w:r>
        <w:rPr>
          <w:vertAlign w:val="subscript"/>
        </w:rPr>
        <w:t>3</w:t>
      </w:r>
      <w:r>
        <w:t xml:space="preserve">-receptors at the smooth muscle results in relaxation. The competitive and reversible nature of antagonism was shown with human and animal origin receptors. In </w:t>
      </w:r>
      <w:r w:rsidR="00835B64">
        <w:t>non-</w:t>
      </w:r>
      <w:r>
        <w:t xml:space="preserve">clinical </w:t>
      </w:r>
      <w:r>
        <w:rPr>
          <w:i/>
        </w:rPr>
        <w:t>in vitro</w:t>
      </w:r>
      <w:r>
        <w:t xml:space="preserve"> as well as </w:t>
      </w:r>
      <w:r>
        <w:rPr>
          <w:i/>
        </w:rPr>
        <w:t>in vivo</w:t>
      </w:r>
      <w:r>
        <w:t xml:space="preserve"> studies, bronchoprotective effects were dose-dependent. Bronchoprotective effects lasting at least 24 hours were observed in some of the </w:t>
      </w:r>
      <w:r>
        <w:rPr>
          <w:i/>
        </w:rPr>
        <w:t>in vivo</w:t>
      </w:r>
      <w:r>
        <w:t xml:space="preserve"> studies. The long duration of effect of tiotropium is likely to be due to its slow </w:t>
      </w:r>
      <w:r>
        <w:lastRenderedPageBreak/>
        <w:t>dissociation from M</w:t>
      </w:r>
      <w:r>
        <w:rPr>
          <w:vertAlign w:val="subscript"/>
        </w:rPr>
        <w:t>3</w:t>
      </w:r>
      <w:r>
        <w:t>-receptors. Tiotropium exhibited a significantly longer dissociation half-life from M</w:t>
      </w:r>
      <w:r>
        <w:rPr>
          <w:vertAlign w:val="subscript"/>
        </w:rPr>
        <w:t>3</w:t>
      </w:r>
      <w:r>
        <w:t xml:space="preserve"> receptors than ipratropium.</w:t>
      </w:r>
    </w:p>
    <w:p w:rsidR="00100430" w:rsidRDefault="00100430" w:rsidP="009E24D3">
      <w:pPr>
        <w:pStyle w:val="TextPI"/>
        <w:spacing w:line="240" w:lineRule="auto"/>
      </w:pPr>
      <w:r>
        <w:t>Tiotropium, a N-quaternary anticholinergic agent, is topically (</w:t>
      </w:r>
      <w:proofErr w:type="spellStart"/>
      <w:r>
        <w:t>broncho</w:t>
      </w:r>
      <w:proofErr w:type="spellEnd"/>
      <w:r>
        <w:t>-) selective when administered by inhalation. The high potency (IC</w:t>
      </w:r>
      <w:r>
        <w:rPr>
          <w:vertAlign w:val="subscript"/>
        </w:rPr>
        <w:t>50</w:t>
      </w:r>
      <w:r>
        <w:t xml:space="preserve"> approximately 0.4 nM for M</w:t>
      </w:r>
      <w:r>
        <w:rPr>
          <w:vertAlign w:val="subscript"/>
        </w:rPr>
        <w:t>3</w:t>
      </w:r>
      <w:r>
        <w:t>) and slow receptor dissociation is associated with a significant and long-acting bronchodilation in patients with chronic obstructive pulmonary disease (COPD)</w:t>
      </w:r>
      <w:r w:rsidR="00835B64">
        <w:t xml:space="preserve"> and asthma</w:t>
      </w:r>
      <w:r>
        <w:t>.</w:t>
      </w:r>
    </w:p>
    <w:p w:rsidR="00100430" w:rsidRDefault="00100430" w:rsidP="009E24D3">
      <w:pPr>
        <w:pStyle w:val="TextPI"/>
        <w:spacing w:line="240" w:lineRule="auto"/>
      </w:pPr>
      <w:r>
        <w:t>The bronchodilation following inhalation of tiotropium is primarily a local effect on the airways, not a systemic one.</w:t>
      </w:r>
    </w:p>
    <w:p w:rsidR="00100430" w:rsidRDefault="00100430" w:rsidP="00EB4BCA">
      <w:pPr>
        <w:pStyle w:val="PIHeading1"/>
      </w:pPr>
      <w:r>
        <w:t>PHARMACOKINETICS</w:t>
      </w:r>
    </w:p>
    <w:p w:rsidR="006F35CE" w:rsidRPr="00094544" w:rsidRDefault="006F35CE" w:rsidP="009E24D3">
      <w:pPr>
        <w:pStyle w:val="TextPI"/>
        <w:spacing w:line="240" w:lineRule="auto"/>
      </w:pPr>
      <w:r w:rsidRPr="00F24B73">
        <w:rPr>
          <w:lang w:val="en-US"/>
        </w:rPr>
        <w:t xml:space="preserve">Tiotropium bromide is a non-chiral quaternary ammonium compound and is sparingly soluble in water. </w:t>
      </w:r>
      <w:r w:rsidRPr="00F24B73">
        <w:t xml:space="preserve">Tiotropium bromide is available as solution for inhalation administered by the </w:t>
      </w:r>
      <w:r>
        <w:t>RESPIMAT</w:t>
      </w:r>
      <w:r w:rsidRPr="00F24B73">
        <w:t xml:space="preserve"> inhaler. </w:t>
      </w:r>
      <w:r w:rsidR="007C6C95" w:rsidRPr="007C6C95">
        <w:t xml:space="preserve"> </w:t>
      </w:r>
      <w:r w:rsidR="007C6C95">
        <w:t xml:space="preserve">Generally with the inhaled route of administration, the majority of the delivered dose is swallowed and deposited in the gastrointestinal tract, and to a lesser extent is delivered to the lungs. </w:t>
      </w:r>
      <w:r w:rsidR="00F3294E">
        <w:t>Approximately 40% of the inhaled dose of tiotropium RESPIMAT is deposited in the lungs, the target organ, the remaining amount being deposited in the gastrointestinal tract.  Some of the tiotropium RESPIMAT pharmacokinetic data described below were obtained with higher doses than recommended for therapy.</w:t>
      </w:r>
    </w:p>
    <w:p w:rsidR="007D6F8E" w:rsidRPr="003B5CD2" w:rsidRDefault="007D6F8E" w:rsidP="007D6F8E">
      <w:pPr>
        <w:pStyle w:val="TextPI"/>
        <w:spacing w:line="240" w:lineRule="auto"/>
        <w:rPr>
          <w:u w:val="single"/>
        </w:rPr>
      </w:pPr>
      <w:r w:rsidRPr="003B5CD2">
        <w:rPr>
          <w:u w:val="single"/>
        </w:rPr>
        <w:t>Bioequivalence</w:t>
      </w:r>
    </w:p>
    <w:p w:rsidR="007D6F8E" w:rsidRPr="007D6F8E" w:rsidRDefault="007D6F8E" w:rsidP="004768F1">
      <w:pPr>
        <w:pStyle w:val="PIheading2"/>
        <w:jc w:val="both"/>
        <w:rPr>
          <w:b w:val="0"/>
          <w:bCs/>
        </w:rPr>
      </w:pPr>
      <w:r w:rsidRPr="007D6F8E">
        <w:rPr>
          <w:b w:val="0"/>
          <w:bCs/>
          <w:szCs w:val="24"/>
          <w:lang w:val="en-AU" w:bidi="th-TH"/>
        </w:rPr>
        <w:t xml:space="preserve">The primary objective of the Phase II, crossover study 205.458 involving 123 </w:t>
      </w:r>
      <w:r w:rsidR="00186ED1" w:rsidRPr="00186ED1">
        <w:rPr>
          <w:b w:val="0"/>
          <w:bCs/>
          <w:szCs w:val="24"/>
          <w:lang w:val="en-AU" w:bidi="th-TH"/>
        </w:rPr>
        <w:t xml:space="preserve">patients with </w:t>
      </w:r>
      <w:r w:rsidRPr="007D6F8E">
        <w:rPr>
          <w:b w:val="0"/>
          <w:bCs/>
          <w:szCs w:val="24"/>
          <w:lang w:val="en-AU" w:bidi="th-TH"/>
        </w:rPr>
        <w:t>COPD was to compare the pharmacokinetics of 5 μg tiotropium solution for inhalation delivered by the RESPIMAT Inhaler (Tio R 5) with tiotropium powder for inhalation 18 μg delivered by the HandiHaler</w:t>
      </w:r>
      <w:r w:rsidRPr="007D6F8E">
        <w:rPr>
          <w:b w:val="0"/>
          <w:bCs/>
          <w:szCs w:val="24"/>
          <w:vertAlign w:val="superscript"/>
          <w:lang w:val="en-AU" w:bidi="th-TH"/>
        </w:rPr>
        <w:t>®</w:t>
      </w:r>
      <w:r w:rsidR="00186ED1">
        <w:rPr>
          <w:b w:val="0"/>
          <w:bCs/>
          <w:szCs w:val="24"/>
          <w:vertAlign w:val="subscript"/>
          <w:lang w:val="en-AU" w:bidi="th-TH"/>
        </w:rPr>
        <w:t xml:space="preserve"> </w:t>
      </w:r>
      <w:r w:rsidR="00186ED1" w:rsidRPr="00186ED1">
        <w:rPr>
          <w:b w:val="0"/>
          <w:bCs/>
          <w:szCs w:val="24"/>
          <w:lang w:val="en-AU" w:bidi="th-TH"/>
        </w:rPr>
        <w:t>(Tio HH 18)</w:t>
      </w:r>
      <w:r w:rsidRPr="007D6F8E">
        <w:rPr>
          <w:b w:val="0"/>
          <w:bCs/>
          <w:szCs w:val="24"/>
          <w:lang w:val="en-AU" w:bidi="th-TH"/>
        </w:rPr>
        <w:t>. The exposure to tiotropium following the use of Tio R 5 was lower compared to Tio HH 18. Using the parameters AUC</w:t>
      </w:r>
      <w:r w:rsidRPr="00E039E0">
        <w:rPr>
          <w:b w:val="0"/>
          <w:bCs/>
          <w:szCs w:val="24"/>
          <w:vertAlign w:val="subscript"/>
          <w:lang w:val="en-AU" w:bidi="th-TH"/>
        </w:rPr>
        <w:t>0</w:t>
      </w:r>
      <w:r w:rsidRPr="00E039E0">
        <w:rPr>
          <w:rFonts w:ascii="Cambria Math" w:hAnsi="Cambria Math" w:cs="Cambria Math"/>
          <w:b w:val="0"/>
          <w:bCs/>
          <w:szCs w:val="24"/>
          <w:vertAlign w:val="subscript"/>
          <w:lang w:val="en-AU" w:bidi="th-TH"/>
        </w:rPr>
        <w:t>‐</w:t>
      </w:r>
      <w:r w:rsidRPr="00E039E0">
        <w:rPr>
          <w:b w:val="0"/>
          <w:bCs/>
          <w:szCs w:val="24"/>
          <w:vertAlign w:val="subscript"/>
          <w:lang w:val="en-AU" w:bidi="th-TH"/>
        </w:rPr>
        <w:t>6</w:t>
      </w:r>
      <w:proofErr w:type="gramStart"/>
      <w:r w:rsidRPr="00E039E0">
        <w:rPr>
          <w:b w:val="0"/>
          <w:bCs/>
          <w:szCs w:val="24"/>
          <w:vertAlign w:val="subscript"/>
          <w:lang w:val="en-AU" w:bidi="th-TH"/>
        </w:rPr>
        <w:t>,ss</w:t>
      </w:r>
      <w:proofErr w:type="gramEnd"/>
      <w:r w:rsidRPr="00E039E0">
        <w:rPr>
          <w:b w:val="0"/>
          <w:bCs/>
          <w:szCs w:val="24"/>
          <w:vertAlign w:val="subscript"/>
          <w:lang w:val="en-AU" w:bidi="th-TH"/>
        </w:rPr>
        <w:t xml:space="preserve"> </w:t>
      </w:r>
      <w:r w:rsidRPr="007D6F8E">
        <w:rPr>
          <w:b w:val="0"/>
          <w:bCs/>
          <w:szCs w:val="24"/>
          <w:lang w:val="en-AU" w:bidi="th-TH"/>
        </w:rPr>
        <w:t>and C</w:t>
      </w:r>
      <w:r w:rsidRPr="00E039E0">
        <w:rPr>
          <w:b w:val="0"/>
          <w:bCs/>
          <w:szCs w:val="24"/>
          <w:vertAlign w:val="subscript"/>
          <w:lang w:val="en-AU" w:bidi="th-TH"/>
        </w:rPr>
        <w:t>max,ss</w:t>
      </w:r>
      <w:r w:rsidRPr="007D6F8E">
        <w:rPr>
          <w:b w:val="0"/>
          <w:bCs/>
          <w:szCs w:val="24"/>
          <w:lang w:val="en-AU" w:bidi="th-TH"/>
        </w:rPr>
        <w:t>, bioequivalence was not established between Tio R 5 and Tio HH</w:t>
      </w:r>
      <w:r w:rsidR="00186ED1">
        <w:rPr>
          <w:b w:val="0"/>
          <w:bCs/>
          <w:szCs w:val="24"/>
          <w:lang w:val="en-AU" w:bidi="th-TH"/>
        </w:rPr>
        <w:t xml:space="preserve"> </w:t>
      </w:r>
      <w:r w:rsidR="00186ED1" w:rsidRPr="007D6F8E">
        <w:rPr>
          <w:b w:val="0"/>
          <w:bCs/>
          <w:szCs w:val="24"/>
          <w:lang w:val="en-AU" w:bidi="th-TH"/>
        </w:rPr>
        <w:t>18</w:t>
      </w:r>
      <w:r w:rsidRPr="007D6F8E">
        <w:rPr>
          <w:b w:val="0"/>
          <w:bCs/>
          <w:szCs w:val="24"/>
          <w:lang w:val="en-AU" w:bidi="th-TH"/>
        </w:rPr>
        <w:t>. The ratio of AUC</w:t>
      </w:r>
      <w:r w:rsidRPr="00E039E0">
        <w:rPr>
          <w:b w:val="0"/>
          <w:bCs/>
          <w:szCs w:val="24"/>
          <w:vertAlign w:val="subscript"/>
          <w:lang w:val="en-AU" w:bidi="th-TH"/>
        </w:rPr>
        <w:t>0</w:t>
      </w:r>
      <w:r w:rsidRPr="00E039E0">
        <w:rPr>
          <w:rFonts w:ascii="Cambria Math" w:hAnsi="Cambria Math" w:cs="Cambria Math"/>
          <w:b w:val="0"/>
          <w:bCs/>
          <w:szCs w:val="24"/>
          <w:vertAlign w:val="subscript"/>
          <w:lang w:val="en-AU" w:bidi="th-TH"/>
        </w:rPr>
        <w:t>‐</w:t>
      </w:r>
      <w:r w:rsidRPr="00E039E0">
        <w:rPr>
          <w:b w:val="0"/>
          <w:bCs/>
          <w:szCs w:val="24"/>
          <w:vertAlign w:val="subscript"/>
          <w:lang w:val="en-AU" w:bidi="th-TH"/>
        </w:rPr>
        <w:t>6</w:t>
      </w:r>
      <w:proofErr w:type="gramStart"/>
      <w:r w:rsidRPr="00E039E0">
        <w:rPr>
          <w:b w:val="0"/>
          <w:bCs/>
          <w:szCs w:val="24"/>
          <w:vertAlign w:val="subscript"/>
          <w:lang w:val="en-AU" w:bidi="th-TH"/>
        </w:rPr>
        <w:t>,ss</w:t>
      </w:r>
      <w:proofErr w:type="gramEnd"/>
      <w:r w:rsidRPr="007D6F8E">
        <w:rPr>
          <w:b w:val="0"/>
          <w:bCs/>
          <w:szCs w:val="24"/>
          <w:lang w:val="en-AU" w:bidi="th-TH"/>
        </w:rPr>
        <w:t xml:space="preserve"> (Tio R 5/ Tio HH 18) was 75.99% (90% confidence interval of (70.44, 81.98)). The ratio of C</w:t>
      </w:r>
      <w:r w:rsidRPr="00E039E0">
        <w:rPr>
          <w:b w:val="0"/>
          <w:bCs/>
          <w:szCs w:val="24"/>
          <w:vertAlign w:val="subscript"/>
          <w:lang w:val="en-AU" w:bidi="th-TH"/>
        </w:rPr>
        <w:t>max</w:t>
      </w:r>
      <w:proofErr w:type="gramStart"/>
      <w:r w:rsidRPr="00E039E0">
        <w:rPr>
          <w:b w:val="0"/>
          <w:bCs/>
          <w:szCs w:val="24"/>
          <w:vertAlign w:val="subscript"/>
          <w:lang w:val="en-AU" w:bidi="th-TH"/>
        </w:rPr>
        <w:t>,ss</w:t>
      </w:r>
      <w:proofErr w:type="gramEnd"/>
      <w:r w:rsidRPr="007D6F8E">
        <w:rPr>
          <w:b w:val="0"/>
          <w:bCs/>
          <w:szCs w:val="24"/>
          <w:lang w:val="en-AU" w:bidi="th-TH"/>
        </w:rPr>
        <w:t xml:space="preserve"> was 80.66% (90% CI: 73.49, 88.52)</w:t>
      </w:r>
      <w:r w:rsidR="00E039E0">
        <w:rPr>
          <w:b w:val="0"/>
          <w:bCs/>
          <w:szCs w:val="24"/>
          <w:lang w:val="en-AU" w:bidi="th-TH"/>
        </w:rPr>
        <w:t>.</w:t>
      </w:r>
    </w:p>
    <w:p w:rsidR="00100430" w:rsidRPr="00094544" w:rsidRDefault="00100430" w:rsidP="00500DB4">
      <w:pPr>
        <w:pStyle w:val="PIheading2"/>
      </w:pPr>
      <w:r w:rsidRPr="00CE7EF8">
        <w:t>Absorption</w:t>
      </w:r>
    </w:p>
    <w:p w:rsidR="00100430" w:rsidDel="0083581A" w:rsidRDefault="00094544" w:rsidP="009E24D3">
      <w:pPr>
        <w:pStyle w:val="TextPI"/>
        <w:spacing w:line="240" w:lineRule="auto"/>
      </w:pPr>
      <w:r>
        <w:t>Following inhalation by young healthy volunteers, urinary excretion data suggest</w:t>
      </w:r>
      <w:r w:rsidR="00875F33">
        <w:t>s</w:t>
      </w:r>
      <w:r>
        <w:t xml:space="preserve"> that approximately 33% of the inhaled dose reach</w:t>
      </w:r>
      <w:r w:rsidR="00875F33">
        <w:t>es</w:t>
      </w:r>
      <w:r>
        <w:t xml:space="preserve"> the systemic circulation. </w:t>
      </w:r>
      <w:r w:rsidR="00100430">
        <w:t xml:space="preserve">It is expected from the chemical structure of the compound that tiotropium is poorly absorbed from the gastro-intestinal tract. </w:t>
      </w:r>
      <w:r w:rsidR="00100430">
        <w:rPr>
          <w:rFonts w:ascii="Helvetica" w:hAnsi="Helvetica"/>
        </w:rPr>
        <w:t xml:space="preserve">This was confirmed in a study in young healthy volunteers, with a low bioavailability of 2-3% for oral solutions. </w:t>
      </w:r>
      <w:r w:rsidR="00100430">
        <w:t xml:space="preserve">Food is not expected to influence the absorption of tiotropium for the same reason. </w:t>
      </w:r>
      <w:r w:rsidR="00326759">
        <w:t>M</w:t>
      </w:r>
      <w:r>
        <w:t>aximum tiotropium plasma concentrations were observed 5</w:t>
      </w:r>
      <w:r w:rsidR="0083581A">
        <w:t>-7</w:t>
      </w:r>
      <w:r>
        <w:t xml:space="preserve"> minutes after inhalation.</w:t>
      </w:r>
      <w:r w:rsidR="000124C7">
        <w:t xml:space="preserve"> </w:t>
      </w:r>
      <w:r w:rsidRPr="0083581A">
        <w:t xml:space="preserve">At steady state, </w:t>
      </w:r>
      <w:r w:rsidR="0083581A" w:rsidRPr="009E24D3">
        <w:t xml:space="preserve">peak </w:t>
      </w:r>
      <w:r w:rsidRPr="0083581A">
        <w:t xml:space="preserve">tiotropium plasma </w:t>
      </w:r>
      <w:r w:rsidR="0083581A" w:rsidRPr="009E24D3">
        <w:t xml:space="preserve">concentrations </w:t>
      </w:r>
      <w:proofErr w:type="gramStart"/>
      <w:r w:rsidR="0083581A" w:rsidRPr="009E24D3">
        <w:t>of</w:t>
      </w:r>
      <w:r w:rsidR="0083581A">
        <w:t xml:space="preserve"> </w:t>
      </w:r>
      <w:r w:rsidR="0083581A" w:rsidRPr="009E24D3">
        <w:t>10.5 pg/mL</w:t>
      </w:r>
      <w:proofErr w:type="gramEnd"/>
      <w:r w:rsidR="0083581A" w:rsidRPr="009E24D3">
        <w:t xml:space="preserve"> were achieved </w:t>
      </w:r>
      <w:r w:rsidRPr="0083581A">
        <w:t xml:space="preserve">in </w:t>
      </w:r>
      <w:r w:rsidR="00186ED1" w:rsidRPr="00186ED1">
        <w:t xml:space="preserve">patients with </w:t>
      </w:r>
      <w:r w:rsidRPr="0083581A">
        <w:t>COPD and decreased rapidly in</w:t>
      </w:r>
      <w:r w:rsidR="000124C7" w:rsidRPr="0083581A">
        <w:t xml:space="preserve"> a multi-compartmental manner. </w:t>
      </w:r>
      <w:r w:rsidRPr="0083581A">
        <w:t xml:space="preserve">Steady state trough plasma concentrations were </w:t>
      </w:r>
      <w:r w:rsidR="0083581A" w:rsidRPr="009E24D3">
        <w:t>1.60</w:t>
      </w:r>
      <w:r w:rsidR="000124C7" w:rsidRPr="0083581A">
        <w:t xml:space="preserve"> pg/mL. </w:t>
      </w:r>
      <w:r w:rsidR="0083581A">
        <w:t>A steady</w:t>
      </w:r>
      <w:r w:rsidR="00186ED1">
        <w:t xml:space="preserve"> </w:t>
      </w:r>
      <w:r w:rsidR="0083581A">
        <w:t xml:space="preserve">state tiotropium peak plasma </w:t>
      </w:r>
      <w:r w:rsidR="0083581A" w:rsidRPr="0083581A">
        <w:t xml:space="preserve">concentration </w:t>
      </w:r>
      <w:proofErr w:type="gramStart"/>
      <w:r w:rsidR="0083581A" w:rsidRPr="0083581A">
        <w:t>of 5.15 pg/mL</w:t>
      </w:r>
      <w:proofErr w:type="gramEnd"/>
      <w:r w:rsidR="0083581A" w:rsidRPr="0083581A">
        <w:t xml:space="preserve"> was attained 5 minutes after the administration of the same dose to patients with asthma</w:t>
      </w:r>
      <w:r w:rsidR="0083581A">
        <w:t>.</w:t>
      </w:r>
    </w:p>
    <w:p w:rsidR="00100430" w:rsidRDefault="00100430" w:rsidP="0033155D">
      <w:pPr>
        <w:pStyle w:val="PIheading2"/>
      </w:pPr>
      <w:r>
        <w:t>Distribution</w:t>
      </w:r>
    </w:p>
    <w:p w:rsidR="00177A61" w:rsidRDefault="00177A61" w:rsidP="009E24D3">
      <w:pPr>
        <w:pStyle w:val="TextPI"/>
        <w:spacing w:line="240" w:lineRule="auto"/>
      </w:pPr>
      <w:r>
        <w:t>The drug has a plasma</w:t>
      </w:r>
      <w:r w:rsidR="00380F61">
        <w:t xml:space="preserve"> </w:t>
      </w:r>
      <w:r>
        <w:t>protein binding of 72% and shows a volume of distribution of 32 L/kg.</w:t>
      </w:r>
    </w:p>
    <w:p w:rsidR="00100430" w:rsidRDefault="00177A61" w:rsidP="009E24D3">
      <w:pPr>
        <w:pStyle w:val="TextPI"/>
        <w:spacing w:line="240" w:lineRule="auto"/>
      </w:pPr>
      <w:r w:rsidRPr="0083581A" w:rsidDel="0083581A">
        <w:t xml:space="preserve">Local concentrations in the lung are not known, but the mode of administration suggests substantially higher concentrations in the lung. </w:t>
      </w:r>
      <w:r w:rsidR="00100430">
        <w:t xml:space="preserve">Studies in rats have shown that tiotropium does not penetrate the blood-brain barrier to any relevant extent. </w:t>
      </w:r>
    </w:p>
    <w:p w:rsidR="00100430" w:rsidRDefault="00100430" w:rsidP="0033155D">
      <w:pPr>
        <w:pStyle w:val="PIheading2"/>
      </w:pPr>
      <w:r>
        <w:lastRenderedPageBreak/>
        <w:t>Metabolism</w:t>
      </w:r>
    </w:p>
    <w:p w:rsidR="00100430" w:rsidRDefault="00100430" w:rsidP="009E24D3">
      <w:pPr>
        <w:pStyle w:val="TextPI"/>
        <w:spacing w:line="240" w:lineRule="auto"/>
        <w:rPr>
          <w:rFonts w:ascii="Helvetica" w:hAnsi="Helvetica"/>
          <w:strike/>
        </w:rPr>
      </w:pPr>
      <w:r>
        <w:t>Metabolism does not occur to any great extent in young healthy volunteers, as indicated by 74% renal excretion of unchanged drug after an intravenous dose. The major metabolic pathway is non-enzymatic ester cleavage to the alcohol N-methylscopine and dithienylglycolic acid</w:t>
      </w:r>
      <w:r w:rsidR="00422DA7">
        <w:t xml:space="preserve"> that are inactive on muscarinic receptors</w:t>
      </w:r>
      <w:r>
        <w:t>.</w:t>
      </w:r>
    </w:p>
    <w:p w:rsidR="00100430" w:rsidRDefault="00100430" w:rsidP="009E24D3">
      <w:pPr>
        <w:pStyle w:val="TextPI"/>
        <w:spacing w:line="240" w:lineRule="auto"/>
      </w:pPr>
      <w:r>
        <w:rPr>
          <w:i/>
        </w:rPr>
        <w:t>In vitro</w:t>
      </w:r>
      <w:r>
        <w:t xml:space="preserve"> metabolism: In studies in animals and </w:t>
      </w:r>
      <w:r>
        <w:rPr>
          <w:i/>
        </w:rPr>
        <w:t>in vitro</w:t>
      </w:r>
      <w:r>
        <w:t xml:space="preserve"> experiments with human liver microsomes and hepatocytes, minor amounts of a variety of glutathione conjugates, after oxidation of the thiophene rings, were observed. </w:t>
      </w:r>
    </w:p>
    <w:p w:rsidR="00100430" w:rsidRDefault="00100430" w:rsidP="009E24D3">
      <w:pPr>
        <w:pStyle w:val="TextPI"/>
        <w:spacing w:line="240" w:lineRule="auto"/>
      </w:pPr>
      <w:r>
        <w:rPr>
          <w:i/>
        </w:rPr>
        <w:t>In vitro</w:t>
      </w:r>
      <w:r>
        <w:t xml:space="preserve"> studies in human liver microsomes revealed that the enzymatic pathway, relevant for only a small amount of tiotropium metabolism, can be inhibited by cytochrome P450 (CYP) 2D6 inhibitor quinidine and CYP 3A4 inhibitors ketoconazole and gestodene.</w:t>
      </w:r>
    </w:p>
    <w:p w:rsidR="00100430" w:rsidRDefault="00100430" w:rsidP="009E24D3">
      <w:pPr>
        <w:pStyle w:val="TextPI"/>
        <w:spacing w:line="240" w:lineRule="auto"/>
      </w:pPr>
      <w:r>
        <w:t>Tiotropium, even in supra-therapeutic concentrations, does not inhibit CYP 1A1, 1A2, 2B6, 2C9, 2C19, 2D6, 2E1 or 3A in human liver microsomes.</w:t>
      </w:r>
    </w:p>
    <w:p w:rsidR="003E70C2" w:rsidRDefault="00100430" w:rsidP="009E24D3">
      <w:pPr>
        <w:pStyle w:val="PIheading2"/>
      </w:pPr>
      <w:r>
        <w:t xml:space="preserve">Excretion </w:t>
      </w:r>
    </w:p>
    <w:p w:rsidR="00100430" w:rsidRDefault="00100430" w:rsidP="009E24D3">
      <w:pPr>
        <w:pStyle w:val="TextPI"/>
        <w:spacing w:line="240" w:lineRule="auto"/>
      </w:pPr>
      <w:r>
        <w:t xml:space="preserve">The </w:t>
      </w:r>
      <w:r w:rsidR="008B684D">
        <w:t>effective</w:t>
      </w:r>
      <w:r>
        <w:t xml:space="preserve"> half-life of tiotropium </w:t>
      </w:r>
      <w:r w:rsidR="008B684D">
        <w:t xml:space="preserve">ranges </w:t>
      </w:r>
      <w:r>
        <w:t xml:space="preserve">between </w:t>
      </w:r>
      <w:r w:rsidR="008B684D">
        <w:t>27 to 45 h</w:t>
      </w:r>
      <w:r>
        <w:t xml:space="preserve"> following inhalation</w:t>
      </w:r>
      <w:r w:rsidR="008B684D">
        <w:t xml:space="preserve"> by </w:t>
      </w:r>
      <w:r w:rsidR="00186ED1" w:rsidRPr="00186ED1">
        <w:t xml:space="preserve">patients with </w:t>
      </w:r>
      <w:r w:rsidR="008B684D">
        <w:t xml:space="preserve">COPD </w:t>
      </w:r>
      <w:r w:rsidR="00186ED1" w:rsidRPr="00186ED1">
        <w:t>or asthma</w:t>
      </w:r>
      <w:r>
        <w:t>.</w:t>
      </w:r>
    </w:p>
    <w:p w:rsidR="008B684D" w:rsidRDefault="008B684D" w:rsidP="009E24D3">
      <w:pPr>
        <w:pStyle w:val="TextPI"/>
        <w:spacing w:line="240" w:lineRule="auto"/>
        <w:rPr>
          <w:lang w:val="en-US"/>
        </w:rPr>
      </w:pPr>
      <w:r>
        <w:rPr>
          <w:lang w:val="en-US"/>
        </w:rPr>
        <w:t>The effective half-life was 34 hours in patients with asthma.</w:t>
      </w:r>
    </w:p>
    <w:p w:rsidR="003E70C2" w:rsidRDefault="003E70C2" w:rsidP="009E24D3">
      <w:pPr>
        <w:pStyle w:val="TextPI"/>
        <w:spacing w:line="240" w:lineRule="auto"/>
      </w:pPr>
      <w:r w:rsidRPr="008B684D">
        <w:t>Total clearance was 880 mL/min after an intravenous dose in young healthy volunteers</w:t>
      </w:r>
      <w:r w:rsidRPr="003E70C2">
        <w:t xml:space="preserve">. </w:t>
      </w:r>
      <w:r w:rsidRPr="001A2CBD">
        <w:t xml:space="preserve">Urinary excretion of unchanged substance in young healthy volunteers is 74% of an intravenous dose. </w:t>
      </w:r>
      <w:r w:rsidRPr="003E70C2">
        <w:t>After inhalation of the solution</w:t>
      </w:r>
      <w:r>
        <w:t xml:space="preserve"> for inhalation by </w:t>
      </w:r>
      <w:r w:rsidR="009E6262" w:rsidRPr="009E6262">
        <w:t xml:space="preserve">patients with </w:t>
      </w:r>
      <w:r>
        <w:t>COPD</w:t>
      </w:r>
      <w:r w:rsidRPr="003E70C2">
        <w:t xml:space="preserve">, urinary excretion is </w:t>
      </w:r>
      <w:r>
        <w:t xml:space="preserve">18.6% (0.93 </w:t>
      </w:r>
      <w:r>
        <w:rPr>
          <w:rFonts w:cs="Arial"/>
        </w:rPr>
        <w:t>µ</w:t>
      </w:r>
      <w:r>
        <w:t>g)</w:t>
      </w:r>
      <w:r w:rsidRPr="003E70C2">
        <w:t xml:space="preserve"> of the dose, the remainder being mainly non-absorbed drug in gut that is eliminated via the faeces. </w:t>
      </w:r>
    </w:p>
    <w:p w:rsidR="003E70C2" w:rsidRDefault="003E70C2" w:rsidP="009E24D3">
      <w:pPr>
        <w:pStyle w:val="TextPI"/>
        <w:spacing w:line="240" w:lineRule="auto"/>
      </w:pPr>
      <w:r>
        <w:t xml:space="preserve">In patients with asthma, 11.9% (0.595 </w:t>
      </w:r>
      <w:r>
        <w:rPr>
          <w:rFonts w:cs="Arial"/>
        </w:rPr>
        <w:t>µ</w:t>
      </w:r>
      <w:r>
        <w:t>g) of the dose is excreted unchanged in the urine over 24 hours post dose at steady state.</w:t>
      </w:r>
    </w:p>
    <w:p w:rsidR="001A2CBD" w:rsidRDefault="003E70C2" w:rsidP="009E24D3">
      <w:pPr>
        <w:pStyle w:val="TextPI"/>
        <w:spacing w:line="240" w:lineRule="auto"/>
      </w:pPr>
      <w:r w:rsidRPr="003E70C2">
        <w:t>The renal clearance of tiotropium exceeds the creatinine clearance, indicating secretion into the urine</w:t>
      </w:r>
      <w:r w:rsidR="005B740D">
        <w:t>.</w:t>
      </w:r>
      <w:r w:rsidR="00222914">
        <w:t xml:space="preserve">  </w:t>
      </w:r>
      <w:r w:rsidR="00222914" w:rsidRPr="009E24D3" w:rsidDel="0083581A">
        <w:t xml:space="preserve">After chronic, once daily inhalation, pharmacokinetic steady state was reached </w:t>
      </w:r>
      <w:r w:rsidR="00222914" w:rsidRPr="009E24D3">
        <w:t>by</w:t>
      </w:r>
      <w:r w:rsidR="00222914" w:rsidRPr="009E24D3" w:rsidDel="0083581A">
        <w:t xml:space="preserve"> </w:t>
      </w:r>
      <w:r w:rsidR="00222914" w:rsidRPr="009E24D3">
        <w:t>day 7</w:t>
      </w:r>
      <w:r w:rsidR="00222914" w:rsidRPr="009E24D3" w:rsidDel="0083581A">
        <w:t xml:space="preserve"> with no accumulation thereafter.</w:t>
      </w:r>
    </w:p>
    <w:p w:rsidR="00D357B1" w:rsidRPr="009E24D3" w:rsidRDefault="00D357B1" w:rsidP="009E24D3">
      <w:pPr>
        <w:pStyle w:val="TextPI"/>
        <w:spacing w:line="240" w:lineRule="auto"/>
        <w:rPr>
          <w:lang w:val="en-US"/>
        </w:rPr>
      </w:pPr>
      <w:r w:rsidRPr="00D357B1" w:rsidDel="0083581A">
        <w:t xml:space="preserve">Tiotropium demonstrates linear pharmacokinetics in the therapeutic range </w:t>
      </w:r>
      <w:r>
        <w:t>independent of the formulation</w:t>
      </w:r>
      <w:r w:rsidRPr="00D357B1" w:rsidDel="0083581A">
        <w:t>.</w:t>
      </w:r>
    </w:p>
    <w:p w:rsidR="00E8526C" w:rsidRPr="002C6552" w:rsidRDefault="00E8526C" w:rsidP="009E24D3">
      <w:pPr>
        <w:pStyle w:val="TextPI"/>
        <w:spacing w:line="240" w:lineRule="auto"/>
        <w:rPr>
          <w:u w:val="single"/>
        </w:rPr>
      </w:pPr>
      <w:r w:rsidRPr="002C6552">
        <w:rPr>
          <w:u w:val="single"/>
        </w:rPr>
        <w:t>Special populations</w:t>
      </w:r>
    </w:p>
    <w:p w:rsidR="003D6893" w:rsidRPr="009E24D3" w:rsidRDefault="003D6893" w:rsidP="009E24D3">
      <w:pPr>
        <w:pStyle w:val="TextPI"/>
        <w:spacing w:line="240" w:lineRule="auto"/>
        <w:rPr>
          <w:i/>
          <w:iCs/>
        </w:rPr>
      </w:pPr>
      <w:r w:rsidRPr="009E24D3">
        <w:rPr>
          <w:i/>
          <w:iCs/>
        </w:rPr>
        <w:t xml:space="preserve">Elderly </w:t>
      </w:r>
      <w:r w:rsidR="002C6552">
        <w:rPr>
          <w:i/>
          <w:iCs/>
        </w:rPr>
        <w:t>p</w:t>
      </w:r>
      <w:r w:rsidRPr="009E24D3">
        <w:rPr>
          <w:i/>
          <w:iCs/>
        </w:rPr>
        <w:t>atients</w:t>
      </w:r>
    </w:p>
    <w:p w:rsidR="00937A5B" w:rsidRDefault="00100430" w:rsidP="009E24D3">
      <w:pPr>
        <w:pStyle w:val="TextPI"/>
        <w:spacing w:line="240" w:lineRule="auto"/>
      </w:pPr>
      <w:r>
        <w:t>As expected for all predominantly renally excreted drugs, advanc</w:t>
      </w:r>
      <w:r w:rsidR="00AB7EE5">
        <w:t>ing</w:t>
      </w:r>
      <w:r>
        <w:t xml:space="preserve"> age was associated with a decrease of tiotropium renal clearance</w:t>
      </w:r>
      <w:r w:rsidR="00937A5B">
        <w:t xml:space="preserve"> </w:t>
      </w:r>
      <w:r w:rsidR="00AB7EE5">
        <w:t xml:space="preserve">from 347 </w:t>
      </w:r>
      <w:r w:rsidR="00937A5B">
        <w:t xml:space="preserve">mL/min in </w:t>
      </w:r>
      <w:r w:rsidR="009E6262" w:rsidRPr="009E6262">
        <w:t xml:space="preserve">patients with </w:t>
      </w:r>
      <w:r w:rsidR="00937A5B">
        <w:t>COPD &lt;</w:t>
      </w:r>
      <w:r w:rsidR="00AB7EE5">
        <w:t xml:space="preserve">65 </w:t>
      </w:r>
      <w:r w:rsidR="00937A5B">
        <w:t xml:space="preserve">years to </w:t>
      </w:r>
      <w:r w:rsidR="00AB7EE5">
        <w:t xml:space="preserve">275 </w:t>
      </w:r>
      <w:r w:rsidR="00937A5B">
        <w:t xml:space="preserve">mL/min in </w:t>
      </w:r>
      <w:r w:rsidR="009E6262" w:rsidRPr="009E6262">
        <w:t xml:space="preserve">patients with </w:t>
      </w:r>
      <w:r w:rsidR="00937A5B">
        <w:t xml:space="preserve">COPD </w:t>
      </w:r>
      <w:r w:rsidR="00AB7EE5">
        <w:rPr>
          <w:rFonts w:cs="Arial"/>
        </w:rPr>
        <w:t>≥</w:t>
      </w:r>
      <w:r w:rsidR="00937A5B">
        <w:t xml:space="preserve"> </w:t>
      </w:r>
      <w:r w:rsidR="00AB7EE5">
        <w:t xml:space="preserve">65 </w:t>
      </w:r>
      <w:r w:rsidR="00937A5B">
        <w:t>years</w:t>
      </w:r>
      <w:r w:rsidR="00AB7EE5">
        <w:t>.</w:t>
      </w:r>
      <w:r>
        <w:t xml:space="preserve"> </w:t>
      </w:r>
      <w:r w:rsidR="009E6262" w:rsidRPr="009E6262">
        <w:t>This did not result in a corresponding increase in AUC</w:t>
      </w:r>
      <w:r w:rsidR="009E6262" w:rsidRPr="009E6262">
        <w:rPr>
          <w:vertAlign w:val="subscript"/>
        </w:rPr>
        <w:t>0-6</w:t>
      </w:r>
      <w:proofErr w:type="gramStart"/>
      <w:r w:rsidR="009E6262" w:rsidRPr="009E6262">
        <w:rPr>
          <w:vertAlign w:val="subscript"/>
        </w:rPr>
        <w:t>,ss</w:t>
      </w:r>
      <w:proofErr w:type="gramEnd"/>
      <w:r w:rsidR="009E6262" w:rsidRPr="009E6262">
        <w:rPr>
          <w:vertAlign w:val="subscript"/>
        </w:rPr>
        <w:t xml:space="preserve"> </w:t>
      </w:r>
      <w:r w:rsidR="009E6262" w:rsidRPr="009E6262">
        <w:t>and C</w:t>
      </w:r>
      <w:r w:rsidR="009E6262" w:rsidRPr="009E6262">
        <w:rPr>
          <w:vertAlign w:val="subscript"/>
        </w:rPr>
        <w:t xml:space="preserve">max,ss </w:t>
      </w:r>
      <w:r w:rsidR="009E6262" w:rsidRPr="009E6262">
        <w:t>values.</w:t>
      </w:r>
    </w:p>
    <w:p w:rsidR="00AB7EE5" w:rsidRDefault="00AB7EE5" w:rsidP="009E24D3">
      <w:pPr>
        <w:pStyle w:val="TextPI"/>
        <w:spacing w:line="240" w:lineRule="auto"/>
      </w:pPr>
      <w:r>
        <w:t>Exposure to tiotropium was not found to differ with age in patients with asthma.</w:t>
      </w:r>
    </w:p>
    <w:p w:rsidR="003D6893" w:rsidRPr="009E24D3" w:rsidRDefault="003D6893" w:rsidP="009E24D3">
      <w:pPr>
        <w:pStyle w:val="TextPI"/>
        <w:spacing w:line="240" w:lineRule="auto"/>
        <w:rPr>
          <w:i/>
          <w:iCs/>
        </w:rPr>
      </w:pPr>
      <w:r w:rsidRPr="009E24D3">
        <w:rPr>
          <w:i/>
          <w:iCs/>
        </w:rPr>
        <w:t xml:space="preserve">Renally </w:t>
      </w:r>
      <w:r w:rsidR="002C6552">
        <w:rPr>
          <w:i/>
          <w:iCs/>
        </w:rPr>
        <w:t>i</w:t>
      </w:r>
      <w:r w:rsidRPr="009E24D3">
        <w:rPr>
          <w:i/>
          <w:iCs/>
        </w:rPr>
        <w:t xml:space="preserve">mpaired </w:t>
      </w:r>
      <w:r w:rsidR="002C6552">
        <w:rPr>
          <w:i/>
          <w:iCs/>
        </w:rPr>
        <w:t>p</w:t>
      </w:r>
      <w:r w:rsidRPr="009E24D3">
        <w:rPr>
          <w:i/>
          <w:iCs/>
        </w:rPr>
        <w:t>atients</w:t>
      </w:r>
    </w:p>
    <w:p w:rsidR="00100430" w:rsidRDefault="003D6893" w:rsidP="009E24D3">
      <w:pPr>
        <w:pStyle w:val="TextPI"/>
        <w:spacing w:line="240" w:lineRule="auto"/>
      </w:pPr>
      <w:r>
        <w:t xml:space="preserve">Following once daily inhaled administration of tiotropium to steady-state </w:t>
      </w:r>
      <w:r w:rsidR="004767C0">
        <w:t xml:space="preserve">to </w:t>
      </w:r>
      <w:r>
        <w:t xml:space="preserve">patients with </w:t>
      </w:r>
      <w:r w:rsidR="004767C0">
        <w:t xml:space="preserve">COPD with </w:t>
      </w:r>
      <w:r>
        <w:t>m</w:t>
      </w:r>
      <w:r w:rsidR="00100430">
        <w:t>ild renal impairment (CL</w:t>
      </w:r>
      <w:r w:rsidR="00100430">
        <w:rPr>
          <w:vertAlign w:val="subscript"/>
        </w:rPr>
        <w:t>CR</w:t>
      </w:r>
      <w:r w:rsidR="00100430">
        <w:t xml:space="preserve"> 50-80 mL/min)</w:t>
      </w:r>
      <w:r>
        <w:t xml:space="preserve"> resulted in slightly higher AUC</w:t>
      </w:r>
      <w:r>
        <w:rPr>
          <w:vertAlign w:val="subscript"/>
        </w:rPr>
        <w:t>0-6</w:t>
      </w:r>
      <w:proofErr w:type="gramStart"/>
      <w:r>
        <w:rPr>
          <w:vertAlign w:val="subscript"/>
        </w:rPr>
        <w:t>,ss</w:t>
      </w:r>
      <w:proofErr w:type="gramEnd"/>
      <w:r>
        <w:t>(between 1.8 to 30% higher) and similar C</w:t>
      </w:r>
      <w:r>
        <w:rPr>
          <w:vertAlign w:val="subscript"/>
        </w:rPr>
        <w:t>max,ss</w:t>
      </w:r>
      <w:r>
        <w:t xml:space="preserve"> compared to </w:t>
      </w:r>
      <w:r w:rsidR="004767C0">
        <w:t xml:space="preserve">COPD </w:t>
      </w:r>
      <w:r>
        <w:t>patients with normal renal function (CL</w:t>
      </w:r>
      <w:r w:rsidR="008C6E0A" w:rsidRPr="009E24D3">
        <w:rPr>
          <w:vertAlign w:val="subscript"/>
        </w:rPr>
        <w:t>CR</w:t>
      </w:r>
      <w:r>
        <w:t xml:space="preserve"> &gt; 80 mL/min. </w:t>
      </w:r>
      <w:r w:rsidR="00100430">
        <w:t xml:space="preserve">In </w:t>
      </w:r>
      <w:r w:rsidR="004767C0">
        <w:t xml:space="preserve">patients with </w:t>
      </w:r>
      <w:r w:rsidR="00100430">
        <w:t>COPD with moderate to severe renal impairment (CL</w:t>
      </w:r>
      <w:r w:rsidR="00100430">
        <w:rPr>
          <w:vertAlign w:val="subscript"/>
        </w:rPr>
        <w:t>CR</w:t>
      </w:r>
      <w:r w:rsidR="00100430">
        <w:t xml:space="preserve"> &lt;50 mL/min), the </w:t>
      </w:r>
      <w:r w:rsidR="00921BDA">
        <w:t xml:space="preserve">intravenous </w:t>
      </w:r>
      <w:r w:rsidR="00100430">
        <w:t xml:space="preserve">administration of tiotropium resulted in a doubling of the </w:t>
      </w:r>
      <w:r w:rsidR="00361C79">
        <w:t xml:space="preserve">total exposure </w:t>
      </w:r>
      <w:r w:rsidR="00921BDA">
        <w:t xml:space="preserve">(82% </w:t>
      </w:r>
      <w:r w:rsidR="00361C79">
        <w:t>higher</w:t>
      </w:r>
      <w:r w:rsidR="00921BDA">
        <w:t xml:space="preserve"> AUC</w:t>
      </w:r>
      <w:r w:rsidR="00921BDA" w:rsidRPr="00921BDA">
        <w:rPr>
          <w:vertAlign w:val="subscript"/>
        </w:rPr>
        <w:t>0-4h</w:t>
      </w:r>
      <w:r w:rsidR="00361C79">
        <w:t xml:space="preserve"> and 52% higher C</w:t>
      </w:r>
      <w:r w:rsidR="00361C79">
        <w:rPr>
          <w:vertAlign w:val="subscript"/>
        </w:rPr>
        <w:t>max</w:t>
      </w:r>
      <w:r w:rsidR="00361C79">
        <w:t xml:space="preserve">) compared to </w:t>
      </w:r>
      <w:r w:rsidR="00361C79">
        <w:lastRenderedPageBreak/>
        <w:t xml:space="preserve">patients </w:t>
      </w:r>
      <w:r w:rsidR="004767C0">
        <w:t xml:space="preserve">with COPD </w:t>
      </w:r>
      <w:r w:rsidR="00361C79">
        <w:t>with normal renal function</w:t>
      </w:r>
      <w:r w:rsidR="00921BDA">
        <w:t xml:space="preserve">, which was confirmed by plasma concentrations after dry powder </w:t>
      </w:r>
      <w:r w:rsidR="003A0BD3">
        <w:t>inhalation</w:t>
      </w:r>
      <w:r w:rsidR="00100430">
        <w:t>.</w:t>
      </w:r>
    </w:p>
    <w:p w:rsidR="008C6E0A" w:rsidRDefault="008C6E0A" w:rsidP="009E24D3">
      <w:pPr>
        <w:pStyle w:val="TextPI"/>
        <w:spacing w:line="240" w:lineRule="auto"/>
      </w:pPr>
      <w:r>
        <w:t>In asthma patients with mild renal impairment (</w:t>
      </w:r>
      <w:r w:rsidRPr="008C6E0A">
        <w:t>CL</w:t>
      </w:r>
      <w:r w:rsidRPr="009E24D3">
        <w:rPr>
          <w:vertAlign w:val="subscript"/>
        </w:rPr>
        <w:t>CR</w:t>
      </w:r>
      <w:r w:rsidRPr="008C6E0A">
        <w:t xml:space="preserve"> 50-80 mL/min) inhaled tiotropium did not result in relevant increases in exposure compared to patients with normal renal function.</w:t>
      </w:r>
    </w:p>
    <w:p w:rsidR="007701F3" w:rsidRPr="009E24D3" w:rsidRDefault="002C6552" w:rsidP="009E24D3">
      <w:pPr>
        <w:pStyle w:val="TextPI"/>
        <w:spacing w:line="240" w:lineRule="auto"/>
        <w:rPr>
          <w:i/>
          <w:iCs/>
        </w:rPr>
      </w:pPr>
      <w:proofErr w:type="spellStart"/>
      <w:r w:rsidRPr="002C6552">
        <w:rPr>
          <w:i/>
          <w:iCs/>
        </w:rPr>
        <w:t>Hepatically</w:t>
      </w:r>
      <w:proofErr w:type="spellEnd"/>
      <w:r>
        <w:rPr>
          <w:i/>
          <w:iCs/>
        </w:rPr>
        <w:t xml:space="preserve"> i</w:t>
      </w:r>
      <w:r w:rsidR="007701F3" w:rsidRPr="009E24D3">
        <w:rPr>
          <w:i/>
          <w:iCs/>
        </w:rPr>
        <w:t xml:space="preserve">mpaired </w:t>
      </w:r>
      <w:r>
        <w:rPr>
          <w:i/>
          <w:iCs/>
        </w:rPr>
        <w:t>p</w:t>
      </w:r>
      <w:r w:rsidR="007701F3" w:rsidRPr="009E24D3">
        <w:rPr>
          <w:i/>
          <w:iCs/>
        </w:rPr>
        <w:t>atients</w:t>
      </w:r>
    </w:p>
    <w:p w:rsidR="00100430" w:rsidRDefault="00100430" w:rsidP="009E24D3">
      <w:pPr>
        <w:pStyle w:val="TextPI"/>
        <w:spacing w:line="240" w:lineRule="auto"/>
      </w:pPr>
      <w:r>
        <w:t xml:space="preserve">There are no data on the pharmacokinetics of tiotropium in hepatic impairment. Liver insufficiency is not expected to have any relevant influence on tiotropium pharmacokinetics. Tiotropium is predominantly cleared by renal elimination (74% in young healthy volunteers) and </w:t>
      </w:r>
      <w:r w:rsidR="005F1918">
        <w:t xml:space="preserve">by </w:t>
      </w:r>
      <w:r>
        <w:t>simple non-enzymatic ester cleavage</w:t>
      </w:r>
      <w:r w:rsidR="005F1918">
        <w:t xml:space="preserve"> to products that do not bind to muscarinic receptors</w:t>
      </w:r>
      <w:r>
        <w:t>.</w:t>
      </w:r>
    </w:p>
    <w:p w:rsidR="00100430" w:rsidRDefault="00100430" w:rsidP="009E24D3">
      <w:pPr>
        <w:pStyle w:val="PIHeading1"/>
      </w:pPr>
      <w:r>
        <w:t>CLINICAL TRIALS</w:t>
      </w:r>
    </w:p>
    <w:p w:rsidR="009E24D3" w:rsidRPr="009E24D3" w:rsidRDefault="009E24D3" w:rsidP="009E24D3">
      <w:pPr>
        <w:keepNext/>
        <w:spacing w:before="120" w:after="120"/>
        <w:rPr>
          <w:rFonts w:ascii="Arial" w:hAnsi="Arial" w:cs="Arial"/>
          <w:b/>
          <w:bCs/>
          <w:sz w:val="22"/>
          <w:szCs w:val="22"/>
        </w:rPr>
      </w:pPr>
      <w:r w:rsidRPr="009E24D3">
        <w:rPr>
          <w:rFonts w:ascii="Arial" w:hAnsi="Arial" w:cs="Arial"/>
          <w:b/>
          <w:bCs/>
          <w:sz w:val="22"/>
          <w:szCs w:val="22"/>
          <w:lang w:val="en-GB"/>
        </w:rPr>
        <w:t>COPD</w:t>
      </w:r>
    </w:p>
    <w:p w:rsidR="00940ED0" w:rsidRDefault="00940ED0" w:rsidP="009E24D3">
      <w:pPr>
        <w:pStyle w:val="TextPI"/>
        <w:spacing w:line="240" w:lineRule="auto"/>
      </w:pPr>
      <w:r>
        <w:t xml:space="preserve">The clinical Phase III programme </w:t>
      </w:r>
      <w:r w:rsidR="00835B64">
        <w:t xml:space="preserve">for COPD </w:t>
      </w:r>
      <w:r>
        <w:t xml:space="preserve">included two </w:t>
      </w:r>
      <w:proofErr w:type="gramStart"/>
      <w:r>
        <w:t>1-year</w:t>
      </w:r>
      <w:proofErr w:type="gramEnd"/>
      <w:r>
        <w:t xml:space="preserve">, two 12-week and two 4-week randomised, double-blind studies in 2901 </w:t>
      </w:r>
      <w:r w:rsidR="00705BE7">
        <w:t xml:space="preserve">patients with </w:t>
      </w:r>
      <w:r>
        <w:t xml:space="preserve">COPD (1038 receiving the 5 </w:t>
      </w:r>
      <w:r w:rsidR="00082B8F">
        <w:t>micrograms</w:t>
      </w:r>
      <w:r>
        <w:t xml:space="preserve"> tiotropium dose). The 1-year programme consisted of two placebo-controlled trials. The two 12-week trials were both active (ipratropium) – and placebo-controlled. All six studies included lung function measurements, with trough FEV</w:t>
      </w:r>
      <w:r w:rsidRPr="00A244AB">
        <w:rPr>
          <w:vertAlign w:val="subscript"/>
        </w:rPr>
        <w:t>1</w:t>
      </w:r>
      <w:r>
        <w:t xml:space="preserve"> (i.e. FEV</w:t>
      </w:r>
      <w:r w:rsidRPr="00A244AB">
        <w:rPr>
          <w:vertAlign w:val="subscript"/>
        </w:rPr>
        <w:t>1</w:t>
      </w:r>
      <w:r>
        <w:t xml:space="preserve"> measured approximately 10 minutes before the final dose) as the primary endpoint. In addition, the two 1-year studies included health outcome measures of health-related quality of life, dy</w:t>
      </w:r>
      <w:r w:rsidR="007D6F8E">
        <w:t>s</w:t>
      </w:r>
      <w:r>
        <w:t>pnoea, and effect on exacerbations as co-primary endpoints.</w:t>
      </w:r>
    </w:p>
    <w:p w:rsidR="00D07770" w:rsidRPr="009E24D3" w:rsidRDefault="00D07770" w:rsidP="009E24D3">
      <w:pPr>
        <w:pStyle w:val="TextPI"/>
        <w:spacing w:line="240" w:lineRule="auto"/>
        <w:rPr>
          <w:u w:val="single"/>
        </w:rPr>
      </w:pPr>
      <w:r w:rsidRPr="009E24D3">
        <w:rPr>
          <w:u w:val="single"/>
        </w:rPr>
        <w:t>Placebo-controlled studies</w:t>
      </w:r>
    </w:p>
    <w:p w:rsidR="00D07770" w:rsidRPr="009E24D3" w:rsidRDefault="00D07770" w:rsidP="009E24D3">
      <w:pPr>
        <w:pStyle w:val="TextPI"/>
        <w:spacing w:line="240" w:lineRule="auto"/>
        <w:rPr>
          <w:u w:val="single"/>
        </w:rPr>
      </w:pPr>
      <w:r w:rsidRPr="009E24D3">
        <w:rPr>
          <w:u w:val="single"/>
        </w:rPr>
        <w:t>Lung function</w:t>
      </w:r>
    </w:p>
    <w:p w:rsidR="00940ED0" w:rsidRDefault="00CE1427" w:rsidP="009E24D3">
      <w:pPr>
        <w:pStyle w:val="TextPI"/>
        <w:spacing w:line="240" w:lineRule="auto"/>
      </w:pPr>
      <w:r>
        <w:t>FAVINT</w:t>
      </w:r>
      <w:r w:rsidR="00D07770">
        <w:t xml:space="preserve"> </w:t>
      </w:r>
      <w:r w:rsidR="00FD1562">
        <w:t>RESPIMAT</w:t>
      </w:r>
      <w:r w:rsidR="00940ED0">
        <w:t xml:space="preserve"> administered once daily, provided significant improvement in lung function (forced expiratory volume in one second and forced vital capacity) </w:t>
      </w:r>
      <w:r w:rsidR="00940ED0" w:rsidRPr="00500DB4">
        <w:t>within 30 minutes following the first dose</w:t>
      </w:r>
      <w:r w:rsidR="00940ED0">
        <w:t xml:space="preserve">, compared to placebo. Improvement of lung function was maintained for 24 hours at steady state.  Pharmacodynamic steady state was reached within one week. </w:t>
      </w:r>
    </w:p>
    <w:p w:rsidR="00940ED0" w:rsidRPr="008C64F9" w:rsidRDefault="00940ED0" w:rsidP="009E24D3">
      <w:pPr>
        <w:pStyle w:val="TextPI"/>
        <w:spacing w:line="240" w:lineRule="auto"/>
        <w:rPr>
          <w:rFonts w:ascii="TimesNewRoman" w:hAnsi="TimesNewRoman" w:cs="TimesNewRoman"/>
          <w:sz w:val="20"/>
        </w:rPr>
      </w:pPr>
      <w:r w:rsidRPr="008C64F9">
        <w:t>Mean trough FEV</w:t>
      </w:r>
      <w:r w:rsidRPr="00113297">
        <w:rPr>
          <w:vertAlign w:val="subscript"/>
        </w:rPr>
        <w:t>1</w:t>
      </w:r>
      <w:r w:rsidRPr="008C64F9">
        <w:t xml:space="preserve"> treatment diff</w:t>
      </w:r>
      <w:r>
        <w:t xml:space="preserve">erence for </w:t>
      </w:r>
      <w:r w:rsidR="00CE1427">
        <w:t>FAVINT</w:t>
      </w:r>
      <w:r>
        <w:t xml:space="preserve"> </w:t>
      </w:r>
      <w:r w:rsidR="00FD1562">
        <w:t>RESPIMAT</w:t>
      </w:r>
      <w:r>
        <w:t xml:space="preserve"> </w:t>
      </w:r>
      <w:r w:rsidRPr="008C64F9">
        <w:t xml:space="preserve">over placebo in the </w:t>
      </w:r>
      <w:r>
        <w:t xml:space="preserve">combined </w:t>
      </w:r>
      <w:r w:rsidRPr="008C64F9">
        <w:t>1-year trials at day 337 was 127 mL</w:t>
      </w:r>
      <w:r>
        <w:t xml:space="preserve"> (</w:t>
      </w:r>
      <w:r w:rsidRPr="008C64F9">
        <w:t xml:space="preserve">p&lt;0.0001 vs. placebo). </w:t>
      </w:r>
      <w:r>
        <w:t xml:space="preserve">Improvement of lung function was maintained for 24 hours at steady state. Pharmacodynamic steady state was reached within one week. The bronchodilator effects of </w:t>
      </w:r>
      <w:r w:rsidR="00CE1427">
        <w:t>FAVINT</w:t>
      </w:r>
      <w:r>
        <w:t xml:space="preserve"> </w:t>
      </w:r>
      <w:r w:rsidR="00FD1562">
        <w:t>RESPIMAT</w:t>
      </w:r>
      <w:r>
        <w:t xml:space="preserve"> were maintained throughout the 48-week period of administration with no evidence of tolerance.</w:t>
      </w:r>
    </w:p>
    <w:p w:rsidR="00940ED0" w:rsidRPr="008C64F9" w:rsidRDefault="00940ED0" w:rsidP="009E24D3">
      <w:pPr>
        <w:pStyle w:val="TextPI"/>
        <w:spacing w:line="240" w:lineRule="auto"/>
      </w:pPr>
      <w:r w:rsidRPr="008C64F9">
        <w:t>Mean trough FEV</w:t>
      </w:r>
      <w:r w:rsidRPr="00113297">
        <w:rPr>
          <w:vertAlign w:val="subscript"/>
        </w:rPr>
        <w:t>1</w:t>
      </w:r>
      <w:r w:rsidRPr="008C64F9">
        <w:t xml:space="preserve"> treatment differences for the </w:t>
      </w:r>
      <w:r>
        <w:t xml:space="preserve">combined </w:t>
      </w:r>
      <w:r w:rsidRPr="008C64F9">
        <w:t>12-week trials at day 85</w:t>
      </w:r>
      <w:r>
        <w:t xml:space="preserve"> was </w:t>
      </w:r>
      <w:r w:rsidRPr="008C64F9">
        <w:t>118</w:t>
      </w:r>
      <w:r>
        <w:t> </w:t>
      </w:r>
      <w:r w:rsidRPr="008C64F9">
        <w:t xml:space="preserve">mL for </w:t>
      </w:r>
      <w:r w:rsidR="00CE1427">
        <w:t>FAVINT</w:t>
      </w:r>
      <w:r>
        <w:t xml:space="preserve"> </w:t>
      </w:r>
      <w:r w:rsidR="00FD1562">
        <w:t>RESPIMAT</w:t>
      </w:r>
      <w:r>
        <w:t xml:space="preserve"> </w:t>
      </w:r>
      <w:r w:rsidRPr="008C64F9">
        <w:t xml:space="preserve">over </w:t>
      </w:r>
      <w:r>
        <w:t xml:space="preserve">placebo </w:t>
      </w:r>
      <w:r w:rsidRPr="008C64F9">
        <w:t xml:space="preserve">(p&lt;0.0001) and 64 mL for </w:t>
      </w:r>
      <w:r w:rsidR="00CE1427">
        <w:t>FAVINT</w:t>
      </w:r>
      <w:r>
        <w:t xml:space="preserve"> </w:t>
      </w:r>
      <w:r w:rsidR="00FD1562">
        <w:t>RESPIMAT</w:t>
      </w:r>
      <w:r w:rsidRPr="008C64F9">
        <w:t xml:space="preserve"> over </w:t>
      </w:r>
      <w:r>
        <w:t xml:space="preserve">ipratropium bromide </w:t>
      </w:r>
      <w:r w:rsidRPr="008C64F9">
        <w:t>(p=0.0060).</w:t>
      </w:r>
    </w:p>
    <w:p w:rsidR="00940ED0" w:rsidRPr="00124A79" w:rsidRDefault="00940ED0" w:rsidP="009E24D3">
      <w:pPr>
        <w:pStyle w:val="TextPI"/>
        <w:spacing w:line="240" w:lineRule="auto"/>
      </w:pPr>
      <w:r>
        <w:t>A combined analysis of two randomised, placebo-controlled, crossover, clinical studies demonstrated that the bronchodilator response as measured by m</w:t>
      </w:r>
      <w:r w:rsidRPr="00A37950">
        <w:t>ean trough FEV</w:t>
      </w:r>
      <w:r w:rsidRPr="008E0659">
        <w:rPr>
          <w:vertAlign w:val="subscript"/>
        </w:rPr>
        <w:t>1</w:t>
      </w:r>
      <w:r w:rsidRPr="00A37950">
        <w:t xml:space="preserve"> </w:t>
      </w:r>
      <w:r>
        <w:t xml:space="preserve">for </w:t>
      </w:r>
      <w:r w:rsidR="00CE1427">
        <w:t>FAVINT</w:t>
      </w:r>
      <w:r>
        <w:t xml:space="preserve"> </w:t>
      </w:r>
      <w:r w:rsidR="00FD1562">
        <w:t>RESPIMAT</w:t>
      </w:r>
      <w:r>
        <w:t xml:space="preserve"> was 29 mL higher than </w:t>
      </w:r>
      <w:r w:rsidR="00CE1427">
        <w:t>FAVINT</w:t>
      </w:r>
      <w:r>
        <w:t xml:space="preserve"> HandiHaler</w:t>
      </w:r>
      <w:r w:rsidR="00E359F1">
        <w:t xml:space="preserve"> (18 micrograms</w:t>
      </w:r>
      <w:r>
        <w:t>) inhalation powder after a 4-week treatment period (</w:t>
      </w:r>
      <w:r w:rsidR="00F65AAC">
        <w:t>p=</w:t>
      </w:r>
      <w:r w:rsidR="00F000B5">
        <w:t>0.03</w:t>
      </w:r>
      <w:r w:rsidRPr="00124A79">
        <w:t>)</w:t>
      </w:r>
      <w:r>
        <w:t>.</w:t>
      </w:r>
      <w:r w:rsidR="00E436FA">
        <w:t xml:space="preserve"> Since steady state efficacy is reached within 4 weeks, no longer term study comparing the two products has been conducted.</w:t>
      </w:r>
    </w:p>
    <w:p w:rsidR="00940ED0" w:rsidRDefault="00CE1427" w:rsidP="009E24D3">
      <w:pPr>
        <w:pStyle w:val="TextPI"/>
        <w:spacing w:line="240" w:lineRule="auto"/>
      </w:pPr>
      <w:r>
        <w:t>FAVINT</w:t>
      </w:r>
      <w:r w:rsidR="00940ED0">
        <w:t xml:space="preserve"> </w:t>
      </w:r>
      <w:r w:rsidR="00FD1562">
        <w:t>RESPIMAT</w:t>
      </w:r>
      <w:r w:rsidR="00940ED0">
        <w:t xml:space="preserve"> significantly improved morning and evening PEFR (peak expiratory flow rate) as measured by patient’s daily recordings</w:t>
      </w:r>
      <w:r w:rsidR="00E97675">
        <w:t xml:space="preserve"> (morning improvement mean 22 L/min, </w:t>
      </w:r>
      <w:r w:rsidR="00970369">
        <w:t>p&lt;0.0001</w:t>
      </w:r>
      <w:r w:rsidR="007F6D0B">
        <w:t>;</w:t>
      </w:r>
      <w:r w:rsidR="00E97675">
        <w:t xml:space="preserve"> eve</w:t>
      </w:r>
      <w:r w:rsidR="00DD11F4">
        <w:t>n</w:t>
      </w:r>
      <w:r w:rsidR="00E97675">
        <w:t>ing improvement mean 26 L/mi</w:t>
      </w:r>
      <w:r w:rsidR="007F6D0B">
        <w:t xml:space="preserve">n, </w:t>
      </w:r>
      <w:r w:rsidR="00970369">
        <w:t>p&lt;0.0001</w:t>
      </w:r>
      <w:r w:rsidR="00E97675">
        <w:t>)</w:t>
      </w:r>
      <w:r w:rsidR="00940ED0">
        <w:t xml:space="preserve">. The use of </w:t>
      </w:r>
      <w:r>
        <w:t>FAVINT</w:t>
      </w:r>
      <w:r w:rsidR="00940ED0">
        <w:t xml:space="preserve"> </w:t>
      </w:r>
      <w:r w:rsidR="00FD1562">
        <w:t>RESPIMAT</w:t>
      </w:r>
      <w:r w:rsidR="00940ED0">
        <w:t xml:space="preserve"> resulted in a reduction of rescue bronchodilator use compared to placebo.</w:t>
      </w:r>
    </w:p>
    <w:p w:rsidR="00940ED0" w:rsidRPr="009E24D3" w:rsidRDefault="00D07770" w:rsidP="00741500">
      <w:pPr>
        <w:pStyle w:val="TextPI"/>
        <w:pageBreakBefore/>
        <w:spacing w:line="240" w:lineRule="auto"/>
        <w:rPr>
          <w:u w:val="single"/>
        </w:rPr>
      </w:pPr>
      <w:r w:rsidRPr="009E24D3">
        <w:rPr>
          <w:u w:val="single"/>
        </w:rPr>
        <w:lastRenderedPageBreak/>
        <w:t>Dyspnoea, Health-related Quality of Life, COPD Exacerbations in long-term 1 year studies</w:t>
      </w:r>
    </w:p>
    <w:p w:rsidR="006F35CE" w:rsidRDefault="006F35CE" w:rsidP="009E24D3">
      <w:pPr>
        <w:pStyle w:val="TextPI"/>
        <w:spacing w:line="240" w:lineRule="auto"/>
      </w:pPr>
      <w:r>
        <w:t xml:space="preserve">(a) </w:t>
      </w:r>
      <w:r w:rsidR="00CE1427">
        <w:t>FAVINT</w:t>
      </w:r>
      <w:r>
        <w:t xml:space="preserve"> RESPIMAT significantly improved dyspnoea (as evaluated using the Transition Dyspnoea Index) the</w:t>
      </w:r>
      <w:r w:rsidRPr="00345CAE">
        <w:t xml:space="preserve"> magnitude of change </w:t>
      </w:r>
      <w:r>
        <w:t>being 1.05 units</w:t>
      </w:r>
      <w:r w:rsidRPr="00345CAE">
        <w:t xml:space="preserve"> </w:t>
      </w:r>
      <w:r>
        <w:t xml:space="preserve">at day 337 </w:t>
      </w:r>
      <w:r w:rsidRPr="00345CAE">
        <w:t>(p&lt;0.0001</w:t>
      </w:r>
      <w:r>
        <w:t xml:space="preserve"> vs. placebo</w:t>
      </w:r>
      <w:r w:rsidRPr="00345CAE">
        <w:t>)</w:t>
      </w:r>
      <w:r>
        <w:t>. The mean Baseline Dyspnoea Index was 6.41 units. Improvement was maintained throughout the treatment period.</w:t>
      </w:r>
      <w:r w:rsidRPr="00345CAE">
        <w:t xml:space="preserve"> </w:t>
      </w:r>
    </w:p>
    <w:p w:rsidR="00940ED0" w:rsidRDefault="00940ED0" w:rsidP="009E24D3">
      <w:pPr>
        <w:pStyle w:val="TextPI"/>
        <w:spacing w:line="240" w:lineRule="auto"/>
      </w:pPr>
      <w:r>
        <w:t>(</w:t>
      </w:r>
      <w:r w:rsidR="006F35CE">
        <w:t>b</w:t>
      </w:r>
      <w:r>
        <w:t xml:space="preserve">) Patients’ evaluation of their Quality of Life (as measured using the St. George’s Respiratory Questionnaire) showed that </w:t>
      </w:r>
      <w:r w:rsidR="00CE1427">
        <w:t>FAVINT</w:t>
      </w:r>
      <w:r>
        <w:t xml:space="preserve"> </w:t>
      </w:r>
      <w:r w:rsidR="00FD1562">
        <w:t>RESPIMAT</w:t>
      </w:r>
      <w:r>
        <w:t xml:space="preserve"> had positive effects on the psychosocial impacts of COPD, activities affected by COPD and distress due to COPD symptoms.</w:t>
      </w:r>
    </w:p>
    <w:p w:rsidR="00940ED0" w:rsidRPr="00345CAE" w:rsidRDefault="00940ED0" w:rsidP="009E24D3">
      <w:pPr>
        <w:pStyle w:val="TextPI"/>
        <w:spacing w:line="240" w:lineRule="auto"/>
      </w:pPr>
      <w:r>
        <w:t xml:space="preserve">The improvement in mean total score between </w:t>
      </w:r>
      <w:r w:rsidR="00CE1427">
        <w:t>FAVINT</w:t>
      </w:r>
      <w:r>
        <w:t xml:space="preserve"> </w:t>
      </w:r>
      <w:r w:rsidR="00FD1562">
        <w:t>RESPIMAT</w:t>
      </w:r>
      <w:r>
        <w:t xml:space="preserve"> versus placebo at the end of the two 1-year studies was statistically significant and maintained throughout the treatment period.</w:t>
      </w:r>
      <w:r w:rsidRPr="00345CAE">
        <w:t xml:space="preserve"> By day 337 the mean treatment difference improvement in SGRQ total score from placebo (pooled data from the two 1-year studies) was 3.5 for </w:t>
      </w:r>
      <w:r w:rsidR="00CE1427">
        <w:t>FAVINT</w:t>
      </w:r>
      <w:r>
        <w:t xml:space="preserve"> </w:t>
      </w:r>
      <w:r w:rsidR="00FD1562">
        <w:t>RESPIMAT</w:t>
      </w:r>
      <w:r>
        <w:t xml:space="preserve"> </w:t>
      </w:r>
      <w:r w:rsidRPr="00345CAE">
        <w:t>(p&lt;0.0001 vs. placebo)</w:t>
      </w:r>
      <w:r>
        <w:t>.</w:t>
      </w:r>
      <w:r w:rsidR="00DD11F4">
        <w:t xml:space="preserve"> The mean SGRQ total score at baseline was 44.8.</w:t>
      </w:r>
    </w:p>
    <w:p w:rsidR="00D07770" w:rsidRDefault="00940ED0" w:rsidP="009E24D3">
      <w:pPr>
        <w:pStyle w:val="TextPI"/>
        <w:keepNext/>
        <w:spacing w:line="240" w:lineRule="auto"/>
      </w:pPr>
      <w:r>
        <w:t xml:space="preserve">(c) </w:t>
      </w:r>
      <w:r w:rsidR="00D07770">
        <w:t>COPD Exacerbations</w:t>
      </w:r>
    </w:p>
    <w:p w:rsidR="00D07770" w:rsidRDefault="00D07770" w:rsidP="009E24D3">
      <w:pPr>
        <w:pStyle w:val="TextPI"/>
        <w:spacing w:line="240" w:lineRule="auto"/>
      </w:pPr>
      <w:r>
        <w:t xml:space="preserve">In three one-year, randomised, double-blind, placebo-controlled clinical trials </w:t>
      </w:r>
      <w:r w:rsidR="00CE1427">
        <w:t>FAVINT</w:t>
      </w:r>
      <w:r>
        <w:t xml:space="preserve"> </w:t>
      </w:r>
      <w:r w:rsidR="00FD1562">
        <w:t>RESPIMAT</w:t>
      </w:r>
      <w:r>
        <w:t xml:space="preserve"> treatment resulted in a significantly reduced risk of a COPD exacerbation in comparison to placebo. Exacerbations of COPD were defined as “a complex of at least two respiratory events/symptoms with a duration of three days or more requiring a change in treatment (prescription of antibiotics and/or systemic corticosteroids and/or a significant change of the prescribed respiratory medication)”. </w:t>
      </w:r>
      <w:r w:rsidR="00CE1427">
        <w:t>FAVINT</w:t>
      </w:r>
      <w:r>
        <w:t xml:space="preserve"> </w:t>
      </w:r>
      <w:r w:rsidR="00FD1562">
        <w:t>RESPIMAT</w:t>
      </w:r>
      <w:r>
        <w:t xml:space="preserve"> treatment resulted in a reduced risk of a hospitalisation due to a COPD exacerbation (significant in the appropriately powered large exacerbation trial).</w:t>
      </w:r>
    </w:p>
    <w:p w:rsidR="00D07770" w:rsidRDefault="00D07770" w:rsidP="009E24D3">
      <w:pPr>
        <w:pStyle w:val="TextPI"/>
        <w:spacing w:line="240" w:lineRule="auto"/>
      </w:pPr>
      <w:r>
        <w:t xml:space="preserve">The pooled analysis of two Phase III trials and separate analysis of an additional exacerbation trial is displayed </w:t>
      </w:r>
      <w:r w:rsidRPr="00E1486B">
        <w:t xml:space="preserve">in </w:t>
      </w:r>
      <w:r w:rsidRPr="005D0616">
        <w:t>Table 1.</w:t>
      </w:r>
      <w:r>
        <w:t xml:space="preserve"> All respiratory medications except anticholinergics and long-acting beta-agonists were allowed as concomitant treatment, i.e. rapidly acting beta-agonists, inhaled corticosteroids and xanthines. Long-acting beta-agonists were allowed in addition in the exacerbation trial. </w:t>
      </w:r>
    </w:p>
    <w:p w:rsidR="00D07770" w:rsidRPr="009E24D3" w:rsidRDefault="00D07770" w:rsidP="009E24D3">
      <w:pPr>
        <w:spacing w:before="120" w:after="120"/>
        <w:rPr>
          <w:rFonts w:ascii="Arial" w:hAnsi="Arial" w:cs="Arial"/>
          <w:b/>
          <w:bCs/>
          <w:sz w:val="22"/>
          <w:szCs w:val="22"/>
        </w:rPr>
      </w:pPr>
      <w:r w:rsidRPr="009E24D3">
        <w:rPr>
          <w:rFonts w:ascii="Arial" w:hAnsi="Arial" w:cs="Arial"/>
          <w:b/>
          <w:bCs/>
          <w:sz w:val="22"/>
          <w:szCs w:val="22"/>
        </w:rPr>
        <w:t>Table 1: Statistical Analysis of Exacerbations of COPD and Hospitalized COPD Exacerbations in Patients with Moderate to Very Severe COPD</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935"/>
        <w:gridCol w:w="1391"/>
        <w:gridCol w:w="1391"/>
        <w:gridCol w:w="1331"/>
        <w:gridCol w:w="1607"/>
      </w:tblGrid>
      <w:tr w:rsidR="00D07770" w:rsidRPr="00252348" w:rsidTr="009E24D3">
        <w:trPr>
          <w:tblHeader/>
        </w:trPr>
        <w:tc>
          <w:tcPr>
            <w:tcW w:w="1465" w:type="dxa"/>
            <w:tcBorders>
              <w:right w:val="nil"/>
            </w:tcBorders>
          </w:tcPr>
          <w:p w:rsidR="00D07770" w:rsidRPr="009E24D3" w:rsidRDefault="00D07770" w:rsidP="009E24D3">
            <w:pPr>
              <w:rPr>
                <w:rFonts w:ascii="Arial" w:hAnsi="Arial" w:cs="Arial"/>
                <w:b/>
                <w:bCs/>
                <w:sz w:val="20"/>
              </w:rPr>
            </w:pPr>
            <w:r w:rsidRPr="009E24D3">
              <w:rPr>
                <w:rFonts w:ascii="Arial" w:hAnsi="Arial" w:cs="Arial"/>
                <w:b/>
                <w:bCs/>
                <w:sz w:val="20"/>
              </w:rPr>
              <w:t>Study</w:t>
            </w:r>
            <w:r w:rsidRPr="009E24D3">
              <w:rPr>
                <w:rFonts w:ascii="Arial" w:hAnsi="Arial" w:cs="Arial"/>
                <w:b/>
                <w:bCs/>
                <w:sz w:val="20"/>
              </w:rPr>
              <w:br/>
              <w:t>(N</w:t>
            </w:r>
            <w:r w:rsidR="00CE1427">
              <w:rPr>
                <w:rFonts w:ascii="Arial" w:hAnsi="Arial" w:cs="Arial"/>
                <w:b/>
                <w:bCs/>
                <w:sz w:val="20"/>
                <w:vertAlign w:val="subscript"/>
              </w:rPr>
              <w:t>FAVINT</w:t>
            </w:r>
            <w:r w:rsidRPr="009E24D3">
              <w:rPr>
                <w:rFonts w:ascii="Arial" w:hAnsi="Arial" w:cs="Arial"/>
                <w:b/>
                <w:bCs/>
                <w:sz w:val="20"/>
              </w:rPr>
              <w:t xml:space="preserve">, </w:t>
            </w:r>
            <w:proofErr w:type="spellStart"/>
            <w:r w:rsidRPr="009E24D3">
              <w:rPr>
                <w:rFonts w:ascii="Arial" w:hAnsi="Arial" w:cs="Arial"/>
                <w:b/>
                <w:bCs/>
                <w:sz w:val="20"/>
              </w:rPr>
              <w:t>N</w:t>
            </w:r>
            <w:r w:rsidRPr="009E24D3">
              <w:rPr>
                <w:rFonts w:ascii="Arial" w:hAnsi="Arial" w:cs="Arial"/>
                <w:b/>
                <w:bCs/>
                <w:sz w:val="20"/>
                <w:vertAlign w:val="subscript"/>
              </w:rPr>
              <w:t>placebo</w:t>
            </w:r>
            <w:proofErr w:type="spellEnd"/>
            <w:r w:rsidRPr="009E24D3">
              <w:rPr>
                <w:rFonts w:ascii="Arial" w:hAnsi="Arial" w:cs="Arial"/>
                <w:b/>
                <w:bCs/>
                <w:sz w:val="20"/>
              </w:rPr>
              <w:t>)</w:t>
            </w:r>
          </w:p>
        </w:tc>
        <w:tc>
          <w:tcPr>
            <w:tcW w:w="1935" w:type="dxa"/>
            <w:tcBorders>
              <w:left w:val="nil"/>
            </w:tcBorders>
          </w:tcPr>
          <w:p w:rsidR="00D07770" w:rsidRPr="009E24D3" w:rsidRDefault="00D07770" w:rsidP="009E24D3">
            <w:pPr>
              <w:rPr>
                <w:rFonts w:ascii="Arial" w:hAnsi="Arial" w:cs="Arial"/>
                <w:b/>
                <w:bCs/>
                <w:sz w:val="20"/>
              </w:rPr>
            </w:pPr>
            <w:r w:rsidRPr="009E24D3">
              <w:rPr>
                <w:rFonts w:ascii="Arial" w:hAnsi="Arial" w:cs="Arial"/>
                <w:b/>
                <w:bCs/>
                <w:sz w:val="20"/>
              </w:rPr>
              <w:t>Endpoint</w:t>
            </w:r>
          </w:p>
        </w:tc>
        <w:tc>
          <w:tcPr>
            <w:tcW w:w="1391" w:type="dxa"/>
          </w:tcPr>
          <w:p w:rsidR="00D07770" w:rsidRPr="009E24D3" w:rsidRDefault="00CE1427" w:rsidP="009E24D3">
            <w:pPr>
              <w:jc w:val="center"/>
              <w:rPr>
                <w:rFonts w:ascii="Arial" w:hAnsi="Arial" w:cs="Arial"/>
                <w:b/>
                <w:bCs/>
                <w:sz w:val="20"/>
              </w:rPr>
            </w:pPr>
            <w:r>
              <w:rPr>
                <w:rFonts w:ascii="Arial" w:hAnsi="Arial" w:cs="Arial"/>
                <w:b/>
                <w:bCs/>
                <w:sz w:val="20"/>
              </w:rPr>
              <w:t>FAVINT</w:t>
            </w:r>
            <w:r w:rsidR="00D07770" w:rsidRPr="009E24D3">
              <w:rPr>
                <w:rFonts w:ascii="Arial" w:hAnsi="Arial" w:cs="Arial"/>
                <w:b/>
                <w:bCs/>
                <w:sz w:val="20"/>
              </w:rPr>
              <w:t xml:space="preserve"> </w:t>
            </w:r>
            <w:r w:rsidR="00FD1562" w:rsidRPr="009E24D3">
              <w:rPr>
                <w:rFonts w:ascii="Arial" w:hAnsi="Arial" w:cs="Arial"/>
                <w:b/>
                <w:bCs/>
                <w:sz w:val="20"/>
              </w:rPr>
              <w:t>RESPIMAT</w:t>
            </w:r>
          </w:p>
        </w:tc>
        <w:tc>
          <w:tcPr>
            <w:tcW w:w="1391" w:type="dxa"/>
          </w:tcPr>
          <w:p w:rsidR="00D07770" w:rsidRPr="009E24D3" w:rsidRDefault="00D07770" w:rsidP="009E24D3">
            <w:pPr>
              <w:jc w:val="center"/>
              <w:rPr>
                <w:rFonts w:ascii="Arial" w:hAnsi="Arial" w:cs="Arial"/>
                <w:b/>
                <w:bCs/>
                <w:sz w:val="20"/>
              </w:rPr>
            </w:pPr>
            <w:r w:rsidRPr="009E24D3">
              <w:rPr>
                <w:rFonts w:ascii="Arial" w:hAnsi="Arial" w:cs="Arial"/>
                <w:b/>
                <w:bCs/>
                <w:sz w:val="20"/>
              </w:rPr>
              <w:t>Placebo</w:t>
            </w:r>
          </w:p>
        </w:tc>
        <w:tc>
          <w:tcPr>
            <w:tcW w:w="1331" w:type="dxa"/>
          </w:tcPr>
          <w:p w:rsidR="00D07770" w:rsidRPr="009E24D3" w:rsidRDefault="00D07770" w:rsidP="009E24D3">
            <w:pPr>
              <w:jc w:val="center"/>
              <w:rPr>
                <w:rFonts w:ascii="Arial" w:hAnsi="Arial" w:cs="Arial"/>
                <w:b/>
                <w:bCs/>
                <w:sz w:val="20"/>
              </w:rPr>
            </w:pPr>
            <w:r w:rsidRPr="009E24D3">
              <w:rPr>
                <w:rFonts w:ascii="Arial" w:hAnsi="Arial" w:cs="Arial"/>
                <w:b/>
                <w:bCs/>
                <w:sz w:val="20"/>
              </w:rPr>
              <w:t xml:space="preserve">% Risk Reduction </w:t>
            </w:r>
            <w:r w:rsidRPr="009E24D3">
              <w:rPr>
                <w:rFonts w:ascii="Arial" w:hAnsi="Arial" w:cs="Arial"/>
                <w:b/>
                <w:bCs/>
                <w:sz w:val="20"/>
              </w:rPr>
              <w:br/>
              <w:t>(95% CI)</w:t>
            </w:r>
            <w:r w:rsidRPr="009E24D3">
              <w:rPr>
                <w:rFonts w:ascii="Arial" w:hAnsi="Arial" w:cs="Arial"/>
                <w:b/>
                <w:bCs/>
                <w:sz w:val="20"/>
                <w:vertAlign w:val="superscript"/>
              </w:rPr>
              <w:t>a</w:t>
            </w:r>
          </w:p>
        </w:tc>
        <w:tc>
          <w:tcPr>
            <w:tcW w:w="1607" w:type="dxa"/>
          </w:tcPr>
          <w:p w:rsidR="00D07770" w:rsidRPr="009E24D3" w:rsidRDefault="00D07770" w:rsidP="009E24D3">
            <w:pPr>
              <w:jc w:val="center"/>
              <w:rPr>
                <w:rFonts w:ascii="Arial" w:hAnsi="Arial" w:cs="Arial"/>
                <w:b/>
                <w:bCs/>
                <w:sz w:val="20"/>
              </w:rPr>
            </w:pPr>
            <w:r w:rsidRPr="009E24D3">
              <w:rPr>
                <w:rFonts w:ascii="Arial" w:hAnsi="Arial" w:cs="Arial"/>
                <w:b/>
                <w:bCs/>
                <w:sz w:val="20"/>
              </w:rPr>
              <w:t>p-value</w:t>
            </w:r>
          </w:p>
        </w:tc>
      </w:tr>
      <w:tr w:rsidR="00D07770" w:rsidRPr="006F35CE" w:rsidTr="009E24D3">
        <w:tc>
          <w:tcPr>
            <w:tcW w:w="1465" w:type="dxa"/>
            <w:vMerge w:val="restart"/>
            <w:shd w:val="clear" w:color="auto" w:fill="auto"/>
          </w:tcPr>
          <w:p w:rsidR="00D07770" w:rsidRPr="009E24D3" w:rsidRDefault="00D07770" w:rsidP="009E24D3">
            <w:pPr>
              <w:jc w:val="left"/>
              <w:rPr>
                <w:rFonts w:ascii="Arial" w:hAnsi="Arial" w:cs="Arial"/>
                <w:sz w:val="20"/>
              </w:rPr>
            </w:pPr>
            <w:r w:rsidRPr="009E24D3">
              <w:rPr>
                <w:rFonts w:ascii="Arial" w:hAnsi="Arial" w:cs="Arial"/>
                <w:sz w:val="20"/>
              </w:rPr>
              <w:t xml:space="preserve">1-year </w:t>
            </w:r>
            <w:proofErr w:type="spellStart"/>
            <w:r w:rsidRPr="009E24D3">
              <w:rPr>
                <w:rFonts w:ascii="Arial" w:hAnsi="Arial" w:cs="Arial"/>
                <w:sz w:val="20"/>
              </w:rPr>
              <w:t>Ph</w:t>
            </w:r>
            <w:proofErr w:type="spellEnd"/>
            <w:r w:rsidRPr="009E24D3">
              <w:rPr>
                <w:rFonts w:ascii="Arial" w:hAnsi="Arial" w:cs="Arial"/>
                <w:sz w:val="20"/>
              </w:rPr>
              <w:t xml:space="preserve"> III studies, </w:t>
            </w:r>
            <w:r w:rsidRPr="009E24D3">
              <w:rPr>
                <w:rFonts w:ascii="Arial" w:hAnsi="Arial" w:cs="Arial"/>
                <w:sz w:val="20"/>
              </w:rPr>
              <w:br/>
              <w:t xml:space="preserve">pooled </w:t>
            </w:r>
            <w:proofErr w:type="spellStart"/>
            <w:r w:rsidRPr="009E24D3">
              <w:rPr>
                <w:rFonts w:ascii="Arial" w:hAnsi="Arial" w:cs="Arial"/>
                <w:sz w:val="20"/>
              </w:rPr>
              <w:t>analysis</w:t>
            </w:r>
            <w:r w:rsidRPr="009E24D3">
              <w:rPr>
                <w:rFonts w:ascii="Arial" w:hAnsi="Arial" w:cs="Arial"/>
                <w:sz w:val="20"/>
                <w:vertAlign w:val="superscript"/>
              </w:rPr>
              <w:t>d</w:t>
            </w:r>
            <w:proofErr w:type="spellEnd"/>
            <w:r w:rsidRPr="009E24D3">
              <w:rPr>
                <w:rFonts w:ascii="Arial" w:hAnsi="Arial" w:cs="Arial"/>
                <w:sz w:val="20"/>
              </w:rPr>
              <w:br/>
            </w:r>
            <w:r w:rsidRPr="009E24D3">
              <w:rPr>
                <w:rFonts w:ascii="Arial" w:hAnsi="Arial" w:cs="Arial"/>
                <w:sz w:val="20"/>
              </w:rPr>
              <w:br/>
              <w:t>(670, 653)</w:t>
            </w:r>
          </w:p>
        </w:tc>
        <w:tc>
          <w:tcPr>
            <w:tcW w:w="1935" w:type="dxa"/>
          </w:tcPr>
          <w:p w:rsidR="00D07770" w:rsidRPr="009E24D3" w:rsidRDefault="00D07770" w:rsidP="009E24D3">
            <w:pPr>
              <w:jc w:val="left"/>
              <w:rPr>
                <w:rFonts w:ascii="Arial" w:hAnsi="Arial" w:cs="Arial"/>
                <w:sz w:val="20"/>
              </w:rPr>
            </w:pPr>
            <w:r w:rsidRPr="009E24D3">
              <w:rPr>
                <w:rFonts w:ascii="Arial" w:hAnsi="Arial" w:cs="Arial"/>
                <w:sz w:val="20"/>
              </w:rPr>
              <w:t>Days to first COPD exacerbation</w:t>
            </w:r>
          </w:p>
        </w:tc>
        <w:tc>
          <w:tcPr>
            <w:tcW w:w="1391" w:type="dxa"/>
          </w:tcPr>
          <w:p w:rsidR="00D07770" w:rsidRPr="009E24D3" w:rsidRDefault="00D07770" w:rsidP="009E24D3">
            <w:pPr>
              <w:jc w:val="center"/>
              <w:rPr>
                <w:rFonts w:ascii="Arial" w:hAnsi="Arial" w:cs="Arial"/>
                <w:sz w:val="20"/>
              </w:rPr>
            </w:pPr>
            <w:r w:rsidRPr="009E24D3">
              <w:rPr>
                <w:rFonts w:ascii="Arial" w:hAnsi="Arial" w:cs="Arial"/>
                <w:sz w:val="20"/>
              </w:rPr>
              <w:t>160</w:t>
            </w:r>
            <w:r w:rsidRPr="009E24D3">
              <w:rPr>
                <w:rFonts w:ascii="Arial" w:hAnsi="Arial" w:cs="Arial"/>
                <w:sz w:val="20"/>
                <w:vertAlign w:val="superscript"/>
              </w:rPr>
              <w:t>a</w:t>
            </w:r>
          </w:p>
        </w:tc>
        <w:tc>
          <w:tcPr>
            <w:tcW w:w="1391" w:type="dxa"/>
          </w:tcPr>
          <w:p w:rsidR="00D07770" w:rsidRPr="009E24D3" w:rsidRDefault="00D07770" w:rsidP="009E24D3">
            <w:pPr>
              <w:jc w:val="center"/>
              <w:rPr>
                <w:rFonts w:ascii="Arial" w:hAnsi="Arial" w:cs="Arial"/>
                <w:sz w:val="20"/>
              </w:rPr>
            </w:pPr>
            <w:r w:rsidRPr="009E24D3">
              <w:rPr>
                <w:rFonts w:ascii="Arial" w:hAnsi="Arial" w:cs="Arial"/>
                <w:sz w:val="20"/>
              </w:rPr>
              <w:t>86</w:t>
            </w:r>
            <w:r w:rsidRPr="009E24D3">
              <w:rPr>
                <w:rFonts w:ascii="Arial" w:hAnsi="Arial" w:cs="Arial"/>
                <w:sz w:val="20"/>
                <w:vertAlign w:val="superscript"/>
              </w:rPr>
              <w:t>a</w:t>
            </w:r>
          </w:p>
        </w:tc>
        <w:tc>
          <w:tcPr>
            <w:tcW w:w="1331" w:type="dxa"/>
          </w:tcPr>
          <w:p w:rsidR="00D07770" w:rsidRPr="009E24D3" w:rsidRDefault="00D07770" w:rsidP="009E24D3">
            <w:pPr>
              <w:jc w:val="center"/>
              <w:rPr>
                <w:rFonts w:ascii="Arial" w:hAnsi="Arial" w:cs="Arial"/>
                <w:sz w:val="20"/>
              </w:rPr>
            </w:pPr>
            <w:r w:rsidRPr="009E24D3">
              <w:rPr>
                <w:rFonts w:ascii="Arial" w:hAnsi="Arial" w:cs="Arial"/>
                <w:sz w:val="20"/>
              </w:rPr>
              <w:t>29</w:t>
            </w:r>
            <w:r w:rsidRPr="009E24D3">
              <w:rPr>
                <w:rFonts w:ascii="Arial" w:hAnsi="Arial" w:cs="Arial"/>
                <w:sz w:val="20"/>
              </w:rPr>
              <w:br/>
              <w:t>(16 to 40)</w:t>
            </w:r>
            <w:r w:rsidRPr="009E24D3">
              <w:rPr>
                <w:rFonts w:ascii="Arial" w:hAnsi="Arial" w:cs="Arial"/>
                <w:sz w:val="20"/>
                <w:vertAlign w:val="superscript"/>
              </w:rPr>
              <w:t>b</w:t>
            </w:r>
          </w:p>
        </w:tc>
        <w:tc>
          <w:tcPr>
            <w:tcW w:w="1607" w:type="dxa"/>
          </w:tcPr>
          <w:p w:rsidR="00D07770" w:rsidRPr="009E24D3" w:rsidRDefault="00D07770" w:rsidP="009E24D3">
            <w:pPr>
              <w:jc w:val="center"/>
              <w:rPr>
                <w:rFonts w:ascii="Arial" w:hAnsi="Arial" w:cs="Arial"/>
                <w:sz w:val="20"/>
              </w:rPr>
            </w:pPr>
            <w:r w:rsidRPr="009E24D3">
              <w:rPr>
                <w:rFonts w:ascii="Arial" w:hAnsi="Arial" w:cs="Arial"/>
                <w:sz w:val="20"/>
              </w:rPr>
              <w:t>&lt;0.0001</w:t>
            </w:r>
            <w:r w:rsidRPr="009E24D3">
              <w:rPr>
                <w:rFonts w:ascii="Arial" w:hAnsi="Arial" w:cs="Arial"/>
                <w:sz w:val="20"/>
                <w:vertAlign w:val="superscript"/>
              </w:rPr>
              <w:t>b</w:t>
            </w:r>
          </w:p>
        </w:tc>
      </w:tr>
      <w:tr w:rsidR="00D07770" w:rsidRPr="006F35CE" w:rsidTr="009E24D3">
        <w:tc>
          <w:tcPr>
            <w:tcW w:w="1465" w:type="dxa"/>
            <w:vMerge/>
            <w:shd w:val="clear" w:color="auto" w:fill="auto"/>
          </w:tcPr>
          <w:p w:rsidR="00D07770" w:rsidRPr="00FB1C94" w:rsidRDefault="00D07770" w:rsidP="00FB1C94">
            <w:pPr>
              <w:rPr>
                <w:rFonts w:ascii="Arial" w:hAnsi="Arial" w:cs="Arial"/>
                <w:sz w:val="20"/>
              </w:rPr>
            </w:pPr>
          </w:p>
        </w:tc>
        <w:tc>
          <w:tcPr>
            <w:tcW w:w="1935" w:type="dxa"/>
          </w:tcPr>
          <w:p w:rsidR="00D07770" w:rsidRPr="00FB1C94" w:rsidRDefault="00D07770" w:rsidP="00FB1C94">
            <w:pPr>
              <w:jc w:val="left"/>
              <w:rPr>
                <w:rFonts w:ascii="Arial" w:hAnsi="Arial" w:cs="Arial"/>
                <w:sz w:val="20"/>
              </w:rPr>
            </w:pPr>
            <w:r w:rsidRPr="00FB1C94">
              <w:rPr>
                <w:rFonts w:ascii="Arial" w:hAnsi="Arial" w:cs="Arial"/>
                <w:sz w:val="20"/>
              </w:rPr>
              <w:t>Mean exacerbation incidence rate per patient year</w:t>
            </w:r>
          </w:p>
        </w:tc>
        <w:tc>
          <w:tcPr>
            <w:tcW w:w="1391" w:type="dxa"/>
          </w:tcPr>
          <w:p w:rsidR="00D07770" w:rsidRPr="00FB1C94" w:rsidRDefault="00D07770" w:rsidP="00FB1C94">
            <w:pPr>
              <w:jc w:val="center"/>
              <w:rPr>
                <w:rFonts w:ascii="Arial" w:hAnsi="Arial" w:cs="Arial"/>
                <w:sz w:val="20"/>
              </w:rPr>
            </w:pPr>
            <w:r w:rsidRPr="00FB1C94">
              <w:rPr>
                <w:rFonts w:ascii="Arial" w:hAnsi="Arial" w:cs="Arial"/>
                <w:sz w:val="20"/>
              </w:rPr>
              <w:t>0.78</w:t>
            </w:r>
            <w:r w:rsidRPr="00FB1C94">
              <w:rPr>
                <w:rFonts w:ascii="Arial" w:hAnsi="Arial" w:cs="Arial"/>
                <w:sz w:val="20"/>
                <w:vertAlign w:val="superscript"/>
              </w:rPr>
              <w:t>c</w:t>
            </w:r>
          </w:p>
        </w:tc>
        <w:tc>
          <w:tcPr>
            <w:tcW w:w="1391" w:type="dxa"/>
          </w:tcPr>
          <w:p w:rsidR="00D07770" w:rsidRPr="00FB1C94" w:rsidRDefault="00D07770" w:rsidP="00FB1C94">
            <w:pPr>
              <w:jc w:val="center"/>
              <w:rPr>
                <w:rFonts w:ascii="Arial" w:hAnsi="Arial" w:cs="Arial"/>
                <w:sz w:val="20"/>
              </w:rPr>
            </w:pPr>
            <w:r w:rsidRPr="00FB1C94">
              <w:rPr>
                <w:rFonts w:ascii="Arial" w:hAnsi="Arial" w:cs="Arial"/>
                <w:sz w:val="20"/>
              </w:rPr>
              <w:t>1.00</w:t>
            </w:r>
            <w:r w:rsidRPr="00FB1C94">
              <w:rPr>
                <w:rFonts w:ascii="Arial" w:hAnsi="Arial" w:cs="Arial"/>
                <w:sz w:val="20"/>
                <w:vertAlign w:val="superscript"/>
              </w:rPr>
              <w:t>c</w:t>
            </w:r>
          </w:p>
        </w:tc>
        <w:tc>
          <w:tcPr>
            <w:tcW w:w="1331" w:type="dxa"/>
          </w:tcPr>
          <w:p w:rsidR="00D07770" w:rsidRPr="00FB1C94" w:rsidRDefault="00D07770" w:rsidP="00FB1C94">
            <w:pPr>
              <w:jc w:val="center"/>
              <w:rPr>
                <w:rFonts w:ascii="Arial" w:hAnsi="Arial" w:cs="Arial"/>
                <w:sz w:val="20"/>
              </w:rPr>
            </w:pPr>
            <w:r w:rsidRPr="00FB1C94">
              <w:rPr>
                <w:rFonts w:ascii="Arial" w:hAnsi="Arial" w:cs="Arial"/>
                <w:sz w:val="20"/>
              </w:rPr>
              <w:t>22</w:t>
            </w:r>
            <w:r w:rsidRPr="00FB1C94">
              <w:rPr>
                <w:rFonts w:ascii="Arial" w:hAnsi="Arial" w:cs="Arial"/>
                <w:sz w:val="20"/>
              </w:rPr>
              <w:br/>
              <w:t>(8 to 33)</w:t>
            </w:r>
            <w:r w:rsidRPr="00FB1C94">
              <w:rPr>
                <w:rFonts w:ascii="Arial" w:hAnsi="Arial" w:cs="Arial"/>
                <w:sz w:val="20"/>
                <w:vertAlign w:val="superscript"/>
              </w:rPr>
              <w:t>c</w:t>
            </w:r>
          </w:p>
        </w:tc>
        <w:tc>
          <w:tcPr>
            <w:tcW w:w="1607" w:type="dxa"/>
          </w:tcPr>
          <w:p w:rsidR="00D07770" w:rsidRPr="00FB1C94" w:rsidRDefault="00D07770" w:rsidP="00FB1C94">
            <w:pPr>
              <w:jc w:val="center"/>
              <w:rPr>
                <w:rFonts w:ascii="Arial" w:hAnsi="Arial" w:cs="Arial"/>
                <w:sz w:val="20"/>
              </w:rPr>
            </w:pPr>
            <w:r w:rsidRPr="00FB1C94">
              <w:rPr>
                <w:rFonts w:ascii="Arial" w:hAnsi="Arial" w:cs="Arial"/>
                <w:sz w:val="20"/>
              </w:rPr>
              <w:t>0.002</w:t>
            </w:r>
            <w:r w:rsidRPr="00FB1C94">
              <w:rPr>
                <w:rFonts w:ascii="Arial" w:hAnsi="Arial" w:cs="Arial"/>
                <w:sz w:val="20"/>
                <w:vertAlign w:val="superscript"/>
              </w:rPr>
              <w:t>c</w:t>
            </w:r>
          </w:p>
        </w:tc>
      </w:tr>
      <w:tr w:rsidR="00D07770" w:rsidRPr="006F35CE" w:rsidTr="009E24D3">
        <w:tc>
          <w:tcPr>
            <w:tcW w:w="1465" w:type="dxa"/>
            <w:vMerge/>
            <w:shd w:val="clear" w:color="auto" w:fill="auto"/>
          </w:tcPr>
          <w:p w:rsidR="00D07770" w:rsidRPr="00FB1C94" w:rsidRDefault="00D07770" w:rsidP="00FB1C94">
            <w:pPr>
              <w:rPr>
                <w:rFonts w:ascii="Arial" w:hAnsi="Arial" w:cs="Arial"/>
                <w:sz w:val="20"/>
              </w:rPr>
            </w:pPr>
          </w:p>
        </w:tc>
        <w:tc>
          <w:tcPr>
            <w:tcW w:w="1935" w:type="dxa"/>
          </w:tcPr>
          <w:p w:rsidR="00D07770" w:rsidRPr="00FB1C94" w:rsidRDefault="00D07770" w:rsidP="00FB1C94">
            <w:pPr>
              <w:jc w:val="left"/>
              <w:rPr>
                <w:rFonts w:ascii="Arial" w:hAnsi="Arial" w:cs="Arial"/>
                <w:sz w:val="20"/>
              </w:rPr>
            </w:pPr>
            <w:r w:rsidRPr="00FB1C94">
              <w:rPr>
                <w:rFonts w:ascii="Arial" w:hAnsi="Arial" w:cs="Arial"/>
                <w:sz w:val="20"/>
              </w:rPr>
              <w:t xml:space="preserve">Time to first </w:t>
            </w:r>
            <w:proofErr w:type="spellStart"/>
            <w:r w:rsidRPr="00FB1C94">
              <w:rPr>
                <w:rFonts w:ascii="Arial" w:hAnsi="Arial" w:cs="Arial"/>
                <w:sz w:val="20"/>
              </w:rPr>
              <w:t>hospitalised</w:t>
            </w:r>
            <w:proofErr w:type="spellEnd"/>
            <w:r w:rsidRPr="00FB1C94">
              <w:rPr>
                <w:rFonts w:ascii="Arial" w:hAnsi="Arial" w:cs="Arial"/>
                <w:sz w:val="20"/>
              </w:rPr>
              <w:t xml:space="preserve"> COPD exacerbation</w:t>
            </w:r>
          </w:p>
        </w:tc>
        <w:tc>
          <w:tcPr>
            <w:tcW w:w="1391" w:type="dxa"/>
          </w:tcPr>
          <w:p w:rsidR="00D07770" w:rsidRPr="00FB1C94" w:rsidRDefault="00D07770" w:rsidP="00FB1C94">
            <w:pPr>
              <w:jc w:val="center"/>
              <w:rPr>
                <w:rFonts w:ascii="Arial" w:hAnsi="Arial" w:cs="Arial"/>
                <w:sz w:val="20"/>
              </w:rPr>
            </w:pPr>
            <w:proofErr w:type="spellStart"/>
            <w:r w:rsidRPr="00FB1C94">
              <w:rPr>
                <w:rFonts w:ascii="Arial" w:hAnsi="Arial" w:cs="Arial"/>
                <w:sz w:val="20"/>
              </w:rPr>
              <w:t>NA</w:t>
            </w:r>
            <w:r w:rsidRPr="00FB1C94">
              <w:rPr>
                <w:rFonts w:ascii="Arial" w:hAnsi="Arial" w:cs="Arial"/>
                <w:sz w:val="20"/>
                <w:vertAlign w:val="superscript"/>
              </w:rPr>
              <w:t>e</w:t>
            </w:r>
            <w:proofErr w:type="spellEnd"/>
          </w:p>
        </w:tc>
        <w:tc>
          <w:tcPr>
            <w:tcW w:w="1391" w:type="dxa"/>
          </w:tcPr>
          <w:p w:rsidR="00D07770" w:rsidRPr="00FB1C94" w:rsidRDefault="00D07770" w:rsidP="00FB1C94">
            <w:pPr>
              <w:jc w:val="center"/>
              <w:rPr>
                <w:rFonts w:ascii="Arial" w:hAnsi="Arial" w:cs="Arial"/>
                <w:sz w:val="20"/>
              </w:rPr>
            </w:pPr>
            <w:proofErr w:type="spellStart"/>
            <w:r w:rsidRPr="00FB1C94">
              <w:rPr>
                <w:rFonts w:ascii="Arial" w:hAnsi="Arial" w:cs="Arial"/>
                <w:sz w:val="20"/>
              </w:rPr>
              <w:t>NA</w:t>
            </w:r>
            <w:r w:rsidRPr="00FB1C94">
              <w:rPr>
                <w:rFonts w:ascii="Arial" w:hAnsi="Arial" w:cs="Arial"/>
                <w:sz w:val="20"/>
                <w:vertAlign w:val="superscript"/>
              </w:rPr>
              <w:t>e</w:t>
            </w:r>
            <w:proofErr w:type="spellEnd"/>
          </w:p>
        </w:tc>
        <w:tc>
          <w:tcPr>
            <w:tcW w:w="1331" w:type="dxa"/>
          </w:tcPr>
          <w:p w:rsidR="00D07770" w:rsidRPr="00FB1C94" w:rsidRDefault="00D07770" w:rsidP="00FB1C94">
            <w:pPr>
              <w:jc w:val="center"/>
              <w:rPr>
                <w:rFonts w:ascii="Arial" w:hAnsi="Arial" w:cs="Arial"/>
                <w:sz w:val="20"/>
              </w:rPr>
            </w:pPr>
            <w:r w:rsidRPr="00FB1C94">
              <w:rPr>
                <w:rFonts w:ascii="Arial" w:hAnsi="Arial" w:cs="Arial"/>
                <w:sz w:val="20"/>
              </w:rPr>
              <w:t>25</w:t>
            </w:r>
            <w:r w:rsidRPr="00FB1C94">
              <w:rPr>
                <w:rFonts w:ascii="Arial" w:hAnsi="Arial" w:cs="Arial"/>
                <w:sz w:val="20"/>
              </w:rPr>
              <w:br/>
              <w:t>(-16 to 51)</w:t>
            </w:r>
            <w:r w:rsidRPr="00FB1C94">
              <w:rPr>
                <w:rFonts w:ascii="Arial" w:hAnsi="Arial" w:cs="Arial"/>
                <w:sz w:val="20"/>
                <w:vertAlign w:val="superscript"/>
              </w:rPr>
              <w:t>b</w:t>
            </w:r>
          </w:p>
        </w:tc>
        <w:tc>
          <w:tcPr>
            <w:tcW w:w="1607" w:type="dxa"/>
          </w:tcPr>
          <w:p w:rsidR="00D07770" w:rsidRPr="00FB1C94" w:rsidRDefault="00D07770" w:rsidP="00FB1C94">
            <w:pPr>
              <w:jc w:val="center"/>
              <w:rPr>
                <w:rFonts w:ascii="Arial" w:hAnsi="Arial" w:cs="Arial"/>
                <w:sz w:val="20"/>
              </w:rPr>
            </w:pPr>
            <w:r w:rsidRPr="00FB1C94">
              <w:rPr>
                <w:rFonts w:ascii="Arial" w:hAnsi="Arial" w:cs="Arial"/>
                <w:sz w:val="20"/>
              </w:rPr>
              <w:t>0.20</w:t>
            </w:r>
            <w:r w:rsidRPr="00FB1C94">
              <w:rPr>
                <w:rFonts w:ascii="Arial" w:hAnsi="Arial" w:cs="Arial"/>
                <w:sz w:val="20"/>
                <w:vertAlign w:val="superscript"/>
              </w:rPr>
              <w:t>b</w:t>
            </w:r>
          </w:p>
        </w:tc>
      </w:tr>
      <w:tr w:rsidR="00D07770" w:rsidRPr="006F35CE" w:rsidTr="009E24D3">
        <w:tc>
          <w:tcPr>
            <w:tcW w:w="1465" w:type="dxa"/>
            <w:vMerge/>
            <w:shd w:val="clear" w:color="auto" w:fill="auto"/>
          </w:tcPr>
          <w:p w:rsidR="00D07770" w:rsidRPr="00FB1C94" w:rsidRDefault="00D07770" w:rsidP="00FB1C94">
            <w:pPr>
              <w:rPr>
                <w:rFonts w:ascii="Arial" w:hAnsi="Arial" w:cs="Arial"/>
                <w:sz w:val="20"/>
              </w:rPr>
            </w:pPr>
          </w:p>
        </w:tc>
        <w:tc>
          <w:tcPr>
            <w:tcW w:w="1935" w:type="dxa"/>
          </w:tcPr>
          <w:p w:rsidR="00D07770" w:rsidRPr="00FB1C94" w:rsidRDefault="00D07770" w:rsidP="00FB1C94">
            <w:pPr>
              <w:jc w:val="left"/>
              <w:rPr>
                <w:rFonts w:ascii="Arial" w:hAnsi="Arial" w:cs="Arial"/>
                <w:sz w:val="20"/>
              </w:rPr>
            </w:pPr>
            <w:r w:rsidRPr="00FB1C94">
              <w:rPr>
                <w:rFonts w:ascii="Arial" w:hAnsi="Arial" w:cs="Arial"/>
                <w:sz w:val="20"/>
              </w:rPr>
              <w:t xml:space="preserve">Mean </w:t>
            </w:r>
            <w:proofErr w:type="spellStart"/>
            <w:r w:rsidRPr="00FB1C94">
              <w:rPr>
                <w:rFonts w:ascii="Arial" w:hAnsi="Arial" w:cs="Arial"/>
                <w:sz w:val="20"/>
              </w:rPr>
              <w:t>hospitalised</w:t>
            </w:r>
            <w:proofErr w:type="spellEnd"/>
            <w:r w:rsidRPr="00FB1C94">
              <w:rPr>
                <w:rFonts w:ascii="Arial" w:hAnsi="Arial" w:cs="Arial"/>
                <w:sz w:val="20"/>
              </w:rPr>
              <w:t xml:space="preserve"> exacerbation incidence rate per patient year</w:t>
            </w:r>
          </w:p>
        </w:tc>
        <w:tc>
          <w:tcPr>
            <w:tcW w:w="1391" w:type="dxa"/>
          </w:tcPr>
          <w:p w:rsidR="00D07770" w:rsidRPr="00FB1C94" w:rsidRDefault="00D07770" w:rsidP="00FB1C94">
            <w:pPr>
              <w:jc w:val="center"/>
              <w:rPr>
                <w:rFonts w:ascii="Arial" w:hAnsi="Arial" w:cs="Arial"/>
                <w:sz w:val="20"/>
              </w:rPr>
            </w:pPr>
            <w:r w:rsidRPr="00FB1C94">
              <w:rPr>
                <w:rFonts w:ascii="Arial" w:hAnsi="Arial" w:cs="Arial"/>
                <w:sz w:val="20"/>
              </w:rPr>
              <w:t>0.09</w:t>
            </w:r>
            <w:r w:rsidRPr="00FB1C94">
              <w:rPr>
                <w:rFonts w:ascii="Arial" w:hAnsi="Arial" w:cs="Arial"/>
                <w:sz w:val="20"/>
                <w:vertAlign w:val="superscript"/>
              </w:rPr>
              <w:t xml:space="preserve"> c</w:t>
            </w:r>
          </w:p>
        </w:tc>
        <w:tc>
          <w:tcPr>
            <w:tcW w:w="1391" w:type="dxa"/>
          </w:tcPr>
          <w:p w:rsidR="00D07770" w:rsidRPr="00FB1C94" w:rsidRDefault="00D07770" w:rsidP="00FB1C94">
            <w:pPr>
              <w:jc w:val="center"/>
              <w:rPr>
                <w:rFonts w:ascii="Arial" w:hAnsi="Arial" w:cs="Arial"/>
                <w:sz w:val="20"/>
              </w:rPr>
            </w:pPr>
            <w:r w:rsidRPr="00FB1C94">
              <w:rPr>
                <w:rFonts w:ascii="Arial" w:hAnsi="Arial" w:cs="Arial"/>
                <w:sz w:val="20"/>
              </w:rPr>
              <w:t>0.11</w:t>
            </w:r>
            <w:r w:rsidRPr="00FB1C94">
              <w:rPr>
                <w:rFonts w:ascii="Arial" w:hAnsi="Arial" w:cs="Arial"/>
                <w:sz w:val="20"/>
                <w:vertAlign w:val="superscript"/>
              </w:rPr>
              <w:t xml:space="preserve"> c</w:t>
            </w:r>
          </w:p>
        </w:tc>
        <w:tc>
          <w:tcPr>
            <w:tcW w:w="1331" w:type="dxa"/>
          </w:tcPr>
          <w:p w:rsidR="00D07770" w:rsidRPr="00FB1C94" w:rsidRDefault="00D07770" w:rsidP="00FB1C94">
            <w:pPr>
              <w:jc w:val="center"/>
              <w:rPr>
                <w:rFonts w:ascii="Arial" w:hAnsi="Arial" w:cs="Arial"/>
                <w:sz w:val="20"/>
              </w:rPr>
            </w:pPr>
            <w:r w:rsidRPr="00FB1C94">
              <w:rPr>
                <w:rFonts w:ascii="Arial" w:hAnsi="Arial" w:cs="Arial"/>
                <w:sz w:val="20"/>
              </w:rPr>
              <w:t>20</w:t>
            </w:r>
            <w:r w:rsidRPr="00FB1C94">
              <w:rPr>
                <w:rFonts w:ascii="Arial" w:hAnsi="Arial" w:cs="Arial"/>
                <w:sz w:val="20"/>
              </w:rPr>
              <w:br/>
              <w:t>(-4 to 38)</w:t>
            </w:r>
            <w:r w:rsidRPr="00FB1C94">
              <w:rPr>
                <w:rFonts w:ascii="Arial" w:hAnsi="Arial" w:cs="Arial"/>
                <w:sz w:val="20"/>
                <w:vertAlign w:val="superscript"/>
              </w:rPr>
              <w:t xml:space="preserve"> c</w:t>
            </w:r>
          </w:p>
        </w:tc>
        <w:tc>
          <w:tcPr>
            <w:tcW w:w="1607" w:type="dxa"/>
          </w:tcPr>
          <w:p w:rsidR="00D07770" w:rsidRPr="00FB1C94" w:rsidRDefault="00D07770" w:rsidP="00FB1C94">
            <w:pPr>
              <w:jc w:val="center"/>
              <w:rPr>
                <w:rFonts w:ascii="Arial" w:hAnsi="Arial" w:cs="Arial"/>
                <w:sz w:val="20"/>
              </w:rPr>
            </w:pPr>
            <w:r w:rsidRPr="00FB1C94">
              <w:rPr>
                <w:rFonts w:ascii="Arial" w:hAnsi="Arial" w:cs="Arial"/>
                <w:sz w:val="20"/>
              </w:rPr>
              <w:t>0.096</w:t>
            </w:r>
            <w:r w:rsidRPr="00FB1C94">
              <w:rPr>
                <w:rFonts w:ascii="Arial" w:hAnsi="Arial" w:cs="Arial"/>
                <w:sz w:val="20"/>
                <w:vertAlign w:val="superscript"/>
              </w:rPr>
              <w:t xml:space="preserve"> c</w:t>
            </w:r>
          </w:p>
        </w:tc>
      </w:tr>
      <w:tr w:rsidR="00D07770" w:rsidRPr="006F35CE" w:rsidTr="009E24D3">
        <w:tc>
          <w:tcPr>
            <w:tcW w:w="1465" w:type="dxa"/>
            <w:vMerge w:val="restart"/>
            <w:shd w:val="clear" w:color="auto" w:fill="auto"/>
          </w:tcPr>
          <w:p w:rsidR="00D07770" w:rsidRPr="009E24D3" w:rsidRDefault="00D07770" w:rsidP="009E24D3">
            <w:pPr>
              <w:jc w:val="left"/>
              <w:rPr>
                <w:rFonts w:ascii="Arial" w:hAnsi="Arial" w:cs="Arial"/>
                <w:sz w:val="20"/>
              </w:rPr>
            </w:pPr>
            <w:r w:rsidRPr="009E24D3">
              <w:rPr>
                <w:rFonts w:ascii="Arial" w:hAnsi="Arial" w:cs="Arial"/>
                <w:sz w:val="20"/>
              </w:rPr>
              <w:t xml:space="preserve">1-year </w:t>
            </w:r>
            <w:proofErr w:type="spellStart"/>
            <w:r w:rsidRPr="009E24D3">
              <w:rPr>
                <w:rFonts w:ascii="Arial" w:hAnsi="Arial" w:cs="Arial"/>
                <w:sz w:val="20"/>
              </w:rPr>
              <w:t>Ph</w:t>
            </w:r>
            <w:proofErr w:type="spellEnd"/>
            <w:r w:rsidRPr="009E24D3">
              <w:rPr>
                <w:rFonts w:ascii="Arial" w:hAnsi="Arial" w:cs="Arial"/>
                <w:sz w:val="20"/>
              </w:rPr>
              <w:t xml:space="preserve"> </w:t>
            </w:r>
            <w:proofErr w:type="spellStart"/>
            <w:r w:rsidRPr="009E24D3">
              <w:rPr>
                <w:rFonts w:ascii="Arial" w:hAnsi="Arial" w:cs="Arial"/>
                <w:sz w:val="20"/>
              </w:rPr>
              <w:t>IIIb</w:t>
            </w:r>
            <w:proofErr w:type="spellEnd"/>
            <w:r w:rsidRPr="009E24D3">
              <w:rPr>
                <w:rFonts w:ascii="Arial" w:hAnsi="Arial" w:cs="Arial"/>
                <w:sz w:val="20"/>
              </w:rPr>
              <w:t xml:space="preserve"> exacerbation study </w:t>
            </w:r>
            <w:r w:rsidRPr="009E24D3">
              <w:rPr>
                <w:rFonts w:ascii="Arial" w:hAnsi="Arial" w:cs="Arial"/>
                <w:sz w:val="20"/>
              </w:rPr>
              <w:br/>
            </w:r>
            <w:r w:rsidRPr="009E24D3">
              <w:rPr>
                <w:rFonts w:ascii="Arial" w:hAnsi="Arial" w:cs="Arial"/>
                <w:sz w:val="20"/>
              </w:rPr>
              <w:br/>
              <w:t>(1939, 1953)</w:t>
            </w:r>
          </w:p>
        </w:tc>
        <w:tc>
          <w:tcPr>
            <w:tcW w:w="1935" w:type="dxa"/>
          </w:tcPr>
          <w:p w:rsidR="00D07770" w:rsidRPr="009E24D3" w:rsidRDefault="00D07770" w:rsidP="009E24D3">
            <w:pPr>
              <w:jc w:val="left"/>
              <w:rPr>
                <w:rFonts w:ascii="Arial" w:hAnsi="Arial" w:cs="Arial"/>
                <w:sz w:val="20"/>
              </w:rPr>
            </w:pPr>
            <w:r w:rsidRPr="009E24D3">
              <w:rPr>
                <w:rFonts w:ascii="Arial" w:hAnsi="Arial" w:cs="Arial"/>
                <w:sz w:val="20"/>
              </w:rPr>
              <w:t>Days to first COPD exacerbation</w:t>
            </w:r>
          </w:p>
        </w:tc>
        <w:tc>
          <w:tcPr>
            <w:tcW w:w="1391" w:type="dxa"/>
          </w:tcPr>
          <w:p w:rsidR="00D07770" w:rsidRPr="009E24D3" w:rsidRDefault="00D07770" w:rsidP="009E24D3">
            <w:pPr>
              <w:jc w:val="center"/>
              <w:rPr>
                <w:rFonts w:ascii="Arial" w:hAnsi="Arial" w:cs="Arial"/>
                <w:sz w:val="20"/>
              </w:rPr>
            </w:pPr>
            <w:r w:rsidRPr="009E24D3">
              <w:rPr>
                <w:rFonts w:ascii="Arial" w:hAnsi="Arial" w:cs="Arial"/>
                <w:sz w:val="20"/>
              </w:rPr>
              <w:t>169</w:t>
            </w:r>
            <w:r w:rsidRPr="009E24D3">
              <w:rPr>
                <w:rFonts w:ascii="Arial" w:hAnsi="Arial" w:cs="Arial"/>
                <w:sz w:val="20"/>
                <w:vertAlign w:val="superscript"/>
              </w:rPr>
              <w:t>a</w:t>
            </w:r>
          </w:p>
        </w:tc>
        <w:tc>
          <w:tcPr>
            <w:tcW w:w="1391" w:type="dxa"/>
          </w:tcPr>
          <w:p w:rsidR="00D07770" w:rsidRPr="009E24D3" w:rsidRDefault="00D07770" w:rsidP="009E24D3">
            <w:pPr>
              <w:jc w:val="center"/>
              <w:rPr>
                <w:rFonts w:ascii="Arial" w:hAnsi="Arial" w:cs="Arial"/>
                <w:sz w:val="20"/>
              </w:rPr>
            </w:pPr>
            <w:r w:rsidRPr="009E24D3">
              <w:rPr>
                <w:rFonts w:ascii="Arial" w:hAnsi="Arial" w:cs="Arial"/>
                <w:sz w:val="20"/>
              </w:rPr>
              <w:t>119</w:t>
            </w:r>
            <w:r w:rsidRPr="009E24D3">
              <w:rPr>
                <w:rFonts w:ascii="Arial" w:hAnsi="Arial" w:cs="Arial"/>
                <w:sz w:val="20"/>
                <w:vertAlign w:val="superscript"/>
              </w:rPr>
              <w:t>a</w:t>
            </w:r>
          </w:p>
        </w:tc>
        <w:tc>
          <w:tcPr>
            <w:tcW w:w="1331" w:type="dxa"/>
          </w:tcPr>
          <w:p w:rsidR="00D07770" w:rsidRPr="009E24D3" w:rsidRDefault="00D07770" w:rsidP="009E24D3">
            <w:pPr>
              <w:jc w:val="center"/>
              <w:rPr>
                <w:rFonts w:ascii="Arial" w:hAnsi="Arial" w:cs="Arial"/>
                <w:sz w:val="20"/>
              </w:rPr>
            </w:pPr>
            <w:r w:rsidRPr="009E24D3">
              <w:rPr>
                <w:rFonts w:ascii="Arial" w:hAnsi="Arial" w:cs="Arial"/>
                <w:sz w:val="20"/>
              </w:rPr>
              <w:t>31</w:t>
            </w:r>
            <w:r w:rsidRPr="009E24D3">
              <w:rPr>
                <w:rFonts w:ascii="Arial" w:hAnsi="Arial" w:cs="Arial"/>
                <w:sz w:val="20"/>
              </w:rPr>
              <w:br/>
              <w:t>(23 to 37)</w:t>
            </w:r>
            <w:r w:rsidRPr="009E24D3">
              <w:rPr>
                <w:rFonts w:ascii="Arial" w:hAnsi="Arial" w:cs="Arial"/>
                <w:sz w:val="20"/>
                <w:vertAlign w:val="superscript"/>
              </w:rPr>
              <w:t>b</w:t>
            </w:r>
          </w:p>
        </w:tc>
        <w:tc>
          <w:tcPr>
            <w:tcW w:w="1607" w:type="dxa"/>
          </w:tcPr>
          <w:p w:rsidR="00D07770" w:rsidRPr="009E24D3" w:rsidRDefault="00D07770" w:rsidP="009E24D3">
            <w:pPr>
              <w:jc w:val="center"/>
              <w:rPr>
                <w:rFonts w:ascii="Arial" w:hAnsi="Arial" w:cs="Arial"/>
                <w:sz w:val="20"/>
              </w:rPr>
            </w:pPr>
            <w:r w:rsidRPr="009E24D3">
              <w:rPr>
                <w:rFonts w:ascii="Arial" w:hAnsi="Arial" w:cs="Arial"/>
                <w:sz w:val="20"/>
              </w:rPr>
              <w:t>&lt;0.0001</w:t>
            </w:r>
            <w:r w:rsidRPr="009E24D3">
              <w:rPr>
                <w:rFonts w:ascii="Arial" w:hAnsi="Arial" w:cs="Arial"/>
                <w:sz w:val="20"/>
                <w:vertAlign w:val="superscript"/>
              </w:rPr>
              <w:t>b</w:t>
            </w:r>
          </w:p>
        </w:tc>
      </w:tr>
      <w:tr w:rsidR="00D07770" w:rsidRPr="006F35CE" w:rsidTr="009E24D3">
        <w:tc>
          <w:tcPr>
            <w:tcW w:w="1465" w:type="dxa"/>
            <w:vMerge/>
            <w:shd w:val="clear" w:color="auto" w:fill="auto"/>
          </w:tcPr>
          <w:p w:rsidR="00D07770" w:rsidRPr="00FB1C94" w:rsidRDefault="00D07770" w:rsidP="00FB1C94">
            <w:pPr>
              <w:rPr>
                <w:rFonts w:ascii="Arial" w:hAnsi="Arial" w:cs="Arial"/>
                <w:sz w:val="20"/>
              </w:rPr>
            </w:pPr>
          </w:p>
        </w:tc>
        <w:tc>
          <w:tcPr>
            <w:tcW w:w="1935" w:type="dxa"/>
          </w:tcPr>
          <w:p w:rsidR="00D07770" w:rsidRPr="00FB1C94" w:rsidRDefault="00D07770" w:rsidP="00FB1C94">
            <w:pPr>
              <w:jc w:val="left"/>
              <w:rPr>
                <w:rFonts w:ascii="Arial" w:hAnsi="Arial" w:cs="Arial"/>
                <w:sz w:val="20"/>
              </w:rPr>
            </w:pPr>
            <w:r w:rsidRPr="00FB1C94">
              <w:rPr>
                <w:rFonts w:ascii="Arial" w:hAnsi="Arial" w:cs="Arial"/>
                <w:sz w:val="20"/>
              </w:rPr>
              <w:t xml:space="preserve">Mean exacerbation </w:t>
            </w:r>
            <w:r w:rsidRPr="00FB1C94">
              <w:rPr>
                <w:rFonts w:ascii="Arial" w:hAnsi="Arial" w:cs="Arial"/>
                <w:sz w:val="20"/>
              </w:rPr>
              <w:br/>
              <w:t>incidence rate per patient year</w:t>
            </w:r>
          </w:p>
        </w:tc>
        <w:tc>
          <w:tcPr>
            <w:tcW w:w="1391" w:type="dxa"/>
          </w:tcPr>
          <w:p w:rsidR="00D07770" w:rsidRPr="00FB1C94" w:rsidRDefault="00D07770" w:rsidP="00FB1C94">
            <w:pPr>
              <w:jc w:val="center"/>
              <w:rPr>
                <w:rFonts w:ascii="Arial" w:hAnsi="Arial" w:cs="Arial"/>
                <w:sz w:val="20"/>
              </w:rPr>
            </w:pPr>
            <w:r w:rsidRPr="00FB1C94">
              <w:rPr>
                <w:rFonts w:ascii="Arial" w:hAnsi="Arial" w:cs="Arial"/>
                <w:sz w:val="20"/>
              </w:rPr>
              <w:t>0.69</w:t>
            </w:r>
            <w:r w:rsidRPr="00FB1C94">
              <w:rPr>
                <w:rFonts w:ascii="Arial" w:hAnsi="Arial" w:cs="Arial"/>
                <w:sz w:val="20"/>
                <w:vertAlign w:val="superscript"/>
              </w:rPr>
              <w:t>c</w:t>
            </w:r>
          </w:p>
        </w:tc>
        <w:tc>
          <w:tcPr>
            <w:tcW w:w="1391" w:type="dxa"/>
          </w:tcPr>
          <w:p w:rsidR="00D07770" w:rsidRPr="00FB1C94" w:rsidRDefault="00D07770" w:rsidP="00FB1C94">
            <w:pPr>
              <w:jc w:val="center"/>
              <w:rPr>
                <w:rFonts w:ascii="Arial" w:hAnsi="Arial" w:cs="Arial"/>
                <w:sz w:val="20"/>
              </w:rPr>
            </w:pPr>
            <w:r w:rsidRPr="00FB1C94">
              <w:rPr>
                <w:rFonts w:ascii="Arial" w:hAnsi="Arial" w:cs="Arial"/>
                <w:sz w:val="20"/>
              </w:rPr>
              <w:t>0.87</w:t>
            </w:r>
            <w:r w:rsidRPr="00FB1C94">
              <w:rPr>
                <w:rFonts w:ascii="Arial" w:hAnsi="Arial" w:cs="Arial"/>
                <w:sz w:val="20"/>
                <w:vertAlign w:val="superscript"/>
              </w:rPr>
              <w:t>c</w:t>
            </w:r>
          </w:p>
        </w:tc>
        <w:tc>
          <w:tcPr>
            <w:tcW w:w="1331" w:type="dxa"/>
          </w:tcPr>
          <w:p w:rsidR="00D07770" w:rsidRPr="00FB1C94" w:rsidRDefault="00D07770" w:rsidP="00FB1C94">
            <w:pPr>
              <w:jc w:val="center"/>
              <w:rPr>
                <w:rFonts w:ascii="Arial" w:hAnsi="Arial" w:cs="Arial"/>
                <w:sz w:val="20"/>
              </w:rPr>
            </w:pPr>
            <w:r w:rsidRPr="00FB1C94">
              <w:rPr>
                <w:rFonts w:ascii="Arial" w:hAnsi="Arial" w:cs="Arial"/>
                <w:sz w:val="20"/>
              </w:rPr>
              <w:t>21</w:t>
            </w:r>
            <w:r w:rsidRPr="00FB1C94">
              <w:rPr>
                <w:rFonts w:ascii="Arial" w:hAnsi="Arial" w:cs="Arial"/>
                <w:sz w:val="20"/>
              </w:rPr>
              <w:br/>
              <w:t>(13 to 28)</w:t>
            </w:r>
            <w:r w:rsidRPr="00FB1C94">
              <w:rPr>
                <w:rFonts w:ascii="Arial" w:hAnsi="Arial" w:cs="Arial"/>
                <w:sz w:val="20"/>
                <w:vertAlign w:val="superscript"/>
              </w:rPr>
              <w:t>c</w:t>
            </w:r>
          </w:p>
        </w:tc>
        <w:tc>
          <w:tcPr>
            <w:tcW w:w="1607" w:type="dxa"/>
          </w:tcPr>
          <w:p w:rsidR="00D07770" w:rsidRPr="00FB1C94" w:rsidRDefault="00D07770" w:rsidP="00FB1C94">
            <w:pPr>
              <w:jc w:val="center"/>
              <w:rPr>
                <w:rFonts w:ascii="Arial" w:hAnsi="Arial" w:cs="Arial"/>
                <w:sz w:val="20"/>
              </w:rPr>
            </w:pPr>
            <w:r w:rsidRPr="00FB1C94">
              <w:rPr>
                <w:rFonts w:ascii="Arial" w:hAnsi="Arial" w:cs="Arial"/>
                <w:sz w:val="20"/>
              </w:rPr>
              <w:t>&lt;0.0001</w:t>
            </w:r>
            <w:r w:rsidRPr="00FB1C94">
              <w:rPr>
                <w:rFonts w:ascii="Arial" w:hAnsi="Arial" w:cs="Arial"/>
                <w:sz w:val="20"/>
                <w:vertAlign w:val="superscript"/>
              </w:rPr>
              <w:t>c</w:t>
            </w:r>
          </w:p>
        </w:tc>
      </w:tr>
      <w:tr w:rsidR="00D07770" w:rsidRPr="006F35CE" w:rsidTr="009E24D3">
        <w:tc>
          <w:tcPr>
            <w:tcW w:w="1465" w:type="dxa"/>
            <w:vMerge/>
            <w:shd w:val="clear" w:color="auto" w:fill="auto"/>
          </w:tcPr>
          <w:p w:rsidR="00D07770" w:rsidRPr="00FB1C94" w:rsidRDefault="00D07770" w:rsidP="00FB1C94">
            <w:pPr>
              <w:rPr>
                <w:rFonts w:ascii="Arial" w:hAnsi="Arial" w:cs="Arial"/>
                <w:sz w:val="20"/>
              </w:rPr>
            </w:pPr>
          </w:p>
        </w:tc>
        <w:tc>
          <w:tcPr>
            <w:tcW w:w="1935" w:type="dxa"/>
          </w:tcPr>
          <w:p w:rsidR="00D07770" w:rsidRPr="00FB1C94" w:rsidRDefault="00D07770" w:rsidP="00FB1C94">
            <w:pPr>
              <w:jc w:val="left"/>
              <w:rPr>
                <w:rFonts w:ascii="Arial" w:hAnsi="Arial" w:cs="Arial"/>
                <w:sz w:val="20"/>
              </w:rPr>
            </w:pPr>
            <w:r w:rsidRPr="00FB1C94">
              <w:rPr>
                <w:rFonts w:ascii="Arial" w:hAnsi="Arial" w:cs="Arial"/>
                <w:sz w:val="20"/>
              </w:rPr>
              <w:t xml:space="preserve">Time to first </w:t>
            </w:r>
            <w:proofErr w:type="spellStart"/>
            <w:r w:rsidRPr="00FB1C94">
              <w:rPr>
                <w:rFonts w:ascii="Arial" w:hAnsi="Arial" w:cs="Arial"/>
                <w:sz w:val="20"/>
              </w:rPr>
              <w:lastRenderedPageBreak/>
              <w:t>hospitalised</w:t>
            </w:r>
            <w:proofErr w:type="spellEnd"/>
            <w:r w:rsidRPr="00FB1C94">
              <w:rPr>
                <w:rFonts w:ascii="Arial" w:hAnsi="Arial" w:cs="Arial"/>
                <w:sz w:val="20"/>
              </w:rPr>
              <w:t xml:space="preserve"> COPD exacerbation </w:t>
            </w:r>
          </w:p>
        </w:tc>
        <w:tc>
          <w:tcPr>
            <w:tcW w:w="1391" w:type="dxa"/>
          </w:tcPr>
          <w:p w:rsidR="00D07770" w:rsidRPr="00FB1C94" w:rsidRDefault="00D07770" w:rsidP="00FB1C94">
            <w:pPr>
              <w:jc w:val="center"/>
              <w:rPr>
                <w:rFonts w:ascii="Arial" w:hAnsi="Arial" w:cs="Arial"/>
                <w:sz w:val="20"/>
              </w:rPr>
            </w:pPr>
            <w:proofErr w:type="spellStart"/>
            <w:r w:rsidRPr="00FB1C94">
              <w:rPr>
                <w:rFonts w:ascii="Arial" w:hAnsi="Arial" w:cs="Arial"/>
                <w:sz w:val="20"/>
              </w:rPr>
              <w:lastRenderedPageBreak/>
              <w:t>NA</w:t>
            </w:r>
            <w:r w:rsidRPr="00FB1C94">
              <w:rPr>
                <w:rFonts w:ascii="Arial" w:hAnsi="Arial" w:cs="Arial"/>
                <w:sz w:val="20"/>
                <w:vertAlign w:val="superscript"/>
              </w:rPr>
              <w:t>e</w:t>
            </w:r>
            <w:proofErr w:type="spellEnd"/>
          </w:p>
        </w:tc>
        <w:tc>
          <w:tcPr>
            <w:tcW w:w="1391" w:type="dxa"/>
          </w:tcPr>
          <w:p w:rsidR="00D07770" w:rsidRPr="00FB1C94" w:rsidRDefault="00D07770" w:rsidP="00FB1C94">
            <w:pPr>
              <w:jc w:val="center"/>
              <w:rPr>
                <w:rFonts w:ascii="Arial" w:hAnsi="Arial" w:cs="Arial"/>
                <w:sz w:val="20"/>
              </w:rPr>
            </w:pPr>
            <w:proofErr w:type="spellStart"/>
            <w:r w:rsidRPr="00FB1C94">
              <w:rPr>
                <w:rFonts w:ascii="Arial" w:hAnsi="Arial" w:cs="Arial"/>
                <w:sz w:val="20"/>
              </w:rPr>
              <w:t>NA</w:t>
            </w:r>
            <w:r w:rsidRPr="00FB1C94">
              <w:rPr>
                <w:rFonts w:ascii="Arial" w:hAnsi="Arial" w:cs="Arial"/>
                <w:sz w:val="20"/>
                <w:vertAlign w:val="superscript"/>
              </w:rPr>
              <w:t>e</w:t>
            </w:r>
            <w:proofErr w:type="spellEnd"/>
          </w:p>
        </w:tc>
        <w:tc>
          <w:tcPr>
            <w:tcW w:w="1331" w:type="dxa"/>
          </w:tcPr>
          <w:p w:rsidR="00D07770" w:rsidRPr="00FB1C94" w:rsidRDefault="00D07770" w:rsidP="00FB1C94">
            <w:pPr>
              <w:jc w:val="center"/>
              <w:rPr>
                <w:rFonts w:ascii="Arial" w:hAnsi="Arial" w:cs="Arial"/>
                <w:sz w:val="20"/>
              </w:rPr>
            </w:pPr>
            <w:r w:rsidRPr="00FB1C94">
              <w:rPr>
                <w:rFonts w:ascii="Arial" w:hAnsi="Arial" w:cs="Arial"/>
                <w:sz w:val="20"/>
              </w:rPr>
              <w:t>27</w:t>
            </w:r>
            <w:r w:rsidRPr="00FB1C94">
              <w:rPr>
                <w:rFonts w:ascii="Arial" w:hAnsi="Arial" w:cs="Arial"/>
                <w:sz w:val="20"/>
              </w:rPr>
              <w:br/>
            </w:r>
            <w:r w:rsidRPr="00FB1C94">
              <w:rPr>
                <w:rFonts w:ascii="Arial" w:hAnsi="Arial" w:cs="Arial"/>
                <w:sz w:val="20"/>
              </w:rPr>
              <w:lastRenderedPageBreak/>
              <w:t>(10 to 41)</w:t>
            </w:r>
            <w:r w:rsidRPr="00FB1C94">
              <w:rPr>
                <w:rFonts w:ascii="Arial" w:hAnsi="Arial" w:cs="Arial"/>
                <w:sz w:val="20"/>
                <w:vertAlign w:val="superscript"/>
              </w:rPr>
              <w:t>b</w:t>
            </w:r>
          </w:p>
        </w:tc>
        <w:tc>
          <w:tcPr>
            <w:tcW w:w="1607" w:type="dxa"/>
          </w:tcPr>
          <w:p w:rsidR="00D07770" w:rsidRPr="00FB1C94" w:rsidRDefault="00D07770" w:rsidP="00FB1C94">
            <w:pPr>
              <w:jc w:val="center"/>
              <w:rPr>
                <w:rFonts w:ascii="Arial" w:hAnsi="Arial" w:cs="Arial"/>
                <w:sz w:val="20"/>
              </w:rPr>
            </w:pPr>
            <w:r w:rsidRPr="00FB1C94">
              <w:rPr>
                <w:rFonts w:ascii="Arial" w:hAnsi="Arial" w:cs="Arial"/>
                <w:sz w:val="20"/>
              </w:rPr>
              <w:lastRenderedPageBreak/>
              <w:t>0.003</w:t>
            </w:r>
            <w:r w:rsidRPr="00FB1C94">
              <w:rPr>
                <w:rFonts w:ascii="Arial" w:hAnsi="Arial" w:cs="Arial"/>
                <w:sz w:val="20"/>
                <w:vertAlign w:val="superscript"/>
              </w:rPr>
              <w:t>b</w:t>
            </w:r>
          </w:p>
        </w:tc>
      </w:tr>
      <w:tr w:rsidR="00D07770" w:rsidRPr="006F35CE" w:rsidTr="009E24D3">
        <w:tc>
          <w:tcPr>
            <w:tcW w:w="1465" w:type="dxa"/>
            <w:vMerge/>
            <w:shd w:val="clear" w:color="auto" w:fill="auto"/>
          </w:tcPr>
          <w:p w:rsidR="00D07770" w:rsidRPr="00FB1C94" w:rsidRDefault="00D07770" w:rsidP="00FB1C94">
            <w:pPr>
              <w:rPr>
                <w:rFonts w:ascii="Arial" w:hAnsi="Arial" w:cs="Arial"/>
                <w:sz w:val="20"/>
              </w:rPr>
            </w:pPr>
          </w:p>
        </w:tc>
        <w:tc>
          <w:tcPr>
            <w:tcW w:w="1935" w:type="dxa"/>
          </w:tcPr>
          <w:p w:rsidR="00D07770" w:rsidRPr="00FB1C94" w:rsidRDefault="00D07770" w:rsidP="00FB1C94">
            <w:pPr>
              <w:jc w:val="left"/>
              <w:rPr>
                <w:rFonts w:ascii="Arial" w:hAnsi="Arial" w:cs="Arial"/>
                <w:sz w:val="20"/>
              </w:rPr>
            </w:pPr>
            <w:r w:rsidRPr="00FB1C94">
              <w:rPr>
                <w:rFonts w:ascii="Arial" w:hAnsi="Arial" w:cs="Arial"/>
                <w:sz w:val="20"/>
              </w:rPr>
              <w:t xml:space="preserve">Mean </w:t>
            </w:r>
            <w:proofErr w:type="spellStart"/>
            <w:r w:rsidRPr="00FB1C94">
              <w:rPr>
                <w:rFonts w:ascii="Arial" w:hAnsi="Arial" w:cs="Arial"/>
                <w:sz w:val="20"/>
              </w:rPr>
              <w:t>hospitalised</w:t>
            </w:r>
            <w:proofErr w:type="spellEnd"/>
            <w:r w:rsidRPr="00FB1C94">
              <w:rPr>
                <w:rFonts w:ascii="Arial" w:hAnsi="Arial" w:cs="Arial"/>
                <w:sz w:val="20"/>
              </w:rPr>
              <w:t xml:space="preserve"> exacerbation incidence rate per patient year</w:t>
            </w:r>
          </w:p>
        </w:tc>
        <w:tc>
          <w:tcPr>
            <w:tcW w:w="1391" w:type="dxa"/>
          </w:tcPr>
          <w:p w:rsidR="00D07770" w:rsidRPr="00FB1C94" w:rsidRDefault="00D07770" w:rsidP="00FB1C94">
            <w:pPr>
              <w:jc w:val="center"/>
              <w:rPr>
                <w:rFonts w:ascii="Arial" w:hAnsi="Arial" w:cs="Arial"/>
                <w:sz w:val="20"/>
              </w:rPr>
            </w:pPr>
            <w:r w:rsidRPr="00FB1C94">
              <w:rPr>
                <w:rFonts w:ascii="Arial" w:hAnsi="Arial" w:cs="Arial"/>
                <w:sz w:val="20"/>
              </w:rPr>
              <w:t>0.12</w:t>
            </w:r>
            <w:r w:rsidRPr="00FB1C94">
              <w:rPr>
                <w:rFonts w:ascii="Arial" w:hAnsi="Arial" w:cs="Arial"/>
                <w:sz w:val="20"/>
                <w:vertAlign w:val="superscript"/>
              </w:rPr>
              <w:t>c</w:t>
            </w:r>
          </w:p>
        </w:tc>
        <w:tc>
          <w:tcPr>
            <w:tcW w:w="1391" w:type="dxa"/>
          </w:tcPr>
          <w:p w:rsidR="00D07770" w:rsidRPr="00FB1C94" w:rsidRDefault="00D07770" w:rsidP="00FB1C94">
            <w:pPr>
              <w:jc w:val="center"/>
              <w:rPr>
                <w:rFonts w:ascii="Arial" w:hAnsi="Arial" w:cs="Arial"/>
                <w:sz w:val="20"/>
              </w:rPr>
            </w:pPr>
            <w:r w:rsidRPr="00FB1C94">
              <w:rPr>
                <w:rFonts w:ascii="Arial" w:hAnsi="Arial" w:cs="Arial"/>
                <w:sz w:val="20"/>
              </w:rPr>
              <w:t>0.15</w:t>
            </w:r>
            <w:r w:rsidRPr="00FB1C94">
              <w:rPr>
                <w:rFonts w:ascii="Arial" w:hAnsi="Arial" w:cs="Arial"/>
                <w:sz w:val="20"/>
                <w:vertAlign w:val="superscript"/>
              </w:rPr>
              <w:t>c</w:t>
            </w:r>
          </w:p>
        </w:tc>
        <w:tc>
          <w:tcPr>
            <w:tcW w:w="1331" w:type="dxa"/>
          </w:tcPr>
          <w:p w:rsidR="00D07770" w:rsidRPr="00FB1C94" w:rsidRDefault="00D07770" w:rsidP="00FB1C94">
            <w:pPr>
              <w:jc w:val="center"/>
              <w:rPr>
                <w:rFonts w:ascii="Arial" w:hAnsi="Arial" w:cs="Arial"/>
                <w:sz w:val="20"/>
              </w:rPr>
            </w:pPr>
            <w:r w:rsidRPr="00FB1C94">
              <w:rPr>
                <w:rFonts w:ascii="Arial" w:hAnsi="Arial" w:cs="Arial"/>
                <w:sz w:val="20"/>
              </w:rPr>
              <w:t>19</w:t>
            </w:r>
            <w:r w:rsidRPr="00FB1C94">
              <w:rPr>
                <w:rFonts w:ascii="Arial" w:hAnsi="Arial" w:cs="Arial"/>
                <w:sz w:val="20"/>
              </w:rPr>
              <w:br/>
              <w:t>(7 to 30)</w:t>
            </w:r>
            <w:r w:rsidRPr="00FB1C94">
              <w:rPr>
                <w:rFonts w:ascii="Arial" w:hAnsi="Arial" w:cs="Arial"/>
                <w:sz w:val="20"/>
                <w:vertAlign w:val="superscript"/>
              </w:rPr>
              <w:t>c</w:t>
            </w:r>
          </w:p>
        </w:tc>
        <w:tc>
          <w:tcPr>
            <w:tcW w:w="1607" w:type="dxa"/>
          </w:tcPr>
          <w:p w:rsidR="00D07770" w:rsidRPr="00FB1C94" w:rsidRDefault="00D07770" w:rsidP="00FB1C94">
            <w:pPr>
              <w:jc w:val="center"/>
              <w:rPr>
                <w:rFonts w:ascii="Arial" w:hAnsi="Arial" w:cs="Arial"/>
                <w:sz w:val="20"/>
              </w:rPr>
            </w:pPr>
            <w:r w:rsidRPr="00FB1C94">
              <w:rPr>
                <w:rFonts w:ascii="Arial" w:hAnsi="Arial" w:cs="Arial"/>
                <w:sz w:val="20"/>
              </w:rPr>
              <w:t>0.004</w:t>
            </w:r>
            <w:r w:rsidRPr="00FB1C94">
              <w:rPr>
                <w:rFonts w:ascii="Arial" w:hAnsi="Arial" w:cs="Arial"/>
                <w:sz w:val="20"/>
                <w:vertAlign w:val="superscript"/>
              </w:rPr>
              <w:t>c</w:t>
            </w:r>
          </w:p>
        </w:tc>
      </w:tr>
    </w:tbl>
    <w:p w:rsidR="00D07770" w:rsidRPr="009E24D3" w:rsidRDefault="00D07770" w:rsidP="009E24D3">
      <w:pPr>
        <w:jc w:val="left"/>
        <w:rPr>
          <w:rFonts w:ascii="Arial" w:hAnsi="Arial" w:cs="Arial"/>
          <w:sz w:val="20"/>
        </w:rPr>
      </w:pPr>
      <w:r w:rsidRPr="009E24D3">
        <w:rPr>
          <w:rFonts w:ascii="Arial" w:hAnsi="Arial" w:cs="Arial"/>
          <w:sz w:val="22"/>
          <w:szCs w:val="22"/>
          <w:vertAlign w:val="superscript"/>
        </w:rPr>
        <w:t>a</w:t>
      </w:r>
      <w:r w:rsidRPr="009E24D3">
        <w:rPr>
          <w:rFonts w:ascii="Arial" w:hAnsi="Arial" w:cs="Arial"/>
          <w:sz w:val="22"/>
          <w:szCs w:val="22"/>
        </w:rPr>
        <w:t xml:space="preserve"> </w:t>
      </w:r>
      <w:r w:rsidRPr="009E24D3">
        <w:rPr>
          <w:rFonts w:ascii="Arial" w:hAnsi="Arial" w:cs="Arial"/>
          <w:sz w:val="20"/>
        </w:rPr>
        <w:t xml:space="preserve">Time to first event: days on treatment by when 25% of patients had at least one exacerbation of COPD / hospitalized COPD exacerbation. </w:t>
      </w:r>
      <w:r w:rsidRPr="009E24D3">
        <w:rPr>
          <w:rFonts w:ascii="Arial" w:hAnsi="Arial" w:cs="Arial"/>
          <w:i/>
          <w:iCs/>
          <w:sz w:val="20"/>
        </w:rPr>
        <w:t xml:space="preserve">In study A 25% of placebo patients had an exacerbation by day 112, whereas for </w:t>
      </w:r>
      <w:r w:rsidR="00CE1427">
        <w:rPr>
          <w:rFonts w:ascii="Arial" w:hAnsi="Arial" w:cs="Arial"/>
          <w:i/>
          <w:iCs/>
          <w:sz w:val="20"/>
        </w:rPr>
        <w:t>FAVINT</w:t>
      </w:r>
      <w:r w:rsidRPr="009E24D3">
        <w:rPr>
          <w:rFonts w:ascii="Arial" w:hAnsi="Arial" w:cs="Arial"/>
          <w:i/>
          <w:iCs/>
          <w:sz w:val="20"/>
        </w:rPr>
        <w:t xml:space="preserve"> </w:t>
      </w:r>
      <w:r w:rsidR="00FD1562">
        <w:rPr>
          <w:rFonts w:ascii="Arial" w:hAnsi="Arial" w:cs="Arial"/>
          <w:i/>
          <w:iCs/>
          <w:sz w:val="20"/>
        </w:rPr>
        <w:t>RESPIMAT</w:t>
      </w:r>
      <w:r w:rsidRPr="009E24D3">
        <w:rPr>
          <w:rFonts w:ascii="Arial" w:hAnsi="Arial" w:cs="Arial"/>
          <w:i/>
          <w:iCs/>
          <w:sz w:val="20"/>
        </w:rPr>
        <w:t xml:space="preserve"> 25% had an exacerbation by day 173 ( p=0.09);in  study B  25% of placebo patients had an exacerbation by day 74, whereas for </w:t>
      </w:r>
      <w:r w:rsidR="00CE1427">
        <w:rPr>
          <w:rFonts w:ascii="Arial" w:hAnsi="Arial" w:cs="Arial"/>
          <w:i/>
          <w:iCs/>
          <w:sz w:val="20"/>
        </w:rPr>
        <w:t>FAVINT</w:t>
      </w:r>
      <w:r w:rsidRPr="009E24D3">
        <w:rPr>
          <w:rFonts w:ascii="Arial" w:hAnsi="Arial" w:cs="Arial"/>
          <w:i/>
          <w:iCs/>
          <w:sz w:val="20"/>
        </w:rPr>
        <w:t xml:space="preserve"> </w:t>
      </w:r>
      <w:r w:rsidR="00FD1562">
        <w:rPr>
          <w:rFonts w:ascii="Arial" w:hAnsi="Arial" w:cs="Arial"/>
          <w:i/>
          <w:iCs/>
          <w:sz w:val="20"/>
        </w:rPr>
        <w:t>RESPIMAT</w:t>
      </w:r>
      <w:r w:rsidRPr="009E24D3">
        <w:rPr>
          <w:rFonts w:ascii="Arial" w:hAnsi="Arial" w:cs="Arial"/>
          <w:i/>
          <w:iCs/>
          <w:sz w:val="20"/>
        </w:rPr>
        <w:t xml:space="preserve"> 25% had an exacerbation by day 149 (p&lt;0.0001).</w:t>
      </w:r>
    </w:p>
    <w:p w:rsidR="00D07770" w:rsidRPr="009E24D3" w:rsidRDefault="00D07770" w:rsidP="009E24D3">
      <w:pPr>
        <w:jc w:val="left"/>
        <w:rPr>
          <w:rFonts w:ascii="Arial" w:hAnsi="Arial" w:cs="Arial"/>
          <w:sz w:val="20"/>
        </w:rPr>
      </w:pPr>
      <w:r w:rsidRPr="009E24D3">
        <w:rPr>
          <w:rFonts w:ascii="Arial" w:hAnsi="Arial" w:cs="Arial"/>
          <w:sz w:val="20"/>
          <w:vertAlign w:val="superscript"/>
        </w:rPr>
        <w:t xml:space="preserve">b </w:t>
      </w:r>
      <w:r w:rsidRPr="009E24D3">
        <w:rPr>
          <w:rFonts w:ascii="Arial" w:hAnsi="Arial" w:cs="Arial"/>
          <w:sz w:val="20"/>
        </w:rPr>
        <w:t>Hazard ratios were estimated from a Cox proportional hazard model.  The percentage risk reduction is 100(1 - hazard ratio).</w:t>
      </w:r>
    </w:p>
    <w:p w:rsidR="00D07770" w:rsidRPr="009E24D3" w:rsidRDefault="00D07770" w:rsidP="009E24D3">
      <w:pPr>
        <w:jc w:val="left"/>
        <w:rPr>
          <w:rFonts w:ascii="Arial" w:hAnsi="Arial" w:cs="Arial"/>
          <w:sz w:val="20"/>
        </w:rPr>
      </w:pPr>
      <w:r w:rsidRPr="009E24D3">
        <w:rPr>
          <w:rFonts w:ascii="Arial" w:hAnsi="Arial" w:cs="Arial"/>
          <w:sz w:val="20"/>
          <w:vertAlign w:val="superscript"/>
        </w:rPr>
        <w:t>c</w:t>
      </w:r>
      <w:r w:rsidRPr="009E24D3">
        <w:rPr>
          <w:rFonts w:ascii="Arial" w:hAnsi="Arial" w:cs="Arial"/>
          <w:sz w:val="20"/>
        </w:rPr>
        <w:t xml:space="preserve"> Poisson regression.  Risk reduction is 100(1 - rate ratio).</w:t>
      </w:r>
    </w:p>
    <w:p w:rsidR="00D07770" w:rsidRPr="009E24D3" w:rsidRDefault="00D07770" w:rsidP="009E24D3">
      <w:pPr>
        <w:jc w:val="left"/>
        <w:rPr>
          <w:rFonts w:ascii="Arial" w:hAnsi="Arial" w:cs="Arial"/>
          <w:sz w:val="20"/>
        </w:rPr>
      </w:pPr>
      <w:r w:rsidRPr="009E24D3">
        <w:rPr>
          <w:rFonts w:ascii="Arial" w:hAnsi="Arial" w:cs="Arial"/>
          <w:sz w:val="20"/>
          <w:vertAlign w:val="superscript"/>
        </w:rPr>
        <w:t xml:space="preserve">d </w:t>
      </w:r>
      <w:r w:rsidRPr="009E24D3">
        <w:rPr>
          <w:rFonts w:ascii="Arial" w:hAnsi="Arial" w:cs="Arial"/>
          <w:sz w:val="20"/>
        </w:rPr>
        <w:t>Pooling was specified when the studies were designed.  The exacerbation endpoints were significantly improved in individual analyses of the two one year studies.</w:t>
      </w:r>
    </w:p>
    <w:p w:rsidR="00D07770" w:rsidRDefault="00D07770" w:rsidP="009E24D3">
      <w:pPr>
        <w:jc w:val="left"/>
        <w:rPr>
          <w:rFonts w:ascii="Arial" w:hAnsi="Arial" w:cs="Arial"/>
          <w:sz w:val="20"/>
        </w:rPr>
      </w:pPr>
      <w:r w:rsidRPr="009E24D3">
        <w:rPr>
          <w:rFonts w:ascii="Arial" w:hAnsi="Arial" w:cs="Arial"/>
          <w:sz w:val="20"/>
          <w:vertAlign w:val="superscript"/>
        </w:rPr>
        <w:t>e</w:t>
      </w:r>
      <w:r w:rsidR="00252348">
        <w:rPr>
          <w:rFonts w:ascii="Arial" w:hAnsi="Arial" w:cs="Arial"/>
          <w:sz w:val="20"/>
          <w:vertAlign w:val="superscript"/>
        </w:rPr>
        <w:t xml:space="preserve"> </w:t>
      </w:r>
      <w:r w:rsidRPr="009E24D3">
        <w:rPr>
          <w:rFonts w:ascii="Arial" w:hAnsi="Arial" w:cs="Arial"/>
          <w:sz w:val="20"/>
        </w:rPr>
        <w:t xml:space="preserve">Less than 25% of patients had a COPD exacerbation leading to </w:t>
      </w:r>
      <w:r w:rsidR="00A86D4E">
        <w:rPr>
          <w:rFonts w:ascii="Arial" w:hAnsi="Arial" w:cs="Arial"/>
          <w:sz w:val="20"/>
        </w:rPr>
        <w:t>hospitalization</w:t>
      </w:r>
    </w:p>
    <w:p w:rsidR="00A86D4E" w:rsidRPr="009E24D3" w:rsidRDefault="00A86D4E" w:rsidP="001120CC">
      <w:pPr>
        <w:pStyle w:val="TextPI"/>
        <w:keepNext/>
        <w:spacing w:line="240" w:lineRule="auto"/>
        <w:rPr>
          <w:u w:val="single"/>
        </w:rPr>
      </w:pPr>
      <w:r w:rsidRPr="009E24D3">
        <w:rPr>
          <w:u w:val="single"/>
        </w:rPr>
        <w:t xml:space="preserve">Long-term tiotropium active- controlled study </w:t>
      </w:r>
    </w:p>
    <w:p w:rsidR="00A86D4E" w:rsidRPr="009E24D3" w:rsidRDefault="00A86D4E" w:rsidP="00865FA8">
      <w:pPr>
        <w:pStyle w:val="TextPI"/>
        <w:spacing w:line="240" w:lineRule="auto"/>
      </w:pPr>
      <w:r w:rsidRPr="009E24D3">
        <w:t>A long term, large scale, randomised, double-blind, active-controlled study with a</w:t>
      </w:r>
      <w:r w:rsidR="008C2E62">
        <w:t>n</w:t>
      </w:r>
      <w:r w:rsidRPr="009E24D3">
        <w:t xml:space="preserve"> </w:t>
      </w:r>
      <w:r w:rsidR="008C2E62">
        <w:t>observation</w:t>
      </w:r>
      <w:r w:rsidRPr="009E24D3">
        <w:t xml:space="preserve"> period up to 3 years has been performed to compare the efficacy and safety of </w:t>
      </w:r>
      <w:r w:rsidR="00CE1427">
        <w:t>FAVINT</w:t>
      </w:r>
      <w:r w:rsidRPr="00A86D4E">
        <w:t xml:space="preserve"> </w:t>
      </w:r>
      <w:r w:rsidR="00FD1562">
        <w:t>RESPIMAT</w:t>
      </w:r>
      <w:r w:rsidRPr="009E24D3">
        <w:t xml:space="preserve"> and </w:t>
      </w:r>
      <w:r w:rsidR="00CE1427">
        <w:t>FAVINT</w:t>
      </w:r>
      <w:r w:rsidRPr="009E24D3">
        <w:t xml:space="preserve"> </w:t>
      </w:r>
      <w:r w:rsidR="0034202B">
        <w:t>HandiHaler</w:t>
      </w:r>
      <w:r w:rsidRPr="009E24D3">
        <w:t xml:space="preserve"> (</w:t>
      </w:r>
      <w:r w:rsidRPr="001120CC">
        <w:t xml:space="preserve">5,711 patients receiving </w:t>
      </w:r>
      <w:r w:rsidR="00CE1427" w:rsidRPr="001120CC">
        <w:t>FAVINT</w:t>
      </w:r>
      <w:r w:rsidRPr="001120CC">
        <w:t xml:space="preserve"> </w:t>
      </w:r>
      <w:r w:rsidR="00FD1562" w:rsidRPr="001120CC">
        <w:t>RESPIMAT</w:t>
      </w:r>
      <w:r w:rsidRPr="001120CC">
        <w:t xml:space="preserve"> 2.5 microgram (</w:t>
      </w:r>
      <w:r w:rsidR="009525E8" w:rsidRPr="001120CC">
        <w:t xml:space="preserve">2 </w:t>
      </w:r>
      <w:r w:rsidR="008C2E62">
        <w:t>puffs comprise one medicinal dose of</w:t>
      </w:r>
      <w:r w:rsidR="009525E8" w:rsidRPr="001120CC">
        <w:t xml:space="preserve"> </w:t>
      </w:r>
      <w:r w:rsidRPr="001120CC">
        <w:t>5 microgram</w:t>
      </w:r>
      <w:r w:rsidR="008C2E62">
        <w:t>s</w:t>
      </w:r>
      <w:r w:rsidRPr="001120CC">
        <w:t xml:space="preserve">); 5,694 patients receiving </w:t>
      </w:r>
      <w:r w:rsidR="00CE1427" w:rsidRPr="001120CC">
        <w:t>FAVINT</w:t>
      </w:r>
      <w:r w:rsidRPr="001120CC">
        <w:t xml:space="preserve"> </w:t>
      </w:r>
      <w:r w:rsidR="0034202B" w:rsidRPr="001120CC">
        <w:t>HandiHaler</w:t>
      </w:r>
      <w:r w:rsidRPr="001120CC">
        <w:t>). The primary endpoints were time to first COPD exacerbation, time to all-cause mortality and in a sub-study (906 patients)</w:t>
      </w:r>
      <w:r w:rsidRPr="009E24D3">
        <w:t xml:space="preserve"> trough FEV1 (pre-dose).</w:t>
      </w:r>
    </w:p>
    <w:p w:rsidR="00A86D4E" w:rsidRPr="00C91456" w:rsidRDefault="00A86D4E" w:rsidP="009E24D3">
      <w:pPr>
        <w:pStyle w:val="TextPI"/>
        <w:spacing w:line="240" w:lineRule="auto"/>
      </w:pPr>
      <w:r w:rsidRPr="009E24D3">
        <w:t xml:space="preserve">The time to first COPD exacerbation was similar during the study with </w:t>
      </w:r>
      <w:r w:rsidR="00CE1427">
        <w:t>FAVINT</w:t>
      </w:r>
      <w:r w:rsidRPr="009E24D3">
        <w:t xml:space="preserve"> </w:t>
      </w:r>
      <w:r w:rsidR="00FD1562">
        <w:t>RESPIMAT</w:t>
      </w:r>
      <w:r w:rsidRPr="00A86D4E">
        <w:t xml:space="preserve"> </w:t>
      </w:r>
      <w:r w:rsidRPr="00C91456">
        <w:t xml:space="preserve">and </w:t>
      </w:r>
      <w:r w:rsidR="00CE1427">
        <w:t>FAVINT</w:t>
      </w:r>
      <w:r w:rsidRPr="00C91456">
        <w:t xml:space="preserve"> </w:t>
      </w:r>
      <w:r w:rsidR="0034202B">
        <w:t>HandiHaler</w:t>
      </w:r>
      <w:r w:rsidRPr="00C91456">
        <w:t xml:space="preserve"> (hazard ratio (</w:t>
      </w:r>
      <w:r w:rsidR="00CE1427">
        <w:t>FAVINT</w:t>
      </w:r>
      <w:r w:rsidRPr="00C91456">
        <w:t xml:space="preserve"> </w:t>
      </w:r>
      <w:r w:rsidR="00FD1562">
        <w:t>RESPIMAT</w:t>
      </w:r>
      <w:r w:rsidRPr="00C91456">
        <w:t xml:space="preserve"> / </w:t>
      </w:r>
      <w:r w:rsidR="00CE1427">
        <w:t>FAVINT</w:t>
      </w:r>
      <w:r w:rsidRPr="00C91456">
        <w:t xml:space="preserve"> </w:t>
      </w:r>
      <w:r w:rsidR="0034202B">
        <w:t>HandiHaler</w:t>
      </w:r>
      <w:r w:rsidRPr="00C91456">
        <w:t>) 0.98 with a 95% CI of 0.93 to 1.03).</w:t>
      </w:r>
    </w:p>
    <w:p w:rsidR="00A86D4E" w:rsidRPr="00C91456" w:rsidRDefault="00A86D4E" w:rsidP="009E24D3">
      <w:pPr>
        <w:pStyle w:val="TextPI"/>
        <w:spacing w:line="240" w:lineRule="auto"/>
      </w:pPr>
      <w:r w:rsidRPr="00C91456">
        <w:t xml:space="preserve">The median number of days to the first COPD exacerbation was 756 days for </w:t>
      </w:r>
      <w:r w:rsidR="00CE1427">
        <w:t>FAVINT</w:t>
      </w:r>
      <w:r w:rsidRPr="00C91456">
        <w:t xml:space="preserve"> </w:t>
      </w:r>
      <w:r w:rsidR="00FD1562">
        <w:t>RESPIMAT</w:t>
      </w:r>
      <w:r w:rsidRPr="00A86D4E">
        <w:t xml:space="preserve"> </w:t>
      </w:r>
      <w:r w:rsidRPr="00C91456">
        <w:t xml:space="preserve">and 719 days for </w:t>
      </w:r>
      <w:r w:rsidR="00CE1427">
        <w:t>FAVINT</w:t>
      </w:r>
      <w:r w:rsidRPr="00C91456">
        <w:t xml:space="preserve"> </w:t>
      </w:r>
      <w:r w:rsidR="003A0F82">
        <w:t>HandiHaler</w:t>
      </w:r>
    </w:p>
    <w:p w:rsidR="00A86D4E" w:rsidRPr="00C91456" w:rsidRDefault="00A86D4E" w:rsidP="009E24D3">
      <w:pPr>
        <w:pStyle w:val="TextPI"/>
        <w:spacing w:line="240" w:lineRule="auto"/>
      </w:pPr>
      <w:r w:rsidRPr="00C91456">
        <w:t xml:space="preserve">The bronchodilator effect of </w:t>
      </w:r>
      <w:r w:rsidR="00CE1427">
        <w:t>FAVINT</w:t>
      </w:r>
      <w:r w:rsidRPr="00C91456">
        <w:t xml:space="preserve"> </w:t>
      </w:r>
      <w:r w:rsidR="00FD1562">
        <w:t>RESPIMAT</w:t>
      </w:r>
      <w:r w:rsidRPr="00C91456">
        <w:t xml:space="preserve"> was sustained over 120 weeks, and was similar to </w:t>
      </w:r>
      <w:r w:rsidR="00CE1427">
        <w:t>FAVINT</w:t>
      </w:r>
      <w:r w:rsidRPr="00C91456">
        <w:t xml:space="preserve"> </w:t>
      </w:r>
      <w:r w:rsidR="003A0F82">
        <w:t>HandiHaler</w:t>
      </w:r>
      <w:r w:rsidRPr="00C91456">
        <w:t xml:space="preserve">. The mean difference in trough FEV1 for </w:t>
      </w:r>
      <w:r w:rsidR="00CE1427">
        <w:t>FAVINT</w:t>
      </w:r>
      <w:r w:rsidRPr="00C91456">
        <w:t xml:space="preserve"> </w:t>
      </w:r>
      <w:r w:rsidR="00FD1562">
        <w:t>RESPIMAT</w:t>
      </w:r>
      <w:r w:rsidRPr="00C91456">
        <w:t xml:space="preserve"> versus </w:t>
      </w:r>
      <w:r w:rsidR="00CE1427">
        <w:t>FAVINT</w:t>
      </w:r>
      <w:r w:rsidRPr="00C91456">
        <w:t xml:space="preserve"> </w:t>
      </w:r>
      <w:r w:rsidR="003A0F82">
        <w:t>HandiHaler</w:t>
      </w:r>
      <w:r w:rsidRPr="00C91456">
        <w:t xml:space="preserve"> was -0.010 L (95% CI -0.038 to 0.018 L).</w:t>
      </w:r>
    </w:p>
    <w:p w:rsidR="00A86D4E" w:rsidRPr="00C91456" w:rsidRDefault="00A86D4E" w:rsidP="009E24D3">
      <w:pPr>
        <w:pStyle w:val="TextPI"/>
        <w:spacing w:line="240" w:lineRule="auto"/>
      </w:pPr>
      <w:r w:rsidRPr="00C91456">
        <w:t xml:space="preserve">All-cause mortality was similar during the study with </w:t>
      </w:r>
      <w:r w:rsidR="00CE1427">
        <w:t>FAVINT</w:t>
      </w:r>
      <w:r w:rsidRPr="00C91456">
        <w:t xml:space="preserve"> </w:t>
      </w:r>
      <w:r w:rsidR="00FD1562">
        <w:t>RESPIMAT</w:t>
      </w:r>
      <w:r w:rsidRPr="00C91456">
        <w:t xml:space="preserve"> and </w:t>
      </w:r>
      <w:r w:rsidR="00CE1427">
        <w:t>FAVINT</w:t>
      </w:r>
      <w:r w:rsidRPr="00C91456">
        <w:t xml:space="preserve"> </w:t>
      </w:r>
      <w:r w:rsidR="003A0F82">
        <w:t>HandiHaler</w:t>
      </w:r>
      <w:r w:rsidRPr="00C91456">
        <w:t xml:space="preserve"> (hazard ratio (</w:t>
      </w:r>
      <w:r w:rsidR="00CE1427">
        <w:t>FAVINT</w:t>
      </w:r>
      <w:r w:rsidRPr="00C91456">
        <w:t xml:space="preserve"> </w:t>
      </w:r>
      <w:r w:rsidR="00FD1562">
        <w:t>RESPIMAT</w:t>
      </w:r>
      <w:r w:rsidRPr="00C91456">
        <w:t xml:space="preserve"> / </w:t>
      </w:r>
      <w:r w:rsidR="00CE1427">
        <w:t>FAVINT</w:t>
      </w:r>
      <w:r w:rsidRPr="00C91456">
        <w:t xml:space="preserve"> </w:t>
      </w:r>
      <w:r w:rsidR="003A0F82">
        <w:t>HandiHaler</w:t>
      </w:r>
      <w:r w:rsidRPr="00C91456">
        <w:t>) 0.96 with a 95% CI of 0.84 to 1.09).</w:t>
      </w:r>
    </w:p>
    <w:p w:rsidR="00380F61" w:rsidRPr="009E24D3" w:rsidRDefault="00380F61" w:rsidP="009E24D3">
      <w:pPr>
        <w:pStyle w:val="TextPI"/>
        <w:spacing w:line="240" w:lineRule="auto"/>
        <w:rPr>
          <w:b/>
          <w:bCs/>
        </w:rPr>
      </w:pPr>
      <w:r w:rsidRPr="009E24D3">
        <w:rPr>
          <w:b/>
          <w:bCs/>
        </w:rPr>
        <w:t>Asthma</w:t>
      </w:r>
    </w:p>
    <w:p w:rsidR="00FB7B4D" w:rsidRDefault="00FB7B4D" w:rsidP="009E24D3">
      <w:pPr>
        <w:pStyle w:val="TextPI"/>
        <w:spacing w:line="240" w:lineRule="auto"/>
      </w:pPr>
      <w:r w:rsidRPr="00221F0C">
        <w:t xml:space="preserve">The clinical Phase III program for persistent asthma included two </w:t>
      </w:r>
      <w:r>
        <w:t>48 week</w:t>
      </w:r>
      <w:r w:rsidRPr="00221F0C">
        <w:t xml:space="preserve"> randomised, double-blind, placebo-controlled studies in a total of 907 patients </w:t>
      </w:r>
      <w:r>
        <w:t xml:space="preserve">with </w:t>
      </w:r>
      <w:r w:rsidRPr="00221F0C">
        <w:t xml:space="preserve">asthma (453 receiving </w:t>
      </w:r>
      <w:r>
        <w:t>SPIRIVA RESPIMAT</w:t>
      </w:r>
      <w:r w:rsidRPr="00221F0C">
        <w:t>) on a combination of ICS (≥800 µg budesonide/day or equivalent) with a LABA. The studies included lung function measurements and severe exacerbations as primary endpoints</w:t>
      </w:r>
      <w:r w:rsidR="00E039E0">
        <w:t>.</w:t>
      </w:r>
    </w:p>
    <w:p w:rsidR="00380F61" w:rsidRPr="00C210E2" w:rsidRDefault="00380F61" w:rsidP="009E24D3">
      <w:pPr>
        <w:pStyle w:val="TextPI"/>
        <w:spacing w:line="240" w:lineRule="auto"/>
      </w:pPr>
      <w:r w:rsidRPr="00C210E2">
        <w:t xml:space="preserve">In the two </w:t>
      </w:r>
      <w:r w:rsidR="007D6F8E">
        <w:t>48-week</w:t>
      </w:r>
      <w:r w:rsidR="007D6F8E" w:rsidRPr="00C210E2">
        <w:t xml:space="preserve"> </w:t>
      </w:r>
      <w:proofErr w:type="spellStart"/>
      <w:r w:rsidRPr="00C210E2">
        <w:t>PrimoTinA</w:t>
      </w:r>
      <w:proofErr w:type="spellEnd"/>
      <w:r w:rsidRPr="00C210E2">
        <w:t xml:space="preserve">-asthma studies in patients who were symptomatic on maintenance treatment of at least high-dose ICS plus LABA, </w:t>
      </w:r>
      <w:r w:rsidR="00CE1427">
        <w:t>FAVINT</w:t>
      </w:r>
      <w:r w:rsidRPr="00C210E2">
        <w:t xml:space="preserve"> RESPIMAT</w:t>
      </w:r>
      <w:r w:rsidRPr="00C210E2">
        <w:rPr>
          <w:vertAlign w:val="superscript"/>
        </w:rPr>
        <w:t xml:space="preserve"> </w:t>
      </w:r>
      <w:r w:rsidRPr="00C210E2">
        <w:t>showed significant improvements in lung function over placebo when used as add-on to background treatment.</w:t>
      </w:r>
    </w:p>
    <w:p w:rsidR="0084556C" w:rsidRPr="00C210E2" w:rsidRDefault="0084556C" w:rsidP="009E24D3">
      <w:pPr>
        <w:pStyle w:val="TextPI"/>
        <w:numPr>
          <w:ilvl w:val="0"/>
          <w:numId w:val="18"/>
        </w:numPr>
        <w:spacing w:line="240" w:lineRule="auto"/>
      </w:pPr>
      <w:r w:rsidRPr="00C210E2">
        <w:lastRenderedPageBreak/>
        <w:t>At week 24, mean improvements in peak and trough FEV</w:t>
      </w:r>
      <w:r w:rsidRPr="00C210E2">
        <w:rPr>
          <w:vertAlign w:val="subscript"/>
        </w:rPr>
        <w:t>1</w:t>
      </w:r>
      <w:r w:rsidRPr="00C210E2">
        <w:t xml:space="preserve"> were 0.110 litres</w:t>
      </w:r>
      <w:r w:rsidRPr="00C210E2">
        <w:br/>
        <w:t xml:space="preserve">(95% CI: 0.063 to 0.158 litres, p&lt;0.0001) and 0.093 litres (95% CI: 0.050 to 0.137 litres, p&lt;0.0001), respectively. </w:t>
      </w:r>
    </w:p>
    <w:p w:rsidR="0084556C" w:rsidRPr="00C210E2" w:rsidRDefault="0084556C" w:rsidP="009E24D3">
      <w:pPr>
        <w:pStyle w:val="TextPI"/>
        <w:numPr>
          <w:ilvl w:val="0"/>
          <w:numId w:val="16"/>
        </w:numPr>
        <w:spacing w:line="240" w:lineRule="auto"/>
      </w:pPr>
      <w:r w:rsidRPr="00C210E2">
        <w:t xml:space="preserve">The improvement of lung function compared to placebo was maintained for 24 hours (Figure </w:t>
      </w:r>
      <w:r w:rsidR="00252348">
        <w:t>1</w:t>
      </w:r>
      <w:r w:rsidRPr="00C210E2">
        <w:t>).</w:t>
      </w:r>
      <w:r w:rsidRPr="00C210E2">
        <w:rPr>
          <w:rStyle w:val="CommentReference"/>
          <w:rFonts w:ascii="Times New Roman" w:hAnsi="Times New Roman"/>
          <w:szCs w:val="20"/>
          <w:lang w:val="en-US"/>
        </w:rPr>
        <w:t xml:space="preserve"> </w:t>
      </w:r>
    </w:p>
    <w:p w:rsidR="00252348" w:rsidRDefault="0084556C" w:rsidP="009E24D3">
      <w:pPr>
        <w:pStyle w:val="TextPI"/>
        <w:keepNext/>
        <w:jc w:val="center"/>
      </w:pPr>
      <w:r w:rsidRPr="00C210E2">
        <w:rPr>
          <w:noProof/>
          <w:lang w:val="en-AU" w:eastAsia="en-AU"/>
        </w:rPr>
        <w:drawing>
          <wp:inline distT="0" distB="0" distL="0" distR="0" wp14:anchorId="51165FE3" wp14:editId="62695923">
            <wp:extent cx="2400300" cy="2400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p>
    <w:p w:rsidR="00252348" w:rsidRPr="009E24D3" w:rsidRDefault="00252348" w:rsidP="009E24D3">
      <w:pPr>
        <w:pStyle w:val="TextPI"/>
        <w:spacing w:line="240" w:lineRule="auto"/>
        <w:rPr>
          <w:b/>
          <w:bCs/>
          <w:lang w:val="en-US"/>
        </w:rPr>
      </w:pPr>
      <w:r w:rsidRPr="009E24D3">
        <w:rPr>
          <w:b/>
          <w:bCs/>
        </w:rPr>
        <w:t xml:space="preserve">Figure </w:t>
      </w:r>
      <w:r w:rsidRPr="009E24D3">
        <w:rPr>
          <w:b/>
          <w:bCs/>
        </w:rPr>
        <w:fldChar w:fldCharType="begin"/>
      </w:r>
      <w:r w:rsidRPr="009E24D3">
        <w:rPr>
          <w:b/>
          <w:bCs/>
        </w:rPr>
        <w:instrText xml:space="preserve"> SEQ Figure \* ARABIC </w:instrText>
      </w:r>
      <w:r w:rsidRPr="009E24D3">
        <w:rPr>
          <w:b/>
          <w:bCs/>
        </w:rPr>
        <w:fldChar w:fldCharType="separate"/>
      </w:r>
      <w:r w:rsidR="00991225">
        <w:rPr>
          <w:b/>
          <w:bCs/>
          <w:noProof/>
        </w:rPr>
        <w:t>1</w:t>
      </w:r>
      <w:r w:rsidRPr="009E24D3">
        <w:rPr>
          <w:b/>
          <w:bCs/>
        </w:rPr>
        <w:fldChar w:fldCharType="end"/>
      </w:r>
      <w:r w:rsidRPr="009E24D3">
        <w:rPr>
          <w:b/>
          <w:bCs/>
        </w:rPr>
        <w:t>:</w:t>
      </w:r>
      <w:r w:rsidRPr="009E24D3">
        <w:rPr>
          <w:b/>
          <w:bCs/>
        </w:rPr>
        <w:tab/>
        <w:t>F</w:t>
      </w:r>
      <w:r w:rsidRPr="009E24D3">
        <w:rPr>
          <w:b/>
          <w:bCs/>
          <w:lang w:val="en-US"/>
        </w:rPr>
        <w:t>EV</w:t>
      </w:r>
      <w:r w:rsidRPr="009E24D3">
        <w:rPr>
          <w:b/>
          <w:bCs/>
          <w:vertAlign w:val="subscript"/>
          <w:lang w:val="en-US"/>
        </w:rPr>
        <w:t>1</w:t>
      </w:r>
      <w:r w:rsidRPr="009E24D3">
        <w:rPr>
          <w:b/>
          <w:bCs/>
          <w:lang w:val="en-US"/>
        </w:rPr>
        <w:t xml:space="preserve"> profiles over 24 hours in a subset of patients in the </w:t>
      </w:r>
      <w:proofErr w:type="spellStart"/>
      <w:r w:rsidRPr="009E24D3">
        <w:rPr>
          <w:b/>
          <w:bCs/>
          <w:lang w:val="en-US"/>
        </w:rPr>
        <w:t>PrimoTinA</w:t>
      </w:r>
      <w:proofErr w:type="spellEnd"/>
      <w:r w:rsidRPr="009E24D3">
        <w:rPr>
          <w:b/>
          <w:bCs/>
          <w:lang w:val="en-US"/>
        </w:rPr>
        <w:t>-asthma studies at week 24</w:t>
      </w:r>
    </w:p>
    <w:p w:rsidR="0084556C" w:rsidRPr="009E24D3" w:rsidRDefault="0084556C" w:rsidP="009E24D3">
      <w:pPr>
        <w:pStyle w:val="TextPI"/>
        <w:numPr>
          <w:ilvl w:val="0"/>
          <w:numId w:val="16"/>
        </w:numPr>
        <w:spacing w:line="240" w:lineRule="auto"/>
      </w:pPr>
      <w:r w:rsidRPr="009E24D3">
        <w:t xml:space="preserve">At week 24, </w:t>
      </w:r>
      <w:r w:rsidR="00CE1427">
        <w:t>FAVINT</w:t>
      </w:r>
      <w:r w:rsidRPr="009E24D3">
        <w:t xml:space="preserve"> RESPIMAT</w:t>
      </w:r>
      <w:r w:rsidRPr="009E24D3">
        <w:rPr>
          <w:vertAlign w:val="superscript"/>
        </w:rPr>
        <w:t xml:space="preserve"> </w:t>
      </w:r>
      <w:r w:rsidRPr="009E24D3">
        <w:t xml:space="preserve">significantly improved morning and evening peak expiratory flow (PEF; mean improvement in the morning 23 L/min; 95% CI: 16 to 29 L/min, p&lt; 0.0001; evening 26 L/min; 95% CI: 20 to 33 L/min, p&lt;0.0001). </w:t>
      </w:r>
    </w:p>
    <w:p w:rsidR="0084556C" w:rsidRPr="009E24D3" w:rsidRDefault="0084556C" w:rsidP="009E24D3">
      <w:pPr>
        <w:pStyle w:val="TextPI"/>
        <w:numPr>
          <w:ilvl w:val="0"/>
          <w:numId w:val="17"/>
        </w:numPr>
        <w:spacing w:line="240" w:lineRule="auto"/>
      </w:pPr>
      <w:r w:rsidRPr="009E24D3">
        <w:t xml:space="preserve">The bronchodilator effects of </w:t>
      </w:r>
      <w:r w:rsidR="00CE1427">
        <w:t>FAVINT</w:t>
      </w:r>
      <w:r w:rsidRPr="009E24D3">
        <w:t xml:space="preserve"> RESPIMAT</w:t>
      </w:r>
      <w:r w:rsidRPr="009E24D3">
        <w:rPr>
          <w:vertAlign w:val="superscript"/>
        </w:rPr>
        <w:t xml:space="preserve"> </w:t>
      </w:r>
      <w:r w:rsidRPr="009E24D3">
        <w:t xml:space="preserve">were maintained throughout the </w:t>
      </w:r>
      <w:r w:rsidR="007D6F8E">
        <w:t>48-week</w:t>
      </w:r>
      <w:r w:rsidR="007D6F8E" w:rsidRPr="009E24D3">
        <w:t xml:space="preserve"> </w:t>
      </w:r>
      <w:r w:rsidRPr="009E24D3">
        <w:t xml:space="preserve">period of administration with no evidence of </w:t>
      </w:r>
      <w:proofErr w:type="spellStart"/>
      <w:r w:rsidRPr="009E24D3">
        <w:t>tachyphylaxis</w:t>
      </w:r>
      <w:proofErr w:type="spellEnd"/>
      <w:r w:rsidRPr="009E24D3">
        <w:t xml:space="preserve"> or tolerance (Figure </w:t>
      </w:r>
      <w:r w:rsidR="00252348">
        <w:t>2</w:t>
      </w:r>
      <w:r w:rsidRPr="009E24D3">
        <w:t>)</w:t>
      </w:r>
      <w:r w:rsidRPr="0084556C">
        <w:t>.</w:t>
      </w:r>
      <w:r w:rsidRPr="009E24D3">
        <w:t xml:space="preserve"> </w:t>
      </w:r>
    </w:p>
    <w:p w:rsidR="00252348" w:rsidRDefault="0084556C" w:rsidP="009E24D3">
      <w:pPr>
        <w:pStyle w:val="TextPI"/>
        <w:keepNext/>
        <w:spacing w:line="240" w:lineRule="auto"/>
        <w:jc w:val="center"/>
      </w:pPr>
      <w:r w:rsidRPr="009E24D3">
        <w:rPr>
          <w:noProof/>
          <w:lang w:val="en-AU" w:eastAsia="en-AU"/>
        </w:rPr>
        <w:drawing>
          <wp:inline distT="0" distB="0" distL="0" distR="0" wp14:anchorId="7E8D6D1A" wp14:editId="129F7309">
            <wp:extent cx="2257425" cy="2257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rsidR="00252348" w:rsidRPr="009E24D3" w:rsidRDefault="00252348" w:rsidP="009E24D3">
      <w:pPr>
        <w:pStyle w:val="TextPI"/>
        <w:spacing w:line="240" w:lineRule="auto"/>
        <w:rPr>
          <w:b/>
          <w:bCs/>
        </w:rPr>
      </w:pPr>
      <w:r w:rsidRPr="009E24D3">
        <w:rPr>
          <w:b/>
          <w:bCs/>
        </w:rPr>
        <w:t xml:space="preserve">Figure </w:t>
      </w:r>
      <w:r w:rsidRPr="009E24D3">
        <w:rPr>
          <w:b/>
          <w:bCs/>
        </w:rPr>
        <w:fldChar w:fldCharType="begin"/>
      </w:r>
      <w:r w:rsidRPr="009E24D3">
        <w:rPr>
          <w:b/>
          <w:bCs/>
        </w:rPr>
        <w:instrText xml:space="preserve"> SEQ Figure \* ARABIC </w:instrText>
      </w:r>
      <w:r w:rsidRPr="009E24D3">
        <w:rPr>
          <w:b/>
          <w:bCs/>
        </w:rPr>
        <w:fldChar w:fldCharType="separate"/>
      </w:r>
      <w:r w:rsidR="00991225">
        <w:rPr>
          <w:b/>
          <w:bCs/>
          <w:noProof/>
        </w:rPr>
        <w:t>2</w:t>
      </w:r>
      <w:r w:rsidRPr="009E24D3">
        <w:rPr>
          <w:b/>
          <w:bCs/>
        </w:rPr>
        <w:fldChar w:fldCharType="end"/>
      </w:r>
      <w:r w:rsidRPr="009E24D3">
        <w:rPr>
          <w:b/>
          <w:bCs/>
        </w:rPr>
        <w:t>:</w:t>
      </w:r>
      <w:r w:rsidRPr="009E24D3">
        <w:rPr>
          <w:b/>
          <w:bCs/>
        </w:rPr>
        <w:tab/>
      </w:r>
      <w:r w:rsidRPr="009E24D3">
        <w:rPr>
          <w:b/>
          <w:bCs/>
          <w:lang w:val="en-US"/>
        </w:rPr>
        <w:t>Peak FEV</w:t>
      </w:r>
      <w:r w:rsidRPr="009E24D3">
        <w:rPr>
          <w:b/>
          <w:bCs/>
          <w:vertAlign w:val="subscript"/>
          <w:lang w:val="en-US"/>
        </w:rPr>
        <w:t>1</w:t>
      </w:r>
      <w:r w:rsidRPr="009E24D3">
        <w:rPr>
          <w:b/>
          <w:bCs/>
          <w:lang w:val="en-US"/>
        </w:rPr>
        <w:t xml:space="preserve"> response over 48 weeks in the </w:t>
      </w:r>
      <w:proofErr w:type="spellStart"/>
      <w:r w:rsidRPr="009E24D3">
        <w:rPr>
          <w:b/>
          <w:bCs/>
          <w:lang w:val="en-US"/>
        </w:rPr>
        <w:t>PrimoTinA</w:t>
      </w:r>
      <w:proofErr w:type="spellEnd"/>
      <w:r w:rsidRPr="009E24D3">
        <w:rPr>
          <w:b/>
          <w:bCs/>
          <w:lang w:val="en-US"/>
        </w:rPr>
        <w:t>-asthma studies</w:t>
      </w:r>
    </w:p>
    <w:p w:rsidR="0084556C" w:rsidRPr="009E24D3" w:rsidRDefault="00CE1427" w:rsidP="009E24D3">
      <w:pPr>
        <w:pStyle w:val="TextPI"/>
        <w:numPr>
          <w:ilvl w:val="0"/>
          <w:numId w:val="19"/>
        </w:numPr>
        <w:spacing w:line="240" w:lineRule="auto"/>
      </w:pPr>
      <w:r>
        <w:t>FAVINT</w:t>
      </w:r>
      <w:r w:rsidR="0084556C" w:rsidRPr="009E24D3">
        <w:t xml:space="preserve"> RESPIMAT</w:t>
      </w:r>
      <w:r w:rsidR="0084556C" w:rsidRPr="009E24D3">
        <w:rPr>
          <w:vertAlign w:val="superscript"/>
        </w:rPr>
        <w:t xml:space="preserve"> </w:t>
      </w:r>
      <w:r w:rsidR="0084556C" w:rsidRPr="009E24D3">
        <w:t xml:space="preserve">significantly reduced the risk of severe asthma exacerbations (see Table 2 and Figure </w:t>
      </w:r>
      <w:r w:rsidR="00252348">
        <w:t>3</w:t>
      </w:r>
      <w:r w:rsidR="0084556C" w:rsidRPr="009E24D3">
        <w:t>)</w:t>
      </w:r>
      <w:r w:rsidR="0084556C">
        <w:t>.</w:t>
      </w:r>
    </w:p>
    <w:p w:rsidR="00380F61" w:rsidRPr="009E24D3" w:rsidRDefault="00380F61" w:rsidP="009E24D3">
      <w:pPr>
        <w:spacing w:before="120" w:after="120"/>
        <w:jc w:val="left"/>
        <w:rPr>
          <w:rFonts w:ascii="Arial" w:hAnsi="Arial"/>
          <w:b/>
          <w:sz w:val="22"/>
          <w:szCs w:val="22"/>
        </w:rPr>
      </w:pPr>
      <w:r w:rsidRPr="002C6552">
        <w:rPr>
          <w:rFonts w:ascii="Arial" w:hAnsi="Arial"/>
          <w:b/>
          <w:sz w:val="22"/>
          <w:szCs w:val="22"/>
        </w:rPr>
        <w:t>Table 2:</w:t>
      </w:r>
      <w:r w:rsidRPr="009E24D3">
        <w:rPr>
          <w:rFonts w:ascii="Arial" w:hAnsi="Arial"/>
          <w:b/>
          <w:sz w:val="22"/>
          <w:szCs w:val="22"/>
        </w:rPr>
        <w:t xml:space="preserve"> Exacerbations in </w:t>
      </w:r>
      <w:r w:rsidR="00FB7B4D">
        <w:rPr>
          <w:rFonts w:ascii="Arial" w:hAnsi="Arial"/>
          <w:b/>
          <w:sz w:val="22"/>
          <w:szCs w:val="22"/>
        </w:rPr>
        <w:t>p</w:t>
      </w:r>
      <w:r w:rsidR="00FB7B4D" w:rsidRPr="009E24D3">
        <w:rPr>
          <w:rFonts w:ascii="Arial" w:hAnsi="Arial"/>
          <w:b/>
          <w:sz w:val="22"/>
          <w:szCs w:val="22"/>
        </w:rPr>
        <w:t xml:space="preserve">atients </w:t>
      </w:r>
      <w:r w:rsidRPr="009E24D3">
        <w:rPr>
          <w:rFonts w:ascii="Arial" w:hAnsi="Arial"/>
          <w:b/>
          <w:sz w:val="22"/>
          <w:szCs w:val="22"/>
        </w:rPr>
        <w:t>symptomatic on ICS plus LABA (Primo TinA-asthma Studies)</w:t>
      </w:r>
    </w:p>
    <w:tbl>
      <w:tblPr>
        <w:tblW w:w="911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
        <w:gridCol w:w="2151"/>
        <w:gridCol w:w="1701"/>
        <w:gridCol w:w="1559"/>
        <w:gridCol w:w="1418"/>
        <w:gridCol w:w="1275"/>
      </w:tblGrid>
      <w:tr w:rsidR="00762C17" w:rsidRPr="00BD4096" w:rsidTr="00B641F2">
        <w:trPr>
          <w:tblHeader/>
        </w:trPr>
        <w:tc>
          <w:tcPr>
            <w:tcW w:w="1011" w:type="dxa"/>
            <w:shd w:val="clear" w:color="auto" w:fill="auto"/>
          </w:tcPr>
          <w:p w:rsidR="00380F61" w:rsidRPr="00BD4096" w:rsidRDefault="00380F61" w:rsidP="00BD4096">
            <w:pPr>
              <w:jc w:val="left"/>
              <w:rPr>
                <w:rFonts w:ascii="Arial" w:hAnsi="Arial" w:cs="Arial"/>
                <w:b/>
                <w:bCs/>
                <w:sz w:val="20"/>
                <w:lang w:val="en-GB"/>
              </w:rPr>
            </w:pPr>
            <w:r w:rsidRPr="00BD4096">
              <w:rPr>
                <w:rFonts w:ascii="Arial" w:hAnsi="Arial" w:cs="Arial"/>
                <w:b/>
                <w:bCs/>
                <w:sz w:val="20"/>
                <w:lang w:val="en-GB"/>
              </w:rPr>
              <w:lastRenderedPageBreak/>
              <w:t>Study</w:t>
            </w:r>
            <w:r w:rsidRPr="00BD4096">
              <w:rPr>
                <w:rFonts w:ascii="Arial" w:hAnsi="Arial" w:cs="Arial"/>
                <w:b/>
                <w:bCs/>
                <w:sz w:val="20"/>
                <w:lang w:val="en-GB"/>
              </w:rPr>
              <w:br/>
            </w:r>
          </w:p>
        </w:tc>
        <w:tc>
          <w:tcPr>
            <w:tcW w:w="2151" w:type="dxa"/>
            <w:shd w:val="clear" w:color="auto" w:fill="auto"/>
          </w:tcPr>
          <w:p w:rsidR="00380F61" w:rsidRPr="00BD4096" w:rsidRDefault="00380F61" w:rsidP="00BD4096">
            <w:pPr>
              <w:jc w:val="left"/>
              <w:rPr>
                <w:rFonts w:ascii="Arial" w:hAnsi="Arial" w:cs="Arial"/>
                <w:b/>
                <w:bCs/>
                <w:sz w:val="20"/>
                <w:lang w:val="en-GB"/>
              </w:rPr>
            </w:pPr>
            <w:r w:rsidRPr="00BD4096">
              <w:rPr>
                <w:rFonts w:ascii="Arial" w:hAnsi="Arial" w:cs="Arial"/>
                <w:b/>
                <w:bCs/>
                <w:sz w:val="20"/>
                <w:lang w:val="en-GB"/>
              </w:rPr>
              <w:t>Endpoint</w:t>
            </w:r>
          </w:p>
        </w:tc>
        <w:tc>
          <w:tcPr>
            <w:tcW w:w="1701" w:type="dxa"/>
            <w:shd w:val="clear" w:color="auto" w:fill="auto"/>
          </w:tcPr>
          <w:p w:rsidR="00380F61" w:rsidRPr="00BD4096" w:rsidRDefault="00CE1427" w:rsidP="00BD4096">
            <w:pPr>
              <w:jc w:val="center"/>
              <w:rPr>
                <w:rFonts w:ascii="Arial" w:hAnsi="Arial" w:cs="Arial"/>
                <w:b/>
                <w:bCs/>
                <w:sz w:val="20"/>
                <w:vertAlign w:val="superscript"/>
                <w:lang w:val="en-GB"/>
              </w:rPr>
            </w:pPr>
            <w:r w:rsidRPr="00BD4096">
              <w:rPr>
                <w:rFonts w:ascii="Arial" w:hAnsi="Arial" w:cs="Arial"/>
                <w:b/>
                <w:bCs/>
                <w:sz w:val="20"/>
                <w:lang w:val="en-GB"/>
              </w:rPr>
              <w:t>FAVINT</w:t>
            </w:r>
            <w:r w:rsidR="00380F61" w:rsidRPr="00BD4096">
              <w:rPr>
                <w:rFonts w:ascii="Arial" w:hAnsi="Arial" w:cs="Arial"/>
                <w:b/>
                <w:bCs/>
                <w:sz w:val="20"/>
                <w:lang w:val="en-GB"/>
              </w:rPr>
              <w:t xml:space="preserve"> RESPIMAT</w:t>
            </w:r>
          </w:p>
          <w:p w:rsidR="00380F61" w:rsidRPr="00BD4096" w:rsidRDefault="00380F61" w:rsidP="00BD4096">
            <w:pPr>
              <w:jc w:val="center"/>
              <w:rPr>
                <w:rFonts w:ascii="Arial" w:hAnsi="Arial" w:cs="Arial"/>
                <w:b/>
                <w:bCs/>
                <w:sz w:val="20"/>
                <w:lang w:val="en-GB"/>
              </w:rPr>
            </w:pPr>
            <w:r w:rsidRPr="00BD4096">
              <w:rPr>
                <w:rFonts w:ascii="Arial" w:hAnsi="Arial" w:cs="Arial"/>
                <w:b/>
                <w:bCs/>
                <w:sz w:val="20"/>
                <w:lang w:val="en-GB"/>
              </w:rPr>
              <w:t>added-on to at least ICS/LABA</w:t>
            </w:r>
          </w:p>
          <w:p w:rsidR="00380F61" w:rsidRPr="00BD4096" w:rsidRDefault="00380F61" w:rsidP="00BD4096">
            <w:pPr>
              <w:jc w:val="center"/>
              <w:rPr>
                <w:rFonts w:ascii="Arial" w:hAnsi="Arial" w:cs="Arial"/>
                <w:b/>
                <w:bCs/>
                <w:sz w:val="20"/>
                <w:lang w:val="en-GB"/>
              </w:rPr>
            </w:pPr>
            <w:r w:rsidRPr="00BD4096">
              <w:rPr>
                <w:rFonts w:ascii="Arial" w:hAnsi="Arial" w:cs="Arial"/>
                <w:b/>
                <w:bCs/>
                <w:sz w:val="20"/>
                <w:lang w:val="en-GB"/>
              </w:rPr>
              <w:t>(N=453)</w:t>
            </w:r>
          </w:p>
        </w:tc>
        <w:tc>
          <w:tcPr>
            <w:tcW w:w="1559" w:type="dxa"/>
            <w:shd w:val="clear" w:color="auto" w:fill="auto"/>
          </w:tcPr>
          <w:p w:rsidR="00380F61" w:rsidRPr="00BD4096" w:rsidRDefault="00380F61" w:rsidP="00BD4096">
            <w:pPr>
              <w:jc w:val="center"/>
              <w:rPr>
                <w:rFonts w:ascii="Arial" w:hAnsi="Arial" w:cs="Arial"/>
                <w:b/>
                <w:bCs/>
                <w:sz w:val="20"/>
                <w:lang w:val="en-GB"/>
              </w:rPr>
            </w:pPr>
            <w:r w:rsidRPr="00BD4096">
              <w:rPr>
                <w:rFonts w:ascii="Arial" w:hAnsi="Arial" w:cs="Arial"/>
                <w:b/>
                <w:bCs/>
                <w:sz w:val="20"/>
                <w:lang w:val="en-GB"/>
              </w:rPr>
              <w:t>Placebo</w:t>
            </w:r>
          </w:p>
          <w:p w:rsidR="00380F61" w:rsidRPr="00BD4096" w:rsidRDefault="00380F61" w:rsidP="00BD4096">
            <w:pPr>
              <w:jc w:val="center"/>
              <w:rPr>
                <w:rFonts w:ascii="Arial" w:hAnsi="Arial" w:cs="Arial"/>
                <w:b/>
                <w:bCs/>
                <w:sz w:val="20"/>
                <w:lang w:val="en-GB"/>
              </w:rPr>
            </w:pPr>
            <w:r w:rsidRPr="00BD4096">
              <w:rPr>
                <w:rFonts w:ascii="Arial" w:hAnsi="Arial" w:cs="Arial"/>
                <w:b/>
                <w:bCs/>
                <w:sz w:val="20"/>
                <w:lang w:val="en-GB"/>
              </w:rPr>
              <w:t>added-on to at least ICS/LABA</w:t>
            </w:r>
          </w:p>
          <w:p w:rsidR="00380F61" w:rsidRPr="00BD4096" w:rsidRDefault="00380F61" w:rsidP="00BD4096">
            <w:pPr>
              <w:jc w:val="center"/>
              <w:rPr>
                <w:rFonts w:ascii="Arial" w:hAnsi="Arial" w:cs="Arial"/>
                <w:b/>
                <w:bCs/>
                <w:sz w:val="20"/>
                <w:lang w:val="en-GB"/>
              </w:rPr>
            </w:pPr>
            <w:r w:rsidRPr="00BD4096">
              <w:rPr>
                <w:rFonts w:ascii="Arial" w:hAnsi="Arial" w:cs="Arial"/>
                <w:b/>
                <w:bCs/>
                <w:sz w:val="20"/>
                <w:lang w:val="en-GB"/>
              </w:rPr>
              <w:t>(N=454)</w:t>
            </w:r>
          </w:p>
        </w:tc>
        <w:tc>
          <w:tcPr>
            <w:tcW w:w="1418" w:type="dxa"/>
            <w:shd w:val="clear" w:color="auto" w:fill="auto"/>
          </w:tcPr>
          <w:p w:rsidR="00380F61" w:rsidRPr="00BD4096" w:rsidRDefault="00380F61" w:rsidP="00BD4096">
            <w:pPr>
              <w:jc w:val="center"/>
              <w:rPr>
                <w:rFonts w:ascii="Arial" w:hAnsi="Arial" w:cs="Arial"/>
                <w:b/>
                <w:bCs/>
                <w:sz w:val="20"/>
                <w:lang w:val="en-GB"/>
              </w:rPr>
            </w:pPr>
            <w:r w:rsidRPr="00BD4096">
              <w:rPr>
                <w:rFonts w:ascii="Arial" w:hAnsi="Arial" w:cs="Arial"/>
                <w:b/>
                <w:bCs/>
                <w:sz w:val="20"/>
                <w:lang w:val="en-GB"/>
              </w:rPr>
              <w:t xml:space="preserve">% Risk Reduction </w:t>
            </w:r>
            <w:r w:rsidRPr="00BD4096">
              <w:rPr>
                <w:rFonts w:ascii="Arial" w:hAnsi="Arial" w:cs="Arial"/>
                <w:b/>
                <w:bCs/>
                <w:sz w:val="20"/>
                <w:lang w:val="en-GB"/>
              </w:rPr>
              <w:br/>
              <w:t>(95% CI)</w:t>
            </w:r>
            <w:r w:rsidRPr="00BD4096">
              <w:rPr>
                <w:rFonts w:ascii="Arial" w:hAnsi="Arial" w:cs="Arial"/>
                <w:b/>
                <w:bCs/>
                <w:sz w:val="20"/>
                <w:vertAlign w:val="superscript"/>
                <w:lang w:val="en-GB"/>
              </w:rPr>
              <w:t>a</w:t>
            </w:r>
          </w:p>
        </w:tc>
        <w:tc>
          <w:tcPr>
            <w:tcW w:w="1275" w:type="dxa"/>
            <w:shd w:val="clear" w:color="auto" w:fill="auto"/>
          </w:tcPr>
          <w:p w:rsidR="00380F61" w:rsidRPr="00BD4096" w:rsidRDefault="00380F61" w:rsidP="00BD4096">
            <w:pPr>
              <w:jc w:val="center"/>
              <w:rPr>
                <w:rFonts w:ascii="Arial" w:hAnsi="Arial" w:cs="Arial"/>
                <w:b/>
                <w:bCs/>
                <w:sz w:val="20"/>
                <w:lang w:val="en-GB"/>
              </w:rPr>
            </w:pPr>
            <w:r w:rsidRPr="00BD4096">
              <w:rPr>
                <w:rFonts w:ascii="Arial" w:hAnsi="Arial" w:cs="Arial"/>
                <w:b/>
                <w:bCs/>
                <w:sz w:val="20"/>
                <w:lang w:val="en-GB"/>
              </w:rPr>
              <w:t>p-value</w:t>
            </w:r>
          </w:p>
        </w:tc>
      </w:tr>
      <w:tr w:rsidR="00762C17" w:rsidRPr="00BD4096" w:rsidTr="00B641F2">
        <w:tc>
          <w:tcPr>
            <w:tcW w:w="1011" w:type="dxa"/>
            <w:vMerge w:val="restart"/>
            <w:shd w:val="clear" w:color="auto" w:fill="auto"/>
          </w:tcPr>
          <w:p w:rsidR="00380F61" w:rsidRPr="00BD4096" w:rsidRDefault="007D6F8E" w:rsidP="00BD4096">
            <w:pPr>
              <w:jc w:val="left"/>
              <w:rPr>
                <w:rFonts w:ascii="Arial" w:hAnsi="Arial" w:cs="Arial"/>
                <w:sz w:val="20"/>
              </w:rPr>
            </w:pPr>
            <w:r w:rsidRPr="007D6F8E">
              <w:rPr>
                <w:rFonts w:ascii="Arial" w:hAnsi="Arial" w:cs="Arial"/>
                <w:sz w:val="20"/>
              </w:rPr>
              <w:t>48-week</w:t>
            </w:r>
            <w:r w:rsidRPr="00937C89">
              <w:rPr>
                <w:sz w:val="20"/>
              </w:rPr>
              <w:t xml:space="preserve"> </w:t>
            </w:r>
            <w:r w:rsidR="00380F61" w:rsidRPr="00BD4096">
              <w:rPr>
                <w:rFonts w:ascii="Arial" w:hAnsi="Arial" w:cs="Arial"/>
                <w:sz w:val="20"/>
              </w:rPr>
              <w:t xml:space="preserve"> </w:t>
            </w:r>
            <w:proofErr w:type="spellStart"/>
            <w:r w:rsidR="00380F61" w:rsidRPr="00BD4096">
              <w:rPr>
                <w:rFonts w:ascii="Arial" w:hAnsi="Arial" w:cs="Arial"/>
                <w:sz w:val="20"/>
              </w:rPr>
              <w:t>Ph</w:t>
            </w:r>
            <w:proofErr w:type="spellEnd"/>
            <w:r w:rsidR="00380F61" w:rsidRPr="00BD4096">
              <w:rPr>
                <w:rFonts w:ascii="Arial" w:hAnsi="Arial" w:cs="Arial"/>
                <w:sz w:val="20"/>
              </w:rPr>
              <w:t xml:space="preserve"> </w:t>
            </w:r>
            <w:smartTag w:uri="urn:schemas-microsoft-com:office:smarttags" w:element="stockticker">
              <w:r w:rsidR="00380F61" w:rsidRPr="00BD4096">
                <w:rPr>
                  <w:rFonts w:ascii="Arial" w:hAnsi="Arial" w:cs="Arial"/>
                  <w:sz w:val="20"/>
                </w:rPr>
                <w:t>III</w:t>
              </w:r>
            </w:smartTag>
            <w:r w:rsidR="00380F61" w:rsidRPr="00BD4096">
              <w:rPr>
                <w:rFonts w:ascii="Arial" w:hAnsi="Arial" w:cs="Arial"/>
                <w:sz w:val="20"/>
              </w:rPr>
              <w:t xml:space="preserve"> studies, </w:t>
            </w:r>
            <w:r w:rsidR="00380F61" w:rsidRPr="00BD4096">
              <w:rPr>
                <w:rFonts w:ascii="Arial" w:hAnsi="Arial" w:cs="Arial"/>
                <w:sz w:val="20"/>
              </w:rPr>
              <w:br/>
              <w:t>pooled analysis</w:t>
            </w:r>
            <w:r w:rsidR="00380F61" w:rsidRPr="00BD4096">
              <w:rPr>
                <w:rFonts w:ascii="Arial" w:hAnsi="Arial" w:cs="Arial"/>
                <w:sz w:val="20"/>
              </w:rPr>
              <w:br/>
            </w:r>
            <w:r w:rsidR="00380F61" w:rsidRPr="00BD4096">
              <w:rPr>
                <w:rFonts w:ascii="Arial" w:hAnsi="Arial" w:cs="Arial"/>
                <w:sz w:val="20"/>
              </w:rPr>
              <w:br/>
            </w:r>
          </w:p>
        </w:tc>
        <w:tc>
          <w:tcPr>
            <w:tcW w:w="2151" w:type="dxa"/>
            <w:shd w:val="clear" w:color="auto" w:fill="auto"/>
          </w:tcPr>
          <w:p w:rsidR="00380F61" w:rsidRPr="00BD4096" w:rsidRDefault="00380F61" w:rsidP="00BD4096">
            <w:pPr>
              <w:jc w:val="left"/>
              <w:rPr>
                <w:rFonts w:ascii="Arial" w:hAnsi="Arial" w:cs="Arial"/>
                <w:sz w:val="20"/>
              </w:rPr>
            </w:pPr>
            <w:r w:rsidRPr="00BD4096">
              <w:rPr>
                <w:rFonts w:ascii="Arial" w:hAnsi="Arial" w:cs="Arial"/>
                <w:sz w:val="20"/>
              </w:rPr>
              <w:t>Days to 1</w:t>
            </w:r>
            <w:r w:rsidRPr="00BD4096">
              <w:rPr>
                <w:rFonts w:ascii="Arial" w:hAnsi="Arial" w:cs="Arial"/>
                <w:sz w:val="20"/>
                <w:vertAlign w:val="superscript"/>
              </w:rPr>
              <w:t>st</w:t>
            </w:r>
            <w:r w:rsidRPr="00BD4096">
              <w:rPr>
                <w:rFonts w:ascii="Arial" w:hAnsi="Arial" w:cs="Arial"/>
                <w:sz w:val="20"/>
              </w:rPr>
              <w:t xml:space="preserve"> severe asthma exacerbation</w:t>
            </w:r>
          </w:p>
        </w:tc>
        <w:tc>
          <w:tcPr>
            <w:tcW w:w="1701" w:type="dxa"/>
            <w:shd w:val="clear" w:color="auto" w:fill="auto"/>
          </w:tcPr>
          <w:p w:rsidR="00380F61" w:rsidRPr="00BD4096" w:rsidRDefault="00380F61" w:rsidP="00BD4096">
            <w:pPr>
              <w:jc w:val="center"/>
              <w:rPr>
                <w:rFonts w:ascii="Arial" w:hAnsi="Arial" w:cs="Arial"/>
                <w:sz w:val="20"/>
                <w:lang w:val="en-GB"/>
              </w:rPr>
            </w:pPr>
            <w:r w:rsidRPr="00BD4096">
              <w:rPr>
                <w:rFonts w:ascii="Arial" w:hAnsi="Arial" w:cs="Arial"/>
                <w:sz w:val="20"/>
                <w:lang w:val="en-GB"/>
              </w:rPr>
              <w:t>282</w:t>
            </w:r>
            <w:r w:rsidRPr="00BD4096">
              <w:rPr>
                <w:rFonts w:ascii="Arial" w:hAnsi="Arial" w:cs="Arial"/>
                <w:sz w:val="20"/>
                <w:vertAlign w:val="superscript"/>
                <w:lang w:val="en-GB"/>
              </w:rPr>
              <w:t>b</w:t>
            </w:r>
          </w:p>
        </w:tc>
        <w:tc>
          <w:tcPr>
            <w:tcW w:w="1559" w:type="dxa"/>
            <w:shd w:val="clear" w:color="auto" w:fill="auto"/>
          </w:tcPr>
          <w:p w:rsidR="00380F61" w:rsidRPr="00BD4096" w:rsidRDefault="00380F61" w:rsidP="00BD4096">
            <w:pPr>
              <w:jc w:val="center"/>
              <w:rPr>
                <w:rFonts w:ascii="Arial" w:hAnsi="Arial" w:cs="Arial"/>
                <w:sz w:val="20"/>
                <w:lang w:val="en-GB"/>
              </w:rPr>
            </w:pPr>
            <w:r w:rsidRPr="00BD4096">
              <w:rPr>
                <w:rFonts w:ascii="Arial" w:hAnsi="Arial" w:cs="Arial"/>
                <w:sz w:val="20"/>
                <w:lang w:val="en-GB"/>
              </w:rPr>
              <w:t>226</w:t>
            </w:r>
            <w:r w:rsidRPr="00BD4096">
              <w:rPr>
                <w:rFonts w:ascii="Arial" w:hAnsi="Arial" w:cs="Arial"/>
                <w:sz w:val="20"/>
                <w:vertAlign w:val="superscript"/>
                <w:lang w:val="en-GB"/>
              </w:rPr>
              <w:t xml:space="preserve"> b</w:t>
            </w:r>
          </w:p>
        </w:tc>
        <w:tc>
          <w:tcPr>
            <w:tcW w:w="1418" w:type="dxa"/>
            <w:shd w:val="clear" w:color="auto" w:fill="auto"/>
          </w:tcPr>
          <w:p w:rsidR="00380F61" w:rsidRPr="00BD4096" w:rsidRDefault="00380F61" w:rsidP="00BD4096">
            <w:pPr>
              <w:jc w:val="center"/>
              <w:rPr>
                <w:rFonts w:ascii="Arial" w:hAnsi="Arial" w:cs="Arial"/>
                <w:sz w:val="20"/>
                <w:lang w:val="en-GB"/>
              </w:rPr>
            </w:pPr>
            <w:r w:rsidRPr="00BD4096">
              <w:rPr>
                <w:rFonts w:ascii="Arial" w:hAnsi="Arial" w:cs="Arial"/>
                <w:sz w:val="20"/>
                <w:lang w:val="en-GB"/>
              </w:rPr>
              <w:t>21 (0, 38)</w:t>
            </w:r>
          </w:p>
        </w:tc>
        <w:tc>
          <w:tcPr>
            <w:tcW w:w="1275" w:type="dxa"/>
            <w:shd w:val="clear" w:color="auto" w:fill="auto"/>
          </w:tcPr>
          <w:p w:rsidR="00380F61" w:rsidRPr="00BD4096" w:rsidRDefault="00380F61" w:rsidP="00BD4096">
            <w:pPr>
              <w:jc w:val="center"/>
              <w:rPr>
                <w:rFonts w:ascii="Arial" w:hAnsi="Arial" w:cs="Arial"/>
                <w:sz w:val="20"/>
                <w:lang w:val="en-GB"/>
              </w:rPr>
            </w:pPr>
            <w:r w:rsidRPr="00BD4096">
              <w:rPr>
                <w:rFonts w:ascii="Arial" w:hAnsi="Arial" w:cs="Arial"/>
                <w:sz w:val="20"/>
                <w:lang w:val="en-GB"/>
              </w:rPr>
              <w:t>0.0343</w:t>
            </w:r>
          </w:p>
        </w:tc>
      </w:tr>
      <w:tr w:rsidR="00762C17" w:rsidRPr="00BD4096" w:rsidTr="00B641F2">
        <w:tc>
          <w:tcPr>
            <w:tcW w:w="1011" w:type="dxa"/>
            <w:vMerge/>
            <w:shd w:val="clear" w:color="auto" w:fill="auto"/>
          </w:tcPr>
          <w:p w:rsidR="00380F61" w:rsidRPr="00FB1C94" w:rsidRDefault="00380F61">
            <w:pPr>
              <w:jc w:val="left"/>
              <w:rPr>
                <w:rFonts w:ascii="Arial" w:hAnsi="Arial" w:cs="Arial"/>
                <w:sz w:val="20"/>
                <w:lang w:val="en-GB"/>
              </w:rPr>
            </w:pPr>
          </w:p>
        </w:tc>
        <w:tc>
          <w:tcPr>
            <w:tcW w:w="2151" w:type="dxa"/>
            <w:shd w:val="clear" w:color="auto" w:fill="auto"/>
          </w:tcPr>
          <w:p w:rsidR="00380F61" w:rsidRPr="00FB1C94" w:rsidRDefault="00380F61" w:rsidP="00BD4096">
            <w:pPr>
              <w:jc w:val="left"/>
              <w:rPr>
                <w:rFonts w:ascii="Arial" w:hAnsi="Arial" w:cs="Arial"/>
                <w:sz w:val="20"/>
                <w:lang w:val="en-GB"/>
              </w:rPr>
            </w:pPr>
            <w:r w:rsidRPr="00FB1C94">
              <w:rPr>
                <w:rFonts w:ascii="Arial" w:hAnsi="Arial" w:cs="Arial"/>
                <w:sz w:val="20"/>
                <w:lang w:val="en-GB"/>
              </w:rPr>
              <w:t>Mean number of severe asthma exacerbation / patient year</w:t>
            </w:r>
          </w:p>
        </w:tc>
        <w:tc>
          <w:tcPr>
            <w:tcW w:w="1701" w:type="dxa"/>
            <w:shd w:val="clear" w:color="auto" w:fill="auto"/>
          </w:tcPr>
          <w:p w:rsidR="00380F61" w:rsidRPr="00FB1C94" w:rsidRDefault="00380F61" w:rsidP="00BD4096">
            <w:pPr>
              <w:jc w:val="center"/>
              <w:rPr>
                <w:rFonts w:ascii="Arial" w:hAnsi="Arial" w:cs="Arial"/>
                <w:sz w:val="20"/>
                <w:lang w:val="en-GB"/>
              </w:rPr>
            </w:pPr>
            <w:r w:rsidRPr="00FB1C94">
              <w:rPr>
                <w:rFonts w:ascii="Arial" w:hAnsi="Arial" w:cs="Arial"/>
                <w:sz w:val="20"/>
                <w:lang w:val="en-GB"/>
              </w:rPr>
              <w:t>0.530</w:t>
            </w:r>
          </w:p>
        </w:tc>
        <w:tc>
          <w:tcPr>
            <w:tcW w:w="1559" w:type="dxa"/>
            <w:shd w:val="clear" w:color="auto" w:fill="auto"/>
          </w:tcPr>
          <w:p w:rsidR="00380F61" w:rsidRPr="00FB1C94" w:rsidRDefault="00380F61" w:rsidP="00BD4096">
            <w:pPr>
              <w:jc w:val="center"/>
              <w:rPr>
                <w:rFonts w:ascii="Arial" w:hAnsi="Arial" w:cs="Arial"/>
                <w:sz w:val="20"/>
                <w:lang w:val="en-GB"/>
              </w:rPr>
            </w:pPr>
            <w:r w:rsidRPr="00FB1C94">
              <w:rPr>
                <w:rFonts w:ascii="Arial" w:hAnsi="Arial" w:cs="Arial"/>
                <w:sz w:val="20"/>
                <w:lang w:val="en-GB"/>
              </w:rPr>
              <w:t>0.663</w:t>
            </w:r>
          </w:p>
        </w:tc>
        <w:tc>
          <w:tcPr>
            <w:tcW w:w="1418" w:type="dxa"/>
            <w:shd w:val="clear" w:color="auto" w:fill="auto"/>
          </w:tcPr>
          <w:p w:rsidR="00380F61" w:rsidRPr="00FB1C94" w:rsidRDefault="00380F61" w:rsidP="00BD4096">
            <w:pPr>
              <w:jc w:val="center"/>
              <w:rPr>
                <w:rFonts w:ascii="Arial" w:hAnsi="Arial" w:cs="Arial"/>
                <w:sz w:val="20"/>
                <w:lang w:val="en-GB"/>
              </w:rPr>
            </w:pPr>
            <w:r w:rsidRPr="00FB1C94">
              <w:rPr>
                <w:rFonts w:ascii="Arial" w:hAnsi="Arial" w:cs="Arial"/>
                <w:sz w:val="20"/>
                <w:lang w:val="en-GB"/>
              </w:rPr>
              <w:t>20 (0, 36)</w:t>
            </w:r>
          </w:p>
        </w:tc>
        <w:tc>
          <w:tcPr>
            <w:tcW w:w="1275" w:type="dxa"/>
            <w:shd w:val="clear" w:color="auto" w:fill="auto"/>
          </w:tcPr>
          <w:p w:rsidR="00380F61" w:rsidRPr="00FB1C94" w:rsidRDefault="00380F61" w:rsidP="00BD4096">
            <w:pPr>
              <w:jc w:val="center"/>
              <w:rPr>
                <w:rFonts w:ascii="Arial" w:hAnsi="Arial" w:cs="Arial"/>
                <w:sz w:val="20"/>
                <w:lang w:val="en-GB"/>
              </w:rPr>
            </w:pPr>
            <w:r w:rsidRPr="00FB1C94">
              <w:rPr>
                <w:rFonts w:ascii="Arial" w:hAnsi="Arial" w:cs="Arial"/>
                <w:sz w:val="20"/>
                <w:lang w:val="en-GB"/>
              </w:rPr>
              <w:t>0.0458</w:t>
            </w:r>
          </w:p>
        </w:tc>
      </w:tr>
      <w:tr w:rsidR="00762C17" w:rsidRPr="00BD4096" w:rsidTr="00B641F2">
        <w:tc>
          <w:tcPr>
            <w:tcW w:w="1011" w:type="dxa"/>
            <w:vMerge/>
            <w:shd w:val="clear" w:color="auto" w:fill="auto"/>
          </w:tcPr>
          <w:p w:rsidR="00380F61" w:rsidRPr="00FB1C94" w:rsidRDefault="00380F61">
            <w:pPr>
              <w:jc w:val="left"/>
              <w:rPr>
                <w:rFonts w:ascii="Arial" w:hAnsi="Arial" w:cs="Arial"/>
                <w:sz w:val="20"/>
                <w:lang w:val="en-GB"/>
              </w:rPr>
            </w:pPr>
          </w:p>
        </w:tc>
        <w:tc>
          <w:tcPr>
            <w:tcW w:w="2151" w:type="dxa"/>
            <w:shd w:val="clear" w:color="auto" w:fill="auto"/>
          </w:tcPr>
          <w:p w:rsidR="00380F61" w:rsidRPr="00FB1C94" w:rsidRDefault="00380F61" w:rsidP="00BD4096">
            <w:pPr>
              <w:jc w:val="left"/>
              <w:rPr>
                <w:rFonts w:ascii="Arial" w:hAnsi="Arial" w:cs="Arial"/>
                <w:sz w:val="20"/>
                <w:lang w:val="en-GB"/>
              </w:rPr>
            </w:pPr>
            <w:r w:rsidRPr="00FB1C94">
              <w:rPr>
                <w:rFonts w:ascii="Arial" w:hAnsi="Arial" w:cs="Arial"/>
                <w:sz w:val="20"/>
                <w:lang w:val="en-GB"/>
              </w:rPr>
              <w:t>Days to 1</w:t>
            </w:r>
            <w:r w:rsidRPr="00FB1C94">
              <w:rPr>
                <w:rFonts w:ascii="Arial" w:hAnsi="Arial" w:cs="Arial"/>
                <w:sz w:val="20"/>
                <w:vertAlign w:val="superscript"/>
                <w:lang w:val="en-GB"/>
              </w:rPr>
              <w:t>st</w:t>
            </w:r>
            <w:r w:rsidRPr="00FB1C94">
              <w:rPr>
                <w:rFonts w:ascii="Arial" w:hAnsi="Arial" w:cs="Arial"/>
                <w:sz w:val="20"/>
                <w:lang w:val="en-GB"/>
              </w:rPr>
              <w:t xml:space="preserve"> worsening of asthma</w:t>
            </w:r>
          </w:p>
        </w:tc>
        <w:tc>
          <w:tcPr>
            <w:tcW w:w="1701" w:type="dxa"/>
            <w:shd w:val="clear" w:color="auto" w:fill="auto"/>
          </w:tcPr>
          <w:p w:rsidR="00380F61" w:rsidRPr="00BD4096" w:rsidRDefault="00380F61" w:rsidP="00BD4096">
            <w:pPr>
              <w:jc w:val="center"/>
              <w:rPr>
                <w:rFonts w:ascii="Arial" w:hAnsi="Arial" w:cs="Arial"/>
                <w:sz w:val="20"/>
                <w:lang w:val="en-GB"/>
              </w:rPr>
            </w:pPr>
            <w:r w:rsidRPr="00FB1C94">
              <w:rPr>
                <w:rFonts w:ascii="Arial" w:hAnsi="Arial" w:cs="Arial"/>
                <w:sz w:val="20"/>
                <w:lang w:val="en-GB"/>
              </w:rPr>
              <w:t>315</w:t>
            </w:r>
            <w:r w:rsidRPr="00BD4096">
              <w:rPr>
                <w:rFonts w:ascii="Arial" w:hAnsi="Arial" w:cs="Arial"/>
                <w:sz w:val="20"/>
                <w:lang w:val="en-GB"/>
              </w:rPr>
              <w:t xml:space="preserve"> </w:t>
            </w:r>
            <w:r w:rsidRPr="00B641F2">
              <w:rPr>
                <w:rFonts w:ascii="Arial" w:hAnsi="Arial" w:cs="Arial"/>
                <w:sz w:val="20"/>
                <w:vertAlign w:val="superscript"/>
                <w:lang w:val="en-GB"/>
              </w:rPr>
              <w:t>b</w:t>
            </w:r>
          </w:p>
        </w:tc>
        <w:tc>
          <w:tcPr>
            <w:tcW w:w="1559" w:type="dxa"/>
            <w:shd w:val="clear" w:color="auto" w:fill="auto"/>
          </w:tcPr>
          <w:p w:rsidR="00380F61" w:rsidRPr="00BD4096" w:rsidRDefault="00380F61" w:rsidP="00BD4096">
            <w:pPr>
              <w:jc w:val="center"/>
              <w:rPr>
                <w:rFonts w:ascii="Arial" w:hAnsi="Arial" w:cs="Arial"/>
                <w:sz w:val="20"/>
                <w:lang w:val="en-GB"/>
              </w:rPr>
            </w:pPr>
            <w:r w:rsidRPr="00BD4096">
              <w:rPr>
                <w:rFonts w:ascii="Arial" w:hAnsi="Arial" w:cs="Arial"/>
                <w:sz w:val="20"/>
                <w:lang w:val="en-GB"/>
              </w:rPr>
              <w:t xml:space="preserve">181 </w:t>
            </w:r>
            <w:r w:rsidRPr="00B641F2">
              <w:rPr>
                <w:rFonts w:ascii="Arial" w:hAnsi="Arial" w:cs="Arial"/>
                <w:sz w:val="20"/>
                <w:vertAlign w:val="superscript"/>
                <w:lang w:val="en-GB"/>
              </w:rPr>
              <w:t>b</w:t>
            </w:r>
          </w:p>
        </w:tc>
        <w:tc>
          <w:tcPr>
            <w:tcW w:w="1418" w:type="dxa"/>
            <w:shd w:val="clear" w:color="auto" w:fill="auto"/>
          </w:tcPr>
          <w:p w:rsidR="00380F61" w:rsidRPr="00BD4096" w:rsidRDefault="00380F61">
            <w:pPr>
              <w:jc w:val="center"/>
              <w:rPr>
                <w:rFonts w:ascii="Arial" w:hAnsi="Arial" w:cs="Arial"/>
                <w:sz w:val="20"/>
                <w:lang w:val="en-GB"/>
              </w:rPr>
            </w:pPr>
            <w:r w:rsidRPr="00BD4096">
              <w:rPr>
                <w:rFonts w:ascii="Arial" w:hAnsi="Arial" w:cs="Arial"/>
                <w:sz w:val="20"/>
                <w:lang w:val="en-GB"/>
              </w:rPr>
              <w:t>31 (18, 42)</w:t>
            </w:r>
          </w:p>
        </w:tc>
        <w:tc>
          <w:tcPr>
            <w:tcW w:w="1275" w:type="dxa"/>
            <w:shd w:val="clear" w:color="auto" w:fill="auto"/>
          </w:tcPr>
          <w:p w:rsidR="00380F61" w:rsidRPr="00BD4096" w:rsidRDefault="00380F61">
            <w:pPr>
              <w:jc w:val="center"/>
              <w:rPr>
                <w:rFonts w:ascii="Arial" w:hAnsi="Arial" w:cs="Arial"/>
                <w:sz w:val="20"/>
                <w:lang w:val="en-GB"/>
              </w:rPr>
            </w:pPr>
            <w:r w:rsidRPr="00BD4096">
              <w:rPr>
                <w:rFonts w:ascii="Arial" w:hAnsi="Arial" w:cs="Arial"/>
                <w:sz w:val="20"/>
                <w:lang w:val="en-GB"/>
              </w:rPr>
              <w:t>&lt;0.0001</w:t>
            </w:r>
          </w:p>
        </w:tc>
      </w:tr>
      <w:tr w:rsidR="00762C17" w:rsidRPr="00BD4096" w:rsidTr="00B641F2">
        <w:tc>
          <w:tcPr>
            <w:tcW w:w="1011" w:type="dxa"/>
            <w:vMerge/>
            <w:shd w:val="clear" w:color="auto" w:fill="auto"/>
          </w:tcPr>
          <w:p w:rsidR="00380F61" w:rsidRPr="00FB1C94" w:rsidRDefault="00380F61">
            <w:pPr>
              <w:jc w:val="left"/>
              <w:rPr>
                <w:rFonts w:ascii="Arial" w:hAnsi="Arial" w:cs="Arial"/>
                <w:sz w:val="20"/>
                <w:lang w:val="en-GB"/>
              </w:rPr>
            </w:pPr>
          </w:p>
        </w:tc>
        <w:tc>
          <w:tcPr>
            <w:tcW w:w="2151" w:type="dxa"/>
            <w:shd w:val="clear" w:color="auto" w:fill="auto"/>
          </w:tcPr>
          <w:p w:rsidR="00380F61" w:rsidRPr="00FB1C94" w:rsidRDefault="00380F61" w:rsidP="00BD4096">
            <w:pPr>
              <w:jc w:val="left"/>
              <w:rPr>
                <w:rFonts w:ascii="Arial" w:hAnsi="Arial" w:cs="Arial"/>
                <w:sz w:val="20"/>
              </w:rPr>
            </w:pPr>
            <w:r w:rsidRPr="00FB1C94">
              <w:rPr>
                <w:rFonts w:ascii="Arial" w:hAnsi="Arial" w:cs="Arial"/>
                <w:sz w:val="20"/>
              </w:rPr>
              <w:t>Mean number of asthma worsening / patient year</w:t>
            </w:r>
          </w:p>
        </w:tc>
        <w:tc>
          <w:tcPr>
            <w:tcW w:w="1701" w:type="dxa"/>
            <w:shd w:val="clear" w:color="auto" w:fill="auto"/>
          </w:tcPr>
          <w:p w:rsidR="00380F61" w:rsidRPr="00FB1C94" w:rsidRDefault="00380F61" w:rsidP="00BD4096">
            <w:pPr>
              <w:jc w:val="center"/>
              <w:rPr>
                <w:rFonts w:ascii="Arial" w:hAnsi="Arial" w:cs="Arial"/>
                <w:sz w:val="20"/>
                <w:lang w:val="en-GB"/>
              </w:rPr>
            </w:pPr>
            <w:r w:rsidRPr="00FB1C94">
              <w:rPr>
                <w:rFonts w:ascii="Arial" w:hAnsi="Arial" w:cs="Arial"/>
                <w:sz w:val="20"/>
                <w:lang w:val="en-GB"/>
              </w:rPr>
              <w:t>2.145</w:t>
            </w:r>
          </w:p>
        </w:tc>
        <w:tc>
          <w:tcPr>
            <w:tcW w:w="1559" w:type="dxa"/>
            <w:shd w:val="clear" w:color="auto" w:fill="auto"/>
          </w:tcPr>
          <w:p w:rsidR="00380F61" w:rsidRPr="00FB1C94" w:rsidRDefault="00380F61" w:rsidP="00BD4096">
            <w:pPr>
              <w:jc w:val="center"/>
              <w:rPr>
                <w:rFonts w:ascii="Arial" w:hAnsi="Arial" w:cs="Arial"/>
                <w:sz w:val="20"/>
                <w:lang w:val="en-GB"/>
              </w:rPr>
            </w:pPr>
            <w:r w:rsidRPr="00FB1C94">
              <w:rPr>
                <w:rFonts w:ascii="Arial" w:hAnsi="Arial" w:cs="Arial"/>
                <w:sz w:val="20"/>
                <w:lang w:val="en-GB"/>
              </w:rPr>
              <w:t>2.835</w:t>
            </w:r>
          </w:p>
        </w:tc>
        <w:tc>
          <w:tcPr>
            <w:tcW w:w="1418" w:type="dxa"/>
            <w:shd w:val="clear" w:color="auto" w:fill="auto"/>
          </w:tcPr>
          <w:p w:rsidR="00380F61" w:rsidRPr="00FB1C94" w:rsidRDefault="00380F61" w:rsidP="00BD4096">
            <w:pPr>
              <w:jc w:val="center"/>
              <w:rPr>
                <w:rFonts w:ascii="Arial" w:hAnsi="Arial" w:cs="Arial"/>
                <w:sz w:val="20"/>
                <w:lang w:val="en-GB"/>
              </w:rPr>
            </w:pPr>
            <w:r w:rsidRPr="00FB1C94">
              <w:rPr>
                <w:rFonts w:ascii="Arial" w:hAnsi="Arial" w:cs="Arial"/>
                <w:sz w:val="20"/>
                <w:lang w:val="en-GB"/>
              </w:rPr>
              <w:t>24 (9, 37)</w:t>
            </w:r>
          </w:p>
        </w:tc>
        <w:tc>
          <w:tcPr>
            <w:tcW w:w="1275" w:type="dxa"/>
            <w:shd w:val="clear" w:color="auto" w:fill="auto"/>
          </w:tcPr>
          <w:p w:rsidR="00380F61" w:rsidRPr="00FB1C94" w:rsidRDefault="00380F61" w:rsidP="00BD4096">
            <w:pPr>
              <w:jc w:val="center"/>
              <w:rPr>
                <w:rFonts w:ascii="Arial" w:hAnsi="Arial" w:cs="Arial"/>
                <w:sz w:val="20"/>
                <w:lang w:val="en-GB"/>
              </w:rPr>
            </w:pPr>
            <w:r w:rsidRPr="00FB1C94">
              <w:rPr>
                <w:rFonts w:ascii="Arial" w:hAnsi="Arial" w:cs="Arial"/>
                <w:sz w:val="20"/>
                <w:lang w:val="en-GB"/>
              </w:rPr>
              <w:t>0.0031</w:t>
            </w:r>
          </w:p>
        </w:tc>
      </w:tr>
    </w:tbl>
    <w:p w:rsidR="00380F61" w:rsidRPr="009530C3" w:rsidRDefault="00380F61" w:rsidP="009530C3">
      <w:pPr>
        <w:spacing w:after="120"/>
        <w:jc w:val="left"/>
        <w:rPr>
          <w:rFonts w:ascii="Arial" w:hAnsi="Arial"/>
          <w:sz w:val="20"/>
        </w:rPr>
      </w:pPr>
      <w:proofErr w:type="spellStart"/>
      <w:r w:rsidRPr="00500DB4">
        <w:rPr>
          <w:rFonts w:ascii="Arial" w:hAnsi="Arial"/>
          <w:sz w:val="20"/>
          <w:vertAlign w:val="superscript"/>
        </w:rPr>
        <w:t>a</w:t>
      </w:r>
      <w:r w:rsidRPr="00500DB4">
        <w:rPr>
          <w:rFonts w:ascii="Arial" w:hAnsi="Arial"/>
          <w:sz w:val="20"/>
        </w:rPr>
        <w:t>Hazard</w:t>
      </w:r>
      <w:proofErr w:type="spellEnd"/>
      <w:r w:rsidRPr="00500DB4">
        <w:rPr>
          <w:rFonts w:ascii="Arial" w:hAnsi="Arial"/>
          <w:sz w:val="20"/>
        </w:rPr>
        <w:t xml:space="preserve"> ratio, confidence interval and p−value obtained from a Cox proportional hazards model with only treatment as effect. The percentage risk reduction is 100 (1 – hazard ratio)</w:t>
      </w:r>
      <w:r w:rsidRPr="00500DB4">
        <w:rPr>
          <w:rFonts w:ascii="Arial" w:hAnsi="Arial"/>
          <w:sz w:val="20"/>
        </w:rPr>
        <w:br/>
      </w:r>
      <w:proofErr w:type="spellStart"/>
      <w:r w:rsidRPr="009530C3">
        <w:rPr>
          <w:rFonts w:ascii="Arial" w:hAnsi="Arial"/>
          <w:sz w:val="20"/>
          <w:vertAlign w:val="superscript"/>
        </w:rPr>
        <w:t>b</w:t>
      </w:r>
      <w:r w:rsidRPr="009530C3">
        <w:rPr>
          <w:rFonts w:ascii="Arial" w:hAnsi="Arial"/>
          <w:sz w:val="20"/>
        </w:rPr>
        <w:t>Time</w:t>
      </w:r>
      <w:proofErr w:type="spellEnd"/>
      <w:r w:rsidRPr="009530C3">
        <w:rPr>
          <w:rFonts w:ascii="Arial" w:hAnsi="Arial"/>
          <w:sz w:val="20"/>
        </w:rPr>
        <w:t xml:space="preserve"> to first event: days on treatment by when 25% of patients had at least one severe asthma exacerbation/worsening of asthma</w:t>
      </w:r>
    </w:p>
    <w:p w:rsidR="00252348" w:rsidRDefault="00380F61" w:rsidP="009530C3">
      <w:pPr>
        <w:keepNext/>
        <w:jc w:val="center"/>
      </w:pPr>
      <w:r w:rsidRPr="00BD4096">
        <w:rPr>
          <w:rFonts w:ascii="Arial" w:hAnsi="Arial"/>
          <w:noProof/>
          <w:sz w:val="22"/>
          <w:szCs w:val="22"/>
          <w:lang w:val="en-AU" w:eastAsia="en-AU"/>
        </w:rPr>
        <w:drawing>
          <wp:inline distT="0" distB="0" distL="0" distR="0" wp14:anchorId="13F006EE" wp14:editId="7A4686FD">
            <wp:extent cx="2409825" cy="2409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p w:rsidR="00252348" w:rsidRPr="009530C3" w:rsidRDefault="00252348" w:rsidP="009530C3">
      <w:pPr>
        <w:spacing w:before="120" w:after="120"/>
        <w:jc w:val="left"/>
        <w:rPr>
          <w:rFonts w:ascii="Arial" w:hAnsi="Arial" w:cs="Arial"/>
          <w:b/>
          <w:bCs/>
          <w:sz w:val="22"/>
          <w:szCs w:val="22"/>
        </w:rPr>
      </w:pPr>
      <w:r w:rsidRPr="009530C3">
        <w:rPr>
          <w:rFonts w:ascii="Arial" w:hAnsi="Arial" w:cs="Arial"/>
          <w:b/>
          <w:bCs/>
          <w:sz w:val="22"/>
          <w:szCs w:val="22"/>
        </w:rPr>
        <w:t xml:space="preserve">Figure </w:t>
      </w:r>
      <w:r w:rsidRPr="009530C3">
        <w:rPr>
          <w:rFonts w:ascii="Arial" w:hAnsi="Arial" w:cs="Arial"/>
          <w:b/>
          <w:bCs/>
          <w:sz w:val="22"/>
          <w:szCs w:val="22"/>
        </w:rPr>
        <w:fldChar w:fldCharType="begin"/>
      </w:r>
      <w:r w:rsidRPr="009530C3">
        <w:rPr>
          <w:rFonts w:ascii="Arial" w:hAnsi="Arial" w:cs="Arial"/>
          <w:b/>
          <w:bCs/>
          <w:sz w:val="22"/>
          <w:szCs w:val="22"/>
        </w:rPr>
        <w:instrText xml:space="preserve"> SEQ Figure \* ARABIC </w:instrText>
      </w:r>
      <w:r w:rsidRPr="009530C3">
        <w:rPr>
          <w:rFonts w:ascii="Arial" w:hAnsi="Arial" w:cs="Arial"/>
          <w:b/>
          <w:bCs/>
          <w:sz w:val="22"/>
          <w:szCs w:val="22"/>
        </w:rPr>
        <w:fldChar w:fldCharType="separate"/>
      </w:r>
      <w:r w:rsidR="00991225">
        <w:rPr>
          <w:rFonts w:ascii="Arial" w:hAnsi="Arial" w:cs="Arial"/>
          <w:b/>
          <w:bCs/>
          <w:noProof/>
          <w:sz w:val="22"/>
          <w:szCs w:val="22"/>
        </w:rPr>
        <w:t>3</w:t>
      </w:r>
      <w:r w:rsidRPr="009530C3">
        <w:rPr>
          <w:rFonts w:ascii="Arial" w:hAnsi="Arial" w:cs="Arial"/>
          <w:b/>
          <w:bCs/>
          <w:sz w:val="22"/>
          <w:szCs w:val="22"/>
        </w:rPr>
        <w:fldChar w:fldCharType="end"/>
      </w:r>
      <w:r w:rsidRPr="009530C3">
        <w:rPr>
          <w:rFonts w:ascii="Arial" w:hAnsi="Arial" w:cs="Arial"/>
          <w:b/>
          <w:bCs/>
          <w:sz w:val="22"/>
          <w:szCs w:val="22"/>
        </w:rPr>
        <w:t>:</w:t>
      </w:r>
      <w:r w:rsidRPr="009530C3">
        <w:rPr>
          <w:rFonts w:ascii="Arial" w:hAnsi="Arial" w:cs="Arial"/>
          <w:b/>
          <w:bCs/>
          <w:sz w:val="22"/>
          <w:szCs w:val="22"/>
        </w:rPr>
        <w:tab/>
        <w:t xml:space="preserve">Severe </w:t>
      </w:r>
      <w:r w:rsidR="00FB7B4D">
        <w:rPr>
          <w:rFonts w:ascii="Arial" w:hAnsi="Arial" w:cs="Arial"/>
          <w:b/>
          <w:bCs/>
          <w:sz w:val="22"/>
          <w:szCs w:val="22"/>
        </w:rPr>
        <w:t>a</w:t>
      </w:r>
      <w:r w:rsidR="00FB7B4D" w:rsidRPr="009530C3">
        <w:rPr>
          <w:rFonts w:ascii="Arial" w:hAnsi="Arial" w:cs="Arial"/>
          <w:b/>
          <w:bCs/>
          <w:sz w:val="22"/>
          <w:szCs w:val="22"/>
        </w:rPr>
        <w:t xml:space="preserve">sthma </w:t>
      </w:r>
      <w:r w:rsidR="00FB7B4D">
        <w:rPr>
          <w:rFonts w:ascii="Arial" w:hAnsi="Arial" w:cs="Arial"/>
          <w:b/>
          <w:bCs/>
          <w:sz w:val="22"/>
          <w:szCs w:val="22"/>
        </w:rPr>
        <w:t>e</w:t>
      </w:r>
      <w:r w:rsidR="00FB7B4D" w:rsidRPr="009530C3">
        <w:rPr>
          <w:rFonts w:ascii="Arial" w:hAnsi="Arial" w:cs="Arial"/>
          <w:b/>
          <w:bCs/>
          <w:sz w:val="22"/>
          <w:szCs w:val="22"/>
        </w:rPr>
        <w:t xml:space="preserve">xacerbations </w:t>
      </w:r>
      <w:r w:rsidRPr="009530C3">
        <w:rPr>
          <w:rFonts w:ascii="Arial" w:hAnsi="Arial" w:cs="Arial"/>
          <w:b/>
          <w:bCs/>
          <w:sz w:val="22"/>
          <w:szCs w:val="22"/>
        </w:rPr>
        <w:t xml:space="preserve">over time in </w:t>
      </w:r>
      <w:proofErr w:type="spellStart"/>
      <w:r w:rsidRPr="009530C3">
        <w:rPr>
          <w:rFonts w:ascii="Arial" w:hAnsi="Arial" w:cs="Arial"/>
          <w:b/>
          <w:bCs/>
          <w:sz w:val="22"/>
          <w:szCs w:val="22"/>
        </w:rPr>
        <w:t>PrimoTinA</w:t>
      </w:r>
      <w:proofErr w:type="spellEnd"/>
      <w:r w:rsidRPr="009530C3">
        <w:rPr>
          <w:rFonts w:ascii="Arial" w:hAnsi="Arial" w:cs="Arial"/>
          <w:b/>
          <w:bCs/>
          <w:sz w:val="22"/>
          <w:szCs w:val="22"/>
        </w:rPr>
        <w:t>-asthma studies</w:t>
      </w:r>
    </w:p>
    <w:p w:rsidR="00490288" w:rsidRPr="009530C3" w:rsidRDefault="00490288" w:rsidP="009530C3">
      <w:pPr>
        <w:numPr>
          <w:ilvl w:val="0"/>
          <w:numId w:val="17"/>
        </w:numPr>
        <w:spacing w:before="120" w:after="120"/>
        <w:rPr>
          <w:rFonts w:ascii="Arial" w:hAnsi="Arial"/>
          <w:sz w:val="22"/>
          <w:szCs w:val="22"/>
          <w:lang w:val="en-GB"/>
        </w:rPr>
      </w:pPr>
      <w:bookmarkStart w:id="0" w:name="IDX"/>
      <w:bookmarkEnd w:id="0"/>
      <w:r w:rsidRPr="009530C3">
        <w:rPr>
          <w:rFonts w:ascii="Arial" w:hAnsi="Arial"/>
          <w:sz w:val="22"/>
          <w:szCs w:val="22"/>
          <w:lang w:val="en-GB"/>
        </w:rPr>
        <w:t>The Asthma Control Questionnaire (ACQ) responder rates</w:t>
      </w:r>
      <w:r w:rsidR="00F019D7">
        <w:rPr>
          <w:rFonts w:ascii="Arial" w:hAnsi="Arial"/>
          <w:sz w:val="22"/>
          <w:szCs w:val="22"/>
          <w:lang w:val="en-GB"/>
        </w:rPr>
        <w:t>,</w:t>
      </w:r>
      <w:r w:rsidRPr="009530C3">
        <w:rPr>
          <w:rFonts w:ascii="Arial" w:hAnsi="Arial"/>
          <w:sz w:val="22"/>
          <w:szCs w:val="22"/>
          <w:lang w:val="en-GB"/>
        </w:rPr>
        <w:t xml:space="preserve"> defined as percentage of patients improving by at least 0.5 points, were significantly higher with </w:t>
      </w:r>
      <w:r w:rsidR="00CE1427">
        <w:rPr>
          <w:rFonts w:ascii="Arial" w:hAnsi="Arial"/>
          <w:sz w:val="22"/>
          <w:szCs w:val="22"/>
          <w:lang w:val="en-GB"/>
        </w:rPr>
        <w:t>FAVINT</w:t>
      </w:r>
      <w:r w:rsidRPr="009530C3">
        <w:rPr>
          <w:rFonts w:ascii="Arial" w:hAnsi="Arial"/>
          <w:sz w:val="22"/>
          <w:szCs w:val="22"/>
          <w:lang w:val="en-GB"/>
        </w:rPr>
        <w:t xml:space="preserve"> RESPIMAT (53.9% versus 46.9%; p=0.0427) </w:t>
      </w:r>
    </w:p>
    <w:p w:rsidR="00490288" w:rsidRPr="001120CC" w:rsidRDefault="00490288" w:rsidP="009530C3">
      <w:pPr>
        <w:numPr>
          <w:ilvl w:val="0"/>
          <w:numId w:val="20"/>
        </w:numPr>
        <w:spacing w:before="120" w:after="120"/>
        <w:rPr>
          <w:rFonts w:ascii="Arial" w:hAnsi="Arial"/>
          <w:sz w:val="22"/>
          <w:szCs w:val="22"/>
          <w:lang w:val="en-GB"/>
        </w:rPr>
      </w:pPr>
      <w:r w:rsidRPr="009530C3">
        <w:rPr>
          <w:rFonts w:ascii="Arial" w:hAnsi="Arial"/>
          <w:sz w:val="22"/>
          <w:szCs w:val="22"/>
          <w:lang w:val="en-GB"/>
        </w:rPr>
        <w:t xml:space="preserve">The Asthma Quality of Life Questionnaire (AQLQ(S)) mean scores for </w:t>
      </w:r>
      <w:r w:rsidR="00CE1427">
        <w:rPr>
          <w:rFonts w:ascii="Arial" w:hAnsi="Arial"/>
          <w:sz w:val="22"/>
          <w:szCs w:val="22"/>
        </w:rPr>
        <w:t>FAVINT</w:t>
      </w:r>
      <w:r w:rsidRPr="009530C3">
        <w:rPr>
          <w:rFonts w:ascii="Arial" w:hAnsi="Arial"/>
          <w:sz w:val="22"/>
          <w:szCs w:val="22"/>
        </w:rPr>
        <w:t xml:space="preserve"> RESPIMAT</w:t>
      </w:r>
      <w:r w:rsidRPr="009530C3">
        <w:rPr>
          <w:rFonts w:ascii="Arial" w:hAnsi="Arial"/>
          <w:sz w:val="22"/>
          <w:szCs w:val="22"/>
          <w:vertAlign w:val="superscript"/>
        </w:rPr>
        <w:t xml:space="preserve"> </w:t>
      </w:r>
      <w:r w:rsidRPr="009530C3">
        <w:rPr>
          <w:rFonts w:ascii="Arial" w:hAnsi="Arial"/>
          <w:sz w:val="22"/>
          <w:szCs w:val="22"/>
          <w:lang w:val="en-GB"/>
        </w:rPr>
        <w:t xml:space="preserve">improved significantly over placebo at week 24 </w:t>
      </w:r>
      <w:r w:rsidR="003F2ACA" w:rsidRPr="001120CC">
        <w:rPr>
          <w:rFonts w:ascii="Arial" w:hAnsi="Arial"/>
          <w:sz w:val="22"/>
          <w:szCs w:val="22"/>
          <w:lang w:val="en-GB"/>
        </w:rPr>
        <w:t xml:space="preserve">(treatment difference: 0.117, 95% CI: 0.011, 0.223, p=0.0312). </w:t>
      </w:r>
    </w:p>
    <w:p w:rsidR="00100430" w:rsidRDefault="00100430" w:rsidP="009530C3">
      <w:pPr>
        <w:pStyle w:val="PIHeading1"/>
        <w:ind w:left="0" w:firstLine="0"/>
      </w:pPr>
      <w:r>
        <w:t>INDICATIONS</w:t>
      </w:r>
    </w:p>
    <w:p w:rsidR="00894E07" w:rsidRPr="009530C3" w:rsidRDefault="00894E07" w:rsidP="009530C3">
      <w:pPr>
        <w:pStyle w:val="TextPI"/>
        <w:spacing w:line="240" w:lineRule="auto"/>
        <w:rPr>
          <w:b/>
          <w:bCs/>
        </w:rPr>
      </w:pPr>
      <w:r w:rsidRPr="009530C3">
        <w:rPr>
          <w:b/>
          <w:bCs/>
        </w:rPr>
        <w:t>COPD</w:t>
      </w:r>
    </w:p>
    <w:p w:rsidR="00100430" w:rsidRDefault="00CE1427" w:rsidP="009530C3">
      <w:pPr>
        <w:pStyle w:val="TextPI"/>
        <w:spacing w:line="240" w:lineRule="auto"/>
      </w:pPr>
      <w:r>
        <w:t>FAVINT</w:t>
      </w:r>
      <w:r w:rsidR="00100430">
        <w:t xml:space="preserve"> </w:t>
      </w:r>
      <w:r w:rsidR="00FD1562">
        <w:t>RESPIMAT</w:t>
      </w:r>
      <w:r w:rsidR="000E2A8C">
        <w:t xml:space="preserve"> </w:t>
      </w:r>
      <w:r w:rsidR="00100430">
        <w:t>is indicated for the long term maintenance treatment of bronchospasm and dyspnoea associated with chronic obstructive pulmonary disease (COPD).</w:t>
      </w:r>
      <w:r w:rsidR="00125570">
        <w:t xml:space="preserve">  </w:t>
      </w:r>
      <w:r>
        <w:t>FAVINT</w:t>
      </w:r>
      <w:r w:rsidR="00817A90" w:rsidRPr="00817A90">
        <w:t xml:space="preserve"> </w:t>
      </w:r>
      <w:r w:rsidR="00252348">
        <w:t xml:space="preserve">RESPIMAT </w:t>
      </w:r>
      <w:r w:rsidR="00817A90" w:rsidRPr="00817A90">
        <w:t>is indicated for the prevention of COPD exacerbations.</w:t>
      </w:r>
    </w:p>
    <w:p w:rsidR="00894E07" w:rsidRPr="009530C3" w:rsidRDefault="00894E07" w:rsidP="00741500">
      <w:pPr>
        <w:pStyle w:val="TextPI"/>
        <w:pageBreakBefore/>
        <w:spacing w:line="240" w:lineRule="auto"/>
        <w:rPr>
          <w:b/>
          <w:bCs/>
        </w:rPr>
      </w:pPr>
      <w:bookmarkStart w:id="1" w:name="_GoBack"/>
      <w:bookmarkEnd w:id="1"/>
      <w:r w:rsidRPr="009530C3">
        <w:rPr>
          <w:b/>
          <w:bCs/>
        </w:rPr>
        <w:lastRenderedPageBreak/>
        <w:t>Asthma</w:t>
      </w:r>
    </w:p>
    <w:p w:rsidR="000E2A8C" w:rsidRDefault="00CE1427" w:rsidP="009530C3">
      <w:pPr>
        <w:pStyle w:val="TextPI"/>
        <w:spacing w:line="240" w:lineRule="auto"/>
      </w:pPr>
      <w:r>
        <w:t>FAVINT</w:t>
      </w:r>
      <w:r w:rsidR="000E2A8C">
        <w:t xml:space="preserve"> </w:t>
      </w:r>
      <w:r w:rsidR="00FD1562">
        <w:t>RESPIMAT</w:t>
      </w:r>
      <w:r w:rsidR="000E2A8C">
        <w:t xml:space="preserve"> is indicated as add-on maintenance </w:t>
      </w:r>
      <w:r w:rsidR="00F019D7">
        <w:t xml:space="preserve">bronchodilator </w:t>
      </w:r>
      <w:r w:rsidR="000E2A8C">
        <w:t xml:space="preserve">treatment </w:t>
      </w:r>
      <w:r w:rsidR="00F019D7">
        <w:t xml:space="preserve">in adult patients with asthma </w:t>
      </w:r>
      <w:r w:rsidR="000E2A8C">
        <w:t xml:space="preserve">who </w:t>
      </w:r>
      <w:r w:rsidR="00F019D7" w:rsidRPr="00F019D7">
        <w:t>are currently treated with the maintenance combination of inhaled corticosteroids (≥800</w:t>
      </w:r>
      <w:r w:rsidR="00E039E0">
        <w:t> </w:t>
      </w:r>
      <w:r w:rsidR="00F019D7" w:rsidRPr="00F019D7">
        <w:t>µg budesonide/day or equivalent) and long-acting ß</w:t>
      </w:r>
      <w:r w:rsidR="00F019D7" w:rsidRPr="00D77467">
        <w:rPr>
          <w:vertAlign w:val="subscript"/>
        </w:rPr>
        <w:t>2</w:t>
      </w:r>
      <w:r w:rsidR="00F019D7" w:rsidRPr="00F019D7">
        <w:t xml:space="preserve"> agonists and who experienced one or more severe exacerbations in the previous year</w:t>
      </w:r>
      <w:r w:rsidR="000E2A8C">
        <w:t>.</w:t>
      </w:r>
    </w:p>
    <w:p w:rsidR="00100430" w:rsidRDefault="00100430" w:rsidP="005152C5">
      <w:pPr>
        <w:pStyle w:val="PIHeading1"/>
      </w:pPr>
      <w:r>
        <w:t>CONTRAINDICATIONS</w:t>
      </w:r>
    </w:p>
    <w:p w:rsidR="00100430" w:rsidRDefault="00CE1427" w:rsidP="009530C3">
      <w:pPr>
        <w:pStyle w:val="TextPI"/>
        <w:spacing w:line="240" w:lineRule="auto"/>
      </w:pPr>
      <w:r>
        <w:t>FAVINT</w:t>
      </w:r>
      <w:r w:rsidR="00100430">
        <w:t xml:space="preserve"> </w:t>
      </w:r>
      <w:r w:rsidR="00FD1562">
        <w:t>RESPIMAT</w:t>
      </w:r>
      <w:r w:rsidR="00C20495">
        <w:t xml:space="preserve"> </w:t>
      </w:r>
      <w:r w:rsidR="00100430">
        <w:t xml:space="preserve">is contraindicated in patients with a history of hypersensitivity to </w:t>
      </w:r>
      <w:r w:rsidR="00970D50" w:rsidRPr="00970D50">
        <w:t>tiotropium bromide</w:t>
      </w:r>
      <w:r w:rsidR="00970D50">
        <w:t>,</w:t>
      </w:r>
      <w:r w:rsidR="00970D50" w:rsidRPr="00970D50">
        <w:t xml:space="preserve"> </w:t>
      </w:r>
      <w:r w:rsidR="00100430">
        <w:t>atropine or its derivatives, e.g. ipratropium or oxitropium or to any other component of this product</w:t>
      </w:r>
      <w:r w:rsidR="00626C1A">
        <w:t xml:space="preserve"> (see list of excipients in </w:t>
      </w:r>
      <w:r w:rsidR="00C20495">
        <w:rPr>
          <w:i/>
        </w:rPr>
        <w:t>Description</w:t>
      </w:r>
      <w:r w:rsidR="00626C1A">
        <w:t>)</w:t>
      </w:r>
      <w:r w:rsidR="00100430">
        <w:t>.</w:t>
      </w:r>
    </w:p>
    <w:p w:rsidR="00100430" w:rsidRDefault="00100430" w:rsidP="005152C5">
      <w:pPr>
        <w:pStyle w:val="PIHeading1"/>
      </w:pPr>
      <w:r>
        <w:t>PRECAUTIONS</w:t>
      </w:r>
    </w:p>
    <w:p w:rsidR="00100430" w:rsidRDefault="00CE1427" w:rsidP="009530C3">
      <w:pPr>
        <w:pStyle w:val="TextPI"/>
        <w:spacing w:line="240" w:lineRule="auto"/>
      </w:pPr>
      <w:r>
        <w:t>FAVINT</w:t>
      </w:r>
      <w:r w:rsidR="00BE6BA6">
        <w:t xml:space="preserve"> </w:t>
      </w:r>
      <w:r w:rsidR="00FD1562">
        <w:t>RESPIMAT</w:t>
      </w:r>
      <w:r w:rsidR="00100430">
        <w:t>, as a once daily maintenance bronchodilator, should not be used for the treatment of acute episodes of bronchospasm</w:t>
      </w:r>
      <w:r w:rsidR="00BE6BA6">
        <w:t xml:space="preserve"> or for the relief of acute symptoms</w:t>
      </w:r>
      <w:r w:rsidR="00100430">
        <w:t>.</w:t>
      </w:r>
      <w:r w:rsidR="00BE6BA6">
        <w:t xml:space="preserve">  In the event of an acute attack, a rapid-acting beta-2-agonist should be used.</w:t>
      </w:r>
    </w:p>
    <w:p w:rsidR="00BE6BA6" w:rsidRPr="009530C3" w:rsidRDefault="00CE1427" w:rsidP="009530C3">
      <w:pPr>
        <w:pStyle w:val="TextPI"/>
        <w:spacing w:line="240" w:lineRule="auto"/>
        <w:rPr>
          <w:lang w:val="en-US"/>
        </w:rPr>
      </w:pPr>
      <w:r>
        <w:rPr>
          <w:lang w:val="en-US"/>
        </w:rPr>
        <w:t>FAVINT</w:t>
      </w:r>
      <w:r w:rsidR="00BE6BA6" w:rsidRPr="00BE6BA6">
        <w:rPr>
          <w:lang w:val="en-US"/>
        </w:rPr>
        <w:t xml:space="preserve"> </w:t>
      </w:r>
      <w:r w:rsidR="00FD1562">
        <w:rPr>
          <w:lang w:val="en-US"/>
        </w:rPr>
        <w:t>RESPIMAT</w:t>
      </w:r>
      <w:r w:rsidR="00BE6BA6" w:rsidRPr="00BE6BA6">
        <w:rPr>
          <w:lang w:val="en-US"/>
        </w:rPr>
        <w:t xml:space="preserve"> should not be used as a first-line treatment for asthma. </w:t>
      </w:r>
      <w:r w:rsidR="00970D50" w:rsidRPr="00970D50">
        <w:rPr>
          <w:lang w:val="en-US"/>
        </w:rPr>
        <w:t xml:space="preserve">Patients with </w:t>
      </w:r>
      <w:r w:rsidR="00970D50">
        <w:rPr>
          <w:lang w:val="en-US"/>
        </w:rPr>
        <w:t>a</w:t>
      </w:r>
      <w:r w:rsidR="00BE6BA6" w:rsidRPr="00BE6BA6">
        <w:rPr>
          <w:lang w:val="en-US"/>
        </w:rPr>
        <w:t xml:space="preserve">sthma must be advised to continue taking anti-inflammatory therapy, i.e. inhaled corticosteroids, </w:t>
      </w:r>
      <w:proofErr w:type="gramStart"/>
      <w:r w:rsidR="00BE6BA6" w:rsidRPr="00BE6BA6">
        <w:rPr>
          <w:lang w:val="en-US"/>
        </w:rPr>
        <w:t>unchanged</w:t>
      </w:r>
      <w:proofErr w:type="gramEnd"/>
      <w:r w:rsidR="00BE6BA6" w:rsidRPr="00BE6BA6">
        <w:rPr>
          <w:lang w:val="en-US"/>
        </w:rPr>
        <w:t xml:space="preserve"> after the introduction of </w:t>
      </w:r>
      <w:r>
        <w:rPr>
          <w:lang w:val="en-US"/>
        </w:rPr>
        <w:t>FAVINT</w:t>
      </w:r>
      <w:r w:rsidR="00BE6BA6">
        <w:rPr>
          <w:lang w:val="en-US"/>
        </w:rPr>
        <w:t xml:space="preserve"> </w:t>
      </w:r>
      <w:r w:rsidR="00FD1562">
        <w:rPr>
          <w:lang w:val="en-US"/>
        </w:rPr>
        <w:t>RESPIMAT</w:t>
      </w:r>
      <w:r w:rsidR="00BE6BA6" w:rsidRPr="00BE6BA6">
        <w:rPr>
          <w:lang w:val="en-US"/>
        </w:rPr>
        <w:t>, even when their symptoms improve.</w:t>
      </w:r>
    </w:p>
    <w:p w:rsidR="00100430" w:rsidRDefault="00100430" w:rsidP="009530C3">
      <w:pPr>
        <w:pStyle w:val="TextPI"/>
        <w:spacing w:line="240" w:lineRule="auto"/>
      </w:pPr>
      <w:r>
        <w:t xml:space="preserve">Immediate hypersensitivity reactions may occur after administration of </w:t>
      </w:r>
      <w:r w:rsidR="00CE1427">
        <w:t>FAVINT</w:t>
      </w:r>
      <w:r w:rsidR="00A64F4C">
        <w:t xml:space="preserve"> </w:t>
      </w:r>
      <w:r w:rsidR="00FD1562">
        <w:t>RESPIMAT</w:t>
      </w:r>
      <w:r w:rsidR="00A64F4C">
        <w:t xml:space="preserve"> solution for inhalation</w:t>
      </w:r>
      <w:r>
        <w:t>.</w:t>
      </w:r>
    </w:p>
    <w:p w:rsidR="00100430" w:rsidRDefault="00100430" w:rsidP="009530C3">
      <w:pPr>
        <w:pStyle w:val="TextPI"/>
        <w:spacing w:line="240" w:lineRule="auto"/>
      </w:pPr>
      <w:r>
        <w:t xml:space="preserve">As with other anticholinergic drugs, </w:t>
      </w:r>
      <w:r w:rsidR="00CE1427">
        <w:t>FAVINT</w:t>
      </w:r>
      <w:r>
        <w:t xml:space="preserve"> </w:t>
      </w:r>
      <w:r w:rsidR="00252348">
        <w:t xml:space="preserve">RESPIMAT </w:t>
      </w:r>
      <w:r>
        <w:t>should be used with caution in patients with narrow-angle glaucoma, prostatic hyperplasia or bladder-neck obstruction.</w:t>
      </w:r>
      <w:r w:rsidR="008A59CF">
        <w:t xml:space="preserve"> </w:t>
      </w:r>
      <w:r w:rsidR="00F3094A">
        <w:t xml:space="preserve">In a meta-analysis of placebo-controlled trials, </w:t>
      </w:r>
      <w:r w:rsidR="00CE1427">
        <w:t>FAVINT</w:t>
      </w:r>
      <w:r w:rsidR="00F3094A">
        <w:t xml:space="preserve"> was associated with a non-significant increase in the risk of urinary retention, and a significant increase in the risk of micturition difficulties.</w:t>
      </w:r>
    </w:p>
    <w:p w:rsidR="004768F1" w:rsidRDefault="004768F1" w:rsidP="009530C3">
      <w:pPr>
        <w:pStyle w:val="TextPI"/>
        <w:spacing w:line="240" w:lineRule="auto"/>
      </w:pPr>
      <w:r>
        <w:t>Dry mouth, which has been observed with anticholinergic treatment, may in the long term be associated with dental caries.</w:t>
      </w:r>
    </w:p>
    <w:p w:rsidR="00323E37" w:rsidRDefault="00CC5A12" w:rsidP="009530C3">
      <w:pPr>
        <w:pStyle w:val="TextPI"/>
        <w:spacing w:line="240" w:lineRule="auto"/>
      </w:pPr>
      <w:r>
        <w:t xml:space="preserve">Inhaled medicines </w:t>
      </w:r>
      <w:r w:rsidR="00323E37">
        <w:t>may cause inhalation-induced bronchospasm.</w:t>
      </w:r>
    </w:p>
    <w:p w:rsidR="00970D50" w:rsidRDefault="00970D50" w:rsidP="009530C3">
      <w:pPr>
        <w:pStyle w:val="TextPI"/>
        <w:spacing w:line="240" w:lineRule="auto"/>
      </w:pPr>
      <w:r w:rsidRPr="00A25DE6">
        <w:t>Tiotropium should be used with caution in patients with recent myocardial infarction &lt;</w:t>
      </w:r>
      <w:r>
        <w:t> </w:t>
      </w:r>
      <w:r w:rsidRPr="00A25DE6">
        <w:t>6</w:t>
      </w:r>
      <w:r>
        <w:t> </w:t>
      </w:r>
      <w:r w:rsidRPr="00A25DE6">
        <w:t>months; any unstable or life</w:t>
      </w:r>
      <w:r>
        <w:t>-</w:t>
      </w:r>
      <w:r w:rsidRPr="00A25DE6">
        <w:t xml:space="preserve">threatening cardiac arrhythmia or cardiac arrhythmia requiring intervention or a change in drug therapy in the past year; hospitalisation of heart failure (NYHA Class III or IV) within the past year. These patients were excluded from the clinical trials and these conditions may be affected by the anticholinergic mechanism of action. </w:t>
      </w:r>
    </w:p>
    <w:p w:rsidR="006E5624" w:rsidRDefault="006E5624" w:rsidP="009530C3">
      <w:pPr>
        <w:pStyle w:val="TextPI"/>
        <w:spacing w:line="240" w:lineRule="auto"/>
      </w:pPr>
      <w:r>
        <w:t xml:space="preserve">As with all predominantly renally excreted drugs, </w:t>
      </w:r>
      <w:r w:rsidR="00CE1427">
        <w:t>FAVINT</w:t>
      </w:r>
      <w:r>
        <w:t xml:space="preserve"> use should be monitored closely in patients with moderate to severe renal impairment (creatinine clearance of </w:t>
      </w:r>
      <w:r>
        <w:sym w:font="Symbol" w:char="F0A3"/>
      </w:r>
      <w:r>
        <w:t xml:space="preserve"> 50 mL/min) (</w:t>
      </w:r>
      <w:r w:rsidRPr="00550946">
        <w:t>see</w:t>
      </w:r>
      <w:r>
        <w:rPr>
          <w:i/>
        </w:rPr>
        <w:t xml:space="preserve"> Pharmacokinetics</w:t>
      </w:r>
      <w:r>
        <w:t>).</w:t>
      </w:r>
      <w:r w:rsidR="004768F1">
        <w:t xml:space="preserve"> There is no long term experience in patients with severe renal impairment.</w:t>
      </w:r>
    </w:p>
    <w:p w:rsidR="00100430" w:rsidRDefault="00100430" w:rsidP="009530C3">
      <w:pPr>
        <w:pStyle w:val="TextPI"/>
        <w:spacing w:line="240" w:lineRule="auto"/>
      </w:pPr>
      <w:r>
        <w:t xml:space="preserve">Patients must be instructed in the correct administration of </w:t>
      </w:r>
      <w:r w:rsidR="00CE1427">
        <w:t>FAVINT</w:t>
      </w:r>
      <w:r>
        <w:t xml:space="preserve">. Care must be taken not to allow the </w:t>
      </w:r>
      <w:r w:rsidR="002C6552">
        <w:t>solution or mist</w:t>
      </w:r>
      <w:r>
        <w:t xml:space="preserve"> to enter into the eyes. Eye pain or discomfort, blurred vision, visual halos or coloured images in association with red eyes from conjunctival congestion and corneal oedema may be signs of </w:t>
      </w:r>
      <w:r w:rsidR="00323E37">
        <w:t xml:space="preserve">acute </w:t>
      </w:r>
      <w:r>
        <w:t>narrow-angle glaucoma. Should any combination of these symptoms develop specialist advice should be sought immediately. Miotic eye drops are not considered to be effective treatment.</w:t>
      </w:r>
    </w:p>
    <w:p w:rsidR="00100430" w:rsidRDefault="00CE1427" w:rsidP="009530C3">
      <w:pPr>
        <w:pStyle w:val="TextPI"/>
        <w:spacing w:line="240" w:lineRule="auto"/>
      </w:pPr>
      <w:r>
        <w:t>FAVINT</w:t>
      </w:r>
      <w:r w:rsidR="00100430">
        <w:t xml:space="preserve"> </w:t>
      </w:r>
      <w:r w:rsidR="002C6552">
        <w:t xml:space="preserve">RESPIMAT </w:t>
      </w:r>
      <w:r w:rsidR="00100430">
        <w:t>should not be used more frequently than once daily (</w:t>
      </w:r>
      <w:r w:rsidR="00100430" w:rsidRPr="00550946">
        <w:t>see</w:t>
      </w:r>
      <w:r w:rsidR="00100430">
        <w:rPr>
          <w:i/>
        </w:rPr>
        <w:t xml:space="preserve"> Overdose</w:t>
      </w:r>
      <w:r w:rsidR="00100430">
        <w:t>).</w:t>
      </w:r>
    </w:p>
    <w:p w:rsidR="00D40853" w:rsidRDefault="00CE1427" w:rsidP="009530C3">
      <w:pPr>
        <w:pStyle w:val="TextPI"/>
        <w:spacing w:line="240" w:lineRule="auto"/>
      </w:pPr>
      <w:r>
        <w:lastRenderedPageBreak/>
        <w:t>FAVINT</w:t>
      </w:r>
      <w:r w:rsidR="00167D95">
        <w:t xml:space="preserve"> </w:t>
      </w:r>
      <w:r w:rsidR="002C6552">
        <w:t>cartridges are</w:t>
      </w:r>
      <w:r w:rsidR="00167D95">
        <w:t xml:space="preserve"> to be used only with </w:t>
      </w:r>
      <w:r w:rsidR="00FD1562">
        <w:t>RESPIMAT</w:t>
      </w:r>
      <w:r w:rsidR="00D40853">
        <w:t xml:space="preserve"> inhaler</w:t>
      </w:r>
      <w:r w:rsidR="000F3EDF">
        <w:t xml:space="preserve"> (</w:t>
      </w:r>
      <w:r w:rsidR="000F3EDF" w:rsidRPr="00127C3F">
        <w:t xml:space="preserve">see </w:t>
      </w:r>
      <w:r w:rsidR="00FD1562">
        <w:rPr>
          <w:i/>
        </w:rPr>
        <w:t>RESPIMAT</w:t>
      </w:r>
      <w:r w:rsidR="00F61109" w:rsidRPr="00F61109">
        <w:rPr>
          <w:i/>
        </w:rPr>
        <w:t xml:space="preserve"> inhaler instructions for use</w:t>
      </w:r>
      <w:r w:rsidR="000F3EDF" w:rsidRPr="00127C3F">
        <w:t>)</w:t>
      </w:r>
      <w:r w:rsidR="00D40853">
        <w:t>.</w:t>
      </w:r>
    </w:p>
    <w:p w:rsidR="0049080E" w:rsidRPr="00BA03AA" w:rsidRDefault="0049080E" w:rsidP="001B144E">
      <w:pPr>
        <w:pStyle w:val="PItextbolditalic"/>
        <w:keepNext/>
        <w:keepLines/>
        <w:rPr>
          <w:i w:val="0"/>
          <w:iCs/>
        </w:rPr>
      </w:pPr>
      <w:r>
        <w:rPr>
          <w:i w:val="0"/>
          <w:iCs/>
        </w:rPr>
        <w:t>Effects o</w:t>
      </w:r>
      <w:r w:rsidRPr="00BA03AA">
        <w:rPr>
          <w:i w:val="0"/>
          <w:iCs/>
        </w:rPr>
        <w:t>n fertility</w:t>
      </w:r>
    </w:p>
    <w:p w:rsidR="0049080E" w:rsidRDefault="00CE2CCD" w:rsidP="009530C3">
      <w:pPr>
        <w:pStyle w:val="TextPI"/>
        <w:keepNext/>
        <w:keepLines/>
        <w:spacing w:line="240" w:lineRule="auto"/>
      </w:pPr>
      <w:r>
        <w:t xml:space="preserve">Clinical data on fertility are not available for tiotropium.  </w:t>
      </w:r>
      <w:r w:rsidR="0049080E">
        <w:t xml:space="preserve">Tiotropium (as bromide) did not affect the fertility of male or female rats when administered by inhalation at doses up to </w:t>
      </w:r>
      <w:r w:rsidR="00D77467">
        <w:t>2 </w:t>
      </w:r>
      <w:r w:rsidR="0049080E">
        <w:t xml:space="preserve">mg/kg (750x the maximum recommended human daily dose of </w:t>
      </w:r>
      <w:r w:rsidR="00B641F2">
        <w:t>the drug</w:t>
      </w:r>
      <w:r w:rsidR="0049080E">
        <w:t>, based on body surface area).</w:t>
      </w:r>
    </w:p>
    <w:p w:rsidR="0049080E" w:rsidRPr="003062A6" w:rsidRDefault="0049080E" w:rsidP="001B144E">
      <w:pPr>
        <w:pStyle w:val="PItextbolditalic"/>
        <w:rPr>
          <w:i w:val="0"/>
          <w:iCs/>
        </w:rPr>
      </w:pPr>
      <w:r w:rsidRPr="003062A6">
        <w:rPr>
          <w:i w:val="0"/>
          <w:iCs/>
        </w:rPr>
        <w:t>Use in Pregnancy: (Category B1)</w:t>
      </w:r>
    </w:p>
    <w:p w:rsidR="0049080E" w:rsidRDefault="008A54B4" w:rsidP="009530C3">
      <w:pPr>
        <w:pStyle w:val="TextPI"/>
        <w:spacing w:line="240" w:lineRule="auto"/>
      </w:pPr>
      <w:r>
        <w:t>There is a limited amount of data from the use of tiotropium in pregnant women.</w:t>
      </w:r>
      <w:r w:rsidR="0049080E">
        <w:t xml:space="preserve"> </w:t>
      </w:r>
      <w:r w:rsidR="0049080E" w:rsidRPr="00B607E7">
        <w:t xml:space="preserve">Reproductive toxicity studies with tiotropium bromide administered by inhalation to rats and rabbits at doses up to 2.0 and 0.5 mg/kg/day, respectively, produced no evidence of fetal malformations. These doses correspond to 750x and 400x the maximum recommended human daily dose of </w:t>
      </w:r>
      <w:r w:rsidR="00B641F2">
        <w:t>the drug</w:t>
      </w:r>
      <w:r w:rsidR="00814485">
        <w:t xml:space="preserve"> </w:t>
      </w:r>
      <w:r w:rsidR="0049080E" w:rsidRPr="00B607E7">
        <w:t>based on body surface area.</w:t>
      </w:r>
      <w:r w:rsidR="0049080E">
        <w:t xml:space="preserve"> </w:t>
      </w:r>
      <w:r>
        <w:t>A</w:t>
      </w:r>
      <w:r w:rsidR="0049080E">
        <w:t xml:space="preserve">nimal studies do not </w:t>
      </w:r>
      <w:r>
        <w:t>indicate</w:t>
      </w:r>
      <w:r w:rsidR="0049080E">
        <w:t xml:space="preserve"> direct or indirect harmful effects with respect to </w:t>
      </w:r>
      <w:r>
        <w:t>reproductive toxicity at clinically relevant doses</w:t>
      </w:r>
      <w:r w:rsidR="0049080E">
        <w:t xml:space="preserve">. </w:t>
      </w:r>
    </w:p>
    <w:p w:rsidR="0049080E" w:rsidRDefault="008A54B4" w:rsidP="009530C3">
      <w:pPr>
        <w:pStyle w:val="TextPI"/>
        <w:spacing w:line="240" w:lineRule="auto"/>
      </w:pPr>
      <w:r>
        <w:t xml:space="preserve">As a precautionary measure, it is preferable to avoid the use of </w:t>
      </w:r>
      <w:r w:rsidR="00CE1427">
        <w:t>FAVINT</w:t>
      </w:r>
      <w:r>
        <w:t xml:space="preserve"> </w:t>
      </w:r>
      <w:r w:rsidR="00FD1562">
        <w:t>RESPIMAT</w:t>
      </w:r>
      <w:r>
        <w:t xml:space="preserve"> during pregnancy.</w:t>
      </w:r>
    </w:p>
    <w:p w:rsidR="0049080E" w:rsidRPr="003062A6" w:rsidRDefault="0049080E" w:rsidP="001B144E">
      <w:pPr>
        <w:pStyle w:val="PItextbolditalic"/>
        <w:rPr>
          <w:i w:val="0"/>
          <w:iCs/>
        </w:rPr>
      </w:pPr>
      <w:r w:rsidRPr="003062A6">
        <w:rPr>
          <w:i w:val="0"/>
          <w:iCs/>
        </w:rPr>
        <w:t>Use in Lactation</w:t>
      </w:r>
    </w:p>
    <w:p w:rsidR="0049080E" w:rsidRDefault="0049080E" w:rsidP="009530C3">
      <w:pPr>
        <w:pStyle w:val="TextPI"/>
        <w:spacing w:line="240" w:lineRule="auto"/>
      </w:pPr>
      <w:r>
        <w:t>Clinical data from lactating women exposed to tiotropium are not available. Based on studies in lactating rats, a small amount of tiotropium is excreted in breast milk.</w:t>
      </w:r>
    </w:p>
    <w:p w:rsidR="0049080E" w:rsidRDefault="0049080E" w:rsidP="009530C3">
      <w:pPr>
        <w:pStyle w:val="TextPI"/>
        <w:spacing w:line="240" w:lineRule="auto"/>
      </w:pPr>
      <w:r>
        <w:t xml:space="preserve">Therefore, </w:t>
      </w:r>
      <w:r w:rsidR="00CE1427">
        <w:t>FAVINT</w:t>
      </w:r>
      <w:r w:rsidR="002C6552">
        <w:t xml:space="preserve"> RESPIMAT</w:t>
      </w:r>
      <w:r>
        <w:t xml:space="preserve"> should not be used in lactating women unless the expected benefit outweighs any possible risk to the infant.</w:t>
      </w:r>
    </w:p>
    <w:p w:rsidR="0049080E" w:rsidRPr="007D10B8" w:rsidRDefault="0049080E" w:rsidP="001B144E">
      <w:pPr>
        <w:pStyle w:val="PItextbolditalic"/>
        <w:rPr>
          <w:i w:val="0"/>
          <w:iCs/>
        </w:rPr>
      </w:pPr>
      <w:r>
        <w:rPr>
          <w:i w:val="0"/>
          <w:iCs/>
        </w:rPr>
        <w:t>Paediatric use</w:t>
      </w:r>
    </w:p>
    <w:p w:rsidR="00C20495" w:rsidRDefault="003F2ACA" w:rsidP="009530C3">
      <w:pPr>
        <w:pStyle w:val="TextPI"/>
        <w:spacing w:line="240" w:lineRule="auto"/>
      </w:pPr>
      <w:r w:rsidRPr="001120CC">
        <w:rPr>
          <w:lang w:val="en-US"/>
        </w:rPr>
        <w:t xml:space="preserve">COPD does not normally occur in children. </w:t>
      </w:r>
      <w:r w:rsidR="0049080E">
        <w:t xml:space="preserve">The safety and effectiveness of </w:t>
      </w:r>
      <w:r w:rsidR="00CE1427">
        <w:t>FAVINT</w:t>
      </w:r>
      <w:r w:rsidR="0049080E">
        <w:t xml:space="preserve"> </w:t>
      </w:r>
      <w:r w:rsidR="00FD1562">
        <w:t>RESPIMAT</w:t>
      </w:r>
      <w:r w:rsidR="00C20495">
        <w:t xml:space="preserve"> </w:t>
      </w:r>
      <w:r w:rsidR="0049080E">
        <w:t xml:space="preserve">in paediatric patients </w:t>
      </w:r>
      <w:r w:rsidR="0049080E">
        <w:rPr>
          <w:rFonts w:ascii="Helvetica" w:hAnsi="Helvetica"/>
        </w:rPr>
        <w:t xml:space="preserve">has </w:t>
      </w:r>
      <w:r w:rsidR="0049080E">
        <w:t xml:space="preserve">not been established. </w:t>
      </w:r>
    </w:p>
    <w:p w:rsidR="0049080E" w:rsidRPr="009530C3" w:rsidRDefault="00C20495" w:rsidP="009530C3">
      <w:pPr>
        <w:pStyle w:val="TextPI"/>
        <w:spacing w:line="240" w:lineRule="auto"/>
        <w:rPr>
          <w:lang w:val="en-US"/>
        </w:rPr>
      </w:pPr>
      <w:r>
        <w:t xml:space="preserve">The efficacy and safety of </w:t>
      </w:r>
      <w:r w:rsidR="00CE1427">
        <w:t>FAVINT</w:t>
      </w:r>
      <w:r>
        <w:t xml:space="preserve"> </w:t>
      </w:r>
      <w:r w:rsidR="00FD1562">
        <w:t>RESPIMAT</w:t>
      </w:r>
      <w:r>
        <w:t xml:space="preserve"> in paediatric patients with asthma has not yet been established.</w:t>
      </w:r>
      <w:r w:rsidR="0049080E">
        <w:t xml:space="preserve"> </w:t>
      </w:r>
    </w:p>
    <w:p w:rsidR="0049080E" w:rsidRPr="00AD5846" w:rsidRDefault="0049080E" w:rsidP="001B144E">
      <w:pPr>
        <w:pStyle w:val="PItextbolditalic"/>
        <w:rPr>
          <w:i w:val="0"/>
          <w:iCs/>
        </w:rPr>
      </w:pPr>
      <w:r w:rsidRPr="00AD5846">
        <w:rPr>
          <w:i w:val="0"/>
          <w:iCs/>
        </w:rPr>
        <w:t>Use in the elderly</w:t>
      </w:r>
    </w:p>
    <w:p w:rsidR="0049080E" w:rsidRDefault="0049080E" w:rsidP="009530C3">
      <w:pPr>
        <w:pStyle w:val="TextPI"/>
        <w:spacing w:line="240" w:lineRule="auto"/>
      </w:pPr>
      <w:r>
        <w:t xml:space="preserve">Elderly patients can use </w:t>
      </w:r>
      <w:r w:rsidR="00CE1427">
        <w:t>FAVINT</w:t>
      </w:r>
      <w:r>
        <w:t xml:space="preserve"> </w:t>
      </w:r>
      <w:r w:rsidR="00FD1562">
        <w:t>RESPIMAT</w:t>
      </w:r>
      <w:r w:rsidR="00C20495">
        <w:t xml:space="preserve"> </w:t>
      </w:r>
      <w:r>
        <w:t xml:space="preserve">at the recommended dose.  Renal clearance of tiotropium is likely to be slower in elderly patients (see </w:t>
      </w:r>
      <w:r>
        <w:rPr>
          <w:i/>
        </w:rPr>
        <w:t>Renal Impairment</w:t>
      </w:r>
      <w:r>
        <w:t>).</w:t>
      </w:r>
    </w:p>
    <w:p w:rsidR="0049080E" w:rsidRDefault="0049080E" w:rsidP="00500DB4">
      <w:pPr>
        <w:pStyle w:val="PItextbolditalic"/>
        <w:keepNext/>
        <w:rPr>
          <w:i w:val="0"/>
          <w:iCs/>
        </w:rPr>
      </w:pPr>
      <w:r w:rsidRPr="007F63B6">
        <w:rPr>
          <w:i w:val="0"/>
          <w:iCs/>
        </w:rPr>
        <w:t>Genotoxicity</w:t>
      </w:r>
    </w:p>
    <w:p w:rsidR="0049080E" w:rsidRPr="0049080E" w:rsidRDefault="0049080E" w:rsidP="001B144E">
      <w:pPr>
        <w:pStyle w:val="PItextbolditalic"/>
        <w:rPr>
          <w:b w:val="0"/>
          <w:bCs/>
          <w:i w:val="0"/>
          <w:iCs/>
        </w:rPr>
      </w:pPr>
      <w:r w:rsidRPr="0049080E">
        <w:rPr>
          <w:b w:val="0"/>
          <w:bCs/>
          <w:i w:val="0"/>
          <w:iCs/>
        </w:rPr>
        <w:t xml:space="preserve">Tiotropium (as bromide) did not exhibit any genotoxic effects in assays for gene mutation (bacteria and mammalian cells </w:t>
      </w:r>
      <w:r w:rsidRPr="00B641F2">
        <w:rPr>
          <w:b w:val="0"/>
          <w:bCs/>
        </w:rPr>
        <w:t>in vitro</w:t>
      </w:r>
      <w:r w:rsidRPr="0049080E">
        <w:rPr>
          <w:b w:val="0"/>
          <w:bCs/>
          <w:i w:val="0"/>
          <w:iCs/>
        </w:rPr>
        <w:t xml:space="preserve"> and </w:t>
      </w:r>
      <w:r w:rsidRPr="00B641F2">
        <w:rPr>
          <w:b w:val="0"/>
          <w:bCs/>
        </w:rPr>
        <w:t>in vivo</w:t>
      </w:r>
      <w:r w:rsidRPr="0049080E">
        <w:rPr>
          <w:b w:val="0"/>
          <w:bCs/>
          <w:i w:val="0"/>
          <w:iCs/>
        </w:rPr>
        <w:t xml:space="preserve"> mouse micronucleus test) or DNA damage (rat hepatocytes </w:t>
      </w:r>
      <w:r w:rsidRPr="00B641F2">
        <w:rPr>
          <w:b w:val="0"/>
          <w:bCs/>
        </w:rPr>
        <w:t>in vitro</w:t>
      </w:r>
      <w:r w:rsidRPr="0049080E">
        <w:rPr>
          <w:b w:val="0"/>
          <w:bCs/>
          <w:i w:val="0"/>
          <w:iCs/>
        </w:rPr>
        <w:t>).</w:t>
      </w:r>
    </w:p>
    <w:p w:rsidR="00527EF5" w:rsidRPr="00527EF5" w:rsidRDefault="00527EF5" w:rsidP="009530C3">
      <w:pPr>
        <w:pStyle w:val="TextPI"/>
        <w:spacing w:line="240" w:lineRule="auto"/>
        <w:rPr>
          <w:b/>
          <w:bCs/>
        </w:rPr>
      </w:pPr>
      <w:r w:rsidRPr="00527EF5">
        <w:rPr>
          <w:b/>
          <w:bCs/>
        </w:rPr>
        <w:t>Carcinogenicity</w:t>
      </w:r>
    </w:p>
    <w:p w:rsidR="00527EF5" w:rsidRDefault="00527EF5" w:rsidP="009530C3">
      <w:pPr>
        <w:pStyle w:val="TextPI"/>
        <w:spacing w:line="240" w:lineRule="auto"/>
      </w:pPr>
      <w:r>
        <w:t xml:space="preserve">Long-term carcinogenicity studies in mice and rats, with tiotropium (as bromide) administered by inhalation, showed no evidence of neoplastic responses. The highest doses studied were approximately 0.8x (male mouse), 38x (female mouse) and 16x (rat) greater than the maximum recommended human daily dose of </w:t>
      </w:r>
      <w:r w:rsidR="00B641F2">
        <w:t>the drug</w:t>
      </w:r>
      <w:r>
        <w:t xml:space="preserve">, based on body surface area. </w:t>
      </w:r>
    </w:p>
    <w:p w:rsidR="00100430" w:rsidRPr="009530C3" w:rsidRDefault="005152C5" w:rsidP="001B144E">
      <w:pPr>
        <w:pStyle w:val="PItextbolditalic"/>
        <w:rPr>
          <w:i w:val="0"/>
          <w:iCs/>
        </w:rPr>
      </w:pPr>
      <w:r w:rsidRPr="009530C3">
        <w:rPr>
          <w:i w:val="0"/>
          <w:iCs/>
        </w:rPr>
        <w:t>Hepatic Impairment</w:t>
      </w:r>
    </w:p>
    <w:p w:rsidR="00100430" w:rsidRDefault="00100430" w:rsidP="009530C3">
      <w:pPr>
        <w:pStyle w:val="TextPI"/>
        <w:spacing w:line="240" w:lineRule="auto"/>
      </w:pPr>
      <w:r>
        <w:t>There are no data on the use of tiotropium in patients with hepatic impairment. As tiotropium is primarily cleared by renal mechanisms, no dosage adjustment is recommended. However patients should be monitored closely.</w:t>
      </w:r>
    </w:p>
    <w:p w:rsidR="00100430" w:rsidRPr="009530C3" w:rsidRDefault="005152C5" w:rsidP="001B144E">
      <w:pPr>
        <w:pStyle w:val="PItextbolditalic"/>
        <w:rPr>
          <w:i w:val="0"/>
          <w:iCs/>
        </w:rPr>
      </w:pPr>
      <w:r w:rsidRPr="009530C3">
        <w:rPr>
          <w:i w:val="0"/>
          <w:iCs/>
        </w:rPr>
        <w:lastRenderedPageBreak/>
        <w:t>Renal Impairment</w:t>
      </w:r>
    </w:p>
    <w:p w:rsidR="00FE7DDD" w:rsidRDefault="00100430" w:rsidP="001B144E">
      <w:pPr>
        <w:pStyle w:val="PItextbolditalic"/>
        <w:keepNext/>
        <w:keepLines/>
        <w:rPr>
          <w:b w:val="0"/>
          <w:bCs/>
          <w:i w:val="0"/>
          <w:iCs/>
        </w:rPr>
      </w:pPr>
      <w:r w:rsidRPr="00FE7DDD">
        <w:rPr>
          <w:b w:val="0"/>
          <w:bCs/>
          <w:i w:val="0"/>
          <w:iCs/>
        </w:rPr>
        <w:t xml:space="preserve">Renally-impaired patients can use </w:t>
      </w:r>
      <w:r w:rsidR="00CE1427" w:rsidRPr="00FE7DDD">
        <w:rPr>
          <w:b w:val="0"/>
          <w:bCs/>
          <w:i w:val="0"/>
          <w:iCs/>
        </w:rPr>
        <w:t>FAVINT</w:t>
      </w:r>
      <w:r w:rsidRPr="00FE7DDD">
        <w:rPr>
          <w:b w:val="0"/>
          <w:bCs/>
          <w:i w:val="0"/>
          <w:iCs/>
        </w:rPr>
        <w:t xml:space="preserve"> </w:t>
      </w:r>
      <w:r w:rsidR="00FD1562" w:rsidRPr="00FE7DDD">
        <w:rPr>
          <w:b w:val="0"/>
          <w:bCs/>
          <w:i w:val="0"/>
          <w:iCs/>
        </w:rPr>
        <w:t>RESPIMAT</w:t>
      </w:r>
      <w:r w:rsidR="0049080E" w:rsidRPr="00FE7DDD">
        <w:rPr>
          <w:b w:val="0"/>
          <w:bCs/>
          <w:i w:val="0"/>
          <w:iCs/>
        </w:rPr>
        <w:t xml:space="preserve"> </w:t>
      </w:r>
      <w:r w:rsidRPr="00FE7DDD">
        <w:rPr>
          <w:b w:val="0"/>
          <w:bCs/>
          <w:i w:val="0"/>
          <w:iCs/>
        </w:rPr>
        <w:t xml:space="preserve">at the recommended dose. However, as with all predominantly renally excreted drugs, </w:t>
      </w:r>
      <w:r w:rsidR="00CE1427" w:rsidRPr="00FE7DDD">
        <w:rPr>
          <w:b w:val="0"/>
          <w:bCs/>
          <w:i w:val="0"/>
          <w:iCs/>
        </w:rPr>
        <w:t>FAVINT</w:t>
      </w:r>
      <w:r w:rsidRPr="00FE7DDD">
        <w:rPr>
          <w:b w:val="0"/>
          <w:bCs/>
          <w:i w:val="0"/>
          <w:iCs/>
        </w:rPr>
        <w:t xml:space="preserve"> </w:t>
      </w:r>
      <w:r w:rsidR="00FD1562" w:rsidRPr="00FE7DDD">
        <w:rPr>
          <w:b w:val="0"/>
          <w:bCs/>
          <w:i w:val="0"/>
          <w:iCs/>
        </w:rPr>
        <w:t>RESPIMAT</w:t>
      </w:r>
      <w:r w:rsidR="0049080E" w:rsidRPr="00FE7DDD">
        <w:rPr>
          <w:b w:val="0"/>
          <w:bCs/>
          <w:i w:val="0"/>
          <w:iCs/>
        </w:rPr>
        <w:t xml:space="preserve"> </w:t>
      </w:r>
      <w:r w:rsidRPr="00FE7DDD">
        <w:rPr>
          <w:b w:val="0"/>
          <w:bCs/>
          <w:i w:val="0"/>
          <w:iCs/>
        </w:rPr>
        <w:t xml:space="preserve">use should be monitored closely in </w:t>
      </w:r>
      <w:r w:rsidR="00162E0C" w:rsidRPr="00FE7DDD">
        <w:rPr>
          <w:b w:val="0"/>
          <w:bCs/>
          <w:i w:val="0"/>
          <w:iCs/>
        </w:rPr>
        <w:t xml:space="preserve">COPD and asthma </w:t>
      </w:r>
      <w:r w:rsidRPr="00FE7DDD">
        <w:rPr>
          <w:b w:val="0"/>
          <w:bCs/>
          <w:i w:val="0"/>
          <w:iCs/>
        </w:rPr>
        <w:t>patients with moderate to severe renal impairment</w:t>
      </w:r>
      <w:r w:rsidR="00162E0C" w:rsidRPr="00FE7DDD">
        <w:rPr>
          <w:b w:val="0"/>
          <w:bCs/>
          <w:i w:val="0"/>
          <w:iCs/>
        </w:rPr>
        <w:t xml:space="preserve"> (creatinine clearance </w:t>
      </w:r>
      <w:r w:rsidR="00162E0C" w:rsidRPr="00FE7DDD">
        <w:rPr>
          <w:rFonts w:cs="Arial"/>
          <w:b w:val="0"/>
          <w:bCs/>
          <w:i w:val="0"/>
          <w:iCs/>
        </w:rPr>
        <w:t>≤</w:t>
      </w:r>
      <w:r w:rsidR="00162E0C" w:rsidRPr="00FE7DDD">
        <w:rPr>
          <w:b w:val="0"/>
          <w:bCs/>
          <w:i w:val="0"/>
          <w:iCs/>
        </w:rPr>
        <w:t xml:space="preserve"> 50 mL/min)</w:t>
      </w:r>
      <w:r w:rsidRPr="00FE7DDD">
        <w:rPr>
          <w:b w:val="0"/>
          <w:bCs/>
          <w:i w:val="0"/>
          <w:iCs/>
        </w:rPr>
        <w:t>.</w:t>
      </w:r>
    </w:p>
    <w:p w:rsidR="007C3FA8" w:rsidRPr="00FE7DDD" w:rsidRDefault="007C3FA8" w:rsidP="00FE7DDD">
      <w:pPr>
        <w:pStyle w:val="PItextbolditalic"/>
        <w:rPr>
          <w:i w:val="0"/>
          <w:iCs/>
        </w:rPr>
      </w:pPr>
      <w:r w:rsidRPr="00FE7DDD">
        <w:rPr>
          <w:i w:val="0"/>
          <w:iCs/>
        </w:rPr>
        <w:t>Effects on ability to drive or operate machinery</w:t>
      </w:r>
    </w:p>
    <w:p w:rsidR="007C3FA8" w:rsidRDefault="007C3FA8" w:rsidP="009530C3">
      <w:pPr>
        <w:pStyle w:val="TextPI"/>
        <w:keepNext/>
        <w:keepLines/>
        <w:spacing w:line="240" w:lineRule="auto"/>
      </w:pPr>
      <w:r>
        <w:t>No studies on the effects on the ability to drive and use machines have been performed. The occurrence of dizziness or blurred vision may influence the ability to drive and use machinery.</w:t>
      </w:r>
    </w:p>
    <w:p w:rsidR="00100430" w:rsidRPr="007C3FA8" w:rsidRDefault="00CA27E1" w:rsidP="00BA0C74">
      <w:pPr>
        <w:pStyle w:val="PItextbolditalic"/>
        <w:rPr>
          <w:i w:val="0"/>
          <w:iCs/>
        </w:rPr>
      </w:pPr>
      <w:r w:rsidRPr="00CA27E1">
        <w:rPr>
          <w:i w:val="0"/>
          <w:iCs/>
        </w:rPr>
        <w:t>INTERACTIONS WITH OTHER MEDICINES</w:t>
      </w:r>
    </w:p>
    <w:p w:rsidR="00100430" w:rsidRDefault="00100430" w:rsidP="009530C3">
      <w:pPr>
        <w:pStyle w:val="TextPI"/>
        <w:spacing w:line="240" w:lineRule="auto"/>
      </w:pPr>
      <w:r>
        <w:t xml:space="preserve">Although no formal drug interaction studies have been performed, tiotropium </w:t>
      </w:r>
      <w:r w:rsidR="00E1486B">
        <w:t xml:space="preserve">bromide </w:t>
      </w:r>
      <w:r>
        <w:t xml:space="preserve">has been used concomitantly with other drugs </w:t>
      </w:r>
      <w:r w:rsidR="004713F0">
        <w:t>which are commonly used in the treatment of COPD</w:t>
      </w:r>
      <w:r w:rsidR="00A9117A">
        <w:t xml:space="preserve"> and asthma</w:t>
      </w:r>
      <w:r w:rsidR="004713F0">
        <w:t>,</w:t>
      </w:r>
      <w:r>
        <w:t xml:space="preserve"> includ</w:t>
      </w:r>
      <w:r w:rsidR="004713F0">
        <w:t>ing</w:t>
      </w:r>
      <w:r>
        <w:t xml:space="preserve"> sympathomimetic bronchodilators, methylxanthines, oral and inhaled steroids</w:t>
      </w:r>
      <w:r w:rsidR="007D3EA2">
        <w:t>,</w:t>
      </w:r>
      <w:r w:rsidR="004713F0">
        <w:t xml:space="preserve"> </w:t>
      </w:r>
      <w:r w:rsidR="00A9117A" w:rsidRPr="00A9117A">
        <w:t xml:space="preserve">antihistamines, </w:t>
      </w:r>
      <w:proofErr w:type="spellStart"/>
      <w:r w:rsidR="00A9117A" w:rsidRPr="00A9117A">
        <w:t>mucolytics</w:t>
      </w:r>
      <w:proofErr w:type="spellEnd"/>
      <w:r w:rsidR="00A9117A" w:rsidRPr="00A9117A">
        <w:t xml:space="preserve">, </w:t>
      </w:r>
      <w:proofErr w:type="spellStart"/>
      <w:r w:rsidR="00A9117A" w:rsidRPr="00A9117A">
        <w:t>leucotriene</w:t>
      </w:r>
      <w:proofErr w:type="spellEnd"/>
      <w:r w:rsidR="00A9117A" w:rsidRPr="00A9117A">
        <w:t xml:space="preserve"> modifiers, </w:t>
      </w:r>
      <w:proofErr w:type="spellStart"/>
      <w:r w:rsidR="00A9117A" w:rsidRPr="00A9117A">
        <w:t>cromones</w:t>
      </w:r>
      <w:proofErr w:type="spellEnd"/>
      <w:r w:rsidR="00A9117A" w:rsidRPr="00A9117A">
        <w:t xml:space="preserve"> and anti-IgE treatment</w:t>
      </w:r>
      <w:r w:rsidR="004713F0">
        <w:t xml:space="preserve"> without clinical evidence of drug interactions</w:t>
      </w:r>
      <w:r>
        <w:t>.</w:t>
      </w:r>
    </w:p>
    <w:p w:rsidR="00A64F4C" w:rsidRDefault="00A64F4C" w:rsidP="009530C3">
      <w:pPr>
        <w:pStyle w:val="TextPI"/>
        <w:spacing w:line="240" w:lineRule="auto"/>
      </w:pPr>
      <w:r w:rsidRPr="00A64F4C">
        <w:t>Common concomitant medications (LABA, ICS and their combinations) used by patients with COPD were not found to alter the exposure to tiotropium.</w:t>
      </w:r>
    </w:p>
    <w:p w:rsidR="00F025A1" w:rsidRDefault="004713F0" w:rsidP="009530C3">
      <w:pPr>
        <w:pStyle w:val="TextPI"/>
        <w:spacing w:line="240" w:lineRule="auto"/>
      </w:pPr>
      <w:r>
        <w:t xml:space="preserve">Limited information about co-administration of other anticholinergic medicines with </w:t>
      </w:r>
      <w:r w:rsidR="00CE1427">
        <w:t>FAVINT</w:t>
      </w:r>
      <w:r>
        <w:t xml:space="preserve"> is available from a clinical trial.</w:t>
      </w:r>
      <w:r w:rsidR="00100430">
        <w:t xml:space="preserve"> </w:t>
      </w:r>
      <w:r w:rsidR="00CB540D">
        <w:t xml:space="preserve">The concomitant use of SPIRIVA RESPIMAT with other anticholinergic agents (e.g. glycopyrronium, aclidinium, umeclidinium, ipratropium) is expected to have additive anticholinergic effects. </w:t>
      </w:r>
      <w:r>
        <w:t>Acute single dose administration of ipratropium bromide</w:t>
      </w:r>
      <w:r w:rsidR="00EA7D8A">
        <w:t xml:space="preserve"> after 19 days of </w:t>
      </w:r>
      <w:r w:rsidR="00CE1427">
        <w:t>FAVINT</w:t>
      </w:r>
      <w:r w:rsidR="00EA7D8A">
        <w:t xml:space="preserve"> treatment</w:t>
      </w:r>
      <w:r>
        <w:t xml:space="preserve"> in healthy volunteers (n=35) was not associated with relevant changes in vital signs or electrocardiographic</w:t>
      </w:r>
      <w:r w:rsidR="0046524F">
        <w:t xml:space="preserve"> findings. </w:t>
      </w:r>
      <w:r>
        <w:t>Adverse events were reported by 3 (9%) of subjects in the study during ipratropium treatment with tiotropium compared to 1 (3%) during placebo treatment with tiotropium. Ipratropium was associated with a 16% decrease in salivary sec</w:t>
      </w:r>
      <w:r w:rsidR="0046524F">
        <w:t xml:space="preserve">retions in healthy volunteers. </w:t>
      </w:r>
      <w:r w:rsidR="00E1486B">
        <w:t>The c</w:t>
      </w:r>
      <w:r>
        <w:t xml:space="preserve">hronic co-administration of </w:t>
      </w:r>
      <w:r w:rsidR="00E1486B">
        <w:t xml:space="preserve">tiotropium bromide with </w:t>
      </w:r>
      <w:r>
        <w:t>other anticholinergic medicines has not been studied</w:t>
      </w:r>
      <w:r w:rsidR="00E1486B">
        <w:t xml:space="preserve">.  Therefore, the chronic co-administration of other anticholinergic drugs with </w:t>
      </w:r>
      <w:r w:rsidR="00CE1427">
        <w:t>FAVINT</w:t>
      </w:r>
      <w:r w:rsidR="00E1486B">
        <w:t xml:space="preserve"> </w:t>
      </w:r>
      <w:r w:rsidR="00FD1562">
        <w:t>RESPIMAT</w:t>
      </w:r>
      <w:r>
        <w:t xml:space="preserve"> is not recommended.</w:t>
      </w:r>
    </w:p>
    <w:p w:rsidR="00100430" w:rsidRDefault="00100430" w:rsidP="009530C3">
      <w:pPr>
        <w:pStyle w:val="PIHeading1"/>
        <w:ind w:left="0" w:firstLine="0"/>
      </w:pPr>
      <w:r>
        <w:t xml:space="preserve">ADVERSE </w:t>
      </w:r>
      <w:r w:rsidR="00C03806">
        <w:t>EFFECTS</w:t>
      </w:r>
    </w:p>
    <w:p w:rsidR="009630E7" w:rsidRDefault="009630E7" w:rsidP="009530C3">
      <w:pPr>
        <w:pStyle w:val="TextPI"/>
        <w:spacing w:line="240" w:lineRule="auto"/>
      </w:pPr>
      <w:bookmarkStart w:id="2" w:name="OLE_LINK1"/>
      <w:r>
        <w:t>Many of the listed adverse</w:t>
      </w:r>
      <w:r w:rsidRPr="00D9521E">
        <w:t xml:space="preserve"> effects can be assigned to the antic</w:t>
      </w:r>
      <w:r>
        <w:t xml:space="preserve">holinergic properties of </w:t>
      </w:r>
      <w:r w:rsidR="00CE1427">
        <w:t>FAVINT</w:t>
      </w:r>
      <w:r w:rsidR="00564EFA">
        <w:t xml:space="preserve"> RESPIMAT</w:t>
      </w:r>
      <w:r w:rsidRPr="00D9521E">
        <w:t>.</w:t>
      </w:r>
    </w:p>
    <w:p w:rsidR="003D3255" w:rsidRDefault="003D3255" w:rsidP="009530C3">
      <w:pPr>
        <w:pStyle w:val="TextPI"/>
        <w:spacing w:line="240" w:lineRule="auto"/>
      </w:pPr>
      <w:r w:rsidRPr="003D3255">
        <w:t>Adverse drug reactions were identified from data obtained in clinical trials and spontaneous reporting during post approval use of the drug.</w:t>
      </w:r>
    </w:p>
    <w:p w:rsidR="00D07770" w:rsidRDefault="00D07770" w:rsidP="009530C3">
      <w:pPr>
        <w:pStyle w:val="TextPI"/>
        <w:spacing w:line="240" w:lineRule="auto"/>
        <w:rPr>
          <w:lang w:val="en-US"/>
        </w:rPr>
      </w:pPr>
      <w:r w:rsidRPr="00D07770">
        <w:rPr>
          <w:lang w:val="en-US"/>
        </w:rPr>
        <w:t xml:space="preserve">The clinical trial database for COPD includes 3,282 </w:t>
      </w:r>
      <w:r w:rsidR="00CE1427">
        <w:rPr>
          <w:lang w:val="en-US"/>
        </w:rPr>
        <w:t>FAVINT</w:t>
      </w:r>
      <w:r>
        <w:rPr>
          <w:lang w:val="en-US"/>
        </w:rPr>
        <w:t xml:space="preserve"> </w:t>
      </w:r>
      <w:r w:rsidR="00FD1562">
        <w:rPr>
          <w:lang w:val="en-US"/>
        </w:rPr>
        <w:t>RESPIMAT</w:t>
      </w:r>
      <w:r w:rsidRPr="00D07770">
        <w:rPr>
          <w:lang w:val="en-US"/>
        </w:rPr>
        <w:t xml:space="preserve"> patients from 7 placebo-controlled clinical trials with treatment periods ranging between four weeks and</w:t>
      </w:r>
      <w:r>
        <w:rPr>
          <w:lang w:val="en-US"/>
        </w:rPr>
        <w:t xml:space="preserve"> one year, contributing 2,440 person years of exposure.</w:t>
      </w:r>
    </w:p>
    <w:p w:rsidR="00BE0157" w:rsidRPr="009530C3" w:rsidRDefault="00200536" w:rsidP="009530C3">
      <w:pPr>
        <w:pStyle w:val="TextPI"/>
        <w:spacing w:line="240" w:lineRule="auto"/>
      </w:pPr>
      <w:r w:rsidRPr="009530C3">
        <w:rPr>
          <w:lang w:val="en-US"/>
        </w:rPr>
        <w:t>The clinical trial database for asthma includes 1,256 tiotropium treated patients from 6 placebo controlled trials with treatment period ranging between twelve weeks and one year, contributing 705 person years of exposure to tiotropium.</w:t>
      </w:r>
    </w:p>
    <w:bookmarkEnd w:id="2"/>
    <w:p w:rsidR="00CB540D" w:rsidRDefault="00CB540D" w:rsidP="00CB540D">
      <w:pPr>
        <w:pStyle w:val="TextPI"/>
        <w:spacing w:after="0" w:line="240" w:lineRule="auto"/>
        <w:rPr>
          <w:lang w:val="en-US"/>
        </w:rPr>
      </w:pPr>
      <w:r w:rsidRPr="003847C3">
        <w:rPr>
          <w:lang w:val="en-US"/>
        </w:rPr>
        <w:t>Frequency is defined using the following convention:</w:t>
      </w:r>
    </w:p>
    <w:p w:rsidR="00CB540D" w:rsidRPr="003847C3" w:rsidRDefault="00CB540D" w:rsidP="00CB540D">
      <w:pPr>
        <w:pStyle w:val="TextPI"/>
        <w:spacing w:before="0" w:line="240" w:lineRule="auto"/>
        <w:rPr>
          <w:lang w:val="en-US"/>
        </w:rPr>
      </w:pPr>
      <w:r w:rsidRPr="003847C3">
        <w:rPr>
          <w:lang w:val="en-US"/>
        </w:rPr>
        <w:t>Very common (≥1/10); common (≥1/100 to &lt;1/10); uncommon (≥1/1,000 to &lt;1/100); rare (≥1/10,000 to &lt;1/1,000); very rare (&lt;1/10,000), not known (cannot be estimated from the available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1239"/>
        <w:gridCol w:w="1239"/>
      </w:tblGrid>
      <w:tr w:rsidR="00CB540D" w:rsidRPr="003847C3" w:rsidTr="00A95DC2">
        <w:trPr>
          <w:cantSplit/>
          <w:tblHeader/>
        </w:trPr>
        <w:tc>
          <w:tcPr>
            <w:tcW w:w="5186" w:type="dxa"/>
          </w:tcPr>
          <w:p w:rsidR="00CB540D" w:rsidRPr="003847C3" w:rsidRDefault="00CB540D" w:rsidP="00A95DC2">
            <w:pPr>
              <w:suppressAutoHyphens/>
              <w:rPr>
                <w:rFonts w:ascii="Arial" w:hAnsi="Arial" w:cs="Arial"/>
                <w:b/>
                <w:noProof/>
                <w:sz w:val="20"/>
              </w:rPr>
            </w:pPr>
            <w:r w:rsidRPr="003847C3">
              <w:rPr>
                <w:rFonts w:ascii="Arial" w:hAnsi="Arial" w:cs="Arial"/>
                <w:b/>
                <w:noProof/>
                <w:sz w:val="20"/>
              </w:rPr>
              <w:t xml:space="preserve">System </w:t>
            </w:r>
            <w:r w:rsidRPr="003847C3">
              <w:rPr>
                <w:rFonts w:ascii="Arial" w:hAnsi="Arial" w:cs="Arial"/>
                <w:b/>
                <w:sz w:val="20"/>
              </w:rPr>
              <w:t>Organ Class / MedDRA Preferred Term</w:t>
            </w:r>
          </w:p>
        </w:tc>
        <w:tc>
          <w:tcPr>
            <w:tcW w:w="1239" w:type="dxa"/>
          </w:tcPr>
          <w:p w:rsidR="00CB540D" w:rsidRPr="003847C3" w:rsidRDefault="00CB540D" w:rsidP="00A95DC2">
            <w:pPr>
              <w:suppressAutoHyphens/>
              <w:jc w:val="center"/>
              <w:rPr>
                <w:rFonts w:ascii="Arial" w:hAnsi="Arial" w:cs="Arial"/>
                <w:b/>
                <w:sz w:val="20"/>
              </w:rPr>
            </w:pPr>
            <w:r w:rsidRPr="003847C3">
              <w:rPr>
                <w:rFonts w:ascii="Arial" w:hAnsi="Arial" w:cs="Arial"/>
                <w:b/>
                <w:sz w:val="20"/>
              </w:rPr>
              <w:t>Frequency</w:t>
            </w:r>
          </w:p>
          <w:p w:rsidR="00CB540D" w:rsidRPr="003847C3" w:rsidRDefault="00CB540D" w:rsidP="00A95DC2">
            <w:pPr>
              <w:suppressAutoHyphens/>
              <w:jc w:val="center"/>
              <w:rPr>
                <w:rFonts w:ascii="Arial" w:hAnsi="Arial" w:cs="Arial"/>
                <w:b/>
                <w:noProof/>
                <w:sz w:val="20"/>
              </w:rPr>
            </w:pPr>
            <w:r w:rsidRPr="003847C3">
              <w:rPr>
                <w:rFonts w:ascii="Arial" w:hAnsi="Arial" w:cs="Arial"/>
                <w:b/>
                <w:sz w:val="20"/>
              </w:rPr>
              <w:t>COPD</w:t>
            </w:r>
          </w:p>
        </w:tc>
        <w:tc>
          <w:tcPr>
            <w:tcW w:w="1239" w:type="dxa"/>
          </w:tcPr>
          <w:p w:rsidR="00CB540D" w:rsidRPr="003847C3" w:rsidRDefault="00CB540D" w:rsidP="00A95DC2">
            <w:pPr>
              <w:suppressAutoHyphens/>
              <w:jc w:val="center"/>
              <w:rPr>
                <w:rFonts w:ascii="Arial" w:hAnsi="Arial" w:cs="Arial"/>
                <w:b/>
                <w:sz w:val="20"/>
              </w:rPr>
            </w:pPr>
            <w:r w:rsidRPr="003847C3">
              <w:rPr>
                <w:rFonts w:ascii="Arial" w:hAnsi="Arial" w:cs="Arial"/>
                <w:b/>
                <w:sz w:val="20"/>
              </w:rPr>
              <w:t>Frequency</w:t>
            </w:r>
          </w:p>
          <w:p w:rsidR="00CB540D" w:rsidRPr="003847C3" w:rsidRDefault="00CB540D" w:rsidP="00A95DC2">
            <w:pPr>
              <w:suppressAutoHyphens/>
              <w:jc w:val="center"/>
              <w:rPr>
                <w:rFonts w:ascii="Arial" w:hAnsi="Arial" w:cs="Arial"/>
                <w:b/>
                <w:sz w:val="20"/>
              </w:rPr>
            </w:pPr>
            <w:r w:rsidRPr="003847C3">
              <w:rPr>
                <w:rFonts w:ascii="Arial" w:hAnsi="Arial" w:cs="Arial"/>
                <w:b/>
                <w:sz w:val="20"/>
              </w:rPr>
              <w:t>Asthma</w:t>
            </w:r>
          </w:p>
        </w:tc>
      </w:tr>
      <w:tr w:rsidR="00CB540D" w:rsidRPr="003847C3" w:rsidTr="00A95DC2">
        <w:tc>
          <w:tcPr>
            <w:tcW w:w="7664" w:type="dxa"/>
            <w:gridSpan w:val="3"/>
          </w:tcPr>
          <w:p w:rsidR="00CB540D" w:rsidRPr="003847C3" w:rsidRDefault="00CB540D" w:rsidP="00A95DC2">
            <w:pPr>
              <w:suppressAutoHyphens/>
              <w:jc w:val="left"/>
              <w:rPr>
                <w:rFonts w:ascii="Arial" w:hAnsi="Arial" w:cs="Arial"/>
                <w:sz w:val="20"/>
              </w:rPr>
            </w:pPr>
            <w:r w:rsidRPr="003847C3">
              <w:rPr>
                <w:rFonts w:ascii="Arial" w:hAnsi="Arial" w:cs="Arial"/>
                <w:sz w:val="20"/>
                <w:u w:val="single"/>
              </w:rPr>
              <w:lastRenderedPageBreak/>
              <w:t>Metabolism and nutrition disorders</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Dehydration</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sz w:val="20"/>
              </w:rPr>
              <w:t>Not known</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sz w:val="20"/>
              </w:rPr>
              <w:t>Not known</w:t>
            </w:r>
          </w:p>
        </w:tc>
      </w:tr>
      <w:tr w:rsidR="00CB540D" w:rsidRPr="003847C3" w:rsidTr="00A95DC2">
        <w:tc>
          <w:tcPr>
            <w:tcW w:w="7664" w:type="dxa"/>
            <w:gridSpan w:val="3"/>
          </w:tcPr>
          <w:p w:rsidR="00CB540D" w:rsidRPr="003847C3" w:rsidRDefault="00CB540D" w:rsidP="00A95DC2">
            <w:pPr>
              <w:suppressAutoHyphens/>
              <w:jc w:val="left"/>
              <w:rPr>
                <w:rFonts w:ascii="Arial" w:hAnsi="Arial" w:cs="Arial"/>
                <w:noProof/>
                <w:sz w:val="20"/>
              </w:rPr>
            </w:pPr>
            <w:r w:rsidRPr="003847C3">
              <w:rPr>
                <w:rFonts w:ascii="Arial" w:hAnsi="Arial" w:cs="Arial"/>
                <w:sz w:val="20"/>
                <w:u w:val="single"/>
              </w:rPr>
              <w:t>Nervous system disorders</w:t>
            </w:r>
          </w:p>
        </w:tc>
      </w:tr>
      <w:tr w:rsidR="00CB540D" w:rsidRPr="003847C3" w:rsidTr="00A95DC2">
        <w:tc>
          <w:tcPr>
            <w:tcW w:w="5186" w:type="dxa"/>
          </w:tcPr>
          <w:p w:rsidR="00CB540D" w:rsidRPr="003847C3" w:rsidRDefault="00CB540D" w:rsidP="00A95DC2">
            <w:pPr>
              <w:suppressAutoHyphens/>
              <w:rPr>
                <w:rFonts w:ascii="Arial" w:hAnsi="Arial" w:cs="Arial"/>
                <w:noProof/>
                <w:sz w:val="20"/>
              </w:rPr>
            </w:pPr>
            <w:r w:rsidRPr="003847C3">
              <w:rPr>
                <w:rFonts w:ascii="Arial" w:hAnsi="Arial" w:cs="Arial"/>
                <w:noProof/>
                <w:sz w:val="20"/>
              </w:rPr>
              <w:t>Dizziness</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r>
      <w:tr w:rsidR="00CB540D" w:rsidRPr="003847C3" w:rsidTr="00A95DC2">
        <w:tc>
          <w:tcPr>
            <w:tcW w:w="5186" w:type="dxa"/>
          </w:tcPr>
          <w:p w:rsidR="00CB540D" w:rsidRPr="003847C3" w:rsidRDefault="00CB540D" w:rsidP="00A95DC2">
            <w:pPr>
              <w:pStyle w:val="EndnoteText"/>
              <w:suppressAutoHyphens/>
              <w:rPr>
                <w:rFonts w:ascii="Arial" w:hAnsi="Arial" w:cs="Arial"/>
                <w:sz w:val="20"/>
              </w:rPr>
            </w:pPr>
            <w:r w:rsidRPr="003847C3">
              <w:rPr>
                <w:rFonts w:ascii="Arial" w:hAnsi="Arial" w:cs="Arial"/>
                <w:sz w:val="20"/>
              </w:rPr>
              <w:t>Insomnia</w:t>
            </w:r>
          </w:p>
        </w:tc>
        <w:tc>
          <w:tcPr>
            <w:tcW w:w="1239" w:type="dxa"/>
          </w:tcPr>
          <w:p w:rsidR="00CB540D" w:rsidRPr="003847C3" w:rsidRDefault="00CB540D" w:rsidP="00A95DC2">
            <w:pPr>
              <w:suppressAutoHyphens/>
              <w:jc w:val="center"/>
              <w:rPr>
                <w:rFonts w:ascii="Arial" w:hAnsi="Arial" w:cs="Arial"/>
                <w:sz w:val="20"/>
              </w:rPr>
            </w:pPr>
            <w:r>
              <w:rPr>
                <w:rFonts w:ascii="Arial" w:hAnsi="Arial" w:cs="Arial"/>
                <w:noProof/>
                <w:sz w:val="20"/>
              </w:rPr>
              <w:t>Rare</w:t>
            </w:r>
          </w:p>
        </w:tc>
        <w:tc>
          <w:tcPr>
            <w:tcW w:w="1239" w:type="dxa"/>
          </w:tcPr>
          <w:p w:rsidR="00CB540D" w:rsidRPr="003847C3" w:rsidRDefault="00CB540D" w:rsidP="00A95DC2">
            <w:pPr>
              <w:pStyle w:val="EndnoteText"/>
              <w:suppressAutoHyphens/>
              <w:jc w:val="center"/>
              <w:rPr>
                <w:rFonts w:ascii="Arial" w:hAnsi="Arial" w:cs="Arial"/>
                <w:sz w:val="20"/>
              </w:rPr>
            </w:pPr>
            <w:r w:rsidRPr="003847C3">
              <w:rPr>
                <w:rFonts w:ascii="Arial" w:hAnsi="Arial" w:cs="Arial"/>
                <w:sz w:val="20"/>
              </w:rPr>
              <w:t>Uncommon</w:t>
            </w:r>
          </w:p>
        </w:tc>
      </w:tr>
      <w:tr w:rsidR="00CB540D" w:rsidRPr="003847C3" w:rsidTr="00A95DC2">
        <w:tc>
          <w:tcPr>
            <w:tcW w:w="7664" w:type="dxa"/>
            <w:gridSpan w:val="3"/>
          </w:tcPr>
          <w:p w:rsidR="00CB540D" w:rsidRPr="003847C3" w:rsidRDefault="00CB540D" w:rsidP="00A95DC2">
            <w:pPr>
              <w:suppressAutoHyphens/>
              <w:jc w:val="left"/>
              <w:rPr>
                <w:rFonts w:ascii="Arial" w:hAnsi="Arial" w:cs="Arial"/>
                <w:b/>
                <w:noProof/>
                <w:sz w:val="20"/>
              </w:rPr>
            </w:pPr>
            <w:r w:rsidRPr="003847C3">
              <w:rPr>
                <w:rFonts w:ascii="Arial" w:hAnsi="Arial" w:cs="Arial"/>
                <w:noProof/>
                <w:sz w:val="20"/>
                <w:u w:val="single"/>
              </w:rPr>
              <w:t>Eye disorders</w:t>
            </w:r>
          </w:p>
        </w:tc>
      </w:tr>
      <w:tr w:rsidR="00CB540D" w:rsidRPr="003847C3" w:rsidTr="00A95DC2">
        <w:tc>
          <w:tcPr>
            <w:tcW w:w="5186" w:type="dxa"/>
          </w:tcPr>
          <w:p w:rsidR="00CB540D" w:rsidRPr="003847C3" w:rsidRDefault="00CB540D" w:rsidP="00A95DC2">
            <w:pPr>
              <w:suppressAutoHyphens/>
              <w:rPr>
                <w:rFonts w:ascii="Arial" w:hAnsi="Arial" w:cs="Arial"/>
                <w:noProof/>
                <w:sz w:val="20"/>
              </w:rPr>
            </w:pPr>
            <w:r w:rsidRPr="003847C3">
              <w:rPr>
                <w:rFonts w:ascii="Arial" w:hAnsi="Arial" w:cs="Arial"/>
                <w:sz w:val="20"/>
              </w:rPr>
              <w:t>Glaucoma</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noProof/>
                <w:sz w:val="20"/>
              </w:rPr>
            </w:pPr>
            <w:r w:rsidRPr="003847C3">
              <w:rPr>
                <w:rFonts w:ascii="Arial" w:hAnsi="Arial" w:cs="Arial"/>
                <w:sz w:val="20"/>
              </w:rPr>
              <w:t>Intraocular pressure increased</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noProof/>
                <w:sz w:val="20"/>
              </w:rPr>
            </w:pPr>
            <w:r w:rsidRPr="003847C3">
              <w:rPr>
                <w:rFonts w:ascii="Arial" w:hAnsi="Arial" w:cs="Arial"/>
                <w:sz w:val="20"/>
              </w:rPr>
              <w:t>Vision blurred</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7664" w:type="dxa"/>
            <w:gridSpan w:val="3"/>
          </w:tcPr>
          <w:p w:rsidR="00CB540D" w:rsidRPr="003847C3" w:rsidRDefault="00CB540D" w:rsidP="00A95DC2">
            <w:pPr>
              <w:suppressAutoHyphens/>
              <w:jc w:val="left"/>
              <w:rPr>
                <w:rFonts w:ascii="Arial" w:hAnsi="Arial" w:cs="Arial"/>
                <w:noProof/>
                <w:sz w:val="20"/>
              </w:rPr>
            </w:pPr>
            <w:r w:rsidRPr="003847C3">
              <w:rPr>
                <w:rFonts w:ascii="Arial" w:hAnsi="Arial" w:cs="Arial"/>
                <w:sz w:val="20"/>
                <w:u w:val="single"/>
              </w:rPr>
              <w:t>Cardiac disorders</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Atrial fibrillation</w:t>
            </w:r>
          </w:p>
        </w:tc>
        <w:tc>
          <w:tcPr>
            <w:tcW w:w="1239" w:type="dxa"/>
          </w:tcPr>
          <w:p w:rsidR="00CB540D" w:rsidRPr="003847C3" w:rsidRDefault="00CB540D" w:rsidP="00A95DC2">
            <w:pPr>
              <w:suppressAutoHyphens/>
              <w:jc w:val="center"/>
              <w:rPr>
                <w:rFonts w:ascii="Arial" w:hAnsi="Arial" w:cs="Arial"/>
                <w:noProof/>
                <w:sz w:val="20"/>
              </w:rPr>
            </w:pPr>
            <w:r>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noProof/>
                <w:sz w:val="20"/>
              </w:rPr>
            </w:pPr>
            <w:r w:rsidRPr="003847C3">
              <w:rPr>
                <w:rFonts w:ascii="Arial" w:hAnsi="Arial" w:cs="Arial"/>
                <w:noProof/>
                <w:sz w:val="20"/>
              </w:rPr>
              <w:t>Palpitations</w:t>
            </w:r>
          </w:p>
        </w:tc>
        <w:tc>
          <w:tcPr>
            <w:tcW w:w="1239" w:type="dxa"/>
          </w:tcPr>
          <w:p w:rsidR="00CB540D" w:rsidRPr="003847C3" w:rsidRDefault="00CB540D" w:rsidP="00A95DC2">
            <w:pPr>
              <w:suppressAutoHyphens/>
              <w:jc w:val="center"/>
              <w:rPr>
                <w:rFonts w:ascii="Arial" w:hAnsi="Arial" w:cs="Arial"/>
                <w:noProof/>
                <w:sz w:val="20"/>
              </w:rPr>
            </w:pPr>
            <w:r>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r>
      <w:tr w:rsidR="00CB540D" w:rsidRPr="003847C3" w:rsidTr="00A95DC2">
        <w:tc>
          <w:tcPr>
            <w:tcW w:w="5186" w:type="dxa"/>
          </w:tcPr>
          <w:p w:rsidR="00CB540D" w:rsidRPr="003847C3" w:rsidRDefault="00CB540D" w:rsidP="00A95DC2">
            <w:pPr>
              <w:suppressAutoHyphens/>
              <w:rPr>
                <w:rFonts w:ascii="Arial" w:hAnsi="Arial" w:cs="Arial"/>
                <w:noProof/>
                <w:sz w:val="20"/>
              </w:rPr>
            </w:pPr>
            <w:r w:rsidRPr="003847C3">
              <w:rPr>
                <w:rFonts w:ascii="Arial" w:hAnsi="Arial" w:cs="Arial"/>
                <w:sz w:val="20"/>
              </w:rPr>
              <w:t>Supraventricular tachycardia</w:t>
            </w:r>
          </w:p>
        </w:tc>
        <w:tc>
          <w:tcPr>
            <w:tcW w:w="1239" w:type="dxa"/>
          </w:tcPr>
          <w:p w:rsidR="00CB540D" w:rsidRPr="003847C3" w:rsidRDefault="00CB540D" w:rsidP="00A95DC2">
            <w:pPr>
              <w:suppressAutoHyphens/>
              <w:jc w:val="center"/>
              <w:rPr>
                <w:rFonts w:ascii="Arial" w:hAnsi="Arial" w:cs="Arial"/>
                <w:b/>
                <w:noProof/>
                <w:sz w:val="20"/>
              </w:rPr>
            </w:pPr>
            <w:r>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noProof/>
                <w:sz w:val="20"/>
              </w:rPr>
            </w:pPr>
            <w:r w:rsidRPr="003847C3">
              <w:rPr>
                <w:rFonts w:ascii="Arial" w:hAnsi="Arial" w:cs="Arial"/>
                <w:sz w:val="20"/>
              </w:rPr>
              <w:t>Tachycardia</w:t>
            </w:r>
          </w:p>
        </w:tc>
        <w:tc>
          <w:tcPr>
            <w:tcW w:w="1239" w:type="dxa"/>
          </w:tcPr>
          <w:p w:rsidR="00CB540D" w:rsidRPr="003847C3" w:rsidRDefault="00CB540D" w:rsidP="00A95DC2">
            <w:pPr>
              <w:suppressAutoHyphens/>
              <w:jc w:val="center"/>
              <w:rPr>
                <w:rFonts w:ascii="Arial" w:hAnsi="Arial" w:cs="Arial"/>
                <w:noProof/>
                <w:sz w:val="20"/>
              </w:rPr>
            </w:pPr>
            <w:r>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7664" w:type="dxa"/>
            <w:gridSpan w:val="3"/>
            <w:tcBorders>
              <w:bottom w:val="single" w:sz="4" w:space="0" w:color="auto"/>
            </w:tcBorders>
          </w:tcPr>
          <w:p w:rsidR="00CB540D" w:rsidRPr="003847C3" w:rsidRDefault="00CB540D" w:rsidP="00A95DC2">
            <w:pPr>
              <w:suppressAutoHyphens/>
              <w:jc w:val="left"/>
              <w:rPr>
                <w:rFonts w:ascii="Arial" w:hAnsi="Arial" w:cs="Arial"/>
                <w:noProof/>
                <w:sz w:val="20"/>
              </w:rPr>
            </w:pPr>
            <w:r w:rsidRPr="003847C3">
              <w:rPr>
                <w:rFonts w:ascii="Arial" w:hAnsi="Arial" w:cs="Arial"/>
                <w:sz w:val="20"/>
                <w:u w:val="single"/>
              </w:rPr>
              <w:t>Respiratory, thoracic and mediastinal disorders</w:t>
            </w:r>
          </w:p>
        </w:tc>
      </w:tr>
      <w:tr w:rsidR="00CB540D" w:rsidRPr="003847C3" w:rsidTr="00A95DC2">
        <w:tc>
          <w:tcPr>
            <w:tcW w:w="5186" w:type="dxa"/>
            <w:tcBorders>
              <w:bottom w:val="single" w:sz="4" w:space="0" w:color="auto"/>
            </w:tcBorders>
          </w:tcPr>
          <w:p w:rsidR="00CB540D" w:rsidRPr="003847C3" w:rsidRDefault="00CB540D" w:rsidP="00A95DC2">
            <w:pPr>
              <w:suppressAutoHyphens/>
              <w:rPr>
                <w:rFonts w:ascii="Arial" w:hAnsi="Arial" w:cs="Arial"/>
                <w:sz w:val="20"/>
              </w:rPr>
            </w:pPr>
            <w:r w:rsidRPr="003847C3">
              <w:rPr>
                <w:rFonts w:ascii="Arial" w:hAnsi="Arial" w:cs="Arial"/>
                <w:sz w:val="20"/>
              </w:rPr>
              <w:t>Cough</w:t>
            </w:r>
          </w:p>
        </w:tc>
        <w:tc>
          <w:tcPr>
            <w:tcW w:w="1239" w:type="dxa"/>
            <w:tcBorders>
              <w:bottom w:val="single" w:sz="4" w:space="0" w:color="auto"/>
            </w:tcBorders>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c>
          <w:tcPr>
            <w:tcW w:w="1239" w:type="dxa"/>
            <w:tcBorders>
              <w:bottom w:val="single" w:sz="4" w:space="0" w:color="auto"/>
            </w:tcBorders>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Epistaxis</w:t>
            </w:r>
          </w:p>
        </w:tc>
        <w:tc>
          <w:tcPr>
            <w:tcW w:w="1239" w:type="dxa"/>
          </w:tcPr>
          <w:p w:rsidR="00CB540D" w:rsidRPr="003847C3" w:rsidRDefault="00CB540D" w:rsidP="00A95DC2">
            <w:pPr>
              <w:suppressAutoHyphens/>
              <w:jc w:val="center"/>
              <w:rPr>
                <w:rFonts w:ascii="Arial" w:hAnsi="Arial" w:cs="Arial"/>
                <w:noProof/>
                <w:sz w:val="20"/>
              </w:rPr>
            </w:pPr>
            <w:r>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 xml:space="preserve">Pharyngitis </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Dysphonia</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Bronchospasm</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Laryngitis</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Sinusitis</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7664" w:type="dxa"/>
            <w:gridSpan w:val="3"/>
          </w:tcPr>
          <w:p w:rsidR="00CB540D" w:rsidRPr="003847C3" w:rsidRDefault="00CB540D" w:rsidP="00A95DC2">
            <w:pPr>
              <w:suppressAutoHyphens/>
              <w:jc w:val="left"/>
              <w:rPr>
                <w:rFonts w:ascii="Arial" w:hAnsi="Arial" w:cs="Arial"/>
                <w:noProof/>
                <w:sz w:val="20"/>
              </w:rPr>
            </w:pPr>
            <w:r w:rsidRPr="003847C3">
              <w:rPr>
                <w:rFonts w:ascii="Arial" w:hAnsi="Arial" w:cs="Arial"/>
                <w:sz w:val="20"/>
                <w:u w:val="single"/>
              </w:rPr>
              <w:t>Gastrointestinal disorders</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 xml:space="preserve">Dry </w:t>
            </w:r>
            <w:r>
              <w:rPr>
                <w:rFonts w:ascii="Arial" w:hAnsi="Arial" w:cs="Arial"/>
                <w:sz w:val="20"/>
              </w:rPr>
              <w:t>m</w:t>
            </w:r>
            <w:r w:rsidRPr="003847C3">
              <w:rPr>
                <w:rFonts w:ascii="Arial" w:hAnsi="Arial" w:cs="Arial"/>
                <w:sz w:val="20"/>
              </w:rPr>
              <w:t>outh</w:t>
            </w:r>
            <w:r>
              <w:rPr>
                <w:rFonts w:ascii="Arial" w:hAnsi="Arial" w:cs="Arial"/>
                <w:sz w:val="20"/>
              </w:rPr>
              <w:t>, usually mild</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Common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Common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Constipation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Oropharyngeal</w:t>
            </w:r>
            <w:r w:rsidRPr="003847C3">
              <w:rPr>
                <w:rFonts w:ascii="Arial" w:hAnsi="Arial" w:cs="Arial"/>
                <w:b/>
                <w:sz w:val="20"/>
              </w:rPr>
              <w:t xml:space="preserve"> </w:t>
            </w:r>
            <w:r w:rsidRPr="003847C3">
              <w:rPr>
                <w:rFonts w:ascii="Arial" w:hAnsi="Arial" w:cs="Arial"/>
                <w:sz w:val="20"/>
              </w:rPr>
              <w:t>candidiasis</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Dysphagia</w:t>
            </w:r>
          </w:p>
        </w:tc>
        <w:tc>
          <w:tcPr>
            <w:tcW w:w="1239" w:type="dxa"/>
          </w:tcPr>
          <w:p w:rsidR="00CB540D" w:rsidRPr="003847C3" w:rsidRDefault="00CB540D" w:rsidP="00A95DC2">
            <w:pPr>
              <w:suppressAutoHyphens/>
              <w:jc w:val="center"/>
              <w:rPr>
                <w:rFonts w:ascii="Arial" w:hAnsi="Arial" w:cs="Arial"/>
                <w:noProof/>
                <w:sz w:val="20"/>
              </w:rPr>
            </w:pPr>
            <w:r>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sz w:val="20"/>
              </w:rPr>
            </w:pPr>
            <w:proofErr w:type="spellStart"/>
            <w:r w:rsidRPr="003847C3">
              <w:rPr>
                <w:rFonts w:ascii="Arial" w:hAnsi="Arial" w:cs="Arial"/>
                <w:sz w:val="20"/>
              </w:rPr>
              <w:t>Gastrooesophageal</w:t>
            </w:r>
            <w:proofErr w:type="spellEnd"/>
            <w:r w:rsidRPr="003847C3">
              <w:rPr>
                <w:rFonts w:ascii="Arial" w:hAnsi="Arial" w:cs="Arial"/>
                <w:sz w:val="20"/>
              </w:rPr>
              <w:t xml:space="preserve"> reflux disease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Gingivitis</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sz w:val="20"/>
              </w:rPr>
              <w:t>Rare</w:t>
            </w:r>
          </w:p>
        </w:tc>
        <w:tc>
          <w:tcPr>
            <w:tcW w:w="1239" w:type="dxa"/>
          </w:tcPr>
          <w:p w:rsidR="00CB540D" w:rsidRPr="003847C3" w:rsidRDefault="00CB540D" w:rsidP="00A95DC2">
            <w:pPr>
              <w:suppressAutoHyphens/>
              <w:contextualSpacing/>
              <w:jc w:val="center"/>
              <w:rPr>
                <w:rFonts w:ascii="Arial" w:hAnsi="Arial" w:cs="Arial"/>
                <w:sz w:val="20"/>
              </w:rPr>
            </w:pPr>
            <w:r w:rsidRPr="003847C3">
              <w:rPr>
                <w:rFonts w:ascii="Arial" w:hAnsi="Arial" w:cs="Arial"/>
                <w:noProof/>
                <w:sz w:val="20"/>
              </w:rPr>
              <w:t>Rare</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Glossitis</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sz w:val="20"/>
              </w:rPr>
              <w:t>Rare</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Stomatitis</w:t>
            </w:r>
          </w:p>
        </w:tc>
        <w:tc>
          <w:tcPr>
            <w:tcW w:w="1239" w:type="dxa"/>
          </w:tcPr>
          <w:p w:rsidR="00CB540D" w:rsidRPr="003847C3" w:rsidRDefault="00CB540D" w:rsidP="00A95DC2">
            <w:pPr>
              <w:suppressAutoHyphens/>
              <w:jc w:val="center"/>
              <w:rPr>
                <w:rFonts w:ascii="Arial" w:hAnsi="Arial" w:cs="Arial"/>
                <w:sz w:val="20"/>
              </w:rPr>
            </w:pPr>
            <w:r>
              <w:rPr>
                <w:rFonts w:ascii="Arial" w:hAnsi="Arial" w:cs="Arial"/>
                <w:sz w:val="20"/>
              </w:rPr>
              <w:t>Not known</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noProof/>
                <w:sz w:val="20"/>
              </w:rPr>
              <w:t>Rare</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Intestinal obstruction, including ileus paralytic</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7664" w:type="dxa"/>
            <w:gridSpan w:val="3"/>
          </w:tcPr>
          <w:p w:rsidR="00CB540D" w:rsidRPr="003847C3" w:rsidRDefault="00CB540D" w:rsidP="00A95DC2">
            <w:pPr>
              <w:keepNext/>
              <w:suppressAutoHyphens/>
              <w:jc w:val="left"/>
              <w:rPr>
                <w:rFonts w:ascii="Arial" w:hAnsi="Arial" w:cs="Arial"/>
                <w:noProof/>
                <w:sz w:val="20"/>
              </w:rPr>
            </w:pPr>
            <w:r w:rsidRPr="003847C3">
              <w:rPr>
                <w:rFonts w:ascii="Arial" w:hAnsi="Arial" w:cs="Arial"/>
                <w:sz w:val="20"/>
                <w:u w:val="single"/>
              </w:rPr>
              <w:t>Skin and subcutaneous tissue disorders, immune  system disorders</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Rash</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Pruritus</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r>
      <w:tr w:rsidR="00CB540D" w:rsidRPr="003847C3" w:rsidTr="00A95DC2">
        <w:tc>
          <w:tcPr>
            <w:tcW w:w="5186" w:type="dxa"/>
          </w:tcPr>
          <w:p w:rsidR="00CB540D" w:rsidRPr="003847C3" w:rsidRDefault="00CB540D" w:rsidP="00A95DC2">
            <w:pPr>
              <w:suppressAutoHyphens/>
              <w:rPr>
                <w:rFonts w:ascii="Arial" w:hAnsi="Arial" w:cs="Arial"/>
                <w:sz w:val="20"/>
              </w:rPr>
            </w:pPr>
            <w:proofErr w:type="spellStart"/>
            <w:r w:rsidRPr="003847C3">
              <w:rPr>
                <w:rFonts w:ascii="Arial" w:hAnsi="Arial" w:cs="Arial"/>
                <w:sz w:val="20"/>
              </w:rPr>
              <w:t>Angioneurotic</w:t>
            </w:r>
            <w:proofErr w:type="spellEnd"/>
            <w:r w:rsidRPr="003847C3">
              <w:rPr>
                <w:rFonts w:ascii="Arial" w:hAnsi="Arial" w:cs="Arial"/>
                <w:sz w:val="20"/>
              </w:rPr>
              <w:t xml:space="preserve"> </w:t>
            </w:r>
            <w:proofErr w:type="spellStart"/>
            <w:r w:rsidRPr="003847C3">
              <w:rPr>
                <w:rFonts w:ascii="Arial" w:hAnsi="Arial" w:cs="Arial"/>
                <w:sz w:val="20"/>
              </w:rPr>
              <w:t>oedema</w:t>
            </w:r>
            <w:proofErr w:type="spellEnd"/>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Urticaria</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sz w:val="20"/>
              </w:rPr>
              <w:t>Rare</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noProof/>
                <w:sz w:val="20"/>
              </w:rPr>
              <w:t>Rare</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Skin infection/skin ulcer</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sz w:val="20"/>
              </w:rPr>
              <w:t>Rare</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Dry skin</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sz w:val="20"/>
              </w:rPr>
              <w:t>Rare</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Hypersensitivity (including immediate reactions)</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r>
      <w:tr w:rsidR="00CB540D" w:rsidRPr="003847C3" w:rsidTr="00A95DC2">
        <w:tc>
          <w:tcPr>
            <w:tcW w:w="7664" w:type="dxa"/>
            <w:gridSpan w:val="3"/>
          </w:tcPr>
          <w:p w:rsidR="00CB540D" w:rsidRPr="003847C3" w:rsidRDefault="00CB540D" w:rsidP="00A95DC2">
            <w:pPr>
              <w:suppressAutoHyphens/>
              <w:jc w:val="left"/>
              <w:rPr>
                <w:rFonts w:ascii="Arial" w:hAnsi="Arial" w:cs="Arial"/>
                <w:sz w:val="20"/>
              </w:rPr>
            </w:pPr>
            <w:r w:rsidRPr="003847C3">
              <w:rPr>
                <w:rFonts w:ascii="Arial" w:hAnsi="Arial" w:cs="Arial"/>
                <w:bCs/>
                <w:sz w:val="20"/>
                <w:u w:val="single"/>
              </w:rPr>
              <w:t>Musculoskeletal and connective tissue disorders</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Joint swelling</w:t>
            </w:r>
          </w:p>
        </w:tc>
        <w:tc>
          <w:tcPr>
            <w:tcW w:w="1239" w:type="dxa"/>
          </w:tcPr>
          <w:p w:rsidR="00CB540D" w:rsidRPr="003847C3" w:rsidRDefault="00CB540D" w:rsidP="00A95DC2">
            <w:pPr>
              <w:suppressAutoHyphens/>
              <w:jc w:val="center"/>
              <w:rPr>
                <w:rFonts w:ascii="Arial" w:hAnsi="Arial" w:cs="Arial"/>
                <w:sz w:val="20"/>
                <w:vertAlign w:val="superscript"/>
              </w:rPr>
            </w:pPr>
            <w:r w:rsidRPr="003847C3">
              <w:rPr>
                <w:rFonts w:ascii="Arial" w:hAnsi="Arial" w:cs="Arial"/>
                <w:sz w:val="20"/>
              </w:rPr>
              <w:t>Not known</w:t>
            </w:r>
          </w:p>
        </w:tc>
        <w:tc>
          <w:tcPr>
            <w:tcW w:w="1239" w:type="dxa"/>
          </w:tcPr>
          <w:p w:rsidR="00CB540D" w:rsidRPr="003847C3" w:rsidRDefault="00CB540D" w:rsidP="00A95DC2">
            <w:pPr>
              <w:suppressAutoHyphens/>
              <w:jc w:val="center"/>
              <w:rPr>
                <w:rFonts w:ascii="Arial" w:hAnsi="Arial" w:cs="Arial"/>
                <w:sz w:val="20"/>
              </w:rPr>
            </w:pPr>
            <w:r w:rsidRPr="003847C3">
              <w:rPr>
                <w:rFonts w:ascii="Arial" w:hAnsi="Arial" w:cs="Arial"/>
                <w:noProof/>
                <w:sz w:val="20"/>
              </w:rPr>
              <w:t>Not known</w:t>
            </w:r>
          </w:p>
        </w:tc>
      </w:tr>
      <w:tr w:rsidR="00CB540D" w:rsidRPr="003847C3" w:rsidTr="00A95DC2">
        <w:tc>
          <w:tcPr>
            <w:tcW w:w="7664" w:type="dxa"/>
            <w:gridSpan w:val="3"/>
          </w:tcPr>
          <w:p w:rsidR="00CB540D" w:rsidRPr="003847C3" w:rsidRDefault="00CB540D" w:rsidP="00A95DC2">
            <w:pPr>
              <w:suppressAutoHyphens/>
              <w:jc w:val="left"/>
              <w:rPr>
                <w:rFonts w:ascii="Arial" w:hAnsi="Arial" w:cs="Arial"/>
                <w:noProof/>
                <w:sz w:val="20"/>
              </w:rPr>
            </w:pPr>
            <w:r w:rsidRPr="003847C3">
              <w:rPr>
                <w:rFonts w:ascii="Arial" w:hAnsi="Arial" w:cs="Arial"/>
                <w:sz w:val="20"/>
                <w:u w:val="single"/>
              </w:rPr>
              <w:t>Renal and urinary disorders</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Urinary retention</w:t>
            </w:r>
            <w:r>
              <w:rPr>
                <w:rFonts w:ascii="Arial" w:hAnsi="Arial" w:cs="Arial"/>
                <w:sz w:val="20"/>
              </w:rPr>
              <w:t xml:space="preserve"> (usually in men with predisposing factors)</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Dysuria</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Uncommon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r w:rsidR="00CB540D" w:rsidRPr="003847C3" w:rsidTr="00A95DC2">
        <w:tc>
          <w:tcPr>
            <w:tcW w:w="5186" w:type="dxa"/>
          </w:tcPr>
          <w:p w:rsidR="00CB540D" w:rsidRPr="003847C3" w:rsidRDefault="00CB540D" w:rsidP="00A95DC2">
            <w:pPr>
              <w:suppressAutoHyphens/>
              <w:rPr>
                <w:rFonts w:ascii="Arial" w:hAnsi="Arial" w:cs="Arial"/>
                <w:sz w:val="20"/>
              </w:rPr>
            </w:pPr>
            <w:r w:rsidRPr="003847C3">
              <w:rPr>
                <w:rFonts w:ascii="Arial" w:hAnsi="Arial" w:cs="Arial"/>
                <w:sz w:val="20"/>
              </w:rPr>
              <w:t>Urinary tract infection</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Rare</w:t>
            </w:r>
          </w:p>
        </w:tc>
        <w:tc>
          <w:tcPr>
            <w:tcW w:w="1239" w:type="dxa"/>
          </w:tcPr>
          <w:p w:rsidR="00CB540D" w:rsidRPr="003847C3" w:rsidRDefault="00CB540D" w:rsidP="00A95DC2">
            <w:pPr>
              <w:suppressAutoHyphens/>
              <w:jc w:val="center"/>
              <w:rPr>
                <w:rFonts w:ascii="Arial" w:hAnsi="Arial" w:cs="Arial"/>
                <w:noProof/>
                <w:sz w:val="20"/>
              </w:rPr>
            </w:pPr>
            <w:r w:rsidRPr="003847C3">
              <w:rPr>
                <w:rFonts w:ascii="Arial" w:hAnsi="Arial" w:cs="Arial"/>
                <w:noProof/>
                <w:sz w:val="20"/>
              </w:rPr>
              <w:t>Not known</w:t>
            </w:r>
          </w:p>
        </w:tc>
      </w:tr>
    </w:tbl>
    <w:p w:rsidR="004768F1" w:rsidRPr="00D82BE8" w:rsidRDefault="004768F1" w:rsidP="004768F1">
      <w:pPr>
        <w:pStyle w:val="TextPI"/>
        <w:spacing w:line="240" w:lineRule="auto"/>
        <w:rPr>
          <w:u w:val="single"/>
          <w:lang w:val="en-AU"/>
        </w:rPr>
      </w:pPr>
      <w:r w:rsidRPr="00D82BE8">
        <w:rPr>
          <w:u w:val="single"/>
          <w:lang w:val="en-AU"/>
        </w:rPr>
        <w:t xml:space="preserve">Description of selected adverse </w:t>
      </w:r>
      <w:r>
        <w:rPr>
          <w:u w:val="single"/>
          <w:lang w:val="en-AU"/>
        </w:rPr>
        <w:t>effects</w:t>
      </w:r>
    </w:p>
    <w:p w:rsidR="004768F1" w:rsidRPr="00D82BE8" w:rsidRDefault="004768F1" w:rsidP="004768F1">
      <w:pPr>
        <w:pStyle w:val="TextPI"/>
        <w:spacing w:line="240" w:lineRule="auto"/>
      </w:pPr>
      <w:r>
        <w:t>In controlled clinical studies of COPD, the commonly observed adverse effects were anticholinergic undesirable effects such as dry mouth which occurred in approximately 2.9% of patients. In asthma the incidence of dry mouth was 1.2%.</w:t>
      </w:r>
    </w:p>
    <w:p w:rsidR="004768F1" w:rsidRPr="00D82BE8" w:rsidRDefault="004768F1" w:rsidP="004768F1">
      <w:pPr>
        <w:pStyle w:val="TextPI"/>
        <w:spacing w:line="240" w:lineRule="auto"/>
      </w:pPr>
      <w:r>
        <w:lastRenderedPageBreak/>
        <w:t>Serious adverse effects consistent with anticholinergic effects include glaucoma, constipation, intestinal obstruction (including paralytic ileus) and urinary retention.</w:t>
      </w:r>
    </w:p>
    <w:p w:rsidR="004768F1" w:rsidRDefault="004768F1" w:rsidP="004768F1">
      <w:pPr>
        <w:pStyle w:val="TextPI"/>
        <w:spacing w:line="240" w:lineRule="auto"/>
      </w:pPr>
      <w:r>
        <w:t>An increase in anticholinergic effects may occur with increasing age.</w:t>
      </w:r>
    </w:p>
    <w:p w:rsidR="00100430" w:rsidRDefault="00100430" w:rsidP="009A335D">
      <w:pPr>
        <w:pStyle w:val="PIHeading1"/>
      </w:pPr>
      <w:r>
        <w:t xml:space="preserve">DOSAGE </w:t>
      </w:r>
      <w:smartTag w:uri="urn:schemas-microsoft-com:office:smarttags" w:element="stockticker">
        <w:r>
          <w:t>AND</w:t>
        </w:r>
      </w:smartTag>
      <w:r>
        <w:t xml:space="preserve"> ADMINISTRATION</w:t>
      </w:r>
    </w:p>
    <w:p w:rsidR="00F200ED" w:rsidRDefault="00F200ED" w:rsidP="009530C3">
      <w:pPr>
        <w:pStyle w:val="TextPI"/>
        <w:spacing w:line="240" w:lineRule="auto"/>
      </w:pPr>
      <w:r>
        <w:t xml:space="preserve">The recommended dosage of </w:t>
      </w:r>
      <w:r w:rsidR="00CE1427">
        <w:t>FAVINT</w:t>
      </w:r>
      <w:r>
        <w:t xml:space="preserve"> </w:t>
      </w:r>
      <w:r w:rsidR="00FD1562">
        <w:t>RESPIMAT</w:t>
      </w:r>
      <w:r>
        <w:t xml:space="preserve"> is </w:t>
      </w:r>
      <w:r w:rsidR="004768F1" w:rsidRPr="004768F1">
        <w:t xml:space="preserve">5 micrograms of tiotropium given as </w:t>
      </w:r>
      <w:r>
        <w:t>two puffs once daily</w:t>
      </w:r>
      <w:r w:rsidR="00746F14">
        <w:t xml:space="preserve"> </w:t>
      </w:r>
      <w:r>
        <w:t xml:space="preserve">at the same time each day (see </w:t>
      </w:r>
      <w:r w:rsidR="00FD1562">
        <w:t>RESPIMAT</w:t>
      </w:r>
      <w:r>
        <w:t xml:space="preserve"> </w:t>
      </w:r>
      <w:r w:rsidR="00746F14">
        <w:t xml:space="preserve">inhaler </w:t>
      </w:r>
      <w:r>
        <w:t>instructions for use).</w:t>
      </w:r>
    </w:p>
    <w:p w:rsidR="004768F1" w:rsidRDefault="004768F1" w:rsidP="009530C3">
      <w:pPr>
        <w:pStyle w:val="TextPI"/>
        <w:spacing w:line="240" w:lineRule="auto"/>
      </w:pPr>
      <w:r>
        <w:t>The recommended dose should not be exceeded.</w:t>
      </w:r>
    </w:p>
    <w:p w:rsidR="005626F3" w:rsidRDefault="005626F3" w:rsidP="009530C3">
      <w:pPr>
        <w:pStyle w:val="TextPI"/>
        <w:spacing w:line="240" w:lineRule="auto"/>
      </w:pPr>
      <w:r>
        <w:t xml:space="preserve">In the treatment of asthma, the full benefits will be apparent after several doses of </w:t>
      </w:r>
      <w:r w:rsidR="00CE1427">
        <w:t>FAVINT</w:t>
      </w:r>
      <w:r>
        <w:t xml:space="preserve"> </w:t>
      </w:r>
      <w:r w:rsidR="00FD1562">
        <w:t>RESPIMAT</w:t>
      </w:r>
      <w:r>
        <w:t>.</w:t>
      </w:r>
    </w:p>
    <w:p w:rsidR="00547ACC" w:rsidRPr="009530C3" w:rsidRDefault="00547ACC" w:rsidP="009530C3">
      <w:pPr>
        <w:pStyle w:val="TextPI"/>
        <w:spacing w:line="240" w:lineRule="auto"/>
        <w:rPr>
          <w:b/>
          <w:bCs/>
          <w:lang w:val="en-US"/>
        </w:rPr>
      </w:pPr>
      <w:r w:rsidRPr="009530C3">
        <w:rPr>
          <w:b/>
          <w:bCs/>
          <w:lang w:val="en-US"/>
        </w:rPr>
        <w:t xml:space="preserve">Special populations: </w:t>
      </w:r>
    </w:p>
    <w:p w:rsidR="00547ACC" w:rsidRPr="00547ACC" w:rsidRDefault="00547ACC" w:rsidP="009530C3">
      <w:pPr>
        <w:pStyle w:val="TextPI"/>
        <w:spacing w:line="240" w:lineRule="auto"/>
        <w:rPr>
          <w:lang w:val="en-US"/>
        </w:rPr>
      </w:pPr>
      <w:r w:rsidRPr="00547ACC">
        <w:rPr>
          <w:lang w:val="en-US"/>
        </w:rPr>
        <w:t xml:space="preserve">Elderly patients can use </w:t>
      </w:r>
      <w:r w:rsidR="00CE1427">
        <w:rPr>
          <w:lang w:val="en-US"/>
        </w:rPr>
        <w:t>FAVINT</w:t>
      </w:r>
      <w:r w:rsidRPr="00547ACC">
        <w:rPr>
          <w:lang w:val="en-US"/>
        </w:rPr>
        <w:t xml:space="preserve"> RESPIMAT at the r</w:t>
      </w:r>
      <w:r>
        <w:rPr>
          <w:lang w:val="en-US"/>
        </w:rPr>
        <w:t>ecommended dose</w:t>
      </w:r>
      <w:r w:rsidRPr="00547ACC">
        <w:rPr>
          <w:lang w:val="en-US"/>
        </w:rPr>
        <w:t>.</w:t>
      </w:r>
    </w:p>
    <w:p w:rsidR="00547ACC" w:rsidRPr="00547ACC" w:rsidRDefault="00547ACC" w:rsidP="009530C3">
      <w:pPr>
        <w:pStyle w:val="TextPI"/>
        <w:spacing w:line="240" w:lineRule="auto"/>
        <w:rPr>
          <w:lang w:val="en-US"/>
        </w:rPr>
      </w:pPr>
      <w:r w:rsidRPr="00547ACC">
        <w:rPr>
          <w:lang w:val="en-US"/>
        </w:rPr>
        <w:t xml:space="preserve">Renally impaired patients can use </w:t>
      </w:r>
      <w:r w:rsidR="00CE1427">
        <w:rPr>
          <w:lang w:val="en-US"/>
        </w:rPr>
        <w:t>FAVINT</w:t>
      </w:r>
      <w:r w:rsidRPr="00547ACC">
        <w:rPr>
          <w:lang w:val="en-US"/>
        </w:rPr>
        <w:t xml:space="preserve"> RESPIMAT at the recommended dose. However, as with all predominantly renally excreted drugs, </w:t>
      </w:r>
      <w:r w:rsidR="00CE1427">
        <w:rPr>
          <w:lang w:val="en-US"/>
        </w:rPr>
        <w:t>FAVINT</w:t>
      </w:r>
      <w:r w:rsidRPr="00547ACC">
        <w:rPr>
          <w:lang w:val="en-US"/>
        </w:rPr>
        <w:t xml:space="preserve"> RESPIMAT use should be monitored closely in patients with moderate to severe renal </w:t>
      </w:r>
      <w:r>
        <w:rPr>
          <w:lang w:val="en-US"/>
        </w:rPr>
        <w:t>impairment</w:t>
      </w:r>
      <w:r w:rsidRPr="00547ACC">
        <w:rPr>
          <w:lang w:val="en-US"/>
        </w:rPr>
        <w:t>.</w:t>
      </w:r>
    </w:p>
    <w:p w:rsidR="00547ACC" w:rsidRPr="00547ACC" w:rsidRDefault="00547ACC" w:rsidP="009530C3">
      <w:pPr>
        <w:pStyle w:val="TextPI"/>
        <w:spacing w:line="240" w:lineRule="auto"/>
        <w:rPr>
          <w:lang w:val="en-US"/>
        </w:rPr>
      </w:pPr>
      <w:proofErr w:type="spellStart"/>
      <w:r w:rsidRPr="00547ACC">
        <w:rPr>
          <w:lang w:val="en-US"/>
        </w:rPr>
        <w:t>Hepatically</w:t>
      </w:r>
      <w:proofErr w:type="spellEnd"/>
      <w:r w:rsidRPr="00547ACC">
        <w:rPr>
          <w:lang w:val="en-US"/>
        </w:rPr>
        <w:t xml:space="preserve"> impaired patients can use </w:t>
      </w:r>
      <w:r w:rsidR="00CE1427">
        <w:rPr>
          <w:lang w:val="en-US"/>
        </w:rPr>
        <w:t>FAVINT</w:t>
      </w:r>
      <w:r w:rsidRPr="00547ACC">
        <w:rPr>
          <w:lang w:val="en-US"/>
        </w:rPr>
        <w:t xml:space="preserve"> RESPIMAT</w:t>
      </w:r>
      <w:r>
        <w:rPr>
          <w:lang w:val="en-US"/>
        </w:rPr>
        <w:t xml:space="preserve"> at the recommended dose</w:t>
      </w:r>
      <w:r w:rsidRPr="00547ACC">
        <w:rPr>
          <w:lang w:val="en-US"/>
        </w:rPr>
        <w:t>.</w:t>
      </w:r>
    </w:p>
    <w:p w:rsidR="00547ACC" w:rsidRPr="009530C3" w:rsidRDefault="00547ACC" w:rsidP="009530C3">
      <w:pPr>
        <w:pStyle w:val="TextPI"/>
        <w:spacing w:line="240" w:lineRule="auto"/>
        <w:rPr>
          <w:u w:val="single"/>
          <w:lang w:val="en-US"/>
        </w:rPr>
      </w:pPr>
      <w:proofErr w:type="spellStart"/>
      <w:r w:rsidRPr="009530C3">
        <w:rPr>
          <w:u w:val="single"/>
          <w:lang w:val="en-US"/>
        </w:rPr>
        <w:t>Paediatric</w:t>
      </w:r>
      <w:proofErr w:type="spellEnd"/>
      <w:r w:rsidRPr="009530C3">
        <w:rPr>
          <w:u w:val="single"/>
          <w:lang w:val="en-US"/>
        </w:rPr>
        <w:t xml:space="preserve"> population: </w:t>
      </w:r>
    </w:p>
    <w:p w:rsidR="00547ACC" w:rsidRPr="00547ACC" w:rsidRDefault="00547ACC" w:rsidP="009530C3">
      <w:pPr>
        <w:pStyle w:val="TextPI"/>
        <w:spacing w:line="240" w:lineRule="auto"/>
        <w:rPr>
          <w:lang w:val="en-US"/>
        </w:rPr>
      </w:pPr>
      <w:r w:rsidRPr="00547ACC">
        <w:rPr>
          <w:lang w:val="en-US"/>
        </w:rPr>
        <w:t xml:space="preserve">COPD does not normally occur in children. The safety and effectiveness of </w:t>
      </w:r>
      <w:r w:rsidR="00CE1427">
        <w:rPr>
          <w:lang w:val="en-US"/>
        </w:rPr>
        <w:t>FAVINT</w:t>
      </w:r>
      <w:r w:rsidRPr="00547ACC">
        <w:rPr>
          <w:lang w:val="en-US"/>
        </w:rPr>
        <w:t xml:space="preserve"> RESPIMAT in </w:t>
      </w:r>
      <w:proofErr w:type="spellStart"/>
      <w:r w:rsidRPr="00547ACC">
        <w:rPr>
          <w:lang w:val="en-US"/>
        </w:rPr>
        <w:t>paediatric</w:t>
      </w:r>
      <w:proofErr w:type="spellEnd"/>
      <w:r w:rsidRPr="00547ACC">
        <w:rPr>
          <w:lang w:val="en-US"/>
        </w:rPr>
        <w:t xml:space="preserve"> patients have not been established.</w:t>
      </w:r>
    </w:p>
    <w:p w:rsidR="00547ACC" w:rsidRPr="009530C3" w:rsidRDefault="00547ACC" w:rsidP="009530C3">
      <w:pPr>
        <w:pStyle w:val="TextPI"/>
        <w:spacing w:line="240" w:lineRule="auto"/>
        <w:rPr>
          <w:lang w:val="en-US"/>
        </w:rPr>
      </w:pPr>
      <w:r w:rsidRPr="00547ACC">
        <w:rPr>
          <w:lang w:val="en-US"/>
        </w:rPr>
        <w:t xml:space="preserve">The efficacy and safety of </w:t>
      </w:r>
      <w:r w:rsidR="00CE1427">
        <w:rPr>
          <w:lang w:val="en-US"/>
        </w:rPr>
        <w:t>FAVINT</w:t>
      </w:r>
      <w:r w:rsidRPr="00547ACC">
        <w:rPr>
          <w:lang w:val="en-US"/>
        </w:rPr>
        <w:t xml:space="preserve"> RESPIMAT in </w:t>
      </w:r>
      <w:proofErr w:type="spellStart"/>
      <w:r w:rsidRPr="00547ACC">
        <w:rPr>
          <w:lang w:val="en-US"/>
        </w:rPr>
        <w:t>paediatric</w:t>
      </w:r>
      <w:proofErr w:type="spellEnd"/>
      <w:r w:rsidRPr="00547ACC">
        <w:rPr>
          <w:lang w:val="en-US"/>
        </w:rPr>
        <w:t xml:space="preserve"> patients with asthma has not yet been established.</w:t>
      </w:r>
    </w:p>
    <w:p w:rsidR="00100430" w:rsidRDefault="00100430" w:rsidP="00CE7EF8">
      <w:pPr>
        <w:pStyle w:val="PIHeading1"/>
      </w:pPr>
      <w:r>
        <w:t>OVERDOSAGE</w:t>
      </w:r>
    </w:p>
    <w:p w:rsidR="00100430" w:rsidRDefault="00100430" w:rsidP="009530C3">
      <w:pPr>
        <w:pStyle w:val="TextPI"/>
        <w:spacing w:line="240" w:lineRule="auto"/>
      </w:pPr>
      <w:r>
        <w:t xml:space="preserve">High doses of tiotropium may lead to </w:t>
      </w:r>
      <w:r w:rsidR="009617F1">
        <w:t xml:space="preserve">anticholinergic </w:t>
      </w:r>
      <w:r>
        <w:t>signs and symptoms.</w:t>
      </w:r>
    </w:p>
    <w:p w:rsidR="00100430" w:rsidRDefault="00100430" w:rsidP="009530C3">
      <w:pPr>
        <w:pStyle w:val="TextPI"/>
        <w:spacing w:line="240" w:lineRule="auto"/>
      </w:pPr>
      <w:r>
        <w:t xml:space="preserve">However, there were no systemic anticholinergic adverse effects following a single inhaled dose of up to 282 micrograms tiotropium in healthy volunteers. Additionally, no relevant adverse effects, beyond dry mouth, were observed following 7 day dosing of up to 141 micrograms tiotropium in healthy volunteers. In a multiple dose study in </w:t>
      </w:r>
      <w:r w:rsidR="006C3879">
        <w:t xml:space="preserve">patients with </w:t>
      </w:r>
      <w:r>
        <w:t>COPD, with a maximum daily dose of 36 micrograms tiotropium over four weeks, no significant undesirable effects were observed.</w:t>
      </w:r>
    </w:p>
    <w:p w:rsidR="008E25FD" w:rsidRDefault="008E25FD" w:rsidP="009530C3">
      <w:pPr>
        <w:pStyle w:val="TextPI"/>
        <w:spacing w:line="240" w:lineRule="auto"/>
      </w:pPr>
      <w:r>
        <w:t>No relevant adverse events, beyond dry mouth/throat and dry nasal mucosa, were observed following 14-day dosing of up to 40 </w:t>
      </w:r>
      <w:r w:rsidR="00E359F1">
        <w:rPr>
          <w:rFonts w:cs="Arial"/>
        </w:rPr>
        <w:t>micrograms</w:t>
      </w:r>
      <w:r>
        <w:t xml:space="preserve"> tiotropium solution for inhalation in healthy subjects with the exception of pronounced reduction in sal</w:t>
      </w:r>
      <w:r w:rsidR="0046524F">
        <w:t xml:space="preserve">ivary flow from day 7 onwards. </w:t>
      </w:r>
      <w:r>
        <w:t xml:space="preserve">No significant undesirable effects have been observed in </w:t>
      </w:r>
      <w:r w:rsidR="00D61FD9">
        <w:t xml:space="preserve">six </w:t>
      </w:r>
      <w:r>
        <w:t xml:space="preserve">long-term studies in </w:t>
      </w:r>
      <w:r w:rsidR="006C3879">
        <w:t xml:space="preserve">patients with </w:t>
      </w:r>
      <w:r>
        <w:t xml:space="preserve">COPD when a daily dose of 10 </w:t>
      </w:r>
      <w:r w:rsidR="00E359F1">
        <w:rPr>
          <w:rFonts w:cs="Arial"/>
        </w:rPr>
        <w:t>micrograms</w:t>
      </w:r>
      <w:r>
        <w:t xml:space="preserve"> tiotropium solution for inhalation was given over 4-48 weeks.</w:t>
      </w:r>
    </w:p>
    <w:p w:rsidR="006521C9" w:rsidRDefault="006521C9" w:rsidP="009530C3">
      <w:pPr>
        <w:pStyle w:val="TextPI"/>
        <w:spacing w:line="240" w:lineRule="auto"/>
      </w:pPr>
      <w:r>
        <w:t>For information on the management of overdose, contact the Poison Information Centre on 131126 (Australia).</w:t>
      </w:r>
    </w:p>
    <w:p w:rsidR="00100430" w:rsidRDefault="00100430" w:rsidP="00B235F6">
      <w:pPr>
        <w:pStyle w:val="PIHeading1"/>
      </w:pPr>
      <w:r>
        <w:t>PRESENTATION</w:t>
      </w:r>
      <w:r w:rsidR="00C03806">
        <w:t xml:space="preserve"> </w:t>
      </w:r>
      <w:smartTag w:uri="urn:schemas-microsoft-com:office:smarttags" w:element="stockticker">
        <w:r w:rsidR="00C03806">
          <w:t>AND</w:t>
        </w:r>
      </w:smartTag>
      <w:r w:rsidR="00C03806">
        <w:t xml:space="preserve"> STORAGE CONDITIONS</w:t>
      </w:r>
    </w:p>
    <w:p w:rsidR="00F200ED" w:rsidRDefault="00CE1427" w:rsidP="009530C3">
      <w:pPr>
        <w:pStyle w:val="TextPI"/>
        <w:spacing w:line="240" w:lineRule="auto"/>
        <w:rPr>
          <w:snapToGrid w:val="0"/>
          <w:lang w:eastAsia="de-DE"/>
        </w:rPr>
      </w:pPr>
      <w:r>
        <w:rPr>
          <w:snapToGrid w:val="0"/>
          <w:lang w:eastAsia="de-DE"/>
        </w:rPr>
        <w:t>FAVINT</w:t>
      </w:r>
      <w:r w:rsidR="00F200ED">
        <w:rPr>
          <w:snapToGrid w:val="0"/>
          <w:lang w:eastAsia="de-DE"/>
        </w:rPr>
        <w:t xml:space="preserve"> </w:t>
      </w:r>
      <w:r w:rsidR="00FD1562">
        <w:rPr>
          <w:snapToGrid w:val="0"/>
          <w:lang w:eastAsia="de-DE"/>
        </w:rPr>
        <w:t>RESPIMAT</w:t>
      </w:r>
      <w:r w:rsidR="00F200ED">
        <w:rPr>
          <w:snapToGrid w:val="0"/>
          <w:lang w:eastAsia="de-DE"/>
        </w:rPr>
        <w:t xml:space="preserve"> cartridges contain a clear, colourless, solution for inhalation filled into a plastic container which is inside an aluminium cylinder (cartridge) for use with t</w:t>
      </w:r>
      <w:r w:rsidR="00965051">
        <w:rPr>
          <w:snapToGrid w:val="0"/>
          <w:lang w:eastAsia="de-DE"/>
        </w:rPr>
        <w:t xml:space="preserve">he </w:t>
      </w:r>
      <w:r w:rsidR="00FD1562">
        <w:rPr>
          <w:snapToGrid w:val="0"/>
          <w:lang w:eastAsia="de-DE"/>
        </w:rPr>
        <w:lastRenderedPageBreak/>
        <w:t>RESPIMAT</w:t>
      </w:r>
      <w:r w:rsidR="00965051">
        <w:rPr>
          <w:snapToGrid w:val="0"/>
          <w:lang w:eastAsia="de-DE"/>
        </w:rPr>
        <w:t xml:space="preserve"> inhaler</w:t>
      </w:r>
      <w:r w:rsidR="0046524F">
        <w:rPr>
          <w:snapToGrid w:val="0"/>
          <w:lang w:eastAsia="de-DE"/>
        </w:rPr>
        <w:t xml:space="preserve">. </w:t>
      </w:r>
      <w:r w:rsidR="00A178F4">
        <w:rPr>
          <w:snapToGrid w:val="0"/>
          <w:lang w:eastAsia="de-DE"/>
        </w:rPr>
        <w:t xml:space="preserve"> The FAVINT RESPIMAT inhaler has a green-coloured cap.  </w:t>
      </w:r>
      <w:r>
        <w:rPr>
          <w:snapToGrid w:val="0"/>
          <w:lang w:eastAsia="de-DE"/>
        </w:rPr>
        <w:t>FAVINT</w:t>
      </w:r>
      <w:r w:rsidR="00F200ED">
        <w:rPr>
          <w:snapToGrid w:val="0"/>
          <w:lang w:eastAsia="de-DE"/>
        </w:rPr>
        <w:t xml:space="preserve"> </w:t>
      </w:r>
      <w:r w:rsidR="00FD1562">
        <w:rPr>
          <w:snapToGrid w:val="0"/>
          <w:lang w:eastAsia="de-DE"/>
        </w:rPr>
        <w:t>RESPIMAT</w:t>
      </w:r>
      <w:r w:rsidR="00F200ED">
        <w:rPr>
          <w:snapToGrid w:val="0"/>
          <w:lang w:eastAsia="de-DE"/>
        </w:rPr>
        <w:t xml:space="preserve"> is for oral inhalation only.</w:t>
      </w:r>
    </w:p>
    <w:p w:rsidR="00F200ED" w:rsidRDefault="00F200ED" w:rsidP="009530C3">
      <w:pPr>
        <w:pStyle w:val="TextPI"/>
        <w:spacing w:line="240" w:lineRule="auto"/>
      </w:pPr>
      <w:r>
        <w:rPr>
          <w:snapToGrid w:val="0"/>
          <w:lang w:eastAsia="de-DE"/>
        </w:rPr>
        <w:t xml:space="preserve">Each pack consists of one </w:t>
      </w:r>
      <w:r w:rsidR="00FD1562">
        <w:rPr>
          <w:snapToGrid w:val="0"/>
          <w:lang w:eastAsia="de-DE"/>
        </w:rPr>
        <w:t>RESPIMAT</w:t>
      </w:r>
      <w:r>
        <w:rPr>
          <w:snapToGrid w:val="0"/>
          <w:lang w:eastAsia="de-DE"/>
        </w:rPr>
        <w:t xml:space="preserve"> inhaler and one cartridge</w:t>
      </w:r>
      <w:r w:rsidR="00691006">
        <w:rPr>
          <w:snapToGrid w:val="0"/>
          <w:lang w:eastAsia="de-DE"/>
        </w:rPr>
        <w:t xml:space="preserve">, delivering 60 metered puffs. </w:t>
      </w:r>
      <w:r w:rsidR="003A0BD3">
        <w:rPr>
          <w:snapToGrid w:val="0"/>
          <w:lang w:eastAsia="de-DE"/>
        </w:rPr>
        <w:t xml:space="preserve">Each puff contains tiotropium 2.5 micrograms, equivalent to tiotropium bromide monohydrate 3.1 micrograms. </w:t>
      </w:r>
    </w:p>
    <w:p w:rsidR="00C03806" w:rsidRDefault="00C03806" w:rsidP="009530C3">
      <w:pPr>
        <w:pStyle w:val="PIHeading3"/>
        <w:spacing w:after="120"/>
      </w:pPr>
      <w:r>
        <w:t>In-use shelf life</w:t>
      </w:r>
    </w:p>
    <w:p w:rsidR="00F200ED" w:rsidRDefault="00CE1427" w:rsidP="009530C3">
      <w:pPr>
        <w:pStyle w:val="TextPI"/>
        <w:spacing w:line="240" w:lineRule="auto"/>
      </w:pPr>
      <w:r>
        <w:t>FAVINT</w:t>
      </w:r>
      <w:r w:rsidR="00F200ED">
        <w:t xml:space="preserve"> </w:t>
      </w:r>
      <w:r w:rsidR="00FD1562">
        <w:t>RESPIMAT</w:t>
      </w:r>
      <w:r w:rsidR="00F200ED">
        <w:t xml:space="preserve"> cartridges – The cartridge has an in-use shelf-life of </w:t>
      </w:r>
      <w:r w:rsidR="008861A4">
        <w:t>3</w:t>
      </w:r>
      <w:r w:rsidR="00F200ED">
        <w:t xml:space="preserve"> months after </w:t>
      </w:r>
      <w:r w:rsidR="00DC6EBE">
        <w:t xml:space="preserve">insertion in the </w:t>
      </w:r>
      <w:r w:rsidR="00FD1562">
        <w:t>RESPIMAT</w:t>
      </w:r>
      <w:r w:rsidR="00DC6EBE">
        <w:t xml:space="preserve"> inhaler</w:t>
      </w:r>
      <w:r w:rsidR="00F200ED">
        <w:t>.</w:t>
      </w:r>
    </w:p>
    <w:p w:rsidR="00C03806" w:rsidRDefault="00C03806" w:rsidP="009530C3">
      <w:pPr>
        <w:pStyle w:val="PIHeading3"/>
        <w:spacing w:after="120"/>
      </w:pPr>
      <w:r>
        <w:t>Special precautions for storage</w:t>
      </w:r>
    </w:p>
    <w:p w:rsidR="00F200ED" w:rsidRPr="00260986" w:rsidRDefault="00F200ED" w:rsidP="009530C3">
      <w:pPr>
        <w:pStyle w:val="TextPI"/>
        <w:spacing w:line="240" w:lineRule="auto"/>
      </w:pPr>
      <w:r>
        <w:t>Store below 25°C in a safe place out of the reach of children.  Do not freeze.</w:t>
      </w:r>
    </w:p>
    <w:p w:rsidR="00100430" w:rsidRDefault="00100430" w:rsidP="00B235F6">
      <w:pPr>
        <w:pStyle w:val="PIHeading1"/>
      </w:pPr>
      <w:r>
        <w:t xml:space="preserve">NAME </w:t>
      </w:r>
      <w:smartTag w:uri="urn:schemas-microsoft-com:office:smarttags" w:element="stockticker">
        <w:r>
          <w:t>AND</w:t>
        </w:r>
      </w:smartTag>
      <w:r>
        <w:t xml:space="preserve"> ADDRESS OF THE SPONSOR</w:t>
      </w:r>
    </w:p>
    <w:p w:rsidR="00100430" w:rsidRDefault="00B235F6" w:rsidP="009530C3">
      <w:pPr>
        <w:pStyle w:val="TextPI"/>
        <w:spacing w:line="240" w:lineRule="auto"/>
      </w:pPr>
      <w:r>
        <w:t>Boehringer Ingelheim Pty Limited</w:t>
      </w:r>
    </w:p>
    <w:p w:rsidR="00100430" w:rsidRDefault="00B235F6" w:rsidP="009530C3">
      <w:pPr>
        <w:pStyle w:val="TextPI"/>
        <w:spacing w:line="240" w:lineRule="auto"/>
        <w:rPr>
          <w:lang w:val="en-US"/>
        </w:rPr>
      </w:pPr>
      <w:smartTag w:uri="urn:schemas-microsoft-com:office:smarttags" w:element="stockticker">
        <w:r>
          <w:rPr>
            <w:lang w:val="en-US"/>
          </w:rPr>
          <w:t>ABN</w:t>
        </w:r>
      </w:smartTag>
      <w:r>
        <w:rPr>
          <w:lang w:val="en-US"/>
        </w:rPr>
        <w:t xml:space="preserve"> 52 000 452 308</w:t>
      </w:r>
    </w:p>
    <w:p w:rsidR="00100430" w:rsidRDefault="00B235F6" w:rsidP="009530C3">
      <w:pPr>
        <w:pStyle w:val="TextPI"/>
        <w:spacing w:line="240" w:lineRule="auto"/>
        <w:rPr>
          <w:lang w:val="en-US"/>
        </w:rPr>
      </w:pPr>
      <w:r>
        <w:rPr>
          <w:lang w:val="en-US"/>
        </w:rPr>
        <w:t>78 Waterloo Road</w:t>
      </w:r>
    </w:p>
    <w:p w:rsidR="00100430" w:rsidRDefault="00B235F6" w:rsidP="009530C3">
      <w:pPr>
        <w:pStyle w:val="TextPI"/>
        <w:spacing w:line="240" w:lineRule="auto"/>
      </w:pPr>
      <w:r>
        <w:rPr>
          <w:lang w:val="en-US"/>
        </w:rPr>
        <w:t>North Ryde  NSW  2113</w:t>
      </w:r>
    </w:p>
    <w:p w:rsidR="00C03806" w:rsidRPr="00C03806" w:rsidRDefault="00C03806" w:rsidP="00B235F6">
      <w:pPr>
        <w:pStyle w:val="PIHeading1"/>
      </w:pPr>
      <w:r w:rsidRPr="00C03806">
        <w:t>POISON SCHEDULE OF THE MEDICINE</w:t>
      </w:r>
    </w:p>
    <w:p w:rsidR="00014585" w:rsidRDefault="00C03806" w:rsidP="009530C3">
      <w:pPr>
        <w:pStyle w:val="TextPI"/>
        <w:spacing w:line="240" w:lineRule="auto"/>
      </w:pPr>
      <w:r>
        <w:t xml:space="preserve">S4 – Prescription </w:t>
      </w:r>
      <w:r w:rsidR="001F4145">
        <w:t xml:space="preserve">Only Medicine </w:t>
      </w:r>
    </w:p>
    <w:p w:rsidR="00CB64B6" w:rsidRDefault="00CB64B6" w:rsidP="00DB7681">
      <w:pPr>
        <w:pStyle w:val="PIHeading1"/>
      </w:pPr>
      <w:r>
        <w:t>DATE OF</w:t>
      </w:r>
      <w:r w:rsidR="00FD013C">
        <w:t xml:space="preserve"> </w:t>
      </w:r>
      <w:r w:rsidR="001870C4">
        <w:t>FIRST INCLUSION IN THE ARTG</w:t>
      </w:r>
      <w:r>
        <w:t>:</w:t>
      </w:r>
    </w:p>
    <w:p w:rsidR="00FD013C" w:rsidRPr="001870C4" w:rsidRDefault="001870C4" w:rsidP="00DB7681">
      <w:pPr>
        <w:pStyle w:val="PIHeading1"/>
        <w:rPr>
          <w:rFonts w:ascii="Arial" w:hAnsi="Arial" w:cs="Arial"/>
          <w:b w:val="0"/>
          <w:bCs/>
        </w:rPr>
      </w:pPr>
      <w:r w:rsidRPr="001870C4">
        <w:rPr>
          <w:rFonts w:ascii="Arial" w:hAnsi="Arial" w:cs="Arial"/>
          <w:b w:val="0"/>
          <w:bCs/>
        </w:rPr>
        <w:t>2 May 2008</w:t>
      </w:r>
    </w:p>
    <w:p w:rsidR="001870C4" w:rsidRDefault="001870C4" w:rsidP="001870C4">
      <w:pPr>
        <w:pStyle w:val="PIHeading1"/>
      </w:pPr>
      <w:r>
        <w:t>DATE OF MOST RECENT AMENDMENT:</w:t>
      </w:r>
    </w:p>
    <w:p w:rsidR="00CB64B6" w:rsidRPr="00CB64B6" w:rsidRDefault="00CA27E1" w:rsidP="009530C3">
      <w:pPr>
        <w:pStyle w:val="TextPI"/>
        <w:spacing w:line="240" w:lineRule="auto"/>
      </w:pPr>
      <w:r>
        <w:t>TBA</w:t>
      </w:r>
    </w:p>
    <w:sectPr w:rsidR="00CB64B6" w:rsidRPr="00CB64B6" w:rsidSect="009953AE">
      <w:headerReference w:type="default" r:id="rId13"/>
      <w:footerReference w:type="default" r:id="rId14"/>
      <w:pgSz w:w="11909" w:h="16834" w:code="9"/>
      <w:pgMar w:top="1440" w:right="1474"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B4" w:rsidRDefault="00500DB4">
      <w:r>
        <w:separator/>
      </w:r>
    </w:p>
  </w:endnote>
  <w:endnote w:type="continuationSeparator" w:id="0">
    <w:p w:rsidR="00500DB4" w:rsidRDefault="0050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B4" w:rsidRDefault="00500DB4">
    <w:pPr>
      <w:pStyle w:val="Footer"/>
      <w:tabs>
        <w:tab w:val="clear" w:pos="8640"/>
        <w:tab w:val="right" w:pos="9072"/>
      </w:tabs>
      <w:rPr>
        <w:rFonts w:ascii="Helvetica" w:hAnsi="Helvetica"/>
        <w:sz w:val="16"/>
      </w:rPr>
    </w:pPr>
    <w:r>
      <w:rPr>
        <w:rFonts w:ascii="Helvetica" w:hAnsi="Helvetica"/>
        <w:sz w:val="16"/>
      </w:rPr>
      <w:t>PI0139</w:t>
    </w:r>
    <w:r w:rsidR="004D55DA">
      <w:rPr>
        <w:rFonts w:ascii="Helvetica" w:hAnsi="Helvetica"/>
        <w:sz w:val="16"/>
      </w:rPr>
      <w:t>-</w:t>
    </w:r>
    <w:r>
      <w:rPr>
        <w:rFonts w:ascii="Helvetica" w:hAnsi="Helvetica"/>
        <w:sz w:val="16"/>
      </w:rPr>
      <w:t>0.</w:t>
    </w:r>
    <w:r w:rsidR="004768F1">
      <w:rPr>
        <w:rFonts w:ascii="Helvetica" w:hAnsi="Helvetica"/>
        <w:sz w:val="16"/>
      </w:rPr>
      <w:t>4</w:t>
    </w:r>
    <w:r w:rsidR="004D55DA">
      <w:rPr>
        <w:rFonts w:ascii="Helvetica" w:hAnsi="Helvetica"/>
        <w:sz w:val="16"/>
      </w:rPr>
      <w:t>-c0269-0</w:t>
    </w:r>
    <w:r w:rsidR="00555DCA">
      <w:rPr>
        <w:rFonts w:ascii="Helvetica" w:hAnsi="Helvetica"/>
        <w:sz w:val="16"/>
      </w:rPr>
      <w:t>6</w:t>
    </w:r>
    <w:r w:rsidR="004D55DA">
      <w:rPr>
        <w:rFonts w:ascii="Helvetica" w:hAnsi="Helvetica"/>
        <w:sz w:val="16"/>
      </w:rPr>
      <w:t>-</w:t>
    </w:r>
    <w:r w:rsidR="004768F1">
      <w:rPr>
        <w:rFonts w:ascii="Helvetica" w:hAnsi="Helvetica"/>
        <w:sz w:val="16"/>
      </w:rPr>
      <w:t>MAY15</w:t>
    </w:r>
    <w:r>
      <w:rPr>
        <w:rFonts w:ascii="Helvetica" w:hAnsi="Helvetica"/>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741500">
      <w:rPr>
        <w:rStyle w:val="PageNumber"/>
        <w:noProof/>
        <w:sz w:val="16"/>
      </w:rPr>
      <w:t>14</w:t>
    </w:r>
    <w:r>
      <w:rPr>
        <w:rStyle w:val="PageNumber"/>
        <w:sz w:val="16"/>
      </w:rPr>
      <w:fldChar w:fldCharType="end"/>
    </w:r>
    <w:r>
      <w:rPr>
        <w:rStyle w:val="PageNumber"/>
        <w:sz w:val="16"/>
      </w:rPr>
      <w:t xml:space="preserve"> </w:t>
    </w:r>
    <w:r>
      <w:rPr>
        <w:rFonts w:ascii="Helvetica" w:hAnsi="Helvetica"/>
        <w:sz w:val="16"/>
      </w:rPr>
      <w:tab/>
    </w:r>
    <w:r>
      <w:rPr>
        <w:rFonts w:ascii="Helvetica" w:hAnsi="Helvetica"/>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B4" w:rsidRDefault="00500DB4">
      <w:r>
        <w:separator/>
      </w:r>
    </w:p>
  </w:footnote>
  <w:footnote w:type="continuationSeparator" w:id="0">
    <w:p w:rsidR="00500DB4" w:rsidRDefault="00500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741500" w:rsidRPr="001656C2" w:rsidTr="00B365D7">
      <w:tc>
        <w:tcPr>
          <w:tcW w:w="8720" w:type="dxa"/>
          <w:shd w:val="clear" w:color="auto" w:fill="E4F2E0"/>
        </w:tcPr>
        <w:p w:rsidR="00741500" w:rsidRPr="001656C2" w:rsidRDefault="00741500" w:rsidP="00B365D7">
          <w:pPr>
            <w:spacing w:before="40" w:after="40"/>
            <w:rPr>
              <w:b/>
              <w:sz w:val="20"/>
            </w:rPr>
          </w:pPr>
          <w:r w:rsidRPr="001656C2">
            <w:rPr>
              <w:b/>
              <w:sz w:val="20"/>
            </w:rPr>
            <w:t xml:space="preserve">Attachment 1: Product information for AusPAR Spiriva </w:t>
          </w:r>
          <w:proofErr w:type="spellStart"/>
          <w:r w:rsidRPr="001656C2">
            <w:rPr>
              <w:b/>
              <w:sz w:val="20"/>
            </w:rPr>
            <w:t>Respimat</w:t>
          </w:r>
          <w:proofErr w:type="spellEnd"/>
          <w:r w:rsidRPr="001656C2">
            <w:rPr>
              <w:b/>
              <w:sz w:val="20"/>
            </w:rPr>
            <w:t xml:space="preserve">/ </w:t>
          </w:r>
          <w:proofErr w:type="spellStart"/>
          <w:r w:rsidRPr="001656C2">
            <w:rPr>
              <w:b/>
              <w:sz w:val="20"/>
            </w:rPr>
            <w:t>Favint</w:t>
          </w:r>
          <w:proofErr w:type="spellEnd"/>
          <w:r w:rsidRPr="001656C2">
            <w:rPr>
              <w:b/>
              <w:sz w:val="20"/>
            </w:rPr>
            <w:t xml:space="preserve"> </w:t>
          </w:r>
          <w:proofErr w:type="spellStart"/>
          <w:r w:rsidRPr="001656C2">
            <w:rPr>
              <w:b/>
              <w:sz w:val="20"/>
            </w:rPr>
            <w:t>Respimat</w:t>
          </w:r>
          <w:proofErr w:type="spellEnd"/>
          <w:r w:rsidRPr="001656C2">
            <w:rPr>
              <w:b/>
              <w:sz w:val="20"/>
            </w:rPr>
            <w:t xml:space="preserve"> </w:t>
          </w:r>
          <w:proofErr w:type="spellStart"/>
          <w:r w:rsidRPr="001656C2">
            <w:rPr>
              <w:b/>
              <w:sz w:val="20"/>
            </w:rPr>
            <w:t>Boehringer</w:t>
          </w:r>
          <w:proofErr w:type="spellEnd"/>
          <w:r w:rsidRPr="001656C2">
            <w:rPr>
              <w:b/>
              <w:sz w:val="20"/>
            </w:rPr>
            <w:t xml:space="preserve"> </w:t>
          </w:r>
          <w:proofErr w:type="spellStart"/>
          <w:r w:rsidRPr="001656C2">
            <w:rPr>
              <w:b/>
              <w:sz w:val="20"/>
            </w:rPr>
            <w:t>Ingelheim</w:t>
          </w:r>
          <w:proofErr w:type="spellEnd"/>
          <w:r w:rsidRPr="001656C2">
            <w:rPr>
              <w:b/>
              <w:sz w:val="20"/>
            </w:rPr>
            <w:t xml:space="preserve"> Pty Limited PM-2014-00350-1-5 Final 25 November 2016. This Product Information was approved at the time this AusPAR was published.</w:t>
          </w:r>
        </w:p>
      </w:tc>
    </w:tr>
  </w:tbl>
  <w:p w:rsidR="00741500" w:rsidRDefault="00741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0A048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32A42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5D84F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B6AF5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C66DB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183E0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AF2E5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E7605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FA8DFB8"/>
    <w:lvl w:ilvl="0">
      <w:start w:val="1"/>
      <w:numFmt w:val="decimal"/>
      <w:pStyle w:val="ListNumber"/>
      <w:lvlText w:val="%1."/>
      <w:lvlJc w:val="left"/>
      <w:pPr>
        <w:tabs>
          <w:tab w:val="num" w:pos="360"/>
        </w:tabs>
        <w:ind w:left="360" w:hanging="360"/>
      </w:pPr>
    </w:lvl>
  </w:abstractNum>
  <w:abstractNum w:abstractNumId="9">
    <w:nsid w:val="FFFFFF89"/>
    <w:multiLevelType w:val="singleLevel"/>
    <w:tmpl w:val="F47826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F066889"/>
    <w:multiLevelType w:val="hybridMultilevel"/>
    <w:tmpl w:val="1CBCC704"/>
    <w:lvl w:ilvl="0" w:tplc="1ACEC3B2">
      <w:start w:val="1"/>
      <w:numFmt w:val="bullet"/>
      <w:pStyle w:val="TextPI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552388"/>
    <w:multiLevelType w:val="hybridMultilevel"/>
    <w:tmpl w:val="C4848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EA5322E"/>
    <w:multiLevelType w:val="singleLevel"/>
    <w:tmpl w:val="F9B07C74"/>
    <w:lvl w:ilvl="0">
      <w:start w:val="1"/>
      <w:numFmt w:val="decimal"/>
      <w:pStyle w:val="Bullet2"/>
      <w:lvlText w:val="%1."/>
      <w:lvlJc w:val="left"/>
      <w:pPr>
        <w:tabs>
          <w:tab w:val="num" w:pos="1134"/>
        </w:tabs>
        <w:ind w:left="1134" w:hanging="1134"/>
      </w:pPr>
    </w:lvl>
  </w:abstractNum>
  <w:abstractNum w:abstractNumId="13">
    <w:nsid w:val="3C5C44A9"/>
    <w:multiLevelType w:val="hybridMultilevel"/>
    <w:tmpl w:val="A0E4CBAE"/>
    <w:lvl w:ilvl="0" w:tplc="31F281AC">
      <w:start w:val="1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EB13DF3"/>
    <w:multiLevelType w:val="hybridMultilevel"/>
    <w:tmpl w:val="3E64F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36238B6"/>
    <w:multiLevelType w:val="singleLevel"/>
    <w:tmpl w:val="78C0E718"/>
    <w:lvl w:ilvl="0">
      <w:start w:val="1"/>
      <w:numFmt w:val="bullet"/>
      <w:pStyle w:val="Bullet1"/>
      <w:lvlText w:val=""/>
      <w:lvlJc w:val="left"/>
      <w:pPr>
        <w:tabs>
          <w:tab w:val="num" w:pos="360"/>
        </w:tabs>
        <w:ind w:left="360" w:hanging="360"/>
      </w:pPr>
      <w:rPr>
        <w:rFonts w:ascii="Symbol" w:hAnsi="Symbol" w:hint="default"/>
      </w:rPr>
    </w:lvl>
  </w:abstractNum>
  <w:abstractNum w:abstractNumId="16">
    <w:nsid w:val="5209725B"/>
    <w:multiLevelType w:val="singleLevel"/>
    <w:tmpl w:val="CC126DBC"/>
    <w:lvl w:ilvl="0">
      <w:start w:val="1"/>
      <w:numFmt w:val="decimal"/>
      <w:pStyle w:val="bullet10"/>
      <w:lvlText w:val="%1."/>
      <w:lvlJc w:val="left"/>
      <w:pPr>
        <w:tabs>
          <w:tab w:val="num" w:pos="1134"/>
        </w:tabs>
        <w:ind w:left="1134" w:hanging="1134"/>
      </w:pPr>
    </w:lvl>
  </w:abstractNum>
  <w:abstractNum w:abstractNumId="17">
    <w:nsid w:val="5B5463C2"/>
    <w:multiLevelType w:val="hybridMultilevel"/>
    <w:tmpl w:val="C71C3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C615144"/>
    <w:multiLevelType w:val="hybridMultilevel"/>
    <w:tmpl w:val="C9041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E1878D8"/>
    <w:multiLevelType w:val="hybridMultilevel"/>
    <w:tmpl w:val="9070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C03BFF"/>
    <w:multiLevelType w:val="hybridMultilevel"/>
    <w:tmpl w:val="07CC6724"/>
    <w:lvl w:ilvl="0" w:tplc="188E3D1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B94686"/>
    <w:multiLevelType w:val="hybridMultilevel"/>
    <w:tmpl w:val="AAC4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BC5116F"/>
    <w:multiLevelType w:val="hybridMultilevel"/>
    <w:tmpl w:val="E0244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4"/>
  </w:num>
  <w:num w:numId="17">
    <w:abstractNumId w:val="22"/>
  </w:num>
  <w:num w:numId="18">
    <w:abstractNumId w:val="11"/>
  </w:num>
  <w:num w:numId="19">
    <w:abstractNumId w:val="18"/>
  </w:num>
  <w:num w:numId="20">
    <w:abstractNumId w:val="17"/>
  </w:num>
  <w:num w:numId="21">
    <w:abstractNumId w:val="21"/>
  </w:num>
  <w:num w:numId="22">
    <w:abstractNumId w:val="13"/>
  </w:num>
  <w:num w:numId="2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4D"/>
    <w:rsid w:val="00003645"/>
    <w:rsid w:val="00005BF7"/>
    <w:rsid w:val="000117E8"/>
    <w:rsid w:val="000124C7"/>
    <w:rsid w:val="00014585"/>
    <w:rsid w:val="000145BB"/>
    <w:rsid w:val="000158E3"/>
    <w:rsid w:val="00026B6C"/>
    <w:rsid w:val="00037045"/>
    <w:rsid w:val="000454F8"/>
    <w:rsid w:val="000462F0"/>
    <w:rsid w:val="00055EAD"/>
    <w:rsid w:val="0005684C"/>
    <w:rsid w:val="00062BF7"/>
    <w:rsid w:val="00071009"/>
    <w:rsid w:val="00074636"/>
    <w:rsid w:val="00081248"/>
    <w:rsid w:val="00082B8F"/>
    <w:rsid w:val="00084324"/>
    <w:rsid w:val="00087B50"/>
    <w:rsid w:val="00087DE1"/>
    <w:rsid w:val="00094544"/>
    <w:rsid w:val="000A0A25"/>
    <w:rsid w:val="000A5D24"/>
    <w:rsid w:val="000B6341"/>
    <w:rsid w:val="000C115A"/>
    <w:rsid w:val="000C33FF"/>
    <w:rsid w:val="000D0C1D"/>
    <w:rsid w:val="000D1F5E"/>
    <w:rsid w:val="000D2E58"/>
    <w:rsid w:val="000D3669"/>
    <w:rsid w:val="000D51F1"/>
    <w:rsid w:val="000D6BAE"/>
    <w:rsid w:val="000E2A8C"/>
    <w:rsid w:val="000E36C8"/>
    <w:rsid w:val="000E6967"/>
    <w:rsid w:val="000E6DC3"/>
    <w:rsid w:val="000F1D22"/>
    <w:rsid w:val="000F3EDF"/>
    <w:rsid w:val="000F4D1B"/>
    <w:rsid w:val="000F7F80"/>
    <w:rsid w:val="00100430"/>
    <w:rsid w:val="00101BDF"/>
    <w:rsid w:val="00112092"/>
    <w:rsid w:val="001120CC"/>
    <w:rsid w:val="00113297"/>
    <w:rsid w:val="00123910"/>
    <w:rsid w:val="00125570"/>
    <w:rsid w:val="00127C3F"/>
    <w:rsid w:val="00137411"/>
    <w:rsid w:val="00146B44"/>
    <w:rsid w:val="0015334D"/>
    <w:rsid w:val="001568C1"/>
    <w:rsid w:val="0016248A"/>
    <w:rsid w:val="00162E0C"/>
    <w:rsid w:val="00166CF8"/>
    <w:rsid w:val="00166E28"/>
    <w:rsid w:val="00167D95"/>
    <w:rsid w:val="00177A61"/>
    <w:rsid w:val="0018072E"/>
    <w:rsid w:val="00186ED1"/>
    <w:rsid w:val="001870C4"/>
    <w:rsid w:val="001948BA"/>
    <w:rsid w:val="001A2CBD"/>
    <w:rsid w:val="001B0E2C"/>
    <w:rsid w:val="001B144E"/>
    <w:rsid w:val="001B6526"/>
    <w:rsid w:val="001C7FE2"/>
    <w:rsid w:val="001D38F4"/>
    <w:rsid w:val="001E0147"/>
    <w:rsid w:val="001E28A1"/>
    <w:rsid w:val="001F265D"/>
    <w:rsid w:val="001F3F1C"/>
    <w:rsid w:val="001F4145"/>
    <w:rsid w:val="001F63DD"/>
    <w:rsid w:val="00200536"/>
    <w:rsid w:val="00202152"/>
    <w:rsid w:val="00207458"/>
    <w:rsid w:val="00215457"/>
    <w:rsid w:val="002161F2"/>
    <w:rsid w:val="002222AB"/>
    <w:rsid w:val="00222914"/>
    <w:rsid w:val="00223B74"/>
    <w:rsid w:val="00224EBE"/>
    <w:rsid w:val="00224F89"/>
    <w:rsid w:val="00225CC7"/>
    <w:rsid w:val="0023372B"/>
    <w:rsid w:val="002337CA"/>
    <w:rsid w:val="0024205D"/>
    <w:rsid w:val="00252348"/>
    <w:rsid w:val="002554C8"/>
    <w:rsid w:val="00260986"/>
    <w:rsid w:val="002646E3"/>
    <w:rsid w:val="00267616"/>
    <w:rsid w:val="00272747"/>
    <w:rsid w:val="00273756"/>
    <w:rsid w:val="002747B9"/>
    <w:rsid w:val="002756C7"/>
    <w:rsid w:val="002935EC"/>
    <w:rsid w:val="00295663"/>
    <w:rsid w:val="002B39CE"/>
    <w:rsid w:val="002C3750"/>
    <w:rsid w:val="002C4402"/>
    <w:rsid w:val="002C6552"/>
    <w:rsid w:val="002D12CA"/>
    <w:rsid w:val="002D3F06"/>
    <w:rsid w:val="002E100C"/>
    <w:rsid w:val="002E1C45"/>
    <w:rsid w:val="002E24DF"/>
    <w:rsid w:val="002F0691"/>
    <w:rsid w:val="002F7752"/>
    <w:rsid w:val="003014BC"/>
    <w:rsid w:val="00304A83"/>
    <w:rsid w:val="00317D96"/>
    <w:rsid w:val="00320821"/>
    <w:rsid w:val="003233D7"/>
    <w:rsid w:val="00323E37"/>
    <w:rsid w:val="00324A0A"/>
    <w:rsid w:val="00325888"/>
    <w:rsid w:val="00326090"/>
    <w:rsid w:val="00326759"/>
    <w:rsid w:val="0033155D"/>
    <w:rsid w:val="003365F6"/>
    <w:rsid w:val="0034106B"/>
    <w:rsid w:val="0034202B"/>
    <w:rsid w:val="0034695D"/>
    <w:rsid w:val="003500D5"/>
    <w:rsid w:val="00357027"/>
    <w:rsid w:val="00361C79"/>
    <w:rsid w:val="0036255E"/>
    <w:rsid w:val="00374181"/>
    <w:rsid w:val="0037542C"/>
    <w:rsid w:val="00375CD7"/>
    <w:rsid w:val="00377F56"/>
    <w:rsid w:val="00380F61"/>
    <w:rsid w:val="00382F26"/>
    <w:rsid w:val="00384BB3"/>
    <w:rsid w:val="003A0BD3"/>
    <w:rsid w:val="003A0F82"/>
    <w:rsid w:val="003A2477"/>
    <w:rsid w:val="003A3EFA"/>
    <w:rsid w:val="003B36A4"/>
    <w:rsid w:val="003C215E"/>
    <w:rsid w:val="003C4D7B"/>
    <w:rsid w:val="003D3255"/>
    <w:rsid w:val="003D6893"/>
    <w:rsid w:val="003E70C2"/>
    <w:rsid w:val="003F01EE"/>
    <w:rsid w:val="003F2ACA"/>
    <w:rsid w:val="00404D36"/>
    <w:rsid w:val="004055D4"/>
    <w:rsid w:val="00412B0F"/>
    <w:rsid w:val="00415352"/>
    <w:rsid w:val="00417AED"/>
    <w:rsid w:val="00422DA7"/>
    <w:rsid w:val="00430D0C"/>
    <w:rsid w:val="00433D41"/>
    <w:rsid w:val="00436585"/>
    <w:rsid w:val="0044358F"/>
    <w:rsid w:val="00443D74"/>
    <w:rsid w:val="00447BFE"/>
    <w:rsid w:val="00460CC2"/>
    <w:rsid w:val="0046524F"/>
    <w:rsid w:val="004668DE"/>
    <w:rsid w:val="004713F0"/>
    <w:rsid w:val="004767C0"/>
    <w:rsid w:val="004768F1"/>
    <w:rsid w:val="00477F83"/>
    <w:rsid w:val="00481153"/>
    <w:rsid w:val="00485177"/>
    <w:rsid w:val="00490288"/>
    <w:rsid w:val="0049080E"/>
    <w:rsid w:val="004937AD"/>
    <w:rsid w:val="004A0C02"/>
    <w:rsid w:val="004A339C"/>
    <w:rsid w:val="004A39A0"/>
    <w:rsid w:val="004A5439"/>
    <w:rsid w:val="004B0FDD"/>
    <w:rsid w:val="004C0BA4"/>
    <w:rsid w:val="004C722A"/>
    <w:rsid w:val="004D55DA"/>
    <w:rsid w:val="004E4B43"/>
    <w:rsid w:val="004E7EFE"/>
    <w:rsid w:val="00500DB4"/>
    <w:rsid w:val="00501CBF"/>
    <w:rsid w:val="00511CDD"/>
    <w:rsid w:val="005152C5"/>
    <w:rsid w:val="00525DFB"/>
    <w:rsid w:val="00527EF5"/>
    <w:rsid w:val="005301DD"/>
    <w:rsid w:val="0053487A"/>
    <w:rsid w:val="005461DE"/>
    <w:rsid w:val="00546DE2"/>
    <w:rsid w:val="00547ACC"/>
    <w:rsid w:val="00550946"/>
    <w:rsid w:val="005531B7"/>
    <w:rsid w:val="00553A75"/>
    <w:rsid w:val="00553EE0"/>
    <w:rsid w:val="00555DCA"/>
    <w:rsid w:val="005626F3"/>
    <w:rsid w:val="00562C7E"/>
    <w:rsid w:val="00564EFA"/>
    <w:rsid w:val="00567CB8"/>
    <w:rsid w:val="0057327E"/>
    <w:rsid w:val="00575A24"/>
    <w:rsid w:val="00590035"/>
    <w:rsid w:val="00591718"/>
    <w:rsid w:val="005942A0"/>
    <w:rsid w:val="00595154"/>
    <w:rsid w:val="00595FE7"/>
    <w:rsid w:val="005A42CB"/>
    <w:rsid w:val="005B0DF7"/>
    <w:rsid w:val="005B2AF2"/>
    <w:rsid w:val="005B740D"/>
    <w:rsid w:val="005D0616"/>
    <w:rsid w:val="005D7AE5"/>
    <w:rsid w:val="005E5798"/>
    <w:rsid w:val="005F1918"/>
    <w:rsid w:val="005F5A55"/>
    <w:rsid w:val="0060171B"/>
    <w:rsid w:val="006070B3"/>
    <w:rsid w:val="00613F2A"/>
    <w:rsid w:val="00622CA5"/>
    <w:rsid w:val="00626C1A"/>
    <w:rsid w:val="006331C6"/>
    <w:rsid w:val="00633BEA"/>
    <w:rsid w:val="006422BD"/>
    <w:rsid w:val="0064316D"/>
    <w:rsid w:val="0064320E"/>
    <w:rsid w:val="006435C7"/>
    <w:rsid w:val="00646CE4"/>
    <w:rsid w:val="00647CF8"/>
    <w:rsid w:val="006521C9"/>
    <w:rsid w:val="00656458"/>
    <w:rsid w:val="0066251C"/>
    <w:rsid w:val="00662C1C"/>
    <w:rsid w:val="0066671E"/>
    <w:rsid w:val="0068035D"/>
    <w:rsid w:val="00680AE2"/>
    <w:rsid w:val="0068153B"/>
    <w:rsid w:val="00683C09"/>
    <w:rsid w:val="006856DC"/>
    <w:rsid w:val="00691006"/>
    <w:rsid w:val="0069592F"/>
    <w:rsid w:val="006979E8"/>
    <w:rsid w:val="006A30B5"/>
    <w:rsid w:val="006A472A"/>
    <w:rsid w:val="006A66EE"/>
    <w:rsid w:val="006B4D59"/>
    <w:rsid w:val="006B65D9"/>
    <w:rsid w:val="006C0845"/>
    <w:rsid w:val="006C0CEA"/>
    <w:rsid w:val="006C3879"/>
    <w:rsid w:val="006C5351"/>
    <w:rsid w:val="006C5B44"/>
    <w:rsid w:val="006D3695"/>
    <w:rsid w:val="006E0DF3"/>
    <w:rsid w:val="006E5624"/>
    <w:rsid w:val="006F35CE"/>
    <w:rsid w:val="006F49EC"/>
    <w:rsid w:val="0070531D"/>
    <w:rsid w:val="00705BE7"/>
    <w:rsid w:val="00710719"/>
    <w:rsid w:val="00714FEA"/>
    <w:rsid w:val="00735B32"/>
    <w:rsid w:val="007361CC"/>
    <w:rsid w:val="00740859"/>
    <w:rsid w:val="00741500"/>
    <w:rsid w:val="00746F14"/>
    <w:rsid w:val="007536DE"/>
    <w:rsid w:val="00756237"/>
    <w:rsid w:val="00757712"/>
    <w:rsid w:val="00761DE0"/>
    <w:rsid w:val="00762C17"/>
    <w:rsid w:val="00765493"/>
    <w:rsid w:val="007701F3"/>
    <w:rsid w:val="00773038"/>
    <w:rsid w:val="0078600A"/>
    <w:rsid w:val="00792AFE"/>
    <w:rsid w:val="007A3727"/>
    <w:rsid w:val="007B339B"/>
    <w:rsid w:val="007C0CC6"/>
    <w:rsid w:val="007C3FA8"/>
    <w:rsid w:val="007C6C95"/>
    <w:rsid w:val="007C6CAC"/>
    <w:rsid w:val="007C6DE6"/>
    <w:rsid w:val="007D3EA2"/>
    <w:rsid w:val="007D6B86"/>
    <w:rsid w:val="007D6F8E"/>
    <w:rsid w:val="007F6D0B"/>
    <w:rsid w:val="00801F25"/>
    <w:rsid w:val="008031CB"/>
    <w:rsid w:val="008031F3"/>
    <w:rsid w:val="00814485"/>
    <w:rsid w:val="00817A90"/>
    <w:rsid w:val="00825F79"/>
    <w:rsid w:val="00830016"/>
    <w:rsid w:val="00833104"/>
    <w:rsid w:val="0083581A"/>
    <w:rsid w:val="00835B64"/>
    <w:rsid w:val="0084556C"/>
    <w:rsid w:val="00853330"/>
    <w:rsid w:val="00862D3C"/>
    <w:rsid w:val="008643D3"/>
    <w:rsid w:val="00865FA8"/>
    <w:rsid w:val="00873B07"/>
    <w:rsid w:val="008742F9"/>
    <w:rsid w:val="0087565F"/>
    <w:rsid w:val="00875F33"/>
    <w:rsid w:val="0088176D"/>
    <w:rsid w:val="00882EC4"/>
    <w:rsid w:val="008861A4"/>
    <w:rsid w:val="008925EF"/>
    <w:rsid w:val="00894E07"/>
    <w:rsid w:val="0089685F"/>
    <w:rsid w:val="008A54B4"/>
    <w:rsid w:val="008A59CF"/>
    <w:rsid w:val="008B1C77"/>
    <w:rsid w:val="008B25F5"/>
    <w:rsid w:val="008B3D05"/>
    <w:rsid w:val="008B684D"/>
    <w:rsid w:val="008C2E62"/>
    <w:rsid w:val="008C4476"/>
    <w:rsid w:val="008C4D3B"/>
    <w:rsid w:val="008C4E81"/>
    <w:rsid w:val="008C6E0A"/>
    <w:rsid w:val="008D07AC"/>
    <w:rsid w:val="008D26F9"/>
    <w:rsid w:val="008D77D4"/>
    <w:rsid w:val="008E0659"/>
    <w:rsid w:val="008E25FD"/>
    <w:rsid w:val="008E56D8"/>
    <w:rsid w:val="008E6851"/>
    <w:rsid w:val="008E749B"/>
    <w:rsid w:val="008F093C"/>
    <w:rsid w:val="008F312B"/>
    <w:rsid w:val="00904D2F"/>
    <w:rsid w:val="009059F2"/>
    <w:rsid w:val="00906A5C"/>
    <w:rsid w:val="00914269"/>
    <w:rsid w:val="00915371"/>
    <w:rsid w:val="00921BDA"/>
    <w:rsid w:val="0092485D"/>
    <w:rsid w:val="00931D25"/>
    <w:rsid w:val="00937A5B"/>
    <w:rsid w:val="00937C00"/>
    <w:rsid w:val="00940ED0"/>
    <w:rsid w:val="009458EC"/>
    <w:rsid w:val="00950E4F"/>
    <w:rsid w:val="009525E8"/>
    <w:rsid w:val="009530C3"/>
    <w:rsid w:val="00953606"/>
    <w:rsid w:val="009617F1"/>
    <w:rsid w:val="009630E7"/>
    <w:rsid w:val="00965051"/>
    <w:rsid w:val="00970369"/>
    <w:rsid w:val="00970D50"/>
    <w:rsid w:val="00976C84"/>
    <w:rsid w:val="0098496E"/>
    <w:rsid w:val="00991225"/>
    <w:rsid w:val="00993B1A"/>
    <w:rsid w:val="009953AE"/>
    <w:rsid w:val="00996B86"/>
    <w:rsid w:val="009A335D"/>
    <w:rsid w:val="009A4742"/>
    <w:rsid w:val="009B0B26"/>
    <w:rsid w:val="009B11EB"/>
    <w:rsid w:val="009B14B2"/>
    <w:rsid w:val="009B54FC"/>
    <w:rsid w:val="009C10C8"/>
    <w:rsid w:val="009C135A"/>
    <w:rsid w:val="009C4D80"/>
    <w:rsid w:val="009D14AC"/>
    <w:rsid w:val="009E24D3"/>
    <w:rsid w:val="009E3849"/>
    <w:rsid w:val="009E6262"/>
    <w:rsid w:val="00A05889"/>
    <w:rsid w:val="00A10C5A"/>
    <w:rsid w:val="00A16AA6"/>
    <w:rsid w:val="00A178F4"/>
    <w:rsid w:val="00A20C67"/>
    <w:rsid w:val="00A244AB"/>
    <w:rsid w:val="00A33D0C"/>
    <w:rsid w:val="00A4522D"/>
    <w:rsid w:val="00A470E9"/>
    <w:rsid w:val="00A64F4C"/>
    <w:rsid w:val="00A676B3"/>
    <w:rsid w:val="00A70D7A"/>
    <w:rsid w:val="00A729A8"/>
    <w:rsid w:val="00A84B96"/>
    <w:rsid w:val="00A86CB0"/>
    <w:rsid w:val="00A86D4E"/>
    <w:rsid w:val="00A87AD7"/>
    <w:rsid w:val="00A9117A"/>
    <w:rsid w:val="00A91C78"/>
    <w:rsid w:val="00A946C9"/>
    <w:rsid w:val="00A95631"/>
    <w:rsid w:val="00A9594C"/>
    <w:rsid w:val="00AA430F"/>
    <w:rsid w:val="00AB7EE5"/>
    <w:rsid w:val="00AC18A4"/>
    <w:rsid w:val="00AD31ED"/>
    <w:rsid w:val="00AD3203"/>
    <w:rsid w:val="00AD34BF"/>
    <w:rsid w:val="00AD7A6C"/>
    <w:rsid w:val="00AE5F47"/>
    <w:rsid w:val="00AE69EB"/>
    <w:rsid w:val="00AF0433"/>
    <w:rsid w:val="00AF32F7"/>
    <w:rsid w:val="00AF74B4"/>
    <w:rsid w:val="00B0164A"/>
    <w:rsid w:val="00B0235E"/>
    <w:rsid w:val="00B02F88"/>
    <w:rsid w:val="00B0313C"/>
    <w:rsid w:val="00B06321"/>
    <w:rsid w:val="00B12F43"/>
    <w:rsid w:val="00B235F6"/>
    <w:rsid w:val="00B32476"/>
    <w:rsid w:val="00B3292A"/>
    <w:rsid w:val="00B408F5"/>
    <w:rsid w:val="00B415D6"/>
    <w:rsid w:val="00B42873"/>
    <w:rsid w:val="00B50BDC"/>
    <w:rsid w:val="00B51397"/>
    <w:rsid w:val="00B545AB"/>
    <w:rsid w:val="00B607E7"/>
    <w:rsid w:val="00B632D3"/>
    <w:rsid w:val="00B641F2"/>
    <w:rsid w:val="00B966BB"/>
    <w:rsid w:val="00BA0C74"/>
    <w:rsid w:val="00BA172C"/>
    <w:rsid w:val="00BA194C"/>
    <w:rsid w:val="00BA4B28"/>
    <w:rsid w:val="00BA687F"/>
    <w:rsid w:val="00BB0A34"/>
    <w:rsid w:val="00BB3EA5"/>
    <w:rsid w:val="00BC0B6D"/>
    <w:rsid w:val="00BC4C60"/>
    <w:rsid w:val="00BC6304"/>
    <w:rsid w:val="00BD05FC"/>
    <w:rsid w:val="00BD1C40"/>
    <w:rsid w:val="00BD4096"/>
    <w:rsid w:val="00BE0157"/>
    <w:rsid w:val="00BE3E70"/>
    <w:rsid w:val="00BE5249"/>
    <w:rsid w:val="00BE6BA6"/>
    <w:rsid w:val="00C00E3A"/>
    <w:rsid w:val="00C03263"/>
    <w:rsid w:val="00C03806"/>
    <w:rsid w:val="00C04EEC"/>
    <w:rsid w:val="00C17F76"/>
    <w:rsid w:val="00C20495"/>
    <w:rsid w:val="00C20DC7"/>
    <w:rsid w:val="00C210E2"/>
    <w:rsid w:val="00C30046"/>
    <w:rsid w:val="00C37D20"/>
    <w:rsid w:val="00C41A2C"/>
    <w:rsid w:val="00C46EDC"/>
    <w:rsid w:val="00C473BE"/>
    <w:rsid w:val="00C53121"/>
    <w:rsid w:val="00C54CB0"/>
    <w:rsid w:val="00C55BEE"/>
    <w:rsid w:val="00C56BE0"/>
    <w:rsid w:val="00C65C40"/>
    <w:rsid w:val="00C72D7D"/>
    <w:rsid w:val="00C754DB"/>
    <w:rsid w:val="00C76803"/>
    <w:rsid w:val="00C8170E"/>
    <w:rsid w:val="00C82913"/>
    <w:rsid w:val="00C87FB8"/>
    <w:rsid w:val="00C91456"/>
    <w:rsid w:val="00C9713D"/>
    <w:rsid w:val="00CA27E1"/>
    <w:rsid w:val="00CA5A6B"/>
    <w:rsid w:val="00CA75F4"/>
    <w:rsid w:val="00CB441F"/>
    <w:rsid w:val="00CB457D"/>
    <w:rsid w:val="00CB4793"/>
    <w:rsid w:val="00CB540D"/>
    <w:rsid w:val="00CB64B6"/>
    <w:rsid w:val="00CB7A41"/>
    <w:rsid w:val="00CC37A7"/>
    <w:rsid w:val="00CC4AB3"/>
    <w:rsid w:val="00CC5A12"/>
    <w:rsid w:val="00CD0F56"/>
    <w:rsid w:val="00CD1CEA"/>
    <w:rsid w:val="00CD4D8F"/>
    <w:rsid w:val="00CD6241"/>
    <w:rsid w:val="00CE1427"/>
    <w:rsid w:val="00CE1589"/>
    <w:rsid w:val="00CE2280"/>
    <w:rsid w:val="00CE2CCD"/>
    <w:rsid w:val="00CE7EF8"/>
    <w:rsid w:val="00CF0025"/>
    <w:rsid w:val="00CF27A3"/>
    <w:rsid w:val="00CF3CF5"/>
    <w:rsid w:val="00CF6B5F"/>
    <w:rsid w:val="00D02CAA"/>
    <w:rsid w:val="00D04139"/>
    <w:rsid w:val="00D07770"/>
    <w:rsid w:val="00D1451E"/>
    <w:rsid w:val="00D205D4"/>
    <w:rsid w:val="00D2269C"/>
    <w:rsid w:val="00D248CF"/>
    <w:rsid w:val="00D26AE8"/>
    <w:rsid w:val="00D357B1"/>
    <w:rsid w:val="00D40379"/>
    <w:rsid w:val="00D40853"/>
    <w:rsid w:val="00D44363"/>
    <w:rsid w:val="00D54F5D"/>
    <w:rsid w:val="00D57393"/>
    <w:rsid w:val="00D60563"/>
    <w:rsid w:val="00D61FD9"/>
    <w:rsid w:val="00D65F16"/>
    <w:rsid w:val="00D71F03"/>
    <w:rsid w:val="00D77467"/>
    <w:rsid w:val="00D77886"/>
    <w:rsid w:val="00D860B8"/>
    <w:rsid w:val="00D87041"/>
    <w:rsid w:val="00D93283"/>
    <w:rsid w:val="00D95126"/>
    <w:rsid w:val="00D95151"/>
    <w:rsid w:val="00D9521E"/>
    <w:rsid w:val="00D96FE5"/>
    <w:rsid w:val="00DA3753"/>
    <w:rsid w:val="00DA708E"/>
    <w:rsid w:val="00DB0898"/>
    <w:rsid w:val="00DB09D4"/>
    <w:rsid w:val="00DB152A"/>
    <w:rsid w:val="00DB1720"/>
    <w:rsid w:val="00DB3E68"/>
    <w:rsid w:val="00DB54F4"/>
    <w:rsid w:val="00DB7681"/>
    <w:rsid w:val="00DC34EF"/>
    <w:rsid w:val="00DC3DDE"/>
    <w:rsid w:val="00DC437A"/>
    <w:rsid w:val="00DC6EBE"/>
    <w:rsid w:val="00DD0A61"/>
    <w:rsid w:val="00DD1108"/>
    <w:rsid w:val="00DD11F4"/>
    <w:rsid w:val="00DD3E92"/>
    <w:rsid w:val="00DF6C4F"/>
    <w:rsid w:val="00E030F2"/>
    <w:rsid w:val="00E039E0"/>
    <w:rsid w:val="00E1093F"/>
    <w:rsid w:val="00E1486B"/>
    <w:rsid w:val="00E152D7"/>
    <w:rsid w:val="00E20B56"/>
    <w:rsid w:val="00E20F1C"/>
    <w:rsid w:val="00E3106F"/>
    <w:rsid w:val="00E32FFB"/>
    <w:rsid w:val="00E359F1"/>
    <w:rsid w:val="00E42F22"/>
    <w:rsid w:val="00E436FA"/>
    <w:rsid w:val="00E47B00"/>
    <w:rsid w:val="00E52428"/>
    <w:rsid w:val="00E53387"/>
    <w:rsid w:val="00E54BEF"/>
    <w:rsid w:val="00E755C7"/>
    <w:rsid w:val="00E8526C"/>
    <w:rsid w:val="00E93B91"/>
    <w:rsid w:val="00E95C77"/>
    <w:rsid w:val="00E97461"/>
    <w:rsid w:val="00E97675"/>
    <w:rsid w:val="00EA7D8A"/>
    <w:rsid w:val="00EB4A59"/>
    <w:rsid w:val="00EB4BCA"/>
    <w:rsid w:val="00EC3456"/>
    <w:rsid w:val="00EC3AE8"/>
    <w:rsid w:val="00EC3CA1"/>
    <w:rsid w:val="00ED4243"/>
    <w:rsid w:val="00EE03EB"/>
    <w:rsid w:val="00EE1E89"/>
    <w:rsid w:val="00EF2C1D"/>
    <w:rsid w:val="00F000B5"/>
    <w:rsid w:val="00F0159E"/>
    <w:rsid w:val="00F019D7"/>
    <w:rsid w:val="00F025A1"/>
    <w:rsid w:val="00F0720F"/>
    <w:rsid w:val="00F13AAA"/>
    <w:rsid w:val="00F13E02"/>
    <w:rsid w:val="00F200ED"/>
    <w:rsid w:val="00F214E6"/>
    <w:rsid w:val="00F24B73"/>
    <w:rsid w:val="00F260BE"/>
    <w:rsid w:val="00F272EF"/>
    <w:rsid w:val="00F3094A"/>
    <w:rsid w:val="00F3294E"/>
    <w:rsid w:val="00F35A8F"/>
    <w:rsid w:val="00F408B1"/>
    <w:rsid w:val="00F41365"/>
    <w:rsid w:val="00F42AD2"/>
    <w:rsid w:val="00F46DE4"/>
    <w:rsid w:val="00F47D32"/>
    <w:rsid w:val="00F601BF"/>
    <w:rsid w:val="00F61109"/>
    <w:rsid w:val="00F65AAC"/>
    <w:rsid w:val="00F67D20"/>
    <w:rsid w:val="00F70788"/>
    <w:rsid w:val="00F71EA7"/>
    <w:rsid w:val="00F7261F"/>
    <w:rsid w:val="00F77A43"/>
    <w:rsid w:val="00F80F1E"/>
    <w:rsid w:val="00F811E0"/>
    <w:rsid w:val="00F838E6"/>
    <w:rsid w:val="00F86263"/>
    <w:rsid w:val="00F95454"/>
    <w:rsid w:val="00F964C5"/>
    <w:rsid w:val="00FB1C94"/>
    <w:rsid w:val="00FB7B4D"/>
    <w:rsid w:val="00FC05B1"/>
    <w:rsid w:val="00FC1279"/>
    <w:rsid w:val="00FC480E"/>
    <w:rsid w:val="00FC6A89"/>
    <w:rsid w:val="00FD013C"/>
    <w:rsid w:val="00FD088B"/>
    <w:rsid w:val="00FD1562"/>
    <w:rsid w:val="00FD3F47"/>
    <w:rsid w:val="00FE6726"/>
    <w:rsid w:val="00FE70AC"/>
    <w:rsid w:val="00FE7DDD"/>
    <w:rsid w:val="00FF668C"/>
    <w:rsid w:val="00FF75D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AE"/>
    <w:pPr>
      <w:jc w:val="both"/>
    </w:pPr>
    <w:rPr>
      <w:sz w:val="24"/>
      <w:lang w:val="en-US" w:eastAsia="en-US" w:bidi="ar-SA"/>
    </w:rPr>
  </w:style>
  <w:style w:type="paragraph" w:styleId="Heading1">
    <w:name w:val="heading 1"/>
    <w:basedOn w:val="Normal"/>
    <w:next w:val="Normal"/>
    <w:qFormat/>
    <w:rsid w:val="009953AE"/>
    <w:pPr>
      <w:keepNext/>
      <w:outlineLvl w:val="0"/>
    </w:pPr>
    <w:rPr>
      <w:b/>
    </w:rPr>
  </w:style>
  <w:style w:type="paragraph" w:styleId="Heading2">
    <w:name w:val="heading 2"/>
    <w:basedOn w:val="Normal"/>
    <w:next w:val="Normal"/>
    <w:qFormat/>
    <w:rsid w:val="009953AE"/>
    <w:pPr>
      <w:keepNext/>
      <w:jc w:val="left"/>
      <w:outlineLvl w:val="1"/>
    </w:pPr>
    <w:rPr>
      <w:b/>
      <w:caps/>
      <w:sz w:val="32"/>
    </w:rPr>
  </w:style>
  <w:style w:type="paragraph" w:styleId="Heading3">
    <w:name w:val="heading 3"/>
    <w:basedOn w:val="Normal"/>
    <w:next w:val="Normal"/>
    <w:qFormat/>
    <w:rsid w:val="009953AE"/>
    <w:pPr>
      <w:keepNext/>
      <w:ind w:left="709"/>
      <w:outlineLvl w:val="2"/>
    </w:pPr>
    <w:rPr>
      <w:u w:val="single"/>
    </w:rPr>
  </w:style>
  <w:style w:type="paragraph" w:styleId="Heading4">
    <w:name w:val="heading 4"/>
    <w:basedOn w:val="Normal"/>
    <w:next w:val="Normal"/>
    <w:qFormat/>
    <w:rsid w:val="009953AE"/>
    <w:pPr>
      <w:keepNext/>
      <w:spacing w:before="240" w:after="240"/>
      <w:outlineLvl w:val="3"/>
    </w:pPr>
    <w:rPr>
      <w:b/>
      <w:u w:val="single"/>
    </w:rPr>
  </w:style>
  <w:style w:type="paragraph" w:styleId="Heading5">
    <w:name w:val="heading 5"/>
    <w:basedOn w:val="Normal"/>
    <w:next w:val="Normal"/>
    <w:qFormat/>
    <w:rsid w:val="009953AE"/>
    <w:pPr>
      <w:keepNext/>
      <w:tabs>
        <w:tab w:val="left" w:pos="2977"/>
      </w:tabs>
      <w:jc w:val="left"/>
      <w:outlineLvl w:val="4"/>
    </w:pPr>
    <w:rPr>
      <w:b/>
    </w:rPr>
  </w:style>
  <w:style w:type="paragraph" w:styleId="Heading6">
    <w:name w:val="heading 6"/>
    <w:basedOn w:val="Normal"/>
    <w:next w:val="Normal"/>
    <w:qFormat/>
    <w:rsid w:val="009953AE"/>
    <w:pPr>
      <w:keepNext/>
      <w:jc w:val="center"/>
      <w:outlineLvl w:val="5"/>
    </w:pPr>
    <w:rPr>
      <w:b/>
    </w:rPr>
  </w:style>
  <w:style w:type="paragraph" w:styleId="Heading7">
    <w:name w:val="heading 7"/>
    <w:basedOn w:val="Normal"/>
    <w:next w:val="Normal"/>
    <w:qFormat/>
    <w:rsid w:val="009953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Arial" w:hAnsi="Arial"/>
      <w:color w:val="0000FF"/>
      <w:u w:val="single"/>
    </w:rPr>
  </w:style>
  <w:style w:type="paragraph" w:styleId="Heading8">
    <w:name w:val="heading 8"/>
    <w:basedOn w:val="Normal"/>
    <w:next w:val="Normal"/>
    <w:qFormat/>
    <w:rsid w:val="009953AE"/>
    <w:pPr>
      <w:keepNext/>
      <w:outlineLvl w:val="7"/>
    </w:pPr>
    <w:rPr>
      <w:rFonts w:ascii="Arial" w:hAnsi="Arial"/>
      <w:i/>
    </w:rPr>
  </w:style>
  <w:style w:type="paragraph" w:styleId="Heading9">
    <w:name w:val="heading 9"/>
    <w:basedOn w:val="Normal"/>
    <w:next w:val="Normal"/>
    <w:qFormat/>
    <w:rsid w:val="009953AE"/>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9953AE"/>
    <w:pPr>
      <w:spacing w:after="240"/>
    </w:pPr>
  </w:style>
  <w:style w:type="paragraph" w:customStyle="1" w:styleId="Bullet1">
    <w:name w:val="Bullet 1"/>
    <w:basedOn w:val="Normal"/>
    <w:rsid w:val="009953AE"/>
    <w:pPr>
      <w:numPr>
        <w:numId w:val="3"/>
      </w:numPr>
    </w:pPr>
  </w:style>
  <w:style w:type="paragraph" w:customStyle="1" w:styleId="Bullet2">
    <w:name w:val="Bullet 2"/>
    <w:basedOn w:val="Bullet"/>
    <w:rsid w:val="009953AE"/>
    <w:pPr>
      <w:numPr>
        <w:numId w:val="1"/>
      </w:numPr>
      <w:suppressAutoHyphens/>
    </w:pPr>
    <w:rPr>
      <w:sz w:val="22"/>
    </w:rPr>
  </w:style>
  <w:style w:type="paragraph" w:customStyle="1" w:styleId="bullet10">
    <w:name w:val="bullet 1"/>
    <w:basedOn w:val="Normal"/>
    <w:rsid w:val="009953AE"/>
    <w:pPr>
      <w:widowControl w:val="0"/>
      <w:numPr>
        <w:numId w:val="2"/>
      </w:numPr>
      <w:tabs>
        <w:tab w:val="left" w:pos="680"/>
      </w:tabs>
      <w:spacing w:after="240"/>
      <w:ind w:left="680" w:hanging="680"/>
    </w:pPr>
    <w:rPr>
      <w:snapToGrid w:val="0"/>
    </w:rPr>
  </w:style>
  <w:style w:type="paragraph" w:styleId="Header">
    <w:name w:val="header"/>
    <w:basedOn w:val="Normal"/>
    <w:rsid w:val="009953AE"/>
    <w:pPr>
      <w:tabs>
        <w:tab w:val="center" w:pos="4320"/>
        <w:tab w:val="right" w:pos="8640"/>
      </w:tabs>
    </w:pPr>
  </w:style>
  <w:style w:type="paragraph" w:styleId="Footer">
    <w:name w:val="footer"/>
    <w:basedOn w:val="Normal"/>
    <w:rsid w:val="009953AE"/>
    <w:pPr>
      <w:tabs>
        <w:tab w:val="center" w:pos="4320"/>
        <w:tab w:val="right" w:pos="8640"/>
      </w:tabs>
    </w:pPr>
  </w:style>
  <w:style w:type="character" w:styleId="PageNumber">
    <w:name w:val="page number"/>
    <w:basedOn w:val="DefaultParagraphFont"/>
    <w:rsid w:val="009953AE"/>
  </w:style>
  <w:style w:type="paragraph" w:styleId="BodyTextIndent">
    <w:name w:val="Body Text Indent"/>
    <w:basedOn w:val="Normal"/>
    <w:rsid w:val="009953AE"/>
    <w:pPr>
      <w:tabs>
        <w:tab w:val="left" w:pos="709"/>
      </w:tabs>
      <w:ind w:left="709" w:hanging="709"/>
    </w:pPr>
  </w:style>
  <w:style w:type="paragraph" w:styleId="BodyTextIndent2">
    <w:name w:val="Body Text Indent 2"/>
    <w:basedOn w:val="Normal"/>
    <w:rsid w:val="009953AE"/>
    <w:pPr>
      <w:tabs>
        <w:tab w:val="left" w:pos="2977"/>
      </w:tabs>
      <w:ind w:left="2977" w:hanging="2977"/>
      <w:jc w:val="left"/>
    </w:pPr>
    <w:rPr>
      <w:b/>
    </w:rPr>
  </w:style>
  <w:style w:type="character" w:styleId="CommentReference">
    <w:name w:val="annotation reference"/>
    <w:basedOn w:val="DefaultParagraphFont"/>
    <w:semiHidden/>
    <w:rsid w:val="009953AE"/>
    <w:rPr>
      <w:sz w:val="16"/>
    </w:rPr>
  </w:style>
  <w:style w:type="paragraph" w:styleId="CommentText">
    <w:name w:val="annotation text"/>
    <w:basedOn w:val="Normal"/>
    <w:link w:val="CommentTextChar"/>
    <w:semiHidden/>
    <w:rsid w:val="009953AE"/>
    <w:rPr>
      <w:sz w:val="20"/>
    </w:rPr>
  </w:style>
  <w:style w:type="character" w:styleId="Hyperlink">
    <w:name w:val="Hyperlink"/>
    <w:basedOn w:val="DefaultParagraphFont"/>
    <w:rsid w:val="009953AE"/>
    <w:rPr>
      <w:color w:val="0000FF"/>
      <w:u w:val="none"/>
    </w:rPr>
  </w:style>
  <w:style w:type="character" w:styleId="FollowedHyperlink">
    <w:name w:val="FollowedHyperlink"/>
    <w:basedOn w:val="DefaultParagraphFont"/>
    <w:rsid w:val="009953AE"/>
    <w:rPr>
      <w:color w:val="800080"/>
      <w:u w:val="none"/>
    </w:rPr>
  </w:style>
  <w:style w:type="paragraph" w:styleId="BodyTextIndent3">
    <w:name w:val="Body Text Indent 3"/>
    <w:basedOn w:val="Normal"/>
    <w:rsid w:val="009953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pPr>
    <w:rPr>
      <w:rFonts w:ascii="Arial" w:hAnsi="Arial"/>
      <w:lang w:val="en-AU"/>
    </w:rPr>
  </w:style>
  <w:style w:type="paragraph" w:styleId="BodyText3">
    <w:name w:val="Body Text 3"/>
    <w:basedOn w:val="Normal"/>
    <w:rsid w:val="0099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olor w:val="0000FF"/>
      <w:lang w:val="en-AU"/>
    </w:rPr>
  </w:style>
  <w:style w:type="paragraph" w:styleId="EndnoteText">
    <w:name w:val="endnote text"/>
    <w:basedOn w:val="Normal"/>
    <w:link w:val="EndnoteTextChar"/>
    <w:rsid w:val="009953AE"/>
    <w:pPr>
      <w:tabs>
        <w:tab w:val="left" w:pos="567"/>
      </w:tabs>
      <w:jc w:val="left"/>
    </w:pPr>
    <w:rPr>
      <w:sz w:val="22"/>
      <w:lang w:val="en-GB"/>
    </w:rPr>
  </w:style>
  <w:style w:type="paragraph" w:styleId="BodyText">
    <w:name w:val="Body Text"/>
    <w:basedOn w:val="Normal"/>
    <w:rsid w:val="009953AE"/>
    <w:rPr>
      <w:rFonts w:ascii="Arial" w:hAnsi="Arial"/>
    </w:rPr>
  </w:style>
  <w:style w:type="paragraph" w:customStyle="1" w:styleId="Text">
    <w:name w:val="Text"/>
    <w:basedOn w:val="Normal"/>
    <w:rsid w:val="009953AE"/>
    <w:pPr>
      <w:spacing w:before="60" w:after="60" w:line="360" w:lineRule="atLeast"/>
      <w:jc w:val="left"/>
    </w:pPr>
  </w:style>
  <w:style w:type="paragraph" w:styleId="BodyText2">
    <w:name w:val="Body Text 2"/>
    <w:basedOn w:val="Normal"/>
    <w:rsid w:val="009953AE"/>
    <w:pPr>
      <w:ind w:right="-219"/>
    </w:pPr>
    <w:rPr>
      <w:rFonts w:ascii="Arial" w:hAnsi="Arial"/>
    </w:rPr>
  </w:style>
  <w:style w:type="paragraph" w:styleId="BalloonText">
    <w:name w:val="Balloon Text"/>
    <w:basedOn w:val="Normal"/>
    <w:semiHidden/>
    <w:rsid w:val="009953AE"/>
    <w:rPr>
      <w:rFonts w:ascii="Tahoma" w:hAnsi="Tahoma" w:cs="Tahoma"/>
      <w:sz w:val="16"/>
      <w:szCs w:val="16"/>
    </w:rPr>
  </w:style>
  <w:style w:type="character" w:customStyle="1" w:styleId="EmailStyle35">
    <w:name w:val="EmailStyle35"/>
    <w:basedOn w:val="DefaultParagraphFont"/>
    <w:semiHidden/>
    <w:rsid w:val="009953AE"/>
    <w:rPr>
      <w:rFonts w:ascii="Arial" w:hAnsi="Arial" w:cs="Arial" w:hint="default"/>
      <w:color w:val="auto"/>
      <w:sz w:val="20"/>
      <w:szCs w:val="20"/>
    </w:rPr>
  </w:style>
  <w:style w:type="table" w:styleId="TableGrid">
    <w:name w:val="Table Grid"/>
    <w:basedOn w:val="TableNormal"/>
    <w:uiPriority w:val="59"/>
    <w:rsid w:val="0059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Heading1">
    <w:name w:val="PI Heading 1"/>
    <w:basedOn w:val="Heading1"/>
    <w:rsid w:val="004E7EFE"/>
    <w:pPr>
      <w:tabs>
        <w:tab w:val="left" w:pos="1418"/>
      </w:tabs>
      <w:spacing w:before="240" w:after="240"/>
      <w:ind w:left="1418" w:hanging="1418"/>
    </w:pPr>
    <w:rPr>
      <w:rFonts w:ascii="Arial Bold" w:hAnsi="Arial Bold"/>
      <w:kern w:val="28"/>
      <w:sz w:val="22"/>
      <w:szCs w:val="22"/>
      <w:lang w:val="en-GB"/>
    </w:rPr>
  </w:style>
  <w:style w:type="paragraph" w:customStyle="1" w:styleId="PIheading2">
    <w:name w:val="PI heading 2"/>
    <w:basedOn w:val="Heading2"/>
    <w:rsid w:val="0033155D"/>
    <w:pPr>
      <w:tabs>
        <w:tab w:val="left" w:pos="1418"/>
      </w:tabs>
      <w:spacing w:before="120" w:after="240"/>
    </w:pPr>
    <w:rPr>
      <w:rFonts w:ascii="Arial" w:hAnsi="Arial" w:cs="Arial"/>
      <w:caps w:val="0"/>
      <w:snapToGrid w:val="0"/>
      <w:sz w:val="22"/>
      <w:szCs w:val="22"/>
      <w:lang w:val="en-GB" w:eastAsia="de-DE"/>
    </w:rPr>
  </w:style>
  <w:style w:type="paragraph" w:customStyle="1" w:styleId="PIHeading3">
    <w:name w:val="PI Heading 3"/>
    <w:basedOn w:val="Normal"/>
    <w:rsid w:val="004E7EFE"/>
    <w:pPr>
      <w:tabs>
        <w:tab w:val="left" w:pos="1418"/>
      </w:tabs>
      <w:spacing w:before="120" w:after="60"/>
    </w:pPr>
    <w:rPr>
      <w:rFonts w:ascii="Arial" w:hAnsi="Arial"/>
      <w:sz w:val="22"/>
      <w:szCs w:val="22"/>
      <w:u w:val="single"/>
      <w:lang w:val="en-GB"/>
    </w:rPr>
  </w:style>
  <w:style w:type="paragraph" w:customStyle="1" w:styleId="PItextbolditalic">
    <w:name w:val="PI text bold  italic"/>
    <w:basedOn w:val="Normal"/>
    <w:rsid w:val="004E7EFE"/>
    <w:pPr>
      <w:tabs>
        <w:tab w:val="left" w:pos="1418"/>
      </w:tabs>
      <w:spacing w:before="120" w:after="120"/>
    </w:pPr>
    <w:rPr>
      <w:rFonts w:ascii="Arial" w:hAnsi="Arial"/>
      <w:b/>
      <w:i/>
      <w:sz w:val="22"/>
      <w:szCs w:val="22"/>
      <w:lang w:val="en-GB"/>
    </w:rPr>
  </w:style>
  <w:style w:type="paragraph" w:customStyle="1" w:styleId="TextPI">
    <w:name w:val="Text PI"/>
    <w:basedOn w:val="Normal"/>
    <w:link w:val="TextPIChar"/>
    <w:rsid w:val="004E7EFE"/>
    <w:pPr>
      <w:spacing w:before="120" w:after="120" w:line="240" w:lineRule="atLeast"/>
    </w:pPr>
    <w:rPr>
      <w:rFonts w:ascii="Arial" w:hAnsi="Arial"/>
      <w:sz w:val="22"/>
      <w:szCs w:val="22"/>
      <w:lang w:val="en-GB"/>
    </w:rPr>
  </w:style>
  <w:style w:type="paragraph" w:customStyle="1" w:styleId="TextPIBullet">
    <w:name w:val="Text PI Bullet"/>
    <w:basedOn w:val="TextPI"/>
    <w:rsid w:val="004E7EFE"/>
    <w:pPr>
      <w:numPr>
        <w:numId w:val="4"/>
      </w:numPr>
      <w:tabs>
        <w:tab w:val="clear" w:pos="720"/>
        <w:tab w:val="num" w:pos="360"/>
      </w:tabs>
      <w:spacing w:before="0" w:after="0"/>
      <w:ind w:left="0" w:firstLine="0"/>
    </w:pPr>
  </w:style>
  <w:style w:type="character" w:customStyle="1" w:styleId="TextPIChar">
    <w:name w:val="Text PI Char"/>
    <w:basedOn w:val="DefaultParagraphFont"/>
    <w:link w:val="TextPI"/>
    <w:rsid w:val="004E7EFE"/>
    <w:rPr>
      <w:rFonts w:ascii="Arial" w:hAnsi="Arial"/>
      <w:sz w:val="22"/>
      <w:szCs w:val="22"/>
      <w:lang w:val="en-GB" w:eastAsia="en-US" w:bidi="ar-SA"/>
    </w:rPr>
  </w:style>
  <w:style w:type="paragraph" w:customStyle="1" w:styleId="TextPItable">
    <w:name w:val="Text PI table"/>
    <w:basedOn w:val="Normal"/>
    <w:rsid w:val="004E7EFE"/>
    <w:pPr>
      <w:tabs>
        <w:tab w:val="left" w:pos="1418"/>
      </w:tabs>
    </w:pPr>
    <w:rPr>
      <w:rFonts w:ascii="Arial" w:hAnsi="Arial"/>
      <w:sz w:val="22"/>
      <w:szCs w:val="22"/>
      <w:lang w:val="en-GB"/>
    </w:rPr>
  </w:style>
  <w:style w:type="paragraph" w:customStyle="1" w:styleId="TextPIunderline">
    <w:name w:val="Text PI underline"/>
    <w:basedOn w:val="Normal"/>
    <w:rsid w:val="004E7EFE"/>
    <w:pPr>
      <w:tabs>
        <w:tab w:val="left" w:pos="1418"/>
      </w:tabs>
    </w:pPr>
    <w:rPr>
      <w:rFonts w:ascii="Arial" w:hAnsi="Arial"/>
      <w:iCs/>
      <w:sz w:val="22"/>
      <w:szCs w:val="22"/>
      <w:u w:val="single"/>
      <w:lang w:val="en-GB"/>
    </w:rPr>
  </w:style>
  <w:style w:type="paragraph" w:customStyle="1" w:styleId="BrandName">
    <w:name w:val="Brand Name"/>
    <w:basedOn w:val="Normal"/>
    <w:rsid w:val="004E7EFE"/>
    <w:pPr>
      <w:suppressAutoHyphens/>
      <w:spacing w:after="60"/>
      <w:jc w:val="left"/>
    </w:pPr>
    <w:rPr>
      <w:rFonts w:ascii="Helvetica" w:hAnsi="Helvetica"/>
      <w:b/>
      <w:sz w:val="60"/>
    </w:rPr>
  </w:style>
  <w:style w:type="paragraph" w:customStyle="1" w:styleId="ActiveIngredientPI">
    <w:name w:val="Active Ingredient PI"/>
    <w:basedOn w:val="Normal"/>
    <w:rsid w:val="004E7EFE"/>
    <w:pPr>
      <w:shd w:val="pct10" w:color="auto" w:fill="auto"/>
      <w:spacing w:after="60"/>
      <w:jc w:val="center"/>
    </w:pPr>
    <w:rPr>
      <w:rFonts w:ascii="Arial" w:hAnsi="Arial"/>
      <w:b/>
      <w:sz w:val="20"/>
    </w:rPr>
  </w:style>
  <w:style w:type="paragraph" w:customStyle="1" w:styleId="BrandNamePI">
    <w:name w:val="Brand Name PI"/>
    <w:basedOn w:val="ActiveIngredientPI"/>
    <w:rsid w:val="00EB4BCA"/>
    <w:rPr>
      <w:sz w:val="28"/>
      <w:szCs w:val="28"/>
    </w:rPr>
  </w:style>
  <w:style w:type="paragraph" w:styleId="BlockText">
    <w:name w:val="Block Text"/>
    <w:basedOn w:val="Normal"/>
    <w:rsid w:val="00BA0C74"/>
    <w:pPr>
      <w:spacing w:after="120"/>
      <w:ind w:left="1440" w:right="1440"/>
    </w:pPr>
  </w:style>
  <w:style w:type="paragraph" w:styleId="BodyTextFirstIndent">
    <w:name w:val="Body Text First Indent"/>
    <w:basedOn w:val="BodyText"/>
    <w:rsid w:val="00BA0C74"/>
    <w:pPr>
      <w:spacing w:after="120"/>
      <w:ind w:firstLine="210"/>
    </w:pPr>
    <w:rPr>
      <w:rFonts w:ascii="Times New Roman" w:hAnsi="Times New Roman"/>
    </w:rPr>
  </w:style>
  <w:style w:type="paragraph" w:styleId="BodyTextFirstIndent2">
    <w:name w:val="Body Text First Indent 2"/>
    <w:basedOn w:val="BodyTextIndent"/>
    <w:rsid w:val="00BA0C74"/>
    <w:pPr>
      <w:tabs>
        <w:tab w:val="clear" w:pos="709"/>
      </w:tabs>
      <w:spacing w:after="120"/>
      <w:ind w:left="283" w:firstLine="210"/>
    </w:pPr>
  </w:style>
  <w:style w:type="paragraph" w:styleId="Caption">
    <w:name w:val="caption"/>
    <w:basedOn w:val="Normal"/>
    <w:next w:val="Normal"/>
    <w:qFormat/>
    <w:rsid w:val="00BA0C74"/>
    <w:pPr>
      <w:spacing w:before="120" w:after="120"/>
    </w:pPr>
    <w:rPr>
      <w:b/>
      <w:bCs/>
      <w:sz w:val="20"/>
    </w:rPr>
  </w:style>
  <w:style w:type="paragraph" w:styleId="Closing">
    <w:name w:val="Closing"/>
    <w:basedOn w:val="Normal"/>
    <w:rsid w:val="00BA0C74"/>
    <w:pPr>
      <w:ind w:left="4252"/>
    </w:pPr>
  </w:style>
  <w:style w:type="paragraph" w:styleId="CommentSubject">
    <w:name w:val="annotation subject"/>
    <w:basedOn w:val="CommentText"/>
    <w:next w:val="CommentText"/>
    <w:semiHidden/>
    <w:rsid w:val="00BA0C74"/>
    <w:rPr>
      <w:b/>
      <w:bCs/>
    </w:rPr>
  </w:style>
  <w:style w:type="paragraph" w:styleId="Date">
    <w:name w:val="Date"/>
    <w:basedOn w:val="Normal"/>
    <w:next w:val="Normal"/>
    <w:rsid w:val="00BA0C74"/>
  </w:style>
  <w:style w:type="paragraph" w:styleId="DocumentMap">
    <w:name w:val="Document Map"/>
    <w:basedOn w:val="Normal"/>
    <w:semiHidden/>
    <w:rsid w:val="00BA0C74"/>
    <w:pPr>
      <w:shd w:val="clear" w:color="auto" w:fill="000080"/>
    </w:pPr>
    <w:rPr>
      <w:rFonts w:ascii="Tahoma" w:hAnsi="Tahoma" w:cs="Tahoma"/>
    </w:rPr>
  </w:style>
  <w:style w:type="paragraph" w:styleId="E-mailSignature">
    <w:name w:val="E-mail Signature"/>
    <w:basedOn w:val="Normal"/>
    <w:rsid w:val="00BA0C74"/>
  </w:style>
  <w:style w:type="paragraph" w:styleId="EnvelopeAddress">
    <w:name w:val="envelope address"/>
    <w:basedOn w:val="Normal"/>
    <w:rsid w:val="00BA0C74"/>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BA0C74"/>
    <w:rPr>
      <w:rFonts w:ascii="Arial" w:hAnsi="Arial" w:cs="Arial"/>
      <w:sz w:val="20"/>
    </w:rPr>
  </w:style>
  <w:style w:type="paragraph" w:styleId="FootnoteText">
    <w:name w:val="footnote text"/>
    <w:basedOn w:val="Normal"/>
    <w:semiHidden/>
    <w:rsid w:val="00BA0C74"/>
    <w:rPr>
      <w:sz w:val="20"/>
    </w:rPr>
  </w:style>
  <w:style w:type="paragraph" w:styleId="HTMLAddress">
    <w:name w:val="HTML Address"/>
    <w:basedOn w:val="Normal"/>
    <w:rsid w:val="00BA0C74"/>
    <w:rPr>
      <w:i/>
      <w:iCs/>
    </w:rPr>
  </w:style>
  <w:style w:type="paragraph" w:styleId="HTMLPreformatted">
    <w:name w:val="HTML Preformatted"/>
    <w:basedOn w:val="Normal"/>
    <w:rsid w:val="00BA0C74"/>
    <w:rPr>
      <w:rFonts w:ascii="Courier New" w:hAnsi="Courier New" w:cs="Courier New"/>
      <w:sz w:val="20"/>
    </w:rPr>
  </w:style>
  <w:style w:type="paragraph" w:styleId="Index1">
    <w:name w:val="index 1"/>
    <w:basedOn w:val="Normal"/>
    <w:next w:val="Normal"/>
    <w:autoRedefine/>
    <w:semiHidden/>
    <w:rsid w:val="00BA0C74"/>
    <w:pPr>
      <w:ind w:left="240" w:hanging="240"/>
    </w:pPr>
  </w:style>
  <w:style w:type="paragraph" w:styleId="Index2">
    <w:name w:val="index 2"/>
    <w:basedOn w:val="Normal"/>
    <w:next w:val="Normal"/>
    <w:autoRedefine/>
    <w:semiHidden/>
    <w:rsid w:val="00BA0C74"/>
    <w:pPr>
      <w:ind w:left="480" w:hanging="240"/>
    </w:pPr>
  </w:style>
  <w:style w:type="paragraph" w:styleId="Index3">
    <w:name w:val="index 3"/>
    <w:basedOn w:val="Normal"/>
    <w:next w:val="Normal"/>
    <w:autoRedefine/>
    <w:semiHidden/>
    <w:rsid w:val="00BA0C74"/>
    <w:pPr>
      <w:ind w:left="720" w:hanging="240"/>
    </w:pPr>
  </w:style>
  <w:style w:type="paragraph" w:styleId="Index4">
    <w:name w:val="index 4"/>
    <w:basedOn w:val="Normal"/>
    <w:next w:val="Normal"/>
    <w:autoRedefine/>
    <w:semiHidden/>
    <w:rsid w:val="00BA0C74"/>
    <w:pPr>
      <w:ind w:left="960" w:hanging="240"/>
    </w:pPr>
  </w:style>
  <w:style w:type="paragraph" w:styleId="Index5">
    <w:name w:val="index 5"/>
    <w:basedOn w:val="Normal"/>
    <w:next w:val="Normal"/>
    <w:autoRedefine/>
    <w:semiHidden/>
    <w:rsid w:val="00BA0C74"/>
    <w:pPr>
      <w:ind w:left="1200" w:hanging="240"/>
    </w:pPr>
  </w:style>
  <w:style w:type="paragraph" w:styleId="Index6">
    <w:name w:val="index 6"/>
    <w:basedOn w:val="Normal"/>
    <w:next w:val="Normal"/>
    <w:autoRedefine/>
    <w:semiHidden/>
    <w:rsid w:val="00BA0C74"/>
    <w:pPr>
      <w:ind w:left="1440" w:hanging="240"/>
    </w:pPr>
  </w:style>
  <w:style w:type="paragraph" w:styleId="Index7">
    <w:name w:val="index 7"/>
    <w:basedOn w:val="Normal"/>
    <w:next w:val="Normal"/>
    <w:autoRedefine/>
    <w:semiHidden/>
    <w:rsid w:val="00BA0C74"/>
    <w:pPr>
      <w:ind w:left="1680" w:hanging="240"/>
    </w:pPr>
  </w:style>
  <w:style w:type="paragraph" w:styleId="Index8">
    <w:name w:val="index 8"/>
    <w:basedOn w:val="Normal"/>
    <w:next w:val="Normal"/>
    <w:autoRedefine/>
    <w:semiHidden/>
    <w:rsid w:val="00BA0C74"/>
    <w:pPr>
      <w:ind w:left="1920" w:hanging="240"/>
    </w:pPr>
  </w:style>
  <w:style w:type="paragraph" w:styleId="Index9">
    <w:name w:val="index 9"/>
    <w:basedOn w:val="Normal"/>
    <w:next w:val="Normal"/>
    <w:autoRedefine/>
    <w:semiHidden/>
    <w:rsid w:val="00BA0C74"/>
    <w:pPr>
      <w:ind w:left="2160" w:hanging="240"/>
    </w:pPr>
  </w:style>
  <w:style w:type="paragraph" w:styleId="IndexHeading">
    <w:name w:val="index heading"/>
    <w:basedOn w:val="Normal"/>
    <w:next w:val="Index1"/>
    <w:semiHidden/>
    <w:rsid w:val="00BA0C74"/>
    <w:rPr>
      <w:rFonts w:ascii="Arial" w:hAnsi="Arial" w:cs="Arial"/>
      <w:b/>
      <w:bCs/>
    </w:rPr>
  </w:style>
  <w:style w:type="paragraph" w:styleId="List">
    <w:name w:val="List"/>
    <w:basedOn w:val="Normal"/>
    <w:rsid w:val="00BA0C74"/>
    <w:pPr>
      <w:ind w:left="283" w:hanging="283"/>
    </w:pPr>
  </w:style>
  <w:style w:type="paragraph" w:styleId="List2">
    <w:name w:val="List 2"/>
    <w:basedOn w:val="Normal"/>
    <w:rsid w:val="00BA0C74"/>
    <w:pPr>
      <w:ind w:left="566" w:hanging="283"/>
    </w:pPr>
  </w:style>
  <w:style w:type="paragraph" w:styleId="List3">
    <w:name w:val="List 3"/>
    <w:basedOn w:val="Normal"/>
    <w:rsid w:val="00BA0C74"/>
    <w:pPr>
      <w:ind w:left="849" w:hanging="283"/>
    </w:pPr>
  </w:style>
  <w:style w:type="paragraph" w:styleId="List4">
    <w:name w:val="List 4"/>
    <w:basedOn w:val="Normal"/>
    <w:rsid w:val="00BA0C74"/>
    <w:pPr>
      <w:ind w:left="1132" w:hanging="283"/>
    </w:pPr>
  </w:style>
  <w:style w:type="paragraph" w:styleId="List5">
    <w:name w:val="List 5"/>
    <w:basedOn w:val="Normal"/>
    <w:rsid w:val="00BA0C74"/>
    <w:pPr>
      <w:ind w:left="1415" w:hanging="283"/>
    </w:pPr>
  </w:style>
  <w:style w:type="paragraph" w:styleId="ListBullet">
    <w:name w:val="List Bullet"/>
    <w:basedOn w:val="Normal"/>
    <w:autoRedefine/>
    <w:rsid w:val="00BA0C74"/>
    <w:pPr>
      <w:numPr>
        <w:numId w:val="5"/>
      </w:numPr>
    </w:pPr>
  </w:style>
  <w:style w:type="paragraph" w:styleId="ListBullet2">
    <w:name w:val="List Bullet 2"/>
    <w:basedOn w:val="Normal"/>
    <w:autoRedefine/>
    <w:rsid w:val="00BA0C74"/>
    <w:pPr>
      <w:numPr>
        <w:numId w:val="6"/>
      </w:numPr>
    </w:pPr>
  </w:style>
  <w:style w:type="paragraph" w:styleId="ListBullet3">
    <w:name w:val="List Bullet 3"/>
    <w:basedOn w:val="Normal"/>
    <w:autoRedefine/>
    <w:rsid w:val="00BA0C74"/>
    <w:pPr>
      <w:numPr>
        <w:numId w:val="7"/>
      </w:numPr>
    </w:pPr>
  </w:style>
  <w:style w:type="paragraph" w:styleId="ListBullet4">
    <w:name w:val="List Bullet 4"/>
    <w:basedOn w:val="Normal"/>
    <w:autoRedefine/>
    <w:rsid w:val="00BA0C74"/>
    <w:pPr>
      <w:numPr>
        <w:numId w:val="8"/>
      </w:numPr>
    </w:pPr>
  </w:style>
  <w:style w:type="paragraph" w:styleId="ListBullet5">
    <w:name w:val="List Bullet 5"/>
    <w:basedOn w:val="Normal"/>
    <w:autoRedefine/>
    <w:rsid w:val="00BA0C74"/>
    <w:pPr>
      <w:numPr>
        <w:numId w:val="9"/>
      </w:numPr>
    </w:pPr>
  </w:style>
  <w:style w:type="paragraph" w:styleId="ListContinue">
    <w:name w:val="List Continue"/>
    <w:basedOn w:val="Normal"/>
    <w:rsid w:val="00BA0C74"/>
    <w:pPr>
      <w:spacing w:after="120"/>
      <w:ind w:left="283"/>
    </w:pPr>
  </w:style>
  <w:style w:type="paragraph" w:styleId="ListContinue2">
    <w:name w:val="List Continue 2"/>
    <w:basedOn w:val="Normal"/>
    <w:rsid w:val="00BA0C74"/>
    <w:pPr>
      <w:spacing w:after="120"/>
      <w:ind w:left="566"/>
    </w:pPr>
  </w:style>
  <w:style w:type="paragraph" w:styleId="ListContinue3">
    <w:name w:val="List Continue 3"/>
    <w:basedOn w:val="Normal"/>
    <w:rsid w:val="00BA0C74"/>
    <w:pPr>
      <w:spacing w:after="120"/>
      <w:ind w:left="849"/>
    </w:pPr>
  </w:style>
  <w:style w:type="paragraph" w:styleId="ListContinue4">
    <w:name w:val="List Continue 4"/>
    <w:basedOn w:val="Normal"/>
    <w:rsid w:val="00BA0C74"/>
    <w:pPr>
      <w:spacing w:after="120"/>
      <w:ind w:left="1132"/>
    </w:pPr>
  </w:style>
  <w:style w:type="paragraph" w:styleId="ListContinue5">
    <w:name w:val="List Continue 5"/>
    <w:basedOn w:val="Normal"/>
    <w:rsid w:val="00BA0C74"/>
    <w:pPr>
      <w:spacing w:after="120"/>
      <w:ind w:left="1415"/>
    </w:pPr>
  </w:style>
  <w:style w:type="paragraph" w:styleId="ListNumber">
    <w:name w:val="List Number"/>
    <w:basedOn w:val="Normal"/>
    <w:rsid w:val="00BA0C74"/>
    <w:pPr>
      <w:numPr>
        <w:numId w:val="10"/>
      </w:numPr>
    </w:pPr>
  </w:style>
  <w:style w:type="paragraph" w:styleId="ListNumber2">
    <w:name w:val="List Number 2"/>
    <w:basedOn w:val="Normal"/>
    <w:rsid w:val="00BA0C74"/>
    <w:pPr>
      <w:numPr>
        <w:numId w:val="11"/>
      </w:numPr>
    </w:pPr>
  </w:style>
  <w:style w:type="paragraph" w:styleId="ListNumber3">
    <w:name w:val="List Number 3"/>
    <w:basedOn w:val="Normal"/>
    <w:rsid w:val="00BA0C74"/>
    <w:pPr>
      <w:numPr>
        <w:numId w:val="12"/>
      </w:numPr>
    </w:pPr>
  </w:style>
  <w:style w:type="paragraph" w:styleId="ListNumber4">
    <w:name w:val="List Number 4"/>
    <w:basedOn w:val="Normal"/>
    <w:rsid w:val="00BA0C74"/>
    <w:pPr>
      <w:numPr>
        <w:numId w:val="13"/>
      </w:numPr>
    </w:pPr>
  </w:style>
  <w:style w:type="paragraph" w:styleId="ListNumber5">
    <w:name w:val="List Number 5"/>
    <w:basedOn w:val="Normal"/>
    <w:rsid w:val="00BA0C74"/>
    <w:pPr>
      <w:numPr>
        <w:numId w:val="14"/>
      </w:numPr>
    </w:pPr>
  </w:style>
  <w:style w:type="paragraph" w:styleId="MacroText">
    <w:name w:val="macro"/>
    <w:semiHidden/>
    <w:rsid w:val="00BA0C7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eastAsia="en-US" w:bidi="ar-SA"/>
    </w:rPr>
  </w:style>
  <w:style w:type="paragraph" w:styleId="MessageHeader">
    <w:name w:val="Message Header"/>
    <w:basedOn w:val="Normal"/>
    <w:rsid w:val="00BA0C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BA0C74"/>
    <w:rPr>
      <w:szCs w:val="24"/>
    </w:rPr>
  </w:style>
  <w:style w:type="paragraph" w:styleId="NormalIndent">
    <w:name w:val="Normal Indent"/>
    <w:basedOn w:val="Normal"/>
    <w:rsid w:val="00BA0C74"/>
    <w:pPr>
      <w:ind w:left="720"/>
    </w:pPr>
  </w:style>
  <w:style w:type="paragraph" w:styleId="NoteHeading">
    <w:name w:val="Note Heading"/>
    <w:basedOn w:val="Normal"/>
    <w:next w:val="Normal"/>
    <w:rsid w:val="00BA0C74"/>
  </w:style>
  <w:style w:type="paragraph" w:styleId="PlainText">
    <w:name w:val="Plain Text"/>
    <w:basedOn w:val="Normal"/>
    <w:rsid w:val="00BA0C74"/>
    <w:rPr>
      <w:rFonts w:ascii="Courier New" w:hAnsi="Courier New" w:cs="Courier New"/>
      <w:sz w:val="20"/>
    </w:rPr>
  </w:style>
  <w:style w:type="paragraph" w:styleId="Salutation">
    <w:name w:val="Salutation"/>
    <w:basedOn w:val="Normal"/>
    <w:next w:val="Normal"/>
    <w:rsid w:val="00BA0C74"/>
  </w:style>
  <w:style w:type="paragraph" w:styleId="Signature">
    <w:name w:val="Signature"/>
    <w:basedOn w:val="Normal"/>
    <w:rsid w:val="00BA0C74"/>
    <w:pPr>
      <w:ind w:left="4252"/>
    </w:pPr>
  </w:style>
  <w:style w:type="paragraph" w:styleId="Subtitle">
    <w:name w:val="Subtitle"/>
    <w:basedOn w:val="Normal"/>
    <w:qFormat/>
    <w:rsid w:val="00BA0C74"/>
    <w:pPr>
      <w:spacing w:after="60"/>
      <w:jc w:val="center"/>
      <w:outlineLvl w:val="1"/>
    </w:pPr>
    <w:rPr>
      <w:rFonts w:ascii="Arial" w:hAnsi="Arial" w:cs="Arial"/>
      <w:szCs w:val="24"/>
    </w:rPr>
  </w:style>
  <w:style w:type="paragraph" w:styleId="TableofAuthorities">
    <w:name w:val="table of authorities"/>
    <w:basedOn w:val="Normal"/>
    <w:next w:val="Normal"/>
    <w:semiHidden/>
    <w:rsid w:val="00BA0C74"/>
    <w:pPr>
      <w:ind w:left="240" w:hanging="240"/>
    </w:pPr>
  </w:style>
  <w:style w:type="paragraph" w:styleId="TableofFigures">
    <w:name w:val="table of figures"/>
    <w:basedOn w:val="Normal"/>
    <w:next w:val="Normal"/>
    <w:semiHidden/>
    <w:rsid w:val="00BA0C74"/>
    <w:pPr>
      <w:ind w:left="480" w:hanging="480"/>
    </w:pPr>
  </w:style>
  <w:style w:type="paragraph" w:styleId="Title">
    <w:name w:val="Title"/>
    <w:basedOn w:val="Normal"/>
    <w:qFormat/>
    <w:rsid w:val="00BA0C7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A0C74"/>
    <w:pPr>
      <w:spacing w:before="120"/>
    </w:pPr>
    <w:rPr>
      <w:rFonts w:ascii="Arial" w:hAnsi="Arial" w:cs="Arial"/>
      <w:b/>
      <w:bCs/>
      <w:szCs w:val="24"/>
    </w:rPr>
  </w:style>
  <w:style w:type="paragraph" w:styleId="TOC1">
    <w:name w:val="toc 1"/>
    <w:basedOn w:val="Normal"/>
    <w:next w:val="Normal"/>
    <w:autoRedefine/>
    <w:semiHidden/>
    <w:rsid w:val="00BA0C74"/>
  </w:style>
  <w:style w:type="paragraph" w:styleId="TOC2">
    <w:name w:val="toc 2"/>
    <w:basedOn w:val="Normal"/>
    <w:next w:val="Normal"/>
    <w:autoRedefine/>
    <w:semiHidden/>
    <w:rsid w:val="00BA0C74"/>
    <w:pPr>
      <w:ind w:left="240"/>
    </w:pPr>
  </w:style>
  <w:style w:type="paragraph" w:styleId="TOC3">
    <w:name w:val="toc 3"/>
    <w:basedOn w:val="Normal"/>
    <w:next w:val="Normal"/>
    <w:autoRedefine/>
    <w:semiHidden/>
    <w:rsid w:val="00BA0C74"/>
    <w:pPr>
      <w:ind w:left="480"/>
    </w:pPr>
  </w:style>
  <w:style w:type="paragraph" w:styleId="TOC4">
    <w:name w:val="toc 4"/>
    <w:basedOn w:val="Normal"/>
    <w:next w:val="Normal"/>
    <w:autoRedefine/>
    <w:semiHidden/>
    <w:rsid w:val="00BA0C74"/>
    <w:pPr>
      <w:ind w:left="720"/>
    </w:pPr>
  </w:style>
  <w:style w:type="paragraph" w:styleId="TOC5">
    <w:name w:val="toc 5"/>
    <w:basedOn w:val="Normal"/>
    <w:next w:val="Normal"/>
    <w:autoRedefine/>
    <w:semiHidden/>
    <w:rsid w:val="00BA0C74"/>
    <w:pPr>
      <w:ind w:left="960"/>
    </w:pPr>
  </w:style>
  <w:style w:type="paragraph" w:styleId="TOC6">
    <w:name w:val="toc 6"/>
    <w:basedOn w:val="Normal"/>
    <w:next w:val="Normal"/>
    <w:autoRedefine/>
    <w:semiHidden/>
    <w:rsid w:val="00BA0C74"/>
    <w:pPr>
      <w:ind w:left="1200"/>
    </w:pPr>
  </w:style>
  <w:style w:type="paragraph" w:styleId="TOC7">
    <w:name w:val="toc 7"/>
    <w:basedOn w:val="Normal"/>
    <w:next w:val="Normal"/>
    <w:autoRedefine/>
    <w:semiHidden/>
    <w:rsid w:val="00BA0C74"/>
    <w:pPr>
      <w:ind w:left="1440"/>
    </w:pPr>
  </w:style>
  <w:style w:type="paragraph" w:styleId="TOC8">
    <w:name w:val="toc 8"/>
    <w:basedOn w:val="Normal"/>
    <w:next w:val="Normal"/>
    <w:autoRedefine/>
    <w:semiHidden/>
    <w:rsid w:val="00BA0C74"/>
    <w:pPr>
      <w:ind w:left="1680"/>
    </w:pPr>
  </w:style>
  <w:style w:type="paragraph" w:styleId="TOC9">
    <w:name w:val="toc 9"/>
    <w:basedOn w:val="Normal"/>
    <w:next w:val="Normal"/>
    <w:autoRedefine/>
    <w:semiHidden/>
    <w:rsid w:val="00BA0C74"/>
    <w:pPr>
      <w:ind w:left="1920"/>
    </w:pPr>
  </w:style>
  <w:style w:type="paragraph" w:styleId="Revision">
    <w:name w:val="Revision"/>
    <w:hidden/>
    <w:uiPriority w:val="99"/>
    <w:semiHidden/>
    <w:rsid w:val="00BE6BA6"/>
    <w:rPr>
      <w:sz w:val="24"/>
      <w:lang w:val="en-US" w:eastAsia="en-US" w:bidi="ar-SA"/>
    </w:rPr>
  </w:style>
  <w:style w:type="paragraph" w:styleId="ListParagraph">
    <w:name w:val="List Paragraph"/>
    <w:basedOn w:val="Normal"/>
    <w:uiPriority w:val="34"/>
    <w:qFormat/>
    <w:rsid w:val="005D0616"/>
    <w:pPr>
      <w:ind w:left="720"/>
      <w:contextualSpacing/>
    </w:pPr>
  </w:style>
  <w:style w:type="character" w:customStyle="1" w:styleId="CommentTextChar">
    <w:name w:val="Comment Text Char"/>
    <w:basedOn w:val="DefaultParagraphFont"/>
    <w:link w:val="CommentText"/>
    <w:semiHidden/>
    <w:rsid w:val="00830016"/>
    <w:rPr>
      <w:lang w:val="en-US" w:eastAsia="en-US" w:bidi="ar-SA"/>
    </w:rPr>
  </w:style>
  <w:style w:type="character" w:customStyle="1" w:styleId="EndnoteTextChar">
    <w:name w:val="Endnote Text Char"/>
    <w:basedOn w:val="DefaultParagraphFont"/>
    <w:link w:val="EndnoteText"/>
    <w:rsid w:val="00CB540D"/>
    <w:rPr>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AE"/>
    <w:pPr>
      <w:jc w:val="both"/>
    </w:pPr>
    <w:rPr>
      <w:sz w:val="24"/>
      <w:lang w:val="en-US" w:eastAsia="en-US" w:bidi="ar-SA"/>
    </w:rPr>
  </w:style>
  <w:style w:type="paragraph" w:styleId="Heading1">
    <w:name w:val="heading 1"/>
    <w:basedOn w:val="Normal"/>
    <w:next w:val="Normal"/>
    <w:qFormat/>
    <w:rsid w:val="009953AE"/>
    <w:pPr>
      <w:keepNext/>
      <w:outlineLvl w:val="0"/>
    </w:pPr>
    <w:rPr>
      <w:b/>
    </w:rPr>
  </w:style>
  <w:style w:type="paragraph" w:styleId="Heading2">
    <w:name w:val="heading 2"/>
    <w:basedOn w:val="Normal"/>
    <w:next w:val="Normal"/>
    <w:qFormat/>
    <w:rsid w:val="009953AE"/>
    <w:pPr>
      <w:keepNext/>
      <w:jc w:val="left"/>
      <w:outlineLvl w:val="1"/>
    </w:pPr>
    <w:rPr>
      <w:b/>
      <w:caps/>
      <w:sz w:val="32"/>
    </w:rPr>
  </w:style>
  <w:style w:type="paragraph" w:styleId="Heading3">
    <w:name w:val="heading 3"/>
    <w:basedOn w:val="Normal"/>
    <w:next w:val="Normal"/>
    <w:qFormat/>
    <w:rsid w:val="009953AE"/>
    <w:pPr>
      <w:keepNext/>
      <w:ind w:left="709"/>
      <w:outlineLvl w:val="2"/>
    </w:pPr>
    <w:rPr>
      <w:u w:val="single"/>
    </w:rPr>
  </w:style>
  <w:style w:type="paragraph" w:styleId="Heading4">
    <w:name w:val="heading 4"/>
    <w:basedOn w:val="Normal"/>
    <w:next w:val="Normal"/>
    <w:qFormat/>
    <w:rsid w:val="009953AE"/>
    <w:pPr>
      <w:keepNext/>
      <w:spacing w:before="240" w:after="240"/>
      <w:outlineLvl w:val="3"/>
    </w:pPr>
    <w:rPr>
      <w:b/>
      <w:u w:val="single"/>
    </w:rPr>
  </w:style>
  <w:style w:type="paragraph" w:styleId="Heading5">
    <w:name w:val="heading 5"/>
    <w:basedOn w:val="Normal"/>
    <w:next w:val="Normal"/>
    <w:qFormat/>
    <w:rsid w:val="009953AE"/>
    <w:pPr>
      <w:keepNext/>
      <w:tabs>
        <w:tab w:val="left" w:pos="2977"/>
      </w:tabs>
      <w:jc w:val="left"/>
      <w:outlineLvl w:val="4"/>
    </w:pPr>
    <w:rPr>
      <w:b/>
    </w:rPr>
  </w:style>
  <w:style w:type="paragraph" w:styleId="Heading6">
    <w:name w:val="heading 6"/>
    <w:basedOn w:val="Normal"/>
    <w:next w:val="Normal"/>
    <w:qFormat/>
    <w:rsid w:val="009953AE"/>
    <w:pPr>
      <w:keepNext/>
      <w:jc w:val="center"/>
      <w:outlineLvl w:val="5"/>
    </w:pPr>
    <w:rPr>
      <w:b/>
    </w:rPr>
  </w:style>
  <w:style w:type="paragraph" w:styleId="Heading7">
    <w:name w:val="heading 7"/>
    <w:basedOn w:val="Normal"/>
    <w:next w:val="Normal"/>
    <w:qFormat/>
    <w:rsid w:val="009953A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rFonts w:ascii="Arial" w:hAnsi="Arial"/>
      <w:color w:val="0000FF"/>
      <w:u w:val="single"/>
    </w:rPr>
  </w:style>
  <w:style w:type="paragraph" w:styleId="Heading8">
    <w:name w:val="heading 8"/>
    <w:basedOn w:val="Normal"/>
    <w:next w:val="Normal"/>
    <w:qFormat/>
    <w:rsid w:val="009953AE"/>
    <w:pPr>
      <w:keepNext/>
      <w:outlineLvl w:val="7"/>
    </w:pPr>
    <w:rPr>
      <w:rFonts w:ascii="Arial" w:hAnsi="Arial"/>
      <w:i/>
    </w:rPr>
  </w:style>
  <w:style w:type="paragraph" w:styleId="Heading9">
    <w:name w:val="heading 9"/>
    <w:basedOn w:val="Normal"/>
    <w:next w:val="Normal"/>
    <w:qFormat/>
    <w:rsid w:val="009953AE"/>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9953AE"/>
    <w:pPr>
      <w:spacing w:after="240"/>
    </w:pPr>
  </w:style>
  <w:style w:type="paragraph" w:customStyle="1" w:styleId="Bullet1">
    <w:name w:val="Bullet 1"/>
    <w:basedOn w:val="Normal"/>
    <w:rsid w:val="009953AE"/>
    <w:pPr>
      <w:numPr>
        <w:numId w:val="3"/>
      </w:numPr>
    </w:pPr>
  </w:style>
  <w:style w:type="paragraph" w:customStyle="1" w:styleId="Bullet2">
    <w:name w:val="Bullet 2"/>
    <w:basedOn w:val="Bullet"/>
    <w:rsid w:val="009953AE"/>
    <w:pPr>
      <w:numPr>
        <w:numId w:val="1"/>
      </w:numPr>
      <w:suppressAutoHyphens/>
    </w:pPr>
    <w:rPr>
      <w:sz w:val="22"/>
    </w:rPr>
  </w:style>
  <w:style w:type="paragraph" w:customStyle="1" w:styleId="bullet10">
    <w:name w:val="bullet 1"/>
    <w:basedOn w:val="Normal"/>
    <w:rsid w:val="009953AE"/>
    <w:pPr>
      <w:widowControl w:val="0"/>
      <w:numPr>
        <w:numId w:val="2"/>
      </w:numPr>
      <w:tabs>
        <w:tab w:val="left" w:pos="680"/>
      </w:tabs>
      <w:spacing w:after="240"/>
      <w:ind w:left="680" w:hanging="680"/>
    </w:pPr>
    <w:rPr>
      <w:snapToGrid w:val="0"/>
    </w:rPr>
  </w:style>
  <w:style w:type="paragraph" w:styleId="Header">
    <w:name w:val="header"/>
    <w:basedOn w:val="Normal"/>
    <w:rsid w:val="009953AE"/>
    <w:pPr>
      <w:tabs>
        <w:tab w:val="center" w:pos="4320"/>
        <w:tab w:val="right" w:pos="8640"/>
      </w:tabs>
    </w:pPr>
  </w:style>
  <w:style w:type="paragraph" w:styleId="Footer">
    <w:name w:val="footer"/>
    <w:basedOn w:val="Normal"/>
    <w:rsid w:val="009953AE"/>
    <w:pPr>
      <w:tabs>
        <w:tab w:val="center" w:pos="4320"/>
        <w:tab w:val="right" w:pos="8640"/>
      </w:tabs>
    </w:pPr>
  </w:style>
  <w:style w:type="character" w:styleId="PageNumber">
    <w:name w:val="page number"/>
    <w:basedOn w:val="DefaultParagraphFont"/>
    <w:rsid w:val="009953AE"/>
  </w:style>
  <w:style w:type="paragraph" w:styleId="BodyTextIndent">
    <w:name w:val="Body Text Indent"/>
    <w:basedOn w:val="Normal"/>
    <w:rsid w:val="009953AE"/>
    <w:pPr>
      <w:tabs>
        <w:tab w:val="left" w:pos="709"/>
      </w:tabs>
      <w:ind w:left="709" w:hanging="709"/>
    </w:pPr>
  </w:style>
  <w:style w:type="paragraph" w:styleId="BodyTextIndent2">
    <w:name w:val="Body Text Indent 2"/>
    <w:basedOn w:val="Normal"/>
    <w:rsid w:val="009953AE"/>
    <w:pPr>
      <w:tabs>
        <w:tab w:val="left" w:pos="2977"/>
      </w:tabs>
      <w:ind w:left="2977" w:hanging="2977"/>
      <w:jc w:val="left"/>
    </w:pPr>
    <w:rPr>
      <w:b/>
    </w:rPr>
  </w:style>
  <w:style w:type="character" w:styleId="CommentReference">
    <w:name w:val="annotation reference"/>
    <w:basedOn w:val="DefaultParagraphFont"/>
    <w:semiHidden/>
    <w:rsid w:val="009953AE"/>
    <w:rPr>
      <w:sz w:val="16"/>
    </w:rPr>
  </w:style>
  <w:style w:type="paragraph" w:styleId="CommentText">
    <w:name w:val="annotation text"/>
    <w:basedOn w:val="Normal"/>
    <w:link w:val="CommentTextChar"/>
    <w:semiHidden/>
    <w:rsid w:val="009953AE"/>
    <w:rPr>
      <w:sz w:val="20"/>
    </w:rPr>
  </w:style>
  <w:style w:type="character" w:styleId="Hyperlink">
    <w:name w:val="Hyperlink"/>
    <w:basedOn w:val="DefaultParagraphFont"/>
    <w:rsid w:val="009953AE"/>
    <w:rPr>
      <w:color w:val="0000FF"/>
      <w:u w:val="none"/>
    </w:rPr>
  </w:style>
  <w:style w:type="character" w:styleId="FollowedHyperlink">
    <w:name w:val="FollowedHyperlink"/>
    <w:basedOn w:val="DefaultParagraphFont"/>
    <w:rsid w:val="009953AE"/>
    <w:rPr>
      <w:color w:val="800080"/>
      <w:u w:val="none"/>
    </w:rPr>
  </w:style>
  <w:style w:type="paragraph" w:styleId="BodyTextIndent3">
    <w:name w:val="Body Text Indent 3"/>
    <w:basedOn w:val="Normal"/>
    <w:rsid w:val="009953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pPr>
    <w:rPr>
      <w:rFonts w:ascii="Arial" w:hAnsi="Arial"/>
      <w:lang w:val="en-AU"/>
    </w:rPr>
  </w:style>
  <w:style w:type="paragraph" w:styleId="BodyText3">
    <w:name w:val="Body Text 3"/>
    <w:basedOn w:val="Normal"/>
    <w:rsid w:val="00995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olor w:val="0000FF"/>
      <w:lang w:val="en-AU"/>
    </w:rPr>
  </w:style>
  <w:style w:type="paragraph" w:styleId="EndnoteText">
    <w:name w:val="endnote text"/>
    <w:basedOn w:val="Normal"/>
    <w:link w:val="EndnoteTextChar"/>
    <w:rsid w:val="009953AE"/>
    <w:pPr>
      <w:tabs>
        <w:tab w:val="left" w:pos="567"/>
      </w:tabs>
      <w:jc w:val="left"/>
    </w:pPr>
    <w:rPr>
      <w:sz w:val="22"/>
      <w:lang w:val="en-GB"/>
    </w:rPr>
  </w:style>
  <w:style w:type="paragraph" w:styleId="BodyText">
    <w:name w:val="Body Text"/>
    <w:basedOn w:val="Normal"/>
    <w:rsid w:val="009953AE"/>
    <w:rPr>
      <w:rFonts w:ascii="Arial" w:hAnsi="Arial"/>
    </w:rPr>
  </w:style>
  <w:style w:type="paragraph" w:customStyle="1" w:styleId="Text">
    <w:name w:val="Text"/>
    <w:basedOn w:val="Normal"/>
    <w:rsid w:val="009953AE"/>
    <w:pPr>
      <w:spacing w:before="60" w:after="60" w:line="360" w:lineRule="atLeast"/>
      <w:jc w:val="left"/>
    </w:pPr>
  </w:style>
  <w:style w:type="paragraph" w:styleId="BodyText2">
    <w:name w:val="Body Text 2"/>
    <w:basedOn w:val="Normal"/>
    <w:rsid w:val="009953AE"/>
    <w:pPr>
      <w:ind w:right="-219"/>
    </w:pPr>
    <w:rPr>
      <w:rFonts w:ascii="Arial" w:hAnsi="Arial"/>
    </w:rPr>
  </w:style>
  <w:style w:type="paragraph" w:styleId="BalloonText">
    <w:name w:val="Balloon Text"/>
    <w:basedOn w:val="Normal"/>
    <w:semiHidden/>
    <w:rsid w:val="009953AE"/>
    <w:rPr>
      <w:rFonts w:ascii="Tahoma" w:hAnsi="Tahoma" w:cs="Tahoma"/>
      <w:sz w:val="16"/>
      <w:szCs w:val="16"/>
    </w:rPr>
  </w:style>
  <w:style w:type="character" w:customStyle="1" w:styleId="EmailStyle35">
    <w:name w:val="EmailStyle35"/>
    <w:basedOn w:val="DefaultParagraphFont"/>
    <w:semiHidden/>
    <w:rsid w:val="009953AE"/>
    <w:rPr>
      <w:rFonts w:ascii="Arial" w:hAnsi="Arial" w:cs="Arial" w:hint="default"/>
      <w:color w:val="auto"/>
      <w:sz w:val="20"/>
      <w:szCs w:val="20"/>
    </w:rPr>
  </w:style>
  <w:style w:type="table" w:styleId="TableGrid">
    <w:name w:val="Table Grid"/>
    <w:basedOn w:val="TableNormal"/>
    <w:uiPriority w:val="59"/>
    <w:rsid w:val="0059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Heading1">
    <w:name w:val="PI Heading 1"/>
    <w:basedOn w:val="Heading1"/>
    <w:rsid w:val="004E7EFE"/>
    <w:pPr>
      <w:tabs>
        <w:tab w:val="left" w:pos="1418"/>
      </w:tabs>
      <w:spacing w:before="240" w:after="240"/>
      <w:ind w:left="1418" w:hanging="1418"/>
    </w:pPr>
    <w:rPr>
      <w:rFonts w:ascii="Arial Bold" w:hAnsi="Arial Bold"/>
      <w:kern w:val="28"/>
      <w:sz w:val="22"/>
      <w:szCs w:val="22"/>
      <w:lang w:val="en-GB"/>
    </w:rPr>
  </w:style>
  <w:style w:type="paragraph" w:customStyle="1" w:styleId="PIheading2">
    <w:name w:val="PI heading 2"/>
    <w:basedOn w:val="Heading2"/>
    <w:rsid w:val="0033155D"/>
    <w:pPr>
      <w:tabs>
        <w:tab w:val="left" w:pos="1418"/>
      </w:tabs>
      <w:spacing w:before="120" w:after="240"/>
    </w:pPr>
    <w:rPr>
      <w:rFonts w:ascii="Arial" w:hAnsi="Arial" w:cs="Arial"/>
      <w:caps w:val="0"/>
      <w:snapToGrid w:val="0"/>
      <w:sz w:val="22"/>
      <w:szCs w:val="22"/>
      <w:lang w:val="en-GB" w:eastAsia="de-DE"/>
    </w:rPr>
  </w:style>
  <w:style w:type="paragraph" w:customStyle="1" w:styleId="PIHeading3">
    <w:name w:val="PI Heading 3"/>
    <w:basedOn w:val="Normal"/>
    <w:rsid w:val="004E7EFE"/>
    <w:pPr>
      <w:tabs>
        <w:tab w:val="left" w:pos="1418"/>
      </w:tabs>
      <w:spacing w:before="120" w:after="60"/>
    </w:pPr>
    <w:rPr>
      <w:rFonts w:ascii="Arial" w:hAnsi="Arial"/>
      <w:sz w:val="22"/>
      <w:szCs w:val="22"/>
      <w:u w:val="single"/>
      <w:lang w:val="en-GB"/>
    </w:rPr>
  </w:style>
  <w:style w:type="paragraph" w:customStyle="1" w:styleId="PItextbolditalic">
    <w:name w:val="PI text bold  italic"/>
    <w:basedOn w:val="Normal"/>
    <w:rsid w:val="004E7EFE"/>
    <w:pPr>
      <w:tabs>
        <w:tab w:val="left" w:pos="1418"/>
      </w:tabs>
      <w:spacing w:before="120" w:after="120"/>
    </w:pPr>
    <w:rPr>
      <w:rFonts w:ascii="Arial" w:hAnsi="Arial"/>
      <w:b/>
      <w:i/>
      <w:sz w:val="22"/>
      <w:szCs w:val="22"/>
      <w:lang w:val="en-GB"/>
    </w:rPr>
  </w:style>
  <w:style w:type="paragraph" w:customStyle="1" w:styleId="TextPI">
    <w:name w:val="Text PI"/>
    <w:basedOn w:val="Normal"/>
    <w:link w:val="TextPIChar"/>
    <w:rsid w:val="004E7EFE"/>
    <w:pPr>
      <w:spacing w:before="120" w:after="120" w:line="240" w:lineRule="atLeast"/>
    </w:pPr>
    <w:rPr>
      <w:rFonts w:ascii="Arial" w:hAnsi="Arial"/>
      <w:sz w:val="22"/>
      <w:szCs w:val="22"/>
      <w:lang w:val="en-GB"/>
    </w:rPr>
  </w:style>
  <w:style w:type="paragraph" w:customStyle="1" w:styleId="TextPIBullet">
    <w:name w:val="Text PI Bullet"/>
    <w:basedOn w:val="TextPI"/>
    <w:rsid w:val="004E7EFE"/>
    <w:pPr>
      <w:numPr>
        <w:numId w:val="4"/>
      </w:numPr>
      <w:tabs>
        <w:tab w:val="clear" w:pos="720"/>
        <w:tab w:val="num" w:pos="360"/>
      </w:tabs>
      <w:spacing w:before="0" w:after="0"/>
      <w:ind w:left="0" w:firstLine="0"/>
    </w:pPr>
  </w:style>
  <w:style w:type="character" w:customStyle="1" w:styleId="TextPIChar">
    <w:name w:val="Text PI Char"/>
    <w:basedOn w:val="DefaultParagraphFont"/>
    <w:link w:val="TextPI"/>
    <w:rsid w:val="004E7EFE"/>
    <w:rPr>
      <w:rFonts w:ascii="Arial" w:hAnsi="Arial"/>
      <w:sz w:val="22"/>
      <w:szCs w:val="22"/>
      <w:lang w:val="en-GB" w:eastAsia="en-US" w:bidi="ar-SA"/>
    </w:rPr>
  </w:style>
  <w:style w:type="paragraph" w:customStyle="1" w:styleId="TextPItable">
    <w:name w:val="Text PI table"/>
    <w:basedOn w:val="Normal"/>
    <w:rsid w:val="004E7EFE"/>
    <w:pPr>
      <w:tabs>
        <w:tab w:val="left" w:pos="1418"/>
      </w:tabs>
    </w:pPr>
    <w:rPr>
      <w:rFonts w:ascii="Arial" w:hAnsi="Arial"/>
      <w:sz w:val="22"/>
      <w:szCs w:val="22"/>
      <w:lang w:val="en-GB"/>
    </w:rPr>
  </w:style>
  <w:style w:type="paragraph" w:customStyle="1" w:styleId="TextPIunderline">
    <w:name w:val="Text PI underline"/>
    <w:basedOn w:val="Normal"/>
    <w:rsid w:val="004E7EFE"/>
    <w:pPr>
      <w:tabs>
        <w:tab w:val="left" w:pos="1418"/>
      </w:tabs>
    </w:pPr>
    <w:rPr>
      <w:rFonts w:ascii="Arial" w:hAnsi="Arial"/>
      <w:iCs/>
      <w:sz w:val="22"/>
      <w:szCs w:val="22"/>
      <w:u w:val="single"/>
      <w:lang w:val="en-GB"/>
    </w:rPr>
  </w:style>
  <w:style w:type="paragraph" w:customStyle="1" w:styleId="BrandName">
    <w:name w:val="Brand Name"/>
    <w:basedOn w:val="Normal"/>
    <w:rsid w:val="004E7EFE"/>
    <w:pPr>
      <w:suppressAutoHyphens/>
      <w:spacing w:after="60"/>
      <w:jc w:val="left"/>
    </w:pPr>
    <w:rPr>
      <w:rFonts w:ascii="Helvetica" w:hAnsi="Helvetica"/>
      <w:b/>
      <w:sz w:val="60"/>
    </w:rPr>
  </w:style>
  <w:style w:type="paragraph" w:customStyle="1" w:styleId="ActiveIngredientPI">
    <w:name w:val="Active Ingredient PI"/>
    <w:basedOn w:val="Normal"/>
    <w:rsid w:val="004E7EFE"/>
    <w:pPr>
      <w:shd w:val="pct10" w:color="auto" w:fill="auto"/>
      <w:spacing w:after="60"/>
      <w:jc w:val="center"/>
    </w:pPr>
    <w:rPr>
      <w:rFonts w:ascii="Arial" w:hAnsi="Arial"/>
      <w:b/>
      <w:sz w:val="20"/>
    </w:rPr>
  </w:style>
  <w:style w:type="paragraph" w:customStyle="1" w:styleId="BrandNamePI">
    <w:name w:val="Brand Name PI"/>
    <w:basedOn w:val="ActiveIngredientPI"/>
    <w:rsid w:val="00EB4BCA"/>
    <w:rPr>
      <w:sz w:val="28"/>
      <w:szCs w:val="28"/>
    </w:rPr>
  </w:style>
  <w:style w:type="paragraph" w:styleId="BlockText">
    <w:name w:val="Block Text"/>
    <w:basedOn w:val="Normal"/>
    <w:rsid w:val="00BA0C74"/>
    <w:pPr>
      <w:spacing w:after="120"/>
      <w:ind w:left="1440" w:right="1440"/>
    </w:pPr>
  </w:style>
  <w:style w:type="paragraph" w:styleId="BodyTextFirstIndent">
    <w:name w:val="Body Text First Indent"/>
    <w:basedOn w:val="BodyText"/>
    <w:rsid w:val="00BA0C74"/>
    <w:pPr>
      <w:spacing w:after="120"/>
      <w:ind w:firstLine="210"/>
    </w:pPr>
    <w:rPr>
      <w:rFonts w:ascii="Times New Roman" w:hAnsi="Times New Roman"/>
    </w:rPr>
  </w:style>
  <w:style w:type="paragraph" w:styleId="BodyTextFirstIndent2">
    <w:name w:val="Body Text First Indent 2"/>
    <w:basedOn w:val="BodyTextIndent"/>
    <w:rsid w:val="00BA0C74"/>
    <w:pPr>
      <w:tabs>
        <w:tab w:val="clear" w:pos="709"/>
      </w:tabs>
      <w:spacing w:after="120"/>
      <w:ind w:left="283" w:firstLine="210"/>
    </w:pPr>
  </w:style>
  <w:style w:type="paragraph" w:styleId="Caption">
    <w:name w:val="caption"/>
    <w:basedOn w:val="Normal"/>
    <w:next w:val="Normal"/>
    <w:qFormat/>
    <w:rsid w:val="00BA0C74"/>
    <w:pPr>
      <w:spacing w:before="120" w:after="120"/>
    </w:pPr>
    <w:rPr>
      <w:b/>
      <w:bCs/>
      <w:sz w:val="20"/>
    </w:rPr>
  </w:style>
  <w:style w:type="paragraph" w:styleId="Closing">
    <w:name w:val="Closing"/>
    <w:basedOn w:val="Normal"/>
    <w:rsid w:val="00BA0C74"/>
    <w:pPr>
      <w:ind w:left="4252"/>
    </w:pPr>
  </w:style>
  <w:style w:type="paragraph" w:styleId="CommentSubject">
    <w:name w:val="annotation subject"/>
    <w:basedOn w:val="CommentText"/>
    <w:next w:val="CommentText"/>
    <w:semiHidden/>
    <w:rsid w:val="00BA0C74"/>
    <w:rPr>
      <w:b/>
      <w:bCs/>
    </w:rPr>
  </w:style>
  <w:style w:type="paragraph" w:styleId="Date">
    <w:name w:val="Date"/>
    <w:basedOn w:val="Normal"/>
    <w:next w:val="Normal"/>
    <w:rsid w:val="00BA0C74"/>
  </w:style>
  <w:style w:type="paragraph" w:styleId="DocumentMap">
    <w:name w:val="Document Map"/>
    <w:basedOn w:val="Normal"/>
    <w:semiHidden/>
    <w:rsid w:val="00BA0C74"/>
    <w:pPr>
      <w:shd w:val="clear" w:color="auto" w:fill="000080"/>
    </w:pPr>
    <w:rPr>
      <w:rFonts w:ascii="Tahoma" w:hAnsi="Tahoma" w:cs="Tahoma"/>
    </w:rPr>
  </w:style>
  <w:style w:type="paragraph" w:styleId="E-mailSignature">
    <w:name w:val="E-mail Signature"/>
    <w:basedOn w:val="Normal"/>
    <w:rsid w:val="00BA0C74"/>
  </w:style>
  <w:style w:type="paragraph" w:styleId="EnvelopeAddress">
    <w:name w:val="envelope address"/>
    <w:basedOn w:val="Normal"/>
    <w:rsid w:val="00BA0C74"/>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BA0C74"/>
    <w:rPr>
      <w:rFonts w:ascii="Arial" w:hAnsi="Arial" w:cs="Arial"/>
      <w:sz w:val="20"/>
    </w:rPr>
  </w:style>
  <w:style w:type="paragraph" w:styleId="FootnoteText">
    <w:name w:val="footnote text"/>
    <w:basedOn w:val="Normal"/>
    <w:semiHidden/>
    <w:rsid w:val="00BA0C74"/>
    <w:rPr>
      <w:sz w:val="20"/>
    </w:rPr>
  </w:style>
  <w:style w:type="paragraph" w:styleId="HTMLAddress">
    <w:name w:val="HTML Address"/>
    <w:basedOn w:val="Normal"/>
    <w:rsid w:val="00BA0C74"/>
    <w:rPr>
      <w:i/>
      <w:iCs/>
    </w:rPr>
  </w:style>
  <w:style w:type="paragraph" w:styleId="HTMLPreformatted">
    <w:name w:val="HTML Preformatted"/>
    <w:basedOn w:val="Normal"/>
    <w:rsid w:val="00BA0C74"/>
    <w:rPr>
      <w:rFonts w:ascii="Courier New" w:hAnsi="Courier New" w:cs="Courier New"/>
      <w:sz w:val="20"/>
    </w:rPr>
  </w:style>
  <w:style w:type="paragraph" w:styleId="Index1">
    <w:name w:val="index 1"/>
    <w:basedOn w:val="Normal"/>
    <w:next w:val="Normal"/>
    <w:autoRedefine/>
    <w:semiHidden/>
    <w:rsid w:val="00BA0C74"/>
    <w:pPr>
      <w:ind w:left="240" w:hanging="240"/>
    </w:pPr>
  </w:style>
  <w:style w:type="paragraph" w:styleId="Index2">
    <w:name w:val="index 2"/>
    <w:basedOn w:val="Normal"/>
    <w:next w:val="Normal"/>
    <w:autoRedefine/>
    <w:semiHidden/>
    <w:rsid w:val="00BA0C74"/>
    <w:pPr>
      <w:ind w:left="480" w:hanging="240"/>
    </w:pPr>
  </w:style>
  <w:style w:type="paragraph" w:styleId="Index3">
    <w:name w:val="index 3"/>
    <w:basedOn w:val="Normal"/>
    <w:next w:val="Normal"/>
    <w:autoRedefine/>
    <w:semiHidden/>
    <w:rsid w:val="00BA0C74"/>
    <w:pPr>
      <w:ind w:left="720" w:hanging="240"/>
    </w:pPr>
  </w:style>
  <w:style w:type="paragraph" w:styleId="Index4">
    <w:name w:val="index 4"/>
    <w:basedOn w:val="Normal"/>
    <w:next w:val="Normal"/>
    <w:autoRedefine/>
    <w:semiHidden/>
    <w:rsid w:val="00BA0C74"/>
    <w:pPr>
      <w:ind w:left="960" w:hanging="240"/>
    </w:pPr>
  </w:style>
  <w:style w:type="paragraph" w:styleId="Index5">
    <w:name w:val="index 5"/>
    <w:basedOn w:val="Normal"/>
    <w:next w:val="Normal"/>
    <w:autoRedefine/>
    <w:semiHidden/>
    <w:rsid w:val="00BA0C74"/>
    <w:pPr>
      <w:ind w:left="1200" w:hanging="240"/>
    </w:pPr>
  </w:style>
  <w:style w:type="paragraph" w:styleId="Index6">
    <w:name w:val="index 6"/>
    <w:basedOn w:val="Normal"/>
    <w:next w:val="Normal"/>
    <w:autoRedefine/>
    <w:semiHidden/>
    <w:rsid w:val="00BA0C74"/>
    <w:pPr>
      <w:ind w:left="1440" w:hanging="240"/>
    </w:pPr>
  </w:style>
  <w:style w:type="paragraph" w:styleId="Index7">
    <w:name w:val="index 7"/>
    <w:basedOn w:val="Normal"/>
    <w:next w:val="Normal"/>
    <w:autoRedefine/>
    <w:semiHidden/>
    <w:rsid w:val="00BA0C74"/>
    <w:pPr>
      <w:ind w:left="1680" w:hanging="240"/>
    </w:pPr>
  </w:style>
  <w:style w:type="paragraph" w:styleId="Index8">
    <w:name w:val="index 8"/>
    <w:basedOn w:val="Normal"/>
    <w:next w:val="Normal"/>
    <w:autoRedefine/>
    <w:semiHidden/>
    <w:rsid w:val="00BA0C74"/>
    <w:pPr>
      <w:ind w:left="1920" w:hanging="240"/>
    </w:pPr>
  </w:style>
  <w:style w:type="paragraph" w:styleId="Index9">
    <w:name w:val="index 9"/>
    <w:basedOn w:val="Normal"/>
    <w:next w:val="Normal"/>
    <w:autoRedefine/>
    <w:semiHidden/>
    <w:rsid w:val="00BA0C74"/>
    <w:pPr>
      <w:ind w:left="2160" w:hanging="240"/>
    </w:pPr>
  </w:style>
  <w:style w:type="paragraph" w:styleId="IndexHeading">
    <w:name w:val="index heading"/>
    <w:basedOn w:val="Normal"/>
    <w:next w:val="Index1"/>
    <w:semiHidden/>
    <w:rsid w:val="00BA0C74"/>
    <w:rPr>
      <w:rFonts w:ascii="Arial" w:hAnsi="Arial" w:cs="Arial"/>
      <w:b/>
      <w:bCs/>
    </w:rPr>
  </w:style>
  <w:style w:type="paragraph" w:styleId="List">
    <w:name w:val="List"/>
    <w:basedOn w:val="Normal"/>
    <w:rsid w:val="00BA0C74"/>
    <w:pPr>
      <w:ind w:left="283" w:hanging="283"/>
    </w:pPr>
  </w:style>
  <w:style w:type="paragraph" w:styleId="List2">
    <w:name w:val="List 2"/>
    <w:basedOn w:val="Normal"/>
    <w:rsid w:val="00BA0C74"/>
    <w:pPr>
      <w:ind w:left="566" w:hanging="283"/>
    </w:pPr>
  </w:style>
  <w:style w:type="paragraph" w:styleId="List3">
    <w:name w:val="List 3"/>
    <w:basedOn w:val="Normal"/>
    <w:rsid w:val="00BA0C74"/>
    <w:pPr>
      <w:ind w:left="849" w:hanging="283"/>
    </w:pPr>
  </w:style>
  <w:style w:type="paragraph" w:styleId="List4">
    <w:name w:val="List 4"/>
    <w:basedOn w:val="Normal"/>
    <w:rsid w:val="00BA0C74"/>
    <w:pPr>
      <w:ind w:left="1132" w:hanging="283"/>
    </w:pPr>
  </w:style>
  <w:style w:type="paragraph" w:styleId="List5">
    <w:name w:val="List 5"/>
    <w:basedOn w:val="Normal"/>
    <w:rsid w:val="00BA0C74"/>
    <w:pPr>
      <w:ind w:left="1415" w:hanging="283"/>
    </w:pPr>
  </w:style>
  <w:style w:type="paragraph" w:styleId="ListBullet">
    <w:name w:val="List Bullet"/>
    <w:basedOn w:val="Normal"/>
    <w:autoRedefine/>
    <w:rsid w:val="00BA0C74"/>
    <w:pPr>
      <w:numPr>
        <w:numId w:val="5"/>
      </w:numPr>
    </w:pPr>
  </w:style>
  <w:style w:type="paragraph" w:styleId="ListBullet2">
    <w:name w:val="List Bullet 2"/>
    <w:basedOn w:val="Normal"/>
    <w:autoRedefine/>
    <w:rsid w:val="00BA0C74"/>
    <w:pPr>
      <w:numPr>
        <w:numId w:val="6"/>
      </w:numPr>
    </w:pPr>
  </w:style>
  <w:style w:type="paragraph" w:styleId="ListBullet3">
    <w:name w:val="List Bullet 3"/>
    <w:basedOn w:val="Normal"/>
    <w:autoRedefine/>
    <w:rsid w:val="00BA0C74"/>
    <w:pPr>
      <w:numPr>
        <w:numId w:val="7"/>
      </w:numPr>
    </w:pPr>
  </w:style>
  <w:style w:type="paragraph" w:styleId="ListBullet4">
    <w:name w:val="List Bullet 4"/>
    <w:basedOn w:val="Normal"/>
    <w:autoRedefine/>
    <w:rsid w:val="00BA0C74"/>
    <w:pPr>
      <w:numPr>
        <w:numId w:val="8"/>
      </w:numPr>
    </w:pPr>
  </w:style>
  <w:style w:type="paragraph" w:styleId="ListBullet5">
    <w:name w:val="List Bullet 5"/>
    <w:basedOn w:val="Normal"/>
    <w:autoRedefine/>
    <w:rsid w:val="00BA0C74"/>
    <w:pPr>
      <w:numPr>
        <w:numId w:val="9"/>
      </w:numPr>
    </w:pPr>
  </w:style>
  <w:style w:type="paragraph" w:styleId="ListContinue">
    <w:name w:val="List Continue"/>
    <w:basedOn w:val="Normal"/>
    <w:rsid w:val="00BA0C74"/>
    <w:pPr>
      <w:spacing w:after="120"/>
      <w:ind w:left="283"/>
    </w:pPr>
  </w:style>
  <w:style w:type="paragraph" w:styleId="ListContinue2">
    <w:name w:val="List Continue 2"/>
    <w:basedOn w:val="Normal"/>
    <w:rsid w:val="00BA0C74"/>
    <w:pPr>
      <w:spacing w:after="120"/>
      <w:ind w:left="566"/>
    </w:pPr>
  </w:style>
  <w:style w:type="paragraph" w:styleId="ListContinue3">
    <w:name w:val="List Continue 3"/>
    <w:basedOn w:val="Normal"/>
    <w:rsid w:val="00BA0C74"/>
    <w:pPr>
      <w:spacing w:after="120"/>
      <w:ind w:left="849"/>
    </w:pPr>
  </w:style>
  <w:style w:type="paragraph" w:styleId="ListContinue4">
    <w:name w:val="List Continue 4"/>
    <w:basedOn w:val="Normal"/>
    <w:rsid w:val="00BA0C74"/>
    <w:pPr>
      <w:spacing w:after="120"/>
      <w:ind w:left="1132"/>
    </w:pPr>
  </w:style>
  <w:style w:type="paragraph" w:styleId="ListContinue5">
    <w:name w:val="List Continue 5"/>
    <w:basedOn w:val="Normal"/>
    <w:rsid w:val="00BA0C74"/>
    <w:pPr>
      <w:spacing w:after="120"/>
      <w:ind w:left="1415"/>
    </w:pPr>
  </w:style>
  <w:style w:type="paragraph" w:styleId="ListNumber">
    <w:name w:val="List Number"/>
    <w:basedOn w:val="Normal"/>
    <w:rsid w:val="00BA0C74"/>
    <w:pPr>
      <w:numPr>
        <w:numId w:val="10"/>
      </w:numPr>
    </w:pPr>
  </w:style>
  <w:style w:type="paragraph" w:styleId="ListNumber2">
    <w:name w:val="List Number 2"/>
    <w:basedOn w:val="Normal"/>
    <w:rsid w:val="00BA0C74"/>
    <w:pPr>
      <w:numPr>
        <w:numId w:val="11"/>
      </w:numPr>
    </w:pPr>
  </w:style>
  <w:style w:type="paragraph" w:styleId="ListNumber3">
    <w:name w:val="List Number 3"/>
    <w:basedOn w:val="Normal"/>
    <w:rsid w:val="00BA0C74"/>
    <w:pPr>
      <w:numPr>
        <w:numId w:val="12"/>
      </w:numPr>
    </w:pPr>
  </w:style>
  <w:style w:type="paragraph" w:styleId="ListNumber4">
    <w:name w:val="List Number 4"/>
    <w:basedOn w:val="Normal"/>
    <w:rsid w:val="00BA0C74"/>
    <w:pPr>
      <w:numPr>
        <w:numId w:val="13"/>
      </w:numPr>
    </w:pPr>
  </w:style>
  <w:style w:type="paragraph" w:styleId="ListNumber5">
    <w:name w:val="List Number 5"/>
    <w:basedOn w:val="Normal"/>
    <w:rsid w:val="00BA0C74"/>
    <w:pPr>
      <w:numPr>
        <w:numId w:val="14"/>
      </w:numPr>
    </w:pPr>
  </w:style>
  <w:style w:type="paragraph" w:styleId="MacroText">
    <w:name w:val="macro"/>
    <w:semiHidden/>
    <w:rsid w:val="00BA0C74"/>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eastAsia="en-US" w:bidi="ar-SA"/>
    </w:rPr>
  </w:style>
  <w:style w:type="paragraph" w:styleId="MessageHeader">
    <w:name w:val="Message Header"/>
    <w:basedOn w:val="Normal"/>
    <w:rsid w:val="00BA0C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BA0C74"/>
    <w:rPr>
      <w:szCs w:val="24"/>
    </w:rPr>
  </w:style>
  <w:style w:type="paragraph" w:styleId="NormalIndent">
    <w:name w:val="Normal Indent"/>
    <w:basedOn w:val="Normal"/>
    <w:rsid w:val="00BA0C74"/>
    <w:pPr>
      <w:ind w:left="720"/>
    </w:pPr>
  </w:style>
  <w:style w:type="paragraph" w:styleId="NoteHeading">
    <w:name w:val="Note Heading"/>
    <w:basedOn w:val="Normal"/>
    <w:next w:val="Normal"/>
    <w:rsid w:val="00BA0C74"/>
  </w:style>
  <w:style w:type="paragraph" w:styleId="PlainText">
    <w:name w:val="Plain Text"/>
    <w:basedOn w:val="Normal"/>
    <w:rsid w:val="00BA0C74"/>
    <w:rPr>
      <w:rFonts w:ascii="Courier New" w:hAnsi="Courier New" w:cs="Courier New"/>
      <w:sz w:val="20"/>
    </w:rPr>
  </w:style>
  <w:style w:type="paragraph" w:styleId="Salutation">
    <w:name w:val="Salutation"/>
    <w:basedOn w:val="Normal"/>
    <w:next w:val="Normal"/>
    <w:rsid w:val="00BA0C74"/>
  </w:style>
  <w:style w:type="paragraph" w:styleId="Signature">
    <w:name w:val="Signature"/>
    <w:basedOn w:val="Normal"/>
    <w:rsid w:val="00BA0C74"/>
    <w:pPr>
      <w:ind w:left="4252"/>
    </w:pPr>
  </w:style>
  <w:style w:type="paragraph" w:styleId="Subtitle">
    <w:name w:val="Subtitle"/>
    <w:basedOn w:val="Normal"/>
    <w:qFormat/>
    <w:rsid w:val="00BA0C74"/>
    <w:pPr>
      <w:spacing w:after="60"/>
      <w:jc w:val="center"/>
      <w:outlineLvl w:val="1"/>
    </w:pPr>
    <w:rPr>
      <w:rFonts w:ascii="Arial" w:hAnsi="Arial" w:cs="Arial"/>
      <w:szCs w:val="24"/>
    </w:rPr>
  </w:style>
  <w:style w:type="paragraph" w:styleId="TableofAuthorities">
    <w:name w:val="table of authorities"/>
    <w:basedOn w:val="Normal"/>
    <w:next w:val="Normal"/>
    <w:semiHidden/>
    <w:rsid w:val="00BA0C74"/>
    <w:pPr>
      <w:ind w:left="240" w:hanging="240"/>
    </w:pPr>
  </w:style>
  <w:style w:type="paragraph" w:styleId="TableofFigures">
    <w:name w:val="table of figures"/>
    <w:basedOn w:val="Normal"/>
    <w:next w:val="Normal"/>
    <w:semiHidden/>
    <w:rsid w:val="00BA0C74"/>
    <w:pPr>
      <w:ind w:left="480" w:hanging="480"/>
    </w:pPr>
  </w:style>
  <w:style w:type="paragraph" w:styleId="Title">
    <w:name w:val="Title"/>
    <w:basedOn w:val="Normal"/>
    <w:qFormat/>
    <w:rsid w:val="00BA0C7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A0C74"/>
    <w:pPr>
      <w:spacing w:before="120"/>
    </w:pPr>
    <w:rPr>
      <w:rFonts w:ascii="Arial" w:hAnsi="Arial" w:cs="Arial"/>
      <w:b/>
      <w:bCs/>
      <w:szCs w:val="24"/>
    </w:rPr>
  </w:style>
  <w:style w:type="paragraph" w:styleId="TOC1">
    <w:name w:val="toc 1"/>
    <w:basedOn w:val="Normal"/>
    <w:next w:val="Normal"/>
    <w:autoRedefine/>
    <w:semiHidden/>
    <w:rsid w:val="00BA0C74"/>
  </w:style>
  <w:style w:type="paragraph" w:styleId="TOC2">
    <w:name w:val="toc 2"/>
    <w:basedOn w:val="Normal"/>
    <w:next w:val="Normal"/>
    <w:autoRedefine/>
    <w:semiHidden/>
    <w:rsid w:val="00BA0C74"/>
    <w:pPr>
      <w:ind w:left="240"/>
    </w:pPr>
  </w:style>
  <w:style w:type="paragraph" w:styleId="TOC3">
    <w:name w:val="toc 3"/>
    <w:basedOn w:val="Normal"/>
    <w:next w:val="Normal"/>
    <w:autoRedefine/>
    <w:semiHidden/>
    <w:rsid w:val="00BA0C74"/>
    <w:pPr>
      <w:ind w:left="480"/>
    </w:pPr>
  </w:style>
  <w:style w:type="paragraph" w:styleId="TOC4">
    <w:name w:val="toc 4"/>
    <w:basedOn w:val="Normal"/>
    <w:next w:val="Normal"/>
    <w:autoRedefine/>
    <w:semiHidden/>
    <w:rsid w:val="00BA0C74"/>
    <w:pPr>
      <w:ind w:left="720"/>
    </w:pPr>
  </w:style>
  <w:style w:type="paragraph" w:styleId="TOC5">
    <w:name w:val="toc 5"/>
    <w:basedOn w:val="Normal"/>
    <w:next w:val="Normal"/>
    <w:autoRedefine/>
    <w:semiHidden/>
    <w:rsid w:val="00BA0C74"/>
    <w:pPr>
      <w:ind w:left="960"/>
    </w:pPr>
  </w:style>
  <w:style w:type="paragraph" w:styleId="TOC6">
    <w:name w:val="toc 6"/>
    <w:basedOn w:val="Normal"/>
    <w:next w:val="Normal"/>
    <w:autoRedefine/>
    <w:semiHidden/>
    <w:rsid w:val="00BA0C74"/>
    <w:pPr>
      <w:ind w:left="1200"/>
    </w:pPr>
  </w:style>
  <w:style w:type="paragraph" w:styleId="TOC7">
    <w:name w:val="toc 7"/>
    <w:basedOn w:val="Normal"/>
    <w:next w:val="Normal"/>
    <w:autoRedefine/>
    <w:semiHidden/>
    <w:rsid w:val="00BA0C74"/>
    <w:pPr>
      <w:ind w:left="1440"/>
    </w:pPr>
  </w:style>
  <w:style w:type="paragraph" w:styleId="TOC8">
    <w:name w:val="toc 8"/>
    <w:basedOn w:val="Normal"/>
    <w:next w:val="Normal"/>
    <w:autoRedefine/>
    <w:semiHidden/>
    <w:rsid w:val="00BA0C74"/>
    <w:pPr>
      <w:ind w:left="1680"/>
    </w:pPr>
  </w:style>
  <w:style w:type="paragraph" w:styleId="TOC9">
    <w:name w:val="toc 9"/>
    <w:basedOn w:val="Normal"/>
    <w:next w:val="Normal"/>
    <w:autoRedefine/>
    <w:semiHidden/>
    <w:rsid w:val="00BA0C74"/>
    <w:pPr>
      <w:ind w:left="1920"/>
    </w:pPr>
  </w:style>
  <w:style w:type="paragraph" w:styleId="Revision">
    <w:name w:val="Revision"/>
    <w:hidden/>
    <w:uiPriority w:val="99"/>
    <w:semiHidden/>
    <w:rsid w:val="00BE6BA6"/>
    <w:rPr>
      <w:sz w:val="24"/>
      <w:lang w:val="en-US" w:eastAsia="en-US" w:bidi="ar-SA"/>
    </w:rPr>
  </w:style>
  <w:style w:type="paragraph" w:styleId="ListParagraph">
    <w:name w:val="List Paragraph"/>
    <w:basedOn w:val="Normal"/>
    <w:uiPriority w:val="34"/>
    <w:qFormat/>
    <w:rsid w:val="005D0616"/>
    <w:pPr>
      <w:ind w:left="720"/>
      <w:contextualSpacing/>
    </w:pPr>
  </w:style>
  <w:style w:type="character" w:customStyle="1" w:styleId="CommentTextChar">
    <w:name w:val="Comment Text Char"/>
    <w:basedOn w:val="DefaultParagraphFont"/>
    <w:link w:val="CommentText"/>
    <w:semiHidden/>
    <w:rsid w:val="00830016"/>
    <w:rPr>
      <w:lang w:val="en-US" w:eastAsia="en-US" w:bidi="ar-SA"/>
    </w:rPr>
  </w:style>
  <w:style w:type="character" w:customStyle="1" w:styleId="EndnoteTextChar">
    <w:name w:val="Endnote Text Char"/>
    <w:basedOn w:val="DefaultParagraphFont"/>
    <w:link w:val="EndnoteText"/>
    <w:rsid w:val="00CB540D"/>
    <w:rPr>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43493">
      <w:bodyDiv w:val="1"/>
      <w:marLeft w:val="0"/>
      <w:marRight w:val="0"/>
      <w:marTop w:val="0"/>
      <w:marBottom w:val="0"/>
      <w:divBdr>
        <w:top w:val="none" w:sz="0" w:space="0" w:color="auto"/>
        <w:left w:val="none" w:sz="0" w:space="0" w:color="auto"/>
        <w:bottom w:val="none" w:sz="0" w:space="0" w:color="auto"/>
        <w:right w:val="none" w:sz="0" w:space="0" w:color="auto"/>
      </w:divBdr>
    </w:div>
    <w:div w:id="856893728">
      <w:bodyDiv w:val="1"/>
      <w:marLeft w:val="0"/>
      <w:marRight w:val="0"/>
      <w:marTop w:val="0"/>
      <w:marBottom w:val="0"/>
      <w:divBdr>
        <w:top w:val="none" w:sz="0" w:space="0" w:color="auto"/>
        <w:left w:val="none" w:sz="0" w:space="0" w:color="auto"/>
        <w:bottom w:val="none" w:sz="0" w:space="0" w:color="auto"/>
        <w:right w:val="none" w:sz="0" w:space="0" w:color="auto"/>
      </w:divBdr>
    </w:div>
    <w:div w:id="992411774">
      <w:bodyDiv w:val="1"/>
      <w:marLeft w:val="0"/>
      <w:marRight w:val="0"/>
      <w:marTop w:val="0"/>
      <w:marBottom w:val="0"/>
      <w:divBdr>
        <w:top w:val="none" w:sz="0" w:space="0" w:color="auto"/>
        <w:left w:val="none" w:sz="0" w:space="0" w:color="auto"/>
        <w:bottom w:val="none" w:sz="0" w:space="0" w:color="auto"/>
        <w:right w:val="none" w:sz="0" w:space="0" w:color="auto"/>
      </w:divBdr>
    </w:div>
    <w:div w:id="1614483707">
      <w:bodyDiv w:val="1"/>
      <w:marLeft w:val="0"/>
      <w:marRight w:val="0"/>
      <w:marTop w:val="0"/>
      <w:marBottom w:val="0"/>
      <w:divBdr>
        <w:top w:val="none" w:sz="0" w:space="0" w:color="auto"/>
        <w:left w:val="none" w:sz="0" w:space="0" w:color="auto"/>
        <w:bottom w:val="none" w:sz="0" w:space="0" w:color="auto"/>
        <w:right w:val="none" w:sz="0" w:space="0" w:color="auto"/>
      </w:divBdr>
    </w:div>
    <w:div w:id="1812748889">
      <w:bodyDiv w:val="1"/>
      <w:marLeft w:val="0"/>
      <w:marRight w:val="0"/>
      <w:marTop w:val="0"/>
      <w:marBottom w:val="0"/>
      <w:divBdr>
        <w:top w:val="none" w:sz="0" w:space="0" w:color="auto"/>
        <w:left w:val="none" w:sz="0" w:space="0" w:color="auto"/>
        <w:bottom w:val="none" w:sz="0" w:space="0" w:color="auto"/>
        <w:right w:val="none" w:sz="0" w:space="0" w:color="auto"/>
      </w:divBdr>
      <w:divsChild>
        <w:div w:id="2116436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58978-CEC6-44DD-8C7C-2FC703D9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5039</Words>
  <Characters>29378</Characters>
  <Application>Microsoft Office Word</Application>
  <DocSecurity>0</DocSecurity>
  <Lines>753</Lines>
  <Paragraphs>452</Paragraphs>
  <ScaleCrop>false</ScaleCrop>
  <HeadingPairs>
    <vt:vector size="2" baseType="variant">
      <vt:variant>
        <vt:lpstr>Title</vt:lpstr>
      </vt:variant>
      <vt:variant>
        <vt:i4>1</vt:i4>
      </vt:variant>
    </vt:vector>
  </HeadingPairs>
  <TitlesOfParts>
    <vt:vector size="1" baseType="lpstr">
      <vt:lpstr>draft SPIRIVA PI</vt:lpstr>
    </vt:vector>
  </TitlesOfParts>
  <Company/>
  <LinksUpToDate>false</LinksUpToDate>
  <CharactersWithSpaces>33965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Tiotropium bromide</dc:title>
  <dc:subject>prescription medicines</dc:subject>
  <dc:creator>Newell</dc:creator>
  <cp:keywords>AusPARs</cp:keywords>
  <dc:description/>
  <cp:lastModifiedBy>Lack, Janet</cp:lastModifiedBy>
  <cp:revision>3</cp:revision>
  <cp:lastPrinted>2015-05-18T03:29:00Z</cp:lastPrinted>
  <dcterms:created xsi:type="dcterms:W3CDTF">2016-11-21T04:15:00Z</dcterms:created>
  <dcterms:modified xsi:type="dcterms:W3CDTF">2016-11-29T03:09:00Z</dcterms:modified>
</cp:coreProperties>
</file>