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72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05"/>
      </w:tblGrid>
      <w:tr w:rsidR="008E7846" w:rsidRPr="00487162" w14:paraId="4463AEE5" w14:textId="77777777" w:rsidTr="00966DA8">
        <w:trPr>
          <w:trHeight w:val="1924"/>
        </w:trPr>
        <w:tc>
          <w:tcPr>
            <w:tcW w:w="7205" w:type="dxa"/>
            <w:tcBorders>
              <w:top w:val="nil"/>
              <w:left w:val="nil"/>
              <w:bottom w:val="nil"/>
              <w:right w:val="nil"/>
            </w:tcBorders>
          </w:tcPr>
          <w:p w14:paraId="4463AEE3" w14:textId="26B1EE0A" w:rsidR="00966DA8" w:rsidRPr="00006A09" w:rsidRDefault="00006A09" w:rsidP="00006A09">
            <w:pPr>
              <w:pStyle w:val="Date"/>
              <w:framePr w:hSpace="0" w:wrap="auto" w:vAnchor="margin" w:hAnchor="text" w:yAlign="inline"/>
              <w:suppressOverlap w:val="0"/>
            </w:pPr>
            <w:r w:rsidRPr="00006A09">
              <w:t>First r</w:t>
            </w:r>
            <w:r w:rsidR="00966DA8" w:rsidRPr="00006A09">
              <w:t>ound: 17 July 2015</w:t>
            </w:r>
          </w:p>
          <w:p w14:paraId="4463AEE4" w14:textId="3E4FAE64" w:rsidR="008E7846" w:rsidRPr="0017078F" w:rsidRDefault="00006A09" w:rsidP="00006A09">
            <w:pPr>
              <w:rPr>
                <w:rFonts w:ascii="Arial" w:hAnsi="Arial" w:cs="Arial"/>
                <w:b/>
                <w:color w:val="002C47"/>
                <w:sz w:val="36"/>
                <w:szCs w:val="36"/>
              </w:rPr>
            </w:pPr>
            <w:r>
              <w:rPr>
                <w:rFonts w:ascii="Arial" w:hAnsi="Arial" w:cs="Arial"/>
                <w:b/>
                <w:color w:val="002C47"/>
                <w:sz w:val="36"/>
                <w:szCs w:val="36"/>
              </w:rPr>
              <w:t>Second r</w:t>
            </w:r>
            <w:r w:rsidR="00966DA8">
              <w:rPr>
                <w:rFonts w:ascii="Arial" w:hAnsi="Arial" w:cs="Arial"/>
                <w:b/>
                <w:color w:val="002C47"/>
                <w:sz w:val="36"/>
                <w:szCs w:val="36"/>
              </w:rPr>
              <w:t>ound: 17 September 2015</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4463AEE7" w14:textId="77777777" w:rsidTr="00E07F15">
        <w:trPr>
          <w:trHeight w:val="1548"/>
        </w:trPr>
        <w:tc>
          <w:tcPr>
            <w:tcW w:w="9079" w:type="dxa"/>
          </w:tcPr>
          <w:p w14:paraId="4463AEE6" w14:textId="77777777" w:rsidR="0032583B" w:rsidRPr="00A964D1" w:rsidRDefault="00E07F15" w:rsidP="00006A09">
            <w:pPr>
              <w:pStyle w:val="Title"/>
              <w:framePr w:hSpace="0" w:wrap="auto" w:vAnchor="margin" w:yAlign="inline"/>
            </w:pPr>
            <w:r>
              <w:t>AusPAR Attachment 2</w:t>
            </w:r>
          </w:p>
        </w:tc>
      </w:tr>
      <w:tr w:rsidR="00E07F15" w:rsidRPr="00A964D1" w14:paraId="4463AEE9" w14:textId="77777777" w:rsidTr="00E07F15">
        <w:trPr>
          <w:trHeight w:val="868"/>
        </w:trPr>
        <w:tc>
          <w:tcPr>
            <w:tcW w:w="9079" w:type="dxa"/>
          </w:tcPr>
          <w:p w14:paraId="4463AEE8" w14:textId="77777777" w:rsidR="00E07F15" w:rsidRPr="00A964D1" w:rsidRDefault="00E07F15" w:rsidP="00006A09">
            <w:pPr>
              <w:pStyle w:val="Title"/>
              <w:framePr w:hSpace="0" w:wrap="auto" w:vAnchor="margin" w:yAlign="inline"/>
            </w:pPr>
            <w:r>
              <w:t>Extract from the Clinical Evaluation Report</w:t>
            </w:r>
            <w:r w:rsidR="008B52EC">
              <w:t xml:space="preserve"> for </w:t>
            </w:r>
            <w:r w:rsidR="00344A05">
              <w:t>t</w:t>
            </w:r>
            <w:r w:rsidR="008B52EC">
              <w:t>ocilizumab</w:t>
            </w:r>
            <w:r w:rsidR="000334F6">
              <w:t xml:space="preserve"> </w:t>
            </w:r>
            <w:r w:rsidR="00344A05">
              <w:t>(</w:t>
            </w:r>
            <w:r w:rsidR="000334F6">
              <w:t>rch</w:t>
            </w:r>
            <w:r w:rsidR="00344A05">
              <w:t>)</w:t>
            </w:r>
          </w:p>
        </w:tc>
      </w:tr>
      <w:tr w:rsidR="00E07F15" w:rsidRPr="00B64760" w14:paraId="4463AEEB" w14:textId="77777777" w:rsidTr="00E07F15">
        <w:tc>
          <w:tcPr>
            <w:tcW w:w="9079" w:type="dxa"/>
          </w:tcPr>
          <w:p w14:paraId="4463AEEA" w14:textId="77777777" w:rsidR="00E07F15" w:rsidRPr="008E7846" w:rsidRDefault="008B52EC" w:rsidP="00006A09">
            <w:pPr>
              <w:pStyle w:val="Subtitle"/>
              <w:framePr w:hSpace="0" w:wrap="auto" w:vAnchor="margin" w:yAlign="inline"/>
            </w:pPr>
            <w:r>
              <w:t>Proprietary Product Name: A</w:t>
            </w:r>
            <w:r w:rsidR="00886D9E">
              <w:t>ctemra</w:t>
            </w:r>
          </w:p>
        </w:tc>
      </w:tr>
      <w:tr w:rsidR="00E07F15" w:rsidRPr="00B64760" w14:paraId="4463AEED" w14:textId="77777777" w:rsidTr="00E07F15">
        <w:trPr>
          <w:trHeight w:val="486"/>
        </w:trPr>
        <w:tc>
          <w:tcPr>
            <w:tcW w:w="9079" w:type="dxa"/>
          </w:tcPr>
          <w:p w14:paraId="4463AEEC" w14:textId="77777777" w:rsidR="00E07F15" w:rsidRPr="008E7846" w:rsidRDefault="008B52EC" w:rsidP="00006A09">
            <w:pPr>
              <w:pStyle w:val="Subtitle"/>
              <w:framePr w:hSpace="0" w:wrap="auto" w:vAnchor="margin" w:yAlign="inline"/>
            </w:pPr>
            <w:r>
              <w:t>Sponsor: Roche Products Pty Ltd</w:t>
            </w:r>
          </w:p>
        </w:tc>
      </w:tr>
    </w:tbl>
    <w:p w14:paraId="4463AEEE" w14:textId="77777777" w:rsidR="008E7846" w:rsidRDefault="008E7846" w:rsidP="008E7846">
      <w:pPr>
        <w:pStyle w:val="NonTOCHeading2"/>
      </w:pPr>
      <w:r>
        <w:br w:type="page"/>
      </w:r>
    </w:p>
    <w:p w14:paraId="4463AEEF" w14:textId="77777777" w:rsidR="008E7846" w:rsidRPr="001F6CBA" w:rsidRDefault="008E7846" w:rsidP="00006A09">
      <w:pPr>
        <w:pStyle w:val="NonTOCHeading2"/>
      </w:pPr>
      <w:r w:rsidRPr="001F6CBA">
        <w:lastRenderedPageBreak/>
        <w:t>About the Therapeutic Goods Administration (TGA)</w:t>
      </w:r>
    </w:p>
    <w:p w14:paraId="4463AEF0" w14:textId="77777777" w:rsidR="008E7846" w:rsidRDefault="008E7846" w:rsidP="00DC1A24">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4463AEF1" w14:textId="77777777" w:rsidR="008E7846" w:rsidRDefault="00C811C0" w:rsidP="00DC1A24">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4463AEF2" w14:textId="77777777" w:rsidR="008E7846" w:rsidRDefault="008E7846" w:rsidP="00DC1A24">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4463AEF3" w14:textId="77777777" w:rsidR="008E7846" w:rsidRDefault="008E7846" w:rsidP="00DC1A24">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4463AEF4" w14:textId="77777777" w:rsidR="008E7846" w:rsidRDefault="008E7846" w:rsidP="00DC1A24">
      <w:pPr>
        <w:pStyle w:val="ListBullet"/>
        <w:numPr>
          <w:ilvl w:val="0"/>
          <w:numId w:val="1"/>
        </w:numPr>
        <w:ind w:left="357" w:hanging="357"/>
      </w:pPr>
      <w:r>
        <w:t>To report a problem with a medicine or medical device, please see the information on the TGA website</w:t>
      </w:r>
      <w:r w:rsidR="00112F56">
        <w:t xml:space="preserve"> &lt;</w:t>
      </w:r>
      <w:hyperlink r:id="rId12" w:history="1">
        <w:r w:rsidR="00E979F4" w:rsidRPr="00FE02B1">
          <w:rPr>
            <w:rStyle w:val="Hyperlink"/>
          </w:rPr>
          <w:t>https://www.tga.gov.au</w:t>
        </w:r>
      </w:hyperlink>
      <w:r w:rsidR="00112F56">
        <w:t>&gt;</w:t>
      </w:r>
      <w:r>
        <w:t>.</w:t>
      </w:r>
    </w:p>
    <w:p w14:paraId="4463AEF5"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4463AEF6"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4463AEF7" w14:textId="77777777" w:rsidR="003D0A3B" w:rsidRDefault="003D0A3B" w:rsidP="003D0A3B">
      <w:pPr>
        <w:pStyle w:val="ListBullet"/>
      </w:pPr>
      <w:r w:rsidRPr="003D0A3B">
        <w:t xml:space="preserve">The words </w:t>
      </w:r>
      <w:r w:rsidR="002E6B16">
        <w:t>(</w:t>
      </w:r>
      <w:r w:rsidRPr="003D0A3B">
        <w:t>Information redacted</w:t>
      </w:r>
      <w:r w:rsidR="002E6B16">
        <w:t>)</w:t>
      </w:r>
      <w:r w:rsidRPr="003D0A3B">
        <w:t>, where they appear in this document, indicate that confidential information has been deleted.</w:t>
      </w:r>
    </w:p>
    <w:p w14:paraId="4463AEF8" w14:textId="77777777" w:rsidR="0017078F" w:rsidRDefault="003D0A3B" w:rsidP="00351BC0">
      <w:pPr>
        <w:pStyle w:val="ListBullet"/>
        <w:spacing w:after="0"/>
      </w:pPr>
      <w:r w:rsidRPr="003D0A3B">
        <w:t>For the most recent Product Information (PI), please refer to the TGA website</w:t>
      </w:r>
      <w:r>
        <w:t xml:space="preserve"> </w:t>
      </w:r>
      <w:r w:rsidR="00B1425E" w:rsidRPr="00B1425E">
        <w:t>&lt;</w:t>
      </w:r>
      <w:hyperlink r:id="rId13" w:history="1">
        <w:r w:rsidR="0010193C">
          <w:rPr>
            <w:rStyle w:val="Hyperlink"/>
          </w:rPr>
          <w:t>https://www.tga.gov.au/product-information-pi</w:t>
        </w:r>
      </w:hyperlink>
      <w:r w:rsidR="0017078F">
        <w:t>&gt;.</w:t>
      </w:r>
    </w:p>
    <w:p w14:paraId="4463AEF9" w14:textId="77777777" w:rsidR="00924482" w:rsidRPr="00DF1D7F" w:rsidRDefault="00924482" w:rsidP="00006A09">
      <w:pPr>
        <w:pStyle w:val="LegalSubheading"/>
        <w:spacing w:before="4200"/>
      </w:pPr>
      <w:r w:rsidRPr="00DF1D7F">
        <w:t>Copyright</w:t>
      </w:r>
    </w:p>
    <w:p w14:paraId="4463AEFA" w14:textId="77777777"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191B3B">
          <w:rPr>
            <w:rStyle w:val="Hyperlink"/>
            <w:rFonts w:cs="Arial"/>
            <w:lang w:val="en-GB"/>
          </w:rPr>
          <w:t>tga.copyright@tga.gov.au</w:t>
        </w:r>
      </w:hyperlink>
      <w:r w:rsidRPr="00191B3B">
        <w:rPr>
          <w:rFonts w:cs="Arial"/>
        </w:rPr>
        <w:t>&gt;.</w:t>
      </w:r>
    </w:p>
    <w:p w14:paraId="4463AEFB" w14:textId="77777777" w:rsidR="00924482" w:rsidRDefault="00924482" w:rsidP="00924482">
      <w:pPr>
        <w:pStyle w:val="LegalCopy"/>
        <w:sectPr w:rsidR="00924482" w:rsidSect="003D1E62">
          <w:headerReference w:type="default" r:id="rId15"/>
          <w:footerReference w:type="default" r:id="rId16"/>
          <w:headerReference w:type="first" r:id="rId17"/>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4463AEFC" w14:textId="77777777" w:rsidR="0089635C" w:rsidRPr="0089635C" w:rsidRDefault="0089635C" w:rsidP="0010788A">
          <w:pPr>
            <w:pStyle w:val="Contents"/>
          </w:pPr>
          <w:r w:rsidRPr="0010788A">
            <w:t>Conten</w:t>
          </w:r>
          <w:bookmarkStart w:id="2" w:name="_GoBack"/>
          <w:bookmarkEnd w:id="2"/>
          <w:r w:rsidRPr="0010788A">
            <w:t>ts</w:t>
          </w:r>
        </w:p>
        <w:p w14:paraId="2872AD64" w14:textId="77777777" w:rsidR="00177958"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64136243" w:history="1">
            <w:r w:rsidR="00177958" w:rsidRPr="007B6130">
              <w:rPr>
                <w:rStyle w:val="Hyperlink"/>
                <w:noProof/>
              </w:rPr>
              <w:t>List of abbreviations</w:t>
            </w:r>
            <w:r w:rsidR="00177958">
              <w:rPr>
                <w:noProof/>
                <w:webHidden/>
              </w:rPr>
              <w:tab/>
            </w:r>
            <w:r w:rsidR="00177958">
              <w:rPr>
                <w:noProof/>
                <w:webHidden/>
              </w:rPr>
              <w:fldChar w:fldCharType="begin"/>
            </w:r>
            <w:r w:rsidR="00177958">
              <w:rPr>
                <w:noProof/>
                <w:webHidden/>
              </w:rPr>
              <w:instrText xml:space="preserve"> PAGEREF _Toc464136243 \h </w:instrText>
            </w:r>
            <w:r w:rsidR="00177958">
              <w:rPr>
                <w:noProof/>
                <w:webHidden/>
              </w:rPr>
            </w:r>
            <w:r w:rsidR="00177958">
              <w:rPr>
                <w:noProof/>
                <w:webHidden/>
              </w:rPr>
              <w:fldChar w:fldCharType="separate"/>
            </w:r>
            <w:r w:rsidR="00177958">
              <w:rPr>
                <w:noProof/>
                <w:webHidden/>
              </w:rPr>
              <w:t>5</w:t>
            </w:r>
            <w:r w:rsidR="00177958">
              <w:rPr>
                <w:noProof/>
                <w:webHidden/>
              </w:rPr>
              <w:fldChar w:fldCharType="end"/>
            </w:r>
          </w:hyperlink>
        </w:p>
        <w:p w14:paraId="52729145"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44" w:history="1">
            <w:r w:rsidRPr="007B6130">
              <w:rPr>
                <w:rStyle w:val="Hyperlink"/>
                <w:noProof/>
                <w:lang w:eastAsia="en-AU"/>
              </w:rPr>
              <w:t>1.</w:t>
            </w:r>
            <w:r>
              <w:rPr>
                <w:rFonts w:asciiTheme="minorHAnsi" w:eastAsiaTheme="minorEastAsia" w:hAnsiTheme="minorHAnsi" w:cstheme="minorBidi"/>
                <w:b w:val="0"/>
                <w:noProof/>
                <w:sz w:val="22"/>
                <w:lang w:eastAsia="en-AU"/>
              </w:rPr>
              <w:tab/>
            </w:r>
            <w:r w:rsidRPr="007B6130">
              <w:rPr>
                <w:rStyle w:val="Hyperlink"/>
                <w:noProof/>
                <w:lang w:eastAsia="en-AU"/>
              </w:rPr>
              <w:t>Introduction</w:t>
            </w:r>
            <w:r>
              <w:rPr>
                <w:noProof/>
                <w:webHidden/>
              </w:rPr>
              <w:tab/>
            </w:r>
            <w:r>
              <w:rPr>
                <w:noProof/>
                <w:webHidden/>
              </w:rPr>
              <w:fldChar w:fldCharType="begin"/>
            </w:r>
            <w:r>
              <w:rPr>
                <w:noProof/>
                <w:webHidden/>
              </w:rPr>
              <w:instrText xml:space="preserve"> PAGEREF _Toc464136244 \h </w:instrText>
            </w:r>
            <w:r>
              <w:rPr>
                <w:noProof/>
                <w:webHidden/>
              </w:rPr>
            </w:r>
            <w:r>
              <w:rPr>
                <w:noProof/>
                <w:webHidden/>
              </w:rPr>
              <w:fldChar w:fldCharType="separate"/>
            </w:r>
            <w:r>
              <w:rPr>
                <w:noProof/>
                <w:webHidden/>
              </w:rPr>
              <w:t>9</w:t>
            </w:r>
            <w:r>
              <w:rPr>
                <w:noProof/>
                <w:webHidden/>
              </w:rPr>
              <w:fldChar w:fldCharType="end"/>
            </w:r>
          </w:hyperlink>
        </w:p>
        <w:p w14:paraId="103BE9E6"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45" w:history="1">
            <w:r w:rsidRPr="007B6130">
              <w:rPr>
                <w:rStyle w:val="Hyperlink"/>
                <w:noProof/>
              </w:rPr>
              <w:t>1.1.</w:t>
            </w:r>
            <w:r>
              <w:rPr>
                <w:rFonts w:asciiTheme="minorHAnsi" w:eastAsiaTheme="minorEastAsia" w:hAnsiTheme="minorHAnsi" w:cstheme="minorBidi"/>
                <w:noProof/>
                <w:lang w:eastAsia="en-AU"/>
              </w:rPr>
              <w:tab/>
            </w:r>
            <w:r w:rsidRPr="007B6130">
              <w:rPr>
                <w:rStyle w:val="Hyperlink"/>
                <w:noProof/>
              </w:rPr>
              <w:t>Approved indications</w:t>
            </w:r>
            <w:r>
              <w:rPr>
                <w:noProof/>
                <w:webHidden/>
              </w:rPr>
              <w:tab/>
            </w:r>
            <w:r>
              <w:rPr>
                <w:noProof/>
                <w:webHidden/>
              </w:rPr>
              <w:fldChar w:fldCharType="begin"/>
            </w:r>
            <w:r>
              <w:rPr>
                <w:noProof/>
                <w:webHidden/>
              </w:rPr>
              <w:instrText xml:space="preserve"> PAGEREF _Toc464136245 \h </w:instrText>
            </w:r>
            <w:r>
              <w:rPr>
                <w:noProof/>
                <w:webHidden/>
              </w:rPr>
            </w:r>
            <w:r>
              <w:rPr>
                <w:noProof/>
                <w:webHidden/>
              </w:rPr>
              <w:fldChar w:fldCharType="separate"/>
            </w:r>
            <w:r>
              <w:rPr>
                <w:noProof/>
                <w:webHidden/>
              </w:rPr>
              <w:t>9</w:t>
            </w:r>
            <w:r>
              <w:rPr>
                <w:noProof/>
                <w:webHidden/>
              </w:rPr>
              <w:fldChar w:fldCharType="end"/>
            </w:r>
          </w:hyperlink>
        </w:p>
        <w:p w14:paraId="6588CA42"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46" w:history="1">
            <w:r w:rsidRPr="007B6130">
              <w:rPr>
                <w:rStyle w:val="Hyperlink"/>
                <w:noProof/>
              </w:rPr>
              <w:t>1.2.</w:t>
            </w:r>
            <w:r>
              <w:rPr>
                <w:rFonts w:asciiTheme="minorHAnsi" w:eastAsiaTheme="minorEastAsia" w:hAnsiTheme="minorHAnsi" w:cstheme="minorBidi"/>
                <w:noProof/>
                <w:lang w:eastAsia="en-AU"/>
              </w:rPr>
              <w:tab/>
            </w:r>
            <w:r w:rsidRPr="007B6130">
              <w:rPr>
                <w:rStyle w:val="Hyperlink"/>
                <w:noProof/>
              </w:rPr>
              <w:t>Currently approved dosage and route of administration</w:t>
            </w:r>
            <w:r>
              <w:rPr>
                <w:noProof/>
                <w:webHidden/>
              </w:rPr>
              <w:tab/>
            </w:r>
            <w:r>
              <w:rPr>
                <w:noProof/>
                <w:webHidden/>
              </w:rPr>
              <w:fldChar w:fldCharType="begin"/>
            </w:r>
            <w:r>
              <w:rPr>
                <w:noProof/>
                <w:webHidden/>
              </w:rPr>
              <w:instrText xml:space="preserve"> PAGEREF _Toc464136246 \h </w:instrText>
            </w:r>
            <w:r>
              <w:rPr>
                <w:noProof/>
                <w:webHidden/>
              </w:rPr>
            </w:r>
            <w:r>
              <w:rPr>
                <w:noProof/>
                <w:webHidden/>
              </w:rPr>
              <w:fldChar w:fldCharType="separate"/>
            </w:r>
            <w:r>
              <w:rPr>
                <w:noProof/>
                <w:webHidden/>
              </w:rPr>
              <w:t>9</w:t>
            </w:r>
            <w:r>
              <w:rPr>
                <w:noProof/>
                <w:webHidden/>
              </w:rPr>
              <w:fldChar w:fldCharType="end"/>
            </w:r>
          </w:hyperlink>
        </w:p>
        <w:p w14:paraId="4BC43E89"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47" w:history="1">
            <w:r w:rsidRPr="007B6130">
              <w:rPr>
                <w:rStyle w:val="Hyperlink"/>
                <w:noProof/>
              </w:rPr>
              <w:t>1.3.</w:t>
            </w:r>
            <w:r>
              <w:rPr>
                <w:rFonts w:asciiTheme="minorHAnsi" w:eastAsiaTheme="minorEastAsia" w:hAnsiTheme="minorHAnsi" w:cstheme="minorBidi"/>
                <w:noProof/>
                <w:lang w:eastAsia="en-AU"/>
              </w:rPr>
              <w:tab/>
            </w:r>
            <w:r w:rsidRPr="007B6130">
              <w:rPr>
                <w:rStyle w:val="Hyperlink"/>
                <w:noProof/>
              </w:rPr>
              <w:t>Submission type</w:t>
            </w:r>
            <w:r>
              <w:rPr>
                <w:noProof/>
                <w:webHidden/>
              </w:rPr>
              <w:tab/>
            </w:r>
            <w:r>
              <w:rPr>
                <w:noProof/>
                <w:webHidden/>
              </w:rPr>
              <w:fldChar w:fldCharType="begin"/>
            </w:r>
            <w:r>
              <w:rPr>
                <w:noProof/>
                <w:webHidden/>
              </w:rPr>
              <w:instrText xml:space="preserve"> PAGEREF _Toc464136247 \h </w:instrText>
            </w:r>
            <w:r>
              <w:rPr>
                <w:noProof/>
                <w:webHidden/>
              </w:rPr>
            </w:r>
            <w:r>
              <w:rPr>
                <w:noProof/>
                <w:webHidden/>
              </w:rPr>
              <w:fldChar w:fldCharType="separate"/>
            </w:r>
            <w:r>
              <w:rPr>
                <w:noProof/>
                <w:webHidden/>
              </w:rPr>
              <w:t>10</w:t>
            </w:r>
            <w:r>
              <w:rPr>
                <w:noProof/>
                <w:webHidden/>
              </w:rPr>
              <w:fldChar w:fldCharType="end"/>
            </w:r>
          </w:hyperlink>
        </w:p>
        <w:p w14:paraId="429FF193"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48" w:history="1">
            <w:r w:rsidRPr="007B6130">
              <w:rPr>
                <w:rStyle w:val="Hyperlink"/>
                <w:noProof/>
              </w:rPr>
              <w:t>1.4.</w:t>
            </w:r>
            <w:r>
              <w:rPr>
                <w:rFonts w:asciiTheme="minorHAnsi" w:eastAsiaTheme="minorEastAsia" w:hAnsiTheme="minorHAnsi" w:cstheme="minorBidi"/>
                <w:noProof/>
                <w:lang w:eastAsia="en-AU"/>
              </w:rPr>
              <w:tab/>
            </w:r>
            <w:r w:rsidRPr="007B6130">
              <w:rPr>
                <w:rStyle w:val="Hyperlink"/>
                <w:noProof/>
              </w:rPr>
              <w:t>Proposed registration of new route, dosage from and strength</w:t>
            </w:r>
            <w:r>
              <w:rPr>
                <w:noProof/>
                <w:webHidden/>
              </w:rPr>
              <w:tab/>
            </w:r>
            <w:r>
              <w:rPr>
                <w:noProof/>
                <w:webHidden/>
              </w:rPr>
              <w:fldChar w:fldCharType="begin"/>
            </w:r>
            <w:r>
              <w:rPr>
                <w:noProof/>
                <w:webHidden/>
              </w:rPr>
              <w:instrText xml:space="preserve"> PAGEREF _Toc464136248 \h </w:instrText>
            </w:r>
            <w:r>
              <w:rPr>
                <w:noProof/>
                <w:webHidden/>
              </w:rPr>
            </w:r>
            <w:r>
              <w:rPr>
                <w:noProof/>
                <w:webHidden/>
              </w:rPr>
              <w:fldChar w:fldCharType="separate"/>
            </w:r>
            <w:r>
              <w:rPr>
                <w:noProof/>
                <w:webHidden/>
              </w:rPr>
              <w:t>10</w:t>
            </w:r>
            <w:r>
              <w:rPr>
                <w:noProof/>
                <w:webHidden/>
              </w:rPr>
              <w:fldChar w:fldCharType="end"/>
            </w:r>
          </w:hyperlink>
        </w:p>
        <w:p w14:paraId="0D036C26"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49" w:history="1">
            <w:r w:rsidRPr="007B6130">
              <w:rPr>
                <w:rStyle w:val="Hyperlink"/>
                <w:noProof/>
              </w:rPr>
              <w:t>1.5.</w:t>
            </w:r>
            <w:r>
              <w:rPr>
                <w:rFonts w:asciiTheme="minorHAnsi" w:eastAsiaTheme="minorEastAsia" w:hAnsiTheme="minorHAnsi" w:cstheme="minorBidi"/>
                <w:noProof/>
                <w:lang w:eastAsia="en-AU"/>
              </w:rPr>
              <w:tab/>
            </w:r>
            <w:r w:rsidRPr="007B6130">
              <w:rPr>
                <w:rStyle w:val="Hyperlink"/>
                <w:noProof/>
              </w:rPr>
              <w:t>Guidance</w:t>
            </w:r>
            <w:r>
              <w:rPr>
                <w:noProof/>
                <w:webHidden/>
              </w:rPr>
              <w:tab/>
            </w:r>
            <w:r>
              <w:rPr>
                <w:noProof/>
                <w:webHidden/>
              </w:rPr>
              <w:fldChar w:fldCharType="begin"/>
            </w:r>
            <w:r>
              <w:rPr>
                <w:noProof/>
                <w:webHidden/>
              </w:rPr>
              <w:instrText xml:space="preserve"> PAGEREF _Toc464136249 \h </w:instrText>
            </w:r>
            <w:r>
              <w:rPr>
                <w:noProof/>
                <w:webHidden/>
              </w:rPr>
            </w:r>
            <w:r>
              <w:rPr>
                <w:noProof/>
                <w:webHidden/>
              </w:rPr>
              <w:fldChar w:fldCharType="separate"/>
            </w:r>
            <w:r>
              <w:rPr>
                <w:noProof/>
                <w:webHidden/>
              </w:rPr>
              <w:t>11</w:t>
            </w:r>
            <w:r>
              <w:rPr>
                <w:noProof/>
                <w:webHidden/>
              </w:rPr>
              <w:fldChar w:fldCharType="end"/>
            </w:r>
          </w:hyperlink>
        </w:p>
        <w:p w14:paraId="575895D1"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50" w:history="1">
            <w:r w:rsidRPr="007B6130">
              <w:rPr>
                <w:rStyle w:val="Hyperlink"/>
                <w:noProof/>
              </w:rPr>
              <w:t>1.6.</w:t>
            </w:r>
            <w:r>
              <w:rPr>
                <w:rFonts w:asciiTheme="minorHAnsi" w:eastAsiaTheme="minorEastAsia" w:hAnsiTheme="minorHAnsi" w:cstheme="minorBidi"/>
                <w:noProof/>
                <w:lang w:eastAsia="en-AU"/>
              </w:rPr>
              <w:tab/>
            </w:r>
            <w:r w:rsidRPr="007B6130">
              <w:rPr>
                <w:rStyle w:val="Hyperlink"/>
                <w:noProof/>
              </w:rPr>
              <w:t>Overseas regulatory history</w:t>
            </w:r>
            <w:r>
              <w:rPr>
                <w:noProof/>
                <w:webHidden/>
              </w:rPr>
              <w:tab/>
            </w:r>
            <w:r>
              <w:rPr>
                <w:noProof/>
                <w:webHidden/>
              </w:rPr>
              <w:fldChar w:fldCharType="begin"/>
            </w:r>
            <w:r>
              <w:rPr>
                <w:noProof/>
                <w:webHidden/>
              </w:rPr>
              <w:instrText xml:space="preserve"> PAGEREF _Toc464136250 \h </w:instrText>
            </w:r>
            <w:r>
              <w:rPr>
                <w:noProof/>
                <w:webHidden/>
              </w:rPr>
            </w:r>
            <w:r>
              <w:rPr>
                <w:noProof/>
                <w:webHidden/>
              </w:rPr>
              <w:fldChar w:fldCharType="separate"/>
            </w:r>
            <w:r>
              <w:rPr>
                <w:noProof/>
                <w:webHidden/>
              </w:rPr>
              <w:t>11</w:t>
            </w:r>
            <w:r>
              <w:rPr>
                <w:noProof/>
                <w:webHidden/>
              </w:rPr>
              <w:fldChar w:fldCharType="end"/>
            </w:r>
          </w:hyperlink>
        </w:p>
        <w:p w14:paraId="7C784C9D"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51" w:history="1">
            <w:r w:rsidRPr="007B6130">
              <w:rPr>
                <w:rStyle w:val="Hyperlink"/>
                <w:noProof/>
              </w:rPr>
              <w:t>2.</w:t>
            </w:r>
            <w:r>
              <w:rPr>
                <w:rFonts w:asciiTheme="minorHAnsi" w:eastAsiaTheme="minorEastAsia" w:hAnsiTheme="minorHAnsi" w:cstheme="minorBidi"/>
                <w:b w:val="0"/>
                <w:noProof/>
                <w:sz w:val="22"/>
                <w:lang w:eastAsia="en-AU"/>
              </w:rPr>
              <w:tab/>
            </w:r>
            <w:r w:rsidRPr="007B6130">
              <w:rPr>
                <w:rStyle w:val="Hyperlink"/>
                <w:noProof/>
              </w:rPr>
              <w:t>Clinical rationale</w:t>
            </w:r>
            <w:r>
              <w:rPr>
                <w:noProof/>
                <w:webHidden/>
              </w:rPr>
              <w:tab/>
            </w:r>
            <w:r>
              <w:rPr>
                <w:noProof/>
                <w:webHidden/>
              </w:rPr>
              <w:fldChar w:fldCharType="begin"/>
            </w:r>
            <w:r>
              <w:rPr>
                <w:noProof/>
                <w:webHidden/>
              </w:rPr>
              <w:instrText xml:space="preserve"> PAGEREF _Toc464136251 \h </w:instrText>
            </w:r>
            <w:r>
              <w:rPr>
                <w:noProof/>
                <w:webHidden/>
              </w:rPr>
            </w:r>
            <w:r>
              <w:rPr>
                <w:noProof/>
                <w:webHidden/>
              </w:rPr>
              <w:fldChar w:fldCharType="separate"/>
            </w:r>
            <w:r>
              <w:rPr>
                <w:noProof/>
                <w:webHidden/>
              </w:rPr>
              <w:t>12</w:t>
            </w:r>
            <w:r>
              <w:rPr>
                <w:noProof/>
                <w:webHidden/>
              </w:rPr>
              <w:fldChar w:fldCharType="end"/>
            </w:r>
          </w:hyperlink>
        </w:p>
        <w:p w14:paraId="2E200D23"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52" w:history="1">
            <w:r w:rsidRPr="007B6130">
              <w:rPr>
                <w:rStyle w:val="Hyperlink"/>
                <w:noProof/>
                <w:lang w:eastAsia="en-AU"/>
              </w:rPr>
              <w:t>3.</w:t>
            </w:r>
            <w:r>
              <w:rPr>
                <w:rFonts w:asciiTheme="minorHAnsi" w:eastAsiaTheme="minorEastAsia" w:hAnsiTheme="minorHAnsi" w:cstheme="minorBidi"/>
                <w:b w:val="0"/>
                <w:noProof/>
                <w:sz w:val="22"/>
                <w:lang w:eastAsia="en-AU"/>
              </w:rPr>
              <w:tab/>
            </w:r>
            <w:r w:rsidRPr="007B6130">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_Toc464136252 \h </w:instrText>
            </w:r>
            <w:r>
              <w:rPr>
                <w:noProof/>
                <w:webHidden/>
              </w:rPr>
            </w:r>
            <w:r>
              <w:rPr>
                <w:noProof/>
                <w:webHidden/>
              </w:rPr>
              <w:fldChar w:fldCharType="separate"/>
            </w:r>
            <w:r>
              <w:rPr>
                <w:noProof/>
                <w:webHidden/>
              </w:rPr>
              <w:t>13</w:t>
            </w:r>
            <w:r>
              <w:rPr>
                <w:noProof/>
                <w:webHidden/>
              </w:rPr>
              <w:fldChar w:fldCharType="end"/>
            </w:r>
          </w:hyperlink>
        </w:p>
        <w:p w14:paraId="1EA4B2FC"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53" w:history="1">
            <w:r w:rsidRPr="007B6130">
              <w:rPr>
                <w:rStyle w:val="Hyperlink"/>
                <w:noProof/>
              </w:rPr>
              <w:t>3.1.</w:t>
            </w:r>
            <w:r>
              <w:rPr>
                <w:rFonts w:asciiTheme="minorHAnsi" w:eastAsiaTheme="minorEastAsia" w:hAnsiTheme="minorHAnsi" w:cstheme="minorBidi"/>
                <w:noProof/>
                <w:lang w:eastAsia="en-AU"/>
              </w:rPr>
              <w:tab/>
            </w:r>
            <w:r w:rsidRPr="007B6130">
              <w:rPr>
                <w:rStyle w:val="Hyperlink"/>
                <w:noProof/>
              </w:rPr>
              <w:t>Scope of the clinical dossier</w:t>
            </w:r>
            <w:r>
              <w:rPr>
                <w:noProof/>
                <w:webHidden/>
              </w:rPr>
              <w:tab/>
            </w:r>
            <w:r>
              <w:rPr>
                <w:noProof/>
                <w:webHidden/>
              </w:rPr>
              <w:fldChar w:fldCharType="begin"/>
            </w:r>
            <w:r>
              <w:rPr>
                <w:noProof/>
                <w:webHidden/>
              </w:rPr>
              <w:instrText xml:space="preserve"> PAGEREF _Toc464136253 \h </w:instrText>
            </w:r>
            <w:r>
              <w:rPr>
                <w:noProof/>
                <w:webHidden/>
              </w:rPr>
            </w:r>
            <w:r>
              <w:rPr>
                <w:noProof/>
                <w:webHidden/>
              </w:rPr>
              <w:fldChar w:fldCharType="separate"/>
            </w:r>
            <w:r>
              <w:rPr>
                <w:noProof/>
                <w:webHidden/>
              </w:rPr>
              <w:t>13</w:t>
            </w:r>
            <w:r>
              <w:rPr>
                <w:noProof/>
                <w:webHidden/>
              </w:rPr>
              <w:fldChar w:fldCharType="end"/>
            </w:r>
          </w:hyperlink>
        </w:p>
        <w:p w14:paraId="2F733B06"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54" w:history="1">
            <w:r w:rsidRPr="007B6130">
              <w:rPr>
                <w:rStyle w:val="Hyperlink"/>
                <w:noProof/>
              </w:rPr>
              <w:t>3.2.</w:t>
            </w:r>
            <w:r>
              <w:rPr>
                <w:rFonts w:asciiTheme="minorHAnsi" w:eastAsiaTheme="minorEastAsia" w:hAnsiTheme="minorHAnsi" w:cstheme="minorBidi"/>
                <w:noProof/>
                <w:lang w:eastAsia="en-AU"/>
              </w:rPr>
              <w:tab/>
            </w:r>
            <w:r w:rsidRPr="007B6130">
              <w:rPr>
                <w:rStyle w:val="Hyperlink"/>
                <w:noProof/>
              </w:rPr>
              <w:t>Good clinical practice</w:t>
            </w:r>
            <w:r>
              <w:rPr>
                <w:noProof/>
                <w:webHidden/>
              </w:rPr>
              <w:tab/>
            </w:r>
            <w:r>
              <w:rPr>
                <w:noProof/>
                <w:webHidden/>
              </w:rPr>
              <w:fldChar w:fldCharType="begin"/>
            </w:r>
            <w:r>
              <w:rPr>
                <w:noProof/>
                <w:webHidden/>
              </w:rPr>
              <w:instrText xml:space="preserve"> PAGEREF _Toc464136254 \h </w:instrText>
            </w:r>
            <w:r>
              <w:rPr>
                <w:noProof/>
                <w:webHidden/>
              </w:rPr>
            </w:r>
            <w:r>
              <w:rPr>
                <w:noProof/>
                <w:webHidden/>
              </w:rPr>
              <w:fldChar w:fldCharType="separate"/>
            </w:r>
            <w:r>
              <w:rPr>
                <w:noProof/>
                <w:webHidden/>
              </w:rPr>
              <w:t>14</w:t>
            </w:r>
            <w:r>
              <w:rPr>
                <w:noProof/>
                <w:webHidden/>
              </w:rPr>
              <w:fldChar w:fldCharType="end"/>
            </w:r>
          </w:hyperlink>
        </w:p>
        <w:p w14:paraId="72AC27F9"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55" w:history="1">
            <w:r w:rsidRPr="007B6130">
              <w:rPr>
                <w:rStyle w:val="Hyperlink"/>
                <w:noProof/>
              </w:rPr>
              <w:t>4.</w:t>
            </w:r>
            <w:r>
              <w:rPr>
                <w:rFonts w:asciiTheme="minorHAnsi" w:eastAsiaTheme="minorEastAsia" w:hAnsiTheme="minorHAnsi" w:cstheme="minorBidi"/>
                <w:b w:val="0"/>
                <w:noProof/>
                <w:sz w:val="22"/>
                <w:lang w:eastAsia="en-AU"/>
              </w:rPr>
              <w:tab/>
            </w:r>
            <w:r w:rsidRPr="007B6130">
              <w:rPr>
                <w:rStyle w:val="Hyperlink"/>
                <w:noProof/>
              </w:rPr>
              <w:t>Pharmacokinetics</w:t>
            </w:r>
            <w:r>
              <w:rPr>
                <w:noProof/>
                <w:webHidden/>
              </w:rPr>
              <w:tab/>
            </w:r>
            <w:r>
              <w:rPr>
                <w:noProof/>
                <w:webHidden/>
              </w:rPr>
              <w:fldChar w:fldCharType="begin"/>
            </w:r>
            <w:r>
              <w:rPr>
                <w:noProof/>
                <w:webHidden/>
              </w:rPr>
              <w:instrText xml:space="preserve"> PAGEREF _Toc464136255 \h </w:instrText>
            </w:r>
            <w:r>
              <w:rPr>
                <w:noProof/>
                <w:webHidden/>
              </w:rPr>
            </w:r>
            <w:r>
              <w:rPr>
                <w:noProof/>
                <w:webHidden/>
              </w:rPr>
              <w:fldChar w:fldCharType="separate"/>
            </w:r>
            <w:r>
              <w:rPr>
                <w:noProof/>
                <w:webHidden/>
              </w:rPr>
              <w:t>14</w:t>
            </w:r>
            <w:r>
              <w:rPr>
                <w:noProof/>
                <w:webHidden/>
              </w:rPr>
              <w:fldChar w:fldCharType="end"/>
            </w:r>
          </w:hyperlink>
        </w:p>
        <w:p w14:paraId="518670A5"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56" w:history="1">
            <w:r w:rsidRPr="007B6130">
              <w:rPr>
                <w:rStyle w:val="Hyperlink"/>
                <w:noProof/>
              </w:rPr>
              <w:t>4.1.</w:t>
            </w:r>
            <w:r>
              <w:rPr>
                <w:rFonts w:asciiTheme="minorHAnsi" w:eastAsiaTheme="minorEastAsia" w:hAnsiTheme="minorHAnsi" w:cstheme="minorBidi"/>
                <w:noProof/>
                <w:lang w:eastAsia="en-AU"/>
              </w:rPr>
              <w:tab/>
            </w:r>
            <w:r w:rsidRPr="007B6130">
              <w:rPr>
                <w:rStyle w:val="Hyperlink"/>
                <w:noProof/>
              </w:rPr>
              <w:t>Studies providing pharmacokinetic data</w:t>
            </w:r>
            <w:r>
              <w:rPr>
                <w:noProof/>
                <w:webHidden/>
              </w:rPr>
              <w:tab/>
            </w:r>
            <w:r>
              <w:rPr>
                <w:noProof/>
                <w:webHidden/>
              </w:rPr>
              <w:fldChar w:fldCharType="begin"/>
            </w:r>
            <w:r>
              <w:rPr>
                <w:noProof/>
                <w:webHidden/>
              </w:rPr>
              <w:instrText xml:space="preserve"> PAGEREF _Toc464136256 \h </w:instrText>
            </w:r>
            <w:r>
              <w:rPr>
                <w:noProof/>
                <w:webHidden/>
              </w:rPr>
            </w:r>
            <w:r>
              <w:rPr>
                <w:noProof/>
                <w:webHidden/>
              </w:rPr>
              <w:fldChar w:fldCharType="separate"/>
            </w:r>
            <w:r>
              <w:rPr>
                <w:noProof/>
                <w:webHidden/>
              </w:rPr>
              <w:t>14</w:t>
            </w:r>
            <w:r>
              <w:rPr>
                <w:noProof/>
                <w:webHidden/>
              </w:rPr>
              <w:fldChar w:fldCharType="end"/>
            </w:r>
          </w:hyperlink>
        </w:p>
        <w:p w14:paraId="2D9C4714"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57" w:history="1">
            <w:r w:rsidRPr="007B6130">
              <w:rPr>
                <w:rStyle w:val="Hyperlink"/>
                <w:noProof/>
              </w:rPr>
              <w:t>4.2.</w:t>
            </w:r>
            <w:r>
              <w:rPr>
                <w:rFonts w:asciiTheme="minorHAnsi" w:eastAsiaTheme="minorEastAsia" w:hAnsiTheme="minorHAnsi" w:cstheme="minorBidi"/>
                <w:noProof/>
                <w:lang w:eastAsia="en-AU"/>
              </w:rPr>
              <w:tab/>
            </w:r>
            <w:r w:rsidRPr="007B6130">
              <w:rPr>
                <w:rStyle w:val="Hyperlink"/>
                <w:noProof/>
              </w:rPr>
              <w:t>Summary of pharmacokinetics</w:t>
            </w:r>
            <w:r>
              <w:rPr>
                <w:noProof/>
                <w:webHidden/>
              </w:rPr>
              <w:tab/>
            </w:r>
            <w:r>
              <w:rPr>
                <w:noProof/>
                <w:webHidden/>
              </w:rPr>
              <w:fldChar w:fldCharType="begin"/>
            </w:r>
            <w:r>
              <w:rPr>
                <w:noProof/>
                <w:webHidden/>
              </w:rPr>
              <w:instrText xml:space="preserve"> PAGEREF _Toc464136257 \h </w:instrText>
            </w:r>
            <w:r>
              <w:rPr>
                <w:noProof/>
                <w:webHidden/>
              </w:rPr>
            </w:r>
            <w:r>
              <w:rPr>
                <w:noProof/>
                <w:webHidden/>
              </w:rPr>
              <w:fldChar w:fldCharType="separate"/>
            </w:r>
            <w:r>
              <w:rPr>
                <w:noProof/>
                <w:webHidden/>
              </w:rPr>
              <w:t>15</w:t>
            </w:r>
            <w:r>
              <w:rPr>
                <w:noProof/>
                <w:webHidden/>
              </w:rPr>
              <w:fldChar w:fldCharType="end"/>
            </w:r>
          </w:hyperlink>
        </w:p>
        <w:p w14:paraId="5F5F9BA3"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58" w:history="1">
            <w:r w:rsidRPr="007B6130">
              <w:rPr>
                <w:rStyle w:val="Hyperlink"/>
                <w:noProof/>
              </w:rPr>
              <w:t>4.3.</w:t>
            </w:r>
            <w:r>
              <w:rPr>
                <w:rFonts w:asciiTheme="minorHAnsi" w:eastAsiaTheme="minorEastAsia" w:hAnsiTheme="minorHAnsi" w:cstheme="minorBidi"/>
                <w:noProof/>
                <w:lang w:eastAsia="en-AU"/>
              </w:rPr>
              <w:tab/>
            </w:r>
            <w:r w:rsidRPr="007B6130">
              <w:rPr>
                <w:rStyle w:val="Hyperlink"/>
                <w:noProof/>
              </w:rPr>
              <w:t>Evaluator’s overall conclusions on pharmacokinetics</w:t>
            </w:r>
            <w:r>
              <w:rPr>
                <w:noProof/>
                <w:webHidden/>
              </w:rPr>
              <w:tab/>
            </w:r>
            <w:r>
              <w:rPr>
                <w:noProof/>
                <w:webHidden/>
              </w:rPr>
              <w:fldChar w:fldCharType="begin"/>
            </w:r>
            <w:r>
              <w:rPr>
                <w:noProof/>
                <w:webHidden/>
              </w:rPr>
              <w:instrText xml:space="preserve"> PAGEREF _Toc464136258 \h </w:instrText>
            </w:r>
            <w:r>
              <w:rPr>
                <w:noProof/>
                <w:webHidden/>
              </w:rPr>
            </w:r>
            <w:r>
              <w:rPr>
                <w:noProof/>
                <w:webHidden/>
              </w:rPr>
              <w:fldChar w:fldCharType="separate"/>
            </w:r>
            <w:r>
              <w:rPr>
                <w:noProof/>
                <w:webHidden/>
              </w:rPr>
              <w:t>15</w:t>
            </w:r>
            <w:r>
              <w:rPr>
                <w:noProof/>
                <w:webHidden/>
              </w:rPr>
              <w:fldChar w:fldCharType="end"/>
            </w:r>
          </w:hyperlink>
        </w:p>
        <w:p w14:paraId="71E2A017"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59" w:history="1">
            <w:r w:rsidRPr="007B6130">
              <w:rPr>
                <w:rStyle w:val="Hyperlink"/>
                <w:noProof/>
              </w:rPr>
              <w:t>5.</w:t>
            </w:r>
            <w:r>
              <w:rPr>
                <w:rFonts w:asciiTheme="minorHAnsi" w:eastAsiaTheme="minorEastAsia" w:hAnsiTheme="minorHAnsi" w:cstheme="minorBidi"/>
                <w:b w:val="0"/>
                <w:noProof/>
                <w:sz w:val="22"/>
                <w:lang w:eastAsia="en-AU"/>
              </w:rPr>
              <w:tab/>
            </w:r>
            <w:r w:rsidRPr="007B6130">
              <w:rPr>
                <w:rStyle w:val="Hyperlink"/>
                <w:noProof/>
              </w:rPr>
              <w:t>Pharmacodynamics</w:t>
            </w:r>
            <w:r>
              <w:rPr>
                <w:noProof/>
                <w:webHidden/>
              </w:rPr>
              <w:tab/>
            </w:r>
            <w:r>
              <w:rPr>
                <w:noProof/>
                <w:webHidden/>
              </w:rPr>
              <w:fldChar w:fldCharType="begin"/>
            </w:r>
            <w:r>
              <w:rPr>
                <w:noProof/>
                <w:webHidden/>
              </w:rPr>
              <w:instrText xml:space="preserve"> PAGEREF _Toc464136259 \h </w:instrText>
            </w:r>
            <w:r>
              <w:rPr>
                <w:noProof/>
                <w:webHidden/>
              </w:rPr>
            </w:r>
            <w:r>
              <w:rPr>
                <w:noProof/>
                <w:webHidden/>
              </w:rPr>
              <w:fldChar w:fldCharType="separate"/>
            </w:r>
            <w:r>
              <w:rPr>
                <w:noProof/>
                <w:webHidden/>
              </w:rPr>
              <w:t>15</w:t>
            </w:r>
            <w:r>
              <w:rPr>
                <w:noProof/>
                <w:webHidden/>
              </w:rPr>
              <w:fldChar w:fldCharType="end"/>
            </w:r>
          </w:hyperlink>
        </w:p>
        <w:p w14:paraId="1E24976E"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60" w:history="1">
            <w:r w:rsidRPr="007B6130">
              <w:rPr>
                <w:rStyle w:val="Hyperlink"/>
                <w:noProof/>
              </w:rPr>
              <w:t>5.1.</w:t>
            </w:r>
            <w:r>
              <w:rPr>
                <w:rFonts w:asciiTheme="minorHAnsi" w:eastAsiaTheme="minorEastAsia" w:hAnsiTheme="minorHAnsi" w:cstheme="minorBidi"/>
                <w:noProof/>
                <w:lang w:eastAsia="en-AU"/>
              </w:rPr>
              <w:tab/>
            </w:r>
            <w:r w:rsidRPr="007B6130">
              <w:rPr>
                <w:rStyle w:val="Hyperlink"/>
                <w:noProof/>
              </w:rPr>
              <w:t>Studies providing pharmacodynamic data</w:t>
            </w:r>
            <w:r>
              <w:rPr>
                <w:noProof/>
                <w:webHidden/>
              </w:rPr>
              <w:tab/>
            </w:r>
            <w:r>
              <w:rPr>
                <w:noProof/>
                <w:webHidden/>
              </w:rPr>
              <w:fldChar w:fldCharType="begin"/>
            </w:r>
            <w:r>
              <w:rPr>
                <w:noProof/>
                <w:webHidden/>
              </w:rPr>
              <w:instrText xml:space="preserve"> PAGEREF _Toc464136260 \h </w:instrText>
            </w:r>
            <w:r>
              <w:rPr>
                <w:noProof/>
                <w:webHidden/>
              </w:rPr>
            </w:r>
            <w:r>
              <w:rPr>
                <w:noProof/>
                <w:webHidden/>
              </w:rPr>
              <w:fldChar w:fldCharType="separate"/>
            </w:r>
            <w:r>
              <w:rPr>
                <w:noProof/>
                <w:webHidden/>
              </w:rPr>
              <w:t>15</w:t>
            </w:r>
            <w:r>
              <w:rPr>
                <w:noProof/>
                <w:webHidden/>
              </w:rPr>
              <w:fldChar w:fldCharType="end"/>
            </w:r>
          </w:hyperlink>
        </w:p>
        <w:p w14:paraId="7CD22136"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61" w:history="1">
            <w:r w:rsidRPr="007B6130">
              <w:rPr>
                <w:rStyle w:val="Hyperlink"/>
                <w:noProof/>
              </w:rPr>
              <w:t>5.2.</w:t>
            </w:r>
            <w:r>
              <w:rPr>
                <w:rFonts w:asciiTheme="minorHAnsi" w:eastAsiaTheme="minorEastAsia" w:hAnsiTheme="minorHAnsi" w:cstheme="minorBidi"/>
                <w:noProof/>
                <w:lang w:eastAsia="en-AU"/>
              </w:rPr>
              <w:tab/>
            </w:r>
            <w:r w:rsidRPr="007B6130">
              <w:rPr>
                <w:rStyle w:val="Hyperlink"/>
                <w:noProof/>
              </w:rPr>
              <w:t>Summary of pharmacodynamics</w:t>
            </w:r>
            <w:r>
              <w:rPr>
                <w:noProof/>
                <w:webHidden/>
              </w:rPr>
              <w:tab/>
            </w:r>
            <w:r>
              <w:rPr>
                <w:noProof/>
                <w:webHidden/>
              </w:rPr>
              <w:fldChar w:fldCharType="begin"/>
            </w:r>
            <w:r>
              <w:rPr>
                <w:noProof/>
                <w:webHidden/>
              </w:rPr>
              <w:instrText xml:space="preserve"> PAGEREF _Toc464136261 \h </w:instrText>
            </w:r>
            <w:r>
              <w:rPr>
                <w:noProof/>
                <w:webHidden/>
              </w:rPr>
            </w:r>
            <w:r>
              <w:rPr>
                <w:noProof/>
                <w:webHidden/>
              </w:rPr>
              <w:fldChar w:fldCharType="separate"/>
            </w:r>
            <w:r>
              <w:rPr>
                <w:noProof/>
                <w:webHidden/>
              </w:rPr>
              <w:t>16</w:t>
            </w:r>
            <w:r>
              <w:rPr>
                <w:noProof/>
                <w:webHidden/>
              </w:rPr>
              <w:fldChar w:fldCharType="end"/>
            </w:r>
          </w:hyperlink>
        </w:p>
        <w:p w14:paraId="2451150C"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62" w:history="1">
            <w:r w:rsidRPr="007B6130">
              <w:rPr>
                <w:rStyle w:val="Hyperlink"/>
                <w:noProof/>
              </w:rPr>
              <w:t>5.3.</w:t>
            </w:r>
            <w:r>
              <w:rPr>
                <w:rFonts w:asciiTheme="minorHAnsi" w:eastAsiaTheme="minorEastAsia" w:hAnsiTheme="minorHAnsi" w:cstheme="minorBidi"/>
                <w:noProof/>
                <w:lang w:eastAsia="en-AU"/>
              </w:rPr>
              <w:tab/>
            </w:r>
            <w:r w:rsidRPr="007B6130">
              <w:rPr>
                <w:rStyle w:val="Hyperlink"/>
                <w:noProof/>
              </w:rPr>
              <w:t>Evaluator’s overall conclusions on pharmacodynamics</w:t>
            </w:r>
            <w:r>
              <w:rPr>
                <w:noProof/>
                <w:webHidden/>
              </w:rPr>
              <w:tab/>
            </w:r>
            <w:r>
              <w:rPr>
                <w:noProof/>
                <w:webHidden/>
              </w:rPr>
              <w:fldChar w:fldCharType="begin"/>
            </w:r>
            <w:r>
              <w:rPr>
                <w:noProof/>
                <w:webHidden/>
              </w:rPr>
              <w:instrText xml:space="preserve"> PAGEREF _Toc464136262 \h </w:instrText>
            </w:r>
            <w:r>
              <w:rPr>
                <w:noProof/>
                <w:webHidden/>
              </w:rPr>
            </w:r>
            <w:r>
              <w:rPr>
                <w:noProof/>
                <w:webHidden/>
              </w:rPr>
              <w:fldChar w:fldCharType="separate"/>
            </w:r>
            <w:r>
              <w:rPr>
                <w:noProof/>
                <w:webHidden/>
              </w:rPr>
              <w:t>16</w:t>
            </w:r>
            <w:r>
              <w:rPr>
                <w:noProof/>
                <w:webHidden/>
              </w:rPr>
              <w:fldChar w:fldCharType="end"/>
            </w:r>
          </w:hyperlink>
        </w:p>
        <w:p w14:paraId="55A12D92"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63" w:history="1">
            <w:r w:rsidRPr="007B6130">
              <w:rPr>
                <w:rStyle w:val="Hyperlink"/>
                <w:noProof/>
              </w:rPr>
              <w:t>6.</w:t>
            </w:r>
            <w:r>
              <w:rPr>
                <w:rFonts w:asciiTheme="minorHAnsi" w:eastAsiaTheme="minorEastAsia" w:hAnsiTheme="minorHAnsi" w:cstheme="minorBidi"/>
                <w:b w:val="0"/>
                <w:noProof/>
                <w:sz w:val="22"/>
                <w:lang w:eastAsia="en-AU"/>
              </w:rPr>
              <w:tab/>
            </w:r>
            <w:r w:rsidRPr="007B6130">
              <w:rPr>
                <w:rStyle w:val="Hyperlink"/>
                <w:noProof/>
              </w:rPr>
              <w:t>Dosage selection for the pivotal studies</w:t>
            </w:r>
            <w:r>
              <w:rPr>
                <w:noProof/>
                <w:webHidden/>
              </w:rPr>
              <w:tab/>
            </w:r>
            <w:r>
              <w:rPr>
                <w:noProof/>
                <w:webHidden/>
              </w:rPr>
              <w:fldChar w:fldCharType="begin"/>
            </w:r>
            <w:r>
              <w:rPr>
                <w:noProof/>
                <w:webHidden/>
              </w:rPr>
              <w:instrText xml:space="preserve"> PAGEREF _Toc464136263 \h </w:instrText>
            </w:r>
            <w:r>
              <w:rPr>
                <w:noProof/>
                <w:webHidden/>
              </w:rPr>
            </w:r>
            <w:r>
              <w:rPr>
                <w:noProof/>
                <w:webHidden/>
              </w:rPr>
              <w:fldChar w:fldCharType="separate"/>
            </w:r>
            <w:r>
              <w:rPr>
                <w:noProof/>
                <w:webHidden/>
              </w:rPr>
              <w:t>16</w:t>
            </w:r>
            <w:r>
              <w:rPr>
                <w:noProof/>
                <w:webHidden/>
              </w:rPr>
              <w:fldChar w:fldCharType="end"/>
            </w:r>
          </w:hyperlink>
        </w:p>
        <w:p w14:paraId="235E2D6E"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64" w:history="1">
            <w:r w:rsidRPr="007B6130">
              <w:rPr>
                <w:rStyle w:val="Hyperlink"/>
                <w:noProof/>
              </w:rPr>
              <w:t>7.</w:t>
            </w:r>
            <w:r>
              <w:rPr>
                <w:rFonts w:asciiTheme="minorHAnsi" w:eastAsiaTheme="minorEastAsia" w:hAnsiTheme="minorHAnsi" w:cstheme="minorBidi"/>
                <w:b w:val="0"/>
                <w:noProof/>
                <w:sz w:val="22"/>
                <w:lang w:eastAsia="en-AU"/>
              </w:rPr>
              <w:tab/>
            </w:r>
            <w:r w:rsidRPr="007B6130">
              <w:rPr>
                <w:rStyle w:val="Hyperlink"/>
                <w:noProof/>
              </w:rPr>
              <w:t>Clinical efficacy</w:t>
            </w:r>
            <w:r>
              <w:rPr>
                <w:noProof/>
                <w:webHidden/>
              </w:rPr>
              <w:tab/>
            </w:r>
            <w:r>
              <w:rPr>
                <w:noProof/>
                <w:webHidden/>
              </w:rPr>
              <w:fldChar w:fldCharType="begin"/>
            </w:r>
            <w:r>
              <w:rPr>
                <w:noProof/>
                <w:webHidden/>
              </w:rPr>
              <w:instrText xml:space="preserve"> PAGEREF _Toc464136264 \h </w:instrText>
            </w:r>
            <w:r>
              <w:rPr>
                <w:noProof/>
                <w:webHidden/>
              </w:rPr>
            </w:r>
            <w:r>
              <w:rPr>
                <w:noProof/>
                <w:webHidden/>
              </w:rPr>
              <w:fldChar w:fldCharType="separate"/>
            </w:r>
            <w:r>
              <w:rPr>
                <w:noProof/>
                <w:webHidden/>
              </w:rPr>
              <w:t>16</w:t>
            </w:r>
            <w:r>
              <w:rPr>
                <w:noProof/>
                <w:webHidden/>
              </w:rPr>
              <w:fldChar w:fldCharType="end"/>
            </w:r>
          </w:hyperlink>
        </w:p>
        <w:p w14:paraId="6F01A44F"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65" w:history="1">
            <w:r w:rsidRPr="007B6130">
              <w:rPr>
                <w:rStyle w:val="Hyperlink"/>
                <w:noProof/>
              </w:rPr>
              <w:t>7.1.</w:t>
            </w:r>
            <w:r>
              <w:rPr>
                <w:rFonts w:asciiTheme="minorHAnsi" w:eastAsiaTheme="minorEastAsia" w:hAnsiTheme="minorHAnsi" w:cstheme="minorBidi"/>
                <w:noProof/>
                <w:lang w:eastAsia="en-AU"/>
              </w:rPr>
              <w:tab/>
            </w:r>
            <w:r w:rsidRPr="007B6130">
              <w:rPr>
                <w:rStyle w:val="Hyperlink"/>
                <w:noProof/>
              </w:rPr>
              <w:t>Subcutaneous route and formulation</w:t>
            </w:r>
            <w:r>
              <w:rPr>
                <w:noProof/>
                <w:webHidden/>
              </w:rPr>
              <w:tab/>
            </w:r>
            <w:r>
              <w:rPr>
                <w:noProof/>
                <w:webHidden/>
              </w:rPr>
              <w:fldChar w:fldCharType="begin"/>
            </w:r>
            <w:r>
              <w:rPr>
                <w:noProof/>
                <w:webHidden/>
              </w:rPr>
              <w:instrText xml:space="preserve"> PAGEREF _Toc464136265 \h </w:instrText>
            </w:r>
            <w:r>
              <w:rPr>
                <w:noProof/>
                <w:webHidden/>
              </w:rPr>
            </w:r>
            <w:r>
              <w:rPr>
                <w:noProof/>
                <w:webHidden/>
              </w:rPr>
              <w:fldChar w:fldCharType="separate"/>
            </w:r>
            <w:r>
              <w:rPr>
                <w:noProof/>
                <w:webHidden/>
              </w:rPr>
              <w:t>16</w:t>
            </w:r>
            <w:r>
              <w:rPr>
                <w:noProof/>
                <w:webHidden/>
              </w:rPr>
              <w:fldChar w:fldCharType="end"/>
            </w:r>
          </w:hyperlink>
        </w:p>
        <w:p w14:paraId="2D095240"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66" w:history="1">
            <w:r w:rsidRPr="007B6130">
              <w:rPr>
                <w:rStyle w:val="Hyperlink"/>
                <w:noProof/>
              </w:rPr>
              <w:t>7.2.</w:t>
            </w:r>
            <w:r>
              <w:rPr>
                <w:rFonts w:asciiTheme="minorHAnsi" w:eastAsiaTheme="minorEastAsia" w:hAnsiTheme="minorHAnsi" w:cstheme="minorBidi"/>
                <w:noProof/>
                <w:lang w:eastAsia="en-AU"/>
              </w:rPr>
              <w:tab/>
            </w:r>
            <w:r w:rsidRPr="007B6130">
              <w:rPr>
                <w:rStyle w:val="Hyperlink"/>
                <w:noProof/>
              </w:rPr>
              <w:t>Other efficacy studies</w:t>
            </w:r>
            <w:r>
              <w:rPr>
                <w:noProof/>
                <w:webHidden/>
              </w:rPr>
              <w:tab/>
            </w:r>
            <w:r>
              <w:rPr>
                <w:noProof/>
                <w:webHidden/>
              </w:rPr>
              <w:fldChar w:fldCharType="begin"/>
            </w:r>
            <w:r>
              <w:rPr>
                <w:noProof/>
                <w:webHidden/>
              </w:rPr>
              <w:instrText xml:space="preserve"> PAGEREF _Toc464136266 \h </w:instrText>
            </w:r>
            <w:r>
              <w:rPr>
                <w:noProof/>
                <w:webHidden/>
              </w:rPr>
            </w:r>
            <w:r>
              <w:rPr>
                <w:noProof/>
                <w:webHidden/>
              </w:rPr>
              <w:fldChar w:fldCharType="separate"/>
            </w:r>
            <w:r>
              <w:rPr>
                <w:noProof/>
                <w:webHidden/>
              </w:rPr>
              <w:t>25</w:t>
            </w:r>
            <w:r>
              <w:rPr>
                <w:noProof/>
                <w:webHidden/>
              </w:rPr>
              <w:fldChar w:fldCharType="end"/>
            </w:r>
          </w:hyperlink>
        </w:p>
        <w:p w14:paraId="59A53C23"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67" w:history="1">
            <w:r w:rsidRPr="007B6130">
              <w:rPr>
                <w:rStyle w:val="Hyperlink"/>
                <w:noProof/>
              </w:rPr>
              <w:t>7.3.</w:t>
            </w:r>
            <w:r>
              <w:rPr>
                <w:rFonts w:asciiTheme="minorHAnsi" w:eastAsiaTheme="minorEastAsia" w:hAnsiTheme="minorHAnsi" w:cstheme="minorBidi"/>
                <w:noProof/>
                <w:lang w:eastAsia="en-AU"/>
              </w:rPr>
              <w:tab/>
            </w:r>
            <w:r w:rsidRPr="007B6130">
              <w:rPr>
                <w:rStyle w:val="Hyperlink"/>
                <w:noProof/>
              </w:rPr>
              <w:t>Evaluator’s conclusions on clinical efficacy</w:t>
            </w:r>
            <w:r>
              <w:rPr>
                <w:noProof/>
                <w:webHidden/>
              </w:rPr>
              <w:tab/>
            </w:r>
            <w:r>
              <w:rPr>
                <w:noProof/>
                <w:webHidden/>
              </w:rPr>
              <w:fldChar w:fldCharType="begin"/>
            </w:r>
            <w:r>
              <w:rPr>
                <w:noProof/>
                <w:webHidden/>
              </w:rPr>
              <w:instrText xml:space="preserve"> PAGEREF _Toc464136267 \h </w:instrText>
            </w:r>
            <w:r>
              <w:rPr>
                <w:noProof/>
                <w:webHidden/>
              </w:rPr>
            </w:r>
            <w:r>
              <w:rPr>
                <w:noProof/>
                <w:webHidden/>
              </w:rPr>
              <w:fldChar w:fldCharType="separate"/>
            </w:r>
            <w:r>
              <w:rPr>
                <w:noProof/>
                <w:webHidden/>
              </w:rPr>
              <w:t>26</w:t>
            </w:r>
            <w:r>
              <w:rPr>
                <w:noProof/>
                <w:webHidden/>
              </w:rPr>
              <w:fldChar w:fldCharType="end"/>
            </w:r>
          </w:hyperlink>
        </w:p>
        <w:p w14:paraId="3300F138"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68" w:history="1">
            <w:r w:rsidRPr="007B6130">
              <w:rPr>
                <w:rStyle w:val="Hyperlink"/>
                <w:noProof/>
              </w:rPr>
              <w:t>8.</w:t>
            </w:r>
            <w:r>
              <w:rPr>
                <w:rFonts w:asciiTheme="minorHAnsi" w:eastAsiaTheme="minorEastAsia" w:hAnsiTheme="minorHAnsi" w:cstheme="minorBidi"/>
                <w:b w:val="0"/>
                <w:noProof/>
                <w:sz w:val="22"/>
                <w:lang w:eastAsia="en-AU"/>
              </w:rPr>
              <w:tab/>
            </w:r>
            <w:r w:rsidRPr="007B6130">
              <w:rPr>
                <w:rStyle w:val="Hyperlink"/>
                <w:noProof/>
              </w:rPr>
              <w:t>Clinical safety</w:t>
            </w:r>
            <w:r>
              <w:rPr>
                <w:noProof/>
                <w:webHidden/>
              </w:rPr>
              <w:tab/>
            </w:r>
            <w:r>
              <w:rPr>
                <w:noProof/>
                <w:webHidden/>
              </w:rPr>
              <w:fldChar w:fldCharType="begin"/>
            </w:r>
            <w:r>
              <w:rPr>
                <w:noProof/>
                <w:webHidden/>
              </w:rPr>
              <w:instrText xml:space="preserve"> PAGEREF _Toc464136268 \h </w:instrText>
            </w:r>
            <w:r>
              <w:rPr>
                <w:noProof/>
                <w:webHidden/>
              </w:rPr>
            </w:r>
            <w:r>
              <w:rPr>
                <w:noProof/>
                <w:webHidden/>
              </w:rPr>
              <w:fldChar w:fldCharType="separate"/>
            </w:r>
            <w:r>
              <w:rPr>
                <w:noProof/>
                <w:webHidden/>
              </w:rPr>
              <w:t>27</w:t>
            </w:r>
            <w:r>
              <w:rPr>
                <w:noProof/>
                <w:webHidden/>
              </w:rPr>
              <w:fldChar w:fldCharType="end"/>
            </w:r>
          </w:hyperlink>
        </w:p>
        <w:p w14:paraId="4632B767"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69" w:history="1">
            <w:r w:rsidRPr="007B6130">
              <w:rPr>
                <w:rStyle w:val="Hyperlink"/>
                <w:noProof/>
              </w:rPr>
              <w:t>8.1.</w:t>
            </w:r>
            <w:r>
              <w:rPr>
                <w:rFonts w:asciiTheme="minorHAnsi" w:eastAsiaTheme="minorEastAsia" w:hAnsiTheme="minorHAnsi" w:cstheme="minorBidi"/>
                <w:noProof/>
                <w:lang w:eastAsia="en-AU"/>
              </w:rPr>
              <w:tab/>
            </w:r>
            <w:r w:rsidRPr="007B6130">
              <w:rPr>
                <w:rStyle w:val="Hyperlink"/>
                <w:noProof/>
              </w:rPr>
              <w:t>Studies providing evaluable safety data</w:t>
            </w:r>
            <w:r>
              <w:rPr>
                <w:noProof/>
                <w:webHidden/>
              </w:rPr>
              <w:tab/>
            </w:r>
            <w:r>
              <w:rPr>
                <w:noProof/>
                <w:webHidden/>
              </w:rPr>
              <w:fldChar w:fldCharType="begin"/>
            </w:r>
            <w:r>
              <w:rPr>
                <w:noProof/>
                <w:webHidden/>
              </w:rPr>
              <w:instrText xml:space="preserve"> PAGEREF _Toc464136269 \h </w:instrText>
            </w:r>
            <w:r>
              <w:rPr>
                <w:noProof/>
                <w:webHidden/>
              </w:rPr>
            </w:r>
            <w:r>
              <w:rPr>
                <w:noProof/>
                <w:webHidden/>
              </w:rPr>
              <w:fldChar w:fldCharType="separate"/>
            </w:r>
            <w:r>
              <w:rPr>
                <w:noProof/>
                <w:webHidden/>
              </w:rPr>
              <w:t>29</w:t>
            </w:r>
            <w:r>
              <w:rPr>
                <w:noProof/>
                <w:webHidden/>
              </w:rPr>
              <w:fldChar w:fldCharType="end"/>
            </w:r>
          </w:hyperlink>
        </w:p>
        <w:p w14:paraId="22B2BDE4"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70" w:history="1">
            <w:r w:rsidRPr="007B6130">
              <w:rPr>
                <w:rStyle w:val="Hyperlink"/>
                <w:noProof/>
              </w:rPr>
              <w:t>8.2.</w:t>
            </w:r>
            <w:r>
              <w:rPr>
                <w:rFonts w:asciiTheme="minorHAnsi" w:eastAsiaTheme="minorEastAsia" w:hAnsiTheme="minorHAnsi" w:cstheme="minorBidi"/>
                <w:noProof/>
                <w:lang w:eastAsia="en-AU"/>
              </w:rPr>
              <w:tab/>
            </w:r>
            <w:r w:rsidRPr="007B6130">
              <w:rPr>
                <w:rStyle w:val="Hyperlink"/>
                <w:noProof/>
              </w:rPr>
              <w:t>Patient exposure</w:t>
            </w:r>
            <w:r>
              <w:rPr>
                <w:noProof/>
                <w:webHidden/>
              </w:rPr>
              <w:tab/>
            </w:r>
            <w:r>
              <w:rPr>
                <w:noProof/>
                <w:webHidden/>
              </w:rPr>
              <w:fldChar w:fldCharType="begin"/>
            </w:r>
            <w:r>
              <w:rPr>
                <w:noProof/>
                <w:webHidden/>
              </w:rPr>
              <w:instrText xml:space="preserve"> PAGEREF _Toc464136270 \h </w:instrText>
            </w:r>
            <w:r>
              <w:rPr>
                <w:noProof/>
                <w:webHidden/>
              </w:rPr>
            </w:r>
            <w:r>
              <w:rPr>
                <w:noProof/>
                <w:webHidden/>
              </w:rPr>
              <w:fldChar w:fldCharType="separate"/>
            </w:r>
            <w:r>
              <w:rPr>
                <w:noProof/>
                <w:webHidden/>
              </w:rPr>
              <w:t>29</w:t>
            </w:r>
            <w:r>
              <w:rPr>
                <w:noProof/>
                <w:webHidden/>
              </w:rPr>
              <w:fldChar w:fldCharType="end"/>
            </w:r>
          </w:hyperlink>
        </w:p>
        <w:p w14:paraId="3E2B94A4"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71" w:history="1">
            <w:r w:rsidRPr="007B6130">
              <w:rPr>
                <w:rStyle w:val="Hyperlink"/>
                <w:noProof/>
              </w:rPr>
              <w:t>8.3.</w:t>
            </w:r>
            <w:r>
              <w:rPr>
                <w:rFonts w:asciiTheme="minorHAnsi" w:eastAsiaTheme="minorEastAsia" w:hAnsiTheme="minorHAnsi" w:cstheme="minorBidi"/>
                <w:noProof/>
                <w:lang w:eastAsia="en-AU"/>
              </w:rPr>
              <w:tab/>
            </w:r>
            <w:r w:rsidRPr="007B6130">
              <w:rPr>
                <w:rStyle w:val="Hyperlink"/>
                <w:noProof/>
              </w:rPr>
              <w:t>All adverse events irrespective of study treatment</w:t>
            </w:r>
            <w:r>
              <w:rPr>
                <w:noProof/>
                <w:webHidden/>
              </w:rPr>
              <w:tab/>
            </w:r>
            <w:r>
              <w:rPr>
                <w:noProof/>
                <w:webHidden/>
              </w:rPr>
              <w:fldChar w:fldCharType="begin"/>
            </w:r>
            <w:r>
              <w:rPr>
                <w:noProof/>
                <w:webHidden/>
              </w:rPr>
              <w:instrText xml:space="preserve"> PAGEREF _Toc464136271 \h </w:instrText>
            </w:r>
            <w:r>
              <w:rPr>
                <w:noProof/>
                <w:webHidden/>
              </w:rPr>
            </w:r>
            <w:r>
              <w:rPr>
                <w:noProof/>
                <w:webHidden/>
              </w:rPr>
              <w:fldChar w:fldCharType="separate"/>
            </w:r>
            <w:r>
              <w:rPr>
                <w:noProof/>
                <w:webHidden/>
              </w:rPr>
              <w:t>30</w:t>
            </w:r>
            <w:r>
              <w:rPr>
                <w:noProof/>
                <w:webHidden/>
              </w:rPr>
              <w:fldChar w:fldCharType="end"/>
            </w:r>
          </w:hyperlink>
        </w:p>
        <w:p w14:paraId="28F235FD"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72" w:history="1">
            <w:r w:rsidRPr="007B6130">
              <w:rPr>
                <w:rStyle w:val="Hyperlink"/>
                <w:noProof/>
              </w:rPr>
              <w:t>8.4.</w:t>
            </w:r>
            <w:r>
              <w:rPr>
                <w:rFonts w:asciiTheme="minorHAnsi" w:eastAsiaTheme="minorEastAsia" w:hAnsiTheme="minorHAnsi" w:cstheme="minorBidi"/>
                <w:noProof/>
                <w:lang w:eastAsia="en-AU"/>
              </w:rPr>
              <w:tab/>
            </w:r>
            <w:r w:rsidRPr="007B6130">
              <w:rPr>
                <w:rStyle w:val="Hyperlink"/>
                <w:noProof/>
              </w:rPr>
              <w:t>Treatment related adverse events (adverse drug reactions)</w:t>
            </w:r>
            <w:r>
              <w:rPr>
                <w:noProof/>
                <w:webHidden/>
              </w:rPr>
              <w:tab/>
            </w:r>
            <w:r>
              <w:rPr>
                <w:noProof/>
                <w:webHidden/>
              </w:rPr>
              <w:fldChar w:fldCharType="begin"/>
            </w:r>
            <w:r>
              <w:rPr>
                <w:noProof/>
                <w:webHidden/>
              </w:rPr>
              <w:instrText xml:space="preserve"> PAGEREF _Toc464136272 \h </w:instrText>
            </w:r>
            <w:r>
              <w:rPr>
                <w:noProof/>
                <w:webHidden/>
              </w:rPr>
            </w:r>
            <w:r>
              <w:rPr>
                <w:noProof/>
                <w:webHidden/>
              </w:rPr>
              <w:fldChar w:fldCharType="separate"/>
            </w:r>
            <w:r>
              <w:rPr>
                <w:noProof/>
                <w:webHidden/>
              </w:rPr>
              <w:t>32</w:t>
            </w:r>
            <w:r>
              <w:rPr>
                <w:noProof/>
                <w:webHidden/>
              </w:rPr>
              <w:fldChar w:fldCharType="end"/>
            </w:r>
          </w:hyperlink>
        </w:p>
        <w:p w14:paraId="6F0DFFA7"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73" w:history="1">
            <w:r w:rsidRPr="007B6130">
              <w:rPr>
                <w:rStyle w:val="Hyperlink"/>
                <w:noProof/>
              </w:rPr>
              <w:t>8.5.</w:t>
            </w:r>
            <w:r>
              <w:rPr>
                <w:rFonts w:asciiTheme="minorHAnsi" w:eastAsiaTheme="minorEastAsia" w:hAnsiTheme="minorHAnsi" w:cstheme="minorBidi"/>
                <w:noProof/>
                <w:lang w:eastAsia="en-AU"/>
              </w:rPr>
              <w:tab/>
            </w:r>
            <w:r w:rsidRPr="007B6130">
              <w:rPr>
                <w:rStyle w:val="Hyperlink"/>
                <w:noProof/>
              </w:rPr>
              <w:t>Deaths and other serious adverse events</w:t>
            </w:r>
            <w:r>
              <w:rPr>
                <w:noProof/>
                <w:webHidden/>
              </w:rPr>
              <w:tab/>
            </w:r>
            <w:r>
              <w:rPr>
                <w:noProof/>
                <w:webHidden/>
              </w:rPr>
              <w:fldChar w:fldCharType="begin"/>
            </w:r>
            <w:r>
              <w:rPr>
                <w:noProof/>
                <w:webHidden/>
              </w:rPr>
              <w:instrText xml:space="preserve"> PAGEREF _Toc464136273 \h </w:instrText>
            </w:r>
            <w:r>
              <w:rPr>
                <w:noProof/>
                <w:webHidden/>
              </w:rPr>
            </w:r>
            <w:r>
              <w:rPr>
                <w:noProof/>
                <w:webHidden/>
              </w:rPr>
              <w:fldChar w:fldCharType="separate"/>
            </w:r>
            <w:r>
              <w:rPr>
                <w:noProof/>
                <w:webHidden/>
              </w:rPr>
              <w:t>32</w:t>
            </w:r>
            <w:r>
              <w:rPr>
                <w:noProof/>
                <w:webHidden/>
              </w:rPr>
              <w:fldChar w:fldCharType="end"/>
            </w:r>
          </w:hyperlink>
        </w:p>
        <w:p w14:paraId="07159438"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74" w:history="1">
            <w:r w:rsidRPr="007B6130">
              <w:rPr>
                <w:rStyle w:val="Hyperlink"/>
                <w:noProof/>
              </w:rPr>
              <w:t>8.6.</w:t>
            </w:r>
            <w:r>
              <w:rPr>
                <w:rFonts w:asciiTheme="minorHAnsi" w:eastAsiaTheme="minorEastAsia" w:hAnsiTheme="minorHAnsi" w:cstheme="minorBidi"/>
                <w:noProof/>
                <w:lang w:eastAsia="en-AU"/>
              </w:rPr>
              <w:tab/>
            </w:r>
            <w:r w:rsidRPr="007B6130">
              <w:rPr>
                <w:rStyle w:val="Hyperlink"/>
                <w:noProof/>
              </w:rPr>
              <w:t>Discontinuation due to adverse events</w:t>
            </w:r>
            <w:r>
              <w:rPr>
                <w:noProof/>
                <w:webHidden/>
              </w:rPr>
              <w:tab/>
            </w:r>
            <w:r>
              <w:rPr>
                <w:noProof/>
                <w:webHidden/>
              </w:rPr>
              <w:fldChar w:fldCharType="begin"/>
            </w:r>
            <w:r>
              <w:rPr>
                <w:noProof/>
                <w:webHidden/>
              </w:rPr>
              <w:instrText xml:space="preserve"> PAGEREF _Toc464136274 \h </w:instrText>
            </w:r>
            <w:r>
              <w:rPr>
                <w:noProof/>
                <w:webHidden/>
              </w:rPr>
            </w:r>
            <w:r>
              <w:rPr>
                <w:noProof/>
                <w:webHidden/>
              </w:rPr>
              <w:fldChar w:fldCharType="separate"/>
            </w:r>
            <w:r>
              <w:rPr>
                <w:noProof/>
                <w:webHidden/>
              </w:rPr>
              <w:t>33</w:t>
            </w:r>
            <w:r>
              <w:rPr>
                <w:noProof/>
                <w:webHidden/>
              </w:rPr>
              <w:fldChar w:fldCharType="end"/>
            </w:r>
          </w:hyperlink>
        </w:p>
        <w:p w14:paraId="61E3E70F"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75" w:history="1">
            <w:r w:rsidRPr="007B6130">
              <w:rPr>
                <w:rStyle w:val="Hyperlink"/>
                <w:noProof/>
              </w:rPr>
              <w:t>8.7.</w:t>
            </w:r>
            <w:r>
              <w:rPr>
                <w:rFonts w:asciiTheme="minorHAnsi" w:eastAsiaTheme="minorEastAsia" w:hAnsiTheme="minorHAnsi" w:cstheme="minorBidi"/>
                <w:noProof/>
                <w:lang w:eastAsia="en-AU"/>
              </w:rPr>
              <w:tab/>
            </w:r>
            <w:r w:rsidRPr="007B6130">
              <w:rPr>
                <w:rStyle w:val="Hyperlink"/>
                <w:noProof/>
              </w:rPr>
              <w:t>Adverse events of special interest</w:t>
            </w:r>
            <w:r>
              <w:rPr>
                <w:noProof/>
                <w:webHidden/>
              </w:rPr>
              <w:tab/>
            </w:r>
            <w:r>
              <w:rPr>
                <w:noProof/>
                <w:webHidden/>
              </w:rPr>
              <w:fldChar w:fldCharType="begin"/>
            </w:r>
            <w:r>
              <w:rPr>
                <w:noProof/>
                <w:webHidden/>
              </w:rPr>
              <w:instrText xml:space="preserve"> PAGEREF _Toc464136275 \h </w:instrText>
            </w:r>
            <w:r>
              <w:rPr>
                <w:noProof/>
                <w:webHidden/>
              </w:rPr>
            </w:r>
            <w:r>
              <w:rPr>
                <w:noProof/>
                <w:webHidden/>
              </w:rPr>
              <w:fldChar w:fldCharType="separate"/>
            </w:r>
            <w:r>
              <w:rPr>
                <w:noProof/>
                <w:webHidden/>
              </w:rPr>
              <w:t>34</w:t>
            </w:r>
            <w:r>
              <w:rPr>
                <w:noProof/>
                <w:webHidden/>
              </w:rPr>
              <w:fldChar w:fldCharType="end"/>
            </w:r>
          </w:hyperlink>
        </w:p>
        <w:p w14:paraId="7F24058F"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76" w:history="1">
            <w:r w:rsidRPr="007B6130">
              <w:rPr>
                <w:rStyle w:val="Hyperlink"/>
                <w:noProof/>
              </w:rPr>
              <w:t>8.8.</w:t>
            </w:r>
            <w:r>
              <w:rPr>
                <w:rFonts w:asciiTheme="minorHAnsi" w:eastAsiaTheme="minorEastAsia" w:hAnsiTheme="minorHAnsi" w:cstheme="minorBidi"/>
                <w:noProof/>
                <w:lang w:eastAsia="en-AU"/>
              </w:rPr>
              <w:tab/>
            </w:r>
            <w:r w:rsidRPr="007B6130">
              <w:rPr>
                <w:rStyle w:val="Hyperlink"/>
                <w:noProof/>
              </w:rPr>
              <w:t>Laboratory tests</w:t>
            </w:r>
            <w:r>
              <w:rPr>
                <w:noProof/>
                <w:webHidden/>
              </w:rPr>
              <w:tab/>
            </w:r>
            <w:r>
              <w:rPr>
                <w:noProof/>
                <w:webHidden/>
              </w:rPr>
              <w:fldChar w:fldCharType="begin"/>
            </w:r>
            <w:r>
              <w:rPr>
                <w:noProof/>
                <w:webHidden/>
              </w:rPr>
              <w:instrText xml:space="preserve"> PAGEREF _Toc464136276 \h </w:instrText>
            </w:r>
            <w:r>
              <w:rPr>
                <w:noProof/>
                <w:webHidden/>
              </w:rPr>
            </w:r>
            <w:r>
              <w:rPr>
                <w:noProof/>
                <w:webHidden/>
              </w:rPr>
              <w:fldChar w:fldCharType="separate"/>
            </w:r>
            <w:r>
              <w:rPr>
                <w:noProof/>
                <w:webHidden/>
              </w:rPr>
              <w:t>38</w:t>
            </w:r>
            <w:r>
              <w:rPr>
                <w:noProof/>
                <w:webHidden/>
              </w:rPr>
              <w:fldChar w:fldCharType="end"/>
            </w:r>
          </w:hyperlink>
        </w:p>
        <w:p w14:paraId="23F63A5C"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77" w:history="1">
            <w:r w:rsidRPr="007B6130">
              <w:rPr>
                <w:rStyle w:val="Hyperlink"/>
                <w:noProof/>
              </w:rPr>
              <w:t>8.9.</w:t>
            </w:r>
            <w:r>
              <w:rPr>
                <w:rFonts w:asciiTheme="minorHAnsi" w:eastAsiaTheme="minorEastAsia" w:hAnsiTheme="minorHAnsi" w:cstheme="minorBidi"/>
                <w:noProof/>
                <w:lang w:eastAsia="en-AU"/>
              </w:rPr>
              <w:tab/>
            </w:r>
            <w:r w:rsidRPr="007B6130">
              <w:rPr>
                <w:rStyle w:val="Hyperlink"/>
                <w:noProof/>
              </w:rPr>
              <w:t>Other reports</w:t>
            </w:r>
            <w:r>
              <w:rPr>
                <w:noProof/>
                <w:webHidden/>
              </w:rPr>
              <w:tab/>
            </w:r>
            <w:r>
              <w:rPr>
                <w:noProof/>
                <w:webHidden/>
              </w:rPr>
              <w:fldChar w:fldCharType="begin"/>
            </w:r>
            <w:r>
              <w:rPr>
                <w:noProof/>
                <w:webHidden/>
              </w:rPr>
              <w:instrText xml:space="preserve"> PAGEREF _Toc464136277 \h </w:instrText>
            </w:r>
            <w:r>
              <w:rPr>
                <w:noProof/>
                <w:webHidden/>
              </w:rPr>
            </w:r>
            <w:r>
              <w:rPr>
                <w:noProof/>
                <w:webHidden/>
              </w:rPr>
              <w:fldChar w:fldCharType="separate"/>
            </w:r>
            <w:r>
              <w:rPr>
                <w:noProof/>
                <w:webHidden/>
              </w:rPr>
              <w:t>39</w:t>
            </w:r>
            <w:r>
              <w:rPr>
                <w:noProof/>
                <w:webHidden/>
              </w:rPr>
              <w:fldChar w:fldCharType="end"/>
            </w:r>
          </w:hyperlink>
        </w:p>
        <w:p w14:paraId="38299531"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78" w:history="1">
            <w:r w:rsidRPr="007B6130">
              <w:rPr>
                <w:rStyle w:val="Hyperlink"/>
                <w:noProof/>
              </w:rPr>
              <w:t>8.10.</w:t>
            </w:r>
            <w:r>
              <w:rPr>
                <w:rFonts w:asciiTheme="minorHAnsi" w:eastAsiaTheme="minorEastAsia" w:hAnsiTheme="minorHAnsi" w:cstheme="minorBidi"/>
                <w:noProof/>
                <w:lang w:eastAsia="en-AU"/>
              </w:rPr>
              <w:tab/>
            </w:r>
            <w:r w:rsidRPr="007B6130">
              <w:rPr>
                <w:rStyle w:val="Hyperlink"/>
                <w:noProof/>
              </w:rPr>
              <w:t>Post-marketing experience</w:t>
            </w:r>
            <w:r>
              <w:rPr>
                <w:noProof/>
                <w:webHidden/>
              </w:rPr>
              <w:tab/>
            </w:r>
            <w:r>
              <w:rPr>
                <w:noProof/>
                <w:webHidden/>
              </w:rPr>
              <w:fldChar w:fldCharType="begin"/>
            </w:r>
            <w:r>
              <w:rPr>
                <w:noProof/>
                <w:webHidden/>
              </w:rPr>
              <w:instrText xml:space="preserve"> PAGEREF _Toc464136278 \h </w:instrText>
            </w:r>
            <w:r>
              <w:rPr>
                <w:noProof/>
                <w:webHidden/>
              </w:rPr>
            </w:r>
            <w:r>
              <w:rPr>
                <w:noProof/>
                <w:webHidden/>
              </w:rPr>
              <w:fldChar w:fldCharType="separate"/>
            </w:r>
            <w:r>
              <w:rPr>
                <w:noProof/>
                <w:webHidden/>
              </w:rPr>
              <w:t>45</w:t>
            </w:r>
            <w:r>
              <w:rPr>
                <w:noProof/>
                <w:webHidden/>
              </w:rPr>
              <w:fldChar w:fldCharType="end"/>
            </w:r>
          </w:hyperlink>
        </w:p>
        <w:p w14:paraId="2E4D545D"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79" w:history="1">
            <w:r w:rsidRPr="007B6130">
              <w:rPr>
                <w:rStyle w:val="Hyperlink"/>
                <w:noProof/>
              </w:rPr>
              <w:t>8.11.</w:t>
            </w:r>
            <w:r>
              <w:rPr>
                <w:rFonts w:asciiTheme="minorHAnsi" w:eastAsiaTheme="minorEastAsia" w:hAnsiTheme="minorHAnsi" w:cstheme="minorBidi"/>
                <w:noProof/>
                <w:lang w:eastAsia="en-AU"/>
              </w:rPr>
              <w:tab/>
            </w:r>
            <w:r w:rsidRPr="007B6130">
              <w:rPr>
                <w:rStyle w:val="Hyperlink"/>
                <w:noProof/>
              </w:rPr>
              <w:t>Safety of home-based therapy</w:t>
            </w:r>
            <w:r>
              <w:rPr>
                <w:noProof/>
                <w:webHidden/>
              </w:rPr>
              <w:tab/>
            </w:r>
            <w:r>
              <w:rPr>
                <w:noProof/>
                <w:webHidden/>
              </w:rPr>
              <w:fldChar w:fldCharType="begin"/>
            </w:r>
            <w:r>
              <w:rPr>
                <w:noProof/>
                <w:webHidden/>
              </w:rPr>
              <w:instrText xml:space="preserve"> PAGEREF _Toc464136279 \h </w:instrText>
            </w:r>
            <w:r>
              <w:rPr>
                <w:noProof/>
                <w:webHidden/>
              </w:rPr>
            </w:r>
            <w:r>
              <w:rPr>
                <w:noProof/>
                <w:webHidden/>
              </w:rPr>
              <w:fldChar w:fldCharType="separate"/>
            </w:r>
            <w:r>
              <w:rPr>
                <w:noProof/>
                <w:webHidden/>
              </w:rPr>
              <w:t>46</w:t>
            </w:r>
            <w:r>
              <w:rPr>
                <w:noProof/>
                <w:webHidden/>
              </w:rPr>
              <w:fldChar w:fldCharType="end"/>
            </w:r>
          </w:hyperlink>
        </w:p>
        <w:p w14:paraId="67AA4C46"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80" w:history="1">
            <w:r w:rsidRPr="007B6130">
              <w:rPr>
                <w:rStyle w:val="Hyperlink"/>
                <w:noProof/>
              </w:rPr>
              <w:t>8.12.</w:t>
            </w:r>
            <w:r>
              <w:rPr>
                <w:rFonts w:asciiTheme="minorHAnsi" w:eastAsiaTheme="minorEastAsia" w:hAnsiTheme="minorHAnsi" w:cstheme="minorBidi"/>
                <w:noProof/>
                <w:lang w:eastAsia="en-AU"/>
              </w:rPr>
              <w:tab/>
            </w:r>
            <w:r w:rsidRPr="007B6130">
              <w:rPr>
                <w:rStyle w:val="Hyperlink"/>
                <w:noProof/>
              </w:rPr>
              <w:t>Risk management plan</w:t>
            </w:r>
            <w:r>
              <w:rPr>
                <w:noProof/>
                <w:webHidden/>
              </w:rPr>
              <w:tab/>
            </w:r>
            <w:r>
              <w:rPr>
                <w:noProof/>
                <w:webHidden/>
              </w:rPr>
              <w:fldChar w:fldCharType="begin"/>
            </w:r>
            <w:r>
              <w:rPr>
                <w:noProof/>
                <w:webHidden/>
              </w:rPr>
              <w:instrText xml:space="preserve"> PAGEREF _Toc464136280 \h </w:instrText>
            </w:r>
            <w:r>
              <w:rPr>
                <w:noProof/>
                <w:webHidden/>
              </w:rPr>
            </w:r>
            <w:r>
              <w:rPr>
                <w:noProof/>
                <w:webHidden/>
              </w:rPr>
              <w:fldChar w:fldCharType="separate"/>
            </w:r>
            <w:r>
              <w:rPr>
                <w:noProof/>
                <w:webHidden/>
              </w:rPr>
              <w:t>46</w:t>
            </w:r>
            <w:r>
              <w:rPr>
                <w:noProof/>
                <w:webHidden/>
              </w:rPr>
              <w:fldChar w:fldCharType="end"/>
            </w:r>
          </w:hyperlink>
        </w:p>
        <w:p w14:paraId="0B3D0721"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81" w:history="1">
            <w:r w:rsidRPr="007B6130">
              <w:rPr>
                <w:rStyle w:val="Hyperlink"/>
                <w:noProof/>
              </w:rPr>
              <w:t>8.13.</w:t>
            </w:r>
            <w:r>
              <w:rPr>
                <w:rFonts w:asciiTheme="minorHAnsi" w:eastAsiaTheme="minorEastAsia" w:hAnsiTheme="minorHAnsi" w:cstheme="minorBidi"/>
                <w:noProof/>
                <w:lang w:eastAsia="en-AU"/>
              </w:rPr>
              <w:tab/>
            </w:r>
            <w:r w:rsidRPr="007B6130">
              <w:rPr>
                <w:rStyle w:val="Hyperlink"/>
                <w:noProof/>
              </w:rPr>
              <w:t>Evaluator’s overall conclusions on clinical safety</w:t>
            </w:r>
            <w:r>
              <w:rPr>
                <w:noProof/>
                <w:webHidden/>
              </w:rPr>
              <w:tab/>
            </w:r>
            <w:r>
              <w:rPr>
                <w:noProof/>
                <w:webHidden/>
              </w:rPr>
              <w:fldChar w:fldCharType="begin"/>
            </w:r>
            <w:r>
              <w:rPr>
                <w:noProof/>
                <w:webHidden/>
              </w:rPr>
              <w:instrText xml:space="preserve"> PAGEREF _Toc464136281 \h </w:instrText>
            </w:r>
            <w:r>
              <w:rPr>
                <w:noProof/>
                <w:webHidden/>
              </w:rPr>
            </w:r>
            <w:r>
              <w:rPr>
                <w:noProof/>
                <w:webHidden/>
              </w:rPr>
              <w:fldChar w:fldCharType="separate"/>
            </w:r>
            <w:r>
              <w:rPr>
                <w:noProof/>
                <w:webHidden/>
              </w:rPr>
              <w:t>47</w:t>
            </w:r>
            <w:r>
              <w:rPr>
                <w:noProof/>
                <w:webHidden/>
              </w:rPr>
              <w:fldChar w:fldCharType="end"/>
            </w:r>
          </w:hyperlink>
        </w:p>
        <w:p w14:paraId="3F472D78"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82" w:history="1">
            <w:r w:rsidRPr="007B6130">
              <w:rPr>
                <w:rStyle w:val="Hyperlink"/>
                <w:noProof/>
              </w:rPr>
              <w:t>9.</w:t>
            </w:r>
            <w:r>
              <w:rPr>
                <w:rFonts w:asciiTheme="minorHAnsi" w:eastAsiaTheme="minorEastAsia" w:hAnsiTheme="minorHAnsi" w:cstheme="minorBidi"/>
                <w:b w:val="0"/>
                <w:noProof/>
                <w:sz w:val="22"/>
                <w:lang w:eastAsia="en-AU"/>
              </w:rPr>
              <w:tab/>
            </w:r>
            <w:r w:rsidRPr="007B6130">
              <w:rPr>
                <w:rStyle w:val="Hyperlink"/>
                <w:noProof/>
              </w:rPr>
              <w:t>First round benefit-risk assessment</w:t>
            </w:r>
            <w:r>
              <w:rPr>
                <w:noProof/>
                <w:webHidden/>
              </w:rPr>
              <w:tab/>
            </w:r>
            <w:r>
              <w:rPr>
                <w:noProof/>
                <w:webHidden/>
              </w:rPr>
              <w:fldChar w:fldCharType="begin"/>
            </w:r>
            <w:r>
              <w:rPr>
                <w:noProof/>
                <w:webHidden/>
              </w:rPr>
              <w:instrText xml:space="preserve"> PAGEREF _Toc464136282 \h </w:instrText>
            </w:r>
            <w:r>
              <w:rPr>
                <w:noProof/>
                <w:webHidden/>
              </w:rPr>
            </w:r>
            <w:r>
              <w:rPr>
                <w:noProof/>
                <w:webHidden/>
              </w:rPr>
              <w:fldChar w:fldCharType="separate"/>
            </w:r>
            <w:r>
              <w:rPr>
                <w:noProof/>
                <w:webHidden/>
              </w:rPr>
              <w:t>48</w:t>
            </w:r>
            <w:r>
              <w:rPr>
                <w:noProof/>
                <w:webHidden/>
              </w:rPr>
              <w:fldChar w:fldCharType="end"/>
            </w:r>
          </w:hyperlink>
        </w:p>
        <w:p w14:paraId="28A81C14"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83" w:history="1">
            <w:r w:rsidRPr="007B6130">
              <w:rPr>
                <w:rStyle w:val="Hyperlink"/>
                <w:noProof/>
              </w:rPr>
              <w:t>9.1.</w:t>
            </w:r>
            <w:r>
              <w:rPr>
                <w:rFonts w:asciiTheme="minorHAnsi" w:eastAsiaTheme="minorEastAsia" w:hAnsiTheme="minorHAnsi" w:cstheme="minorBidi"/>
                <w:noProof/>
                <w:lang w:eastAsia="en-AU"/>
              </w:rPr>
              <w:tab/>
            </w:r>
            <w:r w:rsidRPr="007B6130">
              <w:rPr>
                <w:rStyle w:val="Hyperlink"/>
                <w:noProof/>
              </w:rPr>
              <w:t>First round assessment of benefits</w:t>
            </w:r>
            <w:r>
              <w:rPr>
                <w:noProof/>
                <w:webHidden/>
              </w:rPr>
              <w:tab/>
            </w:r>
            <w:r>
              <w:rPr>
                <w:noProof/>
                <w:webHidden/>
              </w:rPr>
              <w:fldChar w:fldCharType="begin"/>
            </w:r>
            <w:r>
              <w:rPr>
                <w:noProof/>
                <w:webHidden/>
              </w:rPr>
              <w:instrText xml:space="preserve"> PAGEREF _Toc464136283 \h </w:instrText>
            </w:r>
            <w:r>
              <w:rPr>
                <w:noProof/>
                <w:webHidden/>
              </w:rPr>
            </w:r>
            <w:r>
              <w:rPr>
                <w:noProof/>
                <w:webHidden/>
              </w:rPr>
              <w:fldChar w:fldCharType="separate"/>
            </w:r>
            <w:r>
              <w:rPr>
                <w:noProof/>
                <w:webHidden/>
              </w:rPr>
              <w:t>48</w:t>
            </w:r>
            <w:r>
              <w:rPr>
                <w:noProof/>
                <w:webHidden/>
              </w:rPr>
              <w:fldChar w:fldCharType="end"/>
            </w:r>
          </w:hyperlink>
        </w:p>
        <w:p w14:paraId="5449E9AE"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84" w:history="1">
            <w:r w:rsidRPr="007B6130">
              <w:rPr>
                <w:rStyle w:val="Hyperlink"/>
                <w:noProof/>
              </w:rPr>
              <w:t>9.2.</w:t>
            </w:r>
            <w:r>
              <w:rPr>
                <w:rFonts w:asciiTheme="minorHAnsi" w:eastAsiaTheme="minorEastAsia" w:hAnsiTheme="minorHAnsi" w:cstheme="minorBidi"/>
                <w:noProof/>
                <w:lang w:eastAsia="en-AU"/>
              </w:rPr>
              <w:tab/>
            </w:r>
            <w:r w:rsidRPr="007B6130">
              <w:rPr>
                <w:rStyle w:val="Hyperlink"/>
                <w:noProof/>
              </w:rPr>
              <w:t>First round assessment of risks</w:t>
            </w:r>
            <w:r>
              <w:rPr>
                <w:noProof/>
                <w:webHidden/>
              </w:rPr>
              <w:tab/>
            </w:r>
            <w:r>
              <w:rPr>
                <w:noProof/>
                <w:webHidden/>
              </w:rPr>
              <w:fldChar w:fldCharType="begin"/>
            </w:r>
            <w:r>
              <w:rPr>
                <w:noProof/>
                <w:webHidden/>
              </w:rPr>
              <w:instrText xml:space="preserve"> PAGEREF _Toc464136284 \h </w:instrText>
            </w:r>
            <w:r>
              <w:rPr>
                <w:noProof/>
                <w:webHidden/>
              </w:rPr>
            </w:r>
            <w:r>
              <w:rPr>
                <w:noProof/>
                <w:webHidden/>
              </w:rPr>
              <w:fldChar w:fldCharType="separate"/>
            </w:r>
            <w:r>
              <w:rPr>
                <w:noProof/>
                <w:webHidden/>
              </w:rPr>
              <w:t>48</w:t>
            </w:r>
            <w:r>
              <w:rPr>
                <w:noProof/>
                <w:webHidden/>
              </w:rPr>
              <w:fldChar w:fldCharType="end"/>
            </w:r>
          </w:hyperlink>
        </w:p>
        <w:p w14:paraId="32969DD1" w14:textId="77777777" w:rsidR="00177958" w:rsidRDefault="00177958">
          <w:pPr>
            <w:pStyle w:val="TOC3"/>
            <w:tabs>
              <w:tab w:val="left" w:pos="1575"/>
            </w:tabs>
            <w:rPr>
              <w:rFonts w:asciiTheme="minorHAnsi" w:eastAsiaTheme="minorEastAsia" w:hAnsiTheme="minorHAnsi" w:cstheme="minorBidi"/>
              <w:noProof/>
              <w:lang w:eastAsia="en-AU"/>
            </w:rPr>
          </w:pPr>
          <w:hyperlink w:anchor="_Toc464136285" w:history="1">
            <w:r w:rsidRPr="007B6130">
              <w:rPr>
                <w:rStyle w:val="Hyperlink"/>
                <w:noProof/>
              </w:rPr>
              <w:t>9.3.</w:t>
            </w:r>
            <w:r>
              <w:rPr>
                <w:rFonts w:asciiTheme="minorHAnsi" w:eastAsiaTheme="minorEastAsia" w:hAnsiTheme="minorHAnsi" w:cstheme="minorBidi"/>
                <w:noProof/>
                <w:lang w:eastAsia="en-AU"/>
              </w:rPr>
              <w:tab/>
            </w:r>
            <w:r w:rsidRPr="007B6130">
              <w:rPr>
                <w:rStyle w:val="Hyperlink"/>
                <w:noProof/>
              </w:rPr>
              <w:t>First round assessment of benefit-risk balance</w:t>
            </w:r>
            <w:r>
              <w:rPr>
                <w:noProof/>
                <w:webHidden/>
              </w:rPr>
              <w:tab/>
            </w:r>
            <w:r>
              <w:rPr>
                <w:noProof/>
                <w:webHidden/>
              </w:rPr>
              <w:fldChar w:fldCharType="begin"/>
            </w:r>
            <w:r>
              <w:rPr>
                <w:noProof/>
                <w:webHidden/>
              </w:rPr>
              <w:instrText xml:space="preserve"> PAGEREF _Toc464136285 \h </w:instrText>
            </w:r>
            <w:r>
              <w:rPr>
                <w:noProof/>
                <w:webHidden/>
              </w:rPr>
            </w:r>
            <w:r>
              <w:rPr>
                <w:noProof/>
                <w:webHidden/>
              </w:rPr>
              <w:fldChar w:fldCharType="separate"/>
            </w:r>
            <w:r>
              <w:rPr>
                <w:noProof/>
                <w:webHidden/>
              </w:rPr>
              <w:t>48</w:t>
            </w:r>
            <w:r>
              <w:rPr>
                <w:noProof/>
                <w:webHidden/>
              </w:rPr>
              <w:fldChar w:fldCharType="end"/>
            </w:r>
          </w:hyperlink>
        </w:p>
        <w:p w14:paraId="57311A17"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86" w:history="1">
            <w:r w:rsidRPr="007B6130">
              <w:rPr>
                <w:rStyle w:val="Hyperlink"/>
                <w:noProof/>
              </w:rPr>
              <w:t>10.</w:t>
            </w:r>
            <w:r>
              <w:rPr>
                <w:rFonts w:asciiTheme="minorHAnsi" w:eastAsiaTheme="minorEastAsia" w:hAnsiTheme="minorHAnsi" w:cstheme="minorBidi"/>
                <w:b w:val="0"/>
                <w:noProof/>
                <w:sz w:val="22"/>
                <w:lang w:eastAsia="en-AU"/>
              </w:rPr>
              <w:tab/>
            </w:r>
            <w:r w:rsidRPr="007B6130">
              <w:rPr>
                <w:rStyle w:val="Hyperlink"/>
                <w:noProof/>
              </w:rPr>
              <w:t>First round recommendation regarding authorisation</w:t>
            </w:r>
            <w:r>
              <w:rPr>
                <w:noProof/>
                <w:webHidden/>
              </w:rPr>
              <w:tab/>
            </w:r>
            <w:r>
              <w:rPr>
                <w:noProof/>
                <w:webHidden/>
              </w:rPr>
              <w:fldChar w:fldCharType="begin"/>
            </w:r>
            <w:r>
              <w:rPr>
                <w:noProof/>
                <w:webHidden/>
              </w:rPr>
              <w:instrText xml:space="preserve"> PAGEREF _Toc464136286 \h </w:instrText>
            </w:r>
            <w:r>
              <w:rPr>
                <w:noProof/>
                <w:webHidden/>
              </w:rPr>
            </w:r>
            <w:r>
              <w:rPr>
                <w:noProof/>
                <w:webHidden/>
              </w:rPr>
              <w:fldChar w:fldCharType="separate"/>
            </w:r>
            <w:r>
              <w:rPr>
                <w:noProof/>
                <w:webHidden/>
              </w:rPr>
              <w:t>49</w:t>
            </w:r>
            <w:r>
              <w:rPr>
                <w:noProof/>
                <w:webHidden/>
              </w:rPr>
              <w:fldChar w:fldCharType="end"/>
            </w:r>
          </w:hyperlink>
        </w:p>
        <w:p w14:paraId="11C2C2EB"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87" w:history="1">
            <w:r w:rsidRPr="007B6130">
              <w:rPr>
                <w:rStyle w:val="Hyperlink"/>
                <w:noProof/>
              </w:rPr>
              <w:t>11.</w:t>
            </w:r>
            <w:r>
              <w:rPr>
                <w:rFonts w:asciiTheme="minorHAnsi" w:eastAsiaTheme="minorEastAsia" w:hAnsiTheme="minorHAnsi" w:cstheme="minorBidi"/>
                <w:b w:val="0"/>
                <w:noProof/>
                <w:sz w:val="22"/>
                <w:lang w:eastAsia="en-AU"/>
              </w:rPr>
              <w:tab/>
            </w:r>
            <w:r w:rsidRPr="007B6130">
              <w:rPr>
                <w:rStyle w:val="Hyperlink"/>
                <w:noProof/>
              </w:rPr>
              <w:t>Clinical questions</w:t>
            </w:r>
            <w:r>
              <w:rPr>
                <w:noProof/>
                <w:webHidden/>
              </w:rPr>
              <w:tab/>
            </w:r>
            <w:r>
              <w:rPr>
                <w:noProof/>
                <w:webHidden/>
              </w:rPr>
              <w:fldChar w:fldCharType="begin"/>
            </w:r>
            <w:r>
              <w:rPr>
                <w:noProof/>
                <w:webHidden/>
              </w:rPr>
              <w:instrText xml:space="preserve"> PAGEREF _Toc464136287 \h </w:instrText>
            </w:r>
            <w:r>
              <w:rPr>
                <w:noProof/>
                <w:webHidden/>
              </w:rPr>
            </w:r>
            <w:r>
              <w:rPr>
                <w:noProof/>
                <w:webHidden/>
              </w:rPr>
              <w:fldChar w:fldCharType="separate"/>
            </w:r>
            <w:r>
              <w:rPr>
                <w:noProof/>
                <w:webHidden/>
              </w:rPr>
              <w:t>49</w:t>
            </w:r>
            <w:r>
              <w:rPr>
                <w:noProof/>
                <w:webHidden/>
              </w:rPr>
              <w:fldChar w:fldCharType="end"/>
            </w:r>
          </w:hyperlink>
        </w:p>
        <w:p w14:paraId="77BC6DAF"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88" w:history="1">
            <w:r w:rsidRPr="007B6130">
              <w:rPr>
                <w:rStyle w:val="Hyperlink"/>
                <w:noProof/>
              </w:rPr>
              <w:t>11.1.</w:t>
            </w:r>
            <w:r>
              <w:rPr>
                <w:rFonts w:asciiTheme="minorHAnsi" w:eastAsiaTheme="minorEastAsia" w:hAnsiTheme="minorHAnsi" w:cstheme="minorBidi"/>
                <w:noProof/>
                <w:lang w:eastAsia="en-AU"/>
              </w:rPr>
              <w:tab/>
            </w:r>
            <w:r w:rsidRPr="007B6130">
              <w:rPr>
                <w:rStyle w:val="Hyperlink"/>
                <w:noProof/>
              </w:rPr>
              <w:t>Efficacy</w:t>
            </w:r>
            <w:r>
              <w:rPr>
                <w:noProof/>
                <w:webHidden/>
              </w:rPr>
              <w:tab/>
            </w:r>
            <w:r>
              <w:rPr>
                <w:noProof/>
                <w:webHidden/>
              </w:rPr>
              <w:fldChar w:fldCharType="begin"/>
            </w:r>
            <w:r>
              <w:rPr>
                <w:noProof/>
                <w:webHidden/>
              </w:rPr>
              <w:instrText xml:space="preserve"> PAGEREF _Toc464136288 \h </w:instrText>
            </w:r>
            <w:r>
              <w:rPr>
                <w:noProof/>
                <w:webHidden/>
              </w:rPr>
            </w:r>
            <w:r>
              <w:rPr>
                <w:noProof/>
                <w:webHidden/>
              </w:rPr>
              <w:fldChar w:fldCharType="separate"/>
            </w:r>
            <w:r>
              <w:rPr>
                <w:noProof/>
                <w:webHidden/>
              </w:rPr>
              <w:t>49</w:t>
            </w:r>
            <w:r>
              <w:rPr>
                <w:noProof/>
                <w:webHidden/>
              </w:rPr>
              <w:fldChar w:fldCharType="end"/>
            </w:r>
          </w:hyperlink>
        </w:p>
        <w:p w14:paraId="12C8DB3F"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89" w:history="1">
            <w:r w:rsidRPr="007B6130">
              <w:rPr>
                <w:rStyle w:val="Hyperlink"/>
                <w:noProof/>
              </w:rPr>
              <w:t>11.2.</w:t>
            </w:r>
            <w:r>
              <w:rPr>
                <w:rFonts w:asciiTheme="minorHAnsi" w:eastAsiaTheme="minorEastAsia" w:hAnsiTheme="minorHAnsi" w:cstheme="minorBidi"/>
                <w:noProof/>
                <w:lang w:eastAsia="en-AU"/>
              </w:rPr>
              <w:tab/>
            </w:r>
            <w:r w:rsidRPr="007B6130">
              <w:rPr>
                <w:rStyle w:val="Hyperlink"/>
                <w:noProof/>
              </w:rPr>
              <w:t>Safety</w:t>
            </w:r>
            <w:r>
              <w:rPr>
                <w:noProof/>
                <w:webHidden/>
              </w:rPr>
              <w:tab/>
            </w:r>
            <w:r>
              <w:rPr>
                <w:noProof/>
                <w:webHidden/>
              </w:rPr>
              <w:fldChar w:fldCharType="begin"/>
            </w:r>
            <w:r>
              <w:rPr>
                <w:noProof/>
                <w:webHidden/>
              </w:rPr>
              <w:instrText xml:space="preserve"> PAGEREF _Toc464136289 \h </w:instrText>
            </w:r>
            <w:r>
              <w:rPr>
                <w:noProof/>
                <w:webHidden/>
              </w:rPr>
            </w:r>
            <w:r>
              <w:rPr>
                <w:noProof/>
                <w:webHidden/>
              </w:rPr>
              <w:fldChar w:fldCharType="separate"/>
            </w:r>
            <w:r>
              <w:rPr>
                <w:noProof/>
                <w:webHidden/>
              </w:rPr>
              <w:t>50</w:t>
            </w:r>
            <w:r>
              <w:rPr>
                <w:noProof/>
                <w:webHidden/>
              </w:rPr>
              <w:fldChar w:fldCharType="end"/>
            </w:r>
          </w:hyperlink>
        </w:p>
        <w:p w14:paraId="3E8FBF5A"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90" w:history="1">
            <w:r w:rsidRPr="007B6130">
              <w:rPr>
                <w:rStyle w:val="Hyperlink"/>
                <w:noProof/>
              </w:rPr>
              <w:t>12.</w:t>
            </w:r>
            <w:r>
              <w:rPr>
                <w:rFonts w:asciiTheme="minorHAnsi" w:eastAsiaTheme="minorEastAsia" w:hAnsiTheme="minorHAnsi" w:cstheme="minorBidi"/>
                <w:b w:val="0"/>
                <w:noProof/>
                <w:sz w:val="22"/>
                <w:lang w:eastAsia="en-AU"/>
              </w:rPr>
              <w:tab/>
            </w:r>
            <w:r w:rsidRPr="007B6130">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_Toc464136290 \h </w:instrText>
            </w:r>
            <w:r>
              <w:rPr>
                <w:noProof/>
                <w:webHidden/>
              </w:rPr>
            </w:r>
            <w:r>
              <w:rPr>
                <w:noProof/>
                <w:webHidden/>
              </w:rPr>
              <w:fldChar w:fldCharType="separate"/>
            </w:r>
            <w:r>
              <w:rPr>
                <w:noProof/>
                <w:webHidden/>
              </w:rPr>
              <w:t>50</w:t>
            </w:r>
            <w:r>
              <w:rPr>
                <w:noProof/>
                <w:webHidden/>
              </w:rPr>
              <w:fldChar w:fldCharType="end"/>
            </w:r>
          </w:hyperlink>
        </w:p>
        <w:p w14:paraId="2BACB3C4"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91" w:history="1">
            <w:r w:rsidRPr="007B6130">
              <w:rPr>
                <w:rStyle w:val="Hyperlink"/>
                <w:noProof/>
              </w:rPr>
              <w:t>12.1.</w:t>
            </w:r>
            <w:r>
              <w:rPr>
                <w:rFonts w:asciiTheme="minorHAnsi" w:eastAsiaTheme="minorEastAsia" w:hAnsiTheme="minorHAnsi" w:cstheme="minorBidi"/>
                <w:noProof/>
                <w:lang w:eastAsia="en-AU"/>
              </w:rPr>
              <w:tab/>
            </w:r>
            <w:r w:rsidRPr="007B6130">
              <w:rPr>
                <w:rStyle w:val="Hyperlink"/>
                <w:noProof/>
              </w:rPr>
              <w:t>Efficacy</w:t>
            </w:r>
            <w:r>
              <w:rPr>
                <w:noProof/>
                <w:webHidden/>
              </w:rPr>
              <w:tab/>
            </w:r>
            <w:r>
              <w:rPr>
                <w:noProof/>
                <w:webHidden/>
              </w:rPr>
              <w:fldChar w:fldCharType="begin"/>
            </w:r>
            <w:r>
              <w:rPr>
                <w:noProof/>
                <w:webHidden/>
              </w:rPr>
              <w:instrText xml:space="preserve"> PAGEREF _Toc464136291 \h </w:instrText>
            </w:r>
            <w:r>
              <w:rPr>
                <w:noProof/>
                <w:webHidden/>
              </w:rPr>
            </w:r>
            <w:r>
              <w:rPr>
                <w:noProof/>
                <w:webHidden/>
              </w:rPr>
              <w:fldChar w:fldCharType="separate"/>
            </w:r>
            <w:r>
              <w:rPr>
                <w:noProof/>
                <w:webHidden/>
              </w:rPr>
              <w:t>50</w:t>
            </w:r>
            <w:r>
              <w:rPr>
                <w:noProof/>
                <w:webHidden/>
              </w:rPr>
              <w:fldChar w:fldCharType="end"/>
            </w:r>
          </w:hyperlink>
        </w:p>
        <w:p w14:paraId="1B793867"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92" w:history="1">
            <w:r w:rsidRPr="007B6130">
              <w:rPr>
                <w:rStyle w:val="Hyperlink"/>
                <w:noProof/>
              </w:rPr>
              <w:t>12.2.</w:t>
            </w:r>
            <w:r>
              <w:rPr>
                <w:rFonts w:asciiTheme="minorHAnsi" w:eastAsiaTheme="minorEastAsia" w:hAnsiTheme="minorHAnsi" w:cstheme="minorBidi"/>
                <w:noProof/>
                <w:lang w:eastAsia="en-AU"/>
              </w:rPr>
              <w:tab/>
            </w:r>
            <w:r w:rsidRPr="007B6130">
              <w:rPr>
                <w:rStyle w:val="Hyperlink"/>
                <w:noProof/>
              </w:rPr>
              <w:t>Safety</w:t>
            </w:r>
            <w:r>
              <w:rPr>
                <w:noProof/>
                <w:webHidden/>
              </w:rPr>
              <w:tab/>
            </w:r>
            <w:r>
              <w:rPr>
                <w:noProof/>
                <w:webHidden/>
              </w:rPr>
              <w:fldChar w:fldCharType="begin"/>
            </w:r>
            <w:r>
              <w:rPr>
                <w:noProof/>
                <w:webHidden/>
              </w:rPr>
              <w:instrText xml:space="preserve"> PAGEREF _Toc464136292 \h </w:instrText>
            </w:r>
            <w:r>
              <w:rPr>
                <w:noProof/>
                <w:webHidden/>
              </w:rPr>
            </w:r>
            <w:r>
              <w:rPr>
                <w:noProof/>
                <w:webHidden/>
              </w:rPr>
              <w:fldChar w:fldCharType="separate"/>
            </w:r>
            <w:r>
              <w:rPr>
                <w:noProof/>
                <w:webHidden/>
              </w:rPr>
              <w:t>53</w:t>
            </w:r>
            <w:r>
              <w:rPr>
                <w:noProof/>
                <w:webHidden/>
              </w:rPr>
              <w:fldChar w:fldCharType="end"/>
            </w:r>
          </w:hyperlink>
        </w:p>
        <w:p w14:paraId="147584DD"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93" w:history="1">
            <w:r w:rsidRPr="007B6130">
              <w:rPr>
                <w:rStyle w:val="Hyperlink"/>
                <w:noProof/>
              </w:rPr>
              <w:t>13.</w:t>
            </w:r>
            <w:r>
              <w:rPr>
                <w:rFonts w:asciiTheme="minorHAnsi" w:eastAsiaTheme="minorEastAsia" w:hAnsiTheme="minorHAnsi" w:cstheme="minorBidi"/>
                <w:b w:val="0"/>
                <w:noProof/>
                <w:sz w:val="22"/>
                <w:lang w:eastAsia="en-AU"/>
              </w:rPr>
              <w:tab/>
            </w:r>
            <w:r w:rsidRPr="007B6130">
              <w:rPr>
                <w:rStyle w:val="Hyperlink"/>
                <w:noProof/>
              </w:rPr>
              <w:t>Second round benefit-risk assessment</w:t>
            </w:r>
            <w:r>
              <w:rPr>
                <w:noProof/>
                <w:webHidden/>
              </w:rPr>
              <w:tab/>
            </w:r>
            <w:r>
              <w:rPr>
                <w:noProof/>
                <w:webHidden/>
              </w:rPr>
              <w:fldChar w:fldCharType="begin"/>
            </w:r>
            <w:r>
              <w:rPr>
                <w:noProof/>
                <w:webHidden/>
              </w:rPr>
              <w:instrText xml:space="preserve"> PAGEREF _Toc464136293 \h </w:instrText>
            </w:r>
            <w:r>
              <w:rPr>
                <w:noProof/>
                <w:webHidden/>
              </w:rPr>
            </w:r>
            <w:r>
              <w:rPr>
                <w:noProof/>
                <w:webHidden/>
              </w:rPr>
              <w:fldChar w:fldCharType="separate"/>
            </w:r>
            <w:r>
              <w:rPr>
                <w:noProof/>
                <w:webHidden/>
              </w:rPr>
              <w:t>58</w:t>
            </w:r>
            <w:r>
              <w:rPr>
                <w:noProof/>
                <w:webHidden/>
              </w:rPr>
              <w:fldChar w:fldCharType="end"/>
            </w:r>
          </w:hyperlink>
        </w:p>
        <w:p w14:paraId="7B76C3A9"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94" w:history="1">
            <w:r w:rsidRPr="007B6130">
              <w:rPr>
                <w:rStyle w:val="Hyperlink"/>
                <w:noProof/>
              </w:rPr>
              <w:t>13.1.</w:t>
            </w:r>
            <w:r>
              <w:rPr>
                <w:rFonts w:asciiTheme="minorHAnsi" w:eastAsiaTheme="minorEastAsia" w:hAnsiTheme="minorHAnsi" w:cstheme="minorBidi"/>
                <w:noProof/>
                <w:lang w:eastAsia="en-AU"/>
              </w:rPr>
              <w:tab/>
            </w:r>
            <w:r w:rsidRPr="007B6130">
              <w:rPr>
                <w:rStyle w:val="Hyperlink"/>
                <w:noProof/>
              </w:rPr>
              <w:t>Second round assessment of benefits</w:t>
            </w:r>
            <w:r>
              <w:rPr>
                <w:noProof/>
                <w:webHidden/>
              </w:rPr>
              <w:tab/>
            </w:r>
            <w:r>
              <w:rPr>
                <w:noProof/>
                <w:webHidden/>
              </w:rPr>
              <w:fldChar w:fldCharType="begin"/>
            </w:r>
            <w:r>
              <w:rPr>
                <w:noProof/>
                <w:webHidden/>
              </w:rPr>
              <w:instrText xml:space="preserve"> PAGEREF _Toc464136294 \h </w:instrText>
            </w:r>
            <w:r>
              <w:rPr>
                <w:noProof/>
                <w:webHidden/>
              </w:rPr>
            </w:r>
            <w:r>
              <w:rPr>
                <w:noProof/>
                <w:webHidden/>
              </w:rPr>
              <w:fldChar w:fldCharType="separate"/>
            </w:r>
            <w:r>
              <w:rPr>
                <w:noProof/>
                <w:webHidden/>
              </w:rPr>
              <w:t>58</w:t>
            </w:r>
            <w:r>
              <w:rPr>
                <w:noProof/>
                <w:webHidden/>
              </w:rPr>
              <w:fldChar w:fldCharType="end"/>
            </w:r>
          </w:hyperlink>
        </w:p>
        <w:p w14:paraId="163D1F23"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95" w:history="1">
            <w:r w:rsidRPr="007B6130">
              <w:rPr>
                <w:rStyle w:val="Hyperlink"/>
                <w:noProof/>
              </w:rPr>
              <w:t>13.2.</w:t>
            </w:r>
            <w:r>
              <w:rPr>
                <w:rFonts w:asciiTheme="minorHAnsi" w:eastAsiaTheme="minorEastAsia" w:hAnsiTheme="minorHAnsi" w:cstheme="minorBidi"/>
                <w:noProof/>
                <w:lang w:eastAsia="en-AU"/>
              </w:rPr>
              <w:tab/>
            </w:r>
            <w:r w:rsidRPr="007B6130">
              <w:rPr>
                <w:rStyle w:val="Hyperlink"/>
                <w:noProof/>
              </w:rPr>
              <w:t>Second round assessment of risks</w:t>
            </w:r>
            <w:r>
              <w:rPr>
                <w:noProof/>
                <w:webHidden/>
              </w:rPr>
              <w:tab/>
            </w:r>
            <w:r>
              <w:rPr>
                <w:noProof/>
                <w:webHidden/>
              </w:rPr>
              <w:fldChar w:fldCharType="begin"/>
            </w:r>
            <w:r>
              <w:rPr>
                <w:noProof/>
                <w:webHidden/>
              </w:rPr>
              <w:instrText xml:space="preserve"> PAGEREF _Toc464136295 \h </w:instrText>
            </w:r>
            <w:r>
              <w:rPr>
                <w:noProof/>
                <w:webHidden/>
              </w:rPr>
            </w:r>
            <w:r>
              <w:rPr>
                <w:noProof/>
                <w:webHidden/>
              </w:rPr>
              <w:fldChar w:fldCharType="separate"/>
            </w:r>
            <w:r>
              <w:rPr>
                <w:noProof/>
                <w:webHidden/>
              </w:rPr>
              <w:t>58</w:t>
            </w:r>
            <w:r>
              <w:rPr>
                <w:noProof/>
                <w:webHidden/>
              </w:rPr>
              <w:fldChar w:fldCharType="end"/>
            </w:r>
          </w:hyperlink>
        </w:p>
        <w:p w14:paraId="41E0350A" w14:textId="77777777" w:rsidR="00177958" w:rsidRDefault="00177958">
          <w:pPr>
            <w:pStyle w:val="TOC3"/>
            <w:tabs>
              <w:tab w:val="left" w:pos="1697"/>
            </w:tabs>
            <w:rPr>
              <w:rFonts w:asciiTheme="minorHAnsi" w:eastAsiaTheme="minorEastAsia" w:hAnsiTheme="minorHAnsi" w:cstheme="minorBidi"/>
              <w:noProof/>
              <w:lang w:eastAsia="en-AU"/>
            </w:rPr>
          </w:pPr>
          <w:hyperlink w:anchor="_Toc464136296" w:history="1">
            <w:r w:rsidRPr="007B6130">
              <w:rPr>
                <w:rStyle w:val="Hyperlink"/>
                <w:noProof/>
              </w:rPr>
              <w:t>13.3.</w:t>
            </w:r>
            <w:r>
              <w:rPr>
                <w:rFonts w:asciiTheme="minorHAnsi" w:eastAsiaTheme="minorEastAsia" w:hAnsiTheme="minorHAnsi" w:cstheme="minorBidi"/>
                <w:noProof/>
                <w:lang w:eastAsia="en-AU"/>
              </w:rPr>
              <w:tab/>
            </w:r>
            <w:r w:rsidRPr="007B6130">
              <w:rPr>
                <w:rStyle w:val="Hyperlink"/>
                <w:noProof/>
              </w:rPr>
              <w:t>Second round assessment of benefit-risk balance</w:t>
            </w:r>
            <w:r>
              <w:rPr>
                <w:noProof/>
                <w:webHidden/>
              </w:rPr>
              <w:tab/>
            </w:r>
            <w:r>
              <w:rPr>
                <w:noProof/>
                <w:webHidden/>
              </w:rPr>
              <w:fldChar w:fldCharType="begin"/>
            </w:r>
            <w:r>
              <w:rPr>
                <w:noProof/>
                <w:webHidden/>
              </w:rPr>
              <w:instrText xml:space="preserve"> PAGEREF _Toc464136296 \h </w:instrText>
            </w:r>
            <w:r>
              <w:rPr>
                <w:noProof/>
                <w:webHidden/>
              </w:rPr>
            </w:r>
            <w:r>
              <w:rPr>
                <w:noProof/>
                <w:webHidden/>
              </w:rPr>
              <w:fldChar w:fldCharType="separate"/>
            </w:r>
            <w:r>
              <w:rPr>
                <w:noProof/>
                <w:webHidden/>
              </w:rPr>
              <w:t>58</w:t>
            </w:r>
            <w:r>
              <w:rPr>
                <w:noProof/>
                <w:webHidden/>
              </w:rPr>
              <w:fldChar w:fldCharType="end"/>
            </w:r>
          </w:hyperlink>
        </w:p>
        <w:p w14:paraId="515FAABB" w14:textId="77777777" w:rsidR="00177958" w:rsidRDefault="00177958">
          <w:pPr>
            <w:pStyle w:val="TOC2"/>
            <w:tabs>
              <w:tab w:val="left" w:pos="1247"/>
            </w:tabs>
            <w:rPr>
              <w:rFonts w:asciiTheme="minorHAnsi" w:eastAsiaTheme="minorEastAsia" w:hAnsiTheme="minorHAnsi" w:cstheme="minorBidi"/>
              <w:b w:val="0"/>
              <w:noProof/>
              <w:sz w:val="22"/>
              <w:lang w:eastAsia="en-AU"/>
            </w:rPr>
          </w:pPr>
          <w:hyperlink w:anchor="_Toc464136297" w:history="1">
            <w:r w:rsidRPr="007B6130">
              <w:rPr>
                <w:rStyle w:val="Hyperlink"/>
                <w:noProof/>
              </w:rPr>
              <w:t>14.</w:t>
            </w:r>
            <w:r>
              <w:rPr>
                <w:rFonts w:asciiTheme="minorHAnsi" w:eastAsiaTheme="minorEastAsia" w:hAnsiTheme="minorHAnsi" w:cstheme="minorBidi"/>
                <w:b w:val="0"/>
                <w:noProof/>
                <w:sz w:val="22"/>
                <w:lang w:eastAsia="en-AU"/>
              </w:rPr>
              <w:tab/>
            </w:r>
            <w:r w:rsidRPr="007B6130">
              <w:rPr>
                <w:rStyle w:val="Hyperlink"/>
                <w:noProof/>
              </w:rPr>
              <w:t>Second round recommendation regarding authorisation</w:t>
            </w:r>
            <w:r>
              <w:rPr>
                <w:noProof/>
                <w:webHidden/>
              </w:rPr>
              <w:tab/>
            </w:r>
            <w:r>
              <w:rPr>
                <w:noProof/>
                <w:webHidden/>
              </w:rPr>
              <w:fldChar w:fldCharType="begin"/>
            </w:r>
            <w:r>
              <w:rPr>
                <w:noProof/>
                <w:webHidden/>
              </w:rPr>
              <w:instrText xml:space="preserve"> PAGEREF _Toc464136297 \h </w:instrText>
            </w:r>
            <w:r>
              <w:rPr>
                <w:noProof/>
                <w:webHidden/>
              </w:rPr>
            </w:r>
            <w:r>
              <w:rPr>
                <w:noProof/>
                <w:webHidden/>
              </w:rPr>
              <w:fldChar w:fldCharType="separate"/>
            </w:r>
            <w:r>
              <w:rPr>
                <w:noProof/>
                <w:webHidden/>
              </w:rPr>
              <w:t>58</w:t>
            </w:r>
            <w:r>
              <w:rPr>
                <w:noProof/>
                <w:webHidden/>
              </w:rPr>
              <w:fldChar w:fldCharType="end"/>
            </w:r>
          </w:hyperlink>
        </w:p>
        <w:p w14:paraId="4463AF32" w14:textId="77777777" w:rsidR="003A7F6C" w:rsidRPr="00B811C6" w:rsidRDefault="004F4AF5" w:rsidP="00B811C6">
          <w:pPr>
            <w:pStyle w:val="TOC2"/>
          </w:pPr>
          <w:r>
            <w:fldChar w:fldCharType="end"/>
          </w:r>
        </w:p>
      </w:sdtContent>
    </w:sdt>
    <w:bookmarkStart w:id="3" w:name="_Toc314842482" w:displacedByCustomXml="prev"/>
    <w:p w14:paraId="4463AF33" w14:textId="77777777" w:rsidR="00344A05" w:rsidRDefault="00344A05">
      <w:pPr>
        <w:spacing w:before="0" w:after="200" w:line="0" w:lineRule="auto"/>
        <w:rPr>
          <w:rFonts w:ascii="Arial" w:eastAsia="Times New Roman" w:hAnsi="Arial"/>
          <w:b/>
          <w:bCs/>
          <w:sz w:val="32"/>
          <w:szCs w:val="26"/>
          <w:lang w:eastAsia="ja-JP"/>
        </w:rPr>
      </w:pPr>
      <w:bookmarkStart w:id="4" w:name="_Toc351716269"/>
      <w:bookmarkStart w:id="5" w:name="_Toc351718881"/>
      <w:bookmarkStart w:id="6" w:name="_Toc355338616"/>
      <w:r>
        <w:br w:type="page"/>
      </w:r>
    </w:p>
    <w:p w14:paraId="4463AF34" w14:textId="77777777" w:rsidR="00586F98" w:rsidRDefault="00586F98" w:rsidP="00586F98">
      <w:pPr>
        <w:pStyle w:val="Heading2"/>
        <w:numPr>
          <w:ilvl w:val="0"/>
          <w:numId w:val="0"/>
        </w:numPr>
      </w:pPr>
      <w:bookmarkStart w:id="7" w:name="_Toc464136243"/>
      <w:r>
        <w:lastRenderedPageBreak/>
        <w:t>List of abbreviations</w:t>
      </w:r>
      <w:bookmarkEnd w:id="4"/>
      <w:bookmarkEnd w:id="5"/>
      <w:bookmarkEnd w:id="6"/>
      <w:bookmarkEnd w:id="7"/>
    </w:p>
    <w:tbl>
      <w:tblPr>
        <w:tblStyle w:val="TableTGAblue1"/>
        <w:tblW w:w="0" w:type="auto"/>
        <w:tblLook w:val="04A0" w:firstRow="1" w:lastRow="0" w:firstColumn="1" w:lastColumn="0" w:noHBand="0" w:noVBand="1"/>
      </w:tblPr>
      <w:tblGrid>
        <w:gridCol w:w="1951"/>
        <w:gridCol w:w="6769"/>
      </w:tblGrid>
      <w:tr w:rsidR="000334F6" w:rsidRPr="000334F6" w14:paraId="4463AF37" w14:textId="77777777" w:rsidTr="001204C7">
        <w:trPr>
          <w:cnfStyle w:val="100000000000" w:firstRow="1" w:lastRow="0" w:firstColumn="0" w:lastColumn="0" w:oddVBand="0" w:evenVBand="0" w:oddHBand="0" w:evenHBand="0" w:firstRowFirstColumn="0" w:firstRowLastColumn="0" w:lastRowFirstColumn="0" w:lastRowLastColumn="0"/>
        </w:trPr>
        <w:tc>
          <w:tcPr>
            <w:tcW w:w="1951" w:type="dxa"/>
          </w:tcPr>
          <w:p w14:paraId="4463AF35" w14:textId="77777777" w:rsidR="000334F6" w:rsidRPr="000334F6" w:rsidRDefault="000334F6" w:rsidP="000334F6">
            <w:pPr>
              <w:spacing w:line="240" w:lineRule="atLeast"/>
            </w:pPr>
            <w:r w:rsidRPr="000334F6">
              <w:t>Abbreviation</w:t>
            </w:r>
          </w:p>
        </w:tc>
        <w:tc>
          <w:tcPr>
            <w:tcW w:w="6769" w:type="dxa"/>
          </w:tcPr>
          <w:p w14:paraId="4463AF36" w14:textId="77777777" w:rsidR="000334F6" w:rsidRPr="000334F6" w:rsidRDefault="000334F6" w:rsidP="000334F6">
            <w:pPr>
              <w:spacing w:line="240" w:lineRule="atLeast"/>
            </w:pPr>
            <w:r w:rsidRPr="000334F6">
              <w:t>Meaning</w:t>
            </w:r>
          </w:p>
        </w:tc>
      </w:tr>
      <w:tr w:rsidR="000334F6" w:rsidRPr="000334F6" w14:paraId="4463AF3A" w14:textId="77777777" w:rsidTr="001204C7">
        <w:tc>
          <w:tcPr>
            <w:tcW w:w="1951" w:type="dxa"/>
          </w:tcPr>
          <w:p w14:paraId="4463AF38" w14:textId="77777777" w:rsidR="000334F6" w:rsidRPr="000334F6" w:rsidRDefault="000334F6" w:rsidP="000334F6">
            <w:pPr>
              <w:spacing w:line="240" w:lineRule="atLeast"/>
              <w:rPr>
                <w:lang w:val="en-US"/>
              </w:rPr>
            </w:pPr>
            <w:r w:rsidRPr="000334F6">
              <w:rPr>
                <w:lang w:val="en-US"/>
              </w:rPr>
              <w:t>ACPM</w:t>
            </w:r>
          </w:p>
        </w:tc>
        <w:tc>
          <w:tcPr>
            <w:tcW w:w="6769" w:type="dxa"/>
          </w:tcPr>
          <w:p w14:paraId="4463AF39" w14:textId="77777777" w:rsidR="000334F6" w:rsidRPr="000334F6" w:rsidRDefault="000334F6" w:rsidP="000334F6">
            <w:pPr>
              <w:spacing w:line="240" w:lineRule="atLeast"/>
              <w:rPr>
                <w:lang w:val="en-US"/>
              </w:rPr>
            </w:pPr>
            <w:r w:rsidRPr="000334F6">
              <w:rPr>
                <w:bCs/>
              </w:rPr>
              <w:t>Advisory Committee on Prescription Medicines</w:t>
            </w:r>
          </w:p>
        </w:tc>
      </w:tr>
      <w:tr w:rsidR="000334F6" w:rsidRPr="000334F6" w14:paraId="4463AF3D" w14:textId="77777777" w:rsidTr="001204C7">
        <w:tc>
          <w:tcPr>
            <w:tcW w:w="1951" w:type="dxa"/>
          </w:tcPr>
          <w:p w14:paraId="4463AF3B" w14:textId="77777777" w:rsidR="000334F6" w:rsidRPr="000334F6" w:rsidRDefault="000334F6" w:rsidP="000334F6">
            <w:pPr>
              <w:spacing w:line="240" w:lineRule="atLeast"/>
              <w:rPr>
                <w:lang w:val="en-US"/>
              </w:rPr>
            </w:pPr>
            <w:r w:rsidRPr="000334F6">
              <w:rPr>
                <w:lang w:val="en-US"/>
              </w:rPr>
              <w:t>ACR</w:t>
            </w:r>
          </w:p>
        </w:tc>
        <w:tc>
          <w:tcPr>
            <w:tcW w:w="6769" w:type="dxa"/>
          </w:tcPr>
          <w:p w14:paraId="4463AF3C" w14:textId="77777777" w:rsidR="000334F6" w:rsidRPr="000334F6" w:rsidRDefault="000334F6" w:rsidP="000334F6">
            <w:pPr>
              <w:spacing w:line="240" w:lineRule="atLeast"/>
              <w:rPr>
                <w:lang w:val="en-US"/>
              </w:rPr>
            </w:pPr>
            <w:r w:rsidRPr="000334F6">
              <w:rPr>
                <w:lang w:val="en-US"/>
              </w:rPr>
              <w:t>American College of Rheumatology</w:t>
            </w:r>
          </w:p>
        </w:tc>
      </w:tr>
      <w:tr w:rsidR="000334F6" w:rsidRPr="000334F6" w14:paraId="4463AF40" w14:textId="77777777" w:rsidTr="001204C7">
        <w:tc>
          <w:tcPr>
            <w:tcW w:w="1951" w:type="dxa"/>
          </w:tcPr>
          <w:p w14:paraId="4463AF3E" w14:textId="77777777" w:rsidR="000334F6" w:rsidRPr="000334F6" w:rsidRDefault="000334F6" w:rsidP="000334F6">
            <w:pPr>
              <w:spacing w:line="240" w:lineRule="atLeast"/>
              <w:rPr>
                <w:lang w:val="en-US"/>
              </w:rPr>
            </w:pPr>
            <w:r w:rsidRPr="000334F6">
              <w:rPr>
                <w:lang w:val="en-US"/>
              </w:rPr>
              <w:t>ADEC</w:t>
            </w:r>
          </w:p>
        </w:tc>
        <w:tc>
          <w:tcPr>
            <w:tcW w:w="6769" w:type="dxa"/>
          </w:tcPr>
          <w:p w14:paraId="4463AF3F" w14:textId="77777777" w:rsidR="000334F6" w:rsidRPr="000334F6" w:rsidRDefault="000334F6" w:rsidP="000334F6">
            <w:pPr>
              <w:spacing w:line="240" w:lineRule="atLeast"/>
              <w:rPr>
                <w:lang w:val="en-US"/>
              </w:rPr>
            </w:pPr>
            <w:r w:rsidRPr="000334F6">
              <w:rPr>
                <w:bCs/>
              </w:rPr>
              <w:t>Australian Drug Evaluation Committee</w:t>
            </w:r>
          </w:p>
        </w:tc>
      </w:tr>
      <w:tr w:rsidR="000334F6" w:rsidRPr="000334F6" w14:paraId="4463AF43" w14:textId="77777777" w:rsidTr="001204C7">
        <w:tc>
          <w:tcPr>
            <w:tcW w:w="1951" w:type="dxa"/>
          </w:tcPr>
          <w:p w14:paraId="4463AF41" w14:textId="77777777" w:rsidR="000334F6" w:rsidRPr="000334F6" w:rsidRDefault="000334F6" w:rsidP="000334F6">
            <w:pPr>
              <w:spacing w:line="240" w:lineRule="atLeast"/>
              <w:rPr>
                <w:lang w:val="en-US"/>
              </w:rPr>
            </w:pPr>
            <w:r w:rsidRPr="000334F6">
              <w:rPr>
                <w:lang w:val="en-US"/>
              </w:rPr>
              <w:t>ADRs</w:t>
            </w:r>
          </w:p>
        </w:tc>
        <w:tc>
          <w:tcPr>
            <w:tcW w:w="6769" w:type="dxa"/>
          </w:tcPr>
          <w:p w14:paraId="4463AF42" w14:textId="77777777" w:rsidR="000334F6" w:rsidRPr="000334F6" w:rsidRDefault="000334F6" w:rsidP="000334F6">
            <w:pPr>
              <w:spacing w:line="240" w:lineRule="atLeast"/>
              <w:rPr>
                <w:lang w:val="en-US"/>
              </w:rPr>
            </w:pPr>
            <w:r w:rsidRPr="000334F6">
              <w:rPr>
                <w:lang w:val="en-US"/>
              </w:rPr>
              <w:t>Adverse Drug Reactions</w:t>
            </w:r>
          </w:p>
        </w:tc>
      </w:tr>
      <w:tr w:rsidR="000334F6" w:rsidRPr="000334F6" w14:paraId="4463AF46" w14:textId="77777777" w:rsidTr="001204C7">
        <w:tc>
          <w:tcPr>
            <w:tcW w:w="1951" w:type="dxa"/>
          </w:tcPr>
          <w:p w14:paraId="4463AF44" w14:textId="77777777" w:rsidR="000334F6" w:rsidRPr="000334F6" w:rsidRDefault="000334F6" w:rsidP="000334F6">
            <w:pPr>
              <w:spacing w:line="240" w:lineRule="atLeast"/>
              <w:rPr>
                <w:lang w:val="en-US"/>
              </w:rPr>
            </w:pPr>
            <w:r w:rsidRPr="000334F6">
              <w:rPr>
                <w:lang w:val="en-US"/>
              </w:rPr>
              <w:t>AE</w:t>
            </w:r>
          </w:p>
        </w:tc>
        <w:tc>
          <w:tcPr>
            <w:tcW w:w="6769" w:type="dxa"/>
          </w:tcPr>
          <w:p w14:paraId="4463AF45" w14:textId="77777777" w:rsidR="000334F6" w:rsidRPr="000334F6" w:rsidRDefault="000334F6" w:rsidP="000334F6">
            <w:pPr>
              <w:spacing w:line="240" w:lineRule="atLeast"/>
              <w:rPr>
                <w:lang w:val="en-US"/>
              </w:rPr>
            </w:pPr>
            <w:r w:rsidRPr="000334F6">
              <w:rPr>
                <w:lang w:val="en-US"/>
              </w:rPr>
              <w:t>Adverse Event</w:t>
            </w:r>
          </w:p>
        </w:tc>
      </w:tr>
      <w:tr w:rsidR="000334F6" w:rsidRPr="000334F6" w14:paraId="4463AF49" w14:textId="77777777" w:rsidTr="001204C7">
        <w:tc>
          <w:tcPr>
            <w:tcW w:w="1951" w:type="dxa"/>
          </w:tcPr>
          <w:p w14:paraId="4463AF47" w14:textId="77777777" w:rsidR="000334F6" w:rsidRPr="000334F6" w:rsidRDefault="000334F6" w:rsidP="000334F6">
            <w:pPr>
              <w:spacing w:line="240" w:lineRule="atLeast"/>
              <w:rPr>
                <w:lang w:val="en-US"/>
              </w:rPr>
            </w:pPr>
            <w:r w:rsidRPr="000334F6">
              <w:rPr>
                <w:lang w:val="en-US"/>
              </w:rPr>
              <w:t>AI</w:t>
            </w:r>
          </w:p>
        </w:tc>
        <w:tc>
          <w:tcPr>
            <w:tcW w:w="6769" w:type="dxa"/>
          </w:tcPr>
          <w:p w14:paraId="4463AF48" w14:textId="77777777" w:rsidR="000334F6" w:rsidRPr="000334F6" w:rsidRDefault="000334F6" w:rsidP="000334F6">
            <w:pPr>
              <w:spacing w:line="240" w:lineRule="atLeast"/>
              <w:rPr>
                <w:lang w:val="en-US"/>
              </w:rPr>
            </w:pPr>
            <w:r w:rsidRPr="000334F6">
              <w:rPr>
                <w:lang w:val="en-US"/>
              </w:rPr>
              <w:t>Autoinjector</w:t>
            </w:r>
          </w:p>
        </w:tc>
      </w:tr>
      <w:tr w:rsidR="000334F6" w:rsidRPr="000334F6" w14:paraId="4463AF4C" w14:textId="77777777" w:rsidTr="001204C7">
        <w:tc>
          <w:tcPr>
            <w:tcW w:w="1951" w:type="dxa"/>
          </w:tcPr>
          <w:p w14:paraId="4463AF4A" w14:textId="77777777" w:rsidR="000334F6" w:rsidRPr="000334F6" w:rsidRDefault="000334F6" w:rsidP="000334F6">
            <w:pPr>
              <w:spacing w:line="240" w:lineRule="atLeast"/>
              <w:rPr>
                <w:lang w:val="en-US"/>
              </w:rPr>
            </w:pPr>
            <w:r w:rsidRPr="000334F6">
              <w:rPr>
                <w:lang w:val="en-US"/>
              </w:rPr>
              <w:t>ALT</w:t>
            </w:r>
          </w:p>
        </w:tc>
        <w:tc>
          <w:tcPr>
            <w:tcW w:w="6769" w:type="dxa"/>
          </w:tcPr>
          <w:p w14:paraId="4463AF4B" w14:textId="77777777" w:rsidR="000334F6" w:rsidRPr="000334F6" w:rsidRDefault="000334F6" w:rsidP="000334F6">
            <w:pPr>
              <w:spacing w:line="240" w:lineRule="atLeast"/>
              <w:rPr>
                <w:lang w:val="en-US"/>
              </w:rPr>
            </w:pPr>
            <w:r w:rsidRPr="000334F6">
              <w:rPr>
                <w:lang w:val="en-US"/>
              </w:rPr>
              <w:t>Alanine aminotransferase</w:t>
            </w:r>
          </w:p>
        </w:tc>
      </w:tr>
      <w:tr w:rsidR="000334F6" w:rsidRPr="000334F6" w14:paraId="4463AF4F" w14:textId="77777777" w:rsidTr="001204C7">
        <w:tc>
          <w:tcPr>
            <w:tcW w:w="1951" w:type="dxa"/>
          </w:tcPr>
          <w:p w14:paraId="4463AF4D" w14:textId="77777777" w:rsidR="000334F6" w:rsidRPr="000334F6" w:rsidRDefault="000334F6" w:rsidP="000334F6">
            <w:pPr>
              <w:spacing w:line="240" w:lineRule="atLeast"/>
              <w:rPr>
                <w:lang w:val="en-US"/>
              </w:rPr>
            </w:pPr>
            <w:r w:rsidRPr="000334F6">
              <w:rPr>
                <w:lang w:val="en-US"/>
              </w:rPr>
              <w:t>AST</w:t>
            </w:r>
          </w:p>
        </w:tc>
        <w:tc>
          <w:tcPr>
            <w:tcW w:w="6769" w:type="dxa"/>
          </w:tcPr>
          <w:p w14:paraId="4463AF4E" w14:textId="77777777" w:rsidR="000334F6" w:rsidRPr="000334F6" w:rsidRDefault="000334F6" w:rsidP="000334F6">
            <w:pPr>
              <w:spacing w:line="240" w:lineRule="atLeast"/>
              <w:rPr>
                <w:lang w:val="en-US"/>
              </w:rPr>
            </w:pPr>
            <w:r w:rsidRPr="000334F6">
              <w:rPr>
                <w:lang w:val="en-US"/>
              </w:rPr>
              <w:t>Aspartate aminotransferase</w:t>
            </w:r>
          </w:p>
        </w:tc>
      </w:tr>
      <w:tr w:rsidR="000334F6" w:rsidRPr="000334F6" w14:paraId="4463AF52" w14:textId="77777777" w:rsidTr="001204C7">
        <w:tc>
          <w:tcPr>
            <w:tcW w:w="1951" w:type="dxa"/>
          </w:tcPr>
          <w:p w14:paraId="4463AF50" w14:textId="77777777" w:rsidR="000334F6" w:rsidRPr="000334F6" w:rsidRDefault="000334F6" w:rsidP="000334F6">
            <w:pPr>
              <w:spacing w:line="240" w:lineRule="atLeast"/>
              <w:rPr>
                <w:lang w:val="en-US"/>
              </w:rPr>
            </w:pPr>
            <w:r w:rsidRPr="000334F6">
              <w:rPr>
                <w:lang w:val="en-US"/>
              </w:rPr>
              <w:t>AUC</w:t>
            </w:r>
          </w:p>
        </w:tc>
        <w:tc>
          <w:tcPr>
            <w:tcW w:w="6769" w:type="dxa"/>
          </w:tcPr>
          <w:p w14:paraId="4463AF51" w14:textId="77777777" w:rsidR="000334F6" w:rsidRPr="000334F6" w:rsidRDefault="000334F6" w:rsidP="00344A05">
            <w:pPr>
              <w:spacing w:line="240" w:lineRule="atLeast"/>
              <w:rPr>
                <w:lang w:val="en-US"/>
              </w:rPr>
            </w:pPr>
            <w:r w:rsidRPr="000334F6">
              <w:rPr>
                <w:lang w:val="en-US"/>
              </w:rPr>
              <w:t xml:space="preserve">Area </w:t>
            </w:r>
            <w:r w:rsidR="00344A05">
              <w:rPr>
                <w:lang w:val="en-US"/>
              </w:rPr>
              <w:t>u</w:t>
            </w:r>
            <w:r w:rsidR="00344A05" w:rsidRPr="000334F6">
              <w:rPr>
                <w:lang w:val="en-US"/>
              </w:rPr>
              <w:t xml:space="preserve">nder </w:t>
            </w:r>
            <w:r w:rsidRPr="000334F6">
              <w:rPr>
                <w:lang w:val="en-US"/>
              </w:rPr>
              <w:t>the concentration-time curve</w:t>
            </w:r>
          </w:p>
        </w:tc>
      </w:tr>
      <w:tr w:rsidR="000334F6" w:rsidRPr="000334F6" w14:paraId="4463AF55" w14:textId="77777777" w:rsidTr="001204C7">
        <w:tc>
          <w:tcPr>
            <w:tcW w:w="1951" w:type="dxa"/>
          </w:tcPr>
          <w:p w14:paraId="4463AF53" w14:textId="77777777" w:rsidR="000334F6" w:rsidRPr="000334F6" w:rsidRDefault="000334F6" w:rsidP="000334F6">
            <w:pPr>
              <w:spacing w:line="240" w:lineRule="atLeast"/>
            </w:pPr>
            <w:r w:rsidRPr="000334F6">
              <w:t>AUC</w:t>
            </w:r>
            <w:r w:rsidRPr="000334F6">
              <w:rPr>
                <w:vertAlign w:val="subscript"/>
              </w:rPr>
              <w:t>0-</w:t>
            </w:r>
            <w:r w:rsidRPr="000334F6">
              <w:rPr>
                <w:vertAlign w:val="subscript"/>
              </w:rPr>
              <w:sym w:font="Symbol" w:char="F074"/>
            </w:r>
          </w:p>
        </w:tc>
        <w:tc>
          <w:tcPr>
            <w:tcW w:w="6769" w:type="dxa"/>
          </w:tcPr>
          <w:p w14:paraId="4463AF54" w14:textId="77777777" w:rsidR="000334F6" w:rsidRPr="000334F6" w:rsidRDefault="000334F6" w:rsidP="000334F6">
            <w:pPr>
              <w:spacing w:line="240" w:lineRule="atLeast"/>
              <w:rPr>
                <w:lang w:val="en-US"/>
              </w:rPr>
            </w:pPr>
            <w:r w:rsidRPr="000334F6">
              <w:t>Area under the curve from time 0 to trough</w:t>
            </w:r>
          </w:p>
        </w:tc>
      </w:tr>
      <w:tr w:rsidR="000334F6" w:rsidRPr="000334F6" w14:paraId="4463AF58" w14:textId="77777777" w:rsidTr="001204C7">
        <w:tc>
          <w:tcPr>
            <w:tcW w:w="1951" w:type="dxa"/>
          </w:tcPr>
          <w:p w14:paraId="4463AF56" w14:textId="77777777" w:rsidR="000334F6" w:rsidRPr="000334F6" w:rsidRDefault="000334F6" w:rsidP="000334F6">
            <w:pPr>
              <w:spacing w:line="240" w:lineRule="atLeast"/>
              <w:rPr>
                <w:lang w:val="en-US"/>
              </w:rPr>
            </w:pPr>
            <w:r w:rsidRPr="000334F6">
              <w:t>AUC</w:t>
            </w:r>
            <w:r w:rsidRPr="000334F6">
              <w:rPr>
                <w:vertAlign w:val="subscript"/>
              </w:rPr>
              <w:t>inf</w:t>
            </w:r>
          </w:p>
        </w:tc>
        <w:tc>
          <w:tcPr>
            <w:tcW w:w="6769" w:type="dxa"/>
          </w:tcPr>
          <w:p w14:paraId="4463AF57" w14:textId="77777777" w:rsidR="000334F6" w:rsidRPr="000334F6" w:rsidRDefault="000334F6" w:rsidP="000334F6">
            <w:pPr>
              <w:spacing w:line="240" w:lineRule="atLeast"/>
              <w:rPr>
                <w:lang w:val="en-US"/>
              </w:rPr>
            </w:pPr>
            <w:r w:rsidRPr="000334F6">
              <w:t>Area under the curve from time 0 to infinity</w:t>
            </w:r>
          </w:p>
        </w:tc>
      </w:tr>
      <w:tr w:rsidR="000334F6" w:rsidRPr="000334F6" w14:paraId="4463AF5B" w14:textId="77777777" w:rsidTr="001204C7">
        <w:tc>
          <w:tcPr>
            <w:tcW w:w="1951" w:type="dxa"/>
          </w:tcPr>
          <w:p w14:paraId="4463AF59" w14:textId="77777777" w:rsidR="000334F6" w:rsidRPr="000334F6" w:rsidRDefault="000334F6" w:rsidP="000334F6">
            <w:pPr>
              <w:spacing w:line="240" w:lineRule="atLeast"/>
              <w:rPr>
                <w:lang w:val="en-US"/>
              </w:rPr>
            </w:pPr>
            <w:r w:rsidRPr="000334F6">
              <w:t>AUC</w:t>
            </w:r>
            <w:r w:rsidRPr="000334F6">
              <w:rPr>
                <w:vertAlign w:val="subscript"/>
              </w:rPr>
              <w:t>last</w:t>
            </w:r>
          </w:p>
        </w:tc>
        <w:tc>
          <w:tcPr>
            <w:tcW w:w="6769" w:type="dxa"/>
          </w:tcPr>
          <w:p w14:paraId="4463AF5A" w14:textId="77777777" w:rsidR="000334F6" w:rsidRPr="000334F6" w:rsidRDefault="000334F6" w:rsidP="000334F6">
            <w:pPr>
              <w:spacing w:line="240" w:lineRule="atLeast"/>
              <w:rPr>
                <w:lang w:val="en-US"/>
              </w:rPr>
            </w:pPr>
            <w:r w:rsidRPr="000334F6">
              <w:t>Area under the curve from time 0 to last observation</w:t>
            </w:r>
          </w:p>
        </w:tc>
      </w:tr>
      <w:tr w:rsidR="000334F6" w:rsidRPr="000334F6" w14:paraId="4463AF5E" w14:textId="77777777" w:rsidTr="001204C7">
        <w:tc>
          <w:tcPr>
            <w:tcW w:w="1951" w:type="dxa"/>
          </w:tcPr>
          <w:p w14:paraId="4463AF5C" w14:textId="77777777" w:rsidR="000334F6" w:rsidRPr="000334F6" w:rsidRDefault="000334F6" w:rsidP="000334F6">
            <w:pPr>
              <w:spacing w:line="240" w:lineRule="atLeast"/>
              <w:rPr>
                <w:lang w:val="en-US"/>
              </w:rPr>
            </w:pPr>
            <w:r w:rsidRPr="000334F6">
              <w:rPr>
                <w:lang w:val="en-US"/>
              </w:rPr>
              <w:t>CDS</w:t>
            </w:r>
          </w:p>
        </w:tc>
        <w:tc>
          <w:tcPr>
            <w:tcW w:w="6769" w:type="dxa"/>
          </w:tcPr>
          <w:p w14:paraId="4463AF5D" w14:textId="77777777" w:rsidR="000334F6" w:rsidRPr="000334F6" w:rsidRDefault="000334F6" w:rsidP="000334F6">
            <w:pPr>
              <w:spacing w:line="240" w:lineRule="atLeast"/>
              <w:rPr>
                <w:lang w:val="en-US"/>
              </w:rPr>
            </w:pPr>
            <w:r w:rsidRPr="000334F6">
              <w:rPr>
                <w:lang w:val="en-US"/>
              </w:rPr>
              <w:t>Core Data Sheet</w:t>
            </w:r>
          </w:p>
        </w:tc>
      </w:tr>
      <w:tr w:rsidR="000334F6" w:rsidRPr="000334F6" w14:paraId="4463AF61" w14:textId="77777777" w:rsidTr="001204C7">
        <w:tc>
          <w:tcPr>
            <w:tcW w:w="1951" w:type="dxa"/>
          </w:tcPr>
          <w:p w14:paraId="4463AF5F" w14:textId="77777777" w:rsidR="000334F6" w:rsidRPr="000334F6" w:rsidRDefault="000334F6" w:rsidP="000334F6">
            <w:pPr>
              <w:spacing w:line="240" w:lineRule="atLeast"/>
              <w:rPr>
                <w:lang w:val="en-US"/>
              </w:rPr>
            </w:pPr>
            <w:r w:rsidRPr="000334F6">
              <w:rPr>
                <w:lang w:val="en-US"/>
              </w:rPr>
              <w:t>CHMP</w:t>
            </w:r>
          </w:p>
        </w:tc>
        <w:tc>
          <w:tcPr>
            <w:tcW w:w="6769" w:type="dxa"/>
          </w:tcPr>
          <w:p w14:paraId="4463AF60" w14:textId="77777777" w:rsidR="000334F6" w:rsidRPr="000334F6" w:rsidRDefault="000334F6" w:rsidP="000334F6">
            <w:pPr>
              <w:spacing w:line="240" w:lineRule="atLeast"/>
              <w:rPr>
                <w:lang w:val="en-US"/>
              </w:rPr>
            </w:pPr>
            <w:r w:rsidRPr="000334F6">
              <w:rPr>
                <w:lang w:val="en-US"/>
              </w:rPr>
              <w:t>Committee for Medicinal Products for Human Use</w:t>
            </w:r>
          </w:p>
        </w:tc>
      </w:tr>
      <w:tr w:rsidR="000334F6" w:rsidRPr="000334F6" w14:paraId="4463AF64" w14:textId="77777777" w:rsidTr="001204C7">
        <w:tc>
          <w:tcPr>
            <w:tcW w:w="1951" w:type="dxa"/>
          </w:tcPr>
          <w:p w14:paraId="4463AF62" w14:textId="77777777" w:rsidR="000334F6" w:rsidRPr="000334F6" w:rsidRDefault="000334F6" w:rsidP="000334F6">
            <w:pPr>
              <w:spacing w:line="240" w:lineRule="atLeast"/>
              <w:rPr>
                <w:lang w:val="en-US"/>
              </w:rPr>
            </w:pPr>
            <w:r w:rsidRPr="000334F6">
              <w:rPr>
                <w:lang w:val="en-US"/>
              </w:rPr>
              <w:t>CI</w:t>
            </w:r>
          </w:p>
        </w:tc>
        <w:tc>
          <w:tcPr>
            <w:tcW w:w="6769" w:type="dxa"/>
          </w:tcPr>
          <w:p w14:paraId="4463AF63" w14:textId="77777777" w:rsidR="000334F6" w:rsidRPr="000334F6" w:rsidRDefault="000334F6" w:rsidP="000334F6">
            <w:pPr>
              <w:spacing w:line="240" w:lineRule="atLeast"/>
              <w:rPr>
                <w:lang w:val="en-US"/>
              </w:rPr>
            </w:pPr>
            <w:r w:rsidRPr="000334F6">
              <w:rPr>
                <w:lang w:val="en-US"/>
              </w:rPr>
              <w:t>Confidence interval</w:t>
            </w:r>
          </w:p>
        </w:tc>
      </w:tr>
      <w:tr w:rsidR="000334F6" w:rsidRPr="000334F6" w14:paraId="4463AF67" w14:textId="77777777" w:rsidTr="001204C7">
        <w:tc>
          <w:tcPr>
            <w:tcW w:w="1951" w:type="dxa"/>
          </w:tcPr>
          <w:p w14:paraId="4463AF65" w14:textId="77777777" w:rsidR="000334F6" w:rsidRPr="000334F6" w:rsidRDefault="000334F6" w:rsidP="000334F6">
            <w:pPr>
              <w:spacing w:line="240" w:lineRule="atLeast"/>
              <w:rPr>
                <w:lang w:val="en-US"/>
              </w:rPr>
            </w:pPr>
            <w:r w:rsidRPr="000334F6">
              <w:rPr>
                <w:lang w:val="en-US"/>
              </w:rPr>
              <w:t>CMI</w:t>
            </w:r>
          </w:p>
        </w:tc>
        <w:tc>
          <w:tcPr>
            <w:tcW w:w="6769" w:type="dxa"/>
          </w:tcPr>
          <w:p w14:paraId="4463AF66" w14:textId="77777777" w:rsidR="000334F6" w:rsidRPr="000334F6" w:rsidRDefault="000334F6" w:rsidP="000334F6">
            <w:pPr>
              <w:spacing w:line="240" w:lineRule="atLeast"/>
              <w:rPr>
                <w:lang w:val="en-US"/>
              </w:rPr>
            </w:pPr>
            <w:r w:rsidRPr="000334F6">
              <w:rPr>
                <w:lang w:val="en-US"/>
              </w:rPr>
              <w:t>Consumer Medicine Information</w:t>
            </w:r>
          </w:p>
        </w:tc>
      </w:tr>
      <w:tr w:rsidR="000334F6" w:rsidRPr="000334F6" w14:paraId="4463AF6A" w14:textId="77777777" w:rsidTr="001204C7">
        <w:tc>
          <w:tcPr>
            <w:tcW w:w="1951" w:type="dxa"/>
          </w:tcPr>
          <w:p w14:paraId="4463AF68" w14:textId="77777777" w:rsidR="000334F6" w:rsidRPr="000334F6" w:rsidRDefault="000334F6" w:rsidP="000334F6">
            <w:pPr>
              <w:spacing w:line="240" w:lineRule="atLeast"/>
              <w:rPr>
                <w:lang w:val="en-US"/>
              </w:rPr>
            </w:pPr>
            <w:r w:rsidRPr="000334F6">
              <w:rPr>
                <w:lang w:val="en-US"/>
              </w:rPr>
              <w:t>C</w:t>
            </w:r>
            <w:r w:rsidRPr="000334F6">
              <w:rPr>
                <w:vertAlign w:val="subscript"/>
                <w:lang w:val="en-US"/>
              </w:rPr>
              <w:t>max</w:t>
            </w:r>
          </w:p>
        </w:tc>
        <w:tc>
          <w:tcPr>
            <w:tcW w:w="6769" w:type="dxa"/>
          </w:tcPr>
          <w:p w14:paraId="4463AF69" w14:textId="77777777" w:rsidR="000334F6" w:rsidRPr="000334F6" w:rsidRDefault="000334F6" w:rsidP="000334F6">
            <w:pPr>
              <w:spacing w:line="240" w:lineRule="atLeast"/>
              <w:rPr>
                <w:lang w:val="en-US"/>
              </w:rPr>
            </w:pPr>
            <w:r w:rsidRPr="000334F6">
              <w:rPr>
                <w:lang w:val="en-US"/>
              </w:rPr>
              <w:t>Maximum concentration</w:t>
            </w:r>
          </w:p>
        </w:tc>
      </w:tr>
      <w:tr w:rsidR="000334F6" w:rsidRPr="000334F6" w14:paraId="4463AF6D" w14:textId="77777777" w:rsidTr="001204C7">
        <w:tc>
          <w:tcPr>
            <w:tcW w:w="1951" w:type="dxa"/>
          </w:tcPr>
          <w:p w14:paraId="4463AF6B" w14:textId="77777777" w:rsidR="000334F6" w:rsidRPr="000334F6" w:rsidRDefault="000334F6" w:rsidP="000334F6">
            <w:pPr>
              <w:spacing w:line="240" w:lineRule="atLeast"/>
              <w:rPr>
                <w:lang w:val="en-US"/>
              </w:rPr>
            </w:pPr>
            <w:r w:rsidRPr="000334F6">
              <w:rPr>
                <w:lang w:val="en-US"/>
              </w:rPr>
              <w:t>CrCL</w:t>
            </w:r>
          </w:p>
        </w:tc>
        <w:tc>
          <w:tcPr>
            <w:tcW w:w="6769" w:type="dxa"/>
          </w:tcPr>
          <w:p w14:paraId="4463AF6C" w14:textId="77777777" w:rsidR="000334F6" w:rsidRPr="000334F6" w:rsidRDefault="000334F6" w:rsidP="000334F6">
            <w:pPr>
              <w:spacing w:line="240" w:lineRule="atLeast"/>
              <w:rPr>
                <w:lang w:val="en-US"/>
              </w:rPr>
            </w:pPr>
            <w:r w:rsidRPr="000334F6">
              <w:rPr>
                <w:lang w:val="en-US"/>
              </w:rPr>
              <w:t>Creatinine clearance</w:t>
            </w:r>
          </w:p>
        </w:tc>
      </w:tr>
      <w:tr w:rsidR="000334F6" w:rsidRPr="000334F6" w14:paraId="4463AF70" w14:textId="77777777" w:rsidTr="001204C7">
        <w:tc>
          <w:tcPr>
            <w:tcW w:w="1951" w:type="dxa"/>
          </w:tcPr>
          <w:p w14:paraId="4463AF6E" w14:textId="77777777" w:rsidR="000334F6" w:rsidRPr="000334F6" w:rsidRDefault="000334F6" w:rsidP="000334F6">
            <w:pPr>
              <w:spacing w:line="240" w:lineRule="atLeast"/>
              <w:rPr>
                <w:lang w:val="en-US"/>
              </w:rPr>
            </w:pPr>
            <w:r w:rsidRPr="000334F6">
              <w:rPr>
                <w:lang w:val="en-US"/>
              </w:rPr>
              <w:t>CRP</w:t>
            </w:r>
          </w:p>
        </w:tc>
        <w:tc>
          <w:tcPr>
            <w:tcW w:w="6769" w:type="dxa"/>
          </w:tcPr>
          <w:p w14:paraId="4463AF6F" w14:textId="77777777" w:rsidR="000334F6" w:rsidRPr="000334F6" w:rsidRDefault="000334F6" w:rsidP="000334F6">
            <w:pPr>
              <w:spacing w:line="240" w:lineRule="atLeast"/>
              <w:rPr>
                <w:lang w:val="en-US"/>
              </w:rPr>
            </w:pPr>
            <w:r w:rsidRPr="000334F6">
              <w:rPr>
                <w:lang w:val="en-US"/>
              </w:rPr>
              <w:t>C-reactive protein</w:t>
            </w:r>
          </w:p>
        </w:tc>
      </w:tr>
      <w:tr w:rsidR="000334F6" w:rsidRPr="000334F6" w14:paraId="4463AF73" w14:textId="77777777" w:rsidTr="001204C7">
        <w:tc>
          <w:tcPr>
            <w:tcW w:w="1951" w:type="dxa"/>
          </w:tcPr>
          <w:p w14:paraId="4463AF71" w14:textId="77777777" w:rsidR="000334F6" w:rsidRPr="000334F6" w:rsidRDefault="000334F6" w:rsidP="000334F6">
            <w:pPr>
              <w:spacing w:line="240" w:lineRule="atLeast"/>
              <w:rPr>
                <w:lang w:val="en-US"/>
              </w:rPr>
            </w:pPr>
            <w:r w:rsidRPr="000334F6">
              <w:rPr>
                <w:lang w:val="en-US"/>
              </w:rPr>
              <w:t>CSR</w:t>
            </w:r>
          </w:p>
        </w:tc>
        <w:tc>
          <w:tcPr>
            <w:tcW w:w="6769" w:type="dxa"/>
          </w:tcPr>
          <w:p w14:paraId="4463AF72" w14:textId="77777777" w:rsidR="000334F6" w:rsidRPr="000334F6" w:rsidRDefault="000334F6" w:rsidP="000334F6">
            <w:pPr>
              <w:spacing w:line="240" w:lineRule="atLeast"/>
              <w:rPr>
                <w:lang w:val="en-US"/>
              </w:rPr>
            </w:pPr>
            <w:r w:rsidRPr="000334F6">
              <w:rPr>
                <w:lang w:val="en-US"/>
              </w:rPr>
              <w:t>Clinical Study Report</w:t>
            </w:r>
          </w:p>
        </w:tc>
      </w:tr>
      <w:tr w:rsidR="000334F6" w:rsidRPr="000334F6" w14:paraId="4463AF76" w14:textId="77777777" w:rsidTr="001204C7">
        <w:tc>
          <w:tcPr>
            <w:tcW w:w="1951" w:type="dxa"/>
          </w:tcPr>
          <w:p w14:paraId="4463AF74" w14:textId="77777777" w:rsidR="000334F6" w:rsidRPr="000334F6" w:rsidRDefault="000334F6" w:rsidP="000334F6">
            <w:pPr>
              <w:spacing w:line="240" w:lineRule="atLeast"/>
              <w:rPr>
                <w:lang w:val="en-US"/>
              </w:rPr>
            </w:pPr>
            <w:r w:rsidRPr="000334F6">
              <w:rPr>
                <w:lang w:val="en-US"/>
              </w:rPr>
              <w:t>CTC</w:t>
            </w:r>
          </w:p>
        </w:tc>
        <w:tc>
          <w:tcPr>
            <w:tcW w:w="6769" w:type="dxa"/>
          </w:tcPr>
          <w:p w14:paraId="4463AF75" w14:textId="77777777" w:rsidR="000334F6" w:rsidRPr="000334F6" w:rsidRDefault="000334F6" w:rsidP="000334F6">
            <w:pPr>
              <w:spacing w:line="240" w:lineRule="atLeast"/>
              <w:rPr>
                <w:lang w:val="en-US"/>
              </w:rPr>
            </w:pPr>
            <w:r w:rsidRPr="000334F6">
              <w:rPr>
                <w:lang w:val="en-US"/>
              </w:rPr>
              <w:t>Common Toxicity Criteria</w:t>
            </w:r>
          </w:p>
        </w:tc>
      </w:tr>
      <w:tr w:rsidR="000334F6" w:rsidRPr="000334F6" w14:paraId="4463AF79" w14:textId="77777777" w:rsidTr="001204C7">
        <w:tc>
          <w:tcPr>
            <w:tcW w:w="1951" w:type="dxa"/>
          </w:tcPr>
          <w:p w14:paraId="4463AF77" w14:textId="77777777" w:rsidR="000334F6" w:rsidRPr="000334F6" w:rsidRDefault="000334F6" w:rsidP="000334F6">
            <w:pPr>
              <w:spacing w:line="240" w:lineRule="atLeast"/>
              <w:rPr>
                <w:lang w:val="en-US"/>
              </w:rPr>
            </w:pPr>
            <w:r w:rsidRPr="000334F6">
              <w:rPr>
                <w:lang w:val="en-US"/>
              </w:rPr>
              <w:t>C</w:t>
            </w:r>
            <w:r w:rsidRPr="000334F6">
              <w:rPr>
                <w:vertAlign w:val="subscript"/>
                <w:lang w:val="en-US"/>
              </w:rPr>
              <w:t>trough</w:t>
            </w:r>
          </w:p>
        </w:tc>
        <w:tc>
          <w:tcPr>
            <w:tcW w:w="6769" w:type="dxa"/>
          </w:tcPr>
          <w:p w14:paraId="4463AF78" w14:textId="77777777" w:rsidR="000334F6" w:rsidRPr="000334F6" w:rsidRDefault="000334F6" w:rsidP="000334F6">
            <w:pPr>
              <w:spacing w:line="240" w:lineRule="atLeast"/>
              <w:rPr>
                <w:lang w:val="en-US"/>
              </w:rPr>
            </w:pPr>
            <w:r w:rsidRPr="000334F6">
              <w:rPr>
                <w:lang w:val="en-US"/>
              </w:rPr>
              <w:t>Trough plasma concentrations</w:t>
            </w:r>
          </w:p>
        </w:tc>
      </w:tr>
      <w:tr w:rsidR="000334F6" w:rsidRPr="000334F6" w14:paraId="4463AF7C" w14:textId="77777777" w:rsidTr="001204C7">
        <w:tc>
          <w:tcPr>
            <w:tcW w:w="1951" w:type="dxa"/>
          </w:tcPr>
          <w:p w14:paraId="4463AF7A" w14:textId="77777777" w:rsidR="000334F6" w:rsidRPr="000334F6" w:rsidRDefault="000334F6" w:rsidP="000334F6">
            <w:pPr>
              <w:spacing w:line="240" w:lineRule="atLeast"/>
              <w:rPr>
                <w:lang w:val="en-US"/>
              </w:rPr>
            </w:pPr>
            <w:r w:rsidRPr="000334F6">
              <w:rPr>
                <w:lang w:val="en-US"/>
              </w:rPr>
              <w:t>DAS28</w:t>
            </w:r>
          </w:p>
        </w:tc>
        <w:tc>
          <w:tcPr>
            <w:tcW w:w="6769" w:type="dxa"/>
          </w:tcPr>
          <w:p w14:paraId="4463AF7B" w14:textId="77777777" w:rsidR="000334F6" w:rsidRPr="000334F6" w:rsidRDefault="000334F6" w:rsidP="000334F6">
            <w:pPr>
              <w:spacing w:line="240" w:lineRule="atLeast"/>
              <w:rPr>
                <w:lang w:val="en-US"/>
              </w:rPr>
            </w:pPr>
            <w:r w:rsidRPr="000334F6">
              <w:t>Disease Activity Score in 28 Joints</w:t>
            </w:r>
          </w:p>
        </w:tc>
      </w:tr>
      <w:tr w:rsidR="000334F6" w:rsidRPr="000334F6" w14:paraId="4463AF7F" w14:textId="77777777" w:rsidTr="001204C7">
        <w:tc>
          <w:tcPr>
            <w:tcW w:w="1951" w:type="dxa"/>
          </w:tcPr>
          <w:p w14:paraId="4463AF7D" w14:textId="77777777" w:rsidR="000334F6" w:rsidRPr="000334F6" w:rsidRDefault="000334F6" w:rsidP="000334F6">
            <w:pPr>
              <w:spacing w:line="240" w:lineRule="atLeast"/>
              <w:rPr>
                <w:lang w:val="en-US"/>
              </w:rPr>
            </w:pPr>
            <w:r w:rsidRPr="000334F6">
              <w:rPr>
                <w:lang w:val="en-US"/>
              </w:rPr>
              <w:t>DB</w:t>
            </w:r>
          </w:p>
        </w:tc>
        <w:tc>
          <w:tcPr>
            <w:tcW w:w="6769" w:type="dxa"/>
          </w:tcPr>
          <w:p w14:paraId="4463AF7E" w14:textId="77777777" w:rsidR="000334F6" w:rsidRPr="000334F6" w:rsidRDefault="000334F6" w:rsidP="000334F6">
            <w:pPr>
              <w:spacing w:line="240" w:lineRule="atLeast"/>
              <w:rPr>
                <w:lang w:val="en-US"/>
              </w:rPr>
            </w:pPr>
            <w:r w:rsidRPr="000334F6">
              <w:rPr>
                <w:lang w:val="en-US"/>
              </w:rPr>
              <w:t>Double Blind</w:t>
            </w:r>
          </w:p>
        </w:tc>
      </w:tr>
      <w:tr w:rsidR="000334F6" w:rsidRPr="000334F6" w14:paraId="4463AF82" w14:textId="77777777" w:rsidTr="001204C7">
        <w:tc>
          <w:tcPr>
            <w:tcW w:w="1951" w:type="dxa"/>
          </w:tcPr>
          <w:p w14:paraId="4463AF80" w14:textId="77777777" w:rsidR="000334F6" w:rsidRPr="000334F6" w:rsidRDefault="000334F6" w:rsidP="000334F6">
            <w:pPr>
              <w:spacing w:line="240" w:lineRule="atLeast"/>
              <w:rPr>
                <w:lang w:val="en-US"/>
              </w:rPr>
            </w:pPr>
            <w:r w:rsidRPr="000334F6">
              <w:rPr>
                <w:lang w:val="en-US"/>
              </w:rPr>
              <w:lastRenderedPageBreak/>
              <w:t>DMARD</w:t>
            </w:r>
          </w:p>
        </w:tc>
        <w:tc>
          <w:tcPr>
            <w:tcW w:w="6769" w:type="dxa"/>
          </w:tcPr>
          <w:p w14:paraId="4463AF81" w14:textId="77777777" w:rsidR="000334F6" w:rsidRPr="000334F6" w:rsidRDefault="000334F6" w:rsidP="000334F6">
            <w:pPr>
              <w:spacing w:line="240" w:lineRule="atLeast"/>
              <w:rPr>
                <w:lang w:val="en-US"/>
              </w:rPr>
            </w:pPr>
            <w:r w:rsidRPr="000334F6">
              <w:rPr>
                <w:lang w:val="en-US"/>
              </w:rPr>
              <w:t>Disease Modifying Anti-Rheumatic Drug</w:t>
            </w:r>
          </w:p>
        </w:tc>
      </w:tr>
      <w:tr w:rsidR="000334F6" w:rsidRPr="000334F6" w14:paraId="4463AF85" w14:textId="77777777" w:rsidTr="001204C7">
        <w:tc>
          <w:tcPr>
            <w:tcW w:w="1951" w:type="dxa"/>
          </w:tcPr>
          <w:p w14:paraId="4463AF83" w14:textId="77777777" w:rsidR="000334F6" w:rsidRPr="000334F6" w:rsidRDefault="000334F6" w:rsidP="000334F6">
            <w:pPr>
              <w:spacing w:line="240" w:lineRule="atLeast"/>
              <w:rPr>
                <w:lang w:val="en-US"/>
              </w:rPr>
            </w:pPr>
            <w:r w:rsidRPr="000334F6">
              <w:rPr>
                <w:lang w:val="en-US"/>
              </w:rPr>
              <w:t>EMA</w:t>
            </w:r>
          </w:p>
        </w:tc>
        <w:tc>
          <w:tcPr>
            <w:tcW w:w="6769" w:type="dxa"/>
          </w:tcPr>
          <w:p w14:paraId="4463AF84" w14:textId="77777777" w:rsidR="000334F6" w:rsidRPr="000334F6" w:rsidRDefault="000334F6" w:rsidP="000334F6">
            <w:pPr>
              <w:spacing w:line="240" w:lineRule="atLeast"/>
              <w:rPr>
                <w:lang w:val="en-US"/>
              </w:rPr>
            </w:pPr>
            <w:r w:rsidRPr="000334F6">
              <w:rPr>
                <w:lang w:val="en-US"/>
              </w:rPr>
              <w:t>The European Agency for the Evaluation of Medicinal Products</w:t>
            </w:r>
          </w:p>
        </w:tc>
      </w:tr>
      <w:tr w:rsidR="000334F6" w:rsidRPr="000334F6" w14:paraId="4463AF88" w14:textId="77777777" w:rsidTr="001204C7">
        <w:tc>
          <w:tcPr>
            <w:tcW w:w="1951" w:type="dxa"/>
          </w:tcPr>
          <w:p w14:paraId="4463AF86" w14:textId="77777777" w:rsidR="000334F6" w:rsidRPr="000334F6" w:rsidRDefault="000334F6" w:rsidP="000334F6">
            <w:pPr>
              <w:spacing w:line="240" w:lineRule="atLeast"/>
              <w:rPr>
                <w:lang w:val="en-US"/>
              </w:rPr>
            </w:pPr>
            <w:r w:rsidRPr="000334F6">
              <w:rPr>
                <w:lang w:val="en-US"/>
              </w:rPr>
              <w:t>E</w:t>
            </w:r>
            <w:r w:rsidRPr="000334F6">
              <w:rPr>
                <w:vertAlign w:val="subscript"/>
                <w:lang w:val="en-US"/>
              </w:rPr>
              <w:t>max</w:t>
            </w:r>
          </w:p>
        </w:tc>
        <w:tc>
          <w:tcPr>
            <w:tcW w:w="6769" w:type="dxa"/>
          </w:tcPr>
          <w:p w14:paraId="4463AF87" w14:textId="77777777" w:rsidR="000334F6" w:rsidRPr="000334F6" w:rsidRDefault="000334F6" w:rsidP="000334F6">
            <w:pPr>
              <w:spacing w:line="240" w:lineRule="atLeast"/>
              <w:rPr>
                <w:lang w:val="en-US"/>
              </w:rPr>
            </w:pPr>
            <w:r w:rsidRPr="000334F6">
              <w:rPr>
                <w:lang w:val="en-US"/>
              </w:rPr>
              <w:t>Maximum effect</w:t>
            </w:r>
          </w:p>
        </w:tc>
      </w:tr>
      <w:tr w:rsidR="000334F6" w:rsidRPr="000334F6" w14:paraId="4463AF8B" w14:textId="77777777" w:rsidTr="001204C7">
        <w:tc>
          <w:tcPr>
            <w:tcW w:w="1951" w:type="dxa"/>
          </w:tcPr>
          <w:p w14:paraId="4463AF89" w14:textId="77777777" w:rsidR="000334F6" w:rsidRPr="000334F6" w:rsidRDefault="000334F6" w:rsidP="000334F6">
            <w:pPr>
              <w:spacing w:line="240" w:lineRule="atLeast"/>
              <w:rPr>
                <w:lang w:val="en-US"/>
              </w:rPr>
            </w:pPr>
            <w:r w:rsidRPr="000334F6">
              <w:rPr>
                <w:lang w:val="en-US"/>
              </w:rPr>
              <w:t>ESR</w:t>
            </w:r>
          </w:p>
        </w:tc>
        <w:tc>
          <w:tcPr>
            <w:tcW w:w="6769" w:type="dxa"/>
          </w:tcPr>
          <w:p w14:paraId="4463AF8A" w14:textId="77777777" w:rsidR="000334F6" w:rsidRPr="000334F6" w:rsidRDefault="000334F6" w:rsidP="000334F6">
            <w:pPr>
              <w:spacing w:line="240" w:lineRule="atLeast"/>
              <w:rPr>
                <w:lang w:val="en-US"/>
              </w:rPr>
            </w:pPr>
            <w:r w:rsidRPr="000334F6">
              <w:rPr>
                <w:lang w:val="en-US"/>
              </w:rPr>
              <w:t>Erythrocyte sedimentation rate</w:t>
            </w:r>
          </w:p>
        </w:tc>
      </w:tr>
      <w:tr w:rsidR="000334F6" w:rsidRPr="000334F6" w14:paraId="4463AF8E" w14:textId="77777777" w:rsidTr="001204C7">
        <w:tc>
          <w:tcPr>
            <w:tcW w:w="1951" w:type="dxa"/>
          </w:tcPr>
          <w:p w14:paraId="4463AF8C" w14:textId="77777777" w:rsidR="000334F6" w:rsidRPr="000334F6" w:rsidRDefault="000334F6" w:rsidP="000334F6">
            <w:pPr>
              <w:spacing w:line="240" w:lineRule="atLeast"/>
              <w:rPr>
                <w:lang w:val="en-US"/>
              </w:rPr>
            </w:pPr>
            <w:r w:rsidRPr="000334F6">
              <w:rPr>
                <w:lang w:val="en-US"/>
              </w:rPr>
              <w:t>FDA</w:t>
            </w:r>
          </w:p>
        </w:tc>
        <w:tc>
          <w:tcPr>
            <w:tcW w:w="6769" w:type="dxa"/>
          </w:tcPr>
          <w:p w14:paraId="4463AF8D" w14:textId="77777777" w:rsidR="000334F6" w:rsidRPr="000334F6" w:rsidRDefault="000334F6" w:rsidP="000334F6">
            <w:pPr>
              <w:spacing w:line="240" w:lineRule="atLeast"/>
              <w:rPr>
                <w:lang w:val="en-US"/>
              </w:rPr>
            </w:pPr>
            <w:r w:rsidRPr="000334F6">
              <w:rPr>
                <w:lang w:val="en-US"/>
              </w:rPr>
              <w:t>Food and Drug Administration</w:t>
            </w:r>
          </w:p>
        </w:tc>
      </w:tr>
      <w:tr w:rsidR="000334F6" w:rsidRPr="000334F6" w14:paraId="4463AF91" w14:textId="77777777" w:rsidTr="001204C7">
        <w:tc>
          <w:tcPr>
            <w:tcW w:w="1951" w:type="dxa"/>
          </w:tcPr>
          <w:p w14:paraId="4463AF8F" w14:textId="77777777" w:rsidR="000334F6" w:rsidRPr="000334F6" w:rsidRDefault="000334F6" w:rsidP="000334F6">
            <w:pPr>
              <w:spacing w:line="240" w:lineRule="atLeast"/>
              <w:rPr>
                <w:lang w:val="en-US"/>
              </w:rPr>
            </w:pPr>
            <w:r w:rsidRPr="000334F6">
              <w:rPr>
                <w:lang w:val="en-US"/>
              </w:rPr>
              <w:t>GCP</w:t>
            </w:r>
          </w:p>
        </w:tc>
        <w:tc>
          <w:tcPr>
            <w:tcW w:w="6769" w:type="dxa"/>
          </w:tcPr>
          <w:p w14:paraId="4463AF90" w14:textId="77777777" w:rsidR="000334F6" w:rsidRPr="000334F6" w:rsidRDefault="000334F6" w:rsidP="000334F6">
            <w:pPr>
              <w:spacing w:line="240" w:lineRule="atLeast"/>
              <w:rPr>
                <w:lang w:val="en-US"/>
              </w:rPr>
            </w:pPr>
            <w:r w:rsidRPr="000334F6">
              <w:rPr>
                <w:lang w:val="en-US"/>
              </w:rPr>
              <w:t>Good Clinical Practice</w:t>
            </w:r>
          </w:p>
        </w:tc>
      </w:tr>
      <w:tr w:rsidR="000334F6" w:rsidRPr="000334F6" w14:paraId="4463AF94" w14:textId="77777777" w:rsidTr="001204C7">
        <w:tc>
          <w:tcPr>
            <w:tcW w:w="1951" w:type="dxa"/>
          </w:tcPr>
          <w:p w14:paraId="4463AF92" w14:textId="77777777" w:rsidR="000334F6" w:rsidRPr="000334F6" w:rsidRDefault="000334F6" w:rsidP="000334F6">
            <w:pPr>
              <w:spacing w:line="240" w:lineRule="atLeast"/>
              <w:rPr>
                <w:lang w:val="en-US"/>
              </w:rPr>
            </w:pPr>
            <w:r w:rsidRPr="000334F6">
              <w:rPr>
                <w:lang w:val="en-US"/>
              </w:rPr>
              <w:t>GI</w:t>
            </w:r>
          </w:p>
        </w:tc>
        <w:tc>
          <w:tcPr>
            <w:tcW w:w="6769" w:type="dxa"/>
          </w:tcPr>
          <w:p w14:paraId="4463AF93" w14:textId="77777777" w:rsidR="000334F6" w:rsidRPr="000334F6" w:rsidRDefault="000334F6" w:rsidP="000334F6">
            <w:pPr>
              <w:spacing w:line="240" w:lineRule="atLeast"/>
              <w:rPr>
                <w:lang w:val="en-US"/>
              </w:rPr>
            </w:pPr>
            <w:r w:rsidRPr="000334F6">
              <w:rPr>
                <w:lang w:val="en-US"/>
              </w:rPr>
              <w:t>Gastrointestinal</w:t>
            </w:r>
          </w:p>
        </w:tc>
      </w:tr>
      <w:tr w:rsidR="000334F6" w:rsidRPr="000334F6" w14:paraId="4463AF97" w14:textId="77777777" w:rsidTr="001204C7">
        <w:tc>
          <w:tcPr>
            <w:tcW w:w="1951" w:type="dxa"/>
          </w:tcPr>
          <w:p w14:paraId="4463AF95" w14:textId="77777777" w:rsidR="000334F6" w:rsidRPr="000334F6" w:rsidRDefault="000334F6" w:rsidP="000334F6">
            <w:pPr>
              <w:spacing w:line="240" w:lineRule="atLeast"/>
              <w:rPr>
                <w:lang w:val="en-US"/>
              </w:rPr>
            </w:pPr>
            <w:r w:rsidRPr="000334F6">
              <w:rPr>
                <w:lang w:val="en-US"/>
              </w:rPr>
              <w:t>HAQ-DI</w:t>
            </w:r>
          </w:p>
        </w:tc>
        <w:tc>
          <w:tcPr>
            <w:tcW w:w="6769" w:type="dxa"/>
          </w:tcPr>
          <w:p w14:paraId="4463AF96" w14:textId="77777777" w:rsidR="000334F6" w:rsidRPr="000334F6" w:rsidRDefault="000334F6" w:rsidP="000334F6">
            <w:pPr>
              <w:spacing w:line="240" w:lineRule="atLeast"/>
              <w:rPr>
                <w:lang w:val="en-US"/>
              </w:rPr>
            </w:pPr>
            <w:r w:rsidRPr="000334F6">
              <w:t>Health assessment questionnaire disability index</w:t>
            </w:r>
          </w:p>
        </w:tc>
      </w:tr>
      <w:tr w:rsidR="000334F6" w:rsidRPr="000334F6" w14:paraId="4463AF9A" w14:textId="77777777" w:rsidTr="001204C7">
        <w:tc>
          <w:tcPr>
            <w:tcW w:w="1951" w:type="dxa"/>
          </w:tcPr>
          <w:p w14:paraId="4463AF98" w14:textId="77777777" w:rsidR="000334F6" w:rsidRPr="000334F6" w:rsidRDefault="000334F6" w:rsidP="000334F6">
            <w:pPr>
              <w:spacing w:line="240" w:lineRule="atLeast"/>
              <w:rPr>
                <w:lang w:val="en-US"/>
              </w:rPr>
            </w:pPr>
            <w:r w:rsidRPr="000334F6">
              <w:rPr>
                <w:lang w:val="en-US"/>
              </w:rPr>
              <w:t>HDL</w:t>
            </w:r>
          </w:p>
        </w:tc>
        <w:tc>
          <w:tcPr>
            <w:tcW w:w="6769" w:type="dxa"/>
          </w:tcPr>
          <w:p w14:paraId="4463AF99" w14:textId="77777777" w:rsidR="000334F6" w:rsidRPr="000334F6" w:rsidRDefault="000334F6" w:rsidP="000334F6">
            <w:pPr>
              <w:spacing w:line="240" w:lineRule="atLeast"/>
              <w:rPr>
                <w:lang w:val="en-US"/>
              </w:rPr>
            </w:pPr>
            <w:r w:rsidRPr="000334F6">
              <w:rPr>
                <w:lang w:val="en-US"/>
              </w:rPr>
              <w:t>High-density lipoprotein</w:t>
            </w:r>
          </w:p>
        </w:tc>
      </w:tr>
      <w:tr w:rsidR="000334F6" w:rsidRPr="000334F6" w14:paraId="4463AF9D" w14:textId="77777777" w:rsidTr="001204C7">
        <w:tc>
          <w:tcPr>
            <w:tcW w:w="1951" w:type="dxa"/>
          </w:tcPr>
          <w:p w14:paraId="4463AF9B" w14:textId="77777777" w:rsidR="000334F6" w:rsidRPr="000334F6" w:rsidRDefault="000334F6" w:rsidP="000334F6">
            <w:pPr>
              <w:spacing w:line="240" w:lineRule="atLeast"/>
              <w:rPr>
                <w:lang w:val="en-US"/>
              </w:rPr>
            </w:pPr>
            <w:r w:rsidRPr="000334F6">
              <w:rPr>
                <w:lang w:val="en-US"/>
              </w:rPr>
              <w:t>IL-6</w:t>
            </w:r>
          </w:p>
        </w:tc>
        <w:tc>
          <w:tcPr>
            <w:tcW w:w="6769" w:type="dxa"/>
          </w:tcPr>
          <w:p w14:paraId="4463AF9C" w14:textId="77777777" w:rsidR="000334F6" w:rsidRPr="000334F6" w:rsidRDefault="000334F6" w:rsidP="000334F6">
            <w:pPr>
              <w:spacing w:line="240" w:lineRule="atLeast"/>
              <w:rPr>
                <w:lang w:val="en-US"/>
              </w:rPr>
            </w:pPr>
            <w:r w:rsidRPr="000334F6">
              <w:rPr>
                <w:lang w:val="en-US"/>
              </w:rPr>
              <w:t>Interleukin-6</w:t>
            </w:r>
          </w:p>
        </w:tc>
      </w:tr>
      <w:tr w:rsidR="000334F6" w:rsidRPr="000334F6" w14:paraId="4463AFA0" w14:textId="77777777" w:rsidTr="001204C7">
        <w:tc>
          <w:tcPr>
            <w:tcW w:w="1951" w:type="dxa"/>
          </w:tcPr>
          <w:p w14:paraId="4463AF9E" w14:textId="77777777" w:rsidR="000334F6" w:rsidRPr="000334F6" w:rsidRDefault="000334F6" w:rsidP="000334F6">
            <w:pPr>
              <w:spacing w:line="240" w:lineRule="atLeast"/>
              <w:rPr>
                <w:lang w:val="en-US"/>
              </w:rPr>
            </w:pPr>
            <w:r w:rsidRPr="000334F6">
              <w:rPr>
                <w:lang w:val="en-US"/>
              </w:rPr>
              <w:t>IL-6R</w:t>
            </w:r>
          </w:p>
        </w:tc>
        <w:tc>
          <w:tcPr>
            <w:tcW w:w="6769" w:type="dxa"/>
          </w:tcPr>
          <w:p w14:paraId="4463AF9F" w14:textId="77777777" w:rsidR="000334F6" w:rsidRPr="000334F6" w:rsidRDefault="000334F6" w:rsidP="000334F6">
            <w:pPr>
              <w:spacing w:line="240" w:lineRule="atLeast"/>
              <w:rPr>
                <w:lang w:val="en-US"/>
              </w:rPr>
            </w:pPr>
            <w:r w:rsidRPr="000334F6">
              <w:rPr>
                <w:lang w:val="en-US"/>
              </w:rPr>
              <w:t>Interleukin-6 receptor</w:t>
            </w:r>
          </w:p>
        </w:tc>
      </w:tr>
      <w:tr w:rsidR="000334F6" w:rsidRPr="000334F6" w14:paraId="4463AFA3" w14:textId="77777777" w:rsidTr="001204C7">
        <w:tc>
          <w:tcPr>
            <w:tcW w:w="1951" w:type="dxa"/>
          </w:tcPr>
          <w:p w14:paraId="4463AFA1" w14:textId="77777777" w:rsidR="000334F6" w:rsidRPr="000334F6" w:rsidRDefault="000334F6" w:rsidP="000334F6">
            <w:pPr>
              <w:spacing w:line="240" w:lineRule="atLeast"/>
              <w:rPr>
                <w:lang w:val="en-US"/>
              </w:rPr>
            </w:pPr>
            <w:r w:rsidRPr="000334F6">
              <w:rPr>
                <w:lang w:val="en-US"/>
              </w:rPr>
              <w:t>ITT</w:t>
            </w:r>
          </w:p>
        </w:tc>
        <w:tc>
          <w:tcPr>
            <w:tcW w:w="6769" w:type="dxa"/>
          </w:tcPr>
          <w:p w14:paraId="4463AFA2" w14:textId="77777777" w:rsidR="000334F6" w:rsidRPr="000334F6" w:rsidRDefault="000334F6" w:rsidP="000334F6">
            <w:pPr>
              <w:spacing w:line="240" w:lineRule="atLeast"/>
              <w:rPr>
                <w:lang w:val="en-US"/>
              </w:rPr>
            </w:pPr>
            <w:r w:rsidRPr="000334F6">
              <w:rPr>
                <w:lang w:val="en-US"/>
              </w:rPr>
              <w:t>Intention-to-treat</w:t>
            </w:r>
          </w:p>
        </w:tc>
      </w:tr>
      <w:tr w:rsidR="000334F6" w:rsidRPr="000334F6" w14:paraId="4463AFA6" w14:textId="77777777" w:rsidTr="001204C7">
        <w:tc>
          <w:tcPr>
            <w:tcW w:w="1951" w:type="dxa"/>
          </w:tcPr>
          <w:p w14:paraId="4463AFA4" w14:textId="77777777" w:rsidR="000334F6" w:rsidRPr="000334F6" w:rsidRDefault="000334F6" w:rsidP="000334F6">
            <w:pPr>
              <w:spacing w:line="240" w:lineRule="atLeast"/>
              <w:rPr>
                <w:lang w:val="en-US"/>
              </w:rPr>
            </w:pPr>
            <w:r w:rsidRPr="000334F6">
              <w:rPr>
                <w:lang w:val="en-US"/>
              </w:rPr>
              <w:t>IV</w:t>
            </w:r>
          </w:p>
        </w:tc>
        <w:tc>
          <w:tcPr>
            <w:tcW w:w="6769" w:type="dxa"/>
          </w:tcPr>
          <w:p w14:paraId="4463AFA5" w14:textId="77777777" w:rsidR="000334F6" w:rsidRPr="000334F6" w:rsidRDefault="000334F6" w:rsidP="000334F6">
            <w:pPr>
              <w:spacing w:line="240" w:lineRule="atLeast"/>
              <w:rPr>
                <w:lang w:val="en-US"/>
              </w:rPr>
            </w:pPr>
            <w:r w:rsidRPr="000334F6">
              <w:rPr>
                <w:lang w:val="en-US"/>
              </w:rPr>
              <w:t>Intravenous</w:t>
            </w:r>
          </w:p>
        </w:tc>
      </w:tr>
      <w:tr w:rsidR="000334F6" w:rsidRPr="000334F6" w14:paraId="4463AFA9" w14:textId="77777777" w:rsidTr="001204C7">
        <w:tc>
          <w:tcPr>
            <w:tcW w:w="1951" w:type="dxa"/>
          </w:tcPr>
          <w:p w14:paraId="4463AFA7" w14:textId="77777777" w:rsidR="000334F6" w:rsidRPr="000334F6" w:rsidRDefault="000334F6" w:rsidP="000334F6">
            <w:pPr>
              <w:spacing w:line="240" w:lineRule="atLeast"/>
              <w:rPr>
                <w:lang w:val="en-US"/>
              </w:rPr>
            </w:pPr>
            <w:r w:rsidRPr="000334F6">
              <w:rPr>
                <w:lang w:val="en-US"/>
              </w:rPr>
              <w:t>JIA</w:t>
            </w:r>
          </w:p>
        </w:tc>
        <w:tc>
          <w:tcPr>
            <w:tcW w:w="6769" w:type="dxa"/>
          </w:tcPr>
          <w:p w14:paraId="4463AFA8" w14:textId="77777777" w:rsidR="000334F6" w:rsidRPr="000334F6" w:rsidRDefault="000334F6" w:rsidP="000334F6">
            <w:pPr>
              <w:spacing w:line="240" w:lineRule="atLeast"/>
              <w:rPr>
                <w:lang w:val="en-US"/>
              </w:rPr>
            </w:pPr>
            <w:r w:rsidRPr="000334F6">
              <w:rPr>
                <w:lang w:val="en-US"/>
              </w:rPr>
              <w:t>Juvenile idiopathic arthritis</w:t>
            </w:r>
          </w:p>
        </w:tc>
      </w:tr>
      <w:tr w:rsidR="000334F6" w:rsidRPr="000334F6" w14:paraId="4463AFAC" w14:textId="77777777" w:rsidTr="001204C7">
        <w:tc>
          <w:tcPr>
            <w:tcW w:w="1951" w:type="dxa"/>
          </w:tcPr>
          <w:p w14:paraId="4463AFAA" w14:textId="77777777" w:rsidR="000334F6" w:rsidRPr="000334F6" w:rsidRDefault="000334F6" w:rsidP="000334F6">
            <w:pPr>
              <w:spacing w:line="240" w:lineRule="atLeast"/>
              <w:rPr>
                <w:lang w:val="en-US"/>
              </w:rPr>
            </w:pPr>
            <w:r w:rsidRPr="000334F6">
              <w:t>k</w:t>
            </w:r>
            <w:r w:rsidRPr="000334F6">
              <w:rPr>
                <w:vertAlign w:val="subscript"/>
              </w:rPr>
              <w:t>a</w:t>
            </w:r>
          </w:p>
        </w:tc>
        <w:tc>
          <w:tcPr>
            <w:tcW w:w="6769" w:type="dxa"/>
          </w:tcPr>
          <w:p w14:paraId="4463AFAB" w14:textId="77777777" w:rsidR="000334F6" w:rsidRPr="000334F6" w:rsidRDefault="000334F6" w:rsidP="000334F6">
            <w:pPr>
              <w:spacing w:line="240" w:lineRule="atLeast"/>
              <w:rPr>
                <w:lang w:val="en-US"/>
              </w:rPr>
            </w:pPr>
            <w:r w:rsidRPr="000334F6">
              <w:rPr>
                <w:lang w:val="en-US"/>
              </w:rPr>
              <w:t>Absorption rate constant</w:t>
            </w:r>
          </w:p>
        </w:tc>
      </w:tr>
      <w:tr w:rsidR="000334F6" w:rsidRPr="000334F6" w14:paraId="4463AFAF" w14:textId="77777777" w:rsidTr="001204C7">
        <w:tc>
          <w:tcPr>
            <w:tcW w:w="1951" w:type="dxa"/>
          </w:tcPr>
          <w:p w14:paraId="4463AFAD" w14:textId="77777777" w:rsidR="000334F6" w:rsidRPr="000334F6" w:rsidRDefault="000334F6" w:rsidP="000334F6">
            <w:pPr>
              <w:spacing w:line="240" w:lineRule="atLeast"/>
              <w:rPr>
                <w:lang w:val="en-US"/>
              </w:rPr>
            </w:pPr>
            <w:r w:rsidRPr="000334F6">
              <w:rPr>
                <w:lang w:val="en-US"/>
              </w:rPr>
              <w:t>LDL</w:t>
            </w:r>
          </w:p>
        </w:tc>
        <w:tc>
          <w:tcPr>
            <w:tcW w:w="6769" w:type="dxa"/>
          </w:tcPr>
          <w:p w14:paraId="4463AFAE" w14:textId="77777777" w:rsidR="000334F6" w:rsidRPr="000334F6" w:rsidRDefault="000334F6" w:rsidP="000334F6">
            <w:pPr>
              <w:spacing w:line="240" w:lineRule="atLeast"/>
              <w:rPr>
                <w:lang w:val="en-US"/>
              </w:rPr>
            </w:pPr>
            <w:r w:rsidRPr="000334F6">
              <w:rPr>
                <w:lang w:val="en-US"/>
              </w:rPr>
              <w:t>Low-density lipoprotein</w:t>
            </w:r>
          </w:p>
        </w:tc>
      </w:tr>
      <w:tr w:rsidR="000334F6" w:rsidRPr="000334F6" w14:paraId="4463AFB2" w14:textId="77777777" w:rsidTr="001204C7">
        <w:tc>
          <w:tcPr>
            <w:tcW w:w="1951" w:type="dxa"/>
          </w:tcPr>
          <w:p w14:paraId="4463AFB0" w14:textId="77777777" w:rsidR="000334F6" w:rsidRPr="000334F6" w:rsidRDefault="000334F6" w:rsidP="000334F6">
            <w:pPr>
              <w:spacing w:line="240" w:lineRule="atLeast"/>
              <w:rPr>
                <w:lang w:val="en-US"/>
              </w:rPr>
            </w:pPr>
            <w:r w:rsidRPr="000334F6">
              <w:rPr>
                <w:lang w:val="en-US"/>
              </w:rPr>
              <w:t>LFT</w:t>
            </w:r>
          </w:p>
        </w:tc>
        <w:tc>
          <w:tcPr>
            <w:tcW w:w="6769" w:type="dxa"/>
          </w:tcPr>
          <w:p w14:paraId="4463AFB1" w14:textId="77777777" w:rsidR="000334F6" w:rsidRPr="000334F6" w:rsidRDefault="000334F6" w:rsidP="000334F6">
            <w:pPr>
              <w:spacing w:line="240" w:lineRule="atLeast"/>
              <w:rPr>
                <w:lang w:val="en-US"/>
              </w:rPr>
            </w:pPr>
            <w:r w:rsidRPr="000334F6">
              <w:rPr>
                <w:lang w:val="en-US"/>
              </w:rPr>
              <w:t>Liver function test</w:t>
            </w:r>
          </w:p>
        </w:tc>
      </w:tr>
      <w:tr w:rsidR="000334F6" w:rsidRPr="000334F6" w14:paraId="4463AFB5" w14:textId="77777777" w:rsidTr="001204C7">
        <w:tc>
          <w:tcPr>
            <w:tcW w:w="1951" w:type="dxa"/>
          </w:tcPr>
          <w:p w14:paraId="4463AFB3" w14:textId="77777777" w:rsidR="000334F6" w:rsidRPr="000334F6" w:rsidRDefault="000334F6" w:rsidP="000334F6">
            <w:pPr>
              <w:spacing w:line="240" w:lineRule="atLeast"/>
              <w:rPr>
                <w:lang w:val="en-US"/>
              </w:rPr>
            </w:pPr>
            <w:r w:rsidRPr="000334F6">
              <w:rPr>
                <w:lang w:val="en-US"/>
              </w:rPr>
              <w:t>LTE</w:t>
            </w:r>
          </w:p>
        </w:tc>
        <w:tc>
          <w:tcPr>
            <w:tcW w:w="6769" w:type="dxa"/>
          </w:tcPr>
          <w:p w14:paraId="4463AFB4" w14:textId="77777777" w:rsidR="000334F6" w:rsidRPr="000334F6" w:rsidRDefault="000334F6" w:rsidP="000334F6">
            <w:pPr>
              <w:spacing w:line="240" w:lineRule="atLeast"/>
              <w:rPr>
                <w:lang w:val="en-US"/>
              </w:rPr>
            </w:pPr>
            <w:r w:rsidRPr="000334F6">
              <w:rPr>
                <w:lang w:val="en-US"/>
              </w:rPr>
              <w:t>Long term extension</w:t>
            </w:r>
          </w:p>
        </w:tc>
      </w:tr>
      <w:tr w:rsidR="000334F6" w:rsidRPr="000334F6" w14:paraId="4463AFB8" w14:textId="77777777" w:rsidTr="001204C7">
        <w:tc>
          <w:tcPr>
            <w:tcW w:w="1951" w:type="dxa"/>
          </w:tcPr>
          <w:p w14:paraId="4463AFB6" w14:textId="77777777" w:rsidR="000334F6" w:rsidRPr="000334F6" w:rsidRDefault="000334F6" w:rsidP="000334F6">
            <w:pPr>
              <w:spacing w:line="240" w:lineRule="atLeast"/>
              <w:rPr>
                <w:lang w:val="en-US"/>
              </w:rPr>
            </w:pPr>
            <w:r w:rsidRPr="000334F6">
              <w:rPr>
                <w:lang w:val="en-US"/>
              </w:rPr>
              <w:t>MAA</w:t>
            </w:r>
          </w:p>
        </w:tc>
        <w:tc>
          <w:tcPr>
            <w:tcW w:w="6769" w:type="dxa"/>
          </w:tcPr>
          <w:p w14:paraId="4463AFB7" w14:textId="77777777" w:rsidR="000334F6" w:rsidRPr="000334F6" w:rsidRDefault="000334F6" w:rsidP="000334F6">
            <w:pPr>
              <w:spacing w:line="240" w:lineRule="atLeast"/>
              <w:rPr>
                <w:lang w:val="en-US"/>
              </w:rPr>
            </w:pPr>
            <w:r w:rsidRPr="000334F6">
              <w:rPr>
                <w:lang w:val="en-US"/>
              </w:rPr>
              <w:t>Marketing Authorisation Application</w:t>
            </w:r>
          </w:p>
        </w:tc>
      </w:tr>
      <w:tr w:rsidR="000334F6" w:rsidRPr="000334F6" w14:paraId="4463AFBB" w14:textId="77777777" w:rsidTr="001204C7">
        <w:tc>
          <w:tcPr>
            <w:tcW w:w="1951" w:type="dxa"/>
          </w:tcPr>
          <w:p w14:paraId="4463AFB9" w14:textId="77777777" w:rsidR="000334F6" w:rsidRPr="000334F6" w:rsidRDefault="000334F6" w:rsidP="000334F6">
            <w:pPr>
              <w:spacing w:line="240" w:lineRule="atLeast"/>
              <w:rPr>
                <w:lang w:val="en-US"/>
              </w:rPr>
            </w:pPr>
            <w:r w:rsidRPr="000334F6">
              <w:rPr>
                <w:lang w:val="en-US"/>
              </w:rPr>
              <w:t>MAH</w:t>
            </w:r>
          </w:p>
        </w:tc>
        <w:tc>
          <w:tcPr>
            <w:tcW w:w="6769" w:type="dxa"/>
          </w:tcPr>
          <w:p w14:paraId="4463AFBA" w14:textId="77777777" w:rsidR="000334F6" w:rsidRPr="000334F6" w:rsidRDefault="000334F6" w:rsidP="000334F6">
            <w:pPr>
              <w:spacing w:line="240" w:lineRule="atLeast"/>
              <w:rPr>
                <w:lang w:val="en-US"/>
              </w:rPr>
            </w:pPr>
            <w:r w:rsidRPr="000334F6">
              <w:rPr>
                <w:lang w:val="en-US"/>
              </w:rPr>
              <w:t>Marketing Authorisation Holder</w:t>
            </w:r>
          </w:p>
        </w:tc>
      </w:tr>
      <w:tr w:rsidR="000334F6" w:rsidRPr="000334F6" w14:paraId="4463AFBE" w14:textId="77777777" w:rsidTr="001204C7">
        <w:tc>
          <w:tcPr>
            <w:tcW w:w="1951" w:type="dxa"/>
          </w:tcPr>
          <w:p w14:paraId="4463AFBC" w14:textId="77777777" w:rsidR="000334F6" w:rsidRPr="000334F6" w:rsidRDefault="000334F6" w:rsidP="000334F6">
            <w:pPr>
              <w:spacing w:line="240" w:lineRule="atLeast"/>
              <w:rPr>
                <w:lang w:val="en-US"/>
              </w:rPr>
            </w:pPr>
            <w:r w:rsidRPr="000334F6">
              <w:rPr>
                <w:lang w:val="en-US"/>
              </w:rPr>
              <w:t>MAS</w:t>
            </w:r>
          </w:p>
        </w:tc>
        <w:tc>
          <w:tcPr>
            <w:tcW w:w="6769" w:type="dxa"/>
          </w:tcPr>
          <w:p w14:paraId="4463AFBD" w14:textId="77777777" w:rsidR="000334F6" w:rsidRPr="000334F6" w:rsidRDefault="000334F6" w:rsidP="000334F6">
            <w:pPr>
              <w:spacing w:line="240" w:lineRule="atLeast"/>
              <w:rPr>
                <w:lang w:val="en-US"/>
              </w:rPr>
            </w:pPr>
            <w:r w:rsidRPr="000334F6">
              <w:rPr>
                <w:lang w:val="en-US"/>
              </w:rPr>
              <w:t>Macrophage Activation Syndrome</w:t>
            </w:r>
          </w:p>
        </w:tc>
      </w:tr>
      <w:tr w:rsidR="000334F6" w:rsidRPr="000334F6" w14:paraId="4463AFC1" w14:textId="77777777" w:rsidTr="001204C7">
        <w:tc>
          <w:tcPr>
            <w:tcW w:w="1951" w:type="dxa"/>
          </w:tcPr>
          <w:p w14:paraId="4463AFBF" w14:textId="77777777" w:rsidR="000334F6" w:rsidRPr="000334F6" w:rsidRDefault="000334F6" w:rsidP="000334F6">
            <w:pPr>
              <w:spacing w:line="240" w:lineRule="atLeast"/>
              <w:rPr>
                <w:lang w:val="en-US"/>
              </w:rPr>
            </w:pPr>
            <w:r w:rsidRPr="000334F6">
              <w:rPr>
                <w:lang w:val="en-US"/>
              </w:rPr>
              <w:t>MI</w:t>
            </w:r>
          </w:p>
        </w:tc>
        <w:tc>
          <w:tcPr>
            <w:tcW w:w="6769" w:type="dxa"/>
          </w:tcPr>
          <w:p w14:paraId="4463AFC0" w14:textId="77777777" w:rsidR="000334F6" w:rsidRPr="000334F6" w:rsidRDefault="000334F6" w:rsidP="000334F6">
            <w:pPr>
              <w:spacing w:line="240" w:lineRule="atLeast"/>
              <w:rPr>
                <w:lang w:val="en-US"/>
              </w:rPr>
            </w:pPr>
            <w:r w:rsidRPr="000334F6">
              <w:rPr>
                <w:lang w:val="en-US"/>
              </w:rPr>
              <w:t>Myocardial infarction</w:t>
            </w:r>
          </w:p>
        </w:tc>
      </w:tr>
      <w:tr w:rsidR="000334F6" w:rsidRPr="000334F6" w14:paraId="4463AFC4" w14:textId="77777777" w:rsidTr="001204C7">
        <w:tc>
          <w:tcPr>
            <w:tcW w:w="1951" w:type="dxa"/>
          </w:tcPr>
          <w:p w14:paraId="4463AFC2" w14:textId="77777777" w:rsidR="000334F6" w:rsidRPr="000334F6" w:rsidRDefault="000334F6" w:rsidP="000334F6">
            <w:pPr>
              <w:spacing w:line="240" w:lineRule="atLeast"/>
              <w:rPr>
                <w:lang w:val="en-US"/>
              </w:rPr>
            </w:pPr>
            <w:r w:rsidRPr="000334F6">
              <w:rPr>
                <w:lang w:val="en-US"/>
              </w:rPr>
              <w:t>mIL-6R</w:t>
            </w:r>
          </w:p>
        </w:tc>
        <w:tc>
          <w:tcPr>
            <w:tcW w:w="6769" w:type="dxa"/>
          </w:tcPr>
          <w:p w14:paraId="4463AFC3" w14:textId="77777777" w:rsidR="000334F6" w:rsidRPr="000334F6" w:rsidRDefault="000334F6" w:rsidP="000334F6">
            <w:pPr>
              <w:spacing w:line="240" w:lineRule="atLeast"/>
              <w:rPr>
                <w:lang w:val="en-US"/>
              </w:rPr>
            </w:pPr>
            <w:r w:rsidRPr="000334F6">
              <w:rPr>
                <w:lang w:val="en-US"/>
              </w:rPr>
              <w:t>Membrane-bound interleukin-6 receptor</w:t>
            </w:r>
          </w:p>
        </w:tc>
      </w:tr>
      <w:tr w:rsidR="000334F6" w:rsidRPr="000334F6" w14:paraId="4463AFC7" w14:textId="77777777" w:rsidTr="001204C7">
        <w:tc>
          <w:tcPr>
            <w:tcW w:w="1951" w:type="dxa"/>
          </w:tcPr>
          <w:p w14:paraId="4463AFC5" w14:textId="77777777" w:rsidR="000334F6" w:rsidRPr="000334F6" w:rsidRDefault="000334F6" w:rsidP="000334F6">
            <w:pPr>
              <w:spacing w:line="240" w:lineRule="atLeast"/>
              <w:rPr>
                <w:lang w:val="en-US"/>
              </w:rPr>
            </w:pPr>
            <w:r w:rsidRPr="000334F6">
              <w:rPr>
                <w:lang w:val="en-US"/>
              </w:rPr>
              <w:t>MRA</w:t>
            </w:r>
          </w:p>
        </w:tc>
        <w:tc>
          <w:tcPr>
            <w:tcW w:w="6769" w:type="dxa"/>
          </w:tcPr>
          <w:p w14:paraId="4463AFC6" w14:textId="77777777" w:rsidR="000334F6" w:rsidRPr="000334F6" w:rsidRDefault="000334F6" w:rsidP="000334F6">
            <w:pPr>
              <w:spacing w:line="240" w:lineRule="atLeast"/>
              <w:rPr>
                <w:lang w:val="en-US"/>
              </w:rPr>
            </w:pPr>
            <w:r w:rsidRPr="000334F6">
              <w:rPr>
                <w:lang w:val="en-US"/>
              </w:rPr>
              <w:t>Myeloma receptor antibody (tocilizumab)</w:t>
            </w:r>
          </w:p>
        </w:tc>
      </w:tr>
      <w:tr w:rsidR="000334F6" w:rsidRPr="000334F6" w14:paraId="4463AFCA" w14:textId="77777777" w:rsidTr="001204C7">
        <w:tc>
          <w:tcPr>
            <w:tcW w:w="1951" w:type="dxa"/>
          </w:tcPr>
          <w:p w14:paraId="4463AFC8" w14:textId="77777777" w:rsidR="000334F6" w:rsidRPr="000334F6" w:rsidRDefault="000334F6" w:rsidP="000334F6">
            <w:pPr>
              <w:spacing w:line="240" w:lineRule="atLeast"/>
              <w:rPr>
                <w:lang w:val="en-US"/>
              </w:rPr>
            </w:pPr>
            <w:r w:rsidRPr="000334F6">
              <w:rPr>
                <w:lang w:val="en-US"/>
              </w:rPr>
              <w:t>mTSS</w:t>
            </w:r>
          </w:p>
        </w:tc>
        <w:tc>
          <w:tcPr>
            <w:tcW w:w="6769" w:type="dxa"/>
          </w:tcPr>
          <w:p w14:paraId="4463AFC9" w14:textId="77777777" w:rsidR="000334F6" w:rsidRPr="000334F6" w:rsidRDefault="000334F6" w:rsidP="000334F6">
            <w:pPr>
              <w:spacing w:line="240" w:lineRule="atLeast"/>
              <w:rPr>
                <w:lang w:val="en-US"/>
              </w:rPr>
            </w:pPr>
            <w:r w:rsidRPr="000334F6">
              <w:t>modification of the Sharp score</w:t>
            </w:r>
          </w:p>
        </w:tc>
      </w:tr>
      <w:tr w:rsidR="000334F6" w:rsidRPr="000334F6" w14:paraId="4463AFCD" w14:textId="77777777" w:rsidTr="001204C7">
        <w:tc>
          <w:tcPr>
            <w:tcW w:w="1951" w:type="dxa"/>
          </w:tcPr>
          <w:p w14:paraId="4463AFCB" w14:textId="77777777" w:rsidR="000334F6" w:rsidRPr="000334F6" w:rsidRDefault="000334F6" w:rsidP="000334F6">
            <w:pPr>
              <w:spacing w:line="240" w:lineRule="atLeast"/>
              <w:rPr>
                <w:lang w:val="en-US"/>
              </w:rPr>
            </w:pPr>
            <w:r w:rsidRPr="000334F6">
              <w:rPr>
                <w:lang w:val="en-US"/>
              </w:rPr>
              <w:lastRenderedPageBreak/>
              <w:t>MTX</w:t>
            </w:r>
          </w:p>
        </w:tc>
        <w:tc>
          <w:tcPr>
            <w:tcW w:w="6769" w:type="dxa"/>
          </w:tcPr>
          <w:p w14:paraId="4463AFCC" w14:textId="77777777" w:rsidR="000334F6" w:rsidRPr="000334F6" w:rsidRDefault="000334F6" w:rsidP="000334F6">
            <w:pPr>
              <w:spacing w:line="240" w:lineRule="atLeast"/>
              <w:rPr>
                <w:lang w:val="en-US"/>
              </w:rPr>
            </w:pPr>
            <w:r w:rsidRPr="000334F6">
              <w:rPr>
                <w:lang w:val="en-US"/>
              </w:rPr>
              <w:t>Methotrexate</w:t>
            </w:r>
          </w:p>
        </w:tc>
      </w:tr>
      <w:tr w:rsidR="000334F6" w:rsidRPr="000334F6" w14:paraId="4463AFD0" w14:textId="77777777" w:rsidTr="001204C7">
        <w:tc>
          <w:tcPr>
            <w:tcW w:w="1951" w:type="dxa"/>
          </w:tcPr>
          <w:p w14:paraId="4463AFCE" w14:textId="77777777" w:rsidR="000334F6" w:rsidRPr="000334F6" w:rsidRDefault="000334F6" w:rsidP="000334F6">
            <w:pPr>
              <w:spacing w:line="240" w:lineRule="atLeast"/>
              <w:rPr>
                <w:lang w:val="en-US"/>
              </w:rPr>
            </w:pPr>
            <w:r w:rsidRPr="000334F6">
              <w:rPr>
                <w:lang w:val="en-US"/>
              </w:rPr>
              <w:t>NSAID</w:t>
            </w:r>
          </w:p>
        </w:tc>
        <w:tc>
          <w:tcPr>
            <w:tcW w:w="6769" w:type="dxa"/>
          </w:tcPr>
          <w:p w14:paraId="4463AFCF" w14:textId="77777777" w:rsidR="000334F6" w:rsidRPr="000334F6" w:rsidRDefault="000334F6" w:rsidP="000334F6">
            <w:pPr>
              <w:spacing w:line="240" w:lineRule="atLeast"/>
              <w:rPr>
                <w:lang w:val="en-US"/>
              </w:rPr>
            </w:pPr>
            <w:r w:rsidRPr="000334F6">
              <w:rPr>
                <w:lang w:val="en-US"/>
              </w:rPr>
              <w:t>Non-steroidal anti-inflammatory drug</w:t>
            </w:r>
          </w:p>
        </w:tc>
      </w:tr>
      <w:tr w:rsidR="000334F6" w:rsidRPr="000334F6" w14:paraId="4463AFD3" w14:textId="77777777" w:rsidTr="001204C7">
        <w:tc>
          <w:tcPr>
            <w:tcW w:w="1951" w:type="dxa"/>
          </w:tcPr>
          <w:p w14:paraId="4463AFD1" w14:textId="77777777" w:rsidR="000334F6" w:rsidRPr="000334F6" w:rsidRDefault="000334F6" w:rsidP="000334F6">
            <w:pPr>
              <w:spacing w:line="240" w:lineRule="atLeast"/>
              <w:rPr>
                <w:lang w:val="en-US"/>
              </w:rPr>
            </w:pPr>
            <w:r w:rsidRPr="000334F6">
              <w:rPr>
                <w:lang w:val="en-US"/>
              </w:rPr>
              <w:t>OLE</w:t>
            </w:r>
          </w:p>
        </w:tc>
        <w:tc>
          <w:tcPr>
            <w:tcW w:w="6769" w:type="dxa"/>
          </w:tcPr>
          <w:p w14:paraId="4463AFD2" w14:textId="77777777" w:rsidR="000334F6" w:rsidRPr="000334F6" w:rsidRDefault="000334F6" w:rsidP="000334F6">
            <w:pPr>
              <w:spacing w:line="240" w:lineRule="atLeast"/>
              <w:rPr>
                <w:lang w:val="en-US"/>
              </w:rPr>
            </w:pPr>
            <w:r w:rsidRPr="000334F6">
              <w:rPr>
                <w:lang w:val="en-US"/>
              </w:rPr>
              <w:t>Open Label Extension</w:t>
            </w:r>
          </w:p>
        </w:tc>
      </w:tr>
      <w:tr w:rsidR="000334F6" w:rsidRPr="000334F6" w14:paraId="4463AFD6" w14:textId="77777777" w:rsidTr="001204C7">
        <w:tc>
          <w:tcPr>
            <w:tcW w:w="1951" w:type="dxa"/>
          </w:tcPr>
          <w:p w14:paraId="4463AFD4" w14:textId="77777777" w:rsidR="000334F6" w:rsidRPr="000334F6" w:rsidRDefault="000334F6" w:rsidP="000334F6">
            <w:pPr>
              <w:spacing w:line="240" w:lineRule="atLeast"/>
              <w:rPr>
                <w:lang w:val="en-US"/>
              </w:rPr>
            </w:pPr>
            <w:r w:rsidRPr="000334F6">
              <w:rPr>
                <w:lang w:val="en-US"/>
              </w:rPr>
              <w:t>PBRER</w:t>
            </w:r>
          </w:p>
        </w:tc>
        <w:tc>
          <w:tcPr>
            <w:tcW w:w="6769" w:type="dxa"/>
          </w:tcPr>
          <w:p w14:paraId="4463AFD5" w14:textId="77777777" w:rsidR="000334F6" w:rsidRPr="000334F6" w:rsidRDefault="000334F6" w:rsidP="000334F6">
            <w:pPr>
              <w:spacing w:line="240" w:lineRule="atLeast"/>
              <w:rPr>
                <w:lang w:val="en-US"/>
              </w:rPr>
            </w:pPr>
            <w:r w:rsidRPr="000334F6">
              <w:t>Periodic Benefit-Risk Evaluation Report</w:t>
            </w:r>
          </w:p>
        </w:tc>
      </w:tr>
      <w:tr w:rsidR="000334F6" w:rsidRPr="000334F6" w14:paraId="4463AFD9" w14:textId="77777777" w:rsidTr="001204C7">
        <w:tc>
          <w:tcPr>
            <w:tcW w:w="1951" w:type="dxa"/>
          </w:tcPr>
          <w:p w14:paraId="4463AFD7" w14:textId="77777777" w:rsidR="000334F6" w:rsidRPr="000334F6" w:rsidRDefault="000334F6" w:rsidP="000334F6">
            <w:pPr>
              <w:spacing w:line="240" w:lineRule="atLeast"/>
              <w:rPr>
                <w:lang w:val="en-US"/>
              </w:rPr>
            </w:pPr>
            <w:r w:rsidRPr="000334F6">
              <w:rPr>
                <w:lang w:val="en-US"/>
              </w:rPr>
              <w:t>PD</w:t>
            </w:r>
          </w:p>
        </w:tc>
        <w:tc>
          <w:tcPr>
            <w:tcW w:w="6769" w:type="dxa"/>
          </w:tcPr>
          <w:p w14:paraId="4463AFD8" w14:textId="77777777" w:rsidR="000334F6" w:rsidRPr="000334F6" w:rsidRDefault="000334F6" w:rsidP="000334F6">
            <w:pPr>
              <w:spacing w:line="240" w:lineRule="atLeast"/>
              <w:rPr>
                <w:lang w:val="en-US"/>
              </w:rPr>
            </w:pPr>
            <w:r w:rsidRPr="000334F6">
              <w:rPr>
                <w:lang w:val="en-US"/>
              </w:rPr>
              <w:t>Pharmacodynamics</w:t>
            </w:r>
          </w:p>
        </w:tc>
      </w:tr>
      <w:tr w:rsidR="000334F6" w:rsidRPr="000334F6" w14:paraId="4463AFDC" w14:textId="77777777" w:rsidTr="001204C7">
        <w:tc>
          <w:tcPr>
            <w:tcW w:w="1951" w:type="dxa"/>
          </w:tcPr>
          <w:p w14:paraId="4463AFDA" w14:textId="77777777" w:rsidR="000334F6" w:rsidRPr="000334F6" w:rsidRDefault="000334F6" w:rsidP="000334F6">
            <w:pPr>
              <w:spacing w:line="240" w:lineRule="atLeast"/>
              <w:rPr>
                <w:lang w:val="en-US"/>
              </w:rPr>
            </w:pPr>
            <w:r w:rsidRPr="000334F6">
              <w:rPr>
                <w:lang w:val="en-US"/>
              </w:rPr>
              <w:t>PFS</w:t>
            </w:r>
          </w:p>
        </w:tc>
        <w:tc>
          <w:tcPr>
            <w:tcW w:w="6769" w:type="dxa"/>
          </w:tcPr>
          <w:p w14:paraId="4463AFDB" w14:textId="77777777" w:rsidR="000334F6" w:rsidRPr="000334F6" w:rsidRDefault="000334F6" w:rsidP="000334F6">
            <w:pPr>
              <w:spacing w:line="240" w:lineRule="atLeast"/>
              <w:rPr>
                <w:lang w:val="en-US"/>
              </w:rPr>
            </w:pPr>
            <w:r w:rsidRPr="000334F6">
              <w:rPr>
                <w:lang w:val="en-US"/>
              </w:rPr>
              <w:t>Pre-filled syringe</w:t>
            </w:r>
          </w:p>
        </w:tc>
      </w:tr>
      <w:tr w:rsidR="000334F6" w:rsidRPr="000334F6" w14:paraId="4463AFDF" w14:textId="77777777" w:rsidTr="001204C7">
        <w:tc>
          <w:tcPr>
            <w:tcW w:w="1951" w:type="dxa"/>
          </w:tcPr>
          <w:p w14:paraId="4463AFDD" w14:textId="77777777" w:rsidR="000334F6" w:rsidRPr="000334F6" w:rsidRDefault="000334F6" w:rsidP="000334F6">
            <w:pPr>
              <w:spacing w:line="240" w:lineRule="atLeast"/>
              <w:rPr>
                <w:lang w:val="en-US"/>
              </w:rPr>
            </w:pPr>
            <w:r w:rsidRPr="000334F6">
              <w:rPr>
                <w:lang w:val="en-US"/>
              </w:rPr>
              <w:t>PhysGADA</w:t>
            </w:r>
          </w:p>
        </w:tc>
        <w:tc>
          <w:tcPr>
            <w:tcW w:w="6769" w:type="dxa"/>
          </w:tcPr>
          <w:p w14:paraId="4463AFDE" w14:textId="77777777" w:rsidR="000334F6" w:rsidRPr="000334F6" w:rsidRDefault="000334F6" w:rsidP="000334F6">
            <w:pPr>
              <w:spacing w:line="240" w:lineRule="atLeast"/>
              <w:rPr>
                <w:lang w:val="en-US"/>
              </w:rPr>
            </w:pPr>
            <w:r w:rsidRPr="000334F6">
              <w:t>Physician’s Global Assessment of Disease Activity</w:t>
            </w:r>
          </w:p>
        </w:tc>
      </w:tr>
      <w:tr w:rsidR="000334F6" w:rsidRPr="000334F6" w14:paraId="4463AFE2" w14:textId="77777777" w:rsidTr="001204C7">
        <w:tc>
          <w:tcPr>
            <w:tcW w:w="1951" w:type="dxa"/>
          </w:tcPr>
          <w:p w14:paraId="4463AFE0" w14:textId="77777777" w:rsidR="000334F6" w:rsidRPr="000334F6" w:rsidRDefault="000334F6" w:rsidP="000334F6">
            <w:pPr>
              <w:spacing w:line="240" w:lineRule="atLeast"/>
              <w:rPr>
                <w:lang w:val="en-US"/>
              </w:rPr>
            </w:pPr>
            <w:r w:rsidRPr="000334F6">
              <w:rPr>
                <w:lang w:val="en-US"/>
              </w:rPr>
              <w:t>PI</w:t>
            </w:r>
          </w:p>
        </w:tc>
        <w:tc>
          <w:tcPr>
            <w:tcW w:w="6769" w:type="dxa"/>
          </w:tcPr>
          <w:p w14:paraId="4463AFE1" w14:textId="77777777" w:rsidR="000334F6" w:rsidRPr="000334F6" w:rsidRDefault="000334F6" w:rsidP="000334F6">
            <w:pPr>
              <w:spacing w:line="240" w:lineRule="atLeast"/>
              <w:rPr>
                <w:lang w:val="en-US"/>
              </w:rPr>
            </w:pPr>
            <w:r w:rsidRPr="000334F6">
              <w:rPr>
                <w:lang w:val="en-US"/>
              </w:rPr>
              <w:t>Product Information</w:t>
            </w:r>
          </w:p>
        </w:tc>
      </w:tr>
      <w:tr w:rsidR="000334F6" w:rsidRPr="000334F6" w14:paraId="4463AFE5" w14:textId="77777777" w:rsidTr="001204C7">
        <w:tc>
          <w:tcPr>
            <w:tcW w:w="1951" w:type="dxa"/>
          </w:tcPr>
          <w:p w14:paraId="4463AFE3" w14:textId="77777777" w:rsidR="000334F6" w:rsidRPr="000334F6" w:rsidRDefault="000334F6" w:rsidP="000334F6">
            <w:pPr>
              <w:spacing w:line="240" w:lineRule="atLeast"/>
              <w:rPr>
                <w:lang w:val="en-US"/>
              </w:rPr>
            </w:pPr>
            <w:r w:rsidRPr="000334F6">
              <w:rPr>
                <w:lang w:val="en-US"/>
              </w:rPr>
              <w:t>pJIA</w:t>
            </w:r>
          </w:p>
        </w:tc>
        <w:tc>
          <w:tcPr>
            <w:tcW w:w="6769" w:type="dxa"/>
          </w:tcPr>
          <w:p w14:paraId="4463AFE4" w14:textId="77777777" w:rsidR="000334F6" w:rsidRPr="000334F6" w:rsidRDefault="000334F6" w:rsidP="000334F6">
            <w:pPr>
              <w:spacing w:line="240" w:lineRule="atLeast"/>
              <w:rPr>
                <w:lang w:val="en-US"/>
              </w:rPr>
            </w:pPr>
            <w:r w:rsidRPr="000334F6">
              <w:rPr>
                <w:lang w:val="en-US"/>
              </w:rPr>
              <w:t>Polyarticular juvenile idiopathic arthritis</w:t>
            </w:r>
          </w:p>
        </w:tc>
      </w:tr>
      <w:tr w:rsidR="000334F6" w:rsidRPr="000334F6" w14:paraId="4463AFE8" w14:textId="77777777" w:rsidTr="001204C7">
        <w:tc>
          <w:tcPr>
            <w:tcW w:w="1951" w:type="dxa"/>
          </w:tcPr>
          <w:p w14:paraId="4463AFE6" w14:textId="77777777" w:rsidR="000334F6" w:rsidRPr="000334F6" w:rsidRDefault="000334F6" w:rsidP="000334F6">
            <w:pPr>
              <w:spacing w:line="240" w:lineRule="atLeast"/>
              <w:rPr>
                <w:lang w:val="en-US"/>
              </w:rPr>
            </w:pPr>
            <w:r w:rsidRPr="000334F6">
              <w:rPr>
                <w:lang w:val="en-US"/>
              </w:rPr>
              <w:t>PK</w:t>
            </w:r>
          </w:p>
        </w:tc>
        <w:tc>
          <w:tcPr>
            <w:tcW w:w="6769" w:type="dxa"/>
          </w:tcPr>
          <w:p w14:paraId="4463AFE7" w14:textId="77777777" w:rsidR="000334F6" w:rsidRPr="000334F6" w:rsidRDefault="000334F6" w:rsidP="000334F6">
            <w:pPr>
              <w:spacing w:line="240" w:lineRule="atLeast"/>
              <w:rPr>
                <w:lang w:val="en-US"/>
              </w:rPr>
            </w:pPr>
            <w:r w:rsidRPr="000334F6">
              <w:rPr>
                <w:lang w:val="en-US"/>
              </w:rPr>
              <w:t>Pharmacokinetics</w:t>
            </w:r>
          </w:p>
        </w:tc>
      </w:tr>
      <w:tr w:rsidR="000334F6" w:rsidRPr="000334F6" w14:paraId="4463AFEB" w14:textId="77777777" w:rsidTr="001204C7">
        <w:tc>
          <w:tcPr>
            <w:tcW w:w="1951" w:type="dxa"/>
          </w:tcPr>
          <w:p w14:paraId="4463AFE9" w14:textId="77777777" w:rsidR="000334F6" w:rsidRPr="000334F6" w:rsidRDefault="000334F6" w:rsidP="000334F6">
            <w:pPr>
              <w:spacing w:line="240" w:lineRule="atLeast"/>
              <w:rPr>
                <w:lang w:val="en-US"/>
              </w:rPr>
            </w:pPr>
            <w:r w:rsidRPr="000334F6">
              <w:rPr>
                <w:lang w:val="en-US"/>
              </w:rPr>
              <w:t>PMS</w:t>
            </w:r>
          </w:p>
        </w:tc>
        <w:tc>
          <w:tcPr>
            <w:tcW w:w="6769" w:type="dxa"/>
          </w:tcPr>
          <w:p w14:paraId="4463AFEA" w14:textId="77777777" w:rsidR="000334F6" w:rsidRPr="000334F6" w:rsidRDefault="000334F6" w:rsidP="000334F6">
            <w:pPr>
              <w:spacing w:line="240" w:lineRule="atLeast"/>
              <w:rPr>
                <w:lang w:val="en-US"/>
              </w:rPr>
            </w:pPr>
            <w:r w:rsidRPr="000334F6">
              <w:rPr>
                <w:lang w:val="en-US"/>
              </w:rPr>
              <w:t>Post-Marketing Surveillance</w:t>
            </w:r>
          </w:p>
        </w:tc>
      </w:tr>
      <w:tr w:rsidR="000334F6" w:rsidRPr="000334F6" w14:paraId="4463AFEE" w14:textId="77777777" w:rsidTr="001204C7">
        <w:tc>
          <w:tcPr>
            <w:tcW w:w="1951" w:type="dxa"/>
          </w:tcPr>
          <w:p w14:paraId="4463AFEC" w14:textId="77777777" w:rsidR="000334F6" w:rsidRPr="000334F6" w:rsidRDefault="000334F6" w:rsidP="000334F6">
            <w:pPr>
              <w:spacing w:line="240" w:lineRule="atLeast"/>
              <w:rPr>
                <w:lang w:val="en-US"/>
              </w:rPr>
            </w:pPr>
            <w:r w:rsidRPr="000334F6">
              <w:rPr>
                <w:lang w:val="en-US"/>
              </w:rPr>
              <w:t>PP</w:t>
            </w:r>
          </w:p>
        </w:tc>
        <w:tc>
          <w:tcPr>
            <w:tcW w:w="6769" w:type="dxa"/>
          </w:tcPr>
          <w:p w14:paraId="4463AFED" w14:textId="77777777" w:rsidR="000334F6" w:rsidRPr="000334F6" w:rsidRDefault="000334F6" w:rsidP="000334F6">
            <w:pPr>
              <w:spacing w:line="240" w:lineRule="atLeast"/>
              <w:rPr>
                <w:lang w:val="en-US"/>
              </w:rPr>
            </w:pPr>
            <w:r w:rsidRPr="000334F6">
              <w:rPr>
                <w:lang w:val="en-US"/>
              </w:rPr>
              <w:t>Per protocol</w:t>
            </w:r>
          </w:p>
        </w:tc>
      </w:tr>
      <w:tr w:rsidR="000334F6" w:rsidRPr="000334F6" w14:paraId="4463AFF1" w14:textId="77777777" w:rsidTr="001204C7">
        <w:tc>
          <w:tcPr>
            <w:tcW w:w="1951" w:type="dxa"/>
          </w:tcPr>
          <w:p w14:paraId="4463AFEF" w14:textId="77777777" w:rsidR="000334F6" w:rsidRPr="000334F6" w:rsidRDefault="000334F6" w:rsidP="000334F6">
            <w:pPr>
              <w:spacing w:line="240" w:lineRule="atLeast"/>
              <w:rPr>
                <w:lang w:val="en-US"/>
              </w:rPr>
            </w:pPr>
            <w:r w:rsidRPr="000334F6">
              <w:rPr>
                <w:lang w:val="en-US"/>
              </w:rPr>
              <w:t>PSUR</w:t>
            </w:r>
          </w:p>
        </w:tc>
        <w:tc>
          <w:tcPr>
            <w:tcW w:w="6769" w:type="dxa"/>
          </w:tcPr>
          <w:p w14:paraId="4463AFF0" w14:textId="77777777" w:rsidR="000334F6" w:rsidRPr="000334F6" w:rsidRDefault="000334F6" w:rsidP="000334F6">
            <w:pPr>
              <w:spacing w:line="240" w:lineRule="atLeast"/>
              <w:rPr>
                <w:lang w:val="en-US"/>
              </w:rPr>
            </w:pPr>
            <w:r w:rsidRPr="000334F6">
              <w:rPr>
                <w:lang w:val="en-US"/>
              </w:rPr>
              <w:t>Periodic Safety Update Report</w:t>
            </w:r>
          </w:p>
        </w:tc>
      </w:tr>
      <w:tr w:rsidR="000334F6" w:rsidRPr="000334F6" w14:paraId="4463AFF4" w14:textId="77777777" w:rsidTr="001204C7">
        <w:tc>
          <w:tcPr>
            <w:tcW w:w="1951" w:type="dxa"/>
          </w:tcPr>
          <w:p w14:paraId="4463AFF2" w14:textId="77777777" w:rsidR="000334F6" w:rsidRPr="000334F6" w:rsidRDefault="000334F6" w:rsidP="000334F6">
            <w:pPr>
              <w:spacing w:line="240" w:lineRule="atLeast"/>
              <w:rPr>
                <w:lang w:val="en-US"/>
              </w:rPr>
            </w:pPr>
            <w:r w:rsidRPr="000334F6">
              <w:rPr>
                <w:lang w:val="en-US"/>
              </w:rPr>
              <w:t>PtGADA</w:t>
            </w:r>
          </w:p>
        </w:tc>
        <w:tc>
          <w:tcPr>
            <w:tcW w:w="6769" w:type="dxa"/>
          </w:tcPr>
          <w:p w14:paraId="4463AFF3" w14:textId="77777777" w:rsidR="000334F6" w:rsidRPr="000334F6" w:rsidRDefault="000334F6" w:rsidP="000334F6">
            <w:pPr>
              <w:spacing w:line="240" w:lineRule="atLeast"/>
              <w:rPr>
                <w:lang w:val="en-US"/>
              </w:rPr>
            </w:pPr>
            <w:r w:rsidRPr="000334F6">
              <w:t>Patient’s Global Assessment of Disease Activity</w:t>
            </w:r>
          </w:p>
        </w:tc>
      </w:tr>
      <w:tr w:rsidR="000334F6" w:rsidRPr="000334F6" w14:paraId="4463AFF7" w14:textId="77777777" w:rsidTr="001204C7">
        <w:tc>
          <w:tcPr>
            <w:tcW w:w="1951" w:type="dxa"/>
          </w:tcPr>
          <w:p w14:paraId="4463AFF5" w14:textId="77777777" w:rsidR="000334F6" w:rsidRPr="000334F6" w:rsidRDefault="000334F6" w:rsidP="000334F6">
            <w:pPr>
              <w:spacing w:line="240" w:lineRule="atLeast"/>
              <w:rPr>
                <w:lang w:val="en-US"/>
              </w:rPr>
            </w:pPr>
            <w:r w:rsidRPr="000334F6">
              <w:rPr>
                <w:lang w:val="en-US"/>
              </w:rPr>
              <w:t>PY</w:t>
            </w:r>
          </w:p>
        </w:tc>
        <w:tc>
          <w:tcPr>
            <w:tcW w:w="6769" w:type="dxa"/>
          </w:tcPr>
          <w:p w14:paraId="4463AFF6" w14:textId="77777777" w:rsidR="000334F6" w:rsidRPr="000334F6" w:rsidRDefault="000334F6" w:rsidP="000334F6">
            <w:pPr>
              <w:spacing w:line="240" w:lineRule="atLeast"/>
              <w:rPr>
                <w:lang w:val="en-US"/>
              </w:rPr>
            </w:pPr>
            <w:r w:rsidRPr="000334F6">
              <w:rPr>
                <w:lang w:val="en-US"/>
              </w:rPr>
              <w:t>Patient-years</w:t>
            </w:r>
          </w:p>
        </w:tc>
      </w:tr>
      <w:tr w:rsidR="000334F6" w:rsidRPr="000334F6" w14:paraId="4463AFFA" w14:textId="77777777" w:rsidTr="001204C7">
        <w:tc>
          <w:tcPr>
            <w:tcW w:w="1951" w:type="dxa"/>
          </w:tcPr>
          <w:p w14:paraId="4463AFF8" w14:textId="77777777" w:rsidR="000334F6" w:rsidRPr="000334F6" w:rsidRDefault="000334F6" w:rsidP="000334F6">
            <w:pPr>
              <w:spacing w:line="240" w:lineRule="atLeast"/>
              <w:rPr>
                <w:lang w:val="en-US"/>
              </w:rPr>
            </w:pPr>
            <w:r w:rsidRPr="000334F6">
              <w:rPr>
                <w:lang w:val="en-US"/>
              </w:rPr>
              <w:t>q2w</w:t>
            </w:r>
          </w:p>
        </w:tc>
        <w:tc>
          <w:tcPr>
            <w:tcW w:w="6769" w:type="dxa"/>
          </w:tcPr>
          <w:p w14:paraId="4463AFF9" w14:textId="77777777" w:rsidR="000334F6" w:rsidRPr="000334F6" w:rsidRDefault="000334F6" w:rsidP="000334F6">
            <w:pPr>
              <w:spacing w:line="240" w:lineRule="atLeast"/>
              <w:rPr>
                <w:lang w:val="en-US"/>
              </w:rPr>
            </w:pPr>
            <w:r w:rsidRPr="000334F6">
              <w:rPr>
                <w:lang w:val="en-US"/>
              </w:rPr>
              <w:t>every 2 weeks</w:t>
            </w:r>
          </w:p>
        </w:tc>
      </w:tr>
      <w:tr w:rsidR="000334F6" w:rsidRPr="000334F6" w14:paraId="4463AFFD" w14:textId="77777777" w:rsidTr="001204C7">
        <w:tc>
          <w:tcPr>
            <w:tcW w:w="1951" w:type="dxa"/>
          </w:tcPr>
          <w:p w14:paraId="4463AFFB" w14:textId="77777777" w:rsidR="000334F6" w:rsidRPr="000334F6" w:rsidRDefault="000334F6" w:rsidP="000334F6">
            <w:pPr>
              <w:spacing w:line="240" w:lineRule="atLeast"/>
              <w:rPr>
                <w:lang w:val="en-US"/>
              </w:rPr>
            </w:pPr>
            <w:r w:rsidRPr="000334F6">
              <w:rPr>
                <w:lang w:val="en-US"/>
              </w:rPr>
              <w:t>q4w</w:t>
            </w:r>
          </w:p>
        </w:tc>
        <w:tc>
          <w:tcPr>
            <w:tcW w:w="6769" w:type="dxa"/>
          </w:tcPr>
          <w:p w14:paraId="4463AFFC" w14:textId="77777777" w:rsidR="000334F6" w:rsidRPr="000334F6" w:rsidRDefault="000334F6" w:rsidP="000334F6">
            <w:pPr>
              <w:spacing w:line="240" w:lineRule="atLeast"/>
              <w:rPr>
                <w:lang w:val="en-US"/>
              </w:rPr>
            </w:pPr>
            <w:r w:rsidRPr="000334F6">
              <w:rPr>
                <w:lang w:val="en-US"/>
              </w:rPr>
              <w:t>every 4 weeks</w:t>
            </w:r>
          </w:p>
        </w:tc>
      </w:tr>
      <w:tr w:rsidR="000334F6" w:rsidRPr="000334F6" w14:paraId="4463B000" w14:textId="77777777" w:rsidTr="001204C7">
        <w:tc>
          <w:tcPr>
            <w:tcW w:w="1951" w:type="dxa"/>
          </w:tcPr>
          <w:p w14:paraId="4463AFFE" w14:textId="77777777" w:rsidR="000334F6" w:rsidRPr="000334F6" w:rsidRDefault="000334F6" w:rsidP="000334F6">
            <w:pPr>
              <w:spacing w:line="240" w:lineRule="atLeast"/>
              <w:rPr>
                <w:lang w:val="en-US"/>
              </w:rPr>
            </w:pPr>
            <w:r w:rsidRPr="000334F6">
              <w:rPr>
                <w:lang w:val="en-US"/>
              </w:rPr>
              <w:t>QoL</w:t>
            </w:r>
          </w:p>
        </w:tc>
        <w:tc>
          <w:tcPr>
            <w:tcW w:w="6769" w:type="dxa"/>
          </w:tcPr>
          <w:p w14:paraId="4463AFFF" w14:textId="77777777" w:rsidR="000334F6" w:rsidRPr="000334F6" w:rsidRDefault="000334F6" w:rsidP="000334F6">
            <w:pPr>
              <w:spacing w:line="240" w:lineRule="atLeast"/>
              <w:rPr>
                <w:lang w:val="en-US"/>
              </w:rPr>
            </w:pPr>
            <w:r w:rsidRPr="000334F6">
              <w:rPr>
                <w:lang w:val="en-US"/>
              </w:rPr>
              <w:t>Quality of Life</w:t>
            </w:r>
          </w:p>
        </w:tc>
      </w:tr>
      <w:tr w:rsidR="000334F6" w:rsidRPr="000334F6" w14:paraId="4463B003" w14:textId="77777777" w:rsidTr="001204C7">
        <w:tc>
          <w:tcPr>
            <w:tcW w:w="1951" w:type="dxa"/>
          </w:tcPr>
          <w:p w14:paraId="4463B001" w14:textId="77777777" w:rsidR="000334F6" w:rsidRPr="000334F6" w:rsidRDefault="000334F6" w:rsidP="000334F6">
            <w:pPr>
              <w:spacing w:line="240" w:lineRule="atLeast"/>
              <w:rPr>
                <w:lang w:val="en-US"/>
              </w:rPr>
            </w:pPr>
            <w:r w:rsidRPr="000334F6">
              <w:rPr>
                <w:lang w:val="en-US"/>
              </w:rPr>
              <w:t>RA</w:t>
            </w:r>
          </w:p>
        </w:tc>
        <w:tc>
          <w:tcPr>
            <w:tcW w:w="6769" w:type="dxa"/>
          </w:tcPr>
          <w:p w14:paraId="4463B002" w14:textId="77777777" w:rsidR="000334F6" w:rsidRPr="000334F6" w:rsidRDefault="000334F6" w:rsidP="000334F6">
            <w:pPr>
              <w:spacing w:line="240" w:lineRule="atLeast"/>
              <w:rPr>
                <w:lang w:val="en-US"/>
              </w:rPr>
            </w:pPr>
            <w:r w:rsidRPr="000334F6">
              <w:rPr>
                <w:lang w:val="en-US"/>
              </w:rPr>
              <w:t>Rheumatoid arthritis</w:t>
            </w:r>
          </w:p>
        </w:tc>
      </w:tr>
      <w:tr w:rsidR="000334F6" w:rsidRPr="000334F6" w14:paraId="4463B006" w14:textId="77777777" w:rsidTr="001204C7">
        <w:tc>
          <w:tcPr>
            <w:tcW w:w="1951" w:type="dxa"/>
          </w:tcPr>
          <w:p w14:paraId="4463B004" w14:textId="77777777" w:rsidR="000334F6" w:rsidRPr="000334F6" w:rsidRDefault="000334F6" w:rsidP="000334F6">
            <w:pPr>
              <w:spacing w:line="240" w:lineRule="atLeast"/>
              <w:rPr>
                <w:lang w:val="en-US"/>
              </w:rPr>
            </w:pPr>
            <w:r w:rsidRPr="000334F6">
              <w:rPr>
                <w:lang w:val="en-US"/>
              </w:rPr>
              <w:t>RO4877533</w:t>
            </w:r>
          </w:p>
        </w:tc>
        <w:tc>
          <w:tcPr>
            <w:tcW w:w="6769" w:type="dxa"/>
          </w:tcPr>
          <w:p w14:paraId="4463B005" w14:textId="77777777" w:rsidR="000334F6" w:rsidRPr="000334F6" w:rsidRDefault="000334F6" w:rsidP="000334F6">
            <w:pPr>
              <w:spacing w:line="240" w:lineRule="atLeast"/>
              <w:rPr>
                <w:lang w:val="en-US"/>
              </w:rPr>
            </w:pPr>
            <w:r w:rsidRPr="000334F6">
              <w:rPr>
                <w:lang w:val="en-US"/>
              </w:rPr>
              <w:t>Tocilizumab</w:t>
            </w:r>
          </w:p>
        </w:tc>
      </w:tr>
      <w:tr w:rsidR="000334F6" w:rsidRPr="000334F6" w14:paraId="4463B009" w14:textId="77777777" w:rsidTr="001204C7">
        <w:tc>
          <w:tcPr>
            <w:tcW w:w="1951" w:type="dxa"/>
          </w:tcPr>
          <w:p w14:paraId="4463B007" w14:textId="77777777" w:rsidR="000334F6" w:rsidRPr="000334F6" w:rsidRDefault="000334F6" w:rsidP="000334F6">
            <w:pPr>
              <w:spacing w:line="240" w:lineRule="atLeast"/>
              <w:rPr>
                <w:lang w:val="en-US"/>
              </w:rPr>
            </w:pPr>
            <w:r w:rsidRPr="000334F6">
              <w:rPr>
                <w:lang w:val="en-US"/>
              </w:rPr>
              <w:t>RMP</w:t>
            </w:r>
          </w:p>
        </w:tc>
        <w:tc>
          <w:tcPr>
            <w:tcW w:w="6769" w:type="dxa"/>
          </w:tcPr>
          <w:p w14:paraId="4463B008" w14:textId="77777777" w:rsidR="000334F6" w:rsidRPr="000334F6" w:rsidRDefault="000334F6" w:rsidP="000334F6">
            <w:pPr>
              <w:spacing w:line="240" w:lineRule="atLeast"/>
              <w:rPr>
                <w:lang w:val="en-US"/>
              </w:rPr>
            </w:pPr>
            <w:r w:rsidRPr="000334F6">
              <w:rPr>
                <w:lang w:val="en-US"/>
              </w:rPr>
              <w:t>Risk Management Plan</w:t>
            </w:r>
          </w:p>
        </w:tc>
      </w:tr>
      <w:tr w:rsidR="000334F6" w:rsidRPr="000334F6" w14:paraId="4463B00C" w14:textId="77777777" w:rsidTr="001204C7">
        <w:tc>
          <w:tcPr>
            <w:tcW w:w="1951" w:type="dxa"/>
          </w:tcPr>
          <w:p w14:paraId="4463B00A" w14:textId="77777777" w:rsidR="000334F6" w:rsidRPr="000334F6" w:rsidRDefault="000334F6" w:rsidP="000334F6">
            <w:pPr>
              <w:spacing w:line="240" w:lineRule="atLeast"/>
              <w:rPr>
                <w:lang w:val="en-US"/>
              </w:rPr>
            </w:pPr>
            <w:r w:rsidRPr="000334F6">
              <w:rPr>
                <w:lang w:val="en-US"/>
              </w:rPr>
              <w:t>RR</w:t>
            </w:r>
          </w:p>
        </w:tc>
        <w:tc>
          <w:tcPr>
            <w:tcW w:w="6769" w:type="dxa"/>
          </w:tcPr>
          <w:p w14:paraId="4463B00B" w14:textId="77777777" w:rsidR="000334F6" w:rsidRPr="000334F6" w:rsidRDefault="000334F6" w:rsidP="000334F6">
            <w:pPr>
              <w:spacing w:line="240" w:lineRule="atLeast"/>
              <w:rPr>
                <w:lang w:val="en-US"/>
              </w:rPr>
            </w:pPr>
            <w:r w:rsidRPr="000334F6">
              <w:rPr>
                <w:lang w:val="en-US"/>
              </w:rPr>
              <w:t>Relative risk</w:t>
            </w:r>
          </w:p>
        </w:tc>
      </w:tr>
      <w:tr w:rsidR="000334F6" w:rsidRPr="000334F6" w14:paraId="4463B00F" w14:textId="77777777" w:rsidTr="001204C7">
        <w:tc>
          <w:tcPr>
            <w:tcW w:w="1951" w:type="dxa"/>
          </w:tcPr>
          <w:p w14:paraId="4463B00D" w14:textId="77777777" w:rsidR="000334F6" w:rsidRPr="000334F6" w:rsidRDefault="000334F6" w:rsidP="000334F6">
            <w:pPr>
              <w:spacing w:line="240" w:lineRule="atLeast"/>
              <w:rPr>
                <w:lang w:val="en-US"/>
              </w:rPr>
            </w:pPr>
            <w:r w:rsidRPr="000334F6">
              <w:rPr>
                <w:lang w:val="en-US"/>
              </w:rPr>
              <w:t>SAE</w:t>
            </w:r>
          </w:p>
        </w:tc>
        <w:tc>
          <w:tcPr>
            <w:tcW w:w="6769" w:type="dxa"/>
          </w:tcPr>
          <w:p w14:paraId="4463B00E" w14:textId="77777777" w:rsidR="000334F6" w:rsidRPr="000334F6" w:rsidRDefault="000334F6" w:rsidP="000334F6">
            <w:pPr>
              <w:spacing w:line="240" w:lineRule="atLeast"/>
              <w:rPr>
                <w:lang w:val="en-US"/>
              </w:rPr>
            </w:pPr>
            <w:r w:rsidRPr="000334F6">
              <w:rPr>
                <w:lang w:val="en-US"/>
              </w:rPr>
              <w:t>Serious adverse event</w:t>
            </w:r>
          </w:p>
        </w:tc>
      </w:tr>
      <w:tr w:rsidR="000334F6" w:rsidRPr="000334F6" w14:paraId="4463B012" w14:textId="77777777" w:rsidTr="001204C7">
        <w:tc>
          <w:tcPr>
            <w:tcW w:w="1951" w:type="dxa"/>
          </w:tcPr>
          <w:p w14:paraId="4463B010" w14:textId="77777777" w:rsidR="000334F6" w:rsidRPr="000334F6" w:rsidRDefault="000334F6" w:rsidP="000334F6">
            <w:pPr>
              <w:spacing w:line="240" w:lineRule="atLeast"/>
              <w:rPr>
                <w:lang w:val="en-US"/>
              </w:rPr>
            </w:pPr>
            <w:r w:rsidRPr="000334F6">
              <w:rPr>
                <w:lang w:val="en-US"/>
              </w:rPr>
              <w:t>SADR</w:t>
            </w:r>
          </w:p>
        </w:tc>
        <w:tc>
          <w:tcPr>
            <w:tcW w:w="6769" w:type="dxa"/>
          </w:tcPr>
          <w:p w14:paraId="4463B011" w14:textId="77777777" w:rsidR="000334F6" w:rsidRPr="000334F6" w:rsidRDefault="000334F6" w:rsidP="000334F6">
            <w:pPr>
              <w:spacing w:line="240" w:lineRule="atLeast"/>
              <w:rPr>
                <w:lang w:val="en-US"/>
              </w:rPr>
            </w:pPr>
            <w:r w:rsidRPr="000334F6">
              <w:rPr>
                <w:lang w:val="en-US"/>
              </w:rPr>
              <w:t>Serious adverse drug reaction</w:t>
            </w:r>
          </w:p>
        </w:tc>
      </w:tr>
      <w:tr w:rsidR="000334F6" w:rsidRPr="000334F6" w14:paraId="4463B015" w14:textId="77777777" w:rsidTr="001204C7">
        <w:tc>
          <w:tcPr>
            <w:tcW w:w="1951" w:type="dxa"/>
          </w:tcPr>
          <w:p w14:paraId="4463B013" w14:textId="77777777" w:rsidR="000334F6" w:rsidRPr="000334F6" w:rsidRDefault="000334F6" w:rsidP="000334F6">
            <w:pPr>
              <w:spacing w:line="240" w:lineRule="atLeast"/>
              <w:rPr>
                <w:lang w:val="en-US"/>
              </w:rPr>
            </w:pPr>
            <w:r w:rsidRPr="000334F6">
              <w:rPr>
                <w:lang w:val="en-US"/>
              </w:rPr>
              <w:t>SC</w:t>
            </w:r>
          </w:p>
        </w:tc>
        <w:tc>
          <w:tcPr>
            <w:tcW w:w="6769" w:type="dxa"/>
          </w:tcPr>
          <w:p w14:paraId="4463B014" w14:textId="77777777" w:rsidR="000334F6" w:rsidRPr="000334F6" w:rsidRDefault="000334F6" w:rsidP="000334F6">
            <w:pPr>
              <w:spacing w:line="240" w:lineRule="atLeast"/>
              <w:rPr>
                <w:lang w:val="en-US"/>
              </w:rPr>
            </w:pPr>
            <w:r w:rsidRPr="000334F6">
              <w:rPr>
                <w:lang w:val="en-US"/>
              </w:rPr>
              <w:t>Subcutaneous</w:t>
            </w:r>
          </w:p>
        </w:tc>
      </w:tr>
      <w:tr w:rsidR="000334F6" w:rsidRPr="000334F6" w14:paraId="4463B018" w14:textId="77777777" w:rsidTr="001204C7">
        <w:tc>
          <w:tcPr>
            <w:tcW w:w="1951" w:type="dxa"/>
          </w:tcPr>
          <w:p w14:paraId="4463B016" w14:textId="77777777" w:rsidR="000334F6" w:rsidRPr="000334F6" w:rsidRDefault="000334F6" w:rsidP="000334F6">
            <w:pPr>
              <w:spacing w:line="240" w:lineRule="atLeast"/>
              <w:rPr>
                <w:lang w:val="en-US"/>
              </w:rPr>
            </w:pPr>
            <w:r w:rsidRPr="000334F6">
              <w:rPr>
                <w:lang w:val="en-US"/>
              </w:rPr>
              <w:lastRenderedPageBreak/>
              <w:t>sIL-6R</w:t>
            </w:r>
          </w:p>
        </w:tc>
        <w:tc>
          <w:tcPr>
            <w:tcW w:w="6769" w:type="dxa"/>
          </w:tcPr>
          <w:p w14:paraId="4463B017" w14:textId="77777777" w:rsidR="000334F6" w:rsidRPr="000334F6" w:rsidRDefault="000334F6" w:rsidP="000334F6">
            <w:pPr>
              <w:spacing w:line="240" w:lineRule="atLeast"/>
              <w:rPr>
                <w:lang w:val="en-US"/>
              </w:rPr>
            </w:pPr>
            <w:r w:rsidRPr="000334F6">
              <w:rPr>
                <w:lang w:val="en-US"/>
              </w:rPr>
              <w:t>Soluble interleukin-6 receptor</w:t>
            </w:r>
          </w:p>
        </w:tc>
      </w:tr>
      <w:tr w:rsidR="000334F6" w:rsidRPr="000334F6" w14:paraId="4463B01B" w14:textId="77777777" w:rsidTr="001204C7">
        <w:tc>
          <w:tcPr>
            <w:tcW w:w="1951" w:type="dxa"/>
          </w:tcPr>
          <w:p w14:paraId="4463B019" w14:textId="77777777" w:rsidR="000334F6" w:rsidRPr="000334F6" w:rsidRDefault="000334F6" w:rsidP="000334F6">
            <w:pPr>
              <w:spacing w:line="240" w:lineRule="atLeast"/>
              <w:rPr>
                <w:lang w:val="en-US"/>
              </w:rPr>
            </w:pPr>
            <w:r w:rsidRPr="000334F6">
              <w:rPr>
                <w:lang w:val="en-US"/>
              </w:rPr>
              <w:t>SIR</w:t>
            </w:r>
          </w:p>
        </w:tc>
        <w:tc>
          <w:tcPr>
            <w:tcW w:w="6769" w:type="dxa"/>
          </w:tcPr>
          <w:p w14:paraId="4463B01A" w14:textId="77777777" w:rsidR="000334F6" w:rsidRPr="000334F6" w:rsidRDefault="000334F6" w:rsidP="000334F6">
            <w:pPr>
              <w:spacing w:line="240" w:lineRule="atLeast"/>
              <w:rPr>
                <w:lang w:val="en-US"/>
              </w:rPr>
            </w:pPr>
            <w:r w:rsidRPr="000334F6">
              <w:rPr>
                <w:lang w:val="en-US"/>
              </w:rPr>
              <w:t>Standardised incidence rates</w:t>
            </w:r>
          </w:p>
        </w:tc>
      </w:tr>
      <w:tr w:rsidR="000334F6" w:rsidRPr="000334F6" w14:paraId="4463B01E" w14:textId="77777777" w:rsidTr="001204C7">
        <w:tc>
          <w:tcPr>
            <w:tcW w:w="1951" w:type="dxa"/>
          </w:tcPr>
          <w:p w14:paraId="4463B01C" w14:textId="77777777" w:rsidR="000334F6" w:rsidRPr="000334F6" w:rsidRDefault="000334F6" w:rsidP="000334F6">
            <w:pPr>
              <w:spacing w:line="240" w:lineRule="atLeast"/>
              <w:rPr>
                <w:lang w:val="en-US"/>
              </w:rPr>
            </w:pPr>
            <w:r w:rsidRPr="000334F6">
              <w:rPr>
                <w:lang w:val="en-US"/>
              </w:rPr>
              <w:t>SJC</w:t>
            </w:r>
          </w:p>
        </w:tc>
        <w:tc>
          <w:tcPr>
            <w:tcW w:w="6769" w:type="dxa"/>
          </w:tcPr>
          <w:p w14:paraId="4463B01D" w14:textId="77777777" w:rsidR="000334F6" w:rsidRPr="000334F6" w:rsidRDefault="000334F6" w:rsidP="000334F6">
            <w:pPr>
              <w:spacing w:line="240" w:lineRule="atLeast"/>
              <w:rPr>
                <w:lang w:val="en-US"/>
              </w:rPr>
            </w:pPr>
            <w:r w:rsidRPr="000334F6">
              <w:rPr>
                <w:lang w:val="en-US"/>
              </w:rPr>
              <w:t>Swollen joint count</w:t>
            </w:r>
          </w:p>
        </w:tc>
      </w:tr>
      <w:tr w:rsidR="000334F6" w:rsidRPr="000334F6" w14:paraId="4463B021" w14:textId="77777777" w:rsidTr="001204C7">
        <w:tc>
          <w:tcPr>
            <w:tcW w:w="1951" w:type="dxa"/>
          </w:tcPr>
          <w:p w14:paraId="4463B01F" w14:textId="77777777" w:rsidR="000334F6" w:rsidRPr="000334F6" w:rsidRDefault="000334F6" w:rsidP="000334F6">
            <w:pPr>
              <w:spacing w:line="240" w:lineRule="atLeast"/>
              <w:rPr>
                <w:lang w:val="en-US"/>
              </w:rPr>
            </w:pPr>
            <w:r w:rsidRPr="000334F6">
              <w:rPr>
                <w:lang w:val="en-US"/>
              </w:rPr>
              <w:t>sJIA</w:t>
            </w:r>
          </w:p>
        </w:tc>
        <w:tc>
          <w:tcPr>
            <w:tcW w:w="6769" w:type="dxa"/>
          </w:tcPr>
          <w:p w14:paraId="4463B020" w14:textId="77777777" w:rsidR="000334F6" w:rsidRPr="000334F6" w:rsidRDefault="000334F6" w:rsidP="000334F6">
            <w:pPr>
              <w:spacing w:line="240" w:lineRule="atLeast"/>
              <w:rPr>
                <w:lang w:val="en-US"/>
              </w:rPr>
            </w:pPr>
            <w:r w:rsidRPr="000334F6">
              <w:rPr>
                <w:lang w:val="en-US"/>
              </w:rPr>
              <w:t>Systemic onset juvenile idiopathic arthritis</w:t>
            </w:r>
          </w:p>
        </w:tc>
      </w:tr>
      <w:tr w:rsidR="000334F6" w:rsidRPr="000334F6" w14:paraId="4463B024" w14:textId="77777777" w:rsidTr="001204C7">
        <w:tc>
          <w:tcPr>
            <w:tcW w:w="1951" w:type="dxa"/>
          </w:tcPr>
          <w:p w14:paraId="4463B022" w14:textId="77777777" w:rsidR="000334F6" w:rsidRPr="000334F6" w:rsidRDefault="000334F6" w:rsidP="000334F6">
            <w:pPr>
              <w:spacing w:line="240" w:lineRule="atLeast"/>
              <w:rPr>
                <w:lang w:val="en-US"/>
              </w:rPr>
            </w:pPr>
            <w:r w:rsidRPr="000334F6">
              <w:rPr>
                <w:lang w:val="en-US"/>
              </w:rPr>
              <w:t>SPC</w:t>
            </w:r>
          </w:p>
        </w:tc>
        <w:tc>
          <w:tcPr>
            <w:tcW w:w="6769" w:type="dxa"/>
          </w:tcPr>
          <w:p w14:paraId="4463B023" w14:textId="77777777" w:rsidR="000334F6" w:rsidRPr="000334F6" w:rsidRDefault="000334F6" w:rsidP="000334F6">
            <w:pPr>
              <w:spacing w:line="240" w:lineRule="atLeast"/>
              <w:rPr>
                <w:lang w:val="en-US"/>
              </w:rPr>
            </w:pPr>
            <w:r w:rsidRPr="000334F6">
              <w:rPr>
                <w:lang w:val="en-US"/>
              </w:rPr>
              <w:t>Summary of Product Characteristics</w:t>
            </w:r>
          </w:p>
        </w:tc>
      </w:tr>
      <w:tr w:rsidR="000334F6" w:rsidRPr="000334F6" w14:paraId="4463B027" w14:textId="77777777" w:rsidTr="001204C7">
        <w:tc>
          <w:tcPr>
            <w:tcW w:w="1951" w:type="dxa"/>
          </w:tcPr>
          <w:p w14:paraId="4463B025" w14:textId="77777777" w:rsidR="000334F6" w:rsidRPr="000334F6" w:rsidRDefault="000334F6" w:rsidP="000334F6">
            <w:pPr>
              <w:spacing w:line="240" w:lineRule="atLeast"/>
              <w:rPr>
                <w:lang w:val="en-US"/>
              </w:rPr>
            </w:pPr>
            <w:r w:rsidRPr="000334F6">
              <w:rPr>
                <w:lang w:val="en-US"/>
              </w:rPr>
              <w:t>TCZ</w:t>
            </w:r>
          </w:p>
        </w:tc>
        <w:tc>
          <w:tcPr>
            <w:tcW w:w="6769" w:type="dxa"/>
          </w:tcPr>
          <w:p w14:paraId="4463B026" w14:textId="77777777" w:rsidR="000334F6" w:rsidRPr="000334F6" w:rsidRDefault="000334F6" w:rsidP="000334F6">
            <w:pPr>
              <w:spacing w:line="240" w:lineRule="atLeast"/>
              <w:rPr>
                <w:lang w:val="en-US"/>
              </w:rPr>
            </w:pPr>
            <w:r w:rsidRPr="000334F6">
              <w:rPr>
                <w:lang w:val="en-US"/>
              </w:rPr>
              <w:t>Tocilizumab</w:t>
            </w:r>
          </w:p>
        </w:tc>
      </w:tr>
      <w:tr w:rsidR="000334F6" w:rsidRPr="000334F6" w14:paraId="4463B02A" w14:textId="77777777" w:rsidTr="001204C7">
        <w:tc>
          <w:tcPr>
            <w:tcW w:w="1951" w:type="dxa"/>
          </w:tcPr>
          <w:p w14:paraId="4463B028" w14:textId="77777777" w:rsidR="000334F6" w:rsidRPr="000334F6" w:rsidRDefault="000334F6" w:rsidP="000334F6">
            <w:pPr>
              <w:spacing w:line="240" w:lineRule="atLeast"/>
              <w:rPr>
                <w:lang w:val="en-US"/>
              </w:rPr>
            </w:pPr>
            <w:r w:rsidRPr="000334F6">
              <w:rPr>
                <w:lang w:val="en-US"/>
              </w:rPr>
              <w:t>TEAE</w:t>
            </w:r>
          </w:p>
        </w:tc>
        <w:tc>
          <w:tcPr>
            <w:tcW w:w="6769" w:type="dxa"/>
          </w:tcPr>
          <w:p w14:paraId="4463B029" w14:textId="77777777" w:rsidR="000334F6" w:rsidRPr="000334F6" w:rsidRDefault="000334F6" w:rsidP="000334F6">
            <w:pPr>
              <w:spacing w:line="240" w:lineRule="atLeast"/>
              <w:rPr>
                <w:lang w:val="en-US"/>
              </w:rPr>
            </w:pPr>
            <w:r w:rsidRPr="000334F6">
              <w:rPr>
                <w:lang w:val="en-US"/>
              </w:rPr>
              <w:t>Treatment emergent adverse event</w:t>
            </w:r>
          </w:p>
        </w:tc>
      </w:tr>
      <w:tr w:rsidR="000334F6" w:rsidRPr="000334F6" w14:paraId="4463B02D" w14:textId="77777777" w:rsidTr="001204C7">
        <w:tc>
          <w:tcPr>
            <w:tcW w:w="1951" w:type="dxa"/>
          </w:tcPr>
          <w:p w14:paraId="4463B02B" w14:textId="77777777" w:rsidR="000334F6" w:rsidRPr="000334F6" w:rsidRDefault="000334F6" w:rsidP="000334F6">
            <w:pPr>
              <w:spacing w:line="240" w:lineRule="atLeast"/>
              <w:rPr>
                <w:lang w:val="en-US"/>
              </w:rPr>
            </w:pPr>
            <w:r w:rsidRPr="000334F6">
              <w:rPr>
                <w:lang w:val="en-US"/>
              </w:rPr>
              <w:t>TJC</w:t>
            </w:r>
          </w:p>
        </w:tc>
        <w:tc>
          <w:tcPr>
            <w:tcW w:w="6769" w:type="dxa"/>
          </w:tcPr>
          <w:p w14:paraId="4463B02C" w14:textId="77777777" w:rsidR="000334F6" w:rsidRPr="000334F6" w:rsidRDefault="000334F6" w:rsidP="000334F6">
            <w:pPr>
              <w:spacing w:line="240" w:lineRule="atLeast"/>
              <w:rPr>
                <w:lang w:val="en-US"/>
              </w:rPr>
            </w:pPr>
            <w:r w:rsidRPr="000334F6">
              <w:rPr>
                <w:lang w:val="en-US"/>
              </w:rPr>
              <w:t>Tender joint count</w:t>
            </w:r>
          </w:p>
        </w:tc>
      </w:tr>
      <w:tr w:rsidR="000334F6" w:rsidRPr="000334F6" w14:paraId="4463B030" w14:textId="77777777" w:rsidTr="001204C7">
        <w:tc>
          <w:tcPr>
            <w:tcW w:w="1951" w:type="dxa"/>
          </w:tcPr>
          <w:p w14:paraId="4463B02E" w14:textId="77777777" w:rsidR="000334F6" w:rsidRPr="000334F6" w:rsidRDefault="000334F6" w:rsidP="000334F6">
            <w:pPr>
              <w:spacing w:line="240" w:lineRule="atLeast"/>
              <w:rPr>
                <w:lang w:val="en-US"/>
              </w:rPr>
            </w:pPr>
            <w:r w:rsidRPr="000334F6">
              <w:rPr>
                <w:lang w:val="en-US"/>
              </w:rPr>
              <w:t>TNF</w:t>
            </w:r>
          </w:p>
        </w:tc>
        <w:tc>
          <w:tcPr>
            <w:tcW w:w="6769" w:type="dxa"/>
          </w:tcPr>
          <w:p w14:paraId="4463B02F" w14:textId="77777777" w:rsidR="000334F6" w:rsidRPr="000334F6" w:rsidRDefault="000334F6" w:rsidP="000334F6">
            <w:pPr>
              <w:spacing w:line="240" w:lineRule="atLeast"/>
              <w:rPr>
                <w:lang w:val="en-US"/>
              </w:rPr>
            </w:pPr>
            <w:r w:rsidRPr="000334F6">
              <w:rPr>
                <w:lang w:val="en-US"/>
              </w:rPr>
              <w:t>Tumour necrosis factor</w:t>
            </w:r>
          </w:p>
        </w:tc>
      </w:tr>
      <w:tr w:rsidR="000334F6" w:rsidRPr="000334F6" w14:paraId="4463B033" w14:textId="77777777" w:rsidTr="001204C7">
        <w:tc>
          <w:tcPr>
            <w:tcW w:w="1951" w:type="dxa"/>
          </w:tcPr>
          <w:p w14:paraId="4463B031" w14:textId="77777777" w:rsidR="000334F6" w:rsidRPr="000334F6" w:rsidRDefault="000334F6" w:rsidP="000334F6">
            <w:pPr>
              <w:spacing w:line="240" w:lineRule="atLeast"/>
              <w:rPr>
                <w:lang w:val="en-US"/>
              </w:rPr>
            </w:pPr>
            <w:r w:rsidRPr="000334F6">
              <w:rPr>
                <w:lang w:val="en-US"/>
              </w:rPr>
              <w:t>T</w:t>
            </w:r>
            <w:r w:rsidRPr="000334F6">
              <w:rPr>
                <w:vertAlign w:val="subscript"/>
                <w:lang w:val="en-US"/>
              </w:rPr>
              <w:t>max</w:t>
            </w:r>
          </w:p>
        </w:tc>
        <w:tc>
          <w:tcPr>
            <w:tcW w:w="6769" w:type="dxa"/>
          </w:tcPr>
          <w:p w14:paraId="4463B032" w14:textId="77777777" w:rsidR="000334F6" w:rsidRPr="000334F6" w:rsidRDefault="000334F6" w:rsidP="000334F6">
            <w:pPr>
              <w:spacing w:line="240" w:lineRule="atLeast"/>
              <w:rPr>
                <w:lang w:val="en-US"/>
              </w:rPr>
            </w:pPr>
            <w:r w:rsidRPr="000334F6">
              <w:rPr>
                <w:lang w:val="en-US"/>
              </w:rPr>
              <w:t>Time to maximum plasma concentration</w:t>
            </w:r>
          </w:p>
        </w:tc>
      </w:tr>
      <w:tr w:rsidR="000334F6" w:rsidRPr="000334F6" w14:paraId="4463B036" w14:textId="77777777" w:rsidTr="001204C7">
        <w:tc>
          <w:tcPr>
            <w:tcW w:w="1951" w:type="dxa"/>
          </w:tcPr>
          <w:p w14:paraId="4463B034" w14:textId="77777777" w:rsidR="000334F6" w:rsidRPr="000334F6" w:rsidRDefault="000334F6" w:rsidP="000334F6">
            <w:pPr>
              <w:spacing w:line="240" w:lineRule="atLeast"/>
              <w:rPr>
                <w:lang w:val="en-US"/>
              </w:rPr>
            </w:pPr>
            <w:r w:rsidRPr="000334F6">
              <w:rPr>
                <w:lang w:val="en-US"/>
              </w:rPr>
              <w:t>ULN</w:t>
            </w:r>
          </w:p>
        </w:tc>
        <w:tc>
          <w:tcPr>
            <w:tcW w:w="6769" w:type="dxa"/>
          </w:tcPr>
          <w:p w14:paraId="4463B035" w14:textId="77777777" w:rsidR="000334F6" w:rsidRPr="000334F6" w:rsidRDefault="000334F6" w:rsidP="000334F6">
            <w:pPr>
              <w:spacing w:line="240" w:lineRule="atLeast"/>
              <w:rPr>
                <w:lang w:val="en-US"/>
              </w:rPr>
            </w:pPr>
            <w:r w:rsidRPr="000334F6">
              <w:rPr>
                <w:lang w:val="en-US"/>
              </w:rPr>
              <w:t>Upper limit of normal</w:t>
            </w:r>
          </w:p>
        </w:tc>
      </w:tr>
      <w:tr w:rsidR="000334F6" w:rsidRPr="000334F6" w14:paraId="4463B039" w14:textId="77777777" w:rsidTr="001204C7">
        <w:tc>
          <w:tcPr>
            <w:tcW w:w="1951" w:type="dxa"/>
          </w:tcPr>
          <w:p w14:paraId="4463B037" w14:textId="77777777" w:rsidR="000334F6" w:rsidRPr="000334F6" w:rsidRDefault="000334F6" w:rsidP="000334F6">
            <w:pPr>
              <w:spacing w:line="240" w:lineRule="atLeast"/>
              <w:rPr>
                <w:lang w:val="en-US"/>
              </w:rPr>
            </w:pPr>
            <w:r w:rsidRPr="000334F6">
              <w:rPr>
                <w:lang w:val="en-US"/>
              </w:rPr>
              <w:t>VAS</w:t>
            </w:r>
          </w:p>
        </w:tc>
        <w:tc>
          <w:tcPr>
            <w:tcW w:w="6769" w:type="dxa"/>
          </w:tcPr>
          <w:p w14:paraId="4463B038" w14:textId="77777777" w:rsidR="000334F6" w:rsidRPr="000334F6" w:rsidRDefault="000334F6" w:rsidP="000334F6">
            <w:pPr>
              <w:spacing w:line="240" w:lineRule="atLeast"/>
              <w:rPr>
                <w:lang w:val="en-US"/>
              </w:rPr>
            </w:pPr>
            <w:r w:rsidRPr="000334F6">
              <w:rPr>
                <w:lang w:val="en-US"/>
              </w:rPr>
              <w:t>Visual analogue scale</w:t>
            </w:r>
          </w:p>
        </w:tc>
      </w:tr>
    </w:tbl>
    <w:p w14:paraId="4463B03A" w14:textId="77777777" w:rsidR="000334F6" w:rsidRPr="000334F6" w:rsidRDefault="000334F6" w:rsidP="000334F6">
      <w:pPr>
        <w:rPr>
          <w:lang w:eastAsia="ja-JP"/>
        </w:rPr>
      </w:pPr>
    </w:p>
    <w:p w14:paraId="4463B03B" w14:textId="77777777" w:rsidR="0094614A" w:rsidRDefault="0094614A" w:rsidP="00C329D3">
      <w:pPr>
        <w:pStyle w:val="Heading2"/>
        <w:pageBreakBefore/>
        <w:spacing w:before="240"/>
        <w:rPr>
          <w:lang w:eastAsia="en-AU"/>
        </w:rPr>
      </w:pPr>
      <w:bookmarkStart w:id="8" w:name="_Toc351718900"/>
      <w:bookmarkStart w:id="9" w:name="_Toc355338635"/>
      <w:bookmarkStart w:id="10" w:name="_Toc464136244"/>
      <w:r>
        <w:rPr>
          <w:lang w:eastAsia="en-AU"/>
        </w:rPr>
        <w:lastRenderedPageBreak/>
        <w:t>Introduction</w:t>
      </w:r>
      <w:bookmarkEnd w:id="10"/>
    </w:p>
    <w:p w14:paraId="4463B03C" w14:textId="77777777" w:rsidR="00994A53" w:rsidRDefault="003D29AF" w:rsidP="001204C7">
      <w:r w:rsidRPr="00EA6719">
        <w:t>Tocilizumab (TCZ) is a recombinant humanised monoclonal antibody of the immunoglobulin IgG1, direc</w:t>
      </w:r>
      <w:r>
        <w:t>ted against the IL-6 receptor</w:t>
      </w:r>
      <w:r w:rsidR="00994A53">
        <w:t xml:space="preserve"> approved for use in the treatment of rheumatoid arthritis (RA), polyarticular juvenile idiopathic arthritis and systemic juvenile idiopathic arthritis.</w:t>
      </w:r>
    </w:p>
    <w:p w14:paraId="4463B03D" w14:textId="77777777" w:rsidR="003D29AF" w:rsidRDefault="003D29AF" w:rsidP="001204C7">
      <w:r w:rsidRPr="00EA6719">
        <w:t>Tocilizumab binds specifically to both soluble and membrane-bound IL-6 receptors and has been shown to inhibit sIL-6R- and mIL-6R-mediated signal</w:t>
      </w:r>
      <w:r>
        <w:t xml:space="preserve">ling. </w:t>
      </w:r>
      <w:r w:rsidRPr="00EA6719">
        <w:t>IL-6 has been implicated in the pathogenesis of inflammatory diseases, including rheumatoid arthritis (RA). In clinical studies with tocilizumab, rapid decreases in C-reactive protein (CRP), erythrocyte sedimentation rate (ESR) and serum amyloid A were observed.</w:t>
      </w:r>
    </w:p>
    <w:p w14:paraId="4463B03E" w14:textId="77777777" w:rsidR="003D29AF" w:rsidRPr="003D29AF" w:rsidRDefault="003D29AF" w:rsidP="00C329D3">
      <w:pPr>
        <w:pStyle w:val="Heading3"/>
      </w:pPr>
      <w:bookmarkStart w:id="11" w:name="_Toc464136245"/>
      <w:r>
        <w:t>Approved</w:t>
      </w:r>
      <w:r w:rsidRPr="00357123">
        <w:t xml:space="preserve"> indication</w:t>
      </w:r>
      <w:r>
        <w:t>s</w:t>
      </w:r>
      <w:bookmarkEnd w:id="11"/>
    </w:p>
    <w:p w14:paraId="4463B03F" w14:textId="77777777" w:rsidR="003D29AF" w:rsidRPr="008F2510" w:rsidRDefault="003D29AF" w:rsidP="003D29AF">
      <w:pPr>
        <w:pStyle w:val="Heading4"/>
      </w:pPr>
      <w:r>
        <w:t xml:space="preserve">Rheumatoid </w:t>
      </w:r>
      <w:r w:rsidR="007B3C19">
        <w:t>a</w:t>
      </w:r>
      <w:r>
        <w:t>rthritis</w:t>
      </w:r>
    </w:p>
    <w:p w14:paraId="4463B040" w14:textId="77777777" w:rsidR="000E1F95" w:rsidRDefault="000E1F95" w:rsidP="001204C7">
      <w:r>
        <w:t>T</w:t>
      </w:r>
      <w:r w:rsidR="003D29AF" w:rsidRPr="00EA6719">
        <w:t>ocilizumab</w:t>
      </w:r>
      <w:r>
        <w:t xml:space="preserve"> (Actemra)</w:t>
      </w:r>
      <w:r w:rsidR="003D29AF" w:rsidRPr="00B15C14">
        <w:t xml:space="preserve"> is indicated for</w:t>
      </w:r>
      <w:r>
        <w:t>:</w:t>
      </w:r>
    </w:p>
    <w:p w14:paraId="4463B041" w14:textId="77777777" w:rsidR="003D29AF" w:rsidRPr="000E1F95" w:rsidRDefault="000E1F95" w:rsidP="001204C7">
      <w:pPr>
        <w:ind w:left="720"/>
        <w:rPr>
          <w:i/>
        </w:rPr>
      </w:pPr>
      <w:r>
        <w:rPr>
          <w:i/>
        </w:rPr>
        <w:t>T</w:t>
      </w:r>
      <w:r w:rsidR="003D29AF" w:rsidRPr="000E1F95">
        <w:rPr>
          <w:i/>
        </w:rPr>
        <w:t xml:space="preserve">he treatment of moderate to severe active rheumatoid arthritis (RA) in adult patients in </w:t>
      </w:r>
      <w:r w:rsidRPr="000E1F95">
        <w:rPr>
          <w:i/>
        </w:rPr>
        <w:t>c</w:t>
      </w:r>
      <w:r w:rsidR="003D29AF" w:rsidRPr="000E1F95">
        <w:rPr>
          <w:i/>
        </w:rPr>
        <w:t>ombination with methotrexate (MTX) or other non-biological disease-modifying anti-rheumatic drugs (DMARDs) in case of either an inadequate response or intolerance to previous therapy with one or more DMARDs.</w:t>
      </w:r>
    </w:p>
    <w:p w14:paraId="4463B042" w14:textId="77777777" w:rsidR="000E1F95" w:rsidRDefault="003D29AF" w:rsidP="001204C7">
      <w:r>
        <w:t>T</w:t>
      </w:r>
      <w:r w:rsidRPr="00EA6719">
        <w:t>ocilizumab</w:t>
      </w:r>
      <w:r w:rsidRPr="00B15C14">
        <w:t xml:space="preserve"> is </w:t>
      </w:r>
      <w:r w:rsidR="000E1F95">
        <w:t xml:space="preserve">also </w:t>
      </w:r>
      <w:r w:rsidRPr="00B15C14">
        <w:t>indicated for</w:t>
      </w:r>
      <w:r w:rsidR="000E1F95">
        <w:t>:</w:t>
      </w:r>
    </w:p>
    <w:p w14:paraId="4463B043" w14:textId="77777777" w:rsidR="003D29AF" w:rsidRPr="000E1F95" w:rsidRDefault="000E1F95" w:rsidP="001204C7">
      <w:pPr>
        <w:ind w:left="720"/>
        <w:rPr>
          <w:i/>
        </w:rPr>
      </w:pPr>
      <w:r>
        <w:rPr>
          <w:i/>
        </w:rPr>
        <w:t>T</w:t>
      </w:r>
      <w:r w:rsidR="003D29AF" w:rsidRPr="000E1F95">
        <w:rPr>
          <w:i/>
        </w:rPr>
        <w:t>he treatment of moderate to severe active rheumatoid arthritis in adult patients with poor prognostic factors in combination with MTX in those not previously treated with MTX.</w:t>
      </w:r>
    </w:p>
    <w:p w14:paraId="4463B044" w14:textId="77777777" w:rsidR="000E1F95" w:rsidRDefault="003D29AF" w:rsidP="001204C7">
      <w:r w:rsidRPr="00B15C14">
        <w:t xml:space="preserve">In the two groups of patients above, </w:t>
      </w:r>
      <w:r w:rsidRPr="00EA6719">
        <w:t>tocilizumab</w:t>
      </w:r>
      <w:r w:rsidRPr="00B15C14">
        <w:t xml:space="preserve"> can</w:t>
      </w:r>
      <w:r w:rsidR="000E1F95">
        <w:t>:</w:t>
      </w:r>
    </w:p>
    <w:p w14:paraId="4463B045" w14:textId="77777777" w:rsidR="003D29AF" w:rsidRPr="000E1F95" w:rsidRDefault="000E1F95" w:rsidP="001204C7">
      <w:pPr>
        <w:ind w:left="720"/>
        <w:rPr>
          <w:i/>
        </w:rPr>
      </w:pPr>
      <w:r>
        <w:rPr>
          <w:i/>
        </w:rPr>
        <w:t>B</w:t>
      </w:r>
      <w:r w:rsidR="003D29AF" w:rsidRPr="000E1F95">
        <w:rPr>
          <w:i/>
        </w:rPr>
        <w:t>e given as monotherapy in case of intolerance to MTX or where continued treatment with MTX is inappropriate.</w:t>
      </w:r>
    </w:p>
    <w:p w14:paraId="4463B046" w14:textId="77777777" w:rsidR="003D29AF" w:rsidRPr="00B15C14" w:rsidRDefault="003D29AF" w:rsidP="001204C7">
      <w:r w:rsidRPr="00EA6719">
        <w:t>Tocilizumab</w:t>
      </w:r>
      <w:r w:rsidRPr="00B15C14">
        <w:t xml:space="preserve"> has been shown to inhibit the progression of joint damage in adults, as measured by X-ray, when given in combination with methotrexat</w:t>
      </w:r>
      <w:r>
        <w:t>e.</w:t>
      </w:r>
    </w:p>
    <w:p w14:paraId="4463B047" w14:textId="77777777" w:rsidR="003D29AF" w:rsidRPr="008F2510" w:rsidRDefault="003D29AF" w:rsidP="003D29AF">
      <w:pPr>
        <w:pStyle w:val="Heading4"/>
      </w:pPr>
      <w:r w:rsidRPr="008F2510">
        <w:t>Polyarticula</w:t>
      </w:r>
      <w:r>
        <w:t xml:space="preserve">r </w:t>
      </w:r>
      <w:r w:rsidR="007B3C19">
        <w:t>j</w:t>
      </w:r>
      <w:r>
        <w:t xml:space="preserve">uvenile </w:t>
      </w:r>
      <w:r w:rsidR="007B3C19">
        <w:t>i</w:t>
      </w:r>
      <w:r>
        <w:t xml:space="preserve">diopathic </w:t>
      </w:r>
      <w:r w:rsidR="007B3C19">
        <w:t>a</w:t>
      </w:r>
      <w:r>
        <w:t>rthritis</w:t>
      </w:r>
    </w:p>
    <w:p w14:paraId="4463B048" w14:textId="77777777" w:rsidR="000E1F95" w:rsidRDefault="003D29AF" w:rsidP="003D29AF">
      <w:r w:rsidRPr="00EA6719">
        <w:t>Tocilizumab</w:t>
      </w:r>
      <w:r w:rsidR="000E1F95">
        <w:t xml:space="preserve"> (Actemra)</w:t>
      </w:r>
      <w:r w:rsidRPr="00B15C14">
        <w:t xml:space="preserve"> is indicated for</w:t>
      </w:r>
      <w:r w:rsidR="000E1F95">
        <w:t>:</w:t>
      </w:r>
    </w:p>
    <w:p w14:paraId="4463B049" w14:textId="77777777" w:rsidR="003D29AF" w:rsidRPr="000E1F95" w:rsidRDefault="000E1F95" w:rsidP="000E1F95">
      <w:pPr>
        <w:ind w:left="720"/>
        <w:rPr>
          <w:i/>
        </w:rPr>
      </w:pPr>
      <w:r w:rsidRPr="000E1F95">
        <w:rPr>
          <w:i/>
        </w:rPr>
        <w:t>T</w:t>
      </w:r>
      <w:r w:rsidR="003D29AF" w:rsidRPr="000E1F95">
        <w:rPr>
          <w:i/>
        </w:rPr>
        <w:t>he treatment of moderate to severe active polyarticular juvenile idiopathic arthritis in patients 2 years of age and older who have had an inadequate response to or intolerance to methotrexate (MTX). Tocilizumab can be given alone or in combination with MTX.</w:t>
      </w:r>
    </w:p>
    <w:p w14:paraId="4463B04A" w14:textId="77777777" w:rsidR="003D29AF" w:rsidRPr="008F2510" w:rsidRDefault="003D29AF" w:rsidP="003D29AF">
      <w:pPr>
        <w:pStyle w:val="Heading4"/>
      </w:pPr>
      <w:r w:rsidRPr="008F2510">
        <w:t>Systemi</w:t>
      </w:r>
      <w:r>
        <w:t xml:space="preserve">c </w:t>
      </w:r>
      <w:r w:rsidR="007B3C19">
        <w:t>j</w:t>
      </w:r>
      <w:r>
        <w:t xml:space="preserve">uvenile </w:t>
      </w:r>
      <w:r w:rsidR="007B3C19">
        <w:t>i</w:t>
      </w:r>
      <w:r>
        <w:t xml:space="preserve">diopathic </w:t>
      </w:r>
      <w:r w:rsidR="007B3C19">
        <w:t>a</w:t>
      </w:r>
      <w:r>
        <w:t>rthritis</w:t>
      </w:r>
    </w:p>
    <w:p w14:paraId="4463B04B" w14:textId="77777777" w:rsidR="000E1F95" w:rsidRDefault="00994A53" w:rsidP="003D29AF">
      <w:r>
        <w:t>T</w:t>
      </w:r>
      <w:r w:rsidRPr="00EA6719">
        <w:t>ocilizumab</w:t>
      </w:r>
      <w:r w:rsidR="000E1F95">
        <w:t xml:space="preserve"> (Actemra) is indicated for:</w:t>
      </w:r>
    </w:p>
    <w:p w14:paraId="4463B04C" w14:textId="77777777" w:rsidR="003D29AF" w:rsidRPr="000E1F95" w:rsidRDefault="000E1F95" w:rsidP="000E1F95">
      <w:pPr>
        <w:ind w:left="720"/>
        <w:rPr>
          <w:i/>
        </w:rPr>
      </w:pPr>
      <w:r w:rsidRPr="000E1F95">
        <w:rPr>
          <w:i/>
        </w:rPr>
        <w:t>T</w:t>
      </w:r>
      <w:r w:rsidR="003D29AF" w:rsidRPr="000E1F95">
        <w:rPr>
          <w:i/>
        </w:rPr>
        <w:t xml:space="preserve">he treatment of active systemic juvenile idiopathic arthritis in patients 2 years of age and older. </w:t>
      </w:r>
      <w:r w:rsidR="00994A53" w:rsidRPr="000E1F95">
        <w:rPr>
          <w:i/>
        </w:rPr>
        <w:t xml:space="preserve">Tocilizumab </w:t>
      </w:r>
      <w:r w:rsidR="003D29AF" w:rsidRPr="000E1F95">
        <w:rPr>
          <w:i/>
        </w:rPr>
        <w:t>can be given alone or in combination with methotrexate (MTX).</w:t>
      </w:r>
    </w:p>
    <w:p w14:paraId="4463B04D" w14:textId="77777777" w:rsidR="000E1F95" w:rsidRDefault="00521738" w:rsidP="000E1F95">
      <w:pPr>
        <w:pStyle w:val="Heading3"/>
      </w:pPr>
      <w:bookmarkStart w:id="12" w:name="_Toc464136246"/>
      <w:r>
        <w:t>Currently a</w:t>
      </w:r>
      <w:r w:rsidR="000E1F95">
        <w:t>pproved dosage and route of administration</w:t>
      </w:r>
      <w:bookmarkEnd w:id="12"/>
    </w:p>
    <w:p w14:paraId="4463B04E" w14:textId="27E0A415" w:rsidR="00F173E4" w:rsidRDefault="00F173E4" w:rsidP="00F173E4">
      <w:r>
        <w:t>The following dosage forms and strengths</w:t>
      </w:r>
      <w:r w:rsidR="00467F1F">
        <w:t xml:space="preserve"> (see Table 1 below)</w:t>
      </w:r>
      <w:r>
        <w:t xml:space="preserve"> </w:t>
      </w:r>
      <w:r w:rsidR="00467F1F">
        <w:t>were already registered and approved</w:t>
      </w:r>
      <w:r>
        <w:t xml:space="preserve"> </w:t>
      </w:r>
      <w:r w:rsidR="00467F1F">
        <w:t>for the indications listed above at the time of submission to the TGA for extens</w:t>
      </w:r>
      <w:r w:rsidR="00C329D3">
        <w:t>ion of route of administration.</w:t>
      </w:r>
    </w:p>
    <w:p w14:paraId="4463B04F" w14:textId="77777777" w:rsidR="00F173E4" w:rsidRDefault="00467F1F" w:rsidP="003D29AF">
      <w:r>
        <w:t>A</w:t>
      </w:r>
      <w:r w:rsidR="00F173E4" w:rsidRPr="008F2510">
        <w:t>ll</w:t>
      </w:r>
      <w:r>
        <w:t xml:space="preserve"> approved preparations listed below are</w:t>
      </w:r>
      <w:r w:rsidR="00F173E4" w:rsidRPr="008F2510">
        <w:t xml:space="preserve"> intended for intravenous infusion.</w:t>
      </w:r>
    </w:p>
    <w:p w14:paraId="4463B050" w14:textId="77777777" w:rsidR="00F173E4" w:rsidRPr="00FB11F1" w:rsidRDefault="00F173E4" w:rsidP="00F173E4">
      <w:pPr>
        <w:pStyle w:val="Tabletitle"/>
      </w:pPr>
      <w:r w:rsidRPr="00FB11F1">
        <w:lastRenderedPageBreak/>
        <w:t>Table 1. Currently registered dosage forms and strengths of Actmera</w:t>
      </w:r>
    </w:p>
    <w:tbl>
      <w:tblPr>
        <w:tblStyle w:val="TableTGAblue"/>
        <w:tblW w:w="5000" w:type="pct"/>
        <w:tblLayout w:type="fixed"/>
        <w:tblLook w:val="04A0" w:firstRow="1" w:lastRow="0" w:firstColumn="1" w:lastColumn="0" w:noHBand="0" w:noVBand="1"/>
      </w:tblPr>
      <w:tblGrid>
        <w:gridCol w:w="1384"/>
        <w:gridCol w:w="1418"/>
        <w:gridCol w:w="6440"/>
      </w:tblGrid>
      <w:tr w:rsidR="00F173E4" w:rsidRPr="00FB11F1" w14:paraId="4463B054" w14:textId="77777777" w:rsidTr="00C329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9" w:type="pct"/>
          </w:tcPr>
          <w:p w14:paraId="4463B051" w14:textId="77777777" w:rsidR="00F173E4" w:rsidRPr="00D205A3" w:rsidRDefault="00F173E4" w:rsidP="00272523">
            <w:pPr>
              <w:rPr>
                <w:sz w:val="20"/>
                <w:szCs w:val="20"/>
              </w:rPr>
            </w:pPr>
            <w:r w:rsidRPr="00D205A3">
              <w:rPr>
                <w:sz w:val="20"/>
                <w:szCs w:val="20"/>
              </w:rPr>
              <w:t>AUST R</w:t>
            </w:r>
          </w:p>
        </w:tc>
        <w:tc>
          <w:tcPr>
            <w:tcW w:w="767" w:type="pct"/>
          </w:tcPr>
          <w:p w14:paraId="4463B052" w14:textId="77777777" w:rsidR="00F173E4" w:rsidRPr="00D205A3" w:rsidRDefault="00F173E4" w:rsidP="00272523">
            <w:pPr>
              <w:cnfStyle w:val="100000000000" w:firstRow="1" w:lastRow="0" w:firstColumn="0" w:lastColumn="0" w:oddVBand="0" w:evenVBand="0" w:oddHBand="0" w:evenHBand="0" w:firstRowFirstColumn="0" w:firstRowLastColumn="0" w:lastRowFirstColumn="0" w:lastRowLastColumn="0"/>
              <w:rPr>
                <w:sz w:val="20"/>
                <w:szCs w:val="20"/>
              </w:rPr>
            </w:pPr>
            <w:r w:rsidRPr="00D205A3">
              <w:rPr>
                <w:sz w:val="20"/>
                <w:szCs w:val="20"/>
              </w:rPr>
              <w:t>Strength</w:t>
            </w:r>
          </w:p>
        </w:tc>
        <w:tc>
          <w:tcPr>
            <w:tcW w:w="3484" w:type="pct"/>
          </w:tcPr>
          <w:p w14:paraId="4463B053" w14:textId="77777777" w:rsidR="00F173E4" w:rsidRPr="00D205A3" w:rsidRDefault="00F173E4" w:rsidP="00272523">
            <w:pPr>
              <w:cnfStyle w:val="100000000000" w:firstRow="1" w:lastRow="0" w:firstColumn="0" w:lastColumn="0" w:oddVBand="0" w:evenVBand="0" w:oddHBand="0" w:evenHBand="0" w:firstRowFirstColumn="0" w:firstRowLastColumn="0" w:lastRowFirstColumn="0" w:lastRowLastColumn="0"/>
              <w:rPr>
                <w:sz w:val="20"/>
                <w:szCs w:val="20"/>
              </w:rPr>
            </w:pPr>
            <w:r w:rsidRPr="00D205A3">
              <w:rPr>
                <w:sz w:val="20"/>
                <w:szCs w:val="20"/>
              </w:rPr>
              <w:t>Dosage Form</w:t>
            </w:r>
          </w:p>
        </w:tc>
      </w:tr>
      <w:tr w:rsidR="00F173E4" w:rsidRPr="00FB11F1" w14:paraId="4463B059" w14:textId="77777777" w:rsidTr="00C329D3">
        <w:tc>
          <w:tcPr>
            <w:cnfStyle w:val="001000000000" w:firstRow="0" w:lastRow="0" w:firstColumn="1" w:lastColumn="0" w:oddVBand="0" w:evenVBand="0" w:oddHBand="0" w:evenHBand="0" w:firstRowFirstColumn="0" w:firstRowLastColumn="0" w:lastRowFirstColumn="0" w:lastRowLastColumn="0"/>
            <w:tcW w:w="749" w:type="pct"/>
          </w:tcPr>
          <w:p w14:paraId="4463B055" w14:textId="77777777" w:rsidR="00F173E4" w:rsidRPr="00FB11F1" w:rsidRDefault="00F173E4" w:rsidP="00272523">
            <w:pPr>
              <w:rPr>
                <w:sz w:val="20"/>
                <w:szCs w:val="20"/>
              </w:rPr>
            </w:pPr>
            <w:r w:rsidRPr="00FB11F1">
              <w:rPr>
                <w:sz w:val="20"/>
                <w:szCs w:val="20"/>
              </w:rPr>
              <w:t>149403</w:t>
            </w:r>
          </w:p>
        </w:tc>
        <w:tc>
          <w:tcPr>
            <w:tcW w:w="767" w:type="pct"/>
          </w:tcPr>
          <w:p w14:paraId="4463B056" w14:textId="77777777" w:rsidR="00F173E4" w:rsidRPr="00FB11F1" w:rsidRDefault="00F173E4" w:rsidP="00272523">
            <w:pPr>
              <w:cnfStyle w:val="000000000000" w:firstRow="0" w:lastRow="0" w:firstColumn="0" w:lastColumn="0" w:oddVBand="0" w:evenVBand="0" w:oddHBand="0" w:evenHBand="0" w:firstRowFirstColumn="0" w:firstRowLastColumn="0" w:lastRowFirstColumn="0" w:lastRowLastColumn="0"/>
              <w:rPr>
                <w:sz w:val="20"/>
                <w:szCs w:val="20"/>
              </w:rPr>
            </w:pPr>
            <w:r w:rsidRPr="00FB11F1">
              <w:rPr>
                <w:sz w:val="20"/>
                <w:szCs w:val="20"/>
              </w:rPr>
              <w:t>80</w:t>
            </w:r>
            <w:r w:rsidR="00DE078C">
              <w:rPr>
                <w:sz w:val="20"/>
                <w:szCs w:val="20"/>
              </w:rPr>
              <w:t xml:space="preserve"> </w:t>
            </w:r>
            <w:r w:rsidRPr="00FB11F1">
              <w:rPr>
                <w:sz w:val="20"/>
                <w:szCs w:val="20"/>
              </w:rPr>
              <w:t>mg</w:t>
            </w:r>
          </w:p>
        </w:tc>
        <w:tc>
          <w:tcPr>
            <w:tcW w:w="3484" w:type="pct"/>
          </w:tcPr>
          <w:p w14:paraId="4463B057" w14:textId="77777777" w:rsidR="00F173E4" w:rsidRDefault="00F173E4" w:rsidP="00272523">
            <w:pPr>
              <w:cnfStyle w:val="000000000000" w:firstRow="0" w:lastRow="0" w:firstColumn="0" w:lastColumn="0" w:oddVBand="0" w:evenVBand="0" w:oddHBand="0" w:evenHBand="0" w:firstRowFirstColumn="0" w:firstRowLastColumn="0" w:lastRowFirstColumn="0" w:lastRowLastColumn="0"/>
              <w:rPr>
                <w:sz w:val="20"/>
                <w:szCs w:val="20"/>
              </w:rPr>
            </w:pPr>
            <w:r w:rsidRPr="00FB11F1">
              <w:rPr>
                <w:sz w:val="20"/>
                <w:szCs w:val="20"/>
              </w:rPr>
              <w:t>Single use vial containing 80 mg of Actemra</w:t>
            </w:r>
            <w:r>
              <w:rPr>
                <w:sz w:val="20"/>
                <w:szCs w:val="20"/>
              </w:rPr>
              <w:t xml:space="preserve"> in 4 mL (20 mg/mL).</w:t>
            </w:r>
          </w:p>
          <w:p w14:paraId="4463B058" w14:textId="77777777" w:rsidR="00F173E4" w:rsidRPr="00FB11F1" w:rsidRDefault="00F173E4" w:rsidP="00272523">
            <w:pPr>
              <w:cnfStyle w:val="000000000000" w:firstRow="0" w:lastRow="0" w:firstColumn="0" w:lastColumn="0" w:oddVBand="0" w:evenVBand="0" w:oddHBand="0" w:evenHBand="0" w:firstRowFirstColumn="0" w:firstRowLastColumn="0" w:lastRowFirstColumn="0" w:lastRowLastColumn="0"/>
              <w:rPr>
                <w:sz w:val="20"/>
                <w:szCs w:val="20"/>
              </w:rPr>
            </w:pPr>
            <w:r w:rsidRPr="00FB11F1">
              <w:rPr>
                <w:sz w:val="20"/>
                <w:szCs w:val="20"/>
              </w:rPr>
              <w:t>Packs of 1 and 4</w:t>
            </w:r>
            <w:r w:rsidRPr="00F173E4">
              <w:rPr>
                <w:sz w:val="20"/>
                <w:szCs w:val="20"/>
                <w:vertAlign w:val="superscript"/>
              </w:rPr>
              <w:t>*</w:t>
            </w:r>
            <w:r w:rsidRPr="00FB11F1">
              <w:rPr>
                <w:sz w:val="20"/>
                <w:szCs w:val="20"/>
              </w:rPr>
              <w:t xml:space="preserve"> vials.</w:t>
            </w:r>
          </w:p>
        </w:tc>
      </w:tr>
      <w:tr w:rsidR="00F173E4" w:rsidRPr="00FB11F1" w14:paraId="4463B05E" w14:textId="77777777" w:rsidTr="00C329D3">
        <w:tc>
          <w:tcPr>
            <w:cnfStyle w:val="001000000000" w:firstRow="0" w:lastRow="0" w:firstColumn="1" w:lastColumn="0" w:oddVBand="0" w:evenVBand="0" w:oddHBand="0" w:evenHBand="0" w:firstRowFirstColumn="0" w:firstRowLastColumn="0" w:lastRowFirstColumn="0" w:lastRowLastColumn="0"/>
            <w:tcW w:w="749" w:type="pct"/>
          </w:tcPr>
          <w:p w14:paraId="4463B05A" w14:textId="77777777" w:rsidR="00F173E4" w:rsidRPr="00FB11F1" w:rsidRDefault="00F173E4" w:rsidP="00272523">
            <w:pPr>
              <w:rPr>
                <w:sz w:val="20"/>
                <w:szCs w:val="20"/>
              </w:rPr>
            </w:pPr>
            <w:r w:rsidRPr="00FB11F1">
              <w:rPr>
                <w:sz w:val="20"/>
                <w:szCs w:val="20"/>
              </w:rPr>
              <w:t>149404</w:t>
            </w:r>
          </w:p>
        </w:tc>
        <w:tc>
          <w:tcPr>
            <w:tcW w:w="767" w:type="pct"/>
          </w:tcPr>
          <w:p w14:paraId="4463B05B" w14:textId="77777777" w:rsidR="00F173E4" w:rsidRPr="00FB11F1" w:rsidRDefault="00F173E4" w:rsidP="00272523">
            <w:pPr>
              <w:cnfStyle w:val="000000000000" w:firstRow="0" w:lastRow="0" w:firstColumn="0" w:lastColumn="0" w:oddVBand="0" w:evenVBand="0" w:oddHBand="0" w:evenHBand="0" w:firstRowFirstColumn="0" w:firstRowLastColumn="0" w:lastRowFirstColumn="0" w:lastRowLastColumn="0"/>
              <w:rPr>
                <w:sz w:val="20"/>
                <w:szCs w:val="20"/>
              </w:rPr>
            </w:pPr>
            <w:r w:rsidRPr="00FB11F1">
              <w:rPr>
                <w:sz w:val="20"/>
                <w:szCs w:val="20"/>
              </w:rPr>
              <w:t>200</w:t>
            </w:r>
            <w:r w:rsidR="00DE078C">
              <w:rPr>
                <w:sz w:val="20"/>
                <w:szCs w:val="20"/>
              </w:rPr>
              <w:t xml:space="preserve"> </w:t>
            </w:r>
            <w:r w:rsidRPr="00FB11F1">
              <w:rPr>
                <w:sz w:val="20"/>
                <w:szCs w:val="20"/>
              </w:rPr>
              <w:t>mg</w:t>
            </w:r>
          </w:p>
        </w:tc>
        <w:tc>
          <w:tcPr>
            <w:tcW w:w="3484" w:type="pct"/>
          </w:tcPr>
          <w:p w14:paraId="4463B05C" w14:textId="77777777" w:rsidR="00F173E4" w:rsidRDefault="00F173E4" w:rsidP="00272523">
            <w:pPr>
              <w:cnfStyle w:val="000000000000" w:firstRow="0" w:lastRow="0" w:firstColumn="0" w:lastColumn="0" w:oddVBand="0" w:evenVBand="0" w:oddHBand="0" w:evenHBand="0" w:firstRowFirstColumn="0" w:firstRowLastColumn="0" w:lastRowFirstColumn="0" w:lastRowLastColumn="0"/>
              <w:rPr>
                <w:sz w:val="20"/>
                <w:szCs w:val="20"/>
              </w:rPr>
            </w:pPr>
            <w:r w:rsidRPr="00FB11F1">
              <w:rPr>
                <w:sz w:val="20"/>
                <w:szCs w:val="20"/>
              </w:rPr>
              <w:t>Single use vial containing 200 mg o</w:t>
            </w:r>
            <w:r>
              <w:rPr>
                <w:sz w:val="20"/>
                <w:szCs w:val="20"/>
              </w:rPr>
              <w:t>f Actemra in 10 mL (20 mg/mL).</w:t>
            </w:r>
          </w:p>
          <w:p w14:paraId="4463B05D" w14:textId="77777777" w:rsidR="00F173E4" w:rsidRPr="00FB11F1" w:rsidRDefault="00F173E4" w:rsidP="00272523">
            <w:pPr>
              <w:cnfStyle w:val="000000000000" w:firstRow="0" w:lastRow="0" w:firstColumn="0" w:lastColumn="0" w:oddVBand="0" w:evenVBand="0" w:oddHBand="0" w:evenHBand="0" w:firstRowFirstColumn="0" w:firstRowLastColumn="0" w:lastRowFirstColumn="0" w:lastRowLastColumn="0"/>
              <w:rPr>
                <w:sz w:val="20"/>
                <w:szCs w:val="20"/>
              </w:rPr>
            </w:pPr>
            <w:r w:rsidRPr="00FB11F1">
              <w:rPr>
                <w:sz w:val="20"/>
                <w:szCs w:val="20"/>
              </w:rPr>
              <w:t xml:space="preserve">Packs of 1 </w:t>
            </w:r>
            <w:r w:rsidRPr="00FB11F1">
              <w:rPr>
                <w:iCs/>
                <w:sz w:val="20"/>
                <w:szCs w:val="20"/>
                <w:lang w:val="en-GB"/>
              </w:rPr>
              <w:t>and 4</w:t>
            </w:r>
            <w:r w:rsidRPr="00F173E4">
              <w:rPr>
                <w:iCs/>
                <w:sz w:val="20"/>
                <w:szCs w:val="20"/>
                <w:vertAlign w:val="superscript"/>
                <w:lang w:val="en-GB"/>
              </w:rPr>
              <w:t>*</w:t>
            </w:r>
            <w:r w:rsidRPr="00FB11F1">
              <w:rPr>
                <w:iCs/>
                <w:sz w:val="20"/>
                <w:szCs w:val="20"/>
                <w:lang w:val="en-GB"/>
              </w:rPr>
              <w:t xml:space="preserve"> </w:t>
            </w:r>
            <w:r w:rsidRPr="00FB11F1">
              <w:rPr>
                <w:sz w:val="20"/>
                <w:szCs w:val="20"/>
              </w:rPr>
              <w:t>vials.</w:t>
            </w:r>
          </w:p>
        </w:tc>
      </w:tr>
      <w:tr w:rsidR="00F173E4" w:rsidRPr="00FB11F1" w14:paraId="4463B063" w14:textId="77777777" w:rsidTr="00C329D3">
        <w:tc>
          <w:tcPr>
            <w:cnfStyle w:val="001000000000" w:firstRow="0" w:lastRow="0" w:firstColumn="1" w:lastColumn="0" w:oddVBand="0" w:evenVBand="0" w:oddHBand="0" w:evenHBand="0" w:firstRowFirstColumn="0" w:firstRowLastColumn="0" w:lastRowFirstColumn="0" w:lastRowLastColumn="0"/>
            <w:tcW w:w="749" w:type="pct"/>
          </w:tcPr>
          <w:p w14:paraId="4463B05F" w14:textId="77777777" w:rsidR="00F173E4" w:rsidRPr="00FB11F1" w:rsidRDefault="00F173E4" w:rsidP="00272523">
            <w:pPr>
              <w:rPr>
                <w:sz w:val="20"/>
                <w:szCs w:val="20"/>
              </w:rPr>
            </w:pPr>
            <w:r w:rsidRPr="00FB11F1">
              <w:rPr>
                <w:sz w:val="20"/>
                <w:szCs w:val="20"/>
              </w:rPr>
              <w:t>149402</w:t>
            </w:r>
          </w:p>
        </w:tc>
        <w:tc>
          <w:tcPr>
            <w:tcW w:w="767" w:type="pct"/>
          </w:tcPr>
          <w:p w14:paraId="4463B060" w14:textId="77777777" w:rsidR="00F173E4" w:rsidRPr="00FB11F1" w:rsidRDefault="00F173E4" w:rsidP="00272523">
            <w:pPr>
              <w:cnfStyle w:val="000000000000" w:firstRow="0" w:lastRow="0" w:firstColumn="0" w:lastColumn="0" w:oddVBand="0" w:evenVBand="0" w:oddHBand="0" w:evenHBand="0" w:firstRowFirstColumn="0" w:firstRowLastColumn="0" w:lastRowFirstColumn="0" w:lastRowLastColumn="0"/>
              <w:rPr>
                <w:sz w:val="20"/>
                <w:szCs w:val="20"/>
              </w:rPr>
            </w:pPr>
            <w:r w:rsidRPr="00FB11F1">
              <w:rPr>
                <w:sz w:val="20"/>
                <w:szCs w:val="20"/>
              </w:rPr>
              <w:t>400</w:t>
            </w:r>
            <w:r w:rsidR="00DE078C">
              <w:rPr>
                <w:sz w:val="20"/>
                <w:szCs w:val="20"/>
              </w:rPr>
              <w:t xml:space="preserve"> </w:t>
            </w:r>
            <w:r w:rsidRPr="00FB11F1">
              <w:rPr>
                <w:sz w:val="20"/>
                <w:szCs w:val="20"/>
              </w:rPr>
              <w:t>mg</w:t>
            </w:r>
          </w:p>
        </w:tc>
        <w:tc>
          <w:tcPr>
            <w:tcW w:w="3484" w:type="pct"/>
          </w:tcPr>
          <w:p w14:paraId="4463B061" w14:textId="77777777" w:rsidR="00F173E4" w:rsidRDefault="00F173E4" w:rsidP="00272523">
            <w:pPr>
              <w:cnfStyle w:val="000000000000" w:firstRow="0" w:lastRow="0" w:firstColumn="0" w:lastColumn="0" w:oddVBand="0" w:evenVBand="0" w:oddHBand="0" w:evenHBand="0" w:firstRowFirstColumn="0" w:firstRowLastColumn="0" w:lastRowFirstColumn="0" w:lastRowLastColumn="0"/>
              <w:rPr>
                <w:sz w:val="20"/>
                <w:szCs w:val="20"/>
              </w:rPr>
            </w:pPr>
            <w:r w:rsidRPr="00FB11F1">
              <w:rPr>
                <w:sz w:val="20"/>
                <w:szCs w:val="20"/>
              </w:rPr>
              <w:t>Single use vial containing 400 mg o</w:t>
            </w:r>
            <w:r>
              <w:rPr>
                <w:sz w:val="20"/>
                <w:szCs w:val="20"/>
              </w:rPr>
              <w:t>f Actemra in 20 mL (20 mg/mL).</w:t>
            </w:r>
          </w:p>
          <w:p w14:paraId="4463B062" w14:textId="77777777" w:rsidR="00F173E4" w:rsidRPr="00FB11F1" w:rsidRDefault="00F173E4" w:rsidP="00272523">
            <w:pPr>
              <w:cnfStyle w:val="000000000000" w:firstRow="0" w:lastRow="0" w:firstColumn="0" w:lastColumn="0" w:oddVBand="0" w:evenVBand="0" w:oddHBand="0" w:evenHBand="0" w:firstRowFirstColumn="0" w:firstRowLastColumn="0" w:lastRowFirstColumn="0" w:lastRowLastColumn="0"/>
              <w:rPr>
                <w:sz w:val="20"/>
                <w:szCs w:val="20"/>
              </w:rPr>
            </w:pPr>
            <w:r w:rsidRPr="00FB11F1">
              <w:rPr>
                <w:sz w:val="20"/>
                <w:szCs w:val="20"/>
              </w:rPr>
              <w:t xml:space="preserve">Packs of 1 </w:t>
            </w:r>
            <w:r w:rsidRPr="00FB11F1">
              <w:rPr>
                <w:iCs/>
                <w:sz w:val="20"/>
                <w:szCs w:val="20"/>
                <w:lang w:val="en-GB"/>
              </w:rPr>
              <w:t>and 4</w:t>
            </w:r>
            <w:r w:rsidRPr="00F173E4">
              <w:rPr>
                <w:iCs/>
                <w:sz w:val="20"/>
                <w:szCs w:val="20"/>
                <w:vertAlign w:val="superscript"/>
                <w:lang w:val="en-GB"/>
              </w:rPr>
              <w:t>*</w:t>
            </w:r>
            <w:r w:rsidRPr="00FB11F1">
              <w:rPr>
                <w:sz w:val="20"/>
                <w:szCs w:val="20"/>
              </w:rPr>
              <w:t xml:space="preserve"> vials.</w:t>
            </w:r>
          </w:p>
        </w:tc>
      </w:tr>
    </w:tbl>
    <w:p w14:paraId="4463B064" w14:textId="77777777" w:rsidR="00F173E4" w:rsidRPr="00F173E4" w:rsidRDefault="00F173E4" w:rsidP="00C329D3">
      <w:pPr>
        <w:pStyle w:val="TableDescription"/>
      </w:pPr>
      <w:r w:rsidRPr="00F173E4">
        <w:rPr>
          <w:vertAlign w:val="superscript"/>
        </w:rPr>
        <w:t>*</w:t>
      </w:r>
      <w:r w:rsidRPr="00505A2B">
        <w:t>The packs of 4 vials are not marketed.</w:t>
      </w:r>
    </w:p>
    <w:p w14:paraId="4463B065" w14:textId="77777777" w:rsidR="00994A53" w:rsidRDefault="00994A53" w:rsidP="00C329D3">
      <w:pPr>
        <w:pStyle w:val="Heading3"/>
      </w:pPr>
      <w:bookmarkStart w:id="13" w:name="_Toc464136247"/>
      <w:r>
        <w:t>Submission type</w:t>
      </w:r>
      <w:bookmarkEnd w:id="13"/>
    </w:p>
    <w:p w14:paraId="4463B066" w14:textId="77777777" w:rsidR="00994A53" w:rsidRDefault="00994A53" w:rsidP="00994A53">
      <w:r>
        <w:t>This is</w:t>
      </w:r>
      <w:r w:rsidRPr="002A39EB">
        <w:t xml:space="preserve"> a </w:t>
      </w:r>
      <w:r>
        <w:t>Category 1, Type F</w:t>
      </w:r>
      <w:r w:rsidRPr="002A39EB">
        <w:t xml:space="preserve"> </w:t>
      </w:r>
      <w:r>
        <w:t>re-</w:t>
      </w:r>
      <w:r w:rsidRPr="002A39EB">
        <w:t xml:space="preserve">submission to </w:t>
      </w:r>
      <w:r>
        <w:t xml:space="preserve">register a </w:t>
      </w:r>
      <w:r w:rsidR="00467F1F">
        <w:t xml:space="preserve">new </w:t>
      </w:r>
      <w:r>
        <w:t xml:space="preserve">subcutaneous </w:t>
      </w:r>
      <w:r w:rsidR="00467F1F">
        <w:t xml:space="preserve">(SC) </w:t>
      </w:r>
      <w:r>
        <w:t>formulation</w:t>
      </w:r>
      <w:r w:rsidR="00467F1F">
        <w:t xml:space="preserve"> (as opposed to IV formulation) of Actemra for</w:t>
      </w:r>
      <w:r>
        <w:t xml:space="preserve"> adult rheumatoid arthritis (RA) indication</w:t>
      </w:r>
      <w:r w:rsidRPr="002A39EB">
        <w:t>.</w:t>
      </w:r>
      <w:r>
        <w:t xml:space="preserve"> This formulation was originally submitted</w:t>
      </w:r>
      <w:r w:rsidR="00344A05">
        <w:t>,</w:t>
      </w:r>
      <w:r>
        <w:t xml:space="preserve"> which was withdrawn by the </w:t>
      </w:r>
      <w:r w:rsidR="00521738">
        <w:t>s</w:t>
      </w:r>
      <w:r>
        <w:t>ponsor in January 2014 for commercial reasons.</w:t>
      </w:r>
    </w:p>
    <w:p w14:paraId="4463B068" w14:textId="70038228" w:rsidR="00DE078C" w:rsidRDefault="00994A53" w:rsidP="00C329D3">
      <w:r w:rsidRPr="003249FB">
        <w:t>The submission proposes registration of the following dosage form and strength</w:t>
      </w:r>
      <w:r w:rsidR="00DE078C">
        <w:t xml:space="preserve"> as shown in Table 2</w:t>
      </w:r>
      <w:r w:rsidR="00351BC0">
        <w:t xml:space="preserve"> below</w:t>
      </w:r>
      <w:r w:rsidR="00521738">
        <w:t>.</w:t>
      </w:r>
    </w:p>
    <w:p w14:paraId="4463B069" w14:textId="77777777" w:rsidR="00521738" w:rsidRDefault="00521738" w:rsidP="00C329D3">
      <w:pPr>
        <w:pStyle w:val="Heading3"/>
      </w:pPr>
      <w:bookmarkStart w:id="14" w:name="_Toc464136248"/>
      <w:r>
        <w:t>Proposed registration of new route, dosage from and strength</w:t>
      </w:r>
      <w:bookmarkEnd w:id="14"/>
    </w:p>
    <w:p w14:paraId="4463B06A" w14:textId="77777777" w:rsidR="00DE078C" w:rsidRDefault="00DE078C" w:rsidP="00DE078C">
      <w:pPr>
        <w:pStyle w:val="Tabletitle"/>
      </w:pPr>
      <w:r>
        <w:t>Table 2. Proposed registration of new route, dosage form and strength</w:t>
      </w:r>
    </w:p>
    <w:tbl>
      <w:tblPr>
        <w:tblStyle w:val="TableTGAblue"/>
        <w:tblW w:w="5000" w:type="pct"/>
        <w:tblLayout w:type="fixed"/>
        <w:tblLook w:val="04A0" w:firstRow="1" w:lastRow="0" w:firstColumn="1" w:lastColumn="0" w:noHBand="0" w:noVBand="1"/>
      </w:tblPr>
      <w:tblGrid>
        <w:gridCol w:w="2659"/>
        <w:gridCol w:w="1701"/>
        <w:gridCol w:w="4882"/>
      </w:tblGrid>
      <w:tr w:rsidR="00F173E4" w:rsidRPr="00DE078C" w14:paraId="4463B06E" w14:textId="77777777" w:rsidTr="00F173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tcPr>
          <w:p w14:paraId="4463B06B" w14:textId="77777777" w:rsidR="00F173E4" w:rsidRPr="00D205A3" w:rsidRDefault="00F173E4" w:rsidP="00F173E4">
            <w:pPr>
              <w:rPr>
                <w:sz w:val="18"/>
                <w:szCs w:val="20"/>
              </w:rPr>
            </w:pPr>
            <w:r w:rsidRPr="00D205A3">
              <w:rPr>
                <w:sz w:val="18"/>
                <w:szCs w:val="20"/>
              </w:rPr>
              <w:t>Submission application</w:t>
            </w:r>
          </w:p>
        </w:tc>
        <w:tc>
          <w:tcPr>
            <w:tcW w:w="920" w:type="pct"/>
          </w:tcPr>
          <w:p w14:paraId="4463B06C" w14:textId="77777777" w:rsidR="00F173E4" w:rsidRPr="00D205A3" w:rsidRDefault="00F173E4" w:rsidP="00272523">
            <w:pPr>
              <w:cnfStyle w:val="100000000000" w:firstRow="1" w:lastRow="0" w:firstColumn="0" w:lastColumn="0" w:oddVBand="0" w:evenVBand="0" w:oddHBand="0" w:evenHBand="0" w:firstRowFirstColumn="0" w:firstRowLastColumn="0" w:lastRowFirstColumn="0" w:lastRowLastColumn="0"/>
              <w:rPr>
                <w:sz w:val="18"/>
                <w:szCs w:val="20"/>
              </w:rPr>
            </w:pPr>
            <w:r w:rsidRPr="00D205A3">
              <w:rPr>
                <w:sz w:val="18"/>
                <w:szCs w:val="20"/>
              </w:rPr>
              <w:t>Strength</w:t>
            </w:r>
          </w:p>
        </w:tc>
        <w:tc>
          <w:tcPr>
            <w:tcW w:w="2641" w:type="pct"/>
          </w:tcPr>
          <w:p w14:paraId="4463B06D" w14:textId="77777777" w:rsidR="00F173E4" w:rsidRPr="00D205A3" w:rsidRDefault="00F173E4" w:rsidP="00272523">
            <w:pPr>
              <w:cnfStyle w:val="100000000000" w:firstRow="1" w:lastRow="0" w:firstColumn="0" w:lastColumn="0" w:oddVBand="0" w:evenVBand="0" w:oddHBand="0" w:evenHBand="0" w:firstRowFirstColumn="0" w:firstRowLastColumn="0" w:lastRowFirstColumn="0" w:lastRowLastColumn="0"/>
              <w:rPr>
                <w:sz w:val="18"/>
                <w:szCs w:val="20"/>
              </w:rPr>
            </w:pPr>
            <w:r w:rsidRPr="00D205A3">
              <w:rPr>
                <w:sz w:val="18"/>
                <w:szCs w:val="20"/>
              </w:rPr>
              <w:t>Dosage Form</w:t>
            </w:r>
          </w:p>
        </w:tc>
      </w:tr>
      <w:tr w:rsidR="00F173E4" w:rsidRPr="00DE078C" w14:paraId="4463B073" w14:textId="77777777" w:rsidTr="00F173E4">
        <w:tc>
          <w:tcPr>
            <w:cnfStyle w:val="001000000000" w:firstRow="0" w:lastRow="0" w:firstColumn="1" w:lastColumn="0" w:oddVBand="0" w:evenVBand="0" w:oddHBand="0" w:evenHBand="0" w:firstRowFirstColumn="0" w:firstRowLastColumn="0" w:lastRowFirstColumn="0" w:lastRowLastColumn="0"/>
            <w:tcW w:w="1439" w:type="pct"/>
          </w:tcPr>
          <w:p w14:paraId="4463B06F" w14:textId="77777777" w:rsidR="00F173E4" w:rsidRPr="00DE078C" w:rsidRDefault="00F173E4" w:rsidP="00272523">
            <w:pPr>
              <w:rPr>
                <w:sz w:val="18"/>
                <w:szCs w:val="20"/>
              </w:rPr>
            </w:pPr>
            <w:r w:rsidRPr="00DE078C">
              <w:rPr>
                <w:sz w:val="18"/>
              </w:rPr>
              <w:t>PM-2014-04309-1-3</w:t>
            </w:r>
          </w:p>
        </w:tc>
        <w:tc>
          <w:tcPr>
            <w:tcW w:w="920" w:type="pct"/>
          </w:tcPr>
          <w:p w14:paraId="4463B070" w14:textId="77777777" w:rsidR="00F173E4" w:rsidRPr="00DE078C" w:rsidRDefault="00F173E4" w:rsidP="00272523">
            <w:pPr>
              <w:cnfStyle w:val="000000000000" w:firstRow="0" w:lastRow="0" w:firstColumn="0" w:lastColumn="0" w:oddVBand="0" w:evenVBand="0" w:oddHBand="0" w:evenHBand="0" w:firstRowFirstColumn="0" w:firstRowLastColumn="0" w:lastRowFirstColumn="0" w:lastRowLastColumn="0"/>
              <w:rPr>
                <w:sz w:val="18"/>
                <w:szCs w:val="20"/>
              </w:rPr>
            </w:pPr>
            <w:r w:rsidRPr="00DE078C">
              <w:rPr>
                <w:sz w:val="18"/>
                <w:szCs w:val="20"/>
              </w:rPr>
              <w:t>1</w:t>
            </w:r>
            <w:r w:rsidR="00DE078C" w:rsidRPr="00DE078C">
              <w:rPr>
                <w:sz w:val="18"/>
                <w:szCs w:val="20"/>
              </w:rPr>
              <w:t xml:space="preserve">62 </w:t>
            </w:r>
            <w:r w:rsidRPr="00DE078C">
              <w:rPr>
                <w:sz w:val="18"/>
                <w:szCs w:val="20"/>
              </w:rPr>
              <w:t>mg</w:t>
            </w:r>
          </w:p>
        </w:tc>
        <w:tc>
          <w:tcPr>
            <w:tcW w:w="2641" w:type="pct"/>
          </w:tcPr>
          <w:p w14:paraId="4463B071" w14:textId="77777777" w:rsidR="00F173E4" w:rsidRPr="00DE078C" w:rsidRDefault="00F173E4" w:rsidP="00272523">
            <w:pPr>
              <w:cnfStyle w:val="000000000000" w:firstRow="0" w:lastRow="0" w:firstColumn="0" w:lastColumn="0" w:oddVBand="0" w:evenVBand="0" w:oddHBand="0" w:evenHBand="0" w:firstRowFirstColumn="0" w:firstRowLastColumn="0" w:lastRowFirstColumn="0" w:lastRowLastColumn="0"/>
              <w:rPr>
                <w:sz w:val="18"/>
                <w:szCs w:val="20"/>
              </w:rPr>
            </w:pPr>
            <w:r w:rsidRPr="00DE078C">
              <w:rPr>
                <w:sz w:val="18"/>
                <w:szCs w:val="20"/>
              </w:rPr>
              <w:t xml:space="preserve">Single use </w:t>
            </w:r>
            <w:r w:rsidR="00DE078C" w:rsidRPr="00DE078C">
              <w:rPr>
                <w:sz w:val="18"/>
                <w:szCs w:val="20"/>
              </w:rPr>
              <w:t>pre-filled syringe with needle safety device containing 162</w:t>
            </w:r>
            <w:r w:rsidRPr="00DE078C">
              <w:rPr>
                <w:sz w:val="18"/>
                <w:szCs w:val="20"/>
              </w:rPr>
              <w:t xml:space="preserve"> mg of Actemra</w:t>
            </w:r>
            <w:r w:rsidR="00DE078C" w:rsidRPr="00DE078C">
              <w:rPr>
                <w:sz w:val="18"/>
                <w:szCs w:val="20"/>
              </w:rPr>
              <w:t xml:space="preserve"> in 0.9 mL (180</w:t>
            </w:r>
            <w:r w:rsidRPr="00DE078C">
              <w:rPr>
                <w:sz w:val="18"/>
                <w:szCs w:val="20"/>
              </w:rPr>
              <w:t xml:space="preserve"> mg/mL).</w:t>
            </w:r>
          </w:p>
          <w:p w14:paraId="4463B072" w14:textId="77777777" w:rsidR="00F173E4" w:rsidRPr="00DE078C" w:rsidRDefault="00F173E4" w:rsidP="00DE078C">
            <w:pPr>
              <w:cnfStyle w:val="000000000000" w:firstRow="0" w:lastRow="0" w:firstColumn="0" w:lastColumn="0" w:oddVBand="0" w:evenVBand="0" w:oddHBand="0" w:evenHBand="0" w:firstRowFirstColumn="0" w:firstRowLastColumn="0" w:lastRowFirstColumn="0" w:lastRowLastColumn="0"/>
              <w:rPr>
                <w:sz w:val="18"/>
                <w:szCs w:val="20"/>
              </w:rPr>
            </w:pPr>
            <w:r w:rsidRPr="00DE078C">
              <w:rPr>
                <w:sz w:val="18"/>
                <w:szCs w:val="20"/>
              </w:rPr>
              <w:t xml:space="preserve">Packs of </w:t>
            </w:r>
            <w:r w:rsidR="00DE078C" w:rsidRPr="00DE078C">
              <w:rPr>
                <w:sz w:val="18"/>
                <w:szCs w:val="20"/>
              </w:rPr>
              <w:t>4 syringes</w:t>
            </w:r>
            <w:r w:rsidRPr="00DE078C">
              <w:rPr>
                <w:sz w:val="18"/>
                <w:szCs w:val="20"/>
              </w:rPr>
              <w:t>.</w:t>
            </w:r>
          </w:p>
        </w:tc>
      </w:tr>
    </w:tbl>
    <w:p w14:paraId="4463B074" w14:textId="77777777" w:rsidR="00994A53" w:rsidRDefault="00994A53" w:rsidP="00C329D3">
      <w:r>
        <w:t xml:space="preserve">This </w:t>
      </w:r>
      <w:r w:rsidR="00467F1F">
        <w:t>new formulation</w:t>
      </w:r>
      <w:r w:rsidRPr="008F2510">
        <w:t xml:space="preserve"> </w:t>
      </w:r>
      <w:r>
        <w:t>is</w:t>
      </w:r>
      <w:r w:rsidRPr="008F2510">
        <w:t xml:space="preserve"> inte</w:t>
      </w:r>
      <w:r>
        <w:t>nded for subcutaneous injection</w:t>
      </w:r>
      <w:r w:rsidRPr="008F2510">
        <w:t>.</w:t>
      </w:r>
    </w:p>
    <w:p w14:paraId="4463B075" w14:textId="77777777" w:rsidR="00DE078C" w:rsidRPr="00DE078C" w:rsidRDefault="00DE078C" w:rsidP="00DE078C">
      <w:r w:rsidRPr="00D034FD">
        <w:t>The proposed dosing regimen</w:t>
      </w:r>
      <w:r>
        <w:t xml:space="preserve"> submitted by the sponsor for treatment of</w:t>
      </w:r>
      <w:r w:rsidRPr="00D034FD">
        <w:t xml:space="preserve"> adult rheumatoid arthritis is</w:t>
      </w:r>
      <w:r>
        <w:t>:</w:t>
      </w:r>
    </w:p>
    <w:p w14:paraId="4463B076" w14:textId="77777777" w:rsidR="00DE078C" w:rsidRDefault="00DE078C" w:rsidP="00DE078C">
      <w:pPr>
        <w:pStyle w:val="ListBullet"/>
      </w:pPr>
      <w:r w:rsidRPr="00DE078C">
        <w:t>162 mg given once every week as a subcutaneo</w:t>
      </w:r>
      <w:r w:rsidR="00521738">
        <w:t>us injection</w:t>
      </w:r>
    </w:p>
    <w:p w14:paraId="4463B077" w14:textId="77777777" w:rsidR="00DE078C" w:rsidRDefault="00DE078C" w:rsidP="00DE078C">
      <w:pPr>
        <w:pStyle w:val="ListBullet"/>
      </w:pPr>
      <w:r w:rsidRPr="00DE078C">
        <w:t>can be used alone or in combination with MTX and</w:t>
      </w:r>
      <w:r w:rsidR="00521738">
        <w:t>/or other non-biological DMARDs</w:t>
      </w:r>
    </w:p>
    <w:p w14:paraId="4463B078" w14:textId="77777777" w:rsidR="00DE078C" w:rsidRDefault="00467F1F" w:rsidP="00DE078C">
      <w:pPr>
        <w:pStyle w:val="ListBullet"/>
      </w:pPr>
      <w:r>
        <w:t>p</w:t>
      </w:r>
      <w:r w:rsidR="00DE078C" w:rsidRPr="00DE078C">
        <w:t>atients transitioning from IV Actemra therapy to SC administration should administer the first SC dose at the time of the next scheduled IV dose under the supervision of a qu</w:t>
      </w:r>
      <w:r w:rsidR="00521738">
        <w:t>alified healthcare professional</w:t>
      </w:r>
    </w:p>
    <w:p w14:paraId="4463B079" w14:textId="77777777" w:rsidR="00DE078C" w:rsidRDefault="00DE078C" w:rsidP="00DE078C">
      <w:pPr>
        <w:pStyle w:val="ListBullet"/>
      </w:pPr>
      <w:r w:rsidRPr="00DE078C">
        <w:t>Actemra SC formulation is not</w:t>
      </w:r>
      <w:r w:rsidR="00521738">
        <w:t xml:space="preserve"> intended for IV administration</w:t>
      </w:r>
    </w:p>
    <w:p w14:paraId="4463B07A" w14:textId="77777777" w:rsidR="00DE078C" w:rsidRPr="00DE078C" w:rsidRDefault="00467F1F" w:rsidP="00C329D3">
      <w:pPr>
        <w:pStyle w:val="ListBullet"/>
      </w:pPr>
      <w:r>
        <w:t>i</w:t>
      </w:r>
      <w:r w:rsidR="00DE078C" w:rsidRPr="00DE078C">
        <w:t xml:space="preserve">n the SUMMACTA study, ACR 20, 50 and 70 response rates in the heaviest body weight category (≥ 100 kg) were lower compared to the other weight categories in both </w:t>
      </w:r>
      <w:r w:rsidR="00521738">
        <w:t>the SC and IV treatment arms.</w:t>
      </w:r>
    </w:p>
    <w:p w14:paraId="4463B07B" w14:textId="77777777" w:rsidR="00DE078C" w:rsidRPr="00DE078C" w:rsidRDefault="00DE078C" w:rsidP="00C329D3">
      <w:pPr>
        <w:pageBreakBefore/>
      </w:pPr>
      <w:r w:rsidRPr="00DE078C">
        <w:lastRenderedPageBreak/>
        <w:t>The proposed method of administration for t</w:t>
      </w:r>
      <w:r>
        <w:t>he subcutaneous formulation is:</w:t>
      </w:r>
    </w:p>
    <w:p w14:paraId="4463B07C" w14:textId="77777777" w:rsidR="00DE078C" w:rsidRPr="00DE078C" w:rsidRDefault="00DE078C" w:rsidP="00DE078C">
      <w:pPr>
        <w:pStyle w:val="ListBullet"/>
      </w:pPr>
      <w:r w:rsidRPr="00DE078C">
        <w:t>A</w:t>
      </w:r>
      <w:r w:rsidR="006E10F1" w:rsidRPr="00DE078C">
        <w:t>ctemra</w:t>
      </w:r>
      <w:r w:rsidR="00467F1F">
        <w:t xml:space="preserve"> SC</w:t>
      </w:r>
      <w:r w:rsidR="006E10F1" w:rsidRPr="00DE078C">
        <w:t xml:space="preserve"> </w:t>
      </w:r>
      <w:r w:rsidRPr="00DE078C">
        <w:t>formulation is administered with a single-use pre-filled syringe. The first injection should be performed under the supervision of a qualified healthcare professional. The recommended injection sites (abdomen, thigh and upper arm) should be rotated and injections should never be given into moles, scars, or areas where the skin is tender, bruised, red, hard, or not intact. Administration in the thigh may result in slightly increased absorption compared to the other recommended injection sites but this is not</w:t>
      </w:r>
      <w:r w:rsidR="00521738">
        <w:t xml:space="preserve"> considered clinically relevant</w:t>
      </w:r>
    </w:p>
    <w:p w14:paraId="4463B07D" w14:textId="77777777" w:rsidR="00DE078C" w:rsidRPr="00DE078C" w:rsidRDefault="00DE078C" w:rsidP="00DE078C">
      <w:pPr>
        <w:pStyle w:val="ListBullet"/>
      </w:pPr>
      <w:r w:rsidRPr="00DE078C">
        <w:t>After proper training in injection technique, patients may self-inject with A</w:t>
      </w:r>
      <w:r w:rsidR="006E10F1" w:rsidRPr="00DE078C">
        <w:t>ctemra</w:t>
      </w:r>
      <w:r w:rsidRPr="00DE078C">
        <w:t xml:space="preserve"> if their treating healthcare professional de</w:t>
      </w:r>
      <w:r w:rsidR="00521738">
        <w:t>termines that it is appropriate</w:t>
      </w:r>
    </w:p>
    <w:p w14:paraId="4463B07E" w14:textId="77777777" w:rsidR="00DE078C" w:rsidRDefault="00DE078C" w:rsidP="00DE078C">
      <w:pPr>
        <w:pStyle w:val="ListBullet"/>
      </w:pPr>
      <w:r w:rsidRPr="00DE078C">
        <w:t xml:space="preserve">Assess suitability of patient for SC home use and instruct patients to inform a healthcare professional if they experience symptoms of allergic reaction before administering the next dose. Patients should seek immediate medical attention if developing symptoms of </w:t>
      </w:r>
      <w:r>
        <w:t>serious allergic reactions.</w:t>
      </w:r>
    </w:p>
    <w:p w14:paraId="4463B07F" w14:textId="77777777" w:rsidR="008E7BEA" w:rsidRDefault="008E7BEA" w:rsidP="00C329D3">
      <w:pPr>
        <w:pStyle w:val="Heading3"/>
      </w:pPr>
      <w:bookmarkStart w:id="15" w:name="_Toc430267954"/>
      <w:bookmarkStart w:id="16" w:name="_Toc290846231"/>
      <w:bookmarkStart w:id="17" w:name="_Toc272414609"/>
      <w:bookmarkStart w:id="18" w:name="_Toc464136249"/>
      <w:r>
        <w:t>Guidance</w:t>
      </w:r>
      <w:bookmarkEnd w:id="15"/>
      <w:bookmarkEnd w:id="16"/>
      <w:bookmarkEnd w:id="17"/>
      <w:bookmarkEnd w:id="18"/>
    </w:p>
    <w:p w14:paraId="4463B080" w14:textId="77777777" w:rsidR="008E7BEA" w:rsidRDefault="008E7BEA" w:rsidP="008E7BEA">
      <w:r>
        <w:t>There is one specific EU guideline adopted by the TGA relevant to this submission, besides the general guidelines:</w:t>
      </w:r>
    </w:p>
    <w:p w14:paraId="4463B081" w14:textId="77777777" w:rsidR="008E7BEA" w:rsidRDefault="008E7BEA" w:rsidP="00966DA8">
      <w:pPr>
        <w:numPr>
          <w:ilvl w:val="0"/>
          <w:numId w:val="30"/>
        </w:numPr>
        <w:tabs>
          <w:tab w:val="num" w:pos="-720"/>
          <w:tab w:val="num" w:pos="-360"/>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ind w:left="284" w:hanging="284"/>
      </w:pPr>
      <w:r>
        <w:t>CPMP/EWP/556/95 Rev 1: Points to Consider on Clinical Investigation of Medicinal Products other than NSAIDS for Treatment of Rheumatoid Arthritis. Effective: 29 January 2007.</w:t>
      </w:r>
      <w:bookmarkStart w:id="19" w:name="_Toc430267955"/>
      <w:bookmarkStart w:id="20" w:name="_Toc290846232"/>
      <w:bookmarkStart w:id="21" w:name="_Toc272414610"/>
    </w:p>
    <w:p w14:paraId="4463B082" w14:textId="5865DA8A" w:rsidR="008E7BEA" w:rsidRDefault="008E7BEA" w:rsidP="00C329D3">
      <w:pPr>
        <w:pStyle w:val="Heading3"/>
      </w:pPr>
      <w:bookmarkStart w:id="22" w:name="_Toc464136250"/>
      <w:r>
        <w:t xml:space="preserve">Overseas </w:t>
      </w:r>
      <w:r w:rsidRPr="008E7BEA">
        <w:t>regulatory</w:t>
      </w:r>
      <w:r>
        <w:t xml:space="preserve"> history</w:t>
      </w:r>
      <w:bookmarkEnd w:id="19"/>
      <w:bookmarkEnd w:id="20"/>
      <w:bookmarkEnd w:id="21"/>
      <w:bookmarkEnd w:id="22"/>
    </w:p>
    <w:p w14:paraId="4463B083" w14:textId="383D62A8" w:rsidR="008E7BEA" w:rsidRDefault="008E7BEA" w:rsidP="008E7BEA">
      <w:r>
        <w:t xml:space="preserve">This subcutaneous formulation submission has been approved in the EU (4/2014), USA (10/2013), Canada (5/2014), Switzerland (9/2014), Japan (3/2013), and New Zealand (10/14).  It is under evaluation in Singapore.  Home use is approved in the EU, USA, Canada and New Zealand (relevant extracts from </w:t>
      </w:r>
      <w:r w:rsidR="00C329D3">
        <w:t xml:space="preserve">the labels reproduced below). </w:t>
      </w:r>
      <w:r>
        <w:t>The evaluator was unable to obtain the Swiss or Japanese tocilizumab labels to assess whether home use is approved in these countries.</w:t>
      </w:r>
    </w:p>
    <w:p w14:paraId="4463B085" w14:textId="559786BC" w:rsidR="008E7BEA" w:rsidRDefault="008E7BEA" w:rsidP="008E7BEA">
      <w:pPr>
        <w:rPr>
          <w:b/>
          <w:u w:val="single"/>
        </w:rPr>
      </w:pPr>
      <w:r>
        <w:rPr>
          <w:b/>
          <w:u w:val="single"/>
        </w:rPr>
        <w:t>FDA label</w:t>
      </w:r>
    </w:p>
    <w:p w14:paraId="63704AB2" w14:textId="77777777" w:rsidR="00472065" w:rsidRDefault="008E7BEA" w:rsidP="00472065">
      <w:pPr>
        <w:pStyle w:val="ListBullet"/>
      </w:pPr>
      <w:r>
        <w:t xml:space="preserve">17. </w:t>
      </w:r>
      <w:r w:rsidR="00472065">
        <w:t>Patient counseling information</w:t>
      </w:r>
    </w:p>
    <w:p w14:paraId="018B8FF6" w14:textId="65EE74F0" w:rsidR="00472065" w:rsidRPr="00472065" w:rsidRDefault="00472065" w:rsidP="00472065">
      <w:pPr>
        <w:pStyle w:val="ListBullet"/>
        <w:numPr>
          <w:ilvl w:val="0"/>
          <w:numId w:val="0"/>
        </w:numPr>
        <w:ind w:left="360"/>
        <w:rPr>
          <w:b/>
        </w:rPr>
      </w:pPr>
      <w:r w:rsidRPr="00472065">
        <w:rPr>
          <w:b/>
        </w:rPr>
        <w:t>Hypersensitivity and Serious Allergic Reactions</w:t>
      </w:r>
    </w:p>
    <w:p w14:paraId="4463B088" w14:textId="539E1E06" w:rsidR="008E7BEA" w:rsidRDefault="008E7BEA" w:rsidP="00472065">
      <w:pPr>
        <w:ind w:left="360"/>
      </w:pPr>
      <w:r>
        <w:t xml:space="preserve">Assess patient suitability for home use for SC injection. Inform patients that some patients who have been treated with </w:t>
      </w:r>
      <w:r w:rsidR="00D205A3">
        <w:t>Actemra</w:t>
      </w:r>
      <w:r>
        <w:t xml:space="preserve"> have developed serious allergic reactions, including anaphylaxis. Advise patients to seek immediate medical attention if they experience any symptom of serious allergic reactions.</w:t>
      </w:r>
    </w:p>
    <w:p w14:paraId="4463B08A" w14:textId="4E516975" w:rsidR="008E7BEA" w:rsidRDefault="008E7BEA" w:rsidP="008E7BEA">
      <w:pPr>
        <w:pStyle w:val="CM50"/>
        <w:spacing w:line="278" w:lineRule="atLeast"/>
        <w:ind w:left="336"/>
        <w:jc w:val="both"/>
        <w:rPr>
          <w:rFonts w:ascii="Cambria" w:hAnsi="Cambria"/>
          <w:sz w:val="22"/>
          <w:szCs w:val="22"/>
        </w:rPr>
      </w:pPr>
      <w:r>
        <w:rPr>
          <w:rFonts w:ascii="Cambria" w:hAnsi="Cambria"/>
          <w:b/>
          <w:bCs/>
          <w:sz w:val="22"/>
          <w:szCs w:val="22"/>
        </w:rPr>
        <w:t>Instruction on Injection Technique</w:t>
      </w:r>
    </w:p>
    <w:p w14:paraId="4463B08B" w14:textId="326FA87B" w:rsidR="008E7BEA" w:rsidRDefault="008E7BEA" w:rsidP="008E7BEA">
      <w:pPr>
        <w:ind w:left="336"/>
        <w:rPr>
          <w:iCs/>
        </w:rPr>
      </w:pPr>
      <w:r>
        <w:t xml:space="preserve">Perform the first injection under the supervision of a qualified healthcare professional. If a patient or caregiver is to administer subcutaneous </w:t>
      </w:r>
      <w:r w:rsidR="00D205A3">
        <w:t>Actemra</w:t>
      </w:r>
      <w:r>
        <w:t xml:space="preserve">, instruct him/her in injection techniques and assess his/her ability to inject subcutaneously to ensure proper administration of subcutaneous </w:t>
      </w:r>
      <w:r w:rsidR="00D205A3">
        <w:t>Actemra</w:t>
      </w:r>
      <w:r>
        <w:t xml:space="preserve"> and the suitability for home use </w:t>
      </w:r>
      <w:r>
        <w:rPr>
          <w:i/>
          <w:iCs/>
        </w:rPr>
        <w:t>[See Patient Instructions for Use].</w:t>
      </w:r>
    </w:p>
    <w:p w14:paraId="4463B08D" w14:textId="04E20CCD" w:rsidR="008E7BEA" w:rsidRDefault="008E7BEA" w:rsidP="008E7BEA">
      <w:pPr>
        <w:rPr>
          <w:b/>
          <w:u w:val="single"/>
        </w:rPr>
      </w:pPr>
      <w:r>
        <w:rPr>
          <w:b/>
          <w:u w:val="single"/>
        </w:rPr>
        <w:t>EU SPC</w:t>
      </w:r>
    </w:p>
    <w:p w14:paraId="4463B08E" w14:textId="77777777" w:rsidR="008E7BEA" w:rsidRDefault="008E7BEA" w:rsidP="008E7BEA">
      <w:pPr>
        <w:ind w:left="364"/>
        <w:rPr>
          <w:b/>
          <w:bCs/>
          <w:iCs/>
        </w:rPr>
      </w:pPr>
      <w:r>
        <w:rPr>
          <w:b/>
          <w:bCs/>
          <w:iCs/>
        </w:rPr>
        <w:t>4.2 Posology and method of administration</w:t>
      </w:r>
    </w:p>
    <w:p w14:paraId="4463B08F" w14:textId="77777777" w:rsidR="008E7BEA" w:rsidRDefault="008E7BEA" w:rsidP="008E7BEA">
      <w:pPr>
        <w:ind w:left="364"/>
        <w:rPr>
          <w:iCs/>
        </w:rPr>
      </w:pPr>
      <w:r>
        <w:rPr>
          <w:iCs/>
        </w:rPr>
        <w:t xml:space="preserve">Treatment should be initiated by healthcare professionals experienced in the diagnosis and treatment of RA. All patients treated with RoActemra should be given the Patient Alert Card. </w:t>
      </w:r>
      <w:r>
        <w:rPr>
          <w:iCs/>
        </w:rPr>
        <w:lastRenderedPageBreak/>
        <w:t>Suitability of the patient for subcutaneous home use should be assessed and instruct patients to inform a healthcare professional if they experience symptoms of an allergic reaction before administering the next dose. Patients should seek immediate medical attention if developing symptoms of serious allergic reactions (see section 4.4).</w:t>
      </w:r>
    </w:p>
    <w:p w14:paraId="4463B091" w14:textId="6FA47638" w:rsidR="008E7BEA" w:rsidRPr="00D205A3" w:rsidRDefault="008E7BEA" w:rsidP="008E7BEA">
      <w:pPr>
        <w:rPr>
          <w:b/>
        </w:rPr>
      </w:pPr>
      <w:r w:rsidRPr="00D205A3">
        <w:rPr>
          <w:b/>
        </w:rPr>
        <w:t>Canadian Product Monograph</w:t>
      </w:r>
    </w:p>
    <w:p w14:paraId="4463B092" w14:textId="78C41868" w:rsidR="008E7BEA" w:rsidRDefault="00D205A3" w:rsidP="008E7BEA">
      <w:pPr>
        <w:ind w:left="406"/>
        <w:rPr>
          <w:b/>
          <w:bCs/>
        </w:rPr>
      </w:pPr>
      <w:r>
        <w:rPr>
          <w:b/>
          <w:bCs/>
        </w:rPr>
        <w:t>Dosage and Administration</w:t>
      </w:r>
    </w:p>
    <w:p w14:paraId="4463B093" w14:textId="77777777" w:rsidR="008E7BEA" w:rsidRDefault="008E7BEA" w:rsidP="008E7BEA">
      <w:pPr>
        <w:ind w:left="406"/>
        <w:rPr>
          <w:bCs/>
        </w:rPr>
      </w:pPr>
      <w:r>
        <w:rPr>
          <w:bCs/>
        </w:rPr>
        <w:t>Patients should be assessed for suitability for SC home use and instructed to inform a healthcare professional if they experience symptoms of allergic reaction before administering the next dose. Patients should seek immediate medical attention if developing symptoms of serious allergic reactions (see WARNINGS AND PRECAUTIONS).</w:t>
      </w:r>
    </w:p>
    <w:p w14:paraId="4463B095" w14:textId="5F3D893A" w:rsidR="008E7BEA" w:rsidRDefault="008E7BEA" w:rsidP="008E7BEA">
      <w:pPr>
        <w:ind w:left="406"/>
        <w:rPr>
          <w:b/>
          <w:bCs/>
        </w:rPr>
      </w:pPr>
      <w:r>
        <w:rPr>
          <w:b/>
          <w:bCs/>
        </w:rPr>
        <w:t>Administration</w:t>
      </w:r>
    </w:p>
    <w:p w14:paraId="4463B096" w14:textId="7BC12C43" w:rsidR="008E7BEA" w:rsidRDefault="008E7BEA" w:rsidP="008E7BEA">
      <w:pPr>
        <w:ind w:left="406"/>
      </w:pPr>
      <w:r>
        <w:rPr>
          <w:b/>
          <w:bCs/>
          <w:i/>
          <w:iCs/>
        </w:rPr>
        <w:t xml:space="preserve">Subcutaneous </w:t>
      </w:r>
      <w:r w:rsidR="00D205A3">
        <w:rPr>
          <w:b/>
          <w:bCs/>
          <w:i/>
          <w:iCs/>
        </w:rPr>
        <w:t>Actemra</w:t>
      </w:r>
      <w:r>
        <w:rPr>
          <w:b/>
          <w:bCs/>
          <w:i/>
          <w:iCs/>
        </w:rPr>
        <w:t>:</w:t>
      </w:r>
    </w:p>
    <w:p w14:paraId="4463B097" w14:textId="284D9509" w:rsidR="008E7BEA" w:rsidRDefault="00D205A3" w:rsidP="008E7BEA">
      <w:pPr>
        <w:ind w:left="406"/>
      </w:pPr>
      <w:r>
        <w:t>Actemra</w:t>
      </w:r>
      <w:r w:rsidR="008E7BEA">
        <w:t xml:space="preserve"> subcutaneous injection is intended for use under the guidance and supervision of a physician. After proper training in subcutaneous injection technique, a patient may self-inject </w:t>
      </w:r>
      <w:r>
        <w:t>Actemra</w:t>
      </w:r>
      <w:r w:rsidR="008E7BEA">
        <w:t xml:space="preserve"> if a physician determines that it is appropriate and with medical follow-up as necessary. The first injection should be performed under the supervision of a qualified healthcare professional. The recommended injection sites (abdomen, thigh and upper arm) should be rotated and injections should never be given into moles, scars, or areas where the skin is tender, bruised, red, hard, or not intact.</w:t>
      </w:r>
    </w:p>
    <w:p w14:paraId="4463B099" w14:textId="28DCDCAE" w:rsidR="008E7BEA" w:rsidRPr="00D205A3" w:rsidRDefault="008E7BEA" w:rsidP="008E7BEA">
      <w:pPr>
        <w:rPr>
          <w:b/>
        </w:rPr>
      </w:pPr>
      <w:r w:rsidRPr="00D205A3">
        <w:rPr>
          <w:b/>
        </w:rPr>
        <w:t>New Zealand Data Sheet</w:t>
      </w:r>
    </w:p>
    <w:p w14:paraId="4463B09A" w14:textId="77777777" w:rsidR="008E7BEA" w:rsidRDefault="008E7BEA" w:rsidP="008E7BEA">
      <w:pPr>
        <w:ind w:left="392"/>
      </w:pPr>
      <w:r>
        <w:rPr>
          <w:b/>
          <w:bCs/>
        </w:rPr>
        <w:t>Dosage and Administration</w:t>
      </w:r>
    </w:p>
    <w:p w14:paraId="4463B09B" w14:textId="77777777" w:rsidR="008E7BEA" w:rsidRDefault="008E7BEA" w:rsidP="008E7BEA">
      <w:pPr>
        <w:ind w:left="392"/>
        <w:rPr>
          <w:b/>
          <w:bCs/>
        </w:rPr>
      </w:pPr>
      <w:r>
        <w:rPr>
          <w:b/>
          <w:bCs/>
        </w:rPr>
        <w:t>Rheumatoid Arthritis in Adults (IV and SC formulation)</w:t>
      </w:r>
    </w:p>
    <w:p w14:paraId="4463B09C" w14:textId="77777777" w:rsidR="008E7BEA" w:rsidRDefault="008E7BEA" w:rsidP="008E7BEA">
      <w:pPr>
        <w:ind w:left="392"/>
        <w:rPr>
          <w:b/>
          <w:bCs/>
        </w:rPr>
      </w:pPr>
      <w:r>
        <w:rPr>
          <w:b/>
          <w:bCs/>
        </w:rPr>
        <w:t>Subcutaneous dosing regimen</w:t>
      </w:r>
    </w:p>
    <w:p w14:paraId="4463B09D" w14:textId="77777777" w:rsidR="008E7BEA" w:rsidRDefault="008E7BEA" w:rsidP="008E7BEA">
      <w:pPr>
        <w:ind w:left="392"/>
      </w:pPr>
      <w:r>
        <w:rPr>
          <w:i/>
          <w:iCs/>
        </w:rPr>
        <w:t>Method of administration</w:t>
      </w:r>
    </w:p>
    <w:p w14:paraId="4463B09E" w14:textId="1EC289DC" w:rsidR="008E7BEA" w:rsidRDefault="008E7BEA" w:rsidP="008E7BEA">
      <w:pPr>
        <w:ind w:left="392"/>
      </w:pPr>
      <w:r>
        <w:t xml:space="preserve">Subcutaneous </w:t>
      </w:r>
      <w:r w:rsidR="00D205A3">
        <w:t>Actemra</w:t>
      </w:r>
      <w:r>
        <w:t xml:space="preserve"> formulation is administered with a single-use pre-filled syringe. The first injection should be performed under the supervision of a qualified healthcare professional. The recommended injection sites (abdomen, thigh and upper arm) should be rotated and injections should never be given into moles, scars, or areas where the skin is tender, bruised, red, hard or not intact.</w:t>
      </w:r>
    </w:p>
    <w:p w14:paraId="4463B0A0" w14:textId="40595AD2" w:rsidR="008E7BEA" w:rsidRDefault="008E7BEA" w:rsidP="008E7BEA">
      <w:pPr>
        <w:ind w:left="392"/>
      </w:pPr>
      <w:r>
        <w:t xml:space="preserve">After proper training in injection technique, patients may self-inject with </w:t>
      </w:r>
      <w:r w:rsidR="00D205A3">
        <w:t>Actemra</w:t>
      </w:r>
      <w:r>
        <w:t xml:space="preserve"> if their treating healthcare professional determines that it is appropriate.</w:t>
      </w:r>
    </w:p>
    <w:p w14:paraId="4463B0A2" w14:textId="43A9316D" w:rsidR="008E7BEA" w:rsidRDefault="008E7BEA" w:rsidP="008E7BEA">
      <w:pPr>
        <w:ind w:left="392"/>
      </w:pPr>
      <w:r>
        <w:t>Assess suitability of patient for SC home use and instruct patients to inform a healthcare professional if they experience symptoms of allergic reaction before administering the next dose. Patients should seek immediate medical attention if developing symptoms of serious allergic reactions (see Precautions, Hypersensitivity Reactions).</w:t>
      </w:r>
    </w:p>
    <w:p w14:paraId="4463B0A4" w14:textId="77777777" w:rsidR="00586F98" w:rsidRDefault="00586F98" w:rsidP="004E435C">
      <w:pPr>
        <w:pStyle w:val="Heading2"/>
      </w:pPr>
      <w:bookmarkStart w:id="23" w:name="_Toc464136251"/>
      <w:r w:rsidRPr="0094614A">
        <w:t>Clinical rationale</w:t>
      </w:r>
      <w:bookmarkEnd w:id="23"/>
    </w:p>
    <w:p w14:paraId="4463B0A5" w14:textId="77777777" w:rsidR="006E10F1" w:rsidRPr="006E10F1" w:rsidRDefault="006E10F1" w:rsidP="006E10F1">
      <w:r w:rsidRPr="006E10F1">
        <w:t xml:space="preserve">In </w:t>
      </w:r>
      <w:r w:rsidR="00467F1F">
        <w:t>the previous s</w:t>
      </w:r>
      <w:r w:rsidRPr="006E10F1">
        <w:t xml:space="preserve">ubmission </w:t>
      </w:r>
      <w:r w:rsidR="00467F1F">
        <w:t>for Actemra SC</w:t>
      </w:r>
      <w:r w:rsidR="003F4C75">
        <w:t>,</w:t>
      </w:r>
      <w:r w:rsidRPr="006E10F1">
        <w:t xml:space="preserve"> the </w:t>
      </w:r>
      <w:r>
        <w:t>s</w:t>
      </w:r>
      <w:r w:rsidRPr="006E10F1">
        <w:t>ponsor proposed that:</w:t>
      </w:r>
    </w:p>
    <w:p w14:paraId="4463B0A6" w14:textId="77777777" w:rsidR="006E10F1" w:rsidRDefault="00521738" w:rsidP="006E10F1">
      <w:pPr>
        <w:pStyle w:val="ListBullet"/>
        <w:rPr>
          <w:lang w:val="en-US"/>
        </w:rPr>
      </w:pPr>
      <w:r>
        <w:rPr>
          <w:lang w:val="en-US"/>
        </w:rPr>
        <w:t>The registration of a</w:t>
      </w:r>
      <w:r w:rsidR="006E10F1" w:rsidRPr="006E10F1">
        <w:rPr>
          <w:lang w:val="en-US"/>
        </w:rPr>
        <w:t xml:space="preserve"> SC formulation, in addition to the IV formulat</w:t>
      </w:r>
      <w:r w:rsidR="006E10F1">
        <w:rPr>
          <w:lang w:val="en-US"/>
        </w:rPr>
        <w:t xml:space="preserve">ion, will have several </w:t>
      </w:r>
      <w:r w:rsidR="006E10F1" w:rsidRPr="006E10F1">
        <w:rPr>
          <w:lang w:val="en-US"/>
        </w:rPr>
        <w:t>benefits:</w:t>
      </w:r>
    </w:p>
    <w:p w14:paraId="4463B0A7" w14:textId="77777777" w:rsidR="006E10F1" w:rsidRDefault="006E10F1" w:rsidP="006E10F1">
      <w:pPr>
        <w:pStyle w:val="ListBullet2"/>
        <w:rPr>
          <w:lang w:val="en-US"/>
        </w:rPr>
      </w:pPr>
      <w:r w:rsidRPr="006E10F1">
        <w:rPr>
          <w:lang w:val="en-US"/>
        </w:rPr>
        <w:t>Improved patient convenience and preference (IV or SC)</w:t>
      </w:r>
    </w:p>
    <w:p w14:paraId="4463B0A8" w14:textId="77777777" w:rsidR="006E10F1" w:rsidRDefault="00467F1F" w:rsidP="006E10F1">
      <w:pPr>
        <w:pStyle w:val="ListBullet2"/>
        <w:rPr>
          <w:lang w:val="en-US"/>
        </w:rPr>
      </w:pPr>
      <w:r>
        <w:rPr>
          <w:lang w:val="en-US"/>
        </w:rPr>
        <w:t>s</w:t>
      </w:r>
      <w:r w:rsidR="006E10F1" w:rsidRPr="006E10F1">
        <w:rPr>
          <w:lang w:val="en-US"/>
        </w:rPr>
        <w:t>horter administration time</w:t>
      </w:r>
    </w:p>
    <w:p w14:paraId="4463B0A9" w14:textId="77777777" w:rsidR="006E10F1" w:rsidRDefault="00467F1F" w:rsidP="006E10F1">
      <w:pPr>
        <w:pStyle w:val="ListBullet2"/>
        <w:rPr>
          <w:lang w:val="en-US"/>
        </w:rPr>
      </w:pPr>
      <w:r>
        <w:rPr>
          <w:lang w:val="en-US"/>
        </w:rPr>
        <w:t>n</w:t>
      </w:r>
      <w:r w:rsidR="006E10F1" w:rsidRPr="006E10F1">
        <w:rPr>
          <w:lang w:val="en-US"/>
        </w:rPr>
        <w:t>o requirement for intravenous access</w:t>
      </w:r>
    </w:p>
    <w:p w14:paraId="4463B0AA" w14:textId="77777777" w:rsidR="006E10F1" w:rsidRDefault="00467F1F" w:rsidP="006E10F1">
      <w:pPr>
        <w:pStyle w:val="ListBullet2"/>
        <w:rPr>
          <w:lang w:val="en-US"/>
        </w:rPr>
      </w:pPr>
      <w:r>
        <w:rPr>
          <w:lang w:val="en-US"/>
        </w:rPr>
        <w:lastRenderedPageBreak/>
        <w:t>t</w:t>
      </w:r>
      <w:r w:rsidR="006E10F1" w:rsidRPr="006E10F1">
        <w:rPr>
          <w:lang w:val="en-US"/>
        </w:rPr>
        <w:t>he option for patients to receive Actemra at home</w:t>
      </w:r>
    </w:p>
    <w:p w14:paraId="4463B0AB" w14:textId="77777777" w:rsidR="006E10F1" w:rsidRDefault="00467F1F" w:rsidP="006E10F1">
      <w:pPr>
        <w:pStyle w:val="ListBullet2"/>
        <w:rPr>
          <w:lang w:val="en-US"/>
        </w:rPr>
      </w:pPr>
      <w:r>
        <w:rPr>
          <w:lang w:val="en-US"/>
        </w:rPr>
        <w:t>a</w:t>
      </w:r>
      <w:r w:rsidR="006E10F1" w:rsidRPr="006E10F1">
        <w:rPr>
          <w:lang w:val="en-US"/>
        </w:rPr>
        <w:t>n alternative route of administration for patients with poor venous access</w:t>
      </w:r>
    </w:p>
    <w:p w14:paraId="4463B0AC" w14:textId="77777777" w:rsidR="006E10F1" w:rsidRPr="006E10F1" w:rsidRDefault="00467F1F" w:rsidP="006E10F1">
      <w:pPr>
        <w:pStyle w:val="ListBullet2"/>
        <w:rPr>
          <w:lang w:val="en-US"/>
        </w:rPr>
      </w:pPr>
      <w:r>
        <w:rPr>
          <w:lang w:val="en-US"/>
        </w:rPr>
        <w:t>l</w:t>
      </w:r>
      <w:r w:rsidR="006E10F1" w:rsidRPr="006E10F1">
        <w:rPr>
          <w:lang w:val="en-US"/>
        </w:rPr>
        <w:t xml:space="preserve">ower resource </w:t>
      </w:r>
      <w:r w:rsidR="003F4C75" w:rsidRPr="006E10F1">
        <w:rPr>
          <w:lang w:val="en-US"/>
        </w:rPr>
        <w:t>utili</w:t>
      </w:r>
      <w:r w:rsidR="003F4C75">
        <w:rPr>
          <w:lang w:val="en-US"/>
        </w:rPr>
        <w:t>s</w:t>
      </w:r>
      <w:r w:rsidR="003F4C75" w:rsidRPr="006E10F1">
        <w:rPr>
          <w:lang w:val="en-US"/>
        </w:rPr>
        <w:t>atio</w:t>
      </w:r>
      <w:r w:rsidR="003F4C75">
        <w:rPr>
          <w:lang w:val="en-US"/>
        </w:rPr>
        <w:t xml:space="preserve">n </w:t>
      </w:r>
      <w:r w:rsidR="006E10F1">
        <w:rPr>
          <w:lang w:val="en-US"/>
        </w:rPr>
        <w:t>when administered at home</w:t>
      </w:r>
      <w:r w:rsidR="00521738">
        <w:rPr>
          <w:lang w:val="en-US"/>
        </w:rPr>
        <w:t>.</w:t>
      </w:r>
    </w:p>
    <w:p w14:paraId="4463B0AD" w14:textId="77777777" w:rsidR="00586F98" w:rsidRDefault="00586F98" w:rsidP="00586F98">
      <w:pPr>
        <w:pStyle w:val="Heading2"/>
        <w:rPr>
          <w:lang w:eastAsia="en-AU"/>
        </w:rPr>
      </w:pPr>
      <w:bookmarkStart w:id="24" w:name="_Toc464136252"/>
      <w:r>
        <w:rPr>
          <w:lang w:eastAsia="en-AU"/>
        </w:rPr>
        <w:t>Contents of the clinical dossier</w:t>
      </w:r>
      <w:bookmarkEnd w:id="8"/>
      <w:bookmarkEnd w:id="9"/>
      <w:bookmarkEnd w:id="24"/>
    </w:p>
    <w:p w14:paraId="4463B0AE" w14:textId="77777777" w:rsidR="00586F98" w:rsidRDefault="00586F98" w:rsidP="004E435C">
      <w:pPr>
        <w:pStyle w:val="Heading3"/>
      </w:pPr>
      <w:bookmarkStart w:id="25" w:name="_Toc464136253"/>
      <w:r>
        <w:t>Scope of the clinical dossier</w:t>
      </w:r>
      <w:bookmarkEnd w:id="25"/>
    </w:p>
    <w:p w14:paraId="4463B0AF" w14:textId="77777777" w:rsidR="006E10F1" w:rsidRDefault="006E10F1" w:rsidP="006E10F1">
      <w:r>
        <w:t>The submission contained the following clinical information:</w:t>
      </w:r>
    </w:p>
    <w:p w14:paraId="4463B0B0" w14:textId="77777777" w:rsidR="006E10F1" w:rsidRDefault="006E10F1" w:rsidP="00521738">
      <w:pPr>
        <w:pStyle w:val="ListBullet"/>
      </w:pPr>
      <w:r w:rsidRPr="006E10F1">
        <w:t>4 Phas</w:t>
      </w:r>
      <w:r>
        <w:t>e I studies in healthy subjects</w:t>
      </w:r>
      <w:r w:rsidR="00521738">
        <w:t>:</w:t>
      </w:r>
    </w:p>
    <w:p w14:paraId="4463B0B1" w14:textId="77777777" w:rsidR="006E10F1" w:rsidRDefault="006E10F1" w:rsidP="00521738">
      <w:pPr>
        <w:pStyle w:val="ListBullet2"/>
      </w:pPr>
      <w:r>
        <w:t>WP18097</w:t>
      </w:r>
    </w:p>
    <w:p w14:paraId="4463B0B2" w14:textId="77777777" w:rsidR="006E10F1" w:rsidRDefault="006E10F1" w:rsidP="00521738">
      <w:pPr>
        <w:pStyle w:val="ListBullet2"/>
      </w:pPr>
      <w:r>
        <w:t>BP22065</w:t>
      </w:r>
    </w:p>
    <w:p w14:paraId="4463B0B3" w14:textId="77777777" w:rsidR="006E10F1" w:rsidRDefault="006E10F1" w:rsidP="00521738">
      <w:pPr>
        <w:pStyle w:val="ListBullet2"/>
      </w:pPr>
      <w:r>
        <w:t>NP25539</w:t>
      </w:r>
    </w:p>
    <w:p w14:paraId="4463B0B4" w14:textId="77777777" w:rsidR="006E10F1" w:rsidRDefault="006E10F1" w:rsidP="00521738">
      <w:pPr>
        <w:pStyle w:val="ListBullet2"/>
      </w:pPr>
      <w:r w:rsidRPr="006E10F1">
        <w:t>BP21894</w:t>
      </w:r>
    </w:p>
    <w:p w14:paraId="4463B0B5" w14:textId="77777777" w:rsidR="006E10F1" w:rsidRDefault="006E10F1" w:rsidP="00521738">
      <w:pPr>
        <w:pStyle w:val="ListBullet"/>
      </w:pPr>
      <w:r w:rsidRPr="006E10F1">
        <w:t>2 studies in patients with RA</w:t>
      </w:r>
      <w:r w:rsidR="00521738">
        <w:t>:</w:t>
      </w:r>
    </w:p>
    <w:p w14:paraId="4463B0B6" w14:textId="77777777" w:rsidR="006E10F1" w:rsidRDefault="00521738" w:rsidP="00521738">
      <w:pPr>
        <w:pStyle w:val="ListBullet2"/>
      </w:pPr>
      <w:r>
        <w:t>NP22623 (</w:t>
      </w:r>
      <w:r w:rsidR="006E10F1" w:rsidRPr="006E10F1">
        <w:t>a Phase Ib study</w:t>
      </w:r>
      <w:r>
        <w:t>)</w:t>
      </w:r>
    </w:p>
    <w:p w14:paraId="4463B0B7" w14:textId="77777777" w:rsidR="006E10F1" w:rsidRDefault="00521738" w:rsidP="00521738">
      <w:pPr>
        <w:pStyle w:val="ListBullet2"/>
      </w:pPr>
      <w:r>
        <w:t>MRA227JP (</w:t>
      </w:r>
      <w:r w:rsidR="006E10F1" w:rsidRPr="006E10F1">
        <w:t>a Phase I/II dose escalat</w:t>
      </w:r>
      <w:r w:rsidR="006E10F1">
        <w:t>ion study in Japanese patients</w:t>
      </w:r>
      <w:r>
        <w:t>)</w:t>
      </w:r>
    </w:p>
    <w:p w14:paraId="4463B0B8" w14:textId="77777777" w:rsidR="006E10F1" w:rsidRDefault="006E10F1" w:rsidP="00521738">
      <w:pPr>
        <w:pStyle w:val="ListBullet"/>
      </w:pPr>
      <w:r w:rsidRPr="006E10F1">
        <w:t>3 population PK reports</w:t>
      </w:r>
    </w:p>
    <w:p w14:paraId="4463B0B9" w14:textId="77777777" w:rsidR="006E10F1" w:rsidRDefault="006E10F1" w:rsidP="00521738">
      <w:pPr>
        <w:pStyle w:val="ListBullet"/>
      </w:pPr>
      <w:r w:rsidRPr="006E10F1">
        <w:t>3 Phase III studies, randomised, double-blinded in patients with RA investigating SC</w:t>
      </w:r>
      <w:r>
        <w:t xml:space="preserve"> Actemra</w:t>
      </w:r>
    </w:p>
    <w:p w14:paraId="4463B0BA" w14:textId="77777777" w:rsidR="006E10F1" w:rsidRDefault="006E10F1" w:rsidP="00521738">
      <w:pPr>
        <w:pStyle w:val="ListBullet2"/>
      </w:pPr>
      <w:r w:rsidRPr="006E10F1">
        <w:t>WA22762</w:t>
      </w:r>
    </w:p>
    <w:p w14:paraId="4463B0BB" w14:textId="77777777" w:rsidR="00AE783A" w:rsidRDefault="006E10F1" w:rsidP="00521738">
      <w:pPr>
        <w:pStyle w:val="ListBullet3"/>
      </w:pPr>
      <w:r w:rsidRPr="006E10F1">
        <w:t>Primary report</w:t>
      </w:r>
      <w:r w:rsidR="00521738">
        <w:t>, o</w:t>
      </w:r>
      <w:r w:rsidRPr="006E10F1">
        <w:t>pen label extension</w:t>
      </w:r>
      <w:r w:rsidR="00AE783A">
        <w:t xml:space="preserve">, </w:t>
      </w:r>
      <w:r w:rsidR="00521738">
        <w:t>i</w:t>
      </w:r>
      <w:r w:rsidRPr="006E10F1">
        <w:t>mmunogenicity report</w:t>
      </w:r>
    </w:p>
    <w:p w14:paraId="4463B0BC" w14:textId="77777777" w:rsidR="006E10F1" w:rsidRPr="00042688" w:rsidRDefault="00AE783A" w:rsidP="00521738">
      <w:pPr>
        <w:pStyle w:val="ListBullet3"/>
      </w:pPr>
      <w:r>
        <w:t>O</w:t>
      </w:r>
      <w:r w:rsidR="006E10F1" w:rsidRPr="00042688">
        <w:t>pen label extension to week 97</w:t>
      </w:r>
      <w:r w:rsidRPr="00AE783A">
        <w:rPr>
          <w:vertAlign w:val="superscript"/>
        </w:rPr>
        <w:t>*</w:t>
      </w:r>
    </w:p>
    <w:p w14:paraId="4463B0BD" w14:textId="77777777" w:rsidR="006E10F1" w:rsidRDefault="006E10F1" w:rsidP="00521738">
      <w:pPr>
        <w:pStyle w:val="ListBullet2"/>
      </w:pPr>
      <w:r w:rsidRPr="006E10F1">
        <w:t>NA25220</w:t>
      </w:r>
    </w:p>
    <w:p w14:paraId="4463B0BE" w14:textId="77777777" w:rsidR="00AE783A" w:rsidRDefault="006E10F1" w:rsidP="00521738">
      <w:pPr>
        <w:pStyle w:val="ListBullet3"/>
      </w:pPr>
      <w:r w:rsidRPr="00042688">
        <w:t>Primary report</w:t>
      </w:r>
    </w:p>
    <w:p w14:paraId="4463B0BF" w14:textId="77777777" w:rsidR="006E10F1" w:rsidRPr="00042688" w:rsidRDefault="00AE783A" w:rsidP="00521738">
      <w:pPr>
        <w:pStyle w:val="ListBullet3"/>
      </w:pPr>
      <w:r>
        <w:t xml:space="preserve">Open label extension to week </w:t>
      </w:r>
      <w:r w:rsidR="006E10F1" w:rsidRPr="00042688">
        <w:t>96</w:t>
      </w:r>
      <w:r w:rsidRPr="00AE783A">
        <w:rPr>
          <w:vertAlign w:val="superscript"/>
        </w:rPr>
        <w:t>*</w:t>
      </w:r>
    </w:p>
    <w:p w14:paraId="4463B0C0" w14:textId="77777777" w:rsidR="00521738" w:rsidRDefault="00042688" w:rsidP="00521738">
      <w:pPr>
        <w:pStyle w:val="ListBullet2"/>
      </w:pPr>
      <w:r>
        <w:t xml:space="preserve">MRA229JP </w:t>
      </w:r>
      <w:r w:rsidR="006E10F1" w:rsidRPr="006E10F1">
        <w:t>in Japanese patients is considered a supportive study</w:t>
      </w:r>
    </w:p>
    <w:p w14:paraId="4463B0C1" w14:textId="77777777" w:rsidR="00042688" w:rsidRPr="00042688" w:rsidRDefault="006E10F1" w:rsidP="00521738">
      <w:pPr>
        <w:pStyle w:val="ListBullet3"/>
      </w:pPr>
      <w:r w:rsidRPr="00042688">
        <w:t>Open label extension to week 108 (synopsis only; full CSR available only in Japanese)</w:t>
      </w:r>
      <w:r w:rsidR="00AE783A" w:rsidRPr="00AE783A">
        <w:rPr>
          <w:vertAlign w:val="superscript"/>
        </w:rPr>
        <w:t>*</w:t>
      </w:r>
    </w:p>
    <w:p w14:paraId="4463B0C2" w14:textId="77777777" w:rsidR="00521738" w:rsidRDefault="00521738" w:rsidP="00521738">
      <w:pPr>
        <w:pStyle w:val="ListBullet2"/>
      </w:pPr>
      <w:r>
        <w:t>WA18696</w:t>
      </w:r>
    </w:p>
    <w:p w14:paraId="4463B0C3" w14:textId="77777777" w:rsidR="0020207A" w:rsidRPr="0020207A" w:rsidRDefault="006E10F1" w:rsidP="00521738">
      <w:pPr>
        <w:pStyle w:val="ListBullet3"/>
      </w:pPr>
      <w:r w:rsidRPr="0020207A">
        <w:t>Open label extension</w:t>
      </w:r>
      <w:r w:rsidR="009F0A80">
        <w:t xml:space="preserve"> </w:t>
      </w:r>
      <w:r w:rsidRPr="0020207A">
        <w:t>(condition of registration from PM-2008-0256-3, not related to SC administration of TCZ)</w:t>
      </w:r>
      <w:r w:rsidR="00AE783A">
        <w:t>*</w:t>
      </w:r>
    </w:p>
    <w:p w14:paraId="4463B0C4" w14:textId="77777777" w:rsidR="0020207A" w:rsidRPr="0020207A" w:rsidRDefault="006E10F1" w:rsidP="00521738">
      <w:pPr>
        <w:pStyle w:val="ListBullet"/>
      </w:pPr>
      <w:r w:rsidRPr="0020207A">
        <w:t>Drug Safety Report</w:t>
      </w:r>
      <w:r w:rsidR="00AE783A" w:rsidRPr="00AE783A">
        <w:rPr>
          <w:vertAlign w:val="superscript"/>
        </w:rPr>
        <w:t>*</w:t>
      </w:r>
    </w:p>
    <w:p w14:paraId="4463B0C5" w14:textId="77777777" w:rsidR="0020207A" w:rsidRPr="0020207A" w:rsidRDefault="0020207A" w:rsidP="00521738">
      <w:pPr>
        <w:pStyle w:val="ListBullet"/>
      </w:pPr>
      <w:r w:rsidRPr="0020207A">
        <w:t>Research Report (</w:t>
      </w:r>
      <w:r w:rsidR="006E10F1" w:rsidRPr="0020207A">
        <w:t>Anaphylaxis based on Health Claims Data</w:t>
      </w:r>
      <w:r w:rsidRPr="0020207A">
        <w:t>)</w:t>
      </w:r>
      <w:r w:rsidR="00AE783A" w:rsidRPr="00AE783A">
        <w:rPr>
          <w:vertAlign w:val="superscript"/>
        </w:rPr>
        <w:t>*</w:t>
      </w:r>
    </w:p>
    <w:p w14:paraId="4463B0C6" w14:textId="77777777" w:rsidR="0020207A" w:rsidRPr="0020207A" w:rsidRDefault="006E10F1" w:rsidP="00521738">
      <w:pPr>
        <w:pStyle w:val="ListBullet"/>
      </w:pPr>
      <w:r w:rsidRPr="0020207A">
        <w:t>2 Periodic Benefit-</w:t>
      </w:r>
      <w:r w:rsidR="00AE783A">
        <w:t>Risk Evaluation Reports (PBRERs)</w:t>
      </w:r>
      <w:r w:rsidR="00AE783A" w:rsidRPr="00AE783A">
        <w:rPr>
          <w:vertAlign w:val="superscript"/>
        </w:rPr>
        <w:t>*</w:t>
      </w:r>
    </w:p>
    <w:p w14:paraId="4463B0C7" w14:textId="77777777" w:rsidR="0020207A" w:rsidRDefault="0020207A" w:rsidP="00521738">
      <w:pPr>
        <w:pStyle w:val="ListBullet"/>
      </w:pPr>
      <w:r w:rsidRPr="0020207A">
        <w:t>Summary of Clinical Safety</w:t>
      </w:r>
    </w:p>
    <w:p w14:paraId="4463B0C8" w14:textId="77777777" w:rsidR="0020207A" w:rsidRDefault="0020207A" w:rsidP="00521738">
      <w:pPr>
        <w:pStyle w:val="ListBullet"/>
      </w:pPr>
      <w:r>
        <w:t>L</w:t>
      </w:r>
      <w:r w:rsidRPr="006A08A1">
        <w:t>iterature references.</w:t>
      </w:r>
    </w:p>
    <w:p w14:paraId="4463B0C9" w14:textId="77777777" w:rsidR="00AE783A" w:rsidRPr="00AE783A" w:rsidRDefault="00AE783A" w:rsidP="004E435C">
      <w:pPr>
        <w:pStyle w:val="Reference"/>
        <w:ind w:firstLine="0"/>
      </w:pPr>
      <w:r w:rsidRPr="00AE783A">
        <w:t xml:space="preserve">*Denotes </w:t>
      </w:r>
      <w:r>
        <w:t xml:space="preserve">either </w:t>
      </w:r>
      <w:r w:rsidRPr="00AE783A">
        <w:t>new data</w:t>
      </w:r>
      <w:r>
        <w:t xml:space="preserve"> or further data was included</w:t>
      </w:r>
      <w:r w:rsidRPr="00AE783A">
        <w:t xml:space="preserve"> (primarily extension of previous st</w:t>
      </w:r>
      <w:r>
        <w:t>udies) compared with previous submission.</w:t>
      </w:r>
    </w:p>
    <w:p w14:paraId="4463B0CA" w14:textId="77777777" w:rsidR="00586F98" w:rsidRDefault="00586F98" w:rsidP="00586F98">
      <w:pPr>
        <w:pStyle w:val="Heading3"/>
      </w:pPr>
      <w:bookmarkStart w:id="26" w:name="_Toc464136254"/>
      <w:r>
        <w:lastRenderedPageBreak/>
        <w:t>Good clinical practice</w:t>
      </w:r>
      <w:bookmarkEnd w:id="26"/>
    </w:p>
    <w:p w14:paraId="4463B0CB" w14:textId="77777777" w:rsidR="0020207A" w:rsidRDefault="0020207A" w:rsidP="0020207A">
      <w:bookmarkStart w:id="27" w:name="_Toc355338639"/>
      <w:r w:rsidRPr="00E367E5">
        <w:t>All the clinical studies presented in the submission are stated to have been conducted according to GCP.</w:t>
      </w:r>
    </w:p>
    <w:p w14:paraId="4463B0CC" w14:textId="77777777" w:rsidR="00521738" w:rsidRDefault="0020207A" w:rsidP="0020207A">
      <w:pPr>
        <w:rPr>
          <w:i/>
        </w:rPr>
      </w:pPr>
      <w:r w:rsidRPr="00326E55">
        <w:t xml:space="preserve">In study WA18696 </w:t>
      </w:r>
      <w:r>
        <w:t>(submitted as a condition of registration)</w:t>
      </w:r>
      <w:r w:rsidR="003F4C75">
        <w:t>,</w:t>
      </w:r>
      <w:r>
        <w:t xml:space="preserve"> </w:t>
      </w:r>
      <w:r w:rsidRPr="00326E55">
        <w:t>critical findings of non-compliance were observed at 3 sites that may have impacted patient safety and/or data integrity.</w:t>
      </w:r>
      <w:r>
        <w:t xml:space="preserve"> The sponsor implemented correctiv</w:t>
      </w:r>
      <w:r w:rsidR="00521738">
        <w:t xml:space="preserve">e and preventative actions and </w:t>
      </w:r>
      <w:r w:rsidRPr="00521738">
        <w:t>deemed that</w:t>
      </w:r>
      <w:r w:rsidR="00521738" w:rsidRPr="00521738">
        <w:t>:</w:t>
      </w:r>
    </w:p>
    <w:p w14:paraId="4463B0CD" w14:textId="77777777" w:rsidR="0020207A" w:rsidRDefault="00521738" w:rsidP="00521738">
      <w:pPr>
        <w:ind w:left="720"/>
      </w:pPr>
      <w:r>
        <w:rPr>
          <w:i/>
        </w:rPr>
        <w:t>‘T</w:t>
      </w:r>
      <w:r w:rsidR="0020207A" w:rsidRPr="00CF7004">
        <w:rPr>
          <w:i/>
        </w:rPr>
        <w:t>he validity and integrity of the analyses were not affected at any of the above 3 sites, and including all available data in the analyses is a conservative approach, as it ensures reporting of the study in its entirety</w:t>
      </w:r>
      <w:r w:rsidR="0020207A" w:rsidRPr="00CF7004">
        <w:t>.</w:t>
      </w:r>
      <w:r>
        <w:t>’</w:t>
      </w:r>
    </w:p>
    <w:p w14:paraId="4463B0CE" w14:textId="1B0503A1" w:rsidR="00586F98" w:rsidRDefault="00586F98" w:rsidP="00DF012F">
      <w:pPr>
        <w:pStyle w:val="Heading2"/>
      </w:pPr>
      <w:bookmarkStart w:id="28" w:name="_Toc464136255"/>
      <w:r>
        <w:t>Pharmacokinetics</w:t>
      </w:r>
      <w:bookmarkEnd w:id="27"/>
      <w:bookmarkEnd w:id="28"/>
    </w:p>
    <w:p w14:paraId="4463B0CF" w14:textId="77777777" w:rsidR="007C4C84" w:rsidRPr="007C4C84" w:rsidRDefault="007C4C84" w:rsidP="00DF012F">
      <w:pPr>
        <w:pStyle w:val="Heading3"/>
      </w:pPr>
      <w:bookmarkStart w:id="29" w:name="_Ref271017296"/>
      <w:bookmarkStart w:id="30" w:name="_Ref271018924"/>
      <w:bookmarkStart w:id="31" w:name="_Ref271018934"/>
      <w:bookmarkStart w:id="32" w:name="_Toc272414614"/>
      <w:bookmarkStart w:id="33" w:name="_Toc290846238"/>
      <w:bookmarkStart w:id="34" w:name="_Toc367010554"/>
      <w:bookmarkStart w:id="35" w:name="_Toc464136256"/>
      <w:r w:rsidRPr="007C4C84">
        <w:t>Studies</w:t>
      </w:r>
      <w:bookmarkEnd w:id="29"/>
      <w:bookmarkEnd w:id="30"/>
      <w:bookmarkEnd w:id="31"/>
      <w:r w:rsidRPr="007C4C84">
        <w:t xml:space="preserve"> providing pharmacokinetic data</w:t>
      </w:r>
      <w:bookmarkEnd w:id="32"/>
      <w:bookmarkEnd w:id="33"/>
      <w:bookmarkEnd w:id="34"/>
      <w:bookmarkEnd w:id="35"/>
    </w:p>
    <w:p w14:paraId="4463B0D0" w14:textId="77777777" w:rsidR="0020207A" w:rsidRDefault="0020207A" w:rsidP="00DF012F">
      <w:pPr>
        <w:pStyle w:val="Heading4"/>
      </w:pPr>
      <w:r w:rsidRPr="00853AD0">
        <w:t>Study WA22762</w:t>
      </w:r>
    </w:p>
    <w:p w14:paraId="4463B0D1" w14:textId="77777777" w:rsidR="0020207A" w:rsidRDefault="0020207A" w:rsidP="007B71A1">
      <w:r>
        <w:t>Longer term PK profiles o</w:t>
      </w:r>
      <w:r w:rsidR="00521738">
        <w:t xml:space="preserve">f SC and IV TCZ were presented. </w:t>
      </w:r>
      <w:r>
        <w:t>Following re-randomisation and dose withholding at Week 24, steady state TCZ levels were reached by Week 37 and maintained until Week 97 for both routes of administration.</w:t>
      </w:r>
      <w:r w:rsidR="009F0A80">
        <w:t xml:space="preserve"> </w:t>
      </w:r>
      <w:r w:rsidRPr="005A40C9">
        <w:t>Steady state mean TCZ concentrations in the</w:t>
      </w:r>
      <w:r>
        <w:t xml:space="preserve"> </w:t>
      </w:r>
      <w:r w:rsidR="00B06B62">
        <w:t xml:space="preserve">SC then </w:t>
      </w:r>
      <w:r w:rsidRPr="005A40C9">
        <w:t xml:space="preserve">IV switch arm were </w:t>
      </w:r>
      <w:r>
        <w:t xml:space="preserve">generally comparable with those in </w:t>
      </w:r>
      <w:r w:rsidRPr="005A40C9">
        <w:t xml:space="preserve">the </w:t>
      </w:r>
      <w:r>
        <w:t xml:space="preserve">continuous </w:t>
      </w:r>
      <w:r w:rsidRPr="005A40C9">
        <w:t>IV dosing</w:t>
      </w:r>
      <w:r>
        <w:t xml:space="preserve"> arm, while levels </w:t>
      </w:r>
      <w:r w:rsidRPr="005A40C9">
        <w:t xml:space="preserve">in the IV-SC switch arm </w:t>
      </w:r>
      <w:r>
        <w:t>were</w:t>
      </w:r>
      <w:r w:rsidRPr="005A40C9">
        <w:t xml:space="preserve"> consistent </w:t>
      </w:r>
      <w:r>
        <w:t>with</w:t>
      </w:r>
      <w:r w:rsidRPr="005A40C9">
        <w:t xml:space="preserve"> those </w:t>
      </w:r>
      <w:r>
        <w:t>in</w:t>
      </w:r>
      <w:r w:rsidRPr="005A40C9">
        <w:t xml:space="preserve"> the </w:t>
      </w:r>
      <w:r>
        <w:t xml:space="preserve">continuous </w:t>
      </w:r>
      <w:r w:rsidRPr="005A40C9">
        <w:t>SC dosing</w:t>
      </w:r>
      <w:r>
        <w:t xml:space="preserve"> arm</w:t>
      </w:r>
      <w:r w:rsidRPr="005A40C9">
        <w:t>.</w:t>
      </w:r>
      <w:r w:rsidR="005D790F">
        <w:t xml:space="preserve"> </w:t>
      </w:r>
      <w:r>
        <w:t>Pre-dose</w:t>
      </w:r>
      <w:r w:rsidRPr="00F777DF">
        <w:t xml:space="preserve"> TCZ levels</w:t>
      </w:r>
      <w:r>
        <w:t xml:space="preserve"> were higher in the 162mg SC weekly TCZ arms compared with the 8mg IV every 4 weeks TCZ arms.</w:t>
      </w:r>
    </w:p>
    <w:p w14:paraId="4463B0D2" w14:textId="77777777" w:rsidR="005D790F" w:rsidRPr="001204C7" w:rsidRDefault="005D790F" w:rsidP="001204C7">
      <w:pPr>
        <w:ind w:left="720"/>
        <w:rPr>
          <w:i/>
        </w:rPr>
      </w:pPr>
      <w:r w:rsidRPr="001204C7">
        <w:rPr>
          <w:i/>
        </w:rPr>
        <w:t>Evaluator’s comment: Time to reach steady state, and pre-dose TCZ concentrations for the IV and SC administration routes in the OLE study are consistent with the data from the DB phase of the study.</w:t>
      </w:r>
    </w:p>
    <w:p w14:paraId="4463B0D3" w14:textId="77777777" w:rsidR="005D790F" w:rsidRDefault="005D790F" w:rsidP="005D790F">
      <w:pPr>
        <w:pStyle w:val="Heading4"/>
      </w:pPr>
      <w:r>
        <w:t>Study N</w:t>
      </w:r>
      <w:r w:rsidRPr="00DE6306">
        <w:t>A2</w:t>
      </w:r>
      <w:r>
        <w:t>52</w:t>
      </w:r>
      <w:r w:rsidRPr="00DE6306">
        <w:t>2</w:t>
      </w:r>
      <w:r>
        <w:t>0</w:t>
      </w:r>
    </w:p>
    <w:p w14:paraId="4463B0D4" w14:textId="77777777" w:rsidR="005D790F" w:rsidRDefault="005D790F" w:rsidP="005D790F">
      <w:r w:rsidRPr="00154691">
        <w:t xml:space="preserve">Longer term PK profiles </w:t>
      </w:r>
      <w:r>
        <w:t xml:space="preserve">from Week 24 to Week 96 </w:t>
      </w:r>
      <w:r w:rsidR="00521738">
        <w:t xml:space="preserve">were presented. </w:t>
      </w:r>
      <w:r w:rsidRPr="00154691">
        <w:t>Following re-randomisation at Week 24</w:t>
      </w:r>
      <w:r w:rsidRPr="000C3F83">
        <w:t>, mean pre</w:t>
      </w:r>
      <w:r w:rsidR="00521738">
        <w:t xml:space="preserve"> </w:t>
      </w:r>
      <w:r w:rsidRPr="000C3F83">
        <w:t xml:space="preserve">dose TCZ concentrations in patients who received </w:t>
      </w:r>
      <w:r>
        <w:t xml:space="preserve">SC TCZ every 2 weeks </w:t>
      </w:r>
      <w:r w:rsidRPr="000C3F83">
        <w:t xml:space="preserve">up to Week 24 (TCZ </w:t>
      </w:r>
      <w:r w:rsidR="00521738">
        <w:t xml:space="preserve">pre </w:t>
      </w:r>
      <w:r>
        <w:t xml:space="preserve">filled syringe </w:t>
      </w:r>
      <w:r w:rsidR="002E6B16">
        <w:t>(</w:t>
      </w:r>
      <w:r w:rsidRPr="000C3F83">
        <w:t>PFS</w:t>
      </w:r>
      <w:r w:rsidR="002E6B16">
        <w:t>)</w:t>
      </w:r>
      <w:r w:rsidR="00521738">
        <w:t xml:space="preserve"> and TCZ PFS to </w:t>
      </w:r>
      <w:r>
        <w:t xml:space="preserve">autoinjector </w:t>
      </w:r>
      <w:r w:rsidR="002E6B16">
        <w:t>(</w:t>
      </w:r>
      <w:r w:rsidRPr="000C3F83">
        <w:t>AI</w:t>
      </w:r>
      <w:r w:rsidR="002E6B16">
        <w:t>)</w:t>
      </w:r>
      <w:r w:rsidRPr="000C3F83">
        <w:t xml:space="preserve"> arms) were generally maintained</w:t>
      </w:r>
      <w:r>
        <w:t xml:space="preserve"> and comparable</w:t>
      </w:r>
      <w:r w:rsidRPr="000C3F83">
        <w:t>. Mean pre</w:t>
      </w:r>
      <w:r w:rsidR="00521738">
        <w:t xml:space="preserve"> </w:t>
      </w:r>
      <w:r w:rsidRPr="000C3F83">
        <w:t xml:space="preserve">dose TCZ concentrations in </w:t>
      </w:r>
      <w:r>
        <w:t>patients</w:t>
      </w:r>
      <w:r w:rsidRPr="000C3F83">
        <w:t xml:space="preserve"> </w:t>
      </w:r>
      <w:r>
        <w:t>who</w:t>
      </w:r>
      <w:r w:rsidRPr="000C3F83">
        <w:t xml:space="preserve"> received placebo up to</w:t>
      </w:r>
      <w:r w:rsidR="00521738">
        <w:t xml:space="preserve"> Week 24 (placebo to TCZ PFS arm and placebo to </w:t>
      </w:r>
      <w:r w:rsidRPr="000C3F83">
        <w:t xml:space="preserve">TCZ AI arm) increased with repeat dosing of </w:t>
      </w:r>
      <w:r>
        <w:t>TCZ</w:t>
      </w:r>
      <w:r w:rsidRPr="000C3F83">
        <w:t xml:space="preserve"> via PFS or AI following re-random</w:t>
      </w:r>
      <w:r>
        <w:t>is</w:t>
      </w:r>
      <w:r w:rsidRPr="000C3F83">
        <w:t>ation and reached comparable levels to the continuous TCZ arms by about Week 40 to 48.</w:t>
      </w:r>
    </w:p>
    <w:p w14:paraId="4463B0D5" w14:textId="77777777" w:rsidR="005D790F" w:rsidRPr="00A37422" w:rsidRDefault="005D790F" w:rsidP="005D790F">
      <w:r w:rsidRPr="00A37422">
        <w:t>In an additional ad hoc analysis, pre-dose TCZ concentration data from Week 48 (steady state for the placebo switch arms) to Week 96 were combined for the PFS arms (TCZ PFS arm and placebo to-TCZ PFS arm) and the AI arms (TCZ PFS-to-AI arm and placebo-to-TCZ AI arm). This analysis demonstrated</w:t>
      </w:r>
      <w:r w:rsidR="00521738" w:rsidRPr="00A37422">
        <w:t xml:space="preserve"> that mean steady state pre </w:t>
      </w:r>
      <w:r w:rsidRPr="00A37422">
        <w:t>dose TCZ concentrations were comparable between the PFS and AI ar</w:t>
      </w:r>
      <w:r w:rsidR="00521738" w:rsidRPr="00A37422">
        <w:t>ms between Week 48 and Week 96.</w:t>
      </w:r>
    </w:p>
    <w:p w14:paraId="4463B0D6" w14:textId="6F73EE76" w:rsidR="005D790F" w:rsidRPr="00017462" w:rsidRDefault="005D790F" w:rsidP="001204C7">
      <w:pPr>
        <w:ind w:left="720"/>
        <w:rPr>
          <w:i/>
          <w:strike/>
        </w:rPr>
      </w:pPr>
      <w:r w:rsidRPr="00A37422">
        <w:rPr>
          <w:i/>
        </w:rPr>
        <w:t>Evaluator’s comment: In the ad hoc analysis which sho</w:t>
      </w:r>
      <w:r w:rsidR="00064785" w:rsidRPr="00A37422">
        <w:rPr>
          <w:i/>
        </w:rPr>
        <w:t xml:space="preserve">wed similar mean and median pre </w:t>
      </w:r>
      <w:r w:rsidRPr="00A37422">
        <w:rPr>
          <w:i/>
        </w:rPr>
        <w:t xml:space="preserve">dose TCZ concentrations for the PFS an AI arms, higher maximum concentrations were reached by some patients in the AI arm based on the range presented. </w:t>
      </w:r>
      <w:r w:rsidR="00521738" w:rsidRPr="00A37422">
        <w:rPr>
          <w:i/>
        </w:rPr>
        <w:t>For example</w:t>
      </w:r>
      <w:r w:rsidRPr="00A37422">
        <w:rPr>
          <w:i/>
        </w:rPr>
        <w:t xml:space="preserve"> at Week 48 the range for the combined PFS arm was 0.0 to 45.0 while for t</w:t>
      </w:r>
      <w:r w:rsidR="00521738" w:rsidRPr="00A37422">
        <w:rPr>
          <w:i/>
        </w:rPr>
        <w:t xml:space="preserve">he AI arm it was 0.0 to 204.0. </w:t>
      </w:r>
      <w:r w:rsidRPr="00A37422">
        <w:rPr>
          <w:i/>
        </w:rPr>
        <w:t>While later weeks were not as extreme, the ma</w:t>
      </w:r>
      <w:r w:rsidR="00064785" w:rsidRPr="00A37422">
        <w:rPr>
          <w:i/>
        </w:rPr>
        <w:t>ximum concentrations were 28%</w:t>
      </w:r>
      <w:r w:rsidR="00064785" w:rsidRPr="00A37422">
        <w:rPr>
          <w:i/>
        </w:rPr>
        <w:noBreakHyphen/>
      </w:r>
      <w:r w:rsidRPr="00A37422">
        <w:rPr>
          <w:i/>
        </w:rPr>
        <w:t>83% higher on the A</w:t>
      </w:r>
      <w:r w:rsidR="00064785" w:rsidRPr="00A37422">
        <w:rPr>
          <w:i/>
        </w:rPr>
        <w:t xml:space="preserve">I arm at Weeks 72, 84, and 96. </w:t>
      </w:r>
      <w:r w:rsidRPr="00A37422">
        <w:rPr>
          <w:i/>
        </w:rPr>
        <w:t>It is not clear whether this might have clinical implications, however as the Sponsor is not proposing to register this presentation clarification of the potential implications is not required.</w:t>
      </w:r>
    </w:p>
    <w:p w14:paraId="4463B0D7" w14:textId="77777777" w:rsidR="005D790F" w:rsidRDefault="005D790F" w:rsidP="00DF012F">
      <w:pPr>
        <w:pStyle w:val="Heading3"/>
      </w:pPr>
      <w:bookmarkStart w:id="36" w:name="_Toc464136257"/>
      <w:r>
        <w:lastRenderedPageBreak/>
        <w:t>Summary of pharmacokinetics</w:t>
      </w:r>
      <w:bookmarkEnd w:id="36"/>
    </w:p>
    <w:p w14:paraId="4463B0D8" w14:textId="77777777" w:rsidR="005D790F" w:rsidRPr="005D790F" w:rsidRDefault="005D790F" w:rsidP="005D790F">
      <w:r w:rsidRPr="00D77E6E">
        <w:t>The following is a summary of the P</w:t>
      </w:r>
      <w:r>
        <w:t>K from the previous evaluation:</w:t>
      </w:r>
    </w:p>
    <w:p w14:paraId="4463B0D9" w14:textId="77777777" w:rsidR="005D790F" w:rsidRPr="00D77E6E" w:rsidRDefault="005D790F" w:rsidP="00D05AAC">
      <w:pPr>
        <w:pStyle w:val="ListBullet"/>
      </w:pPr>
      <w:r w:rsidRPr="00D77E6E">
        <w:t>Absolute bioavailability from SC route was 77% (clearan</w:t>
      </w:r>
      <w:r w:rsidR="00064785">
        <w:t>ce changing with concentration)</w:t>
      </w:r>
      <w:r w:rsidR="00903F2D">
        <w:t xml:space="preserve">. </w:t>
      </w:r>
      <w:r w:rsidRPr="00D77E6E">
        <w:t>(Protocol</w:t>
      </w:r>
      <w:r w:rsidR="00064785">
        <w:t>:</w:t>
      </w:r>
      <w:r w:rsidRPr="00D77E6E">
        <w:t xml:space="preserve"> WP18097)</w:t>
      </w:r>
    </w:p>
    <w:p w14:paraId="4463B0DA" w14:textId="77777777" w:rsidR="005D790F" w:rsidRPr="00D77E6E" w:rsidRDefault="005D790F" w:rsidP="00DF012F">
      <w:pPr>
        <w:pStyle w:val="ListBullet"/>
      </w:pPr>
      <w:r w:rsidRPr="00D77E6E">
        <w:t>Absorption was slower by the SC route with a median t</w:t>
      </w:r>
      <w:r w:rsidRPr="00D77E6E">
        <w:rPr>
          <w:vertAlign w:val="subscript"/>
        </w:rPr>
        <w:t>max</w:t>
      </w:r>
      <w:r w:rsidRPr="00D77E6E">
        <w:t xml:space="preserve"> of 48 hours co</w:t>
      </w:r>
      <w:r w:rsidR="00064785">
        <w:t xml:space="preserve">mpared to 2 hours by IV route. </w:t>
      </w:r>
      <w:r w:rsidRPr="00D77E6E">
        <w:t>Absorp</w:t>
      </w:r>
      <w:r w:rsidR="00D05AAC">
        <w:t>tion half-life was about 4 days</w:t>
      </w:r>
      <w:r w:rsidR="00903F2D">
        <w:t>.</w:t>
      </w:r>
    </w:p>
    <w:p w14:paraId="4463B0DB" w14:textId="77777777" w:rsidR="005D790F" w:rsidRPr="00D77E6E" w:rsidRDefault="005D790F" w:rsidP="00D05AAC">
      <w:pPr>
        <w:pStyle w:val="ListBullet"/>
      </w:pPr>
      <w:r w:rsidRPr="00D77E6E">
        <w:t>Both SC presentations (</w:t>
      </w:r>
      <w:r w:rsidR="00064785">
        <w:rPr>
          <w:lang w:val="en-US"/>
        </w:rPr>
        <w:t>p</w:t>
      </w:r>
      <w:r w:rsidRPr="00D77E6E">
        <w:rPr>
          <w:lang w:val="en-US"/>
        </w:rPr>
        <w:t>re-filled syringe and</w:t>
      </w:r>
      <w:r w:rsidRPr="00D77E6E">
        <w:t xml:space="preserve"> </w:t>
      </w:r>
      <w:r w:rsidR="00064785">
        <w:rPr>
          <w:lang w:val="en-US"/>
        </w:rPr>
        <w:t>a</w:t>
      </w:r>
      <w:r w:rsidRPr="00D77E6E">
        <w:rPr>
          <w:lang w:val="en-US"/>
        </w:rPr>
        <w:t>utoinjector)</w:t>
      </w:r>
      <w:r w:rsidRPr="00D77E6E">
        <w:t xml:space="preserve"> had similar plasma concentration profiles but with h</w:t>
      </w:r>
      <w:r w:rsidR="00064785">
        <w:t xml:space="preserve">igh inter-subject variability. </w:t>
      </w:r>
      <w:r w:rsidRPr="00D77E6E">
        <w:t>Bioequivalence between them was seen for AUC</w:t>
      </w:r>
      <w:r w:rsidRPr="00D77E6E">
        <w:rPr>
          <w:vertAlign w:val="subscript"/>
        </w:rPr>
        <w:t>inf</w:t>
      </w:r>
      <w:r w:rsidRPr="00D77E6E">
        <w:t xml:space="preserve"> but was slightly bioinequivalent for AUC</w:t>
      </w:r>
      <w:r w:rsidRPr="00D77E6E">
        <w:rPr>
          <w:vertAlign w:val="subscript"/>
        </w:rPr>
        <w:t>last</w:t>
      </w:r>
      <w:r w:rsidR="00064785">
        <w:t xml:space="preserve"> (0.90</w:t>
      </w:r>
      <w:r w:rsidR="00064785">
        <w:noBreakHyphen/>
      </w:r>
      <w:r w:rsidRPr="00D77E6E">
        <w:t>1.27) and C</w:t>
      </w:r>
      <w:r w:rsidRPr="00D77E6E">
        <w:rPr>
          <w:vertAlign w:val="subscript"/>
        </w:rPr>
        <w:t>max</w:t>
      </w:r>
      <w:r w:rsidR="00064785">
        <w:t xml:space="preserve"> (0.94</w:t>
      </w:r>
      <w:r w:rsidR="00064785">
        <w:noBreakHyphen/>
      </w:r>
      <w:r w:rsidR="00D05AAC">
        <w:t>1.27)</w:t>
      </w:r>
      <w:r w:rsidR="00903F2D">
        <w:t>.</w:t>
      </w:r>
    </w:p>
    <w:p w14:paraId="4463B0DC" w14:textId="77777777" w:rsidR="005D790F" w:rsidRPr="00D77E6E" w:rsidRDefault="005D790F" w:rsidP="00D05AAC">
      <w:pPr>
        <w:pStyle w:val="ListBullet"/>
      </w:pPr>
      <w:r w:rsidRPr="00D77E6E">
        <w:t>Weight had a significant effect on clearan</w:t>
      </w:r>
      <w:r w:rsidR="00064785">
        <w:t xml:space="preserve">ce and volume of distribution. </w:t>
      </w:r>
      <w:r w:rsidRPr="00D77E6E">
        <w:t>In simulations from the population PK analysis, clearance was decreased by 25% in a 40kg person and inc</w:t>
      </w:r>
      <w:r w:rsidR="00D05AAC">
        <w:t>reased by 43% in a 140kg person</w:t>
      </w:r>
      <w:r w:rsidR="00903F2D">
        <w:t>.</w:t>
      </w:r>
    </w:p>
    <w:p w14:paraId="4463B0DD" w14:textId="77777777" w:rsidR="005D790F" w:rsidRDefault="005D790F" w:rsidP="00D05AAC">
      <w:pPr>
        <w:pStyle w:val="ListBullet"/>
      </w:pPr>
      <w:r w:rsidRPr="00D77E6E">
        <w:t>Thigh administration in</w:t>
      </w:r>
      <w:r w:rsidR="009A4F0B">
        <w:t>creased bioavailability by 10%.</w:t>
      </w:r>
    </w:p>
    <w:p w14:paraId="4463B0DE" w14:textId="77777777" w:rsidR="007B71A1" w:rsidRPr="001C55FC" w:rsidRDefault="007B71A1" w:rsidP="003741A8">
      <w:pPr>
        <w:pStyle w:val="Heading3"/>
      </w:pPr>
      <w:bookmarkStart w:id="37" w:name="_Toc241374296"/>
      <w:bookmarkStart w:id="38" w:name="_Ref269982040"/>
      <w:bookmarkStart w:id="39" w:name="_Ref271018704"/>
      <w:bookmarkStart w:id="40" w:name="_Ref271018755"/>
      <w:bookmarkStart w:id="41" w:name="_Toc272414635"/>
      <w:bookmarkStart w:id="42" w:name="_Toc290846258"/>
      <w:bookmarkStart w:id="43" w:name="_Toc367010568"/>
      <w:bookmarkStart w:id="44" w:name="_Toc464136258"/>
      <w:r w:rsidRPr="001C55FC">
        <w:t>Evaluator’s overall conclusions on pharmacokinetics</w:t>
      </w:r>
      <w:bookmarkEnd w:id="37"/>
      <w:bookmarkEnd w:id="38"/>
      <w:bookmarkEnd w:id="39"/>
      <w:bookmarkEnd w:id="40"/>
      <w:bookmarkEnd w:id="41"/>
      <w:bookmarkEnd w:id="42"/>
      <w:bookmarkEnd w:id="43"/>
      <w:bookmarkEnd w:id="44"/>
    </w:p>
    <w:p w14:paraId="4463B0DF" w14:textId="77777777" w:rsidR="009A4F0B" w:rsidRDefault="009A4F0B" w:rsidP="009A4F0B">
      <w:r>
        <w:t>PK from the WA22762 OLE study is consi</w:t>
      </w:r>
      <w:r w:rsidR="00064785">
        <w:t>stent with the DB phase of the s</w:t>
      </w:r>
      <w:r>
        <w:t>tudy with higher pre-dose TCZ plasma concentrations following 162mg SC weekly administration compared with 8mg IV every 4 weeks administration.</w:t>
      </w:r>
    </w:p>
    <w:p w14:paraId="4463B0E0" w14:textId="77777777" w:rsidR="009A4F0B" w:rsidRDefault="009A4F0B" w:rsidP="009A4F0B">
      <w:r>
        <w:t xml:space="preserve">PK from the NA25220 OLE is consistent with </w:t>
      </w:r>
      <w:r w:rsidRPr="00CA20B0">
        <w:t>the DB phase of the study</w:t>
      </w:r>
      <w:r>
        <w:t>, with both the PFS and AI SC presentations resulting in similar pre-dose TCZ concentrations.</w:t>
      </w:r>
    </w:p>
    <w:p w14:paraId="4463B0E1" w14:textId="77777777" w:rsidR="00586F98" w:rsidRDefault="00586F98" w:rsidP="00DF012F">
      <w:pPr>
        <w:pStyle w:val="Heading2"/>
      </w:pPr>
      <w:bookmarkStart w:id="45" w:name="_Toc464136259"/>
      <w:r>
        <w:t>Pharmacodynamics</w:t>
      </w:r>
      <w:bookmarkEnd w:id="45"/>
    </w:p>
    <w:p w14:paraId="4463B0E2" w14:textId="77777777" w:rsidR="009A4F0B" w:rsidRDefault="009A4F0B" w:rsidP="00D205A3">
      <w:pPr>
        <w:pStyle w:val="Heading3"/>
      </w:pPr>
      <w:bookmarkStart w:id="46" w:name="_Toc272414637"/>
      <w:bookmarkStart w:id="47" w:name="_Toc290846260"/>
      <w:bookmarkStart w:id="48" w:name="_Toc430267965"/>
      <w:bookmarkStart w:id="49" w:name="_Toc464136260"/>
      <w:r>
        <w:t>Studies providing pharmacodynamic data</w:t>
      </w:r>
      <w:bookmarkEnd w:id="46"/>
      <w:bookmarkEnd w:id="47"/>
      <w:bookmarkEnd w:id="48"/>
      <w:bookmarkEnd w:id="49"/>
    </w:p>
    <w:p w14:paraId="4463B0E3" w14:textId="77777777" w:rsidR="009A4F0B" w:rsidRDefault="009A4F0B" w:rsidP="009A4F0B">
      <w:pPr>
        <w:pStyle w:val="Heading4"/>
      </w:pPr>
      <w:r w:rsidRPr="009A4F0B">
        <w:t>Study WA22762</w:t>
      </w:r>
    </w:p>
    <w:p w14:paraId="4463B0E4" w14:textId="77777777" w:rsidR="009A4F0B" w:rsidRDefault="009A4F0B" w:rsidP="009A4F0B">
      <w:r>
        <w:t>Longer term PD profiles (mean sIL-6</w:t>
      </w:r>
      <w:r w:rsidR="00064785">
        <w:t xml:space="preserve">R, CRP, and ESR) were presented. </w:t>
      </w:r>
      <w:r>
        <w:t>Foll</w:t>
      </w:r>
      <w:r w:rsidR="00064785">
        <w:t xml:space="preserve">owing re-randomisation and dose </w:t>
      </w:r>
      <w:r>
        <w:t>withholding at Week 24, m</w:t>
      </w:r>
      <w:r w:rsidRPr="009716A0">
        <w:t xml:space="preserve">ean sIL-6R levels in the ITT-PK population </w:t>
      </w:r>
      <w:r>
        <w:t xml:space="preserve">reached stable levels at Week 37 (consistent with levels during the DB phase of the study) and maintained this level </w:t>
      </w:r>
      <w:r w:rsidRPr="009716A0">
        <w:t xml:space="preserve">through Week 97 in all </w:t>
      </w:r>
      <w:r>
        <w:t xml:space="preserve">4 </w:t>
      </w:r>
      <w:r w:rsidRPr="009716A0">
        <w:t>treatment arms</w:t>
      </w:r>
      <w:r>
        <w:t xml:space="preserve"> (SC, IV, SC</w:t>
      </w:r>
      <w:r w:rsidR="00064785">
        <w:t xml:space="preserve"> IV switch, IV </w:t>
      </w:r>
      <w:r>
        <w:t>SC switch)</w:t>
      </w:r>
      <w:r w:rsidRPr="009716A0">
        <w:t xml:space="preserve">. </w:t>
      </w:r>
      <w:r>
        <w:t>Levels tended to be slightly higher in the SC arms.</w:t>
      </w:r>
    </w:p>
    <w:p w14:paraId="4463B0E5" w14:textId="77777777" w:rsidR="009A4F0B" w:rsidRDefault="009A4F0B" w:rsidP="009A4F0B">
      <w:r w:rsidRPr="00360CED">
        <w:t xml:space="preserve">Mean CRP </w:t>
      </w:r>
      <w:r>
        <w:t xml:space="preserve">and ESR </w:t>
      </w:r>
      <w:r w:rsidRPr="00360CED">
        <w:t xml:space="preserve">concentrations in the ITT population rapidly decreased after the first dose of TCZ </w:t>
      </w:r>
      <w:r>
        <w:t xml:space="preserve">in the DB phase of the study for both the SC and IV arms, </w:t>
      </w:r>
      <w:r w:rsidRPr="00360CED">
        <w:t xml:space="preserve">and remained </w:t>
      </w:r>
      <w:r>
        <w:t>at stable levels</w:t>
      </w:r>
      <w:r w:rsidRPr="00360CED">
        <w:t xml:space="preserve"> through</w:t>
      </w:r>
      <w:r>
        <w:t xml:space="preserve"> </w:t>
      </w:r>
      <w:r w:rsidRPr="00360CED">
        <w:t xml:space="preserve">Week 97 for all </w:t>
      </w:r>
      <w:r>
        <w:t xml:space="preserve">4 </w:t>
      </w:r>
      <w:r w:rsidRPr="00360CED">
        <w:t>treatment arms</w:t>
      </w:r>
      <w:r>
        <w:t>.</w:t>
      </w:r>
    </w:p>
    <w:p w14:paraId="4463B0E6" w14:textId="77777777" w:rsidR="009A4F0B" w:rsidRDefault="009A4F0B" w:rsidP="009A4F0B">
      <w:pPr>
        <w:pStyle w:val="Heading4"/>
      </w:pPr>
      <w:r w:rsidRPr="00E35AB8">
        <w:t>Study NA25220</w:t>
      </w:r>
    </w:p>
    <w:p w14:paraId="4463B0E7" w14:textId="77777777" w:rsidR="009A4F0B" w:rsidRDefault="009A4F0B" w:rsidP="009A4F0B">
      <w:r w:rsidRPr="00CA20B0">
        <w:t>Longer term PD profiles (mean sIL-6R, CRP, and ESR) were presented</w:t>
      </w:r>
      <w:r w:rsidR="00064785">
        <w:t xml:space="preserve">. </w:t>
      </w:r>
      <w:r>
        <w:t>Mean sIL-6R increased rapidly in placebo patients switched to TCZ, and was generally comparable with the continuous TCZ patients by Week 36. Levels were generally similar in the PFS and AI arms.</w:t>
      </w:r>
    </w:p>
    <w:p w14:paraId="4463B0E8" w14:textId="77777777" w:rsidR="009A4F0B" w:rsidRPr="009A4F0B" w:rsidRDefault="009A4F0B" w:rsidP="009A4F0B">
      <w:r>
        <w:t xml:space="preserve">Mean CRP </w:t>
      </w:r>
      <w:r w:rsidRPr="00E7530F">
        <w:t>and ESR</w:t>
      </w:r>
      <w:r>
        <w:t xml:space="preserve"> levels decreased rapidly</w:t>
      </w:r>
      <w:r w:rsidRPr="006F7BCD">
        <w:t xml:space="preserve"> in placebo patients switched to TCZ, and</w:t>
      </w:r>
      <w:r>
        <w:t xml:space="preserve"> were</w:t>
      </w:r>
      <w:r w:rsidRPr="006F7BCD">
        <w:t xml:space="preserve"> generally comparable with the continuous TCZ patients by Week 3</w:t>
      </w:r>
      <w:r>
        <w:t>2</w:t>
      </w:r>
      <w:r w:rsidR="00064785">
        <w:t xml:space="preserve">. </w:t>
      </w:r>
      <w:r w:rsidRPr="006F7BCD">
        <w:t xml:space="preserve">Levels were </w:t>
      </w:r>
      <w:r>
        <w:t xml:space="preserve">generally </w:t>
      </w:r>
      <w:r w:rsidRPr="006F7BCD">
        <w:t>similar in the PFS and AI arms.</w:t>
      </w:r>
    </w:p>
    <w:p w14:paraId="4463B0E9" w14:textId="77777777" w:rsidR="0024542C" w:rsidRPr="00595A28" w:rsidRDefault="0024542C" w:rsidP="00DF012F">
      <w:pPr>
        <w:pStyle w:val="Heading3"/>
      </w:pPr>
      <w:bookmarkStart w:id="50" w:name="_Ref269119989"/>
      <w:bookmarkStart w:id="51" w:name="_Toc272414639"/>
      <w:bookmarkStart w:id="52" w:name="_Toc290846261"/>
      <w:bookmarkStart w:id="53" w:name="_Toc367010571"/>
      <w:bookmarkStart w:id="54" w:name="_Toc464136261"/>
      <w:r w:rsidRPr="00595A28">
        <w:lastRenderedPageBreak/>
        <w:t>Summary of pharmacodynamics</w:t>
      </w:r>
      <w:bookmarkEnd w:id="50"/>
      <w:bookmarkEnd w:id="51"/>
      <w:bookmarkEnd w:id="52"/>
      <w:bookmarkEnd w:id="53"/>
      <w:bookmarkEnd w:id="54"/>
    </w:p>
    <w:p w14:paraId="4463B0EA" w14:textId="77777777" w:rsidR="009A4F0B" w:rsidRDefault="009A4F0B" w:rsidP="009A4F0B">
      <w:bookmarkStart w:id="55" w:name="_Toc241374300"/>
      <w:bookmarkStart w:id="56" w:name="_Toc272414641"/>
      <w:bookmarkStart w:id="57" w:name="_Toc290846263"/>
      <w:bookmarkStart w:id="58" w:name="_Toc367010573"/>
      <w:r w:rsidRPr="00D77E6E">
        <w:t xml:space="preserve">The </w:t>
      </w:r>
      <w:r>
        <w:t>following is a summary of the PD</w:t>
      </w:r>
      <w:r w:rsidRPr="00D77E6E">
        <w:t xml:space="preserve"> from the previous evaluation:</w:t>
      </w:r>
    </w:p>
    <w:p w14:paraId="4463B0EB" w14:textId="77777777" w:rsidR="009A4F0B" w:rsidRPr="00D77E6E" w:rsidRDefault="009A4F0B" w:rsidP="00DF012F">
      <w:pPr>
        <w:pStyle w:val="ListBullet"/>
      </w:pPr>
      <w:r w:rsidRPr="00D77E6E">
        <w:t>Pharmacodynamic outcomes wer</w:t>
      </w:r>
      <w:r w:rsidR="00064785">
        <w:t>e similar from SC and IV routes</w:t>
      </w:r>
    </w:p>
    <w:p w14:paraId="4463B0EC" w14:textId="77777777" w:rsidR="009A4F0B" w:rsidRDefault="009A4F0B" w:rsidP="00DF012F">
      <w:pPr>
        <w:pStyle w:val="ListBullet"/>
      </w:pPr>
      <w:r w:rsidRPr="00D77E6E">
        <w:t>A dose-finding study indicated similar effects on ACR20, 50 and 70 responses and CRP from once weekly and once fortnightly dosing but a better</w:t>
      </w:r>
      <w:r w:rsidR="00064785">
        <w:t xml:space="preserve"> DAS28 response for once weekly</w:t>
      </w:r>
      <w:r w:rsidRPr="00D77E6E">
        <w:t xml:space="preserve"> although </w:t>
      </w:r>
      <w:r w:rsidR="00064785">
        <w:t xml:space="preserve">this was </w:t>
      </w:r>
      <w:r w:rsidRPr="00D77E6E">
        <w:t>not statistically significant.</w:t>
      </w:r>
    </w:p>
    <w:p w14:paraId="4463B0ED" w14:textId="77777777" w:rsidR="009A4F0B" w:rsidRDefault="009A4F0B" w:rsidP="009A4F0B">
      <w:pPr>
        <w:pStyle w:val="Heading3"/>
      </w:pPr>
      <w:bookmarkStart w:id="59" w:name="_Toc430267967"/>
      <w:bookmarkStart w:id="60" w:name="_Toc464136262"/>
      <w:r>
        <w:t>Evaluator’s overall conclusions on pharmacodynamics</w:t>
      </w:r>
      <w:bookmarkEnd w:id="59"/>
      <w:bookmarkEnd w:id="60"/>
    </w:p>
    <w:p w14:paraId="4463B0EE" w14:textId="77777777" w:rsidR="009A4F0B" w:rsidRDefault="009A4F0B" w:rsidP="009A4F0B">
      <w:r w:rsidRPr="00D17E8A">
        <w:t xml:space="preserve">PD from the </w:t>
      </w:r>
      <w:r w:rsidRPr="00381220">
        <w:t>WA22762</w:t>
      </w:r>
      <w:r>
        <w:t xml:space="preserve"> </w:t>
      </w:r>
      <w:r w:rsidRPr="00D17E8A">
        <w:t xml:space="preserve">OLE </w:t>
      </w:r>
      <w:r w:rsidR="00A30D8F">
        <w:t>S</w:t>
      </w:r>
      <w:r w:rsidRPr="00D17E8A">
        <w:t>tudy is consistent with the PD f</w:t>
      </w:r>
      <w:r>
        <w:t>rom the DB phase of the study:</w:t>
      </w:r>
    </w:p>
    <w:p w14:paraId="4463B0EF" w14:textId="77777777" w:rsidR="009A4F0B" w:rsidRDefault="009A4F0B" w:rsidP="00DF012F">
      <w:pPr>
        <w:pStyle w:val="ListBullet"/>
      </w:pPr>
      <w:r w:rsidRPr="00D17E8A">
        <w:t>Mea</w:t>
      </w:r>
      <w:r>
        <w:t>n sIL-6R levels were maintained</w:t>
      </w:r>
      <w:r w:rsidRPr="00D17E8A">
        <w:t xml:space="preserve"> and comparable in the SC &amp; IV </w:t>
      </w:r>
      <w:r>
        <w:t>arms</w:t>
      </w:r>
    </w:p>
    <w:p w14:paraId="4463B0F0" w14:textId="77777777" w:rsidR="009A4F0B" w:rsidRDefault="009A4F0B" w:rsidP="00DF012F">
      <w:pPr>
        <w:pStyle w:val="ListBullet"/>
      </w:pPr>
      <w:r>
        <w:t>Mean CRP levels were maintained in the normal range for the SC &amp; IV arms</w:t>
      </w:r>
    </w:p>
    <w:p w14:paraId="4463B0F1" w14:textId="77777777" w:rsidR="009A4F0B" w:rsidRPr="00D17E8A" w:rsidRDefault="009A4F0B" w:rsidP="00DF012F">
      <w:pPr>
        <w:pStyle w:val="ListBullet"/>
      </w:pPr>
      <w:r>
        <w:t>Mean ESR levels remained low for the SC &amp; IV arms</w:t>
      </w:r>
      <w:r w:rsidR="00064785">
        <w:t>.</w:t>
      </w:r>
    </w:p>
    <w:p w14:paraId="4463B0F2" w14:textId="77777777" w:rsidR="009A4F0B" w:rsidRPr="00725105" w:rsidRDefault="009A4F0B" w:rsidP="009A4F0B">
      <w:r w:rsidRPr="00725105">
        <w:t xml:space="preserve">PD from the </w:t>
      </w:r>
      <w:r>
        <w:t>NA</w:t>
      </w:r>
      <w:r w:rsidRPr="00725105">
        <w:t>2</w:t>
      </w:r>
      <w:r>
        <w:t>52</w:t>
      </w:r>
      <w:r w:rsidRPr="00725105">
        <w:t>2</w:t>
      </w:r>
      <w:r>
        <w:t>0</w:t>
      </w:r>
      <w:r w:rsidRPr="00725105">
        <w:t xml:space="preserve"> OLE </w:t>
      </w:r>
      <w:r w:rsidR="00A30D8F">
        <w:t>S</w:t>
      </w:r>
      <w:r w:rsidRPr="00725105">
        <w:t>tudy is consistent with the PD from the DB phase of the study:</w:t>
      </w:r>
    </w:p>
    <w:p w14:paraId="4463B0F3" w14:textId="77777777" w:rsidR="009A4F0B" w:rsidRDefault="009A4F0B" w:rsidP="008E510B">
      <w:pPr>
        <w:pStyle w:val="ListBullet"/>
      </w:pPr>
      <w:r w:rsidRPr="00725105">
        <w:t>Mean sIL-6R</w:t>
      </w:r>
      <w:r>
        <w:t>, CRP and ESR</w:t>
      </w:r>
      <w:r w:rsidRPr="00725105">
        <w:t xml:space="preserve"> levels were maintained </w:t>
      </w:r>
      <w:r>
        <w:t>longer term</w:t>
      </w:r>
    </w:p>
    <w:p w14:paraId="4463B0F4" w14:textId="77777777" w:rsidR="009A4F0B" w:rsidRPr="00D77E6E" w:rsidRDefault="009A4F0B" w:rsidP="008E510B">
      <w:pPr>
        <w:pStyle w:val="ListBullet"/>
      </w:pPr>
      <w:r>
        <w:t xml:space="preserve">Mean </w:t>
      </w:r>
      <w:r w:rsidRPr="00F646F1">
        <w:t>sIL-6R, CRP and ESR levels were</w:t>
      </w:r>
      <w:r>
        <w:t xml:space="preserve"> comparable in the PFS and AI SC arms</w:t>
      </w:r>
      <w:r w:rsidR="00A30D8F">
        <w:t>.</w:t>
      </w:r>
    </w:p>
    <w:p w14:paraId="4463B0F5" w14:textId="77777777" w:rsidR="00586F98" w:rsidRDefault="00C22678" w:rsidP="008E510B">
      <w:pPr>
        <w:pStyle w:val="Heading2"/>
      </w:pPr>
      <w:bookmarkStart w:id="61" w:name="_Toc464136263"/>
      <w:bookmarkEnd w:id="55"/>
      <w:bookmarkEnd w:id="56"/>
      <w:bookmarkEnd w:id="57"/>
      <w:bookmarkEnd w:id="58"/>
      <w:r>
        <w:t>Dosage selection for the pivotal studies</w:t>
      </w:r>
      <w:bookmarkEnd w:id="61"/>
    </w:p>
    <w:p w14:paraId="4463B0F6" w14:textId="23591B8B" w:rsidR="00A30D8F" w:rsidRDefault="009A4F0B" w:rsidP="009A4F0B">
      <w:pPr>
        <w:autoSpaceDE w:val="0"/>
        <w:autoSpaceDN w:val="0"/>
        <w:adjustRightInd w:val="0"/>
      </w:pPr>
      <w:r w:rsidRPr="00505A2B">
        <w:t xml:space="preserve">SC dose selection </w:t>
      </w:r>
      <w:r>
        <w:t>for the pivotal studies</w:t>
      </w:r>
      <w:r w:rsidRPr="00505A2B">
        <w:t xml:space="preserve"> was based on four clinical pharmacology studies</w:t>
      </w:r>
      <w:r>
        <w:t xml:space="preserve"> </w:t>
      </w:r>
      <w:r w:rsidRPr="00505A2B">
        <w:t>investigating PK and PD in healthy subjects and PK, PD, efficacy and safety of TCZ</w:t>
      </w:r>
      <w:r>
        <w:t xml:space="preserve"> </w:t>
      </w:r>
      <w:r w:rsidRPr="00505A2B">
        <w:t>following SC administration in RA patients.</w:t>
      </w:r>
      <w:r w:rsidR="00A30D8F">
        <w:t xml:space="preserve"> </w:t>
      </w:r>
      <w:r>
        <w:t>T</w:t>
      </w:r>
      <w:r w:rsidRPr="00D35596">
        <w:t>he PD profiles (CRP,</w:t>
      </w:r>
      <w:r>
        <w:t xml:space="preserve"> </w:t>
      </w:r>
      <w:r w:rsidRPr="00D35596">
        <w:t xml:space="preserve">ESR, and sIL-6R) of the </w:t>
      </w:r>
      <w:r>
        <w:t>SC TCZ</w:t>
      </w:r>
      <w:r w:rsidRPr="00D35596">
        <w:t xml:space="preserve"> 162 mg </w:t>
      </w:r>
      <w:r>
        <w:t>weekly</w:t>
      </w:r>
      <w:r w:rsidRPr="00D35596">
        <w:t xml:space="preserve"> regimen were </w:t>
      </w:r>
      <w:r>
        <w:t xml:space="preserve">determined to be </w:t>
      </w:r>
      <w:r w:rsidRPr="00D35596">
        <w:t>most comparable to the</w:t>
      </w:r>
      <w:r>
        <w:t xml:space="preserve"> TCZ IV 8 mg/kg dosing regimen.</w:t>
      </w:r>
      <w:r w:rsidR="009F0A80">
        <w:t xml:space="preserve"> </w:t>
      </w:r>
      <w:r>
        <w:t>The</w:t>
      </w:r>
      <w:r w:rsidRPr="00D35596">
        <w:t xml:space="preserve"> 162 mg SC </w:t>
      </w:r>
      <w:r w:rsidR="00AC528E">
        <w:t>every 2 weeks</w:t>
      </w:r>
      <w:r>
        <w:t xml:space="preserve"> dose regimen produced a </w:t>
      </w:r>
      <w:r w:rsidRPr="00D35596">
        <w:t>slower and less</w:t>
      </w:r>
      <w:r>
        <w:t xml:space="preserve"> </w:t>
      </w:r>
      <w:r w:rsidRPr="00D35596">
        <w:t xml:space="preserve">pronounced </w:t>
      </w:r>
      <w:r>
        <w:t xml:space="preserve">PD response. </w:t>
      </w:r>
      <w:r w:rsidRPr="00FE2068">
        <w:t xml:space="preserve">In </w:t>
      </w:r>
      <w:r>
        <w:t xml:space="preserve">the current submission, </w:t>
      </w:r>
      <w:r w:rsidRPr="00FE2068">
        <w:t xml:space="preserve">the </w:t>
      </w:r>
      <w:r>
        <w:t>s</w:t>
      </w:r>
      <w:r w:rsidR="008E510B">
        <w:t>ponsor stated that</w:t>
      </w:r>
    </w:p>
    <w:p w14:paraId="4463B0F7" w14:textId="77777777" w:rsidR="009A4F0B" w:rsidRPr="009A4F0B" w:rsidRDefault="009A4F0B" w:rsidP="00A30D8F">
      <w:pPr>
        <w:autoSpaceDE w:val="0"/>
        <w:autoSpaceDN w:val="0"/>
        <w:adjustRightInd w:val="0"/>
        <w:ind w:left="720"/>
      </w:pPr>
      <w:r w:rsidRPr="00FE2068">
        <w:rPr>
          <w:i/>
        </w:rPr>
        <w:t>Study NA25220 has been established as a suitable lower dosing regimen, as part of dose modification for laboratory abnormalities</w:t>
      </w:r>
      <w:r>
        <w:t>.</w:t>
      </w:r>
    </w:p>
    <w:p w14:paraId="4463B0F8" w14:textId="77777777" w:rsidR="00C22678" w:rsidRDefault="00C22678" w:rsidP="008E510B">
      <w:pPr>
        <w:pStyle w:val="Heading2"/>
      </w:pPr>
      <w:bookmarkStart w:id="62" w:name="_Toc464136264"/>
      <w:r>
        <w:t>Clinical efficacy</w:t>
      </w:r>
      <w:bookmarkEnd w:id="62"/>
    </w:p>
    <w:p w14:paraId="4463B0F9" w14:textId="77777777" w:rsidR="00A00DB8" w:rsidRPr="00B87501" w:rsidRDefault="00A00DB8" w:rsidP="008E510B">
      <w:pPr>
        <w:pStyle w:val="Heading3"/>
      </w:pPr>
      <w:bookmarkStart w:id="63" w:name="_Ref271199564"/>
      <w:bookmarkStart w:id="64" w:name="_Toc272414651"/>
      <w:bookmarkStart w:id="65" w:name="_Toc290846273"/>
      <w:bookmarkStart w:id="66" w:name="_Toc367010578"/>
      <w:bookmarkStart w:id="67" w:name="_Toc464136265"/>
      <w:r w:rsidRPr="00B87501">
        <w:t>Subcutaneous route and formulation</w:t>
      </w:r>
      <w:bookmarkEnd w:id="63"/>
      <w:bookmarkEnd w:id="64"/>
      <w:bookmarkEnd w:id="65"/>
      <w:bookmarkEnd w:id="66"/>
      <w:bookmarkEnd w:id="67"/>
    </w:p>
    <w:p w14:paraId="4463B0FA" w14:textId="77777777" w:rsidR="00A30D8F" w:rsidRDefault="00A30D8F" w:rsidP="00A30D8F">
      <w:pPr>
        <w:pStyle w:val="Heading4"/>
      </w:pPr>
      <w:bookmarkStart w:id="68" w:name="_Ref243301615"/>
      <w:bookmarkStart w:id="69" w:name="_Ref271040927"/>
      <w:bookmarkStart w:id="70" w:name="_Ref271040932"/>
      <w:bookmarkStart w:id="71" w:name="_Toc272414653"/>
      <w:bookmarkStart w:id="72" w:name="_Toc290846275"/>
      <w:bookmarkStart w:id="73" w:name="_Toc367010580"/>
      <w:r>
        <w:t>Study WA22762</w:t>
      </w:r>
      <w:r w:rsidR="002469C2">
        <w:t xml:space="preserve"> (</w:t>
      </w:r>
      <w:bookmarkStart w:id="74" w:name="_Ref271037274"/>
      <w:bookmarkStart w:id="75" w:name="_Toc272414652"/>
      <w:bookmarkStart w:id="76" w:name="_Toc290846274"/>
      <w:bookmarkStart w:id="77" w:name="_Toc367010579"/>
      <w:r w:rsidR="002469C2" w:rsidRPr="00A00DB8">
        <w:t>Pivotal efficacy</w:t>
      </w:r>
      <w:bookmarkEnd w:id="74"/>
      <w:bookmarkEnd w:id="75"/>
      <w:bookmarkEnd w:id="76"/>
      <w:bookmarkEnd w:id="77"/>
      <w:r w:rsidR="002469C2">
        <w:t xml:space="preserve"> study)</w:t>
      </w:r>
    </w:p>
    <w:bookmarkEnd w:id="68"/>
    <w:bookmarkEnd w:id="69"/>
    <w:bookmarkEnd w:id="70"/>
    <w:bookmarkEnd w:id="71"/>
    <w:bookmarkEnd w:id="72"/>
    <w:bookmarkEnd w:id="73"/>
    <w:p w14:paraId="4463B0FB" w14:textId="77777777" w:rsidR="009A4F0B" w:rsidRPr="009A4F0B" w:rsidRDefault="009A4F0B" w:rsidP="0067679F">
      <w:r w:rsidRPr="009A4F0B">
        <w:t xml:space="preserve">The following is a summary of clinical efficacy from the </w:t>
      </w:r>
      <w:r>
        <w:t>previous evaluation/overview</w:t>
      </w:r>
      <w:r w:rsidR="00A30D8F">
        <w:t xml:space="preserve"> of </w:t>
      </w:r>
      <w:r w:rsidR="00A30D8F" w:rsidRPr="00B87501">
        <w:t>Study WA22762</w:t>
      </w:r>
      <w:r>
        <w:t>:</w:t>
      </w:r>
    </w:p>
    <w:p w14:paraId="4463B0FC" w14:textId="77777777" w:rsidR="009A4F0B" w:rsidRDefault="009A4F0B" w:rsidP="009A4F0B">
      <w:pPr>
        <w:pStyle w:val="ListBullet"/>
      </w:pPr>
      <w:r w:rsidRPr="009A4F0B">
        <w:t>Study WA22762 was a multicentre, multinational, randomised, double blind, double dummy, parallel group, non-inferiority study comparing SC (162mg weekly) to IV (8mg/kg every 4 weeks) tocilizumab in combination with a non-biologic DMARD in 1,262 subjects wi</w:t>
      </w:r>
      <w:r>
        <w:t>th moderate to severe RA.</w:t>
      </w:r>
    </w:p>
    <w:p w14:paraId="4463B0FD" w14:textId="77777777" w:rsidR="009A4F0B" w:rsidRDefault="009A4F0B" w:rsidP="009A4F0B">
      <w:pPr>
        <w:pStyle w:val="ListBullet"/>
      </w:pPr>
      <w:r w:rsidRPr="009A4F0B">
        <w:t xml:space="preserve">The primary efficacy endpoint was ACR20 at </w:t>
      </w:r>
      <w:r w:rsidR="00A30D8F">
        <w:t>W</w:t>
      </w:r>
      <w:r w:rsidRPr="009A4F0B">
        <w:t xml:space="preserve">eek 24 with non-inferiority of the SC compared to the IV considered established if the difference between them was </w:t>
      </w:r>
      <w:r w:rsidR="00A30D8F">
        <w:t xml:space="preserve">≥ </w:t>
      </w:r>
      <w:r w:rsidRPr="009A4F0B">
        <w:t>12% for the lower limit i</w:t>
      </w:r>
      <w:r>
        <w:t>n the 95% confidence interval.</w:t>
      </w:r>
    </w:p>
    <w:p w14:paraId="4463B0FE" w14:textId="77777777" w:rsidR="009A4F0B" w:rsidRDefault="009A4F0B" w:rsidP="009A4F0B">
      <w:pPr>
        <w:pStyle w:val="ListBullet"/>
      </w:pPr>
      <w:r w:rsidRPr="009A4F0B">
        <w:t>The trial population was appropriate for this indication and the non-inferiority margin was considered clinically acceptable t</w:t>
      </w:r>
      <w:r>
        <w:t>o show a treatment difference.</w:t>
      </w:r>
    </w:p>
    <w:p w14:paraId="4463B0FF" w14:textId="77777777" w:rsidR="009A4F0B" w:rsidRDefault="00A30D8F" w:rsidP="009A4F0B">
      <w:pPr>
        <w:pStyle w:val="ListBullet"/>
      </w:pPr>
      <w:r>
        <w:lastRenderedPageBreak/>
        <w:t xml:space="preserve">Patients were 83% female, aged between 18 and </w:t>
      </w:r>
      <w:r w:rsidR="009A4F0B" w:rsidRPr="009A4F0B">
        <w:t>86 years and had similar baseline demographics, disease characteristics (</w:t>
      </w:r>
      <w:r>
        <w:t xml:space="preserve">mean tender joint count of 27 out of </w:t>
      </w:r>
      <w:r w:rsidR="009A4F0B" w:rsidRPr="009A4F0B">
        <w:t xml:space="preserve">68 joints and </w:t>
      </w:r>
      <w:r>
        <w:t xml:space="preserve">mean </w:t>
      </w:r>
      <w:r w:rsidR="009A4F0B" w:rsidRPr="009A4F0B">
        <w:t>swollen joint count of 15</w:t>
      </w:r>
      <w:r w:rsidR="00E915C4">
        <w:t xml:space="preserve"> </w:t>
      </w:r>
      <w:r>
        <w:t xml:space="preserve">out of </w:t>
      </w:r>
      <w:r w:rsidR="009A4F0B" w:rsidRPr="009A4F0B">
        <w:t xml:space="preserve">66 joints) and concomitant DMARD use (about 80% </w:t>
      </w:r>
      <w:r>
        <w:t xml:space="preserve">of patients </w:t>
      </w:r>
      <w:r w:rsidR="009A4F0B" w:rsidRPr="009A4F0B">
        <w:t>in both</w:t>
      </w:r>
      <w:r w:rsidR="009A4F0B">
        <w:t xml:space="preserve"> groups were on methotrexate).</w:t>
      </w:r>
    </w:p>
    <w:p w14:paraId="4463B100" w14:textId="77777777" w:rsidR="009A4F0B" w:rsidRDefault="009A4F0B" w:rsidP="009A4F0B">
      <w:pPr>
        <w:pStyle w:val="ListBullet"/>
      </w:pPr>
      <w:r w:rsidRPr="009A4F0B">
        <w:t>About 30% of patients in each group started new rheumatoid arthritis treatments during the study but t</w:t>
      </w:r>
      <w:r>
        <w:t>hese were evenly matched.</w:t>
      </w:r>
    </w:p>
    <w:p w14:paraId="4463B101" w14:textId="77777777" w:rsidR="009A4F0B" w:rsidRDefault="009A4F0B" w:rsidP="009A4F0B">
      <w:pPr>
        <w:pStyle w:val="ListBullet"/>
      </w:pPr>
      <w:r w:rsidRPr="009A4F0B">
        <w:t>The results showed non-inferiority was established wit</w:t>
      </w:r>
      <w:r w:rsidR="00A30D8F">
        <w:t xml:space="preserve">h the ACR20 response in the per </w:t>
      </w:r>
      <w:r w:rsidRPr="009A4F0B">
        <w:t xml:space="preserve">protocol population being 69.4% on SC </w:t>
      </w:r>
      <w:r w:rsidR="002E6B16">
        <w:t>versus</w:t>
      </w:r>
      <w:r w:rsidRPr="009A4F0B">
        <w:t xml:space="preserve"> 73.4% on IV (difference of </w:t>
      </w:r>
      <w:r w:rsidR="00AC528E">
        <w:noBreakHyphen/>
        <w:t xml:space="preserve">4.0%, 95% CI </w:t>
      </w:r>
      <w:r w:rsidR="00AC528E">
        <w:noBreakHyphen/>
      </w:r>
      <w:r w:rsidRPr="009A4F0B">
        <w:t>9.2 to +1.2%) with the lower limit of the 95% CI being greater than the n</w:t>
      </w:r>
      <w:r w:rsidR="00AC528E">
        <w:t xml:space="preserve">on-inferiority margin of </w:t>
      </w:r>
      <w:r w:rsidR="00AC528E">
        <w:noBreakHyphen/>
      </w:r>
      <w:r>
        <w:t>12%.</w:t>
      </w:r>
    </w:p>
    <w:p w14:paraId="4463B102" w14:textId="77777777" w:rsidR="009A4F0B" w:rsidRDefault="009A4F0B" w:rsidP="009A4F0B">
      <w:pPr>
        <w:pStyle w:val="ListBullet"/>
      </w:pPr>
      <w:r w:rsidRPr="009A4F0B">
        <w:t>The response over time w</w:t>
      </w:r>
      <w:r w:rsidR="00A30D8F">
        <w:t xml:space="preserve">as similar for the two groups. </w:t>
      </w:r>
      <w:r w:rsidRPr="009A4F0B">
        <w:t xml:space="preserve">Secondary efficacy endpoints showed no significant difference in ACR50/70, DAS remission, DAS28, </w:t>
      </w:r>
      <w:r>
        <w:t xml:space="preserve">HAQ-DI or SF-36 for SC </w:t>
      </w:r>
      <w:r w:rsidR="002E6B16">
        <w:t>versus</w:t>
      </w:r>
      <w:r>
        <w:t xml:space="preserve"> IV.</w:t>
      </w:r>
    </w:p>
    <w:p w14:paraId="4463B103" w14:textId="77777777" w:rsidR="009A4F0B" w:rsidRDefault="009A4F0B" w:rsidP="009A4F0B">
      <w:pPr>
        <w:pStyle w:val="ListBullet"/>
      </w:pPr>
      <w:r w:rsidRPr="009A4F0B">
        <w:t>A non-statistically significant difference by weight group appeared with those ≥100kg having a lower response for ACR20 on SC (52.8%) but a higher response on ACR50 and</w:t>
      </w:r>
      <w:r>
        <w:t xml:space="preserve"> ACR70, compared to IV dosing.</w:t>
      </w:r>
    </w:p>
    <w:p w14:paraId="4463B104" w14:textId="77777777" w:rsidR="009A4F0B" w:rsidRDefault="009A4F0B" w:rsidP="009A4F0B">
      <w:pPr>
        <w:pStyle w:val="ListBullet"/>
      </w:pPr>
      <w:r w:rsidRPr="009A4F0B">
        <w:t xml:space="preserve">Patients &lt;60kg had no difference in ACR20 between SC and IV dosing but a lesser response on ACR50 </w:t>
      </w:r>
      <w:r>
        <w:t xml:space="preserve">and ACR70 for SC </w:t>
      </w:r>
      <w:r w:rsidR="002E6B16">
        <w:t>versus</w:t>
      </w:r>
      <w:r>
        <w:t xml:space="preserve"> IV dosing.</w:t>
      </w:r>
    </w:p>
    <w:p w14:paraId="4463B105" w14:textId="77777777" w:rsidR="009A4F0B" w:rsidRPr="003C0A48" w:rsidRDefault="009A4F0B" w:rsidP="008E510B">
      <w:pPr>
        <w:pStyle w:val="Heading5"/>
      </w:pPr>
      <w:r w:rsidRPr="003C0A48">
        <w:t>Study design, objectives, locations and dates</w:t>
      </w:r>
    </w:p>
    <w:p w14:paraId="4463B106" w14:textId="77777777" w:rsidR="009A4F0B" w:rsidRDefault="009A4F0B" w:rsidP="009A4F0B">
      <w:pPr>
        <w:autoSpaceDE w:val="0"/>
        <w:autoSpaceDN w:val="0"/>
        <w:adjustRightInd w:val="0"/>
      </w:pPr>
      <w:r w:rsidRPr="00021577">
        <w:t xml:space="preserve">In the previous submission, efficacy data were presented up to </w:t>
      </w:r>
      <w:r>
        <w:t>a clinical cut-off of 16 January 2012</w:t>
      </w:r>
      <w:r w:rsidRPr="00021577">
        <w:t>, as beyond this point data were too sparse to make any meaningful assessment. The final report has now been submitted, which presents efficacy data up to Week 97. All Week 97 analyses are exploratory in nature with no formal comp</w:t>
      </w:r>
      <w:r>
        <w:t>arisons between treatment arms.</w:t>
      </w:r>
    </w:p>
    <w:p w14:paraId="4463B107" w14:textId="1F609F5B" w:rsidR="009A4F0B" w:rsidRPr="00DE14DB" w:rsidRDefault="009A4F0B" w:rsidP="009A4F0B">
      <w:pPr>
        <w:autoSpaceDE w:val="0"/>
        <w:autoSpaceDN w:val="0"/>
        <w:adjustRightInd w:val="0"/>
      </w:pPr>
      <w:r w:rsidRPr="00DE14DB">
        <w:t>The study consisted of a 24-week DB period followed b</w:t>
      </w:r>
      <w:r w:rsidR="00A30D8F">
        <w:t xml:space="preserve">y a 72-week OLE period with a 1 </w:t>
      </w:r>
      <w:r w:rsidRPr="00DE14DB">
        <w:t>week</w:t>
      </w:r>
      <w:r>
        <w:t xml:space="preserve"> </w:t>
      </w:r>
      <w:r w:rsidRPr="00DE14DB">
        <w:t>dose interruption (Week 24</w:t>
      </w:r>
      <w:r w:rsidR="008E510B">
        <w:t>-</w:t>
      </w:r>
      <w:r w:rsidRPr="00DE14DB">
        <w:t>25) before the first dosing in the OL period at Week 25</w:t>
      </w:r>
      <w:r>
        <w:t xml:space="preserve"> </w:t>
      </w:r>
      <w:r w:rsidRPr="00DE14DB">
        <w:t>At the baseline visit, patients were random</w:t>
      </w:r>
      <w:r>
        <w:t>is</w:t>
      </w:r>
      <w:r w:rsidRPr="00DE14DB">
        <w:t xml:space="preserve">ed </w:t>
      </w:r>
      <w:r w:rsidR="00A30D8F">
        <w:t xml:space="preserve">to one of two groups for the 24 </w:t>
      </w:r>
      <w:r w:rsidRPr="00DE14DB">
        <w:t>week DB period:</w:t>
      </w:r>
    </w:p>
    <w:p w14:paraId="4463B108" w14:textId="77777777" w:rsidR="009A4F0B" w:rsidRPr="00DE14DB" w:rsidRDefault="009A4F0B" w:rsidP="00B042E4">
      <w:pPr>
        <w:pStyle w:val="ListBullet"/>
      </w:pPr>
      <w:r>
        <w:t xml:space="preserve">Group A: </w:t>
      </w:r>
      <w:r w:rsidRPr="00DE14DB">
        <w:t xml:space="preserve">TCZ 162 mg SC </w:t>
      </w:r>
      <w:r>
        <w:t>weekly</w:t>
      </w:r>
      <w:r w:rsidRPr="00DE14DB">
        <w:t xml:space="preserve"> and placebo IV infusion </w:t>
      </w:r>
      <w:r w:rsidR="00AC528E">
        <w:t>every 4 weeks</w:t>
      </w:r>
      <w:r w:rsidRPr="00DE14DB">
        <w:t xml:space="preserve"> + DMARD</w:t>
      </w:r>
    </w:p>
    <w:p w14:paraId="4463B109" w14:textId="77777777" w:rsidR="009A4F0B" w:rsidRPr="00DE14DB" w:rsidRDefault="009A4F0B" w:rsidP="00B042E4">
      <w:pPr>
        <w:pStyle w:val="ListBullet"/>
      </w:pPr>
      <w:r>
        <w:t xml:space="preserve">Group B: </w:t>
      </w:r>
      <w:r w:rsidRPr="00DE14DB">
        <w:t xml:space="preserve">TCZ 8 mg/kg IV </w:t>
      </w:r>
      <w:r w:rsidR="00AC528E">
        <w:t>every 4 weeks</w:t>
      </w:r>
      <w:r w:rsidRPr="00DE14DB">
        <w:t xml:space="preserve"> and placebo SC </w:t>
      </w:r>
      <w:r>
        <w:t>weekly</w:t>
      </w:r>
      <w:r w:rsidRPr="00DE14DB">
        <w:t xml:space="preserve"> + DMARD</w:t>
      </w:r>
    </w:p>
    <w:p w14:paraId="4463B10A" w14:textId="77777777" w:rsidR="009A4F0B" w:rsidRDefault="009A4F0B" w:rsidP="009A4F0B">
      <w:pPr>
        <w:autoSpaceDE w:val="0"/>
        <w:autoSpaceDN w:val="0"/>
        <w:adjustRightInd w:val="0"/>
      </w:pPr>
      <w:r>
        <w:t xml:space="preserve">Subcutaneous injections of TCZ and placebo were given using a </w:t>
      </w:r>
      <w:r w:rsidRPr="0024648F">
        <w:t>pre-filled syringe (PFS)</w:t>
      </w:r>
      <w:r>
        <w:t>.</w:t>
      </w:r>
    </w:p>
    <w:p w14:paraId="4463B10B" w14:textId="77777777" w:rsidR="009A4F0B" w:rsidRPr="00DE14DB" w:rsidRDefault="009A4F0B" w:rsidP="009A4F0B">
      <w:pPr>
        <w:autoSpaceDE w:val="0"/>
        <w:autoSpaceDN w:val="0"/>
        <w:adjustRightInd w:val="0"/>
      </w:pPr>
      <w:r w:rsidRPr="00131787">
        <w:t>At Week 24, patients from the SC arm were re-randomi</w:t>
      </w:r>
      <w:r>
        <w:t>s</w:t>
      </w:r>
      <w:r w:rsidRPr="00131787">
        <w:t>ed in a ratio of 11:1 to SC and</w:t>
      </w:r>
      <w:r>
        <w:t xml:space="preserve"> </w:t>
      </w:r>
      <w:r w:rsidRPr="00131787">
        <w:t>IV, respectively, whilst patients from the IV arm were re-random</w:t>
      </w:r>
      <w:r>
        <w:t>is</w:t>
      </w:r>
      <w:r w:rsidRPr="00131787">
        <w:t>ed in a ratio of 2:1 to IV</w:t>
      </w:r>
      <w:r>
        <w:t xml:space="preserve"> and SC, respectively:</w:t>
      </w:r>
    </w:p>
    <w:p w14:paraId="4463B10C" w14:textId="77777777" w:rsidR="009A4F0B" w:rsidRPr="00DE14DB" w:rsidRDefault="0067679F" w:rsidP="00B042E4">
      <w:pPr>
        <w:pStyle w:val="ListBullet"/>
      </w:pPr>
      <w:r>
        <w:t xml:space="preserve">Group A1: </w:t>
      </w:r>
      <w:r w:rsidR="009A4F0B" w:rsidRPr="00DE14DB">
        <w:t xml:space="preserve">TCZ 162 mg SC </w:t>
      </w:r>
      <w:r w:rsidR="009A4F0B">
        <w:t>weekly</w:t>
      </w:r>
      <w:r w:rsidR="009A4F0B" w:rsidRPr="00DE14DB">
        <w:t xml:space="preserve"> + DMARD (SC arm)</w:t>
      </w:r>
    </w:p>
    <w:p w14:paraId="4463B10D" w14:textId="77777777" w:rsidR="009A4F0B" w:rsidRPr="00DE14DB" w:rsidRDefault="0067679F" w:rsidP="00B042E4">
      <w:pPr>
        <w:pStyle w:val="ListBullet"/>
      </w:pPr>
      <w:r>
        <w:t xml:space="preserve">Group A2: </w:t>
      </w:r>
      <w:r w:rsidR="00CC5DC3">
        <w:t xml:space="preserve">TCZ 8 mg/kg IV </w:t>
      </w:r>
      <w:r w:rsidR="00AC528E">
        <w:t>every 4 weeks</w:t>
      </w:r>
      <w:r w:rsidR="00CC5DC3">
        <w:t xml:space="preserve"> + DMARD (SC </w:t>
      </w:r>
      <w:r w:rsidR="009A4F0B" w:rsidRPr="00DE14DB">
        <w:t>IV switch arm)</w:t>
      </w:r>
    </w:p>
    <w:p w14:paraId="4463B10E" w14:textId="77777777" w:rsidR="009A4F0B" w:rsidRPr="00DE14DB" w:rsidRDefault="0067679F" w:rsidP="00B042E4">
      <w:pPr>
        <w:pStyle w:val="ListBullet"/>
      </w:pPr>
      <w:r>
        <w:t xml:space="preserve">Group B1: </w:t>
      </w:r>
      <w:r w:rsidR="009A4F0B" w:rsidRPr="00DE14DB">
        <w:t xml:space="preserve">TCZ 8 mg/kg IV </w:t>
      </w:r>
      <w:r w:rsidR="00AC528E">
        <w:t>every 4 weeks</w:t>
      </w:r>
      <w:r w:rsidR="009A4F0B" w:rsidRPr="00DE14DB">
        <w:t xml:space="preserve"> + DMARD (IV arm)</w:t>
      </w:r>
    </w:p>
    <w:p w14:paraId="4463B10F" w14:textId="77777777" w:rsidR="009A4F0B" w:rsidRDefault="0067679F" w:rsidP="00B042E4">
      <w:pPr>
        <w:pStyle w:val="ListBullet"/>
      </w:pPr>
      <w:r>
        <w:t xml:space="preserve">Group B2: </w:t>
      </w:r>
      <w:r w:rsidR="009A4F0B" w:rsidRPr="00DE14DB">
        <w:t xml:space="preserve">TCZ 162 mg SC </w:t>
      </w:r>
      <w:r w:rsidR="009A4F0B">
        <w:t>weekly</w:t>
      </w:r>
      <w:r w:rsidR="00CC5DC3">
        <w:t xml:space="preserve"> + DMARD (IV </w:t>
      </w:r>
      <w:r>
        <w:t>SC switch arm)</w:t>
      </w:r>
    </w:p>
    <w:p w14:paraId="4463B110" w14:textId="77777777" w:rsidR="009A4F0B" w:rsidRDefault="009A4F0B" w:rsidP="009A4F0B">
      <w:pPr>
        <w:autoSpaceDE w:val="0"/>
        <w:autoSpaceDN w:val="0"/>
        <w:adjustRightInd w:val="0"/>
      </w:pPr>
      <w:r w:rsidRPr="00DE14DB">
        <w:t>The first treatment for the OL period was started at Week 25. The maximum duration of OL</w:t>
      </w:r>
      <w:r>
        <w:t xml:space="preserve"> </w:t>
      </w:r>
      <w:r w:rsidRPr="00DE14DB">
        <w:t>treatment was 72 weeks. Efficacy parameters were assessed at Weeks 37, 49, 73, and 97 or at</w:t>
      </w:r>
      <w:r>
        <w:t xml:space="preserve"> </w:t>
      </w:r>
      <w:r w:rsidRPr="00DE14DB">
        <w:t>the early withdrawal visit.</w:t>
      </w:r>
      <w:r w:rsidR="0067679F">
        <w:t xml:space="preserve"> </w:t>
      </w:r>
      <w:r w:rsidRPr="00DE14DB">
        <w:t>All patients continued to receive at least one permitted traditional DMARD at the stable</w:t>
      </w:r>
      <w:r>
        <w:t xml:space="preserve"> </w:t>
      </w:r>
      <w:r w:rsidRPr="00DE14DB">
        <w:t>pre-entry dose throughout the study as prescribed by the treating physician.</w:t>
      </w:r>
    </w:p>
    <w:p w14:paraId="4463B111" w14:textId="77777777" w:rsidR="009A4F0B" w:rsidRPr="004B259C" w:rsidRDefault="009A4F0B" w:rsidP="0067679F">
      <w:pPr>
        <w:pStyle w:val="Heading5"/>
      </w:pPr>
      <w:r w:rsidRPr="004B259C">
        <w:lastRenderedPageBreak/>
        <w:t>Efficacy variables and outcomes</w:t>
      </w:r>
    </w:p>
    <w:p w14:paraId="4463B112" w14:textId="77777777" w:rsidR="009A4F0B" w:rsidRDefault="009A4F0B" w:rsidP="009A4F0B">
      <w:r>
        <w:t xml:space="preserve">The efficacy analyses presented in this CSR were performed to assess the maintenance of the efficacy response seen at the end of the DB period </w:t>
      </w:r>
      <w:r w:rsidRPr="000D16B7">
        <w:t>(primary efficacy endpoint ACR20 at Week 24)</w:t>
      </w:r>
      <w:r>
        <w:t>.</w:t>
      </w:r>
      <w:r w:rsidR="0067679F">
        <w:t xml:space="preserve"> </w:t>
      </w:r>
      <w:r w:rsidRPr="00DE4ECF">
        <w:t>The main time points of interest are Weeks 24, 49, and 97.</w:t>
      </w:r>
    </w:p>
    <w:p w14:paraId="4463B113" w14:textId="77777777" w:rsidR="009A4F0B" w:rsidRPr="004B259C" w:rsidRDefault="009A4F0B" w:rsidP="0067679F">
      <w:pPr>
        <w:pStyle w:val="Heading5"/>
      </w:pPr>
      <w:r w:rsidRPr="004B259C">
        <w:t>Randomisation and blinding methods</w:t>
      </w:r>
    </w:p>
    <w:p w14:paraId="4463B114" w14:textId="77777777" w:rsidR="009A4F0B" w:rsidRDefault="00CC5DC3" w:rsidP="0067679F">
      <w:r>
        <w:t>Randomisation and re-</w:t>
      </w:r>
      <w:r w:rsidR="009A4F0B">
        <w:t>randomisation occurred via an interactive voice r</w:t>
      </w:r>
      <w:r>
        <w:t>esponse system. Re</w:t>
      </w:r>
      <w:r>
        <w:noBreakHyphen/>
        <w:t xml:space="preserve">randomisation for the open </w:t>
      </w:r>
      <w:r w:rsidR="009A4F0B" w:rsidRPr="00E17D8B">
        <w:t xml:space="preserve">label phase </w:t>
      </w:r>
      <w:r w:rsidR="009A4F0B">
        <w:t xml:space="preserve">was via a </w:t>
      </w:r>
      <w:r w:rsidR="009A4F0B" w:rsidRPr="00E17D8B">
        <w:t>permuted block</w:t>
      </w:r>
      <w:r w:rsidR="009A4F0B">
        <w:t xml:space="preserve"> </w:t>
      </w:r>
      <w:r w:rsidR="009A4F0B" w:rsidRPr="00E17D8B">
        <w:t>without stratification</w:t>
      </w:r>
      <w:r w:rsidR="009A4F0B">
        <w:t>. The extension pha</w:t>
      </w:r>
      <w:r w:rsidR="0067679F">
        <w:t>se of the study was open</w:t>
      </w:r>
      <w:r>
        <w:t xml:space="preserve"> </w:t>
      </w:r>
      <w:r w:rsidR="0067679F">
        <w:t>label.</w:t>
      </w:r>
    </w:p>
    <w:p w14:paraId="4463B115" w14:textId="77777777" w:rsidR="009A4F0B" w:rsidRDefault="009A4F0B" w:rsidP="0067679F">
      <w:pPr>
        <w:pStyle w:val="Heading5"/>
      </w:pPr>
      <w:r>
        <w:t>Analysis populations</w:t>
      </w:r>
    </w:p>
    <w:p w14:paraId="4463B116" w14:textId="77777777" w:rsidR="009A4F0B" w:rsidRPr="00BC6322" w:rsidRDefault="009A4F0B" w:rsidP="00CC5DC3">
      <w:r w:rsidRPr="00E34524">
        <w:t>The primary analysis for Stu</w:t>
      </w:r>
      <w:r w:rsidR="00CC5DC3">
        <w:t xml:space="preserve">dy WA22762 was based on the per </w:t>
      </w:r>
      <w:r w:rsidRPr="00E34524">
        <w:t>protocol (PP) pop</w:t>
      </w:r>
      <w:r w:rsidR="00CC5DC3">
        <w:t>ulation</w:t>
      </w:r>
      <w:r w:rsidR="0067679F">
        <w:t xml:space="preserve">. </w:t>
      </w:r>
      <w:r w:rsidRPr="00E34524">
        <w:t>The PP populati</w:t>
      </w:r>
      <w:r w:rsidR="00CC5DC3">
        <w:t xml:space="preserve">on was also used for the longer </w:t>
      </w:r>
      <w:r w:rsidRPr="00E34524">
        <w:t xml:space="preserve">term analyses of efficacy (up to Week 49) in the open label extension for </w:t>
      </w:r>
      <w:r w:rsidRPr="00BC6322">
        <w:t>consistency with the Week 24 analyses and because WA227</w:t>
      </w:r>
      <w:r w:rsidR="0067679F">
        <w:t xml:space="preserve">62 was a non-inferiority study. </w:t>
      </w:r>
      <w:r w:rsidRPr="00BC6322">
        <w:t xml:space="preserve">However in the final 2 year report the re-randomised ITT population (hereafter referred to as ITT) </w:t>
      </w:r>
      <w:r>
        <w:t>wa</w:t>
      </w:r>
      <w:r w:rsidRPr="00BC6322">
        <w:t>s used for analyses of efficacy parameters, safety laboratory parameters and vital signs data.</w:t>
      </w:r>
    </w:p>
    <w:p w14:paraId="4463B118" w14:textId="46C52B63" w:rsidR="00CC5DC3" w:rsidRPr="001204C7" w:rsidRDefault="0067679F" w:rsidP="007E074A">
      <w:pPr>
        <w:ind w:left="720"/>
        <w:rPr>
          <w:i/>
        </w:rPr>
      </w:pPr>
      <w:r w:rsidRPr="001204C7">
        <w:rPr>
          <w:i/>
        </w:rPr>
        <w:t xml:space="preserve">Evaluator’s comment: The sponsor </w:t>
      </w:r>
      <w:r w:rsidR="00CC5DC3" w:rsidRPr="001204C7">
        <w:rPr>
          <w:i/>
        </w:rPr>
        <w:t>stated that:</w:t>
      </w:r>
      <w:r w:rsidRPr="00E915C4">
        <w:rPr>
          <w:i/>
        </w:rPr>
        <w:t>Since there was no formal testing carried out on the data at Week 97, it was felt that the ITT population would be more informative than the PP.</w:t>
      </w:r>
    </w:p>
    <w:p w14:paraId="4463B119" w14:textId="77777777" w:rsidR="00444761" w:rsidRPr="004B259C" w:rsidRDefault="00444761" w:rsidP="00444761">
      <w:pPr>
        <w:pStyle w:val="Heading5"/>
      </w:pPr>
      <w:r w:rsidRPr="00444761">
        <w:t>Participant</w:t>
      </w:r>
      <w:r w:rsidRPr="004B259C">
        <w:t xml:space="preserve"> flow</w:t>
      </w:r>
    </w:p>
    <w:p w14:paraId="4463B11A" w14:textId="77777777" w:rsidR="00444761" w:rsidRDefault="00444761" w:rsidP="00444761">
      <w:r>
        <w:t>Of the 572 patients who completed Week 24 in the SC arm, 524 were re-randomised</w:t>
      </w:r>
      <w:r w:rsidR="00CC5DC3">
        <w:t xml:space="preserve"> to SC TCZ and 24 to IV TCZ (SC IV switch). </w:t>
      </w:r>
      <w:r w:rsidRPr="00131787">
        <w:t>Of the 5</w:t>
      </w:r>
      <w:r>
        <w:t>64</w:t>
      </w:r>
      <w:r w:rsidRPr="00131787">
        <w:t xml:space="preserve"> patients who completed Week 24 in the </w:t>
      </w:r>
      <w:r>
        <w:t>IV</w:t>
      </w:r>
      <w:r w:rsidRPr="00131787">
        <w:t xml:space="preserve"> arm, </w:t>
      </w:r>
      <w:r>
        <w:t>377</w:t>
      </w:r>
      <w:r w:rsidRPr="00131787">
        <w:t xml:space="preserve"> were re-randomised to </w:t>
      </w:r>
      <w:r>
        <w:t>IV</w:t>
      </w:r>
      <w:r w:rsidRPr="00131787">
        <w:t xml:space="preserve"> TCZ and </w:t>
      </w:r>
      <w:r>
        <w:t>186</w:t>
      </w:r>
      <w:r w:rsidRPr="00131787">
        <w:t xml:space="preserve"> to </w:t>
      </w:r>
      <w:r>
        <w:t>SC</w:t>
      </w:r>
      <w:r w:rsidRPr="00131787">
        <w:t xml:space="preserve"> TCZ</w:t>
      </w:r>
      <w:r w:rsidR="00CC5DC3">
        <w:t xml:space="preserve"> (IV </w:t>
      </w:r>
      <w:r>
        <w:t>SC switch)</w:t>
      </w:r>
      <w:r w:rsidRPr="00131787">
        <w:t>.</w:t>
      </w:r>
      <w:r>
        <w:t xml:space="preserve"> Between 14% and 17% withdrew from each of the re-randomised arms for a variety of safety (AE) and non-safety</w:t>
      </w:r>
      <w:r w:rsidR="00CC5DC3">
        <w:t xml:space="preserve"> reasons</w:t>
      </w:r>
      <w:r>
        <w:t xml:space="preserve"> (subject</w:t>
      </w:r>
      <w:r w:rsidR="00CC5DC3">
        <w:t xml:space="preserve"> or</w:t>
      </w:r>
      <w:r>
        <w:t xml:space="preserve"> lega</w:t>
      </w:r>
      <w:r w:rsidR="00CC5DC3">
        <w:t>l guardian decision to withdraw or due to</w:t>
      </w:r>
      <w:r>
        <w:t xml:space="preserve"> in</w:t>
      </w:r>
      <w:r w:rsidR="00CC5DC3">
        <w:t>sufficient therapeutic response)</w:t>
      </w:r>
      <w:r>
        <w:t>.</w:t>
      </w:r>
    </w:p>
    <w:p w14:paraId="4463B11B" w14:textId="77777777" w:rsidR="00444761" w:rsidRDefault="00444761" w:rsidP="00444761">
      <w:pPr>
        <w:pStyle w:val="Heading5"/>
      </w:pPr>
      <w:r>
        <w:t xml:space="preserve">Major protocol </w:t>
      </w:r>
      <w:r w:rsidRPr="00444761">
        <w:t>violations</w:t>
      </w:r>
      <w:r>
        <w:t>/deviations</w:t>
      </w:r>
    </w:p>
    <w:p w14:paraId="4463B11C" w14:textId="1B34FCA2" w:rsidR="00444761" w:rsidRPr="00671171" w:rsidRDefault="00444761" w:rsidP="00444761">
      <w:r w:rsidRPr="00671171">
        <w:t xml:space="preserve">In October 2011, an unscheduled inspection at the Lithuanian </w:t>
      </w:r>
      <w:r w:rsidR="00CC5DC3" w:rsidRPr="00671171">
        <w:t xml:space="preserve">trial centre </w:t>
      </w:r>
      <w:r w:rsidRPr="00671171">
        <w:t xml:space="preserve">discovered critical findings related to GCP, including the late reporting of SAEs and AEs of special interest for one </w:t>
      </w:r>
      <w:r w:rsidR="00CC5DC3" w:rsidRPr="00671171">
        <w:t xml:space="preserve">patient who subsequently died </w:t>
      </w:r>
      <w:r w:rsidRPr="00671171">
        <w:t>and instances of non</w:t>
      </w:r>
      <w:r w:rsidR="00892CC0">
        <w:t>-</w:t>
      </w:r>
      <w:r w:rsidRPr="00671171">
        <w:t>compliance with the protocol requirements (failure to use the 24</w:t>
      </w:r>
      <w:r w:rsidR="00CC5DC3" w:rsidRPr="00671171">
        <w:t xml:space="preserve"> </w:t>
      </w:r>
      <w:r w:rsidRPr="00671171">
        <w:t>hour medical line for support, failure to examine the patient and perform necessary tests per protocol requirements, and failure to include an unscheduled visit). At the time of the report, 12 patients were randomised at the site; 10 patients were ongoing and two had withdrawn (</w:t>
      </w:r>
      <w:r w:rsidR="00892CC0">
        <w:t>one deceased and one due to non-</w:t>
      </w:r>
      <w:r w:rsidR="00CC5DC3" w:rsidRPr="00671171">
        <w:t>safety reasons</w:t>
      </w:r>
      <w:r w:rsidRPr="00671171">
        <w:t>). Appropriate corrective and preventative actions were undertaken</w:t>
      </w:r>
      <w:r w:rsidR="00CC5DC3" w:rsidRPr="00671171">
        <w:t xml:space="preserve">. </w:t>
      </w:r>
      <w:r w:rsidRPr="00671171">
        <w:t>All randomised patients were included in the safety population, the 11 re-randomised patients were included in the ITT population, and 9 of the re-randomised patients were included in the PP population.</w:t>
      </w:r>
    </w:p>
    <w:p w14:paraId="4463B11D" w14:textId="77777777" w:rsidR="00444761" w:rsidRPr="00671171" w:rsidRDefault="00444761" w:rsidP="001204C7">
      <w:pPr>
        <w:ind w:left="720"/>
        <w:rPr>
          <w:i/>
        </w:rPr>
      </w:pPr>
      <w:r w:rsidRPr="00671171">
        <w:rPr>
          <w:i/>
        </w:rPr>
        <w:t>Evaluator’s comment: Based on the relatively small number of patients involved, performance of corrective and preventative action, and inclusion of the patients in the safety population, it is not expected that these GCP failings would have had a major impact on the study results.</w:t>
      </w:r>
    </w:p>
    <w:p w14:paraId="4463B11E" w14:textId="77777777" w:rsidR="00444761" w:rsidRPr="00444761" w:rsidRDefault="00444761" w:rsidP="00444761">
      <w:pPr>
        <w:pStyle w:val="Heading5"/>
      </w:pPr>
      <w:r w:rsidRPr="00444761">
        <w:t>Baseline data</w:t>
      </w:r>
    </w:p>
    <w:p w14:paraId="4463B11F" w14:textId="45A90C5F" w:rsidR="00444761" w:rsidRPr="004B259C" w:rsidRDefault="00444761" w:rsidP="00444761">
      <w:pPr>
        <w:autoSpaceDE w:val="0"/>
        <w:autoSpaceDN w:val="0"/>
        <w:adjustRightInd w:val="0"/>
      </w:pPr>
      <w:r>
        <w:t>The ITT population in the OLE study was similar to that in the DB phase from both a demographic and disease characteristic perspective</w:t>
      </w:r>
      <w:r w:rsidR="00E6103D">
        <w:t xml:space="preserve">. </w:t>
      </w:r>
      <w:r w:rsidRPr="00883F27">
        <w:t>The majority of patients in each treatment arm were</w:t>
      </w:r>
      <w:r>
        <w:t xml:space="preserve"> </w:t>
      </w:r>
      <w:r w:rsidRPr="00883F27">
        <w:t>female (75%</w:t>
      </w:r>
      <w:r w:rsidR="00892CC0">
        <w:t>-</w:t>
      </w:r>
      <w:r w:rsidRPr="00883F27">
        <w:t>84%), white (74%</w:t>
      </w:r>
      <w:r w:rsidR="00892CC0">
        <w:t>-</w:t>
      </w:r>
      <w:r w:rsidRPr="00883F27">
        <w:t xml:space="preserve">83%), </w:t>
      </w:r>
      <w:r>
        <w:t>with a</w:t>
      </w:r>
      <w:r w:rsidRPr="00883F27">
        <w:t xml:space="preserve"> mean age from 52.1</w:t>
      </w:r>
      <w:r w:rsidR="00892CC0">
        <w:t>-</w:t>
      </w:r>
      <w:r w:rsidRPr="00883F27">
        <w:t>54.7 years.</w:t>
      </w:r>
    </w:p>
    <w:p w14:paraId="4463B120" w14:textId="77777777" w:rsidR="00444761" w:rsidRPr="004B259C" w:rsidRDefault="00444761" w:rsidP="00444761">
      <w:pPr>
        <w:pStyle w:val="Heading5"/>
      </w:pPr>
      <w:r w:rsidRPr="004B259C">
        <w:lastRenderedPageBreak/>
        <w:t xml:space="preserve">Results for the primary </w:t>
      </w:r>
      <w:r w:rsidRPr="00444761">
        <w:t>efficacy</w:t>
      </w:r>
      <w:r w:rsidRPr="004B259C">
        <w:t xml:space="preserve"> outcome</w:t>
      </w:r>
    </w:p>
    <w:p w14:paraId="4463B121" w14:textId="77777777" w:rsidR="00444761" w:rsidRDefault="00444761" w:rsidP="00444761">
      <w:r>
        <w:t xml:space="preserve">At Week 24 in the original 2 group analysis, the </w:t>
      </w:r>
      <w:r w:rsidR="00966DA8" w:rsidRPr="00DD6A40">
        <w:t>non</w:t>
      </w:r>
      <w:r w:rsidR="00966DA8">
        <w:t>-</w:t>
      </w:r>
      <w:r w:rsidR="00966DA8" w:rsidRPr="00DD6A40">
        <w:t>inferiority</w:t>
      </w:r>
      <w:r w:rsidRPr="00DD6A40">
        <w:t xml:space="preserve"> of </w:t>
      </w:r>
      <w:r>
        <w:t xml:space="preserve">weekly </w:t>
      </w:r>
      <w:r w:rsidRPr="00DD6A40">
        <w:t xml:space="preserve">SC TCZ compared with IV TCZ </w:t>
      </w:r>
      <w:r>
        <w:t xml:space="preserve">every 4 weeks was demonstrated </w:t>
      </w:r>
      <w:r w:rsidRPr="00DD6A40">
        <w:t xml:space="preserve">(ACR20 responders </w:t>
      </w:r>
      <w:r>
        <w:t>69.4% v</w:t>
      </w:r>
      <w:r w:rsidR="00E6103D">
        <w:t>ersus</w:t>
      </w:r>
      <w:r>
        <w:t xml:space="preserve"> </w:t>
      </w:r>
      <w:r w:rsidRPr="00DD6A40">
        <w:t xml:space="preserve">73.4%, </w:t>
      </w:r>
      <w:r>
        <w:t>and 67.7% v</w:t>
      </w:r>
      <w:r w:rsidR="00E6103D">
        <w:t>ersus</w:t>
      </w:r>
      <w:r>
        <w:t xml:space="preserve"> </w:t>
      </w:r>
      <w:r w:rsidRPr="00DD6A40">
        <w:t xml:space="preserve">70.2% </w:t>
      </w:r>
      <w:r>
        <w:t xml:space="preserve">for the </w:t>
      </w:r>
      <w:r w:rsidRPr="002D6741">
        <w:t xml:space="preserve">PP </w:t>
      </w:r>
      <w:r>
        <w:t xml:space="preserve">and </w:t>
      </w:r>
      <w:r w:rsidRPr="00DD6A40">
        <w:t>ITT</w:t>
      </w:r>
      <w:r w:rsidRPr="002D6741">
        <w:t xml:space="preserve"> population</w:t>
      </w:r>
      <w:r w:rsidR="00CC5DC3">
        <w:t>s</w:t>
      </w:r>
      <w:r>
        <w:t xml:space="preserve"> respectively</w:t>
      </w:r>
      <w:r w:rsidRPr="00DD6A40">
        <w:t>)</w:t>
      </w:r>
      <w:r>
        <w:t xml:space="preserve">. The ACR20 response rate was maintained and comparable in the SC and IV arms at Week 49 (79% </w:t>
      </w:r>
      <w:r w:rsidR="002E6B16">
        <w:t>versus</w:t>
      </w:r>
      <w:r>
        <w:t xml:space="preserve"> 78%) and Week 97 (84% </w:t>
      </w:r>
      <w:r w:rsidR="002E6B16">
        <w:t>versus</w:t>
      </w:r>
      <w:r>
        <w:t xml:space="preserve"> 83%) </w:t>
      </w:r>
      <w:r w:rsidRPr="00B13761">
        <w:t>(</w:t>
      </w:r>
      <w:r w:rsidR="00CC5DC3">
        <w:t>See Figure 1</w:t>
      </w:r>
      <w:r w:rsidRPr="00B13761">
        <w:t xml:space="preserve"> </w:t>
      </w:r>
      <w:r w:rsidR="00CC5DC3">
        <w:t>and Table 3</w:t>
      </w:r>
      <w:r w:rsidRPr="00B13761">
        <w:t xml:space="preserve"> below).</w:t>
      </w:r>
      <w:r>
        <w:t xml:space="preserve"> Maintenance of effect was also observed in patients who switched at Week 25 from IV to SC (84% and 89% at Weeks 49 and 97, respectively) or SC to IV</w:t>
      </w:r>
      <w:r w:rsidRPr="00855906">
        <w:t xml:space="preserve"> (</w:t>
      </w:r>
      <w:r>
        <w:t>71% and 83</w:t>
      </w:r>
      <w:r w:rsidRPr="00855906">
        <w:t>% at Weeks 49 and 97, respectively)</w:t>
      </w:r>
      <w:r>
        <w:t xml:space="preserve"> although the latter group started from a lower baseline and was based on a small number of patients.</w:t>
      </w:r>
    </w:p>
    <w:p w14:paraId="4463B122" w14:textId="77777777" w:rsidR="008557DB" w:rsidRDefault="008557DB" w:rsidP="008557DB">
      <w:pPr>
        <w:pStyle w:val="Tabletitle"/>
      </w:pPr>
      <w:bookmarkStart w:id="78" w:name="_Ref420571125"/>
      <w:bookmarkStart w:id="79" w:name="_Toc430268090"/>
      <w:r>
        <w:t xml:space="preserve">Figure </w:t>
      </w:r>
      <w:bookmarkEnd w:id="78"/>
      <w:r w:rsidR="00903F2D">
        <w:t>1</w:t>
      </w:r>
      <w:r>
        <w:t xml:space="preserve">: </w:t>
      </w:r>
      <w:r w:rsidRPr="00097B15">
        <w:t xml:space="preserve">Plot of the </w:t>
      </w:r>
      <w:r w:rsidR="00E6103D">
        <w:t>p</w:t>
      </w:r>
      <w:r w:rsidRPr="00097B15">
        <w:t xml:space="preserve">ercentage of Patients with ACR20 </w:t>
      </w:r>
      <w:r w:rsidR="00E6103D">
        <w:t>r</w:t>
      </w:r>
      <w:r w:rsidRPr="00097B15">
        <w:t xml:space="preserve">esponse by </w:t>
      </w:r>
      <w:r w:rsidR="00E6103D">
        <w:t>v</w:t>
      </w:r>
      <w:r w:rsidRPr="00097B15">
        <w:t>isit (ITT Population</w:t>
      </w:r>
      <w:r>
        <w:t>, WA22762</w:t>
      </w:r>
      <w:r w:rsidRPr="00097B15">
        <w:t>)</w:t>
      </w:r>
      <w:bookmarkEnd w:id="79"/>
    </w:p>
    <w:p w14:paraId="4463B123" w14:textId="77777777" w:rsidR="008557DB" w:rsidRDefault="008557DB" w:rsidP="00444761">
      <w:r>
        <w:rPr>
          <w:noProof/>
          <w:lang w:eastAsia="en-AU"/>
        </w:rPr>
        <w:drawing>
          <wp:inline distT="0" distB="0" distL="0" distR="0" wp14:anchorId="4463B3CE" wp14:editId="2528DACC">
            <wp:extent cx="2986335" cy="1770036"/>
            <wp:effectExtent l="0" t="0" r="5080" b="1905"/>
            <wp:docPr id="3" name="Picture 3" descr="Plot of the percentage of Patients with ACR20 response by visit (ITT Population, Study WA22762). ACR20 response rate was maintained and comparable in the SC and IV arms at Week 49 (79% vs. 78%) and Week 97 (84% vs. 83%)."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89297" cy="1771791"/>
                    </a:xfrm>
                    <a:prstGeom prst="rect">
                      <a:avLst/>
                    </a:prstGeom>
                    <a:noFill/>
                    <a:ln>
                      <a:noFill/>
                    </a:ln>
                  </pic:spPr>
                </pic:pic>
              </a:graphicData>
            </a:graphic>
          </wp:inline>
        </w:drawing>
      </w:r>
    </w:p>
    <w:p w14:paraId="4463B124" w14:textId="77777777" w:rsidR="0092647E" w:rsidRDefault="0092647E" w:rsidP="00511B9A">
      <w:r>
        <w:t xml:space="preserve">Table 3: </w:t>
      </w:r>
      <w:r w:rsidRPr="008B0477">
        <w:t xml:space="preserve">Overview of </w:t>
      </w:r>
      <w:r w:rsidR="00E6103D">
        <w:t>e</w:t>
      </w:r>
      <w:r w:rsidRPr="008B0477">
        <w:t xml:space="preserve">fficacy </w:t>
      </w:r>
      <w:r w:rsidR="00E6103D">
        <w:t>r</w:t>
      </w:r>
      <w:r w:rsidRPr="008B0477">
        <w:t>esults up to Week 97 (ITT Population</w:t>
      </w:r>
      <w:r>
        <w:t>, WA22762</w:t>
      </w:r>
      <w:r w:rsidRPr="008B0477">
        <w:t>)</w:t>
      </w:r>
      <w:r>
        <w:rPr>
          <w:noProof/>
          <w:lang w:eastAsia="en-AU"/>
        </w:rPr>
        <w:drawing>
          <wp:inline distT="0" distB="0" distL="0" distR="0" wp14:anchorId="4463B3D0" wp14:editId="5DA8E378">
            <wp:extent cx="2762535" cy="3166044"/>
            <wp:effectExtent l="133350" t="114300" r="152400" b="168275"/>
            <wp:docPr id="4" name="Picture 4" descr="Overview of efficacy results up to Week 97 (ITT Population, WA22762)" title="Table 3. Overview of efficacy results up to Week 97 (ITT Population, WA2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lum bright="-20000" contrast="40000"/>
                      <a:extLst>
                        <a:ext uri="{28A0092B-C50C-407E-A947-70E740481C1C}">
                          <a14:useLocalDpi xmlns:a14="http://schemas.microsoft.com/office/drawing/2010/main" val="0"/>
                        </a:ext>
                      </a:extLst>
                    </a:blip>
                    <a:srcRect/>
                    <a:stretch>
                      <a:fillRect/>
                    </a:stretch>
                  </pic:blipFill>
                  <pic:spPr bwMode="auto">
                    <a:xfrm>
                      <a:off x="0" y="0"/>
                      <a:ext cx="2762535" cy="3166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463B125" w14:textId="77777777" w:rsidR="0092647E" w:rsidRPr="004B259C" w:rsidRDefault="0092647E" w:rsidP="0098005E">
      <w:pPr>
        <w:pStyle w:val="Heading5"/>
      </w:pPr>
      <w:r w:rsidRPr="004B259C">
        <w:lastRenderedPageBreak/>
        <w:t>Results for other efficacy outcomes</w:t>
      </w:r>
    </w:p>
    <w:p w14:paraId="4463B126" w14:textId="77777777" w:rsidR="0092647E" w:rsidRDefault="0092647E" w:rsidP="0092647E">
      <w:r>
        <w:t>As seen for the primary efficacy variable, response rates for ACR50</w:t>
      </w:r>
      <w:r w:rsidR="00475873">
        <w:rPr>
          <w:rStyle w:val="FootnoteReference"/>
        </w:rPr>
        <w:footnoteReference w:id="1"/>
      </w:r>
      <w:r>
        <w:t>, ACR70, HAQ-DI</w:t>
      </w:r>
      <w:r w:rsidR="00903F2D">
        <w:rPr>
          <w:rStyle w:val="FootnoteReference"/>
        </w:rPr>
        <w:footnoteReference w:id="2"/>
      </w:r>
      <w:r>
        <w:t>, and DAS28</w:t>
      </w:r>
      <w:r w:rsidR="00CC5DC3">
        <w:noBreakHyphen/>
      </w:r>
      <w:r>
        <w:t>ESR</w:t>
      </w:r>
      <w:r w:rsidR="0084544D">
        <w:rPr>
          <w:rStyle w:val="FootnoteReference"/>
        </w:rPr>
        <w:footnoteReference w:id="3"/>
      </w:r>
      <w:r>
        <w:t xml:space="preserve"> were maintained for the duration of the study, and comparable in each of the treatment arms (</w:t>
      </w:r>
      <w:r w:rsidR="00475873">
        <w:t xml:space="preserve">see </w:t>
      </w:r>
      <w:r>
        <w:t>Table 3 above). Switching from IV to SC TCZ did not affect respon</w:t>
      </w:r>
      <w:r w:rsidR="00CC5DC3">
        <w:t xml:space="preserve">se rates </w:t>
      </w:r>
      <w:r>
        <w:t xml:space="preserve">while the variability in response for patients switching from SC to IV was probably affected by the small patient numbers in this group. </w:t>
      </w:r>
      <w:r w:rsidRPr="00855906">
        <w:t xml:space="preserve">Withdrawal due to lack of therapeutic response occurred for </w:t>
      </w:r>
      <w:r>
        <w:t>9 (1.7</w:t>
      </w:r>
      <w:r w:rsidRPr="00855906">
        <w:t xml:space="preserve">%) </w:t>
      </w:r>
      <w:r>
        <w:t>patients</w:t>
      </w:r>
      <w:r w:rsidRPr="00855906">
        <w:t xml:space="preserve"> in the SC group</w:t>
      </w:r>
      <w:r>
        <w:t>,</w:t>
      </w:r>
      <w:r w:rsidRPr="00855906">
        <w:t xml:space="preserve"> </w:t>
      </w:r>
      <w:r>
        <w:t>1</w:t>
      </w:r>
      <w:r w:rsidRPr="00855906">
        <w:t xml:space="preserve"> (</w:t>
      </w:r>
      <w:r>
        <w:t>3.0%) in the IV group, 3 (1.6%) in the IV</w:t>
      </w:r>
      <w:r w:rsidR="00CC5DC3">
        <w:t xml:space="preserve"> to SC switch</w:t>
      </w:r>
      <w:r>
        <w:t xml:space="preserve"> group, and 2 (4.2%) in the SC</w:t>
      </w:r>
      <w:r w:rsidR="00CC5DC3">
        <w:t xml:space="preserve"> to IV switch</w:t>
      </w:r>
      <w:r>
        <w:t xml:space="preserve"> group.</w:t>
      </w:r>
    </w:p>
    <w:p w14:paraId="4463B127" w14:textId="77777777" w:rsidR="0092647E" w:rsidRPr="00BF11E2" w:rsidRDefault="00CC5DC3" w:rsidP="0092647E">
      <w:pPr>
        <w:pStyle w:val="Heading5"/>
      </w:pPr>
      <w:r>
        <w:t xml:space="preserve">Analyses of </w:t>
      </w:r>
      <w:r w:rsidR="0092647E" w:rsidRPr="00BF11E2">
        <w:t xml:space="preserve">Baseline </w:t>
      </w:r>
      <w:r w:rsidR="00E6103D">
        <w:t>b</w:t>
      </w:r>
      <w:r w:rsidR="0092647E" w:rsidRPr="00BF11E2">
        <w:t xml:space="preserve">ody </w:t>
      </w:r>
      <w:r w:rsidR="00E6103D">
        <w:t>w</w:t>
      </w:r>
      <w:r w:rsidR="0092647E" w:rsidRPr="00BF11E2">
        <w:t>eight</w:t>
      </w:r>
    </w:p>
    <w:p w14:paraId="4463B128" w14:textId="77777777" w:rsidR="0092647E" w:rsidRDefault="0092647E" w:rsidP="0092647E">
      <w:r>
        <w:t xml:space="preserve">Patients weighing </w:t>
      </w:r>
      <w:r w:rsidRPr="00E6103D">
        <w:t>≥</w:t>
      </w:r>
      <w:r w:rsidR="00E6103D">
        <w:t xml:space="preserve"> </w:t>
      </w:r>
      <w:r>
        <w:t>100kg had lower ACR20, ACR50, and ACR70 responses than those weighing &lt;</w:t>
      </w:r>
      <w:r w:rsidR="00E6103D">
        <w:t xml:space="preserve"> </w:t>
      </w:r>
      <w:r>
        <w:t>60kg and 60</w:t>
      </w:r>
      <w:r w:rsidR="00E6103D">
        <w:t xml:space="preserve"> to </w:t>
      </w:r>
      <w:r>
        <w:t>100kg for the SC and IV groups, with the IV group recording the lowest response rates in the ≥</w:t>
      </w:r>
      <w:r w:rsidR="00E6103D">
        <w:t xml:space="preserve"> </w:t>
      </w:r>
      <w:r>
        <w:t>100</w:t>
      </w:r>
      <w:r w:rsidR="00E6103D">
        <w:t xml:space="preserve"> </w:t>
      </w:r>
      <w:r>
        <w:t xml:space="preserve">kg group. Within weight categories, responses were generally comparable across the treatment groups, although there was increased variability in the </w:t>
      </w:r>
      <w:r w:rsidRPr="0003585B">
        <w:t>≥</w:t>
      </w:r>
      <w:r w:rsidR="00E6103D">
        <w:t xml:space="preserve"> </w:t>
      </w:r>
      <w:r w:rsidRPr="0003585B">
        <w:t>100</w:t>
      </w:r>
      <w:r w:rsidR="00E6103D">
        <w:t xml:space="preserve"> </w:t>
      </w:r>
      <w:r w:rsidRPr="0003585B">
        <w:t>kg group</w:t>
      </w:r>
      <w:r>
        <w:t xml:space="preserve"> because of small patient numbers (</w:t>
      </w:r>
      <w:r w:rsidR="00CC5DC3">
        <w:t xml:space="preserve">see </w:t>
      </w:r>
      <w:r>
        <w:t xml:space="preserve">Table 4, below). In the patients who switched administration route the results were also more variable, again probably reflecting the low number of </w:t>
      </w:r>
      <w:r w:rsidR="00B06B62">
        <w:t xml:space="preserve">patients particularly in the SC then </w:t>
      </w:r>
      <w:r>
        <w:t>IV</w:t>
      </w:r>
      <w:r w:rsidR="00B06B62">
        <w:t xml:space="preserve"> switch</w:t>
      </w:r>
      <w:r>
        <w:t xml:space="preserve"> and ≥</w:t>
      </w:r>
      <w:r w:rsidR="00E6103D">
        <w:t xml:space="preserve"> </w:t>
      </w:r>
      <w:r>
        <w:t>100kg groups.</w:t>
      </w:r>
    </w:p>
    <w:p w14:paraId="4463B129" w14:textId="77777777" w:rsidR="00E6103D" w:rsidRDefault="00E6103D" w:rsidP="0098005E">
      <w:pPr>
        <w:pStyle w:val="Tabletitle"/>
      </w:pPr>
      <w:r>
        <w:t xml:space="preserve">Table 4: </w:t>
      </w:r>
      <w:r w:rsidRPr="00B309D7">
        <w:t xml:space="preserve">ACR20, ACR50, and ACR70 response rates at Week </w:t>
      </w:r>
      <w:r>
        <w:t>97</w:t>
      </w:r>
      <w:r w:rsidRPr="00B309D7">
        <w:t xml:space="preserve">, </w:t>
      </w:r>
      <w:r>
        <w:t>by body weight at B</w:t>
      </w:r>
      <w:r w:rsidRPr="00B309D7">
        <w:t>aseline (</w:t>
      </w:r>
      <w:r>
        <w:t>ITT</w:t>
      </w:r>
      <w:r w:rsidRPr="00B309D7">
        <w:t xml:space="preserve"> Population</w:t>
      </w:r>
      <w:r>
        <w:t>, WA22762</w:t>
      </w:r>
      <w:r w:rsidRPr="00B309D7">
        <w:t>)</w:t>
      </w:r>
    </w:p>
    <w:tbl>
      <w:tblPr>
        <w:tblStyle w:val="TableTGAblue"/>
        <w:tblW w:w="0" w:type="auto"/>
        <w:tblLook w:val="0000" w:firstRow="0" w:lastRow="0" w:firstColumn="0" w:lastColumn="0" w:noHBand="0" w:noVBand="0"/>
      </w:tblPr>
      <w:tblGrid>
        <w:gridCol w:w="3060"/>
        <w:gridCol w:w="1546"/>
        <w:gridCol w:w="1546"/>
        <w:gridCol w:w="1546"/>
        <w:gridCol w:w="1544"/>
      </w:tblGrid>
      <w:tr w:rsidR="0092647E" w:rsidRPr="0092647E" w14:paraId="4463B12C" w14:textId="77777777" w:rsidTr="0098005E">
        <w:trPr>
          <w:tblHeader/>
        </w:trPr>
        <w:tc>
          <w:tcPr>
            <w:tcW w:w="3227" w:type="dxa"/>
            <w:vMerge w:val="restart"/>
            <w:shd w:val="clear" w:color="auto" w:fill="0070C0"/>
          </w:tcPr>
          <w:p w14:paraId="4463B12A" w14:textId="77777777" w:rsidR="0092647E" w:rsidRPr="0098005E" w:rsidRDefault="0092647E" w:rsidP="0092647E">
            <w:pPr>
              <w:ind w:left="0"/>
              <w:rPr>
                <w:b/>
                <w:sz w:val="18"/>
              </w:rPr>
            </w:pPr>
            <w:r w:rsidRPr="0098005E">
              <w:rPr>
                <w:b/>
                <w:color w:val="FFFFFF" w:themeColor="background1"/>
                <w:sz w:val="18"/>
              </w:rPr>
              <w:t>ACR Response by Body Weight at Baseline</w:t>
            </w:r>
          </w:p>
        </w:tc>
        <w:tc>
          <w:tcPr>
            <w:tcW w:w="6321" w:type="dxa"/>
            <w:gridSpan w:val="4"/>
            <w:shd w:val="clear" w:color="auto" w:fill="0070C0"/>
          </w:tcPr>
          <w:p w14:paraId="4463B12B" w14:textId="77777777" w:rsidR="0092647E" w:rsidRPr="0098005E" w:rsidRDefault="0092647E" w:rsidP="0092647E">
            <w:pPr>
              <w:tabs>
                <w:tab w:val="left" w:pos="2310"/>
              </w:tabs>
              <w:ind w:left="0"/>
              <w:rPr>
                <w:b/>
                <w:sz w:val="18"/>
              </w:rPr>
            </w:pPr>
            <w:r w:rsidRPr="0098005E">
              <w:rPr>
                <w:b/>
                <w:color w:val="FFFFFF" w:themeColor="background1"/>
                <w:sz w:val="18"/>
              </w:rPr>
              <w:t>Number of Patients (%)</w:t>
            </w:r>
          </w:p>
        </w:tc>
      </w:tr>
      <w:tr w:rsidR="0092647E" w:rsidRPr="0092647E" w14:paraId="4463B136" w14:textId="77777777" w:rsidTr="0098005E">
        <w:trPr>
          <w:tblHeader/>
        </w:trPr>
        <w:tc>
          <w:tcPr>
            <w:tcW w:w="3227" w:type="dxa"/>
            <w:vMerge/>
            <w:shd w:val="clear" w:color="auto" w:fill="0070C0"/>
          </w:tcPr>
          <w:p w14:paraId="4463B12D" w14:textId="77777777" w:rsidR="0092647E" w:rsidRPr="0092647E" w:rsidRDefault="0092647E" w:rsidP="0092647E">
            <w:pPr>
              <w:ind w:left="0"/>
              <w:rPr>
                <w:sz w:val="18"/>
              </w:rPr>
            </w:pPr>
          </w:p>
        </w:tc>
        <w:tc>
          <w:tcPr>
            <w:tcW w:w="1580" w:type="dxa"/>
            <w:shd w:val="clear" w:color="auto" w:fill="0070C0"/>
          </w:tcPr>
          <w:p w14:paraId="4463B12E" w14:textId="77777777" w:rsidR="0092647E" w:rsidRPr="0098005E" w:rsidRDefault="0092647E" w:rsidP="0092647E">
            <w:pPr>
              <w:ind w:left="0"/>
              <w:rPr>
                <w:b/>
                <w:color w:val="FFFFFF" w:themeColor="background1"/>
                <w:sz w:val="18"/>
              </w:rPr>
            </w:pPr>
            <w:r w:rsidRPr="0098005E">
              <w:rPr>
                <w:b/>
                <w:color w:val="FFFFFF" w:themeColor="background1"/>
                <w:sz w:val="18"/>
              </w:rPr>
              <w:t>SC TCZ</w:t>
            </w:r>
          </w:p>
          <w:p w14:paraId="4463B12F" w14:textId="77777777" w:rsidR="0092647E" w:rsidRPr="0098005E" w:rsidRDefault="0092647E" w:rsidP="0092647E">
            <w:pPr>
              <w:ind w:left="0"/>
              <w:rPr>
                <w:b/>
                <w:color w:val="FFFFFF" w:themeColor="background1"/>
                <w:sz w:val="18"/>
              </w:rPr>
            </w:pPr>
            <w:r w:rsidRPr="0098005E">
              <w:rPr>
                <w:b/>
                <w:color w:val="FFFFFF" w:themeColor="background1"/>
                <w:sz w:val="18"/>
              </w:rPr>
              <w:t>(N</w:t>
            </w:r>
            <w:r w:rsidR="00B06B62" w:rsidRPr="0098005E">
              <w:rPr>
                <w:b/>
                <w:color w:val="FFFFFF" w:themeColor="background1"/>
                <w:sz w:val="18"/>
              </w:rPr>
              <w:t> </w:t>
            </w:r>
            <w:r w:rsidRPr="0098005E">
              <w:rPr>
                <w:b/>
                <w:color w:val="FFFFFF" w:themeColor="background1"/>
                <w:sz w:val="18"/>
              </w:rPr>
              <w:t>=</w:t>
            </w:r>
            <w:r w:rsidR="00B06B62" w:rsidRPr="0098005E">
              <w:rPr>
                <w:b/>
                <w:color w:val="FFFFFF" w:themeColor="background1"/>
                <w:sz w:val="18"/>
              </w:rPr>
              <w:t> </w:t>
            </w:r>
            <w:r w:rsidRPr="0098005E">
              <w:rPr>
                <w:b/>
                <w:color w:val="FFFFFF" w:themeColor="background1"/>
                <w:sz w:val="18"/>
              </w:rPr>
              <w:t>521)</w:t>
            </w:r>
          </w:p>
        </w:tc>
        <w:tc>
          <w:tcPr>
            <w:tcW w:w="1580" w:type="dxa"/>
            <w:shd w:val="clear" w:color="auto" w:fill="0070C0"/>
          </w:tcPr>
          <w:p w14:paraId="4463B130" w14:textId="77777777" w:rsidR="0092647E" w:rsidRPr="0098005E" w:rsidRDefault="0092647E" w:rsidP="0092647E">
            <w:pPr>
              <w:ind w:left="0"/>
              <w:rPr>
                <w:b/>
                <w:color w:val="FFFFFF" w:themeColor="background1"/>
                <w:sz w:val="18"/>
              </w:rPr>
            </w:pPr>
            <w:r w:rsidRPr="0098005E">
              <w:rPr>
                <w:b/>
                <w:color w:val="FFFFFF" w:themeColor="background1"/>
                <w:sz w:val="18"/>
              </w:rPr>
              <w:t>IV TCZ</w:t>
            </w:r>
          </w:p>
          <w:p w14:paraId="4463B131" w14:textId="77777777" w:rsidR="0092647E" w:rsidRPr="0098005E" w:rsidRDefault="0092647E" w:rsidP="0092647E">
            <w:pPr>
              <w:ind w:left="0"/>
              <w:rPr>
                <w:b/>
                <w:color w:val="FFFFFF" w:themeColor="background1"/>
                <w:sz w:val="18"/>
              </w:rPr>
            </w:pPr>
            <w:r w:rsidRPr="0098005E">
              <w:rPr>
                <w:b/>
                <w:color w:val="FFFFFF" w:themeColor="background1"/>
                <w:sz w:val="18"/>
              </w:rPr>
              <w:t>(N</w:t>
            </w:r>
            <w:r w:rsidR="00B06B62" w:rsidRPr="0098005E">
              <w:rPr>
                <w:b/>
                <w:color w:val="FFFFFF" w:themeColor="background1"/>
                <w:sz w:val="18"/>
              </w:rPr>
              <w:t> </w:t>
            </w:r>
            <w:r w:rsidRPr="0098005E">
              <w:rPr>
                <w:b/>
                <w:color w:val="FFFFFF" w:themeColor="background1"/>
                <w:sz w:val="18"/>
              </w:rPr>
              <w:t>=</w:t>
            </w:r>
            <w:r w:rsidR="00B06B62" w:rsidRPr="0098005E">
              <w:rPr>
                <w:b/>
                <w:color w:val="FFFFFF" w:themeColor="background1"/>
                <w:sz w:val="18"/>
              </w:rPr>
              <w:t> </w:t>
            </w:r>
            <w:r w:rsidRPr="0098005E">
              <w:rPr>
                <w:b/>
                <w:color w:val="FFFFFF" w:themeColor="background1"/>
                <w:sz w:val="18"/>
              </w:rPr>
              <w:t>372)</w:t>
            </w:r>
          </w:p>
        </w:tc>
        <w:tc>
          <w:tcPr>
            <w:tcW w:w="1580" w:type="dxa"/>
            <w:shd w:val="clear" w:color="auto" w:fill="0070C0"/>
          </w:tcPr>
          <w:p w14:paraId="4463B132" w14:textId="77777777" w:rsidR="0092647E" w:rsidRPr="0098005E" w:rsidRDefault="0092647E" w:rsidP="0092647E">
            <w:pPr>
              <w:ind w:left="0"/>
              <w:rPr>
                <w:b/>
                <w:color w:val="FFFFFF" w:themeColor="background1"/>
                <w:sz w:val="18"/>
              </w:rPr>
            </w:pPr>
            <w:r w:rsidRPr="0098005E">
              <w:rPr>
                <w:b/>
                <w:color w:val="FFFFFF" w:themeColor="background1"/>
                <w:sz w:val="18"/>
              </w:rPr>
              <w:t>IV-SC</w:t>
            </w:r>
            <w:r w:rsidR="00B06B62" w:rsidRPr="0098005E">
              <w:rPr>
                <w:b/>
                <w:color w:val="FFFFFF" w:themeColor="background1"/>
                <w:sz w:val="18"/>
              </w:rPr>
              <w:t xml:space="preserve"> switch</w:t>
            </w:r>
          </w:p>
          <w:p w14:paraId="4463B133" w14:textId="77777777" w:rsidR="0092647E" w:rsidRPr="0098005E" w:rsidRDefault="0092647E" w:rsidP="0092647E">
            <w:pPr>
              <w:ind w:left="0"/>
              <w:rPr>
                <w:b/>
                <w:color w:val="FFFFFF" w:themeColor="background1"/>
                <w:sz w:val="18"/>
              </w:rPr>
            </w:pPr>
            <w:r w:rsidRPr="0098005E">
              <w:rPr>
                <w:b/>
                <w:color w:val="FFFFFF" w:themeColor="background1"/>
                <w:sz w:val="18"/>
              </w:rPr>
              <w:t>(N</w:t>
            </w:r>
            <w:r w:rsidR="00B06B62" w:rsidRPr="0098005E">
              <w:rPr>
                <w:b/>
                <w:color w:val="FFFFFF" w:themeColor="background1"/>
                <w:sz w:val="18"/>
              </w:rPr>
              <w:t> </w:t>
            </w:r>
            <w:r w:rsidRPr="0098005E">
              <w:rPr>
                <w:b/>
                <w:color w:val="FFFFFF" w:themeColor="background1"/>
                <w:sz w:val="18"/>
              </w:rPr>
              <w:t>=</w:t>
            </w:r>
            <w:r w:rsidR="00B06B62" w:rsidRPr="0098005E">
              <w:rPr>
                <w:b/>
                <w:color w:val="FFFFFF" w:themeColor="background1"/>
                <w:sz w:val="18"/>
              </w:rPr>
              <w:t> </w:t>
            </w:r>
            <w:r w:rsidRPr="0098005E">
              <w:rPr>
                <w:b/>
                <w:color w:val="FFFFFF" w:themeColor="background1"/>
                <w:sz w:val="18"/>
              </w:rPr>
              <w:t>186)</w:t>
            </w:r>
          </w:p>
        </w:tc>
        <w:tc>
          <w:tcPr>
            <w:tcW w:w="1581" w:type="dxa"/>
            <w:shd w:val="clear" w:color="auto" w:fill="0070C0"/>
          </w:tcPr>
          <w:p w14:paraId="4463B134" w14:textId="77777777" w:rsidR="0092647E" w:rsidRPr="0098005E" w:rsidRDefault="0092647E" w:rsidP="0092647E">
            <w:pPr>
              <w:ind w:left="0"/>
              <w:rPr>
                <w:b/>
                <w:color w:val="FFFFFF" w:themeColor="background1"/>
                <w:sz w:val="18"/>
              </w:rPr>
            </w:pPr>
            <w:r w:rsidRPr="0098005E">
              <w:rPr>
                <w:b/>
                <w:color w:val="FFFFFF" w:themeColor="background1"/>
                <w:sz w:val="18"/>
              </w:rPr>
              <w:t>SC-IV</w:t>
            </w:r>
            <w:r w:rsidR="00B06B62" w:rsidRPr="0098005E">
              <w:rPr>
                <w:b/>
                <w:color w:val="FFFFFF" w:themeColor="background1"/>
                <w:sz w:val="18"/>
              </w:rPr>
              <w:t xml:space="preserve"> switch</w:t>
            </w:r>
          </w:p>
          <w:p w14:paraId="4463B135" w14:textId="77777777" w:rsidR="0092647E" w:rsidRPr="0098005E" w:rsidRDefault="0092647E" w:rsidP="0092647E">
            <w:pPr>
              <w:ind w:left="0"/>
              <w:rPr>
                <w:b/>
                <w:color w:val="FFFFFF" w:themeColor="background1"/>
                <w:sz w:val="18"/>
              </w:rPr>
            </w:pPr>
            <w:r w:rsidRPr="0098005E">
              <w:rPr>
                <w:b/>
                <w:color w:val="FFFFFF" w:themeColor="background1"/>
                <w:sz w:val="18"/>
              </w:rPr>
              <w:t>(N</w:t>
            </w:r>
            <w:r w:rsidR="00B06B62" w:rsidRPr="0098005E">
              <w:rPr>
                <w:b/>
                <w:color w:val="FFFFFF" w:themeColor="background1"/>
                <w:sz w:val="18"/>
              </w:rPr>
              <w:t> </w:t>
            </w:r>
            <w:r w:rsidRPr="0098005E">
              <w:rPr>
                <w:b/>
                <w:color w:val="FFFFFF" w:themeColor="background1"/>
                <w:sz w:val="18"/>
              </w:rPr>
              <w:t>=</w:t>
            </w:r>
            <w:r w:rsidR="00B06B62" w:rsidRPr="0098005E">
              <w:rPr>
                <w:b/>
                <w:color w:val="FFFFFF" w:themeColor="background1"/>
                <w:sz w:val="18"/>
              </w:rPr>
              <w:t> </w:t>
            </w:r>
            <w:r w:rsidRPr="0098005E">
              <w:rPr>
                <w:b/>
                <w:color w:val="FFFFFF" w:themeColor="background1"/>
                <w:sz w:val="18"/>
              </w:rPr>
              <w:t>48)</w:t>
            </w:r>
          </w:p>
        </w:tc>
      </w:tr>
      <w:tr w:rsidR="0092647E" w:rsidRPr="0092647E" w14:paraId="4463B14B" w14:textId="77777777" w:rsidTr="0092647E">
        <w:tc>
          <w:tcPr>
            <w:tcW w:w="3227" w:type="dxa"/>
          </w:tcPr>
          <w:p w14:paraId="4463B137" w14:textId="77777777" w:rsidR="0092647E" w:rsidRPr="0092647E" w:rsidRDefault="0092647E" w:rsidP="0092647E">
            <w:pPr>
              <w:ind w:left="0"/>
              <w:rPr>
                <w:sz w:val="18"/>
              </w:rPr>
            </w:pPr>
            <w:r w:rsidRPr="0092647E">
              <w:rPr>
                <w:sz w:val="18"/>
              </w:rPr>
              <w:t>ACR20</w:t>
            </w:r>
          </w:p>
          <w:p w14:paraId="4463B138" w14:textId="77777777" w:rsidR="0092647E" w:rsidRPr="0092647E" w:rsidRDefault="0092647E" w:rsidP="0092647E">
            <w:pPr>
              <w:ind w:left="0"/>
              <w:rPr>
                <w:sz w:val="18"/>
              </w:rPr>
            </w:pPr>
            <w:r w:rsidRPr="0092647E">
              <w:rPr>
                <w:sz w:val="18"/>
              </w:rPr>
              <w:t>&lt;</w:t>
            </w:r>
            <w:r w:rsidR="00B06B62">
              <w:rPr>
                <w:sz w:val="18"/>
              </w:rPr>
              <w:t> </w:t>
            </w:r>
            <w:r w:rsidRPr="0092647E">
              <w:rPr>
                <w:sz w:val="18"/>
              </w:rPr>
              <w:t>60</w:t>
            </w:r>
            <w:r w:rsidR="00B06B62">
              <w:rPr>
                <w:sz w:val="18"/>
              </w:rPr>
              <w:t> </w:t>
            </w:r>
            <w:r w:rsidRPr="0092647E">
              <w:rPr>
                <w:sz w:val="18"/>
              </w:rPr>
              <w:t>kg</w:t>
            </w:r>
          </w:p>
          <w:p w14:paraId="4463B139" w14:textId="77777777" w:rsidR="0092647E" w:rsidRPr="0092647E" w:rsidRDefault="0092647E" w:rsidP="0092647E">
            <w:pPr>
              <w:ind w:left="0"/>
              <w:rPr>
                <w:sz w:val="18"/>
              </w:rPr>
            </w:pPr>
            <w:r w:rsidRPr="0092647E">
              <w:rPr>
                <w:sz w:val="18"/>
              </w:rPr>
              <w:t>60-100</w:t>
            </w:r>
            <w:r w:rsidR="00B06B62">
              <w:rPr>
                <w:sz w:val="18"/>
              </w:rPr>
              <w:t> </w:t>
            </w:r>
            <w:r w:rsidRPr="0092647E">
              <w:rPr>
                <w:sz w:val="18"/>
              </w:rPr>
              <w:t>kg</w:t>
            </w:r>
          </w:p>
          <w:p w14:paraId="4463B13A" w14:textId="77777777" w:rsidR="0092647E" w:rsidRPr="0092647E" w:rsidRDefault="0092647E" w:rsidP="0092647E">
            <w:pPr>
              <w:ind w:left="0"/>
              <w:rPr>
                <w:sz w:val="18"/>
              </w:rPr>
            </w:pPr>
            <w:r w:rsidRPr="0092647E">
              <w:rPr>
                <w:sz w:val="18"/>
              </w:rPr>
              <w:t>≥</w:t>
            </w:r>
            <w:r w:rsidR="00B06B62">
              <w:rPr>
                <w:sz w:val="18"/>
              </w:rPr>
              <w:t> </w:t>
            </w:r>
            <w:r w:rsidRPr="0092647E">
              <w:rPr>
                <w:sz w:val="18"/>
              </w:rPr>
              <w:t>100</w:t>
            </w:r>
            <w:r w:rsidR="00B06B62">
              <w:rPr>
                <w:sz w:val="18"/>
              </w:rPr>
              <w:t> </w:t>
            </w:r>
            <w:r w:rsidRPr="0092647E">
              <w:rPr>
                <w:sz w:val="18"/>
              </w:rPr>
              <w:t>kg</w:t>
            </w:r>
          </w:p>
        </w:tc>
        <w:tc>
          <w:tcPr>
            <w:tcW w:w="1580" w:type="dxa"/>
          </w:tcPr>
          <w:p w14:paraId="4463B13B" w14:textId="77777777" w:rsidR="0092647E" w:rsidRPr="0092647E" w:rsidRDefault="0092647E" w:rsidP="0092647E">
            <w:pPr>
              <w:ind w:left="0"/>
              <w:rPr>
                <w:sz w:val="18"/>
              </w:rPr>
            </w:pPr>
          </w:p>
          <w:p w14:paraId="4463B13C" w14:textId="77777777" w:rsidR="0092647E" w:rsidRPr="0092647E" w:rsidRDefault="0092647E" w:rsidP="0092647E">
            <w:pPr>
              <w:ind w:left="0"/>
              <w:rPr>
                <w:sz w:val="18"/>
              </w:rPr>
            </w:pPr>
            <w:r w:rsidRPr="0092647E">
              <w:rPr>
                <w:sz w:val="18"/>
              </w:rPr>
              <w:t>94 (88.7%)</w:t>
            </w:r>
          </w:p>
          <w:p w14:paraId="4463B13D" w14:textId="77777777" w:rsidR="0092647E" w:rsidRPr="0092647E" w:rsidRDefault="0092647E" w:rsidP="0092647E">
            <w:pPr>
              <w:ind w:left="0"/>
              <w:rPr>
                <w:sz w:val="18"/>
              </w:rPr>
            </w:pPr>
            <w:r w:rsidRPr="0092647E">
              <w:rPr>
                <w:sz w:val="18"/>
              </w:rPr>
              <w:t>258 (83.2%)</w:t>
            </w:r>
          </w:p>
          <w:p w14:paraId="4463B13E" w14:textId="77777777" w:rsidR="0092647E" w:rsidRPr="0092647E" w:rsidRDefault="0092647E" w:rsidP="0092647E">
            <w:pPr>
              <w:ind w:left="0"/>
              <w:rPr>
                <w:sz w:val="18"/>
              </w:rPr>
            </w:pPr>
            <w:r w:rsidRPr="0092647E">
              <w:rPr>
                <w:sz w:val="18"/>
              </w:rPr>
              <w:t>25 (71.4%)</w:t>
            </w:r>
          </w:p>
        </w:tc>
        <w:tc>
          <w:tcPr>
            <w:tcW w:w="1580" w:type="dxa"/>
          </w:tcPr>
          <w:p w14:paraId="4463B13F" w14:textId="77777777" w:rsidR="0092647E" w:rsidRPr="0092647E" w:rsidRDefault="0092647E" w:rsidP="0092647E">
            <w:pPr>
              <w:ind w:left="0"/>
              <w:rPr>
                <w:sz w:val="18"/>
              </w:rPr>
            </w:pPr>
          </w:p>
          <w:p w14:paraId="4463B140" w14:textId="77777777" w:rsidR="0092647E" w:rsidRPr="0092647E" w:rsidRDefault="0092647E" w:rsidP="0092647E">
            <w:pPr>
              <w:ind w:left="0"/>
              <w:rPr>
                <w:sz w:val="18"/>
              </w:rPr>
            </w:pPr>
            <w:r w:rsidRPr="0092647E">
              <w:rPr>
                <w:sz w:val="18"/>
              </w:rPr>
              <w:t>68 (91.9%)</w:t>
            </w:r>
          </w:p>
          <w:p w14:paraId="4463B141" w14:textId="77777777" w:rsidR="0092647E" w:rsidRPr="0092647E" w:rsidRDefault="0092647E" w:rsidP="0092647E">
            <w:pPr>
              <w:ind w:left="0"/>
              <w:rPr>
                <w:sz w:val="18"/>
              </w:rPr>
            </w:pPr>
            <w:r w:rsidRPr="0092647E">
              <w:rPr>
                <w:sz w:val="18"/>
              </w:rPr>
              <w:t>177 (84.7%)</w:t>
            </w:r>
          </w:p>
          <w:p w14:paraId="4463B142" w14:textId="77777777" w:rsidR="0092647E" w:rsidRPr="0092647E" w:rsidRDefault="0092647E" w:rsidP="0092647E">
            <w:pPr>
              <w:ind w:left="0"/>
              <w:rPr>
                <w:sz w:val="18"/>
              </w:rPr>
            </w:pPr>
            <w:r w:rsidRPr="0092647E">
              <w:rPr>
                <w:sz w:val="18"/>
              </w:rPr>
              <w:t>19 (55.9%)</w:t>
            </w:r>
          </w:p>
        </w:tc>
        <w:tc>
          <w:tcPr>
            <w:tcW w:w="1580" w:type="dxa"/>
          </w:tcPr>
          <w:p w14:paraId="4463B143" w14:textId="77777777" w:rsidR="0092647E" w:rsidRPr="0092647E" w:rsidRDefault="0092647E" w:rsidP="0092647E">
            <w:pPr>
              <w:ind w:left="0"/>
              <w:rPr>
                <w:sz w:val="18"/>
              </w:rPr>
            </w:pPr>
          </w:p>
          <w:p w14:paraId="4463B144" w14:textId="77777777" w:rsidR="0092647E" w:rsidRPr="0092647E" w:rsidRDefault="0092647E" w:rsidP="0092647E">
            <w:pPr>
              <w:ind w:left="0"/>
              <w:rPr>
                <w:sz w:val="18"/>
              </w:rPr>
            </w:pPr>
            <w:r w:rsidRPr="0092647E">
              <w:rPr>
                <w:sz w:val="18"/>
              </w:rPr>
              <w:t>33 (80.5%)</w:t>
            </w:r>
          </w:p>
          <w:p w14:paraId="4463B145" w14:textId="77777777" w:rsidR="0092647E" w:rsidRPr="0092647E" w:rsidRDefault="0092647E" w:rsidP="0092647E">
            <w:pPr>
              <w:ind w:left="0"/>
              <w:rPr>
                <w:sz w:val="18"/>
              </w:rPr>
            </w:pPr>
            <w:r w:rsidRPr="0092647E">
              <w:rPr>
                <w:sz w:val="18"/>
              </w:rPr>
              <w:t>102 (91.9%)</w:t>
            </w:r>
          </w:p>
          <w:p w14:paraId="4463B146" w14:textId="77777777" w:rsidR="0092647E" w:rsidRPr="0092647E" w:rsidRDefault="0092647E" w:rsidP="0092647E">
            <w:pPr>
              <w:ind w:left="0"/>
              <w:rPr>
                <w:sz w:val="18"/>
              </w:rPr>
            </w:pPr>
            <w:r w:rsidRPr="0092647E">
              <w:rPr>
                <w:sz w:val="18"/>
              </w:rPr>
              <w:t>11 (84.6%)</w:t>
            </w:r>
          </w:p>
        </w:tc>
        <w:tc>
          <w:tcPr>
            <w:tcW w:w="1581" w:type="dxa"/>
          </w:tcPr>
          <w:p w14:paraId="4463B147" w14:textId="77777777" w:rsidR="0092647E" w:rsidRPr="0092647E" w:rsidRDefault="0092647E" w:rsidP="0092647E">
            <w:pPr>
              <w:ind w:left="0"/>
              <w:rPr>
                <w:sz w:val="18"/>
              </w:rPr>
            </w:pPr>
          </w:p>
          <w:p w14:paraId="4463B148" w14:textId="77777777" w:rsidR="0092647E" w:rsidRPr="0092647E" w:rsidRDefault="0092647E" w:rsidP="0092647E">
            <w:pPr>
              <w:ind w:left="0"/>
              <w:rPr>
                <w:sz w:val="18"/>
              </w:rPr>
            </w:pPr>
            <w:r w:rsidRPr="0092647E">
              <w:rPr>
                <w:sz w:val="18"/>
              </w:rPr>
              <w:t>9 (81.8%)</w:t>
            </w:r>
          </w:p>
          <w:p w14:paraId="4463B149" w14:textId="77777777" w:rsidR="0092647E" w:rsidRPr="0092647E" w:rsidRDefault="0092647E" w:rsidP="0092647E">
            <w:pPr>
              <w:ind w:left="0"/>
              <w:rPr>
                <w:sz w:val="18"/>
              </w:rPr>
            </w:pPr>
            <w:r w:rsidRPr="0092647E">
              <w:rPr>
                <w:sz w:val="18"/>
              </w:rPr>
              <w:t>21 (80.8%)</w:t>
            </w:r>
          </w:p>
          <w:p w14:paraId="4463B14A" w14:textId="77777777" w:rsidR="0092647E" w:rsidRPr="0092647E" w:rsidRDefault="0092647E" w:rsidP="0092647E">
            <w:pPr>
              <w:ind w:left="0"/>
              <w:rPr>
                <w:sz w:val="18"/>
              </w:rPr>
            </w:pPr>
            <w:r w:rsidRPr="0092647E">
              <w:rPr>
                <w:sz w:val="18"/>
              </w:rPr>
              <w:t>3 (100.0%)</w:t>
            </w:r>
          </w:p>
        </w:tc>
      </w:tr>
      <w:tr w:rsidR="0092647E" w:rsidRPr="0092647E" w14:paraId="4463B160" w14:textId="77777777" w:rsidTr="0092647E">
        <w:tc>
          <w:tcPr>
            <w:tcW w:w="3227" w:type="dxa"/>
          </w:tcPr>
          <w:p w14:paraId="4463B14C" w14:textId="77777777" w:rsidR="0092647E" w:rsidRPr="0092647E" w:rsidRDefault="0092647E" w:rsidP="0092647E">
            <w:pPr>
              <w:ind w:left="0"/>
              <w:rPr>
                <w:sz w:val="18"/>
              </w:rPr>
            </w:pPr>
            <w:r w:rsidRPr="0092647E">
              <w:rPr>
                <w:sz w:val="18"/>
              </w:rPr>
              <w:t>ACR50</w:t>
            </w:r>
          </w:p>
          <w:p w14:paraId="4463B14D" w14:textId="77777777" w:rsidR="0092647E" w:rsidRPr="0092647E" w:rsidRDefault="0092647E" w:rsidP="0092647E">
            <w:pPr>
              <w:ind w:left="0"/>
              <w:rPr>
                <w:sz w:val="18"/>
              </w:rPr>
            </w:pPr>
            <w:r w:rsidRPr="0092647E">
              <w:rPr>
                <w:sz w:val="18"/>
              </w:rPr>
              <w:t>&lt;</w:t>
            </w:r>
            <w:r w:rsidR="00B06B62">
              <w:rPr>
                <w:sz w:val="18"/>
              </w:rPr>
              <w:t> </w:t>
            </w:r>
            <w:r w:rsidRPr="0092647E">
              <w:rPr>
                <w:sz w:val="18"/>
              </w:rPr>
              <w:t>60</w:t>
            </w:r>
            <w:r w:rsidR="00B06B62">
              <w:rPr>
                <w:sz w:val="18"/>
              </w:rPr>
              <w:t> </w:t>
            </w:r>
            <w:r w:rsidRPr="0092647E">
              <w:rPr>
                <w:sz w:val="18"/>
              </w:rPr>
              <w:t>kg</w:t>
            </w:r>
          </w:p>
          <w:p w14:paraId="4463B14E" w14:textId="77777777" w:rsidR="0092647E" w:rsidRPr="0092647E" w:rsidRDefault="0092647E" w:rsidP="0092647E">
            <w:pPr>
              <w:ind w:left="0"/>
              <w:rPr>
                <w:sz w:val="18"/>
              </w:rPr>
            </w:pPr>
            <w:r w:rsidRPr="0092647E">
              <w:rPr>
                <w:sz w:val="18"/>
              </w:rPr>
              <w:t>60-100</w:t>
            </w:r>
            <w:r w:rsidR="00B06B62">
              <w:rPr>
                <w:sz w:val="18"/>
              </w:rPr>
              <w:t> </w:t>
            </w:r>
            <w:r w:rsidRPr="0092647E">
              <w:rPr>
                <w:sz w:val="18"/>
              </w:rPr>
              <w:t>kg</w:t>
            </w:r>
          </w:p>
          <w:p w14:paraId="4463B14F" w14:textId="77777777" w:rsidR="0092647E" w:rsidRPr="0092647E" w:rsidRDefault="0092647E" w:rsidP="0092647E">
            <w:pPr>
              <w:ind w:left="0"/>
              <w:rPr>
                <w:sz w:val="18"/>
              </w:rPr>
            </w:pPr>
            <w:r w:rsidRPr="0092647E">
              <w:rPr>
                <w:sz w:val="18"/>
              </w:rPr>
              <w:t>≥</w:t>
            </w:r>
            <w:r w:rsidR="00B06B62">
              <w:rPr>
                <w:sz w:val="18"/>
              </w:rPr>
              <w:t> </w:t>
            </w:r>
            <w:r w:rsidRPr="0092647E">
              <w:rPr>
                <w:sz w:val="18"/>
              </w:rPr>
              <w:t>100kg</w:t>
            </w:r>
          </w:p>
        </w:tc>
        <w:tc>
          <w:tcPr>
            <w:tcW w:w="1580" w:type="dxa"/>
          </w:tcPr>
          <w:p w14:paraId="4463B150" w14:textId="77777777" w:rsidR="0092647E" w:rsidRPr="0092647E" w:rsidRDefault="0092647E" w:rsidP="0092647E">
            <w:pPr>
              <w:ind w:left="0"/>
              <w:rPr>
                <w:sz w:val="18"/>
              </w:rPr>
            </w:pPr>
          </w:p>
          <w:p w14:paraId="4463B151" w14:textId="77777777" w:rsidR="0092647E" w:rsidRPr="0092647E" w:rsidRDefault="0092647E" w:rsidP="0092647E">
            <w:pPr>
              <w:ind w:left="0"/>
              <w:rPr>
                <w:sz w:val="18"/>
              </w:rPr>
            </w:pPr>
            <w:r w:rsidRPr="0092647E">
              <w:rPr>
                <w:sz w:val="18"/>
              </w:rPr>
              <w:t>72 (67.9%)</w:t>
            </w:r>
          </w:p>
          <w:p w14:paraId="4463B152" w14:textId="77777777" w:rsidR="0092647E" w:rsidRPr="0092647E" w:rsidRDefault="0092647E" w:rsidP="0092647E">
            <w:pPr>
              <w:ind w:left="0"/>
              <w:rPr>
                <w:sz w:val="18"/>
              </w:rPr>
            </w:pPr>
            <w:r w:rsidRPr="0092647E">
              <w:rPr>
                <w:sz w:val="18"/>
              </w:rPr>
              <w:t>204 (65.8%)</w:t>
            </w:r>
          </w:p>
          <w:p w14:paraId="4463B153" w14:textId="77777777" w:rsidR="0092647E" w:rsidRPr="0092647E" w:rsidRDefault="0092647E" w:rsidP="0092647E">
            <w:pPr>
              <w:ind w:left="0"/>
              <w:rPr>
                <w:sz w:val="18"/>
              </w:rPr>
            </w:pPr>
            <w:r w:rsidRPr="0092647E">
              <w:rPr>
                <w:sz w:val="18"/>
              </w:rPr>
              <w:t>19 (54.3%)</w:t>
            </w:r>
          </w:p>
        </w:tc>
        <w:tc>
          <w:tcPr>
            <w:tcW w:w="1580" w:type="dxa"/>
          </w:tcPr>
          <w:p w14:paraId="4463B154" w14:textId="77777777" w:rsidR="0092647E" w:rsidRPr="0092647E" w:rsidRDefault="0092647E" w:rsidP="0092647E">
            <w:pPr>
              <w:ind w:left="0"/>
              <w:rPr>
                <w:sz w:val="18"/>
              </w:rPr>
            </w:pPr>
          </w:p>
          <w:p w14:paraId="4463B155" w14:textId="77777777" w:rsidR="0092647E" w:rsidRPr="0092647E" w:rsidRDefault="0092647E" w:rsidP="0092647E">
            <w:pPr>
              <w:ind w:left="0"/>
              <w:rPr>
                <w:sz w:val="18"/>
              </w:rPr>
            </w:pPr>
            <w:r w:rsidRPr="0092647E">
              <w:rPr>
                <w:sz w:val="18"/>
              </w:rPr>
              <w:t>52 (70.3%)</w:t>
            </w:r>
          </w:p>
          <w:p w14:paraId="4463B156" w14:textId="77777777" w:rsidR="0092647E" w:rsidRPr="0092647E" w:rsidRDefault="0092647E" w:rsidP="0092647E">
            <w:pPr>
              <w:ind w:left="0"/>
              <w:rPr>
                <w:sz w:val="18"/>
              </w:rPr>
            </w:pPr>
            <w:r w:rsidRPr="0092647E">
              <w:rPr>
                <w:sz w:val="18"/>
              </w:rPr>
              <w:t>134 (64.1%)</w:t>
            </w:r>
          </w:p>
          <w:p w14:paraId="4463B157" w14:textId="77777777" w:rsidR="0092647E" w:rsidRPr="0092647E" w:rsidRDefault="0092647E" w:rsidP="0092647E">
            <w:pPr>
              <w:ind w:left="0"/>
              <w:rPr>
                <w:sz w:val="18"/>
              </w:rPr>
            </w:pPr>
            <w:r w:rsidRPr="0092647E">
              <w:rPr>
                <w:sz w:val="18"/>
              </w:rPr>
              <w:t>12 (35.3%)</w:t>
            </w:r>
          </w:p>
        </w:tc>
        <w:tc>
          <w:tcPr>
            <w:tcW w:w="1580" w:type="dxa"/>
          </w:tcPr>
          <w:p w14:paraId="4463B158" w14:textId="77777777" w:rsidR="0092647E" w:rsidRPr="0092647E" w:rsidRDefault="0092647E" w:rsidP="0092647E">
            <w:pPr>
              <w:ind w:left="0"/>
              <w:rPr>
                <w:sz w:val="18"/>
              </w:rPr>
            </w:pPr>
          </w:p>
          <w:p w14:paraId="4463B159" w14:textId="77777777" w:rsidR="0092647E" w:rsidRPr="0092647E" w:rsidRDefault="0092647E" w:rsidP="0092647E">
            <w:pPr>
              <w:ind w:left="0"/>
              <w:rPr>
                <w:sz w:val="18"/>
              </w:rPr>
            </w:pPr>
            <w:r w:rsidRPr="0092647E">
              <w:rPr>
                <w:sz w:val="18"/>
              </w:rPr>
              <w:t>26 (63.4%)</w:t>
            </w:r>
          </w:p>
          <w:p w14:paraId="4463B15A" w14:textId="77777777" w:rsidR="0092647E" w:rsidRPr="0092647E" w:rsidRDefault="0092647E" w:rsidP="0092647E">
            <w:pPr>
              <w:ind w:left="0"/>
              <w:rPr>
                <w:sz w:val="18"/>
              </w:rPr>
            </w:pPr>
            <w:r w:rsidRPr="0092647E">
              <w:rPr>
                <w:sz w:val="18"/>
              </w:rPr>
              <w:t>79 (71.2%)</w:t>
            </w:r>
          </w:p>
          <w:p w14:paraId="4463B15B" w14:textId="77777777" w:rsidR="0092647E" w:rsidRPr="0092647E" w:rsidRDefault="0092647E" w:rsidP="0092647E">
            <w:pPr>
              <w:ind w:left="0"/>
              <w:rPr>
                <w:sz w:val="18"/>
              </w:rPr>
            </w:pPr>
            <w:r w:rsidRPr="0092647E">
              <w:rPr>
                <w:sz w:val="18"/>
              </w:rPr>
              <w:t>6 (46.2%)</w:t>
            </w:r>
          </w:p>
        </w:tc>
        <w:tc>
          <w:tcPr>
            <w:tcW w:w="1581" w:type="dxa"/>
          </w:tcPr>
          <w:p w14:paraId="4463B15C" w14:textId="77777777" w:rsidR="0092647E" w:rsidRPr="0092647E" w:rsidRDefault="0092647E" w:rsidP="0092647E">
            <w:pPr>
              <w:ind w:left="0"/>
              <w:rPr>
                <w:sz w:val="18"/>
              </w:rPr>
            </w:pPr>
          </w:p>
          <w:p w14:paraId="4463B15D" w14:textId="77777777" w:rsidR="0092647E" w:rsidRPr="0092647E" w:rsidRDefault="0092647E" w:rsidP="0092647E">
            <w:pPr>
              <w:ind w:left="0"/>
              <w:rPr>
                <w:sz w:val="18"/>
              </w:rPr>
            </w:pPr>
            <w:r w:rsidRPr="0092647E">
              <w:rPr>
                <w:sz w:val="18"/>
              </w:rPr>
              <w:t>5 (45.5%)</w:t>
            </w:r>
          </w:p>
          <w:p w14:paraId="4463B15E" w14:textId="77777777" w:rsidR="0092647E" w:rsidRPr="0092647E" w:rsidRDefault="0092647E" w:rsidP="0092647E">
            <w:pPr>
              <w:ind w:left="0"/>
              <w:rPr>
                <w:sz w:val="18"/>
              </w:rPr>
            </w:pPr>
            <w:r w:rsidRPr="0092647E">
              <w:rPr>
                <w:sz w:val="18"/>
              </w:rPr>
              <w:t>16 (61.5%)</w:t>
            </w:r>
          </w:p>
          <w:p w14:paraId="4463B15F" w14:textId="77777777" w:rsidR="0092647E" w:rsidRPr="0092647E" w:rsidRDefault="0092647E" w:rsidP="0092647E">
            <w:pPr>
              <w:ind w:left="0"/>
              <w:rPr>
                <w:sz w:val="18"/>
              </w:rPr>
            </w:pPr>
            <w:r w:rsidRPr="0092647E">
              <w:rPr>
                <w:sz w:val="18"/>
              </w:rPr>
              <w:t>2 (66.7%)</w:t>
            </w:r>
          </w:p>
        </w:tc>
      </w:tr>
      <w:tr w:rsidR="0092647E" w:rsidRPr="0092647E" w14:paraId="4463B175" w14:textId="77777777" w:rsidTr="0092647E">
        <w:tc>
          <w:tcPr>
            <w:tcW w:w="3227" w:type="dxa"/>
          </w:tcPr>
          <w:p w14:paraId="4463B161" w14:textId="77777777" w:rsidR="0092647E" w:rsidRPr="0092647E" w:rsidRDefault="0092647E" w:rsidP="0092647E">
            <w:pPr>
              <w:ind w:left="0"/>
              <w:rPr>
                <w:sz w:val="18"/>
              </w:rPr>
            </w:pPr>
            <w:r w:rsidRPr="0092647E">
              <w:rPr>
                <w:sz w:val="18"/>
              </w:rPr>
              <w:t>ACR70</w:t>
            </w:r>
          </w:p>
          <w:p w14:paraId="4463B162" w14:textId="77777777" w:rsidR="0092647E" w:rsidRPr="0092647E" w:rsidRDefault="0092647E" w:rsidP="0092647E">
            <w:pPr>
              <w:ind w:left="0"/>
              <w:rPr>
                <w:sz w:val="18"/>
              </w:rPr>
            </w:pPr>
            <w:r w:rsidRPr="0092647E">
              <w:rPr>
                <w:sz w:val="18"/>
              </w:rPr>
              <w:t>&lt;</w:t>
            </w:r>
            <w:r w:rsidR="00B06B62">
              <w:rPr>
                <w:sz w:val="18"/>
              </w:rPr>
              <w:t> </w:t>
            </w:r>
            <w:r w:rsidRPr="0092647E">
              <w:rPr>
                <w:sz w:val="18"/>
              </w:rPr>
              <w:t>60</w:t>
            </w:r>
            <w:r w:rsidR="00B06B62">
              <w:rPr>
                <w:sz w:val="18"/>
              </w:rPr>
              <w:t> </w:t>
            </w:r>
            <w:r w:rsidRPr="0092647E">
              <w:rPr>
                <w:sz w:val="18"/>
              </w:rPr>
              <w:t>kg</w:t>
            </w:r>
          </w:p>
          <w:p w14:paraId="4463B163" w14:textId="77777777" w:rsidR="0092647E" w:rsidRPr="0092647E" w:rsidRDefault="0092647E" w:rsidP="0092647E">
            <w:pPr>
              <w:ind w:left="0"/>
              <w:rPr>
                <w:sz w:val="18"/>
              </w:rPr>
            </w:pPr>
            <w:r w:rsidRPr="0092647E">
              <w:rPr>
                <w:sz w:val="18"/>
              </w:rPr>
              <w:t>60-100kg</w:t>
            </w:r>
          </w:p>
          <w:p w14:paraId="4463B164" w14:textId="77777777" w:rsidR="0092647E" w:rsidRPr="0092647E" w:rsidRDefault="0092647E" w:rsidP="0092647E">
            <w:pPr>
              <w:ind w:left="0"/>
              <w:rPr>
                <w:sz w:val="18"/>
              </w:rPr>
            </w:pPr>
            <w:r w:rsidRPr="0092647E">
              <w:rPr>
                <w:sz w:val="18"/>
              </w:rPr>
              <w:t>≥</w:t>
            </w:r>
            <w:r w:rsidR="00B06B62">
              <w:rPr>
                <w:sz w:val="18"/>
              </w:rPr>
              <w:t> </w:t>
            </w:r>
            <w:r w:rsidRPr="0092647E">
              <w:rPr>
                <w:sz w:val="18"/>
              </w:rPr>
              <w:t>100kg</w:t>
            </w:r>
          </w:p>
        </w:tc>
        <w:tc>
          <w:tcPr>
            <w:tcW w:w="1580" w:type="dxa"/>
          </w:tcPr>
          <w:p w14:paraId="4463B165" w14:textId="77777777" w:rsidR="0092647E" w:rsidRPr="0092647E" w:rsidRDefault="0092647E" w:rsidP="0092647E">
            <w:pPr>
              <w:ind w:left="0"/>
              <w:rPr>
                <w:sz w:val="18"/>
              </w:rPr>
            </w:pPr>
          </w:p>
          <w:p w14:paraId="4463B166" w14:textId="77777777" w:rsidR="0092647E" w:rsidRPr="0092647E" w:rsidRDefault="0092647E" w:rsidP="0092647E">
            <w:pPr>
              <w:ind w:left="0"/>
              <w:rPr>
                <w:sz w:val="18"/>
              </w:rPr>
            </w:pPr>
            <w:r w:rsidRPr="0092647E">
              <w:rPr>
                <w:sz w:val="18"/>
              </w:rPr>
              <w:t>52 (49.1%)</w:t>
            </w:r>
          </w:p>
          <w:p w14:paraId="4463B167" w14:textId="77777777" w:rsidR="0092647E" w:rsidRPr="0092647E" w:rsidRDefault="0092647E" w:rsidP="0092647E">
            <w:pPr>
              <w:ind w:left="0"/>
              <w:rPr>
                <w:sz w:val="18"/>
              </w:rPr>
            </w:pPr>
            <w:r w:rsidRPr="0092647E">
              <w:rPr>
                <w:sz w:val="18"/>
              </w:rPr>
              <w:t>138 (44.5%)</w:t>
            </w:r>
          </w:p>
          <w:p w14:paraId="4463B168" w14:textId="77777777" w:rsidR="0092647E" w:rsidRPr="0092647E" w:rsidRDefault="0092647E" w:rsidP="0092647E">
            <w:pPr>
              <w:ind w:left="0"/>
              <w:rPr>
                <w:sz w:val="18"/>
              </w:rPr>
            </w:pPr>
            <w:r w:rsidRPr="0092647E">
              <w:rPr>
                <w:sz w:val="18"/>
              </w:rPr>
              <w:t>12 (34.3%)</w:t>
            </w:r>
          </w:p>
        </w:tc>
        <w:tc>
          <w:tcPr>
            <w:tcW w:w="1580" w:type="dxa"/>
          </w:tcPr>
          <w:p w14:paraId="4463B169" w14:textId="77777777" w:rsidR="0092647E" w:rsidRPr="0092647E" w:rsidRDefault="0092647E" w:rsidP="0092647E">
            <w:pPr>
              <w:ind w:left="0"/>
              <w:rPr>
                <w:sz w:val="18"/>
              </w:rPr>
            </w:pPr>
          </w:p>
          <w:p w14:paraId="4463B16A" w14:textId="77777777" w:rsidR="0092647E" w:rsidRPr="0092647E" w:rsidRDefault="0092647E" w:rsidP="0092647E">
            <w:pPr>
              <w:ind w:left="0"/>
              <w:rPr>
                <w:sz w:val="18"/>
              </w:rPr>
            </w:pPr>
            <w:r w:rsidRPr="0092647E">
              <w:rPr>
                <w:sz w:val="18"/>
              </w:rPr>
              <w:t>43 (58.1%)</w:t>
            </w:r>
          </w:p>
          <w:p w14:paraId="4463B16B" w14:textId="77777777" w:rsidR="0092647E" w:rsidRPr="0092647E" w:rsidRDefault="0092647E" w:rsidP="0092647E">
            <w:pPr>
              <w:ind w:left="0"/>
              <w:rPr>
                <w:sz w:val="18"/>
              </w:rPr>
            </w:pPr>
            <w:r w:rsidRPr="0092647E">
              <w:rPr>
                <w:sz w:val="18"/>
              </w:rPr>
              <w:t>85 (40.7%)</w:t>
            </w:r>
          </w:p>
          <w:p w14:paraId="4463B16C" w14:textId="77777777" w:rsidR="0092647E" w:rsidRPr="0092647E" w:rsidRDefault="0092647E" w:rsidP="0092647E">
            <w:pPr>
              <w:ind w:left="0"/>
              <w:rPr>
                <w:sz w:val="18"/>
              </w:rPr>
            </w:pPr>
            <w:r w:rsidRPr="0092647E">
              <w:rPr>
                <w:sz w:val="18"/>
              </w:rPr>
              <w:t>5 (14.7%)</w:t>
            </w:r>
          </w:p>
        </w:tc>
        <w:tc>
          <w:tcPr>
            <w:tcW w:w="1580" w:type="dxa"/>
          </w:tcPr>
          <w:p w14:paraId="4463B16D" w14:textId="77777777" w:rsidR="0092647E" w:rsidRPr="0092647E" w:rsidRDefault="0092647E" w:rsidP="0092647E">
            <w:pPr>
              <w:ind w:left="0"/>
              <w:rPr>
                <w:sz w:val="18"/>
              </w:rPr>
            </w:pPr>
          </w:p>
          <w:p w14:paraId="4463B16E" w14:textId="77777777" w:rsidR="0092647E" w:rsidRPr="0092647E" w:rsidRDefault="0092647E" w:rsidP="0092647E">
            <w:pPr>
              <w:ind w:left="0"/>
              <w:rPr>
                <w:sz w:val="18"/>
              </w:rPr>
            </w:pPr>
            <w:r w:rsidRPr="0092647E">
              <w:rPr>
                <w:sz w:val="18"/>
              </w:rPr>
              <w:t>21 (51.2%)</w:t>
            </w:r>
          </w:p>
          <w:p w14:paraId="4463B16F" w14:textId="77777777" w:rsidR="0092647E" w:rsidRPr="0092647E" w:rsidRDefault="0092647E" w:rsidP="0092647E">
            <w:pPr>
              <w:ind w:left="0"/>
              <w:rPr>
                <w:sz w:val="18"/>
              </w:rPr>
            </w:pPr>
            <w:r w:rsidRPr="0092647E">
              <w:rPr>
                <w:sz w:val="18"/>
              </w:rPr>
              <w:t>54 (48.6%)</w:t>
            </w:r>
          </w:p>
          <w:p w14:paraId="4463B170" w14:textId="77777777" w:rsidR="0092647E" w:rsidRPr="0092647E" w:rsidRDefault="0092647E" w:rsidP="0092647E">
            <w:pPr>
              <w:ind w:left="0"/>
              <w:rPr>
                <w:sz w:val="18"/>
              </w:rPr>
            </w:pPr>
            <w:r w:rsidRPr="0092647E">
              <w:rPr>
                <w:sz w:val="18"/>
              </w:rPr>
              <w:t>3 (23.1%)</w:t>
            </w:r>
          </w:p>
        </w:tc>
        <w:tc>
          <w:tcPr>
            <w:tcW w:w="1581" w:type="dxa"/>
          </w:tcPr>
          <w:p w14:paraId="4463B171" w14:textId="77777777" w:rsidR="0092647E" w:rsidRPr="0092647E" w:rsidRDefault="0092647E" w:rsidP="0092647E">
            <w:pPr>
              <w:ind w:left="0"/>
              <w:rPr>
                <w:sz w:val="18"/>
              </w:rPr>
            </w:pPr>
          </w:p>
          <w:p w14:paraId="4463B172" w14:textId="77777777" w:rsidR="0092647E" w:rsidRPr="0092647E" w:rsidRDefault="0092647E" w:rsidP="0092647E">
            <w:pPr>
              <w:ind w:left="0"/>
              <w:rPr>
                <w:sz w:val="18"/>
              </w:rPr>
            </w:pPr>
            <w:r w:rsidRPr="0092647E">
              <w:rPr>
                <w:sz w:val="18"/>
              </w:rPr>
              <w:t>3 (27.3%)</w:t>
            </w:r>
          </w:p>
          <w:p w14:paraId="4463B173" w14:textId="77777777" w:rsidR="0092647E" w:rsidRPr="0092647E" w:rsidRDefault="0092647E" w:rsidP="0092647E">
            <w:pPr>
              <w:ind w:left="0"/>
              <w:rPr>
                <w:sz w:val="18"/>
              </w:rPr>
            </w:pPr>
            <w:r w:rsidRPr="0092647E">
              <w:rPr>
                <w:sz w:val="18"/>
              </w:rPr>
              <w:t>11 (42.3%)</w:t>
            </w:r>
          </w:p>
          <w:p w14:paraId="4463B174" w14:textId="77777777" w:rsidR="0092647E" w:rsidRPr="0092647E" w:rsidRDefault="0092647E" w:rsidP="0092647E">
            <w:pPr>
              <w:ind w:left="0"/>
              <w:rPr>
                <w:sz w:val="18"/>
              </w:rPr>
            </w:pPr>
            <w:r w:rsidRPr="0092647E">
              <w:rPr>
                <w:sz w:val="18"/>
              </w:rPr>
              <w:t>1 (33.3%)</w:t>
            </w:r>
          </w:p>
        </w:tc>
      </w:tr>
    </w:tbl>
    <w:p w14:paraId="4463B176" w14:textId="77777777" w:rsidR="00587165" w:rsidRPr="00B13761" w:rsidRDefault="00587165" w:rsidP="00075B69">
      <w:pPr>
        <w:pStyle w:val="Heading4"/>
      </w:pPr>
      <w:r w:rsidRPr="00B13761">
        <w:lastRenderedPageBreak/>
        <w:t xml:space="preserve">Study </w:t>
      </w:r>
      <w:bookmarkStart w:id="80" w:name="_Toc290846276"/>
      <w:bookmarkStart w:id="81" w:name="_Toc367010581"/>
      <w:r w:rsidRPr="00B13761">
        <w:t>NA25220</w:t>
      </w:r>
      <w:bookmarkEnd w:id="80"/>
      <w:bookmarkEnd w:id="81"/>
      <w:r w:rsidR="002469C2">
        <w:t xml:space="preserve"> (Pivotal efficacy study)</w:t>
      </w:r>
    </w:p>
    <w:p w14:paraId="4463B177" w14:textId="77777777" w:rsidR="00CC5DC3" w:rsidRDefault="00B13761" w:rsidP="00B13761">
      <w:r>
        <w:t>The following is a summary of clinical efficacy from the previous</w:t>
      </w:r>
      <w:r w:rsidR="00CC5DC3">
        <w:t xml:space="preserve"> evaluation overview:</w:t>
      </w:r>
    </w:p>
    <w:p w14:paraId="4463B178" w14:textId="77777777" w:rsidR="00C13DA1" w:rsidRDefault="00B13761" w:rsidP="00CC5DC3">
      <w:pPr>
        <w:pStyle w:val="ListBullet"/>
      </w:pPr>
      <w:r>
        <w:t>Results were based on the primary analysis after Week 24 and an interim analysis of the OLE period up to a clinic</w:t>
      </w:r>
      <w:r w:rsidR="00C13DA1">
        <w:t>al cut-off date of 28 May 2012.</w:t>
      </w:r>
    </w:p>
    <w:p w14:paraId="4463B179" w14:textId="77777777" w:rsidR="00B13761" w:rsidRDefault="00B13761" w:rsidP="00CC5DC3">
      <w:pPr>
        <w:pStyle w:val="ListBullet"/>
      </w:pPr>
      <w:r>
        <w:t>The latest report contains the final results of the OLE up to Week 96 and focuses primarily on the period from Week 24 to Week 96 (clinical cut-off date of 27 November 2013).</w:t>
      </w:r>
    </w:p>
    <w:p w14:paraId="4463B17A" w14:textId="77777777" w:rsidR="00B13761" w:rsidRDefault="00B13761" w:rsidP="00B13761">
      <w:pPr>
        <w:pStyle w:val="ListBullet"/>
      </w:pPr>
      <w:r>
        <w:t>Study NA25220 was a multicentre, multinational, randomised, double blind, placebo controlled, parallel group study comparing SC tocilizumab (162mg every 2 weeks) to placebo in combination with a non-biologic DMARD in 656 subjects with moderate to severe rheumatoid arthritis.</w:t>
      </w:r>
    </w:p>
    <w:p w14:paraId="4463B17B" w14:textId="77777777" w:rsidR="00B13761" w:rsidRDefault="00B13761" w:rsidP="00B13761">
      <w:pPr>
        <w:pStyle w:val="ListBullet"/>
      </w:pPr>
      <w:r>
        <w:t>The trial population was similar to Study WA22762.</w:t>
      </w:r>
    </w:p>
    <w:p w14:paraId="4463B17C" w14:textId="77777777" w:rsidR="00B13761" w:rsidRDefault="00B13761" w:rsidP="00B13761">
      <w:pPr>
        <w:pStyle w:val="ListBullet"/>
      </w:pPr>
      <w:r>
        <w:t>Patients were 85% female, age</w:t>
      </w:r>
      <w:r w:rsidR="00C13DA1">
        <w:t>d</w:t>
      </w:r>
      <w:r>
        <w:t xml:space="preserve"> </w:t>
      </w:r>
      <w:r w:rsidR="00C13DA1">
        <w:t xml:space="preserve">between 18 to </w:t>
      </w:r>
      <w:r>
        <w:t>82 years and had similar baseline demographics, disease characteristics (mean tender joint count of 28</w:t>
      </w:r>
      <w:r w:rsidR="00C13DA1">
        <w:t xml:space="preserve"> out of </w:t>
      </w:r>
      <w:r>
        <w:t>68 joints and swollen joint count of 18</w:t>
      </w:r>
      <w:r w:rsidR="00C13DA1">
        <w:t xml:space="preserve"> out of </w:t>
      </w:r>
      <w:r>
        <w:t xml:space="preserve">66 joints) and </w:t>
      </w:r>
      <w:r w:rsidR="00C13DA1">
        <w:t xml:space="preserve">history of </w:t>
      </w:r>
      <w:r>
        <w:t>previous DMARD use.</w:t>
      </w:r>
    </w:p>
    <w:p w14:paraId="4463B17D" w14:textId="62E7EEE5" w:rsidR="00B13761" w:rsidRDefault="00B13761" w:rsidP="00B13761">
      <w:pPr>
        <w:pStyle w:val="ListBullet"/>
      </w:pPr>
      <w:r>
        <w:t xml:space="preserve">The primary efficacy endpoint of ACR20 at week 24 by ITT analysis was superior on tocilizumab at 60.9% </w:t>
      </w:r>
      <w:r w:rsidR="002E6B16">
        <w:t>versus</w:t>
      </w:r>
      <w:r>
        <w:t xml:space="preserve"> 31.5% on placebo (difference of 29.5%, 95% CI</w:t>
      </w:r>
      <w:r w:rsidR="00C13DA1">
        <w:t>: 22%</w:t>
      </w:r>
      <w:r w:rsidR="00075B69">
        <w:t>-</w:t>
      </w:r>
      <w:r w:rsidR="00C13DA1">
        <w:t xml:space="preserve">37%). </w:t>
      </w:r>
      <w:r>
        <w:t>The effect was maintained to week 52.</w:t>
      </w:r>
    </w:p>
    <w:p w14:paraId="4463B17E" w14:textId="77777777" w:rsidR="00B13761" w:rsidRDefault="00B13761" w:rsidP="00B13761">
      <w:pPr>
        <w:pStyle w:val="ListBullet"/>
      </w:pPr>
      <w:r>
        <w:t>Secondary efficacy endpoints (ACR50/70, DAS28, DAS remission, CRP, HAQ-DI and SF-36) were all superior on tocilizumab compared to placebo.</w:t>
      </w:r>
    </w:p>
    <w:p w14:paraId="4463B17F" w14:textId="77777777" w:rsidR="009A4F0B" w:rsidRDefault="00B13761" w:rsidP="00B13761">
      <w:pPr>
        <w:pStyle w:val="ListBullet"/>
      </w:pPr>
      <w:r>
        <w:t>An effect by weight was seen with the ACR20/50/70 responses being all less for those ≥</w:t>
      </w:r>
      <w:r w:rsidR="00C13DA1">
        <w:t> </w:t>
      </w:r>
      <w:r>
        <w:t xml:space="preserve">100kg (ACR20: 38.5% on tocilizumab </w:t>
      </w:r>
      <w:r w:rsidR="002E6B16">
        <w:t>versus</w:t>
      </w:r>
      <w:r>
        <w:t xml:space="preserve"> 27.3% on placebo).</w:t>
      </w:r>
    </w:p>
    <w:p w14:paraId="4463B180" w14:textId="77777777" w:rsidR="00B13761" w:rsidRPr="003C0A48" w:rsidRDefault="00B13761" w:rsidP="00B13761">
      <w:pPr>
        <w:pStyle w:val="Heading5"/>
      </w:pPr>
      <w:r w:rsidRPr="003C0A48">
        <w:t>Study design, objectives, locations and dates</w:t>
      </w:r>
    </w:p>
    <w:p w14:paraId="4463B181" w14:textId="77777777" w:rsidR="00B13761" w:rsidRPr="00E35AB8" w:rsidRDefault="00B13761" w:rsidP="007A3A3C">
      <w:pPr>
        <w:autoSpaceDE w:val="0"/>
        <w:autoSpaceDN w:val="0"/>
        <w:adjustRightInd w:val="0"/>
      </w:pPr>
      <w:r w:rsidRPr="00E35AB8">
        <w:t>The study consisted of a 24-week DB period f</w:t>
      </w:r>
      <w:r w:rsidR="00C13DA1">
        <w:t>ollowed by a 72-week OLE period.</w:t>
      </w:r>
      <w:r w:rsidRPr="00E35AB8">
        <w:t xml:space="preserve"> At the baseline visit, patients were random</w:t>
      </w:r>
      <w:r>
        <w:t>is</w:t>
      </w:r>
      <w:r w:rsidRPr="00E35AB8">
        <w:t xml:space="preserve">ed </w:t>
      </w:r>
      <w:r>
        <w:t xml:space="preserve">in a 2:1 ratio </w:t>
      </w:r>
      <w:r w:rsidRPr="00E35AB8">
        <w:t>to one of two groups for the 24-week DB period</w:t>
      </w:r>
      <w:r>
        <w:t xml:space="preserve"> while continuing to receive stable background DMARDs</w:t>
      </w:r>
      <w:r w:rsidRPr="00E35AB8">
        <w:t>:</w:t>
      </w:r>
    </w:p>
    <w:p w14:paraId="4463B182" w14:textId="77777777" w:rsidR="00B13761" w:rsidRPr="00E35AB8" w:rsidRDefault="00B13761" w:rsidP="00075B69">
      <w:pPr>
        <w:pStyle w:val="ListBullet"/>
      </w:pPr>
      <w:r>
        <w:t xml:space="preserve">Group A: </w:t>
      </w:r>
      <w:r w:rsidRPr="00E35AB8">
        <w:t xml:space="preserve">TCZ 162 mg SC </w:t>
      </w:r>
      <w:r w:rsidR="00AC528E">
        <w:t>every 2 weeks</w:t>
      </w:r>
      <w:r w:rsidRPr="00E35AB8">
        <w:t xml:space="preserve"> </w:t>
      </w:r>
      <w:r>
        <w:t>(PFS</w:t>
      </w:r>
      <w:r w:rsidR="004014DA">
        <w:t>)</w:t>
      </w:r>
    </w:p>
    <w:p w14:paraId="4463B183" w14:textId="77777777" w:rsidR="00B13761" w:rsidRDefault="00B13761" w:rsidP="00075B69">
      <w:pPr>
        <w:pStyle w:val="ListBullet"/>
      </w:pPr>
      <w:r w:rsidRPr="00E35AB8">
        <w:t>Group B:</w:t>
      </w:r>
      <w:r>
        <w:t xml:space="preserve"> </w:t>
      </w:r>
      <w:r w:rsidRPr="00E35AB8">
        <w:t xml:space="preserve">placebo SC </w:t>
      </w:r>
      <w:r w:rsidR="00AC528E">
        <w:t>every 2 weeks</w:t>
      </w:r>
    </w:p>
    <w:p w14:paraId="4463B184" w14:textId="77777777" w:rsidR="00B13761" w:rsidRPr="00E35AB8" w:rsidRDefault="00B13761" w:rsidP="007A3A3C">
      <w:pPr>
        <w:autoSpaceDE w:val="0"/>
        <w:autoSpaceDN w:val="0"/>
        <w:adjustRightInd w:val="0"/>
      </w:pPr>
      <w:r>
        <w:t>F</w:t>
      </w:r>
      <w:r w:rsidRPr="007561B2">
        <w:t xml:space="preserve">rom Week 12 to </w:t>
      </w:r>
      <w:r>
        <w:t>24</w:t>
      </w:r>
      <w:r w:rsidRPr="007561B2">
        <w:t xml:space="preserve">, escape treatment (TCZ 162 mg </w:t>
      </w:r>
      <w:r>
        <w:t>weekly</w:t>
      </w:r>
      <w:r w:rsidRPr="007561B2">
        <w:t>) was allowed for patients</w:t>
      </w:r>
      <w:r>
        <w:t xml:space="preserve"> in either arm </w:t>
      </w:r>
      <w:r w:rsidRPr="007561B2">
        <w:t xml:space="preserve">who had </w:t>
      </w:r>
      <w:r>
        <w:t>&lt;</w:t>
      </w:r>
      <w:r w:rsidR="004014DA">
        <w:t> </w:t>
      </w:r>
      <w:r w:rsidRPr="007561B2">
        <w:t>20% improvement in SJC and TJC count from baseline</w:t>
      </w:r>
      <w:r>
        <w:t>.</w:t>
      </w:r>
      <w:r w:rsidR="009F0A80">
        <w:t xml:space="preserve"> </w:t>
      </w:r>
      <w:r>
        <w:t>This therapy was continued until the end of study (Week 96).</w:t>
      </w:r>
    </w:p>
    <w:p w14:paraId="4463B185" w14:textId="77777777" w:rsidR="00B13761" w:rsidRPr="00E35AB8" w:rsidRDefault="00B13761" w:rsidP="007A3A3C">
      <w:pPr>
        <w:autoSpaceDE w:val="0"/>
        <w:autoSpaceDN w:val="0"/>
        <w:adjustRightInd w:val="0"/>
      </w:pPr>
      <w:r w:rsidRPr="00E35AB8">
        <w:t xml:space="preserve">At Week 24, </w:t>
      </w:r>
      <w:r>
        <w:t xml:space="preserve">all </w:t>
      </w:r>
      <w:r w:rsidRPr="00E35AB8">
        <w:t xml:space="preserve">patients </w:t>
      </w:r>
      <w:r>
        <w:t xml:space="preserve">remaining in the study who had not received escape therapy </w:t>
      </w:r>
      <w:r w:rsidRPr="00E35AB8">
        <w:t xml:space="preserve">were re-randomised in a </w:t>
      </w:r>
      <w:r>
        <w:t xml:space="preserve">1:1 </w:t>
      </w:r>
      <w:r w:rsidRPr="00E35AB8">
        <w:t xml:space="preserve">ratio </w:t>
      </w:r>
      <w:r>
        <w:t>as follows</w:t>
      </w:r>
      <w:r w:rsidRPr="00E35AB8">
        <w:t>:</w:t>
      </w:r>
    </w:p>
    <w:p w14:paraId="4463B186" w14:textId="77777777" w:rsidR="00B13761" w:rsidRPr="00E35AB8" w:rsidRDefault="00B13761" w:rsidP="00075B69">
      <w:pPr>
        <w:pStyle w:val="ListBullet"/>
      </w:pPr>
      <w:r>
        <w:t xml:space="preserve">Group A1: TCZ 162 mg SC </w:t>
      </w:r>
      <w:r w:rsidR="00AC528E">
        <w:t>every 2 weeks</w:t>
      </w:r>
      <w:r>
        <w:t xml:space="preserve"> (AI)</w:t>
      </w:r>
    </w:p>
    <w:p w14:paraId="4463B187" w14:textId="77777777" w:rsidR="00B13761" w:rsidRPr="00E35AB8" w:rsidRDefault="00B13761" w:rsidP="00075B69">
      <w:pPr>
        <w:pStyle w:val="ListBullet"/>
      </w:pPr>
      <w:r>
        <w:t xml:space="preserve">Group A2: </w:t>
      </w:r>
      <w:r w:rsidRPr="00F95F69">
        <w:t xml:space="preserve">TCZ 162 mg SC </w:t>
      </w:r>
      <w:r w:rsidR="00AC528E">
        <w:t>every 2 weeks</w:t>
      </w:r>
      <w:r w:rsidRPr="00F95F69">
        <w:t xml:space="preserve"> (</w:t>
      </w:r>
      <w:r>
        <w:t>PFS</w:t>
      </w:r>
      <w:r w:rsidRPr="00F95F69">
        <w:t>)</w:t>
      </w:r>
    </w:p>
    <w:p w14:paraId="4463B188" w14:textId="77777777" w:rsidR="00B13761" w:rsidRPr="00E35AB8" w:rsidRDefault="00B13761" w:rsidP="00075B69">
      <w:pPr>
        <w:pStyle w:val="ListBullet"/>
      </w:pPr>
      <w:r>
        <w:t xml:space="preserve">Group B1: </w:t>
      </w:r>
      <w:r w:rsidRPr="00F95F69">
        <w:t xml:space="preserve">TCZ 162 mg SC </w:t>
      </w:r>
      <w:r w:rsidR="00AC528E">
        <w:t>every 2 weeks</w:t>
      </w:r>
      <w:r w:rsidRPr="00F95F69">
        <w:t xml:space="preserve"> (AI)</w:t>
      </w:r>
    </w:p>
    <w:p w14:paraId="4463B189" w14:textId="77777777" w:rsidR="00B13761" w:rsidRDefault="00B13761" w:rsidP="00075B69">
      <w:pPr>
        <w:pStyle w:val="ListBullet"/>
      </w:pPr>
      <w:r w:rsidRPr="00E35AB8">
        <w:t>Group B2:</w:t>
      </w:r>
      <w:r w:rsidRPr="00E35AB8">
        <w:tab/>
      </w:r>
      <w:r w:rsidRPr="00F95F69">
        <w:t xml:space="preserve">TCZ 162 mg SC </w:t>
      </w:r>
      <w:r w:rsidR="00AC528E">
        <w:t>every 2 weeks</w:t>
      </w:r>
      <w:r w:rsidRPr="00F95F69">
        <w:t xml:space="preserve"> (</w:t>
      </w:r>
      <w:r>
        <w:t>PFS</w:t>
      </w:r>
      <w:r w:rsidRPr="00F95F69">
        <w:t>)</w:t>
      </w:r>
    </w:p>
    <w:p w14:paraId="4463B18A" w14:textId="77777777" w:rsidR="00B13761" w:rsidRPr="00E76E1D" w:rsidRDefault="00B13761" w:rsidP="007A3A3C">
      <w:pPr>
        <w:autoSpaceDE w:val="0"/>
        <w:autoSpaceDN w:val="0"/>
        <w:adjustRightInd w:val="0"/>
      </w:pPr>
      <w:r w:rsidRPr="00E35AB8">
        <w:t xml:space="preserve">The first treatment for the OL period was started at Week 25. </w:t>
      </w:r>
      <w:r w:rsidRPr="00E76E1D">
        <w:t>After re</w:t>
      </w:r>
      <w:r>
        <w:t>-</w:t>
      </w:r>
      <w:r w:rsidRPr="00E76E1D">
        <w:t>randomi</w:t>
      </w:r>
      <w:r>
        <w:t>sation, patients initiating</w:t>
      </w:r>
      <w:r w:rsidRPr="00E76E1D">
        <w:t xml:space="preserve"> escape treatment </w:t>
      </w:r>
      <w:r>
        <w:t xml:space="preserve">(TCZ 162 mg </w:t>
      </w:r>
      <w:r w:rsidRPr="00E76E1D">
        <w:t>w</w:t>
      </w:r>
      <w:r>
        <w:t>eekly</w:t>
      </w:r>
      <w:r w:rsidRPr="00E76E1D">
        <w:t xml:space="preserve">) </w:t>
      </w:r>
      <w:r>
        <w:t xml:space="preserve">used the same product they were assigned at Week 24 (PFS or AI). After Week 48, escape treatment </w:t>
      </w:r>
      <w:r w:rsidRPr="00E76E1D">
        <w:t xml:space="preserve">was allowed for patients who had </w:t>
      </w:r>
      <w:r>
        <w:t>&lt;</w:t>
      </w:r>
      <w:r w:rsidR="004014DA">
        <w:t> </w:t>
      </w:r>
      <w:r w:rsidRPr="00E76E1D">
        <w:t>70% improvement in SJC and TJC from baseline.</w:t>
      </w:r>
    </w:p>
    <w:p w14:paraId="4463B18B" w14:textId="77777777" w:rsidR="00B13761" w:rsidRPr="004B259C" w:rsidRDefault="00B13761" w:rsidP="007A3A3C">
      <w:pPr>
        <w:autoSpaceDE w:val="0"/>
        <w:autoSpaceDN w:val="0"/>
        <w:adjustRightInd w:val="0"/>
      </w:pPr>
      <w:r w:rsidRPr="00E35AB8">
        <w:t>The maximum duration</w:t>
      </w:r>
      <w:r>
        <w:t xml:space="preserve"> of OL treatment was 72 weeks. </w:t>
      </w:r>
      <w:r w:rsidRPr="00E35AB8">
        <w:t>Efficacy parameters were assessed at Weeks 37, 49, 73, and 97 or</w:t>
      </w:r>
      <w:r>
        <w:t xml:space="preserve"> at the early withdrawal visit.</w:t>
      </w:r>
      <w:r w:rsidRPr="00E35AB8">
        <w:t xml:space="preserve"> All patients continued to receive at </w:t>
      </w:r>
      <w:r w:rsidRPr="00E35AB8">
        <w:lastRenderedPageBreak/>
        <w:t>least one permitted traditional DMARD at the stable pre-entry dose throughout the study as prescribed by the treating physician.</w:t>
      </w:r>
    </w:p>
    <w:p w14:paraId="4463B18C" w14:textId="77777777" w:rsidR="00B13761" w:rsidRPr="00B13761" w:rsidRDefault="00B13761" w:rsidP="00B13761">
      <w:pPr>
        <w:pStyle w:val="Heading5"/>
      </w:pPr>
      <w:r w:rsidRPr="00B13761">
        <w:t>Efficacy variables and outcomes</w:t>
      </w:r>
    </w:p>
    <w:p w14:paraId="4463B18D" w14:textId="77777777" w:rsidR="00B13761" w:rsidRDefault="00B13761" w:rsidP="00B13761">
      <w:r w:rsidRPr="00DE6306">
        <w:t>The efficacy analyses presented in this CSR were performed</w:t>
      </w:r>
      <w:r>
        <w:t xml:space="preserve"> </w:t>
      </w:r>
      <w:r w:rsidRPr="00DE6306">
        <w:t xml:space="preserve">to assess the maintenance of efficacy </w:t>
      </w:r>
      <w:r w:rsidRPr="00C34869">
        <w:t>(</w:t>
      </w:r>
      <w:r>
        <w:t xml:space="preserve">primary efficacy endpoint </w:t>
      </w:r>
      <w:r w:rsidRPr="00C34869">
        <w:t xml:space="preserve">ACR20 </w:t>
      </w:r>
      <w:r>
        <w:t xml:space="preserve">at </w:t>
      </w:r>
      <w:r w:rsidRPr="00C34869">
        <w:t>Week 24) in patients re-random</w:t>
      </w:r>
      <w:r>
        <w:t>is</w:t>
      </w:r>
      <w:r w:rsidRPr="00C34869">
        <w:t>ed to remain in the TCZ PFS arm.</w:t>
      </w:r>
      <w:r>
        <w:t xml:space="preserve"> </w:t>
      </w:r>
      <w:r w:rsidRPr="00DE6306">
        <w:t xml:space="preserve">The OLE </w:t>
      </w:r>
      <w:r>
        <w:t xml:space="preserve">study </w:t>
      </w:r>
      <w:r w:rsidRPr="00DE6306">
        <w:t>also evaluate</w:t>
      </w:r>
      <w:r>
        <w:t>d</w:t>
      </w:r>
      <w:r w:rsidRPr="00DE6306">
        <w:t xml:space="preserve"> the efficacy of</w:t>
      </w:r>
      <w:r>
        <w:t xml:space="preserve"> </w:t>
      </w:r>
      <w:r w:rsidRPr="00DE6306">
        <w:t>TCZ when administered using the AI, efficacy in</w:t>
      </w:r>
      <w:r>
        <w:t xml:space="preserve"> </w:t>
      </w:r>
      <w:r w:rsidRPr="00DE6306">
        <w:t>patients who switched from placebo to TCZ using the PFS or</w:t>
      </w:r>
      <w:r>
        <w:t xml:space="preserve"> </w:t>
      </w:r>
      <w:r w:rsidRPr="00DE6306">
        <w:t>AI, and efficacy in patients in the 24-week</w:t>
      </w:r>
      <w:r>
        <w:t xml:space="preserve"> </w:t>
      </w:r>
      <w:r w:rsidRPr="00DE6306">
        <w:t>study who received escape therapy with weekly SC injections</w:t>
      </w:r>
      <w:r>
        <w:t xml:space="preserve"> </w:t>
      </w:r>
      <w:r w:rsidRPr="00DE6306">
        <w:t>of TCZ administered using the PFS.</w:t>
      </w:r>
    </w:p>
    <w:p w14:paraId="4463B18E" w14:textId="77777777" w:rsidR="00B13761" w:rsidRPr="00B13761" w:rsidRDefault="00B13761" w:rsidP="00B13761">
      <w:pPr>
        <w:pStyle w:val="Heading5"/>
      </w:pPr>
      <w:r w:rsidRPr="00B13761">
        <w:t>Randomisation and blinding methods</w:t>
      </w:r>
    </w:p>
    <w:p w14:paraId="4463B18F" w14:textId="77777777" w:rsidR="00B13761" w:rsidRDefault="00B13761" w:rsidP="00B13761">
      <w:r>
        <w:t>Randomisation</w:t>
      </w:r>
      <w:r w:rsidR="004014DA">
        <w:t xml:space="preserve"> and </w:t>
      </w:r>
      <w:r>
        <w:t>re-randomisation occurred via an interactive voice response system. The extens</w:t>
      </w:r>
      <w:r w:rsidR="004014DA">
        <w:t xml:space="preserve">ion phase of the study was open </w:t>
      </w:r>
      <w:r>
        <w:t>label.</w:t>
      </w:r>
    </w:p>
    <w:p w14:paraId="4463B190" w14:textId="77777777" w:rsidR="00B13761" w:rsidRPr="00B13761" w:rsidRDefault="00B13761" w:rsidP="00B13761">
      <w:pPr>
        <w:pStyle w:val="Heading5"/>
      </w:pPr>
      <w:r w:rsidRPr="00B13761">
        <w:t>Analysis populations</w:t>
      </w:r>
    </w:p>
    <w:p w14:paraId="4463B191" w14:textId="77777777" w:rsidR="00B13761" w:rsidRDefault="00B13761" w:rsidP="00B13761">
      <w:pPr>
        <w:autoSpaceDE w:val="0"/>
        <w:autoSpaceDN w:val="0"/>
        <w:adjustRightInd w:val="0"/>
        <w:jc w:val="both"/>
      </w:pPr>
      <w:r>
        <w:t>Efficacy analyses in the OLE study were performed separately for the ITT population and the escape patients. The ITT population analysed in the OLE study excludes all patients who withdrew or received escape therapy prior to Week 24. Patients who received escape therapy after re-randomisation were included in the ITT population up until the time of escape.</w:t>
      </w:r>
    </w:p>
    <w:p w14:paraId="4463B192" w14:textId="77777777" w:rsidR="00B13761" w:rsidRPr="00D205A3" w:rsidDel="0081373E" w:rsidRDefault="00B13761" w:rsidP="00D205A3">
      <w:pPr>
        <w:ind w:left="227"/>
        <w:rPr>
          <w:i/>
        </w:rPr>
      </w:pPr>
      <w:r w:rsidRPr="00D205A3">
        <w:rPr>
          <w:i/>
        </w:rPr>
        <w:t>Evaluator’s comment: As acknowledged by the sponsor, during the OLE phase of the study there is potential for bias in reporting for all subjective endpoints (TJC, SJC, visual analogue scale (VAS), and Heath Assessment Questionnaire (HAQ)).</w:t>
      </w:r>
    </w:p>
    <w:p w14:paraId="4463B193" w14:textId="77777777" w:rsidR="00B13761" w:rsidRPr="00B13761" w:rsidDel="0081373E" w:rsidRDefault="00B13761" w:rsidP="00B13761">
      <w:pPr>
        <w:pStyle w:val="Heading5"/>
      </w:pPr>
      <w:r w:rsidRPr="00B13761" w:rsidDel="0081373E">
        <w:t>Sample size</w:t>
      </w:r>
    </w:p>
    <w:p w14:paraId="4463B194" w14:textId="77777777" w:rsidR="00B13761" w:rsidRPr="004B259C" w:rsidRDefault="00B13761" w:rsidP="00B13761">
      <w:r>
        <w:t>Not relevant for the OLE. For the DB phase of the study, t</w:t>
      </w:r>
      <w:r w:rsidRPr="00FF2B7D">
        <w:t>he expected ACR20 response was</w:t>
      </w:r>
      <w:r>
        <w:t xml:space="preserve"> </w:t>
      </w:r>
      <w:r w:rsidRPr="00FF2B7D">
        <w:t xml:space="preserve">23% and 46% in patients treated with placebo </w:t>
      </w:r>
      <w:r>
        <w:t>and</w:t>
      </w:r>
      <w:r w:rsidRPr="00FF2B7D">
        <w:t xml:space="preserve"> </w:t>
      </w:r>
      <w:r>
        <w:t>SC TCZ, respectively</w:t>
      </w:r>
      <w:r w:rsidRPr="00FF2B7D">
        <w:t>. The sample size of</w:t>
      </w:r>
      <w:r>
        <w:t xml:space="preserve"> </w:t>
      </w:r>
      <w:r w:rsidRPr="00FF2B7D">
        <w:t>400 patients in the TCZ arm and 200 patients in the placebo arm was estimated to</w:t>
      </w:r>
      <w:r>
        <w:t xml:space="preserve"> </w:t>
      </w:r>
      <w:r w:rsidRPr="00FF2B7D">
        <w:t>provide greater than 90% power to detect this difference with a significance level of 5%.</w:t>
      </w:r>
    </w:p>
    <w:p w14:paraId="4463B195" w14:textId="77777777" w:rsidR="00B13761" w:rsidRPr="00B13761" w:rsidRDefault="00B13761" w:rsidP="00B13761">
      <w:pPr>
        <w:pStyle w:val="Heading5"/>
      </w:pPr>
      <w:r w:rsidRPr="00B13761">
        <w:t>Statistical methods</w:t>
      </w:r>
    </w:p>
    <w:p w14:paraId="4463B196" w14:textId="77777777" w:rsidR="00B13761" w:rsidRDefault="00B13761" w:rsidP="00B13761">
      <w:r w:rsidRPr="00A9512E">
        <w:t>No hypothesis testing was performed during the OLE period.</w:t>
      </w:r>
      <w:r>
        <w:t xml:space="preserve"> </w:t>
      </w:r>
      <w:r w:rsidRPr="00A9512E">
        <w:t>All analyses are exploratory; no formal analyses were performed to compare between treatment arms.</w:t>
      </w:r>
    </w:p>
    <w:p w14:paraId="4463B197" w14:textId="77777777" w:rsidR="00B13761" w:rsidRPr="00B13761" w:rsidRDefault="00B13761" w:rsidP="00B13761">
      <w:pPr>
        <w:pStyle w:val="Heading5"/>
      </w:pPr>
      <w:r w:rsidRPr="00B13761">
        <w:t>Participant flow</w:t>
      </w:r>
    </w:p>
    <w:p w14:paraId="4463B198" w14:textId="77777777" w:rsidR="00B13761" w:rsidRDefault="00B13761" w:rsidP="00B13761">
      <w:r w:rsidRPr="00C86999">
        <w:t xml:space="preserve">Of the </w:t>
      </w:r>
      <w:r>
        <w:t xml:space="preserve">410 </w:t>
      </w:r>
      <w:r w:rsidRPr="00C86999">
        <w:t xml:space="preserve">patients </w:t>
      </w:r>
      <w:r>
        <w:t xml:space="preserve">(93.6%) </w:t>
      </w:r>
      <w:r w:rsidRPr="00C86999">
        <w:t xml:space="preserve">who completed Week 24 in the </w:t>
      </w:r>
      <w:r>
        <w:t>TCZ</w:t>
      </w:r>
      <w:r w:rsidRPr="00C86999">
        <w:t xml:space="preserve"> arm</w:t>
      </w:r>
      <w:r>
        <w:t xml:space="preserve"> (including 70 who received escape therapy)</w:t>
      </w:r>
      <w:r w:rsidRPr="00C86999">
        <w:t xml:space="preserve">, </w:t>
      </w:r>
      <w:r>
        <w:t>338</w:t>
      </w:r>
      <w:r w:rsidRPr="00C86999">
        <w:t xml:space="preserve"> were re-randomised to </w:t>
      </w:r>
      <w:r>
        <w:t xml:space="preserve">OL treatment (170 to TCZ PFS, 168 to TCZ AI). </w:t>
      </w:r>
      <w:r w:rsidRPr="00C86999">
        <w:t xml:space="preserve">Of the </w:t>
      </w:r>
      <w:r>
        <w:t>209</w:t>
      </w:r>
      <w:r w:rsidRPr="00C86999">
        <w:t xml:space="preserve"> patients </w:t>
      </w:r>
      <w:r>
        <w:t xml:space="preserve">(95.9%) </w:t>
      </w:r>
      <w:r w:rsidRPr="00C86999">
        <w:t xml:space="preserve">who completed Week 24 in the </w:t>
      </w:r>
      <w:r>
        <w:t>placebo</w:t>
      </w:r>
      <w:r w:rsidRPr="00C86999">
        <w:t xml:space="preserve"> arm</w:t>
      </w:r>
      <w:r>
        <w:t xml:space="preserve"> </w:t>
      </w:r>
      <w:r w:rsidRPr="0067611A">
        <w:t xml:space="preserve">(including </w:t>
      </w:r>
      <w:r>
        <w:t>88</w:t>
      </w:r>
      <w:r w:rsidRPr="0067611A">
        <w:t xml:space="preserve"> who received escape therapy)</w:t>
      </w:r>
      <w:r w:rsidRPr="00C86999">
        <w:t xml:space="preserve"> </w:t>
      </w:r>
      <w:r>
        <w:t>119</w:t>
      </w:r>
      <w:r w:rsidRPr="00C86999">
        <w:t xml:space="preserve"> were re-randomised to </w:t>
      </w:r>
      <w:r w:rsidRPr="00922E1D">
        <w:t>OL treatment</w:t>
      </w:r>
      <w:r>
        <w:t xml:space="preserve"> (60</w:t>
      </w:r>
      <w:r w:rsidRPr="00922E1D">
        <w:t xml:space="preserve"> </w:t>
      </w:r>
      <w:r>
        <w:t xml:space="preserve">to </w:t>
      </w:r>
      <w:r w:rsidRPr="00922E1D">
        <w:t xml:space="preserve">TCZ PFS, </w:t>
      </w:r>
      <w:r>
        <w:t>59</w:t>
      </w:r>
      <w:r w:rsidRPr="00922E1D">
        <w:t xml:space="preserve"> </w:t>
      </w:r>
      <w:r>
        <w:t xml:space="preserve">to </w:t>
      </w:r>
      <w:r w:rsidRPr="00922E1D">
        <w:t>TCZ AI)</w:t>
      </w:r>
      <w:r w:rsidRPr="00C86999">
        <w:t>.</w:t>
      </w:r>
      <w:r>
        <w:t xml:space="preserve"> More patients from the initial TCZ arm withdrew during the OLE phase (10.6% on TCZ PFS, 14.9% on TCZ AI) than those initially on placebo </w:t>
      </w:r>
      <w:r w:rsidRPr="0067611A">
        <w:t>(</w:t>
      </w:r>
      <w:r>
        <w:t>15.0</w:t>
      </w:r>
      <w:r w:rsidRPr="0067611A">
        <w:t xml:space="preserve">% on TCZ PFS, </w:t>
      </w:r>
      <w:r>
        <w:t>3.4</w:t>
      </w:r>
      <w:r w:rsidRPr="0067611A">
        <w:t>% on TCZ AI)</w:t>
      </w:r>
      <w:r>
        <w:t>.</w:t>
      </w:r>
    </w:p>
    <w:p w14:paraId="4463B199" w14:textId="77777777" w:rsidR="00B13761" w:rsidRPr="00B13761" w:rsidRDefault="00B13761" w:rsidP="00B13761">
      <w:pPr>
        <w:pStyle w:val="Heading5"/>
      </w:pPr>
      <w:r w:rsidRPr="00B13761">
        <w:t>Major protocol violations/deviations</w:t>
      </w:r>
    </w:p>
    <w:p w14:paraId="4463B19A" w14:textId="77777777" w:rsidR="00B13761" w:rsidRPr="004B259C" w:rsidRDefault="00B13761" w:rsidP="00B13761">
      <w:pPr>
        <w:autoSpaceDE w:val="0"/>
        <w:autoSpaceDN w:val="0"/>
        <w:adjustRightInd w:val="0"/>
      </w:pPr>
      <w:r w:rsidRPr="004C4012">
        <w:t xml:space="preserve">During the OLE, 2 patients in the TCZ PFS arm and 1 escape patient in the </w:t>
      </w:r>
      <w:r>
        <w:t xml:space="preserve">initial </w:t>
      </w:r>
      <w:r w:rsidRPr="004C4012">
        <w:t>placebo arm were withdrawn from the study due to a protocol violation. The most</w:t>
      </w:r>
      <w:r>
        <w:t xml:space="preserve"> </w:t>
      </w:r>
      <w:r w:rsidRPr="004C4012">
        <w:t>common violations reported during the OLE involved concomitant medication dosing</w:t>
      </w:r>
      <w:r>
        <w:t xml:space="preserve"> </w:t>
      </w:r>
      <w:r w:rsidRPr="004C4012">
        <w:t>deviations.</w:t>
      </w:r>
    </w:p>
    <w:p w14:paraId="4463B19B" w14:textId="77777777" w:rsidR="00B13761" w:rsidRPr="00B13761" w:rsidRDefault="00B13761" w:rsidP="00B13761">
      <w:pPr>
        <w:pStyle w:val="Heading5"/>
      </w:pPr>
      <w:r w:rsidRPr="00B13761">
        <w:t>Baseline data</w:t>
      </w:r>
    </w:p>
    <w:p w14:paraId="4463B19C" w14:textId="05644DE7" w:rsidR="00B13761" w:rsidRPr="004B259C" w:rsidRDefault="00B13761" w:rsidP="00B13761">
      <w:pPr>
        <w:autoSpaceDE w:val="0"/>
        <w:autoSpaceDN w:val="0"/>
        <w:adjustRightInd w:val="0"/>
      </w:pPr>
      <w:r>
        <w:t xml:space="preserve">The ITT population in the OLE study was similar to that in the DB phase. The majority of patients were female (&gt; 82%), with a mean age of </w:t>
      </w:r>
      <w:r w:rsidR="004014DA">
        <w:t xml:space="preserve">around </w:t>
      </w:r>
      <w:r>
        <w:t>52 years (range 18</w:t>
      </w:r>
      <w:r w:rsidR="002C25F1">
        <w:t>-</w:t>
      </w:r>
      <w:r>
        <w:t>82 years)</w:t>
      </w:r>
      <w:r w:rsidRPr="00D335B7">
        <w:t xml:space="preserve"> and had similar baseline demographics, </w:t>
      </w:r>
      <w:r>
        <w:t>RA</w:t>
      </w:r>
      <w:r w:rsidRPr="00D335B7">
        <w:t xml:space="preserve"> </w:t>
      </w:r>
      <w:r>
        <w:t>duration</w:t>
      </w:r>
      <w:r w:rsidRPr="00D335B7">
        <w:t xml:space="preserve"> (mean </w:t>
      </w:r>
      <w:r>
        <w:t>10</w:t>
      </w:r>
      <w:r w:rsidR="002C25F1">
        <w:t>-</w:t>
      </w:r>
      <w:r>
        <w:t>11 years</w:t>
      </w:r>
      <w:r w:rsidRPr="00D335B7">
        <w:t>) and previ</w:t>
      </w:r>
      <w:r>
        <w:t>ous DMARD use. Characteristics were generally well balanced across the 4 re-randomised treatment arms. Escape patients had similar baseline demographics to the overall safety population (</w:t>
      </w:r>
      <w:r w:rsidRPr="00925B81">
        <w:t xml:space="preserve">all patients </w:t>
      </w:r>
      <w:r w:rsidRPr="00925B81">
        <w:lastRenderedPageBreak/>
        <w:t>who received at least one dose of study drug</w:t>
      </w:r>
      <w:r>
        <w:t xml:space="preserve"> </w:t>
      </w:r>
      <w:r w:rsidRPr="00925B81">
        <w:t>a</w:t>
      </w:r>
      <w:r w:rsidR="004014DA">
        <w:t xml:space="preserve">nd had at least one post </w:t>
      </w:r>
      <w:r w:rsidRPr="00925B81">
        <w:t>dose safety assessment</w:t>
      </w:r>
      <w:r>
        <w:t xml:space="preserve"> in the DB phase).</w:t>
      </w:r>
    </w:p>
    <w:p w14:paraId="4463B19D" w14:textId="77777777" w:rsidR="00B13761" w:rsidRPr="00B13761" w:rsidRDefault="00B13761" w:rsidP="00B13761">
      <w:pPr>
        <w:pStyle w:val="Heading5"/>
      </w:pPr>
      <w:r w:rsidRPr="00B13761">
        <w:t>Results for the primary efficacy outcome</w:t>
      </w:r>
    </w:p>
    <w:p w14:paraId="4463B19E" w14:textId="77777777" w:rsidR="00B13761" w:rsidRDefault="00B13761" w:rsidP="00B13761">
      <w:r w:rsidRPr="004C4012">
        <w:t xml:space="preserve">At Week 24 in the original 2 group analysis, the </w:t>
      </w:r>
      <w:r>
        <w:t>superiority</w:t>
      </w:r>
      <w:r w:rsidRPr="004C4012">
        <w:t xml:space="preserve"> of SC TCZ </w:t>
      </w:r>
      <w:r>
        <w:t xml:space="preserve">PFS every 2 weeks </w:t>
      </w:r>
      <w:r w:rsidRPr="004C4012">
        <w:t xml:space="preserve">compared with </w:t>
      </w:r>
      <w:r>
        <w:t>placebo</w:t>
      </w:r>
      <w:r w:rsidRPr="004C4012">
        <w:t xml:space="preserve"> was demonstrated (ACR20 responders </w:t>
      </w:r>
      <w:r>
        <w:t>60.9</w:t>
      </w:r>
      <w:r w:rsidRPr="004C4012">
        <w:t xml:space="preserve">% </w:t>
      </w:r>
      <w:r w:rsidR="002E6B16">
        <w:t>versus</w:t>
      </w:r>
      <w:r w:rsidRPr="004C4012">
        <w:t xml:space="preserve"> </w:t>
      </w:r>
      <w:r>
        <w:t xml:space="preserve">31.5%, respectively). </w:t>
      </w:r>
      <w:r w:rsidRPr="004C4012">
        <w:t xml:space="preserve">The ACR20 response rate was maintained </w:t>
      </w:r>
      <w:r>
        <w:t xml:space="preserve">in patients remaining on TCZ PFS </w:t>
      </w:r>
      <w:r w:rsidRPr="004C4012">
        <w:t>at Week 4</w:t>
      </w:r>
      <w:r>
        <w:t>8</w:t>
      </w:r>
      <w:r w:rsidRPr="004C4012">
        <w:t xml:space="preserve"> (</w:t>
      </w:r>
      <w:r>
        <w:t>88</w:t>
      </w:r>
      <w:r w:rsidRPr="004C4012">
        <w:t>%)</w:t>
      </w:r>
      <w:r>
        <w:t xml:space="preserve">, Week 72 (85.4%), </w:t>
      </w:r>
      <w:r w:rsidRPr="004C4012">
        <w:t>and Week 9</w:t>
      </w:r>
      <w:r>
        <w:t>6</w:t>
      </w:r>
      <w:r w:rsidRPr="004C4012">
        <w:t xml:space="preserve"> (8</w:t>
      </w:r>
      <w:r>
        <w:t xml:space="preserve">1.1%). </w:t>
      </w:r>
      <w:r w:rsidRPr="004C4012">
        <w:t>Maintenance of effect was also observed in patients who switched at Week 2</w:t>
      </w:r>
      <w:r>
        <w:t>4</w:t>
      </w:r>
      <w:r w:rsidRPr="004C4012">
        <w:t xml:space="preserve"> from</w:t>
      </w:r>
      <w:r>
        <w:t xml:space="preserve"> TCZ PFS to TCZ AI (82.9%, 83.0%, and 82.4% at Weeks 48, 72, and 96, respectively). In patients who switched from placebo PFS to TCZ PFS OR TCZ AI, a rapid improvement in ACR20 response was seen reaching levels comparable to patients on TCZ for the entire duration of the study by about Week 32 </w:t>
      </w:r>
      <w:r w:rsidRPr="004014DA">
        <w:t>(</w:t>
      </w:r>
      <w:r w:rsidR="004014DA" w:rsidRPr="004014DA">
        <w:t>See</w:t>
      </w:r>
      <w:r w:rsidR="004A3E8C">
        <w:t xml:space="preserve"> Table 5 </w:t>
      </w:r>
      <w:r w:rsidRPr="004014DA">
        <w:t>and</w:t>
      </w:r>
      <w:r w:rsidR="004A3E8C">
        <w:t xml:space="preserve"> Figure 2</w:t>
      </w:r>
      <w:r w:rsidRPr="004014DA">
        <w:t>, below).</w:t>
      </w:r>
    </w:p>
    <w:p w14:paraId="4463B19F" w14:textId="77777777" w:rsidR="00B13761" w:rsidRDefault="00B13761" w:rsidP="00B13761">
      <w:pPr>
        <w:pStyle w:val="Tabletitle"/>
      </w:pPr>
      <w:bookmarkStart w:id="82" w:name="_Ref422406086"/>
      <w:bookmarkStart w:id="83" w:name="_Toc430268048"/>
      <w:r>
        <w:t xml:space="preserve">Table </w:t>
      </w:r>
      <w:bookmarkEnd w:id="82"/>
      <w:r>
        <w:t xml:space="preserve">5: ACR20 response </w:t>
      </w:r>
      <w:r w:rsidRPr="001633A5">
        <w:t>at Weeks 12, 24, 48, 72, and 96 (ITT Population</w:t>
      </w:r>
      <w:r>
        <w:t>, NA25220</w:t>
      </w:r>
      <w:r w:rsidRPr="001633A5">
        <w:t>)</w:t>
      </w:r>
      <w:bookmarkEnd w:id="83"/>
    </w:p>
    <w:p w14:paraId="4463B1A0" w14:textId="77777777" w:rsidR="009A4F0B" w:rsidRDefault="00B13761" w:rsidP="00B13761">
      <w:r>
        <w:rPr>
          <w:noProof/>
          <w:lang w:eastAsia="en-AU"/>
        </w:rPr>
        <w:drawing>
          <wp:inline distT="0" distB="0" distL="0" distR="0" wp14:anchorId="4463B3D2" wp14:editId="3468727E">
            <wp:extent cx="4270724" cy="1116889"/>
            <wp:effectExtent l="0" t="0" r="0" b="7620"/>
            <wp:docPr id="5" name="Picture 5" descr="Table 5: ACR20 response at Weeks 12, 24, 48, 72, and 96 (ITT Population, NA25220)" title="Table 5: ACR20 response at Weeks 12, 24, 48, 72, and 96 (ITT Population, NA2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lum bright="-20000" contrast="40000"/>
                      <a:extLst>
                        <a:ext uri="{28A0092B-C50C-407E-A947-70E740481C1C}">
                          <a14:useLocalDpi xmlns:a14="http://schemas.microsoft.com/office/drawing/2010/main" val="0"/>
                        </a:ext>
                      </a:extLst>
                    </a:blip>
                    <a:srcRect/>
                    <a:stretch>
                      <a:fillRect/>
                    </a:stretch>
                  </pic:blipFill>
                  <pic:spPr bwMode="auto">
                    <a:xfrm>
                      <a:off x="0" y="0"/>
                      <a:ext cx="4275337" cy="1118095"/>
                    </a:xfrm>
                    <a:prstGeom prst="rect">
                      <a:avLst/>
                    </a:prstGeom>
                    <a:noFill/>
                    <a:ln>
                      <a:noFill/>
                    </a:ln>
                  </pic:spPr>
                </pic:pic>
              </a:graphicData>
            </a:graphic>
          </wp:inline>
        </w:drawing>
      </w:r>
    </w:p>
    <w:p w14:paraId="4463B1A1" w14:textId="77777777" w:rsidR="00B13761" w:rsidRDefault="00B13761" w:rsidP="001204C7">
      <w:pPr>
        <w:pStyle w:val="FigureTitle"/>
      </w:pPr>
      <w:bookmarkStart w:id="84" w:name="_Ref422406067"/>
      <w:bookmarkStart w:id="85" w:name="_Toc430268091"/>
      <w:r>
        <w:t xml:space="preserve">Figure </w:t>
      </w:r>
      <w:r w:rsidR="001204C7">
        <w:t>2</w:t>
      </w:r>
      <w:bookmarkEnd w:id="84"/>
      <w:r>
        <w:t xml:space="preserve"> </w:t>
      </w:r>
      <w:r w:rsidRPr="001633A5">
        <w:t xml:space="preserve">Percentage of Patients with ACR20 </w:t>
      </w:r>
      <w:r>
        <w:t>r</w:t>
      </w:r>
      <w:r w:rsidRPr="001633A5">
        <w:t xml:space="preserve">esponse by </w:t>
      </w:r>
      <w:r>
        <w:t>v</w:t>
      </w:r>
      <w:r w:rsidRPr="001633A5">
        <w:t>isit (ITT</w:t>
      </w:r>
      <w:r>
        <w:t xml:space="preserve"> </w:t>
      </w:r>
      <w:r w:rsidRPr="001633A5">
        <w:t>Population</w:t>
      </w:r>
      <w:r>
        <w:t>, NA25220</w:t>
      </w:r>
      <w:r w:rsidRPr="001633A5">
        <w:t>)</w:t>
      </w:r>
      <w:bookmarkEnd w:id="85"/>
    </w:p>
    <w:p w14:paraId="4463B1A2" w14:textId="77777777" w:rsidR="00B13761" w:rsidRDefault="00B13761" w:rsidP="00B13761">
      <w:r>
        <w:rPr>
          <w:noProof/>
          <w:lang w:eastAsia="en-AU"/>
        </w:rPr>
        <w:drawing>
          <wp:inline distT="0" distB="0" distL="0" distR="0" wp14:anchorId="4463B3D4" wp14:editId="23B61A74">
            <wp:extent cx="3472606" cy="2008728"/>
            <wp:effectExtent l="0" t="0" r="0" b="0"/>
            <wp:docPr id="6" name="Picture 6" descr="Figure 2: Percentage of Patients with ACR20 response by visit (ITT Population, NA25220)" title="Figure 2: Percentage of Patients with ACR20 response by visit (ITT Population, NA2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75362" cy="2010322"/>
                    </a:xfrm>
                    <a:prstGeom prst="rect">
                      <a:avLst/>
                    </a:prstGeom>
                    <a:noFill/>
                    <a:ln>
                      <a:noFill/>
                    </a:ln>
                  </pic:spPr>
                </pic:pic>
              </a:graphicData>
            </a:graphic>
          </wp:inline>
        </w:drawing>
      </w:r>
    </w:p>
    <w:p w14:paraId="4463B1A3" w14:textId="77777777" w:rsidR="00B13761" w:rsidRPr="00272523" w:rsidRDefault="00B13761" w:rsidP="00272523">
      <w:pPr>
        <w:pStyle w:val="Heading5"/>
      </w:pPr>
      <w:r w:rsidRPr="00272523">
        <w:t>Results for other efficacy outcomes</w:t>
      </w:r>
    </w:p>
    <w:p w14:paraId="4463B1A4" w14:textId="77777777" w:rsidR="00B13761" w:rsidRDefault="00B13761" w:rsidP="00B13761">
      <w:r w:rsidRPr="001D74BD">
        <w:t xml:space="preserve">As seen for the primary efficacy variable, response rates for </w:t>
      </w:r>
      <w:r>
        <w:t>ACR50, ACR70, HAQ-DI, and DAS28 Remission (</w:t>
      </w:r>
      <w:r w:rsidR="004014DA">
        <w:t xml:space="preserve"> </w:t>
      </w:r>
      <w:r>
        <w:t>&lt; 2.6)</w:t>
      </w:r>
      <w:r w:rsidRPr="001D74BD">
        <w:t xml:space="preserve"> were maintained for the duration of the study</w:t>
      </w:r>
      <w:r>
        <w:t xml:space="preserve"> (after an initial improvement for those originally on placebo)</w:t>
      </w:r>
      <w:r w:rsidRPr="001D74BD">
        <w:t xml:space="preserve">, and </w:t>
      </w:r>
      <w:r>
        <w:t xml:space="preserve">were generally </w:t>
      </w:r>
      <w:r w:rsidRPr="001D74BD">
        <w:t>comparable in each of the treatment arms</w:t>
      </w:r>
      <w:r>
        <w:t xml:space="preserve"> (</w:t>
      </w:r>
      <w:r w:rsidR="004014DA">
        <w:t xml:space="preserve">see </w:t>
      </w:r>
      <w:r w:rsidR="00272523">
        <w:t>Table 6</w:t>
      </w:r>
      <w:r>
        <w:t>, below).</w:t>
      </w:r>
    </w:p>
    <w:p w14:paraId="4463B1A5" w14:textId="77777777" w:rsidR="00272523" w:rsidRDefault="00272523" w:rsidP="00272523">
      <w:pPr>
        <w:pStyle w:val="Tabletitle"/>
      </w:pPr>
      <w:bookmarkStart w:id="86" w:name="_Ref422492642"/>
      <w:bookmarkStart w:id="87" w:name="_Toc430268049"/>
      <w:r>
        <w:lastRenderedPageBreak/>
        <w:t xml:space="preserve">Table </w:t>
      </w:r>
      <w:bookmarkEnd w:id="86"/>
      <w:r>
        <w:t>6: Summary of e</w:t>
      </w:r>
      <w:r w:rsidRPr="004D6F42">
        <w:t>fficacy at Weeks 12, 24, 48, 72, and 96 (ITT Population</w:t>
      </w:r>
      <w:r>
        <w:t>, NA25220</w:t>
      </w:r>
      <w:r w:rsidRPr="004D6F42">
        <w:t>)</w:t>
      </w:r>
      <w:bookmarkEnd w:id="87"/>
    </w:p>
    <w:p w14:paraId="61454857" w14:textId="2EB0BF65" w:rsidR="007E074A" w:rsidRPr="007E074A" w:rsidRDefault="007E074A" w:rsidP="001B30AB">
      <w:r>
        <w:rPr>
          <w:noProof/>
          <w:lang w:eastAsia="en-AU"/>
        </w:rPr>
        <w:drawing>
          <wp:inline distT="0" distB="0" distL="0" distR="0" wp14:anchorId="4DAB4EF9" wp14:editId="5D5B1D74">
            <wp:extent cx="3789739" cy="2885223"/>
            <wp:effectExtent l="0" t="0" r="1270" b="0"/>
            <wp:docPr id="1" name="Picture 1" descr="Table 6: Summary of efficacy at Weeks 12, 24, 48, 72, and 96 (ITT Population, NA2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01170" cy="2893926"/>
                    </a:xfrm>
                    <a:prstGeom prst="rect">
                      <a:avLst/>
                    </a:prstGeom>
                  </pic:spPr>
                </pic:pic>
              </a:graphicData>
            </a:graphic>
          </wp:inline>
        </w:drawing>
      </w:r>
    </w:p>
    <w:p w14:paraId="4463B1A7" w14:textId="77777777" w:rsidR="00272523" w:rsidRDefault="00272523" w:rsidP="00272523">
      <w:r>
        <w:t xml:space="preserve">Radiography assessments (mTSS) at Weeks 24 and 48 demonstrated less progression in patients initially randomised to TCZ compared with those initially randomised to placebo. </w:t>
      </w:r>
      <w:r w:rsidRPr="004F3511">
        <w:t>The mean change from baseline in the van der Heijde mTSS at Week 24 was 0.46 in the</w:t>
      </w:r>
      <w:r>
        <w:t xml:space="preserve"> </w:t>
      </w:r>
      <w:r w:rsidRPr="004F3511">
        <w:t>pooled TCZ arm and 0.91 in the pooled placebo arm.</w:t>
      </w:r>
      <w:r>
        <w:t xml:space="preserve"> </w:t>
      </w:r>
      <w:r w:rsidRPr="004F3511">
        <w:t>At Week 48, mean</w:t>
      </w:r>
      <w:r>
        <w:t xml:space="preserve"> </w:t>
      </w:r>
      <w:r w:rsidRPr="004F3511">
        <w:t>changes were 0.64 and 1.48, respectively</w:t>
      </w:r>
      <w:r w:rsidR="004014DA">
        <w:t xml:space="preserve">. </w:t>
      </w:r>
      <w:r>
        <w:t xml:space="preserve">Other measures of radiographic progression (annualised progression rate, proportion of patients without radiographic progression </w:t>
      </w:r>
      <w:r w:rsidR="002E6B16">
        <w:t>(</w:t>
      </w:r>
      <w:r>
        <w:t>mTSS score ≤</w:t>
      </w:r>
      <w:r w:rsidR="004014DA">
        <w:t> </w:t>
      </w:r>
      <w:r>
        <w:t>0.5) were also lower in patients initially randomised to TCZ. Results for the 4 treatment arms were more variable because of the smaller group sizes, but g</w:t>
      </w:r>
      <w:r w:rsidR="004014DA">
        <w:t>enerally reflected the pooled 2 </w:t>
      </w:r>
      <w:r>
        <w:t>group comparison.</w:t>
      </w:r>
    </w:p>
    <w:p w14:paraId="4463B1A8" w14:textId="77580912" w:rsidR="00272523" w:rsidRPr="00980C69" w:rsidRDefault="00272523" w:rsidP="00272523">
      <w:pPr>
        <w:pStyle w:val="Heading5"/>
      </w:pPr>
      <w:r w:rsidRPr="00980C69">
        <w:t xml:space="preserve">Efficacy in </w:t>
      </w:r>
      <w:r w:rsidR="002C25F1">
        <w:t>e</w:t>
      </w:r>
      <w:r w:rsidRPr="00980C69">
        <w:t xml:space="preserve">scape </w:t>
      </w:r>
      <w:r w:rsidR="002C25F1">
        <w:t>p</w:t>
      </w:r>
      <w:r w:rsidRPr="00980C69">
        <w:t>atients</w:t>
      </w:r>
    </w:p>
    <w:p w14:paraId="4463B1A9" w14:textId="77777777" w:rsidR="00272523" w:rsidRDefault="00272523" w:rsidP="00272523">
      <w:r>
        <w:t xml:space="preserve">Patients not responding to placebo or TCZ PFS </w:t>
      </w:r>
      <w:r w:rsidR="00AC528E">
        <w:t>every 2 weeks</w:t>
      </w:r>
      <w:r w:rsidR="004014DA">
        <w:t xml:space="preserve"> were switched to TCZ weekly. </w:t>
      </w:r>
      <w:r>
        <w:t>ACR20 responses were higher following the switch for those initially o</w:t>
      </w:r>
      <w:r w:rsidR="004014DA">
        <w:t>n placebo (86% at 48 Weeks post </w:t>
      </w:r>
      <w:r>
        <w:t xml:space="preserve">switch) compared with those initially on TCZ </w:t>
      </w:r>
      <w:r w:rsidR="00AC528E">
        <w:t>every 2 weeks</w:t>
      </w:r>
      <w:r>
        <w:t xml:space="preserve"> (54% </w:t>
      </w:r>
      <w:r w:rsidR="004014DA">
        <w:t>at 48 Weeks post </w:t>
      </w:r>
      <w:r w:rsidRPr="00980C69">
        <w:t>switch)</w:t>
      </w:r>
      <w:r w:rsidR="004014DA">
        <w:t xml:space="preserve">. </w:t>
      </w:r>
      <w:r>
        <w:t>Responses post-switch for placebo patients were comparable to the responses seen in patients initia</w:t>
      </w:r>
      <w:r w:rsidR="004014DA">
        <w:t xml:space="preserve">lly randomised to TCZ PFS </w:t>
      </w:r>
      <w:r w:rsidR="00AC528E">
        <w:t>every 2 weeks</w:t>
      </w:r>
      <w:r w:rsidR="004014DA">
        <w:t xml:space="preserve">. </w:t>
      </w:r>
      <w:r>
        <w:t>Responses were sustained for up to 84 weeks (</w:t>
      </w:r>
      <w:r w:rsidR="004014DA">
        <w:t xml:space="preserve">see </w:t>
      </w:r>
      <w:r>
        <w:t>Table 7 below).</w:t>
      </w:r>
    </w:p>
    <w:p w14:paraId="4463B1AA" w14:textId="77777777" w:rsidR="00272523" w:rsidRDefault="00272523" w:rsidP="00272523">
      <w:pPr>
        <w:pStyle w:val="Tabletitle"/>
      </w:pPr>
      <w:bookmarkStart w:id="88" w:name="_Ref422492782"/>
      <w:bookmarkStart w:id="89" w:name="_Toc430268050"/>
      <w:r>
        <w:t xml:space="preserve">Table </w:t>
      </w:r>
      <w:bookmarkEnd w:id="88"/>
      <w:r>
        <w:t xml:space="preserve">7: </w:t>
      </w:r>
      <w:r w:rsidRPr="00980C69">
        <w:t xml:space="preserve">Summary of </w:t>
      </w:r>
      <w:r w:rsidR="004014DA">
        <w:t>e</w:t>
      </w:r>
      <w:r w:rsidRPr="00980C69">
        <w:t xml:space="preserve">fficacy </w:t>
      </w:r>
      <w:r w:rsidR="004014DA">
        <w:t>f</w:t>
      </w:r>
      <w:r w:rsidRPr="00980C69">
        <w:t xml:space="preserve">ollowing </w:t>
      </w:r>
      <w:r w:rsidR="004014DA">
        <w:t>e</w:t>
      </w:r>
      <w:r w:rsidRPr="00980C69">
        <w:t xml:space="preserve">scape </w:t>
      </w:r>
      <w:r w:rsidR="004014DA">
        <w:t>t</w:t>
      </w:r>
      <w:r w:rsidRPr="00980C69">
        <w:t>herapy</w:t>
      </w:r>
      <w:bookmarkEnd w:id="89"/>
    </w:p>
    <w:p w14:paraId="4463B1AB" w14:textId="77777777" w:rsidR="00272523" w:rsidRDefault="00272523" w:rsidP="004014DA">
      <w:pPr>
        <w:autoSpaceDE w:val="0"/>
        <w:autoSpaceDN w:val="0"/>
        <w:adjustRightInd w:val="0"/>
      </w:pPr>
      <w:r>
        <w:rPr>
          <w:noProof/>
          <w:lang w:eastAsia="en-AU"/>
        </w:rPr>
        <w:drawing>
          <wp:inline distT="0" distB="0" distL="0" distR="0" wp14:anchorId="4463B3DE" wp14:editId="4D39F859">
            <wp:extent cx="2819949" cy="2404925"/>
            <wp:effectExtent l="0" t="0" r="0" b="0"/>
            <wp:docPr id="11" name="Picture 11" descr="Table 7: Summary of efficacy following escape 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lum bright="-20000" contrast="40000"/>
                      <a:extLst>
                        <a:ext uri="{28A0092B-C50C-407E-A947-70E740481C1C}">
                          <a14:useLocalDpi xmlns:a14="http://schemas.microsoft.com/office/drawing/2010/main" val="0"/>
                        </a:ext>
                      </a:extLst>
                    </a:blip>
                    <a:srcRect/>
                    <a:stretch>
                      <a:fillRect/>
                    </a:stretch>
                  </pic:blipFill>
                  <pic:spPr bwMode="auto">
                    <a:xfrm>
                      <a:off x="0" y="0"/>
                      <a:ext cx="2820375" cy="2405288"/>
                    </a:xfrm>
                    <a:prstGeom prst="rect">
                      <a:avLst/>
                    </a:prstGeom>
                    <a:noFill/>
                    <a:ln>
                      <a:noFill/>
                    </a:ln>
                  </pic:spPr>
                </pic:pic>
              </a:graphicData>
            </a:graphic>
          </wp:inline>
        </w:drawing>
      </w:r>
    </w:p>
    <w:p w14:paraId="4463B1AC" w14:textId="4DFF09E5" w:rsidR="00272523" w:rsidRPr="00BF11E2" w:rsidRDefault="00D43C7E" w:rsidP="00272523">
      <w:pPr>
        <w:pStyle w:val="Heading5"/>
      </w:pPr>
      <w:r>
        <w:lastRenderedPageBreak/>
        <w:t xml:space="preserve">Analyses of </w:t>
      </w:r>
      <w:r w:rsidR="00220288">
        <w:t>b</w:t>
      </w:r>
      <w:r w:rsidR="00272523" w:rsidRPr="00BF11E2">
        <w:t xml:space="preserve">aseline </w:t>
      </w:r>
      <w:r w:rsidR="00272523">
        <w:t>b</w:t>
      </w:r>
      <w:r w:rsidR="00272523" w:rsidRPr="00BF11E2">
        <w:t xml:space="preserve">ody </w:t>
      </w:r>
      <w:r w:rsidR="00272523">
        <w:t>w</w:t>
      </w:r>
      <w:r w:rsidR="00272523" w:rsidRPr="00BF11E2">
        <w:t>eight</w:t>
      </w:r>
    </w:p>
    <w:p w14:paraId="4463B1AD" w14:textId="77777777" w:rsidR="00272523" w:rsidRDefault="00272523" w:rsidP="00272523">
      <w:r>
        <w:t>Patients weighing ≥ 100 kg had lower ACR20, ACR50, and ACR70 responses at Week 96 than those weighing &lt; 60 kg and 60</w:t>
      </w:r>
      <w:r w:rsidR="00D43C7E">
        <w:t xml:space="preserve"> to 100kg. </w:t>
      </w:r>
      <w:r>
        <w:t xml:space="preserve">Within weight categories, responses were generally comparable across the treatment groups, although there was a lot of variability in the </w:t>
      </w:r>
      <w:r w:rsidRPr="0003585B">
        <w:t>≥</w:t>
      </w:r>
      <w:r>
        <w:t xml:space="preserve"> </w:t>
      </w:r>
      <w:r w:rsidRPr="0003585B">
        <w:t>100</w:t>
      </w:r>
      <w:r>
        <w:t xml:space="preserve"> </w:t>
      </w:r>
      <w:r w:rsidRPr="0003585B">
        <w:t>kg group</w:t>
      </w:r>
      <w:r>
        <w:t xml:space="preserve"> because of small patient numbers (</w:t>
      </w:r>
      <w:r w:rsidR="00D43C7E">
        <w:t>see Table 8</w:t>
      </w:r>
      <w:r>
        <w:t xml:space="preserve"> below).</w:t>
      </w:r>
    </w:p>
    <w:p w14:paraId="4463B1AE" w14:textId="77777777" w:rsidR="00272523" w:rsidRDefault="00272523" w:rsidP="00272523">
      <w:pPr>
        <w:pStyle w:val="Tabletitle"/>
      </w:pPr>
      <w:bookmarkStart w:id="90" w:name="_Ref424200663"/>
      <w:bookmarkStart w:id="91" w:name="_Toc430268051"/>
      <w:r>
        <w:t>Table</w:t>
      </w:r>
      <w:bookmarkEnd w:id="90"/>
      <w:r>
        <w:t xml:space="preserve"> 8: </w:t>
      </w:r>
      <w:r w:rsidRPr="00B309D7">
        <w:t xml:space="preserve">ACR20, ACR50, and ACR70 </w:t>
      </w:r>
      <w:r>
        <w:t>r</w:t>
      </w:r>
      <w:r w:rsidRPr="00B309D7">
        <w:t xml:space="preserve">esponse </w:t>
      </w:r>
      <w:r>
        <w:t>r</w:t>
      </w:r>
      <w:r w:rsidRPr="00B309D7">
        <w:t xml:space="preserve">ates at Week </w:t>
      </w:r>
      <w:r>
        <w:t>96</w:t>
      </w:r>
      <w:r w:rsidRPr="00B309D7">
        <w:t xml:space="preserve">, by </w:t>
      </w:r>
      <w:r>
        <w:t>b</w:t>
      </w:r>
      <w:r w:rsidRPr="00B309D7">
        <w:t xml:space="preserve">ody </w:t>
      </w:r>
      <w:r>
        <w:t>w</w:t>
      </w:r>
      <w:r w:rsidRPr="00B309D7">
        <w:t>eight (</w:t>
      </w:r>
      <w:r>
        <w:t>ITT</w:t>
      </w:r>
      <w:r w:rsidRPr="00B309D7">
        <w:t xml:space="preserve"> Population</w:t>
      </w:r>
      <w:r>
        <w:t>, NA25220</w:t>
      </w:r>
      <w:r w:rsidRPr="00B309D7">
        <w:t>)</w:t>
      </w:r>
      <w:bookmarkEnd w:id="91"/>
    </w:p>
    <w:p w14:paraId="4463B1AF" w14:textId="77777777" w:rsidR="00272523" w:rsidRPr="0018670F" w:rsidRDefault="00272523" w:rsidP="00272523">
      <w:pPr>
        <w:pStyle w:val="TableDescription"/>
      </w:pPr>
      <w:r>
        <w:rPr>
          <w:noProof/>
          <w:lang w:eastAsia="en-AU"/>
        </w:rPr>
        <w:drawing>
          <wp:inline distT="0" distB="0" distL="0" distR="0" wp14:anchorId="4463B3E0" wp14:editId="3C94D0A0">
            <wp:extent cx="4424005" cy="1799032"/>
            <wp:effectExtent l="0" t="0" r="0" b="0"/>
            <wp:docPr id="12" name="Picture 12" descr="Table 8: ACR20, ACR50, and ACR70 response rates at Week 96, by body weight (ITT Population, NA2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7178" cy="1800322"/>
                    </a:xfrm>
                    <a:prstGeom prst="rect">
                      <a:avLst/>
                    </a:prstGeom>
                    <a:noFill/>
                    <a:ln>
                      <a:noFill/>
                    </a:ln>
                  </pic:spPr>
                </pic:pic>
              </a:graphicData>
            </a:graphic>
          </wp:inline>
        </w:drawing>
      </w:r>
    </w:p>
    <w:p w14:paraId="4463B1B0" w14:textId="77777777" w:rsidR="00272523" w:rsidRDefault="00272523" w:rsidP="00220288">
      <w:pPr>
        <w:pStyle w:val="Heading3"/>
      </w:pPr>
      <w:bookmarkStart w:id="92" w:name="_Toc430267974"/>
      <w:bookmarkStart w:id="93" w:name="_Toc464136266"/>
      <w:r>
        <w:t>Other efficacy studies</w:t>
      </w:r>
      <w:bookmarkEnd w:id="92"/>
      <w:bookmarkEnd w:id="93"/>
    </w:p>
    <w:p w14:paraId="4463B1B1" w14:textId="77777777" w:rsidR="00272523" w:rsidRPr="00272523" w:rsidRDefault="00272523" w:rsidP="00272523">
      <w:pPr>
        <w:pStyle w:val="Heading4"/>
      </w:pPr>
      <w:bookmarkStart w:id="94" w:name="_Toc430267975"/>
      <w:r w:rsidRPr="00272523">
        <w:t>Study MRA229JP</w:t>
      </w:r>
      <w:bookmarkEnd w:id="94"/>
    </w:p>
    <w:p w14:paraId="4463B1B2" w14:textId="77777777" w:rsidR="00272523" w:rsidRDefault="00272523" w:rsidP="00272523">
      <w:pPr>
        <w:autoSpaceDE w:val="0"/>
        <w:autoSpaceDN w:val="0"/>
        <w:adjustRightInd w:val="0"/>
      </w:pPr>
      <w:r w:rsidRPr="007144E7">
        <w:t>The following is a summary of clinical efficacy from the</w:t>
      </w:r>
      <w:r w:rsidR="00D43C7E">
        <w:t xml:space="preserve"> previous evaluation and overview:</w:t>
      </w:r>
    </w:p>
    <w:p w14:paraId="4463B1B3" w14:textId="77777777" w:rsidR="00272523" w:rsidRDefault="00272523" w:rsidP="00220288">
      <w:pPr>
        <w:pStyle w:val="ListBullet"/>
      </w:pPr>
      <w:r w:rsidRPr="00CC0AD3">
        <w:t>Study MRA229JP was a supportive, multicentre, randomised, double blind, double dummy, parallel group, non-inferiority study comparing SC tocilizumab (162mg every 2 weeks) to IV tocilizumab (8mg/kg every 4 weeks) in 346 Jap</w:t>
      </w:r>
      <w:r>
        <w:t>anese subjects with RA.</w:t>
      </w:r>
    </w:p>
    <w:p w14:paraId="4463B1B4" w14:textId="532397EB" w:rsidR="00272523" w:rsidRDefault="00272523" w:rsidP="00272523">
      <w:pPr>
        <w:pStyle w:val="ListBullet"/>
      </w:pPr>
      <w:r w:rsidRPr="00CC0AD3">
        <w:t>The primary efficacy endpoint was ACR20 at week 24 with non-inferiority of the SC compared to the IV considered established if the difference between them was &lt;</w:t>
      </w:r>
      <w:r>
        <w:t xml:space="preserve"> </w:t>
      </w:r>
      <w:r w:rsidR="00220288">
        <w:t>-</w:t>
      </w:r>
      <w:r w:rsidRPr="00CC0AD3">
        <w:t>18% for the lower limit i</w:t>
      </w:r>
      <w:r>
        <w:t>n the 95% confidence interval.</w:t>
      </w:r>
    </w:p>
    <w:p w14:paraId="4463B1B5" w14:textId="77777777" w:rsidR="00272523" w:rsidRDefault="00272523" w:rsidP="00272523">
      <w:pPr>
        <w:pStyle w:val="ListBullet"/>
      </w:pPr>
      <w:r w:rsidRPr="00CC0AD3">
        <w:t>Patients were</w:t>
      </w:r>
      <w:r>
        <w:t xml:space="preserve"> 83% female, age</w:t>
      </w:r>
      <w:r w:rsidR="002469C2">
        <w:t xml:space="preserve">d between 20 and </w:t>
      </w:r>
      <w:r>
        <w:t>75 years.</w:t>
      </w:r>
    </w:p>
    <w:p w14:paraId="4463B1B6" w14:textId="209027D3" w:rsidR="00272523" w:rsidRDefault="002469C2" w:rsidP="00272523">
      <w:pPr>
        <w:pStyle w:val="ListBullet"/>
      </w:pPr>
      <w:r>
        <w:t xml:space="preserve">The results showed non </w:t>
      </w:r>
      <w:r w:rsidR="00272523" w:rsidRPr="00CC0AD3">
        <w:t xml:space="preserve">inferiority was established with the ACR20 response being 79.2% on SC </w:t>
      </w:r>
      <w:r w:rsidR="002E6B16">
        <w:t>versus</w:t>
      </w:r>
      <w:r w:rsidR="00272523" w:rsidRPr="00CC0AD3">
        <w:t xml:space="preserve"> 88.5% on I</w:t>
      </w:r>
      <w:r w:rsidR="00272523">
        <w:t xml:space="preserve">V (difference of </w:t>
      </w:r>
      <w:r w:rsidR="00220288">
        <w:t>-</w:t>
      </w:r>
      <w:r w:rsidR="00272523">
        <w:t xml:space="preserve">9.4%, 95% CI </w:t>
      </w:r>
      <w:r w:rsidR="00220288">
        <w:t>-</w:t>
      </w:r>
      <w:r w:rsidR="00272523">
        <w:t xml:space="preserve">17.6 to </w:t>
      </w:r>
      <w:r w:rsidR="00220288">
        <w:t>-</w:t>
      </w:r>
      <w:r w:rsidR="00272523" w:rsidRPr="00CC0AD3">
        <w:t>1.2%) with the lower limit of the 95</w:t>
      </w:r>
      <w:r>
        <w:t xml:space="preserve">% CI being greater than the </w:t>
      </w:r>
      <w:r w:rsidR="00966DA8">
        <w:t>non-</w:t>
      </w:r>
      <w:r w:rsidR="00966DA8" w:rsidRPr="00CC0AD3">
        <w:t>inferiorit</w:t>
      </w:r>
      <w:r w:rsidR="00966DA8">
        <w:t>y</w:t>
      </w:r>
      <w:r w:rsidR="00220288">
        <w:t xml:space="preserve"> margin of -</w:t>
      </w:r>
      <w:r w:rsidR="00272523">
        <w:t>18%.</w:t>
      </w:r>
    </w:p>
    <w:p w14:paraId="4463B1B7" w14:textId="77777777" w:rsidR="00272523" w:rsidRDefault="00272523" w:rsidP="00272523">
      <w:pPr>
        <w:pStyle w:val="ListBullet"/>
      </w:pPr>
      <w:r w:rsidRPr="00CC0AD3">
        <w:t>The time course of response for ACR20/50/70, ACR components and DAS28 was similar in both groups.</w:t>
      </w:r>
    </w:p>
    <w:p w14:paraId="4463B1B8" w14:textId="77777777" w:rsidR="00272523" w:rsidRDefault="00272523" w:rsidP="00272523">
      <w:pPr>
        <w:autoSpaceDE w:val="0"/>
        <w:autoSpaceDN w:val="0"/>
        <w:adjustRightInd w:val="0"/>
      </w:pPr>
      <w:r>
        <w:t>A synopsis was submitted for the combined 24</w:t>
      </w:r>
      <w:r w:rsidR="002469C2">
        <w:t xml:space="preserve"> </w:t>
      </w:r>
      <w:r>
        <w:t>week blind and 84</w:t>
      </w:r>
      <w:r w:rsidR="002469C2">
        <w:t xml:space="preserve"> </w:t>
      </w:r>
      <w:r>
        <w:t>week o</w:t>
      </w:r>
      <w:r w:rsidR="002469C2">
        <w:t xml:space="preserve">pen-label phases of the study. </w:t>
      </w:r>
      <w:r>
        <w:t xml:space="preserve">The OL phase compared 162mg SC TCZ administered every 2 weeks via a </w:t>
      </w:r>
      <w:r w:rsidR="002469C2">
        <w:t>PFS</w:t>
      </w:r>
      <w:r w:rsidRPr="004B63D2">
        <w:t xml:space="preserve"> </w:t>
      </w:r>
      <w:r w:rsidR="002469C2">
        <w:t>or AI</w:t>
      </w:r>
      <w:r>
        <w:t>. In total, 27</w:t>
      </w:r>
      <w:r w:rsidR="002469C2">
        <w:t xml:space="preserve">8 subjects completed the 108 </w:t>
      </w:r>
      <w:r>
        <w:t xml:space="preserve">week study. In the combined SC group, the Week 108 ACR20/50/70 response rates were </w:t>
      </w:r>
      <w:r w:rsidR="002469C2">
        <w:t>92.5%, 80.6%, and 61.6% respectively</w:t>
      </w:r>
      <w:r w:rsidRPr="00B6401C">
        <w:t xml:space="preserve"> and the mean DAS28 score was</w:t>
      </w:r>
      <w:r>
        <w:t xml:space="preserve"> </w:t>
      </w:r>
      <w:r w:rsidRPr="00B6401C">
        <w:t>1.92.</w:t>
      </w:r>
    </w:p>
    <w:p w14:paraId="4463B1B9" w14:textId="77777777" w:rsidR="00272523" w:rsidRDefault="00272523" w:rsidP="00272523">
      <w:pPr>
        <w:pStyle w:val="Heading5"/>
      </w:pPr>
      <w:r w:rsidRPr="00021868">
        <w:t>Self-injection</w:t>
      </w:r>
    </w:p>
    <w:p w14:paraId="4463B1BA" w14:textId="15E948BE" w:rsidR="00272523" w:rsidRPr="00272523" w:rsidRDefault="006D0380" w:rsidP="00272523">
      <w:pPr>
        <w:autoSpaceDE w:val="0"/>
        <w:autoSpaceDN w:val="0"/>
        <w:adjustRightInd w:val="0"/>
      </w:pPr>
      <w:r>
        <w:t>This</w:t>
      </w:r>
      <w:r w:rsidR="00272523">
        <w:t xml:space="preserve"> </w:t>
      </w:r>
      <w:r w:rsidR="00272523" w:rsidRPr="00021868">
        <w:t>was performed by 82 subjects using either the PFS or the AI.</w:t>
      </w:r>
      <w:r w:rsidR="009F0A80">
        <w:t xml:space="preserve"> </w:t>
      </w:r>
      <w:r w:rsidR="00272523" w:rsidRPr="00021868">
        <w:t>No major difference between the ACR 20/50/70 response rates or DAS28 scores were detected before and aft</w:t>
      </w:r>
      <w:r w:rsidR="00272523">
        <w:t>er the start of self-injection.</w:t>
      </w:r>
    </w:p>
    <w:p w14:paraId="4463B1BB" w14:textId="77777777" w:rsidR="00272523" w:rsidRPr="00471946" w:rsidRDefault="00272523" w:rsidP="00272523">
      <w:pPr>
        <w:pStyle w:val="Heading5"/>
      </w:pPr>
      <w:r>
        <w:lastRenderedPageBreak/>
        <w:t>Baseline b</w:t>
      </w:r>
      <w:r w:rsidRPr="00471946">
        <w:t>od</w:t>
      </w:r>
      <w:r>
        <w:t>y w</w:t>
      </w:r>
      <w:r w:rsidRPr="00471946">
        <w:t>eight</w:t>
      </w:r>
    </w:p>
    <w:p w14:paraId="4463B1BC" w14:textId="77777777" w:rsidR="00272523" w:rsidRPr="00471946" w:rsidRDefault="00272523" w:rsidP="00272523">
      <w:pPr>
        <w:tabs>
          <w:tab w:val="left" w:pos="720"/>
        </w:tabs>
        <w:autoSpaceDE w:val="0"/>
        <w:autoSpaceDN w:val="0"/>
        <w:adjustRightInd w:val="0"/>
        <w:rPr>
          <w:bCs/>
        </w:rPr>
      </w:pPr>
      <w:r w:rsidRPr="00471946">
        <w:rPr>
          <w:bCs/>
        </w:rPr>
        <w:t xml:space="preserve">In response to a Delegate’s question in the post-ACPM negotiation letter, the </w:t>
      </w:r>
      <w:r>
        <w:rPr>
          <w:bCs/>
        </w:rPr>
        <w:t>s</w:t>
      </w:r>
      <w:r w:rsidRPr="00471946">
        <w:rPr>
          <w:bCs/>
        </w:rPr>
        <w:t>ponsor provided ACR respon</w:t>
      </w:r>
      <w:r>
        <w:rPr>
          <w:bCs/>
        </w:rPr>
        <w:t xml:space="preserve">se rates by weight at Week 24. </w:t>
      </w:r>
      <w:r w:rsidRPr="00471946">
        <w:rPr>
          <w:bCs/>
        </w:rPr>
        <w:t>No patients weighed ≥</w:t>
      </w:r>
      <w:r>
        <w:rPr>
          <w:bCs/>
        </w:rPr>
        <w:t xml:space="preserve"> </w:t>
      </w:r>
      <w:r w:rsidRPr="00471946">
        <w:rPr>
          <w:bCs/>
        </w:rPr>
        <w:t>100</w:t>
      </w:r>
      <w:r>
        <w:rPr>
          <w:bCs/>
        </w:rPr>
        <w:t xml:space="preserve"> kg. </w:t>
      </w:r>
      <w:r w:rsidRPr="00471946">
        <w:rPr>
          <w:bCs/>
        </w:rPr>
        <w:t xml:space="preserve">ACR responses were comparable for </w:t>
      </w:r>
      <w:r>
        <w:rPr>
          <w:bCs/>
        </w:rPr>
        <w:t>SC TCZ</w:t>
      </w:r>
      <w:r w:rsidRPr="00471946">
        <w:rPr>
          <w:bCs/>
        </w:rPr>
        <w:t xml:space="preserve"> and </w:t>
      </w:r>
      <w:r>
        <w:rPr>
          <w:bCs/>
        </w:rPr>
        <w:t>IV TCZ</w:t>
      </w:r>
      <w:r w:rsidRPr="00471946">
        <w:rPr>
          <w:bCs/>
        </w:rPr>
        <w:t xml:space="preserve"> in patients weighing &lt;</w:t>
      </w:r>
      <w:r>
        <w:rPr>
          <w:bCs/>
        </w:rPr>
        <w:t xml:space="preserve"> </w:t>
      </w:r>
      <w:r w:rsidRPr="00471946">
        <w:rPr>
          <w:bCs/>
        </w:rPr>
        <w:t xml:space="preserve">60kg, but were consistently lower in </w:t>
      </w:r>
      <w:r>
        <w:rPr>
          <w:bCs/>
        </w:rPr>
        <w:t>SC TCZ</w:t>
      </w:r>
      <w:r w:rsidRPr="00471946">
        <w:rPr>
          <w:bCs/>
        </w:rPr>
        <w:t xml:space="preserve"> </w:t>
      </w:r>
      <w:r w:rsidR="00AC528E">
        <w:rPr>
          <w:bCs/>
        </w:rPr>
        <w:t>every 2 weeks</w:t>
      </w:r>
      <w:r w:rsidRPr="00471946">
        <w:rPr>
          <w:bCs/>
        </w:rPr>
        <w:t xml:space="preserve"> compared with </w:t>
      </w:r>
      <w:r>
        <w:rPr>
          <w:bCs/>
        </w:rPr>
        <w:t>IV TCZ</w:t>
      </w:r>
      <w:r w:rsidRPr="00471946">
        <w:rPr>
          <w:bCs/>
        </w:rPr>
        <w:t xml:space="preserve"> 8</w:t>
      </w:r>
      <w:r>
        <w:rPr>
          <w:bCs/>
        </w:rPr>
        <w:t xml:space="preserve"> </w:t>
      </w:r>
      <w:r w:rsidRPr="00471946">
        <w:rPr>
          <w:bCs/>
        </w:rPr>
        <w:t>mg/kg in patients weighing ≥</w:t>
      </w:r>
      <w:r>
        <w:rPr>
          <w:bCs/>
        </w:rPr>
        <w:t xml:space="preserve"> 60kg (Table 9, below)</w:t>
      </w:r>
      <w:r w:rsidRPr="00471946">
        <w:rPr>
          <w:bCs/>
        </w:rPr>
        <w:t>.</w:t>
      </w:r>
    </w:p>
    <w:p w14:paraId="4463B1BD" w14:textId="77777777" w:rsidR="00272523" w:rsidRPr="00471946" w:rsidRDefault="00272523" w:rsidP="00272523">
      <w:pPr>
        <w:pStyle w:val="Tabletitle"/>
        <w:rPr>
          <w:bCs/>
        </w:rPr>
      </w:pPr>
      <w:r>
        <w:t xml:space="preserve">Table 9: </w:t>
      </w:r>
      <w:r w:rsidRPr="00471946">
        <w:t>ACR Response at Week 24 by Body Weight as Randomized (PP Population, MRA229JP)</w:t>
      </w:r>
    </w:p>
    <w:p w14:paraId="4463B1BE" w14:textId="77777777" w:rsidR="00272523" w:rsidRDefault="00272523" w:rsidP="00272523">
      <w:pPr>
        <w:tabs>
          <w:tab w:val="left" w:pos="720"/>
        </w:tabs>
        <w:autoSpaceDE w:val="0"/>
        <w:autoSpaceDN w:val="0"/>
        <w:adjustRightInd w:val="0"/>
        <w:rPr>
          <w:bCs/>
        </w:rPr>
      </w:pPr>
      <w:r>
        <w:rPr>
          <w:bCs/>
          <w:noProof/>
          <w:lang w:eastAsia="en-AU"/>
        </w:rPr>
        <w:drawing>
          <wp:inline distT="0" distB="0" distL="0" distR="0" wp14:anchorId="4463B3E2" wp14:editId="26DAFAF2">
            <wp:extent cx="3615316" cy="1525945"/>
            <wp:effectExtent l="0" t="0" r="4445" b="0"/>
            <wp:docPr id="13" name="Picture 13" descr="Table 9: ACR Response at Week 24 by Body Weight as Randomized (PP Population, MRA229J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5588" cy="1526060"/>
                    </a:xfrm>
                    <a:prstGeom prst="rect">
                      <a:avLst/>
                    </a:prstGeom>
                    <a:noFill/>
                    <a:ln>
                      <a:noFill/>
                    </a:ln>
                  </pic:spPr>
                </pic:pic>
              </a:graphicData>
            </a:graphic>
          </wp:inline>
        </w:drawing>
      </w:r>
    </w:p>
    <w:p w14:paraId="4463B1BF" w14:textId="77777777" w:rsidR="00B13761" w:rsidRPr="00D205A3" w:rsidRDefault="00272523" w:rsidP="00D205A3">
      <w:pPr>
        <w:ind w:left="170"/>
        <w:rPr>
          <w:i/>
        </w:rPr>
      </w:pPr>
      <w:r w:rsidRPr="00D205A3">
        <w:rPr>
          <w:i/>
        </w:rPr>
        <w:t>Evaluator’s comment: The combined SC group Week 108 results were comparable to the combined SC/IV group results at Week 24 in the DB phase of the study (ACR20/50/70 response rates of 89.4%, 72.1%, and 49.7%, respectively, mean DAS28 score of 2.38).</w:t>
      </w:r>
    </w:p>
    <w:p w14:paraId="4463B1C0" w14:textId="77777777" w:rsidR="00EC6A68" w:rsidRPr="00EC6A68" w:rsidRDefault="00EC6A68" w:rsidP="00EC6A68">
      <w:pPr>
        <w:pStyle w:val="Heading4"/>
      </w:pPr>
      <w:bookmarkStart w:id="95" w:name="_Toc430267976"/>
      <w:r w:rsidRPr="00EC6A68">
        <w:t>Study ML28338</w:t>
      </w:r>
      <w:bookmarkEnd w:id="95"/>
    </w:p>
    <w:p w14:paraId="4463B1C1" w14:textId="77777777" w:rsidR="00EC6A68" w:rsidRDefault="00EC6A68" w:rsidP="00EC6A68">
      <w:pPr>
        <w:autoSpaceDE w:val="0"/>
        <w:autoSpaceDN w:val="0"/>
        <w:adjustRightInd w:val="0"/>
      </w:pPr>
      <w:r w:rsidRPr="004D126D">
        <w:t>The CSR for the long-term extension (LTE) study ML28338 is</w:t>
      </w:r>
      <w:r>
        <w:t xml:space="preserve"> </w:t>
      </w:r>
      <w:r w:rsidRPr="004D126D">
        <w:t>still in preparation</w:t>
      </w:r>
      <w:r>
        <w:t>, so preliminary results have been presented only</w:t>
      </w:r>
      <w:r w:rsidRPr="004D126D">
        <w:t>.</w:t>
      </w:r>
      <w:r>
        <w:t xml:space="preserve"> This study was a </w:t>
      </w:r>
      <w:r w:rsidR="002469C2">
        <w:t>Phase IIIb, multicentre, open</w:t>
      </w:r>
      <w:r w:rsidR="004A3E8C">
        <w:t xml:space="preserve"> </w:t>
      </w:r>
      <w:r w:rsidRPr="004D126D">
        <w:t>label, single</w:t>
      </w:r>
      <w:r w:rsidR="004A3E8C">
        <w:t xml:space="preserve"> </w:t>
      </w:r>
      <w:r w:rsidRPr="004D126D">
        <w:t>arm, LTE study of</w:t>
      </w:r>
      <w:r>
        <w:t xml:space="preserve"> </w:t>
      </w:r>
      <w:r w:rsidRPr="004D126D">
        <w:t>the WA22762 and NA25220 core studies conducted in the US.</w:t>
      </w:r>
      <w:r>
        <w:t xml:space="preserve"> </w:t>
      </w:r>
      <w:r w:rsidRPr="004D126D">
        <w:t>The pri</w:t>
      </w:r>
      <w:r>
        <w:t xml:space="preserve">mary objective of the study was </w:t>
      </w:r>
      <w:r w:rsidRPr="004D126D">
        <w:t xml:space="preserve">to evaluate the long-term safety of </w:t>
      </w:r>
      <w:r>
        <w:t>SC TCZ</w:t>
      </w:r>
      <w:r w:rsidRPr="004D126D">
        <w:t xml:space="preserve"> </w:t>
      </w:r>
      <w:r w:rsidRPr="00F96DF9">
        <w:t xml:space="preserve">therapy </w:t>
      </w:r>
      <w:r>
        <w:t>(</w:t>
      </w:r>
      <w:r w:rsidRPr="004D126D">
        <w:t xml:space="preserve">162 mg once weekly or </w:t>
      </w:r>
      <w:r>
        <w:t xml:space="preserve">every 2 </w:t>
      </w:r>
      <w:r w:rsidRPr="004D126D">
        <w:t>week</w:t>
      </w:r>
      <w:r>
        <w:t xml:space="preserve">s) </w:t>
      </w:r>
      <w:r w:rsidRPr="004D126D">
        <w:t>with regard to adverse</w:t>
      </w:r>
      <w:r>
        <w:t xml:space="preserve"> </w:t>
      </w:r>
      <w:r w:rsidRPr="004D126D">
        <w:t>events (AEs) and clinical laboratory assess</w:t>
      </w:r>
      <w:r w:rsidR="002469C2">
        <w:t>ments</w:t>
      </w:r>
      <w:r>
        <w:t xml:space="preserve"> including immunogenicity. Long</w:t>
      </w:r>
      <w:r w:rsidR="002469C2">
        <w:t xml:space="preserve"> </w:t>
      </w:r>
      <w:r>
        <w:t xml:space="preserve">term efficacy was a secondary objective. </w:t>
      </w:r>
      <w:r w:rsidRPr="00F96DF9">
        <w:t>Patients who received</w:t>
      </w:r>
      <w:r>
        <w:t xml:space="preserve"> SC TCZ</w:t>
      </w:r>
      <w:r w:rsidRPr="00F96DF9">
        <w:t xml:space="preserve"> in the core study cont</w:t>
      </w:r>
      <w:r>
        <w:t>inued with the same dosage (SC TCZ</w:t>
      </w:r>
      <w:r w:rsidRPr="00F96DF9">
        <w:t xml:space="preserve"> 162 mg </w:t>
      </w:r>
      <w:r>
        <w:t xml:space="preserve">weekly </w:t>
      </w:r>
      <w:r w:rsidRPr="00F96DF9">
        <w:t xml:space="preserve">or </w:t>
      </w:r>
      <w:r w:rsidR="002469C2">
        <w:t>every 2 weeks</w:t>
      </w:r>
      <w:r w:rsidRPr="00F96DF9">
        <w:t xml:space="preserve">) </w:t>
      </w:r>
      <w:r>
        <w:t>while</w:t>
      </w:r>
      <w:r w:rsidRPr="00F96DF9">
        <w:t xml:space="preserve"> patients who received </w:t>
      </w:r>
      <w:r>
        <w:t>IV TCZ</w:t>
      </w:r>
      <w:r w:rsidRPr="00F96DF9">
        <w:t xml:space="preserve"> in the core study switched to </w:t>
      </w:r>
      <w:r>
        <w:t>SC TCZ</w:t>
      </w:r>
      <w:r w:rsidRPr="00F96DF9">
        <w:t xml:space="preserve"> 162 mg </w:t>
      </w:r>
      <w:r>
        <w:t>weekly</w:t>
      </w:r>
      <w:r w:rsidRPr="00F96DF9">
        <w:t xml:space="preserve"> (study WA22762 only).</w:t>
      </w:r>
      <w:r>
        <w:t xml:space="preserve"> </w:t>
      </w:r>
      <w:r w:rsidRPr="00F96DF9">
        <w:t xml:space="preserve">A total of 218 </w:t>
      </w:r>
      <w:r>
        <w:t xml:space="preserve">patients </w:t>
      </w:r>
      <w:r w:rsidRPr="00F96DF9">
        <w:t>were enrolled; 148 patients from study WA22762 and 70 patients from study</w:t>
      </w:r>
      <w:r>
        <w:t xml:space="preserve"> </w:t>
      </w:r>
      <w:r w:rsidRPr="00F96DF9">
        <w:t xml:space="preserve">NA25220. </w:t>
      </w:r>
      <w:r>
        <w:t>O</w:t>
      </w:r>
      <w:r w:rsidRPr="00F96DF9">
        <w:t xml:space="preserve">ne </w:t>
      </w:r>
      <w:r>
        <w:t>patient</w:t>
      </w:r>
      <w:r w:rsidR="002469C2">
        <w:t xml:space="preserve"> did not receive any treatment</w:t>
      </w:r>
      <w:r w:rsidRPr="00F96DF9">
        <w:t xml:space="preserve"> </w:t>
      </w:r>
      <w:r>
        <w:t xml:space="preserve">leaving </w:t>
      </w:r>
      <w:r w:rsidRPr="00F96DF9">
        <w:t>a total of</w:t>
      </w:r>
      <w:r>
        <w:t xml:space="preserve"> </w:t>
      </w:r>
      <w:r w:rsidRPr="00F96DF9">
        <w:t xml:space="preserve">217 patients </w:t>
      </w:r>
      <w:r>
        <w:t xml:space="preserve">who </w:t>
      </w:r>
      <w:r w:rsidRPr="00F96DF9">
        <w:t xml:space="preserve">received at least one dose of </w:t>
      </w:r>
      <w:r>
        <w:t>SC TCZ (n</w:t>
      </w:r>
      <w:r w:rsidR="002469C2">
        <w:t> </w:t>
      </w:r>
      <w:r>
        <w:t>=</w:t>
      </w:r>
      <w:r w:rsidR="002469C2">
        <w:t> </w:t>
      </w:r>
      <w:r>
        <w:t xml:space="preserve">44 SC TCZ </w:t>
      </w:r>
      <w:r w:rsidR="002469C2">
        <w:t>every 2 weeks</w:t>
      </w:r>
      <w:r>
        <w:t>, n</w:t>
      </w:r>
      <w:r w:rsidR="002469C2">
        <w:t> </w:t>
      </w:r>
      <w:r>
        <w:t>=</w:t>
      </w:r>
      <w:r w:rsidR="002469C2">
        <w:t xml:space="preserve"> 173 SC TCZ weekly). </w:t>
      </w:r>
      <w:r>
        <w:t xml:space="preserve">ACR20 response rate at baseline was 52.3% and 42.2% for SC TCZ </w:t>
      </w:r>
      <w:r w:rsidR="002469C2">
        <w:t xml:space="preserve">every 2 weeks and weekly respectively. </w:t>
      </w:r>
      <w:r>
        <w:t xml:space="preserve">There was an increase in response rate at Week 12 (72.7% and 59.0%), with rates stabilising for Weeks 24 to 48 (in the range of 59% to 67%). ACR50/70 response rates were lower but showed a similar pattern. Patient numbers on SC TCZ </w:t>
      </w:r>
      <w:r w:rsidR="002469C2">
        <w:t>every 2 weeks</w:t>
      </w:r>
      <w:r>
        <w:t xml:space="preserve"> were too low for interpretation of later response rates. Patients on SC TCZ weekly maintained their ACR20/50/70 response rates out to Week 84.</w:t>
      </w:r>
    </w:p>
    <w:p w14:paraId="4463B1C2" w14:textId="77777777" w:rsidR="00EC6A68" w:rsidRPr="00EC6A68" w:rsidRDefault="00EC6A68" w:rsidP="00EC6A68">
      <w:pPr>
        <w:pStyle w:val="Heading4"/>
      </w:pPr>
      <w:bookmarkStart w:id="96" w:name="_Toc430267977"/>
      <w:r w:rsidRPr="00EC6A68">
        <w:t>Study WA18696</w:t>
      </w:r>
      <w:bookmarkEnd w:id="96"/>
    </w:p>
    <w:p w14:paraId="4463B1C3" w14:textId="77777777" w:rsidR="00EC6A68" w:rsidRDefault="00EC6A68" w:rsidP="00EC6A68">
      <w:pPr>
        <w:autoSpaceDE w:val="0"/>
        <w:autoSpaceDN w:val="0"/>
        <w:adjustRightInd w:val="0"/>
      </w:pPr>
      <w:r w:rsidRPr="00455746">
        <w:t>Study WA18696 was submitted as a condition of registration from evaluation PM-2008-02563-3</w:t>
      </w:r>
      <w:r>
        <w:t xml:space="preserve"> and </w:t>
      </w:r>
      <w:r w:rsidRPr="00455746">
        <w:t>relates to IV administration of TCZ</w:t>
      </w:r>
      <w:r w:rsidRPr="00E77FE9">
        <w:t xml:space="preserve"> in patients with RA</w:t>
      </w:r>
      <w:r>
        <w:t>. It</w:t>
      </w:r>
      <w:r w:rsidRPr="00455746">
        <w:t xml:space="preserve"> does not have direct relevance to the main purpose of this evaluation</w:t>
      </w:r>
      <w:r w:rsidR="004A3E8C">
        <w:t>.</w:t>
      </w:r>
    </w:p>
    <w:p w14:paraId="4463B1C4" w14:textId="77777777" w:rsidR="00EC6A68" w:rsidRPr="00EC6A68" w:rsidRDefault="00EC6A68" w:rsidP="00220288">
      <w:pPr>
        <w:pStyle w:val="Heading3"/>
      </w:pPr>
      <w:bookmarkStart w:id="97" w:name="_Toc430267979"/>
      <w:bookmarkStart w:id="98" w:name="_Toc464136267"/>
      <w:r w:rsidRPr="00EC6A68">
        <w:t>Evaluator’s conclusions on clinical efficacy</w:t>
      </w:r>
      <w:bookmarkEnd w:id="97"/>
      <w:bookmarkEnd w:id="98"/>
    </w:p>
    <w:p w14:paraId="4463B1C5" w14:textId="77777777" w:rsidR="00EC6A68" w:rsidRDefault="00EC6A68" w:rsidP="00EC6A68">
      <w:r>
        <w:t>Results from the open</w:t>
      </w:r>
      <w:r w:rsidR="002469C2">
        <w:t xml:space="preserve"> </w:t>
      </w:r>
      <w:r>
        <w:t>label extensions of the pivotal WA22762 and supportive MRA229JP studies showed that the comparable efficacy demonstrated for weekly (WA22762) or 2</w:t>
      </w:r>
      <w:r w:rsidR="002469C2">
        <w:t xml:space="preserve"> </w:t>
      </w:r>
      <w:r>
        <w:t xml:space="preserve">weekly (MRA229JP) SC and 4-weekly IV </w:t>
      </w:r>
      <w:r w:rsidRPr="00D04866">
        <w:t xml:space="preserve">TCZ </w:t>
      </w:r>
      <w:r>
        <w:t xml:space="preserve">during the DB phase of the studies (based on ACR 20/50/70, DAS28 and so on) was </w:t>
      </w:r>
      <w:r w:rsidRPr="00D04866">
        <w:t>maintained</w:t>
      </w:r>
      <w:r>
        <w:t xml:space="preserve"> for up to 2 years in patients remaining on SC TCZ </w:t>
      </w:r>
      <w:r>
        <w:lastRenderedPageBreak/>
        <w:t xml:space="preserve">or IV TCZ for the total duration of the study and for those switching from IV to SC or SC to IV TCZ. Patients weighing </w:t>
      </w:r>
      <w:r w:rsidRPr="00EE0052">
        <w:t>≥</w:t>
      </w:r>
      <w:r>
        <w:t xml:space="preserve"> </w:t>
      </w:r>
      <w:r w:rsidRPr="00EE0052">
        <w:t>100</w:t>
      </w:r>
      <w:r>
        <w:t xml:space="preserve"> </w:t>
      </w:r>
      <w:r w:rsidRPr="00EE0052">
        <w:t>kg</w:t>
      </w:r>
      <w:r>
        <w:t xml:space="preserve"> were noted to have </w:t>
      </w:r>
      <w:r w:rsidRPr="00EE0052">
        <w:t xml:space="preserve">a lower response for ACR20 on SC </w:t>
      </w:r>
      <w:r>
        <w:t xml:space="preserve">TCZ </w:t>
      </w:r>
      <w:r w:rsidRPr="00EE0052">
        <w:t xml:space="preserve">but a higher response </w:t>
      </w:r>
      <w:r>
        <w:t>for</w:t>
      </w:r>
      <w:r w:rsidRPr="00EE0052">
        <w:t xml:space="preserve"> ACR50 and ACR70, compared to IV dosing</w:t>
      </w:r>
      <w:r>
        <w:t xml:space="preserve"> at Week 24. At Week 97, patients </w:t>
      </w:r>
      <w:r w:rsidRPr="00563B6F">
        <w:t>weighing ≥</w:t>
      </w:r>
      <w:r>
        <w:t xml:space="preserve"> </w:t>
      </w:r>
      <w:r w:rsidRPr="00563B6F">
        <w:t>100</w:t>
      </w:r>
      <w:r>
        <w:t xml:space="preserve"> </w:t>
      </w:r>
      <w:r w:rsidRPr="00563B6F">
        <w:t>kg</w:t>
      </w:r>
      <w:r>
        <w:t xml:space="preserve"> again had lower response rates compared with lighter patients, with </w:t>
      </w:r>
      <w:r w:rsidRPr="00563B6F">
        <w:t>t</w:t>
      </w:r>
      <w:r>
        <w:t>he IV group having lower</w:t>
      </w:r>
      <w:r w:rsidRPr="00563B6F">
        <w:t xml:space="preserve"> response rates </w:t>
      </w:r>
      <w:r>
        <w:t xml:space="preserve">than the SC group </w:t>
      </w:r>
      <w:r w:rsidRPr="00563B6F">
        <w:t>in the ≥</w:t>
      </w:r>
      <w:r>
        <w:t xml:space="preserve"> </w:t>
      </w:r>
      <w:r w:rsidRPr="00563B6F">
        <w:t>100</w:t>
      </w:r>
      <w:r>
        <w:t xml:space="preserve"> </w:t>
      </w:r>
      <w:r w:rsidRPr="00563B6F">
        <w:t>kg group</w:t>
      </w:r>
      <w:r>
        <w:t xml:space="preserve">. Patient numbers in the </w:t>
      </w:r>
      <w:r w:rsidRPr="00563B6F">
        <w:t>≥</w:t>
      </w:r>
      <w:r>
        <w:t xml:space="preserve"> </w:t>
      </w:r>
      <w:r w:rsidRPr="00563B6F">
        <w:t>100</w:t>
      </w:r>
      <w:r>
        <w:t xml:space="preserve"> </w:t>
      </w:r>
      <w:r w:rsidRPr="00563B6F">
        <w:t xml:space="preserve">kg </w:t>
      </w:r>
      <w:r>
        <w:t xml:space="preserve">switch </w:t>
      </w:r>
      <w:r w:rsidRPr="00563B6F">
        <w:t>group</w:t>
      </w:r>
      <w:r>
        <w:t>s were too small for reliable interpretation.</w:t>
      </w:r>
    </w:p>
    <w:p w14:paraId="4463B1C6" w14:textId="77777777" w:rsidR="00EC6A68" w:rsidRDefault="00EC6A68" w:rsidP="00EC6A68">
      <w:r>
        <w:t xml:space="preserve">In the pivotal NA25220 study, patients </w:t>
      </w:r>
      <w:r w:rsidR="002469C2">
        <w:t xml:space="preserve">who commenced and remained on 2 </w:t>
      </w:r>
      <w:r>
        <w:t xml:space="preserve">weekly SC TCZ had no reduction in efficacy during the up to 96 weeks of follow up. Patients switching from placebo to SC TCZ at Week 24 responded </w:t>
      </w:r>
      <w:r w:rsidRPr="00EC1C01">
        <w:t>rapidly</w:t>
      </w:r>
      <w:r>
        <w:t>,</w:t>
      </w:r>
      <w:r w:rsidRPr="00EC1C01">
        <w:t xml:space="preserve"> </w:t>
      </w:r>
      <w:r>
        <w:t>reaching comparable levels to those on continuous TCZ after approximately 8 weeks of treatment, and maintaining this response for the duration of the study. At Week 96</w:t>
      </w:r>
      <w:r w:rsidRPr="00EC12C2">
        <w:t>, patients weighing ≥</w:t>
      </w:r>
      <w:r>
        <w:t xml:space="preserve"> </w:t>
      </w:r>
      <w:r w:rsidRPr="00EC12C2">
        <w:t>100</w:t>
      </w:r>
      <w:r>
        <w:t xml:space="preserve"> </w:t>
      </w:r>
      <w:r w:rsidRPr="00EC12C2">
        <w:t>kg had lower response rates compared with lighter patients,</w:t>
      </w:r>
      <w:r>
        <w:t xml:space="preserve"> but the patient numbers were very low (maximum of 7 patients) making interpretation of these results difficult. However the results were consistent with those reported at Week 24 when the patient numbers were higher in the </w:t>
      </w:r>
      <w:r w:rsidRPr="0069440C">
        <w:t>≥</w:t>
      </w:r>
      <w:r>
        <w:t xml:space="preserve"> </w:t>
      </w:r>
      <w:r w:rsidRPr="0069440C">
        <w:t>100</w:t>
      </w:r>
      <w:r>
        <w:t xml:space="preserve"> </w:t>
      </w:r>
      <w:r w:rsidRPr="0069440C">
        <w:t xml:space="preserve">kg </w:t>
      </w:r>
      <w:r>
        <w:t>group (26 patients).</w:t>
      </w:r>
    </w:p>
    <w:p w14:paraId="4463B1C7" w14:textId="77777777" w:rsidR="00EC6A68" w:rsidRDefault="00EC6A68" w:rsidP="00EC6A68">
      <w:r>
        <w:t>Study ML28338 (LTE of US patients completing either WA22762 or NA25220) provided further supportive evidence of the long-term efficacy of SC TCZ.</w:t>
      </w:r>
    </w:p>
    <w:p w14:paraId="4463B1C8" w14:textId="77777777" w:rsidR="00EC6A68" w:rsidRDefault="00EC6A68" w:rsidP="00EC6A68">
      <w:r>
        <w:t>It is noted that the ACR20/50/70 response rates at weeks 24, 48/49, and 96/97 were similar for patients receiving SC TCZ weekly in study WA22762 and SC TCZ twice weekly in study NA25220. Although these studies were not designed to be directly compared, the patient populations in both studies were similar (moderate to severe RA with an inadequate response to DMARDS). The dosage selection for the pivotal studies was based on PD profiles, however in view of the similar efficacy responses for the two dosage regimens, the sponsor will be asked to comment on this finding and whether there are any planned or existing studies directly comparing clinical outcomes for the two SC dosing regimens. Whether the dosing model for SC TCZ is appropriate was also raised by the ACPM following the origina</w:t>
      </w:r>
      <w:r w:rsidR="002469C2">
        <w:t>l submission.</w:t>
      </w:r>
    </w:p>
    <w:p w14:paraId="4463B1C9" w14:textId="77777777" w:rsidR="00EC6A68" w:rsidRPr="003C2F7A" w:rsidRDefault="00EC6A68" w:rsidP="00EC6A68">
      <w:r w:rsidRPr="00EC1C01">
        <w:t xml:space="preserve">In study MRA229JP self-injection </w:t>
      </w:r>
      <w:r>
        <w:t xml:space="preserve">was undertaken by 82 patients. </w:t>
      </w:r>
      <w:r w:rsidRPr="00EC1C01">
        <w:t xml:space="preserve">No difference in efficacy was noted between the ACR 20/50/70 response rates or DAS28 scores </w:t>
      </w:r>
      <w:r>
        <w:t xml:space="preserve">achieved </w:t>
      </w:r>
      <w:r w:rsidRPr="00EC1C01">
        <w:t xml:space="preserve">with self-injection versus </w:t>
      </w:r>
      <w:r>
        <w:t xml:space="preserve">those achieved </w:t>
      </w:r>
      <w:r w:rsidRPr="00EC1C01">
        <w:t>when TCZ was administered by a healthcare professional.</w:t>
      </w:r>
    </w:p>
    <w:p w14:paraId="4463B1CA" w14:textId="77777777" w:rsidR="00C22678" w:rsidRDefault="00C22678" w:rsidP="00220288">
      <w:pPr>
        <w:pStyle w:val="Heading2"/>
      </w:pPr>
      <w:bookmarkStart w:id="99" w:name="_Toc464136268"/>
      <w:r>
        <w:t>Clinical safety</w:t>
      </w:r>
      <w:bookmarkEnd w:id="99"/>
    </w:p>
    <w:p w14:paraId="4463B1CB" w14:textId="77777777" w:rsidR="00EC6A68" w:rsidRDefault="00EC6A68" w:rsidP="00EC6A68">
      <w:r w:rsidRPr="00471946">
        <w:t xml:space="preserve">As agreed with the TGA at a pre-submission meeting on October 1, 2014, the </w:t>
      </w:r>
      <w:r w:rsidR="00501572">
        <w:t>s</w:t>
      </w:r>
      <w:r w:rsidRPr="00471946">
        <w:t xml:space="preserve">ponsor has submitted updated data from the </w:t>
      </w:r>
      <w:r>
        <w:t>SC TCZ</w:t>
      </w:r>
      <w:r w:rsidRPr="00471946">
        <w:t xml:space="preserve"> clinical trial program</w:t>
      </w:r>
      <w:r w:rsidR="00507684">
        <w:t xml:space="preserve"> beyond that submitted in the previous application</w:t>
      </w:r>
      <w:r w:rsidRPr="00471946">
        <w:t xml:space="preserve"> (</w:t>
      </w:r>
      <w:r w:rsidR="00507684">
        <w:t xml:space="preserve">Studies </w:t>
      </w:r>
      <w:r w:rsidRPr="00471946">
        <w:t xml:space="preserve">WA22762, NA25220, MRA229JP, and ML28338), post-marketing safety data from regions where </w:t>
      </w:r>
      <w:r>
        <w:t>SC TCZ</w:t>
      </w:r>
      <w:r w:rsidRPr="00471946">
        <w:t xml:space="preserve"> has marketing approval and specific analyses on hypersensitivity and anaphylaxis to TCZ to address the concerns of the risks for serious hypersensitivity and/or anaphylactic reactions in the home setting (see </w:t>
      </w:r>
      <w:r w:rsidR="00351BC0">
        <w:t xml:space="preserve">Table </w:t>
      </w:r>
      <w:r w:rsidR="00956CDB">
        <w:t>10</w:t>
      </w:r>
      <w:r w:rsidRPr="00471946">
        <w:t>, below).</w:t>
      </w:r>
    </w:p>
    <w:p w14:paraId="4463B1CC" w14:textId="77777777" w:rsidR="00414006" w:rsidRPr="00471946" w:rsidRDefault="00956CDB" w:rsidP="001B30AB">
      <w:pPr>
        <w:pStyle w:val="Tabletitle"/>
        <w:pageBreakBefore/>
      </w:pPr>
      <w:r>
        <w:lastRenderedPageBreak/>
        <w:t>Table 10</w:t>
      </w:r>
      <w:r w:rsidR="00414006">
        <w:t xml:space="preserve">: </w:t>
      </w:r>
      <w:r w:rsidR="00414006" w:rsidRPr="001B1521">
        <w:t xml:space="preserve">Summary of </w:t>
      </w:r>
      <w:r w:rsidR="00351BC0">
        <w:t>s</w:t>
      </w:r>
      <w:r w:rsidR="00414006" w:rsidRPr="001B1521">
        <w:t xml:space="preserve">ources of </w:t>
      </w:r>
      <w:r w:rsidR="00351BC0">
        <w:t>d</w:t>
      </w:r>
      <w:r w:rsidR="00414006" w:rsidRPr="001B1521">
        <w:t xml:space="preserve">ata for SC TCZ </w:t>
      </w:r>
      <w:r w:rsidR="00351BC0">
        <w:t>s</w:t>
      </w:r>
      <w:r w:rsidR="00414006" w:rsidRPr="001B1521">
        <w:t>afety</w:t>
      </w:r>
    </w:p>
    <w:tbl>
      <w:tblPr>
        <w:tblStyle w:val="TableTGAblue"/>
        <w:tblW w:w="5053" w:type="pct"/>
        <w:tblLook w:val="0020" w:firstRow="1" w:lastRow="0" w:firstColumn="0" w:lastColumn="0" w:noHBand="0" w:noVBand="0"/>
      </w:tblPr>
      <w:tblGrid>
        <w:gridCol w:w="1603"/>
        <w:gridCol w:w="1315"/>
        <w:gridCol w:w="1134"/>
        <w:gridCol w:w="835"/>
        <w:gridCol w:w="1849"/>
        <w:gridCol w:w="906"/>
        <w:gridCol w:w="1698"/>
      </w:tblGrid>
      <w:tr w:rsidR="001B30AB" w:rsidRPr="00501572" w14:paraId="4463B1D1" w14:textId="77777777" w:rsidTr="001B30AB">
        <w:trPr>
          <w:cnfStyle w:val="100000000000" w:firstRow="1" w:lastRow="0" w:firstColumn="0" w:lastColumn="0" w:oddVBand="0" w:evenVBand="0" w:oddHBand="0" w:evenHBand="0" w:firstRowFirstColumn="0" w:firstRowLastColumn="0" w:lastRowFirstColumn="0" w:lastRowLastColumn="0"/>
          <w:tblHeader/>
        </w:trPr>
        <w:tc>
          <w:tcPr>
            <w:tcW w:w="858" w:type="pct"/>
            <w:vMerge w:val="restart"/>
            <w:shd w:val="clear" w:color="auto" w:fill="0070B5" w:themeFill="text2" w:themeFillTint="BF"/>
          </w:tcPr>
          <w:p w14:paraId="4463B1CD" w14:textId="77777777" w:rsidR="001B30AB" w:rsidRPr="00501572" w:rsidRDefault="001B30AB" w:rsidP="00501572">
            <w:pPr>
              <w:rPr>
                <w:sz w:val="18"/>
              </w:rPr>
            </w:pPr>
            <w:r w:rsidRPr="00501572">
              <w:rPr>
                <w:sz w:val="18"/>
              </w:rPr>
              <w:t>Clinical trial</w:t>
            </w:r>
          </w:p>
        </w:tc>
        <w:tc>
          <w:tcPr>
            <w:tcW w:w="704" w:type="pct"/>
            <w:vMerge w:val="restart"/>
            <w:shd w:val="clear" w:color="auto" w:fill="0070B5" w:themeFill="text2" w:themeFillTint="BF"/>
          </w:tcPr>
          <w:p w14:paraId="4463B1CE" w14:textId="77777777" w:rsidR="001B30AB" w:rsidRPr="00501572" w:rsidRDefault="001B30AB" w:rsidP="00501572">
            <w:pPr>
              <w:rPr>
                <w:sz w:val="18"/>
              </w:rPr>
            </w:pPr>
            <w:r w:rsidRPr="00501572">
              <w:rPr>
                <w:sz w:val="18"/>
              </w:rPr>
              <w:t>Follow up</w:t>
            </w:r>
          </w:p>
        </w:tc>
        <w:tc>
          <w:tcPr>
            <w:tcW w:w="2529" w:type="pct"/>
            <w:gridSpan w:val="4"/>
            <w:shd w:val="clear" w:color="auto" w:fill="0070B5" w:themeFill="text2" w:themeFillTint="BF"/>
          </w:tcPr>
          <w:p w14:paraId="4463B1CF" w14:textId="77777777" w:rsidR="001B30AB" w:rsidRPr="00501572" w:rsidRDefault="001B30AB" w:rsidP="00501572">
            <w:pPr>
              <w:rPr>
                <w:sz w:val="18"/>
              </w:rPr>
            </w:pPr>
            <w:r w:rsidRPr="00501572">
              <w:rPr>
                <w:sz w:val="18"/>
              </w:rPr>
              <w:t>SC TCZ exposure</w:t>
            </w:r>
          </w:p>
        </w:tc>
        <w:tc>
          <w:tcPr>
            <w:tcW w:w="909" w:type="pct"/>
            <w:vMerge w:val="restart"/>
            <w:shd w:val="clear" w:color="auto" w:fill="0070B5" w:themeFill="text2" w:themeFillTint="BF"/>
          </w:tcPr>
          <w:p w14:paraId="4463B1D0" w14:textId="77777777" w:rsidR="001B30AB" w:rsidRPr="00501572" w:rsidRDefault="001B30AB" w:rsidP="00501572">
            <w:pPr>
              <w:rPr>
                <w:sz w:val="18"/>
              </w:rPr>
            </w:pPr>
            <w:r w:rsidRPr="00501572">
              <w:rPr>
                <w:sz w:val="18"/>
              </w:rPr>
              <w:t>Home use allowed</w:t>
            </w:r>
            <w:r w:rsidRPr="00501572">
              <w:rPr>
                <w:sz w:val="18"/>
                <w:vertAlign w:val="superscript"/>
              </w:rPr>
              <w:t>†</w:t>
            </w:r>
          </w:p>
        </w:tc>
      </w:tr>
      <w:tr w:rsidR="001B30AB" w:rsidRPr="00501572" w14:paraId="4463B1D7" w14:textId="77777777" w:rsidTr="001B30AB">
        <w:trPr>
          <w:cnfStyle w:val="100000000000" w:firstRow="1" w:lastRow="0" w:firstColumn="0" w:lastColumn="0" w:oddVBand="0" w:evenVBand="0" w:oddHBand="0" w:evenHBand="0" w:firstRowFirstColumn="0" w:firstRowLastColumn="0" w:lastRowFirstColumn="0" w:lastRowLastColumn="0"/>
          <w:trHeight w:val="337"/>
          <w:tblHeader/>
        </w:trPr>
        <w:tc>
          <w:tcPr>
            <w:tcW w:w="858" w:type="pct"/>
            <w:vMerge/>
          </w:tcPr>
          <w:p w14:paraId="4463B1D2" w14:textId="77777777" w:rsidR="001B30AB" w:rsidRPr="00501572" w:rsidRDefault="001B30AB" w:rsidP="00501572">
            <w:pPr>
              <w:rPr>
                <w:sz w:val="18"/>
              </w:rPr>
            </w:pPr>
          </w:p>
        </w:tc>
        <w:tc>
          <w:tcPr>
            <w:tcW w:w="704" w:type="pct"/>
            <w:vMerge/>
          </w:tcPr>
          <w:p w14:paraId="4463B1D3" w14:textId="77777777" w:rsidR="001B30AB" w:rsidRPr="00501572" w:rsidRDefault="001B30AB" w:rsidP="00501572">
            <w:pPr>
              <w:rPr>
                <w:sz w:val="18"/>
              </w:rPr>
            </w:pPr>
          </w:p>
        </w:tc>
        <w:tc>
          <w:tcPr>
            <w:tcW w:w="1054" w:type="pct"/>
            <w:gridSpan w:val="2"/>
          </w:tcPr>
          <w:p w14:paraId="4463B1D4" w14:textId="77777777" w:rsidR="001B30AB" w:rsidRPr="00501572" w:rsidRDefault="001B30AB" w:rsidP="00501572">
            <w:pPr>
              <w:rPr>
                <w:sz w:val="18"/>
              </w:rPr>
            </w:pPr>
            <w:r w:rsidRPr="00501572">
              <w:rPr>
                <w:sz w:val="18"/>
              </w:rPr>
              <w:t>DB Period</w:t>
            </w:r>
          </w:p>
        </w:tc>
        <w:tc>
          <w:tcPr>
            <w:tcW w:w="1475" w:type="pct"/>
            <w:gridSpan w:val="2"/>
          </w:tcPr>
          <w:p w14:paraId="4463B1D5" w14:textId="77777777" w:rsidR="001B30AB" w:rsidRPr="00501572" w:rsidRDefault="001B30AB" w:rsidP="00501572">
            <w:pPr>
              <w:rPr>
                <w:sz w:val="18"/>
              </w:rPr>
            </w:pPr>
            <w:r w:rsidRPr="00501572">
              <w:rPr>
                <w:sz w:val="18"/>
              </w:rPr>
              <w:t>OLE Period</w:t>
            </w:r>
          </w:p>
        </w:tc>
        <w:tc>
          <w:tcPr>
            <w:tcW w:w="909" w:type="pct"/>
            <w:vMerge/>
          </w:tcPr>
          <w:p w14:paraId="4463B1D6" w14:textId="77777777" w:rsidR="001B30AB" w:rsidRPr="00501572" w:rsidRDefault="001B30AB" w:rsidP="00501572">
            <w:pPr>
              <w:rPr>
                <w:sz w:val="18"/>
              </w:rPr>
            </w:pPr>
          </w:p>
        </w:tc>
      </w:tr>
      <w:tr w:rsidR="001B30AB" w:rsidRPr="00501572" w14:paraId="4463B1DF" w14:textId="77777777" w:rsidTr="001B30AB">
        <w:trPr>
          <w:cnfStyle w:val="100000000000" w:firstRow="1" w:lastRow="0" w:firstColumn="0" w:lastColumn="0" w:oddVBand="0" w:evenVBand="0" w:oddHBand="0" w:evenHBand="0" w:firstRowFirstColumn="0" w:firstRowLastColumn="0" w:lastRowFirstColumn="0" w:lastRowLastColumn="0"/>
          <w:trHeight w:val="331"/>
          <w:tblHeader/>
        </w:trPr>
        <w:tc>
          <w:tcPr>
            <w:tcW w:w="858" w:type="pct"/>
            <w:vMerge/>
          </w:tcPr>
          <w:p w14:paraId="4463B1D8" w14:textId="77777777" w:rsidR="001B30AB" w:rsidRPr="00501572" w:rsidRDefault="001B30AB" w:rsidP="00501572">
            <w:pPr>
              <w:rPr>
                <w:sz w:val="18"/>
              </w:rPr>
            </w:pPr>
          </w:p>
        </w:tc>
        <w:tc>
          <w:tcPr>
            <w:tcW w:w="704" w:type="pct"/>
            <w:vMerge/>
          </w:tcPr>
          <w:p w14:paraId="4463B1D9" w14:textId="77777777" w:rsidR="001B30AB" w:rsidRPr="00501572" w:rsidRDefault="001B30AB" w:rsidP="00501572">
            <w:pPr>
              <w:rPr>
                <w:sz w:val="18"/>
              </w:rPr>
            </w:pPr>
          </w:p>
        </w:tc>
        <w:tc>
          <w:tcPr>
            <w:tcW w:w="607" w:type="pct"/>
          </w:tcPr>
          <w:p w14:paraId="4463B1DA" w14:textId="77777777" w:rsidR="001B30AB" w:rsidRPr="00501572" w:rsidRDefault="001B30AB" w:rsidP="00501572">
            <w:pPr>
              <w:rPr>
                <w:sz w:val="18"/>
              </w:rPr>
            </w:pPr>
            <w:r w:rsidRPr="00501572">
              <w:rPr>
                <w:sz w:val="18"/>
              </w:rPr>
              <w:t>Tx Arm</w:t>
            </w:r>
          </w:p>
        </w:tc>
        <w:tc>
          <w:tcPr>
            <w:tcW w:w="447" w:type="pct"/>
          </w:tcPr>
          <w:p w14:paraId="4463B1DB" w14:textId="77777777" w:rsidR="001B30AB" w:rsidRPr="00501572" w:rsidRDefault="001B30AB" w:rsidP="00501572">
            <w:pPr>
              <w:rPr>
                <w:sz w:val="18"/>
              </w:rPr>
            </w:pPr>
            <w:r>
              <w:rPr>
                <w:sz w:val="18"/>
              </w:rPr>
              <w:t>n=</w:t>
            </w:r>
          </w:p>
        </w:tc>
        <w:tc>
          <w:tcPr>
            <w:tcW w:w="990" w:type="pct"/>
          </w:tcPr>
          <w:p w14:paraId="4463B1DC" w14:textId="77777777" w:rsidR="001B30AB" w:rsidRPr="00501572" w:rsidRDefault="001B30AB" w:rsidP="00501572">
            <w:pPr>
              <w:rPr>
                <w:sz w:val="18"/>
              </w:rPr>
            </w:pPr>
            <w:r w:rsidRPr="00501572">
              <w:rPr>
                <w:sz w:val="18"/>
              </w:rPr>
              <w:t>Tx Arm</w:t>
            </w:r>
          </w:p>
        </w:tc>
        <w:tc>
          <w:tcPr>
            <w:tcW w:w="485" w:type="pct"/>
          </w:tcPr>
          <w:p w14:paraId="4463B1DD" w14:textId="77777777" w:rsidR="001B30AB" w:rsidRPr="00501572" w:rsidRDefault="001B30AB" w:rsidP="00501572">
            <w:pPr>
              <w:rPr>
                <w:sz w:val="18"/>
              </w:rPr>
            </w:pPr>
            <w:r>
              <w:rPr>
                <w:sz w:val="18"/>
              </w:rPr>
              <w:t>n=</w:t>
            </w:r>
          </w:p>
        </w:tc>
        <w:tc>
          <w:tcPr>
            <w:tcW w:w="909" w:type="pct"/>
            <w:vMerge/>
          </w:tcPr>
          <w:p w14:paraId="4463B1DE" w14:textId="77777777" w:rsidR="001B30AB" w:rsidRPr="00501572" w:rsidRDefault="001B30AB" w:rsidP="00501572">
            <w:pPr>
              <w:rPr>
                <w:sz w:val="18"/>
              </w:rPr>
            </w:pPr>
          </w:p>
        </w:tc>
      </w:tr>
      <w:tr w:rsidR="00501572" w:rsidRPr="00501572" w14:paraId="4463B1E7" w14:textId="77777777" w:rsidTr="001B30AB">
        <w:trPr>
          <w:cantSplit/>
        </w:trPr>
        <w:tc>
          <w:tcPr>
            <w:tcW w:w="858" w:type="pct"/>
          </w:tcPr>
          <w:p w14:paraId="4463B1E0" w14:textId="77777777" w:rsidR="00501572" w:rsidRPr="00414006" w:rsidRDefault="00501572" w:rsidP="00501572">
            <w:pPr>
              <w:rPr>
                <w:sz w:val="16"/>
              </w:rPr>
            </w:pPr>
            <w:r w:rsidRPr="00414006">
              <w:rPr>
                <w:sz w:val="16"/>
              </w:rPr>
              <w:t>WA22762 (SUMMACTA)</w:t>
            </w:r>
          </w:p>
        </w:tc>
        <w:tc>
          <w:tcPr>
            <w:tcW w:w="704" w:type="pct"/>
          </w:tcPr>
          <w:p w14:paraId="4463B1E1" w14:textId="77777777" w:rsidR="00501572" w:rsidRPr="00414006" w:rsidRDefault="00501572" w:rsidP="00501572">
            <w:pPr>
              <w:rPr>
                <w:sz w:val="16"/>
              </w:rPr>
            </w:pPr>
            <w:r w:rsidRPr="00414006">
              <w:rPr>
                <w:sz w:val="16"/>
              </w:rPr>
              <w:t>2 years (Week 97)</w:t>
            </w:r>
          </w:p>
        </w:tc>
        <w:tc>
          <w:tcPr>
            <w:tcW w:w="607" w:type="pct"/>
          </w:tcPr>
          <w:p w14:paraId="4463B1E2" w14:textId="77777777" w:rsidR="00501572" w:rsidRPr="00414006" w:rsidRDefault="00501572" w:rsidP="00501572">
            <w:pPr>
              <w:rPr>
                <w:sz w:val="16"/>
              </w:rPr>
            </w:pPr>
            <w:r w:rsidRPr="00414006">
              <w:rPr>
                <w:sz w:val="16"/>
              </w:rPr>
              <w:t>SC TCZ qw</w:t>
            </w:r>
          </w:p>
        </w:tc>
        <w:tc>
          <w:tcPr>
            <w:tcW w:w="447" w:type="pct"/>
          </w:tcPr>
          <w:p w14:paraId="4463B1E3" w14:textId="77777777" w:rsidR="00501572" w:rsidRPr="00414006" w:rsidRDefault="00501572" w:rsidP="00501572">
            <w:pPr>
              <w:rPr>
                <w:sz w:val="16"/>
              </w:rPr>
            </w:pPr>
            <w:r w:rsidRPr="00414006">
              <w:rPr>
                <w:sz w:val="16"/>
              </w:rPr>
              <w:t>631</w:t>
            </w:r>
          </w:p>
        </w:tc>
        <w:tc>
          <w:tcPr>
            <w:tcW w:w="990" w:type="pct"/>
          </w:tcPr>
          <w:p w14:paraId="4463B1E4" w14:textId="77777777" w:rsidR="00501572" w:rsidRPr="00414006" w:rsidRDefault="00501572" w:rsidP="00501572">
            <w:pPr>
              <w:rPr>
                <w:sz w:val="16"/>
              </w:rPr>
            </w:pPr>
            <w:r w:rsidRPr="00414006">
              <w:rPr>
                <w:sz w:val="16"/>
              </w:rPr>
              <w:t>IV TCZ</w:t>
            </w:r>
            <w:r w:rsidR="007F4E8B">
              <w:rPr>
                <w:sz w:val="16"/>
              </w:rPr>
              <w:t xml:space="preserve"> then </w:t>
            </w:r>
            <w:r w:rsidRPr="00414006">
              <w:rPr>
                <w:sz w:val="16"/>
              </w:rPr>
              <w:t>SC TCZ qw switch</w:t>
            </w:r>
          </w:p>
        </w:tc>
        <w:tc>
          <w:tcPr>
            <w:tcW w:w="485" w:type="pct"/>
          </w:tcPr>
          <w:p w14:paraId="4463B1E5" w14:textId="77777777" w:rsidR="00501572" w:rsidRPr="00414006" w:rsidRDefault="00501572" w:rsidP="00501572">
            <w:pPr>
              <w:rPr>
                <w:sz w:val="16"/>
              </w:rPr>
            </w:pPr>
            <w:r w:rsidRPr="00414006">
              <w:rPr>
                <w:sz w:val="16"/>
              </w:rPr>
              <w:t>186</w:t>
            </w:r>
          </w:p>
        </w:tc>
        <w:tc>
          <w:tcPr>
            <w:tcW w:w="909" w:type="pct"/>
          </w:tcPr>
          <w:p w14:paraId="4463B1E6" w14:textId="77777777" w:rsidR="00501572" w:rsidRPr="00414006" w:rsidRDefault="00501572" w:rsidP="00501572">
            <w:pPr>
              <w:rPr>
                <w:sz w:val="16"/>
              </w:rPr>
            </w:pPr>
            <w:r w:rsidRPr="00414006">
              <w:rPr>
                <w:sz w:val="16"/>
              </w:rPr>
              <w:t>after 4 injections</w:t>
            </w:r>
          </w:p>
        </w:tc>
      </w:tr>
      <w:tr w:rsidR="00501572" w:rsidRPr="00501572" w14:paraId="4463B1EF" w14:textId="77777777" w:rsidTr="001B30AB">
        <w:trPr>
          <w:cantSplit/>
        </w:trPr>
        <w:tc>
          <w:tcPr>
            <w:tcW w:w="858" w:type="pct"/>
            <w:vMerge w:val="restart"/>
          </w:tcPr>
          <w:p w14:paraId="4463B1E8" w14:textId="77777777" w:rsidR="00501572" w:rsidRPr="00414006" w:rsidRDefault="00501572" w:rsidP="00501572">
            <w:pPr>
              <w:rPr>
                <w:sz w:val="16"/>
              </w:rPr>
            </w:pPr>
            <w:r w:rsidRPr="00414006">
              <w:rPr>
                <w:sz w:val="16"/>
              </w:rPr>
              <w:t>NA25220 (BREVACTA)</w:t>
            </w:r>
          </w:p>
        </w:tc>
        <w:tc>
          <w:tcPr>
            <w:tcW w:w="704" w:type="pct"/>
            <w:vMerge w:val="restart"/>
          </w:tcPr>
          <w:p w14:paraId="4463B1E9" w14:textId="77777777" w:rsidR="00501572" w:rsidRPr="00414006" w:rsidRDefault="00501572" w:rsidP="00501572">
            <w:pPr>
              <w:rPr>
                <w:sz w:val="16"/>
              </w:rPr>
            </w:pPr>
            <w:r w:rsidRPr="00414006">
              <w:rPr>
                <w:sz w:val="16"/>
              </w:rPr>
              <w:t>2 years (Week 96)</w:t>
            </w:r>
          </w:p>
        </w:tc>
        <w:tc>
          <w:tcPr>
            <w:tcW w:w="607" w:type="pct"/>
          </w:tcPr>
          <w:p w14:paraId="4463B1EA" w14:textId="77777777" w:rsidR="00501572" w:rsidRPr="00414006" w:rsidRDefault="00501572" w:rsidP="00501572">
            <w:pPr>
              <w:rPr>
                <w:sz w:val="16"/>
              </w:rPr>
            </w:pPr>
            <w:r w:rsidRPr="00414006">
              <w:rPr>
                <w:sz w:val="16"/>
              </w:rPr>
              <w:t xml:space="preserve">TCZ PFS </w:t>
            </w:r>
            <w:r w:rsidR="00AC528E">
              <w:rPr>
                <w:sz w:val="16"/>
              </w:rPr>
              <w:t>every 2 weeks</w:t>
            </w:r>
          </w:p>
        </w:tc>
        <w:tc>
          <w:tcPr>
            <w:tcW w:w="447" w:type="pct"/>
          </w:tcPr>
          <w:p w14:paraId="4463B1EB" w14:textId="77777777" w:rsidR="00501572" w:rsidRPr="00414006" w:rsidRDefault="00501572" w:rsidP="00501572">
            <w:pPr>
              <w:rPr>
                <w:sz w:val="16"/>
              </w:rPr>
            </w:pPr>
            <w:r w:rsidRPr="00414006">
              <w:rPr>
                <w:sz w:val="16"/>
              </w:rPr>
              <w:t>438</w:t>
            </w:r>
          </w:p>
        </w:tc>
        <w:tc>
          <w:tcPr>
            <w:tcW w:w="990" w:type="pct"/>
          </w:tcPr>
          <w:p w14:paraId="4463B1EC" w14:textId="77777777" w:rsidR="00501572" w:rsidRPr="00414006" w:rsidRDefault="00501572" w:rsidP="00501572">
            <w:pPr>
              <w:rPr>
                <w:sz w:val="16"/>
              </w:rPr>
            </w:pPr>
            <w:r w:rsidRPr="00414006">
              <w:rPr>
                <w:sz w:val="16"/>
              </w:rPr>
              <w:t>Placebo</w:t>
            </w:r>
            <w:r w:rsidR="007F4E8B">
              <w:rPr>
                <w:sz w:val="16"/>
              </w:rPr>
              <w:t xml:space="preserve"> then </w:t>
            </w:r>
            <w:r w:rsidRPr="00414006">
              <w:rPr>
                <w:sz w:val="16"/>
              </w:rPr>
              <w:t xml:space="preserve">TCZ PFS </w:t>
            </w:r>
            <w:r w:rsidR="00AC528E">
              <w:rPr>
                <w:sz w:val="16"/>
              </w:rPr>
              <w:t>every 2 weeks</w:t>
            </w:r>
            <w:r w:rsidRPr="00414006">
              <w:rPr>
                <w:sz w:val="16"/>
              </w:rPr>
              <w:t xml:space="preserve"> switch</w:t>
            </w:r>
          </w:p>
        </w:tc>
        <w:tc>
          <w:tcPr>
            <w:tcW w:w="485" w:type="pct"/>
          </w:tcPr>
          <w:p w14:paraId="4463B1ED" w14:textId="77777777" w:rsidR="00501572" w:rsidRPr="00414006" w:rsidRDefault="00501572" w:rsidP="00501572">
            <w:pPr>
              <w:rPr>
                <w:sz w:val="16"/>
              </w:rPr>
            </w:pPr>
            <w:r w:rsidRPr="00414006">
              <w:rPr>
                <w:sz w:val="16"/>
              </w:rPr>
              <w:t>61</w:t>
            </w:r>
          </w:p>
        </w:tc>
        <w:tc>
          <w:tcPr>
            <w:tcW w:w="909" w:type="pct"/>
            <w:vMerge w:val="restart"/>
          </w:tcPr>
          <w:p w14:paraId="4463B1EE" w14:textId="77777777" w:rsidR="00501572" w:rsidRPr="00414006" w:rsidRDefault="00501572" w:rsidP="00501572">
            <w:pPr>
              <w:rPr>
                <w:sz w:val="16"/>
              </w:rPr>
            </w:pPr>
            <w:r w:rsidRPr="00414006">
              <w:rPr>
                <w:sz w:val="16"/>
              </w:rPr>
              <w:t>after 6 injections</w:t>
            </w:r>
          </w:p>
        </w:tc>
      </w:tr>
      <w:tr w:rsidR="00501572" w:rsidRPr="00501572" w14:paraId="4463B1F7" w14:textId="77777777" w:rsidTr="001B30AB">
        <w:trPr>
          <w:cantSplit/>
        </w:trPr>
        <w:tc>
          <w:tcPr>
            <w:tcW w:w="858" w:type="pct"/>
            <w:vMerge/>
          </w:tcPr>
          <w:p w14:paraId="4463B1F0" w14:textId="77777777" w:rsidR="00501572" w:rsidRPr="00414006" w:rsidRDefault="00501572" w:rsidP="00501572">
            <w:pPr>
              <w:rPr>
                <w:sz w:val="16"/>
              </w:rPr>
            </w:pPr>
          </w:p>
        </w:tc>
        <w:tc>
          <w:tcPr>
            <w:tcW w:w="704" w:type="pct"/>
            <w:vMerge/>
          </w:tcPr>
          <w:p w14:paraId="4463B1F1" w14:textId="77777777" w:rsidR="00501572" w:rsidRPr="00414006" w:rsidRDefault="00501572" w:rsidP="00501572">
            <w:pPr>
              <w:rPr>
                <w:sz w:val="16"/>
              </w:rPr>
            </w:pPr>
          </w:p>
        </w:tc>
        <w:tc>
          <w:tcPr>
            <w:tcW w:w="607" w:type="pct"/>
          </w:tcPr>
          <w:p w14:paraId="4463B1F2" w14:textId="77777777" w:rsidR="00501572" w:rsidRPr="00414006" w:rsidRDefault="00501572" w:rsidP="00501572">
            <w:pPr>
              <w:rPr>
                <w:sz w:val="16"/>
              </w:rPr>
            </w:pPr>
            <w:r w:rsidRPr="00414006">
              <w:rPr>
                <w:sz w:val="16"/>
              </w:rPr>
              <w:t>Placebo escaper</w:t>
            </w:r>
          </w:p>
        </w:tc>
        <w:tc>
          <w:tcPr>
            <w:tcW w:w="447" w:type="pct"/>
          </w:tcPr>
          <w:p w14:paraId="4463B1F3" w14:textId="77777777" w:rsidR="00501572" w:rsidRPr="00414006" w:rsidRDefault="00501572" w:rsidP="00501572">
            <w:pPr>
              <w:rPr>
                <w:sz w:val="16"/>
              </w:rPr>
            </w:pPr>
            <w:r w:rsidRPr="00414006">
              <w:rPr>
                <w:sz w:val="16"/>
              </w:rPr>
              <w:t>90</w:t>
            </w:r>
          </w:p>
        </w:tc>
        <w:tc>
          <w:tcPr>
            <w:tcW w:w="990" w:type="pct"/>
          </w:tcPr>
          <w:p w14:paraId="4463B1F4" w14:textId="77777777" w:rsidR="00501572" w:rsidRPr="00414006" w:rsidRDefault="00501572" w:rsidP="007F4E8B">
            <w:pPr>
              <w:rPr>
                <w:sz w:val="16"/>
              </w:rPr>
            </w:pPr>
            <w:r w:rsidRPr="00414006">
              <w:rPr>
                <w:sz w:val="16"/>
              </w:rPr>
              <w:t>Placebo</w:t>
            </w:r>
            <w:r w:rsidR="007F4E8B">
              <w:rPr>
                <w:sz w:val="16"/>
              </w:rPr>
              <w:t xml:space="preserve"> then </w:t>
            </w:r>
            <w:r w:rsidRPr="00414006">
              <w:rPr>
                <w:sz w:val="16"/>
              </w:rPr>
              <w:t xml:space="preserve">TCZ AI </w:t>
            </w:r>
            <w:r w:rsidR="00AC528E">
              <w:rPr>
                <w:sz w:val="16"/>
              </w:rPr>
              <w:t>every 2 weeks</w:t>
            </w:r>
            <w:r w:rsidRPr="00414006">
              <w:rPr>
                <w:sz w:val="16"/>
              </w:rPr>
              <w:t xml:space="preserve"> switch</w:t>
            </w:r>
          </w:p>
        </w:tc>
        <w:tc>
          <w:tcPr>
            <w:tcW w:w="485" w:type="pct"/>
          </w:tcPr>
          <w:p w14:paraId="4463B1F5" w14:textId="77777777" w:rsidR="00501572" w:rsidRPr="00414006" w:rsidRDefault="00501572" w:rsidP="00501572">
            <w:pPr>
              <w:rPr>
                <w:sz w:val="16"/>
              </w:rPr>
            </w:pPr>
            <w:r w:rsidRPr="00414006">
              <w:rPr>
                <w:sz w:val="16"/>
              </w:rPr>
              <w:t>59</w:t>
            </w:r>
          </w:p>
        </w:tc>
        <w:tc>
          <w:tcPr>
            <w:tcW w:w="909" w:type="pct"/>
            <w:vMerge/>
          </w:tcPr>
          <w:p w14:paraId="4463B1F6" w14:textId="77777777" w:rsidR="00501572" w:rsidRPr="00414006" w:rsidRDefault="00501572" w:rsidP="00501572">
            <w:pPr>
              <w:rPr>
                <w:sz w:val="16"/>
              </w:rPr>
            </w:pPr>
          </w:p>
        </w:tc>
      </w:tr>
      <w:tr w:rsidR="00501572" w:rsidRPr="00501572" w14:paraId="4463B1FF" w14:textId="77777777" w:rsidTr="001B30AB">
        <w:trPr>
          <w:cantSplit/>
        </w:trPr>
        <w:tc>
          <w:tcPr>
            <w:tcW w:w="858" w:type="pct"/>
            <w:vMerge w:val="restart"/>
          </w:tcPr>
          <w:p w14:paraId="4463B1F8" w14:textId="77777777" w:rsidR="00501572" w:rsidRPr="00414006" w:rsidRDefault="00501572" w:rsidP="00501572">
            <w:pPr>
              <w:rPr>
                <w:sz w:val="16"/>
              </w:rPr>
            </w:pPr>
            <w:r w:rsidRPr="00414006">
              <w:rPr>
                <w:sz w:val="16"/>
              </w:rPr>
              <w:t>ML28338 (LTE of WA22762 &amp; NA25220) (data cut-off 26/8/14)</w:t>
            </w:r>
          </w:p>
        </w:tc>
        <w:tc>
          <w:tcPr>
            <w:tcW w:w="704" w:type="pct"/>
            <w:vMerge w:val="restart"/>
          </w:tcPr>
          <w:p w14:paraId="4463B1F9" w14:textId="77777777" w:rsidR="00501572" w:rsidRPr="00414006" w:rsidRDefault="00501572" w:rsidP="00501572">
            <w:pPr>
              <w:rPr>
                <w:sz w:val="16"/>
              </w:rPr>
            </w:pPr>
            <w:r w:rsidRPr="00414006">
              <w:rPr>
                <w:sz w:val="16"/>
              </w:rPr>
              <w:t>Up to an additional 84 weeks‡</w:t>
            </w:r>
          </w:p>
        </w:tc>
        <w:tc>
          <w:tcPr>
            <w:tcW w:w="607" w:type="pct"/>
            <w:vMerge w:val="restart"/>
          </w:tcPr>
          <w:p w14:paraId="4463B1FA" w14:textId="77777777" w:rsidR="00501572" w:rsidRPr="00414006" w:rsidRDefault="00501572" w:rsidP="00501572">
            <w:pPr>
              <w:rPr>
                <w:sz w:val="16"/>
              </w:rPr>
            </w:pPr>
            <w:r w:rsidRPr="00414006">
              <w:rPr>
                <w:sz w:val="16"/>
              </w:rPr>
              <w:t>-</w:t>
            </w:r>
          </w:p>
        </w:tc>
        <w:tc>
          <w:tcPr>
            <w:tcW w:w="447" w:type="pct"/>
            <w:vMerge w:val="restart"/>
          </w:tcPr>
          <w:p w14:paraId="4463B1FB" w14:textId="77777777" w:rsidR="00501572" w:rsidRPr="00414006" w:rsidRDefault="00501572" w:rsidP="00501572">
            <w:pPr>
              <w:rPr>
                <w:sz w:val="16"/>
              </w:rPr>
            </w:pPr>
            <w:r w:rsidRPr="00414006">
              <w:rPr>
                <w:sz w:val="16"/>
              </w:rPr>
              <w:t>-</w:t>
            </w:r>
          </w:p>
        </w:tc>
        <w:tc>
          <w:tcPr>
            <w:tcW w:w="990" w:type="pct"/>
          </w:tcPr>
          <w:p w14:paraId="4463B1FC" w14:textId="77777777" w:rsidR="00501572" w:rsidRPr="00414006" w:rsidRDefault="00501572" w:rsidP="00501572">
            <w:pPr>
              <w:rPr>
                <w:sz w:val="16"/>
              </w:rPr>
            </w:pPr>
            <w:r w:rsidRPr="00414006">
              <w:rPr>
                <w:sz w:val="16"/>
              </w:rPr>
              <w:t>SC TCZ qw</w:t>
            </w:r>
          </w:p>
        </w:tc>
        <w:tc>
          <w:tcPr>
            <w:tcW w:w="485" w:type="pct"/>
          </w:tcPr>
          <w:p w14:paraId="4463B1FD" w14:textId="77777777" w:rsidR="00501572" w:rsidRPr="00414006" w:rsidRDefault="00501572" w:rsidP="00501572">
            <w:pPr>
              <w:rPr>
                <w:sz w:val="16"/>
              </w:rPr>
            </w:pPr>
            <w:r w:rsidRPr="00414006">
              <w:rPr>
                <w:sz w:val="16"/>
              </w:rPr>
              <w:t>173</w:t>
            </w:r>
          </w:p>
        </w:tc>
        <w:tc>
          <w:tcPr>
            <w:tcW w:w="909" w:type="pct"/>
            <w:vMerge w:val="restart"/>
          </w:tcPr>
          <w:p w14:paraId="4463B1FE" w14:textId="77777777" w:rsidR="00501572" w:rsidRPr="00414006" w:rsidRDefault="00414006" w:rsidP="00501572">
            <w:pPr>
              <w:rPr>
                <w:sz w:val="16"/>
              </w:rPr>
            </w:pPr>
            <w:r>
              <w:rPr>
                <w:sz w:val="16"/>
              </w:rPr>
              <w:t>a</w:t>
            </w:r>
            <w:r w:rsidR="00501572" w:rsidRPr="00414006">
              <w:rPr>
                <w:sz w:val="16"/>
              </w:rPr>
              <w:t>s per WA22762</w:t>
            </w:r>
          </w:p>
        </w:tc>
      </w:tr>
      <w:tr w:rsidR="00501572" w:rsidRPr="00501572" w14:paraId="4463B207" w14:textId="77777777" w:rsidTr="001B30AB">
        <w:trPr>
          <w:cantSplit/>
        </w:trPr>
        <w:tc>
          <w:tcPr>
            <w:tcW w:w="858" w:type="pct"/>
            <w:vMerge/>
          </w:tcPr>
          <w:p w14:paraId="4463B200" w14:textId="77777777" w:rsidR="00501572" w:rsidRPr="00414006" w:rsidRDefault="00501572" w:rsidP="00501572">
            <w:pPr>
              <w:rPr>
                <w:sz w:val="16"/>
              </w:rPr>
            </w:pPr>
          </w:p>
        </w:tc>
        <w:tc>
          <w:tcPr>
            <w:tcW w:w="704" w:type="pct"/>
            <w:vMerge/>
          </w:tcPr>
          <w:p w14:paraId="4463B201" w14:textId="77777777" w:rsidR="00501572" w:rsidRPr="00414006" w:rsidRDefault="00501572" w:rsidP="00501572">
            <w:pPr>
              <w:rPr>
                <w:sz w:val="16"/>
              </w:rPr>
            </w:pPr>
          </w:p>
        </w:tc>
        <w:tc>
          <w:tcPr>
            <w:tcW w:w="607" w:type="pct"/>
            <w:vMerge/>
          </w:tcPr>
          <w:p w14:paraId="4463B202" w14:textId="77777777" w:rsidR="00501572" w:rsidRPr="00414006" w:rsidRDefault="00501572" w:rsidP="00501572">
            <w:pPr>
              <w:rPr>
                <w:sz w:val="16"/>
              </w:rPr>
            </w:pPr>
          </w:p>
        </w:tc>
        <w:tc>
          <w:tcPr>
            <w:tcW w:w="447" w:type="pct"/>
            <w:vMerge/>
          </w:tcPr>
          <w:p w14:paraId="4463B203" w14:textId="77777777" w:rsidR="00501572" w:rsidRPr="00414006" w:rsidRDefault="00501572" w:rsidP="00501572">
            <w:pPr>
              <w:rPr>
                <w:sz w:val="16"/>
              </w:rPr>
            </w:pPr>
          </w:p>
        </w:tc>
        <w:tc>
          <w:tcPr>
            <w:tcW w:w="990" w:type="pct"/>
          </w:tcPr>
          <w:p w14:paraId="4463B204" w14:textId="77777777" w:rsidR="00501572" w:rsidRPr="00414006" w:rsidRDefault="00501572" w:rsidP="00501572">
            <w:pPr>
              <w:rPr>
                <w:sz w:val="16"/>
              </w:rPr>
            </w:pPr>
            <w:r w:rsidRPr="00414006">
              <w:rPr>
                <w:sz w:val="16"/>
              </w:rPr>
              <w:t xml:space="preserve">SC TCZ </w:t>
            </w:r>
            <w:r w:rsidR="00AC528E">
              <w:rPr>
                <w:sz w:val="16"/>
              </w:rPr>
              <w:t>every 2 weeks</w:t>
            </w:r>
          </w:p>
        </w:tc>
        <w:tc>
          <w:tcPr>
            <w:tcW w:w="485" w:type="pct"/>
          </w:tcPr>
          <w:p w14:paraId="4463B205" w14:textId="77777777" w:rsidR="00501572" w:rsidRPr="00414006" w:rsidRDefault="00501572" w:rsidP="00501572">
            <w:pPr>
              <w:rPr>
                <w:sz w:val="16"/>
              </w:rPr>
            </w:pPr>
            <w:r w:rsidRPr="00414006">
              <w:rPr>
                <w:sz w:val="16"/>
              </w:rPr>
              <w:t>44</w:t>
            </w:r>
          </w:p>
        </w:tc>
        <w:tc>
          <w:tcPr>
            <w:tcW w:w="909" w:type="pct"/>
            <w:vMerge/>
          </w:tcPr>
          <w:p w14:paraId="4463B206" w14:textId="77777777" w:rsidR="00501572" w:rsidRPr="00414006" w:rsidRDefault="00501572" w:rsidP="00501572">
            <w:pPr>
              <w:rPr>
                <w:sz w:val="16"/>
              </w:rPr>
            </w:pPr>
          </w:p>
        </w:tc>
      </w:tr>
      <w:tr w:rsidR="00501572" w:rsidRPr="00501572" w14:paraId="4463B20F" w14:textId="77777777" w:rsidTr="001B30AB">
        <w:trPr>
          <w:cantSplit/>
        </w:trPr>
        <w:tc>
          <w:tcPr>
            <w:tcW w:w="858" w:type="pct"/>
          </w:tcPr>
          <w:p w14:paraId="4463B208" w14:textId="77777777" w:rsidR="00501572" w:rsidRPr="00414006" w:rsidRDefault="00501572" w:rsidP="00501572">
            <w:pPr>
              <w:rPr>
                <w:sz w:val="16"/>
              </w:rPr>
            </w:pPr>
            <w:r w:rsidRPr="00414006">
              <w:rPr>
                <w:sz w:val="16"/>
              </w:rPr>
              <w:t>MRA229JP</w:t>
            </w:r>
          </w:p>
        </w:tc>
        <w:tc>
          <w:tcPr>
            <w:tcW w:w="704" w:type="pct"/>
          </w:tcPr>
          <w:p w14:paraId="4463B209" w14:textId="77777777" w:rsidR="00501572" w:rsidRPr="00414006" w:rsidRDefault="00501572" w:rsidP="00501572">
            <w:pPr>
              <w:rPr>
                <w:sz w:val="16"/>
              </w:rPr>
            </w:pPr>
            <w:r w:rsidRPr="00414006">
              <w:rPr>
                <w:sz w:val="16"/>
              </w:rPr>
              <w:t>2 years (Week 108)</w:t>
            </w:r>
          </w:p>
        </w:tc>
        <w:tc>
          <w:tcPr>
            <w:tcW w:w="607" w:type="pct"/>
          </w:tcPr>
          <w:p w14:paraId="4463B20A" w14:textId="77777777" w:rsidR="00501572" w:rsidRPr="00414006" w:rsidRDefault="00501572" w:rsidP="00501572">
            <w:pPr>
              <w:rPr>
                <w:sz w:val="16"/>
              </w:rPr>
            </w:pPr>
          </w:p>
        </w:tc>
        <w:tc>
          <w:tcPr>
            <w:tcW w:w="447" w:type="pct"/>
          </w:tcPr>
          <w:p w14:paraId="4463B20B" w14:textId="77777777" w:rsidR="00501572" w:rsidRPr="00414006" w:rsidRDefault="00501572" w:rsidP="00501572">
            <w:pPr>
              <w:rPr>
                <w:sz w:val="16"/>
              </w:rPr>
            </w:pPr>
          </w:p>
        </w:tc>
        <w:tc>
          <w:tcPr>
            <w:tcW w:w="990" w:type="pct"/>
          </w:tcPr>
          <w:p w14:paraId="4463B20C" w14:textId="77777777" w:rsidR="00501572" w:rsidRPr="00414006" w:rsidRDefault="00501572" w:rsidP="00501572">
            <w:pPr>
              <w:rPr>
                <w:sz w:val="16"/>
              </w:rPr>
            </w:pPr>
          </w:p>
        </w:tc>
        <w:tc>
          <w:tcPr>
            <w:tcW w:w="485" w:type="pct"/>
          </w:tcPr>
          <w:p w14:paraId="4463B20D" w14:textId="77777777" w:rsidR="00501572" w:rsidRPr="00414006" w:rsidRDefault="00501572" w:rsidP="00501572">
            <w:pPr>
              <w:rPr>
                <w:sz w:val="16"/>
              </w:rPr>
            </w:pPr>
            <w:r w:rsidRPr="00414006">
              <w:rPr>
                <w:sz w:val="16"/>
              </w:rPr>
              <w:t>346δ</w:t>
            </w:r>
          </w:p>
        </w:tc>
        <w:tc>
          <w:tcPr>
            <w:tcW w:w="909" w:type="pct"/>
          </w:tcPr>
          <w:p w14:paraId="4463B20E" w14:textId="77777777" w:rsidR="00501572" w:rsidRPr="00414006" w:rsidRDefault="00501572" w:rsidP="00501572">
            <w:pPr>
              <w:rPr>
                <w:sz w:val="16"/>
              </w:rPr>
            </w:pPr>
            <w:r w:rsidRPr="00414006">
              <w:rPr>
                <w:sz w:val="16"/>
              </w:rPr>
              <w:t>After 7 injections in the OL period</w:t>
            </w:r>
          </w:p>
        </w:tc>
      </w:tr>
      <w:tr w:rsidR="00501572" w:rsidRPr="00501572" w14:paraId="4463B212" w14:textId="77777777" w:rsidTr="00414006">
        <w:trPr>
          <w:cantSplit/>
        </w:trPr>
        <w:tc>
          <w:tcPr>
            <w:tcW w:w="1562" w:type="pct"/>
            <w:gridSpan w:val="2"/>
          </w:tcPr>
          <w:p w14:paraId="4463B210" w14:textId="77777777" w:rsidR="00501572" w:rsidRPr="00501572" w:rsidRDefault="00501572" w:rsidP="00501572">
            <w:pPr>
              <w:rPr>
                <w:sz w:val="18"/>
              </w:rPr>
            </w:pPr>
            <w:r w:rsidRPr="00501572">
              <w:rPr>
                <w:sz w:val="18"/>
              </w:rPr>
              <w:t>Post-marketing</w:t>
            </w:r>
          </w:p>
        </w:tc>
        <w:tc>
          <w:tcPr>
            <w:tcW w:w="3438" w:type="pct"/>
            <w:gridSpan w:val="5"/>
          </w:tcPr>
          <w:p w14:paraId="4463B211" w14:textId="77777777" w:rsidR="00501572" w:rsidRPr="00501572" w:rsidRDefault="00501572" w:rsidP="00501572">
            <w:pPr>
              <w:rPr>
                <w:sz w:val="18"/>
              </w:rPr>
            </w:pPr>
            <w:r w:rsidRPr="00501572">
              <w:rPr>
                <w:sz w:val="18"/>
              </w:rPr>
              <w:t>Overall SC TCZ exposure</w:t>
            </w:r>
          </w:p>
        </w:tc>
      </w:tr>
      <w:tr w:rsidR="00501572" w:rsidRPr="00501572" w14:paraId="4463B217" w14:textId="77777777" w:rsidTr="00414006">
        <w:trPr>
          <w:cantSplit/>
        </w:trPr>
        <w:tc>
          <w:tcPr>
            <w:tcW w:w="858" w:type="pct"/>
          </w:tcPr>
          <w:p w14:paraId="4463B213" w14:textId="77777777" w:rsidR="00501572" w:rsidRPr="00501572" w:rsidRDefault="00501572" w:rsidP="00501572">
            <w:pPr>
              <w:rPr>
                <w:sz w:val="18"/>
              </w:rPr>
            </w:pPr>
            <w:r w:rsidRPr="00501572">
              <w:rPr>
                <w:sz w:val="18"/>
              </w:rPr>
              <w:t>Roche Global Safety Database (data cut-off 10/10/14)λ</w:t>
            </w:r>
          </w:p>
        </w:tc>
        <w:tc>
          <w:tcPr>
            <w:tcW w:w="704" w:type="pct"/>
          </w:tcPr>
          <w:p w14:paraId="4463B214" w14:textId="77777777" w:rsidR="00501572" w:rsidRPr="00501572" w:rsidRDefault="00501572" w:rsidP="00501572">
            <w:pPr>
              <w:rPr>
                <w:sz w:val="18"/>
              </w:rPr>
            </w:pPr>
          </w:p>
        </w:tc>
        <w:tc>
          <w:tcPr>
            <w:tcW w:w="3438" w:type="pct"/>
            <w:gridSpan w:val="5"/>
          </w:tcPr>
          <w:p w14:paraId="4463B215" w14:textId="77777777" w:rsidR="00501572" w:rsidRPr="00501572" w:rsidRDefault="00501572" w:rsidP="00501572">
            <w:pPr>
              <w:rPr>
                <w:sz w:val="18"/>
              </w:rPr>
            </w:pPr>
            <w:r w:rsidRPr="00501572">
              <w:rPr>
                <w:sz w:val="18"/>
              </w:rPr>
              <w:t>20,920 patients (4,045 from clinical trials and 16,875 from post-marketing experience)</w:t>
            </w:r>
          </w:p>
          <w:p w14:paraId="4463B216" w14:textId="77777777" w:rsidR="00501572" w:rsidRPr="00501572" w:rsidRDefault="00501572" w:rsidP="00501572">
            <w:pPr>
              <w:rPr>
                <w:sz w:val="18"/>
              </w:rPr>
            </w:pPr>
            <w:r w:rsidRPr="00501572">
              <w:rPr>
                <w:sz w:val="18"/>
              </w:rPr>
              <w:t>17,380 PYs (3,716 from clinical trials and 13,664 from post-marketing experience)</w:t>
            </w:r>
          </w:p>
        </w:tc>
      </w:tr>
      <w:tr w:rsidR="00501572" w:rsidRPr="00501572" w14:paraId="4463B21B" w14:textId="77777777" w:rsidTr="00414006">
        <w:trPr>
          <w:cantSplit/>
        </w:trPr>
        <w:tc>
          <w:tcPr>
            <w:tcW w:w="858" w:type="pct"/>
          </w:tcPr>
          <w:p w14:paraId="4463B218" w14:textId="77777777" w:rsidR="00501572" w:rsidRPr="00501572" w:rsidRDefault="00501572" w:rsidP="00501572">
            <w:pPr>
              <w:rPr>
                <w:sz w:val="18"/>
              </w:rPr>
            </w:pPr>
            <w:r w:rsidRPr="00501572">
              <w:rPr>
                <w:sz w:val="18"/>
              </w:rPr>
              <w:t>Research Report</w:t>
            </w:r>
          </w:p>
        </w:tc>
        <w:tc>
          <w:tcPr>
            <w:tcW w:w="704" w:type="pct"/>
          </w:tcPr>
          <w:p w14:paraId="4463B219" w14:textId="77777777" w:rsidR="00501572" w:rsidRPr="00501572" w:rsidRDefault="00501572" w:rsidP="00501572">
            <w:pPr>
              <w:rPr>
                <w:sz w:val="18"/>
              </w:rPr>
            </w:pPr>
          </w:p>
        </w:tc>
        <w:tc>
          <w:tcPr>
            <w:tcW w:w="3438" w:type="pct"/>
            <w:gridSpan w:val="5"/>
          </w:tcPr>
          <w:p w14:paraId="4463B21A" w14:textId="77777777" w:rsidR="00501572" w:rsidRPr="00501572" w:rsidRDefault="00501572" w:rsidP="00501572">
            <w:pPr>
              <w:rPr>
                <w:sz w:val="18"/>
              </w:rPr>
            </w:pPr>
            <w:r w:rsidRPr="00501572">
              <w:rPr>
                <w:sz w:val="18"/>
              </w:rPr>
              <w:t>Nil</w:t>
            </w:r>
          </w:p>
        </w:tc>
      </w:tr>
    </w:tbl>
    <w:p w14:paraId="4463B21C" w14:textId="17BE859C" w:rsidR="00414006" w:rsidRPr="00471946" w:rsidRDefault="00414006" w:rsidP="00220288">
      <w:pPr>
        <w:pStyle w:val="TableDescription"/>
      </w:pPr>
      <w:r w:rsidRPr="00414006">
        <w:rPr>
          <w:vertAlign w:val="superscript"/>
        </w:rPr>
        <w:t>‡</w:t>
      </w:r>
      <w:r w:rsidR="00220288">
        <w:rPr>
          <w:vertAlign w:val="superscript"/>
        </w:rPr>
        <w:t xml:space="preserve"> </w:t>
      </w:r>
      <w:r w:rsidRPr="00471946">
        <w:t xml:space="preserve">only 11/217 (5.1%) remained; 56/217 (25.8%) had 72 weeks further exposure; </w:t>
      </w:r>
      <w:r w:rsidRPr="00414006">
        <w:rPr>
          <w:vertAlign w:val="superscript"/>
        </w:rPr>
        <w:t>†</w:t>
      </w:r>
      <w:r w:rsidRPr="00471946">
        <w:t xml:space="preserve">Allowed under the protocol after a differing number of injections at the clinical site; </w:t>
      </w:r>
      <w:r w:rsidRPr="00471946">
        <w:rPr>
          <w:vertAlign w:val="superscript"/>
        </w:rPr>
        <w:t>δ</w:t>
      </w:r>
      <w:r w:rsidRPr="00471946">
        <w:t xml:space="preserve">333 received at least one SC injection of TCZ; </w:t>
      </w:r>
      <w:r w:rsidRPr="00471946">
        <w:rPr>
          <w:vertAlign w:val="superscript"/>
        </w:rPr>
        <w:t>λ</w:t>
      </w:r>
      <w:r w:rsidRPr="00471946">
        <w:t>which includes data from the two included PBRERs (11 October 2013 to 10 October 2014).</w:t>
      </w:r>
    </w:p>
    <w:p w14:paraId="4463B21D" w14:textId="77777777" w:rsidR="00414006" w:rsidRDefault="00414006" w:rsidP="00220288">
      <w:r w:rsidRPr="00471946">
        <w:t xml:space="preserve">The clinical safety from each source will be reviewed </w:t>
      </w:r>
      <w:r w:rsidR="00507684" w:rsidRPr="00471946">
        <w:t>separately;</w:t>
      </w:r>
      <w:r w:rsidRPr="00471946">
        <w:t xml:space="preserve"> the implications for home use </w:t>
      </w:r>
      <w:r w:rsidR="00507684">
        <w:t>are discussed later.</w:t>
      </w:r>
    </w:p>
    <w:p w14:paraId="4463B21E" w14:textId="77777777" w:rsidR="00414006" w:rsidRDefault="00414006" w:rsidP="00414006">
      <w:r w:rsidRPr="00344FC7">
        <w:t xml:space="preserve">The following is a summary of clinical </w:t>
      </w:r>
      <w:r>
        <w:t>safety from the previous evaluation</w:t>
      </w:r>
      <w:r w:rsidR="007F4E8B">
        <w:t xml:space="preserve"> and </w:t>
      </w:r>
      <w:r w:rsidR="00326EA1">
        <w:t>overview:</w:t>
      </w:r>
    </w:p>
    <w:p w14:paraId="4463B21F" w14:textId="77777777" w:rsidR="00326EA1" w:rsidRDefault="00414006" w:rsidP="00220288">
      <w:pPr>
        <w:pStyle w:val="ListBullet"/>
      </w:pPr>
      <w:r w:rsidRPr="00344FC7">
        <w:t xml:space="preserve">The two pivotal studies </w:t>
      </w:r>
      <w:r w:rsidR="002E6B16">
        <w:t>(</w:t>
      </w:r>
      <w:r w:rsidRPr="005078A7">
        <w:t>WA22762 &amp; NA25</w:t>
      </w:r>
      <w:r>
        <w:t>2</w:t>
      </w:r>
      <w:r w:rsidRPr="005078A7">
        <w:t>20</w:t>
      </w:r>
      <w:r w:rsidR="002E6B16">
        <w:t>)</w:t>
      </w:r>
      <w:r>
        <w:t xml:space="preserve"> </w:t>
      </w:r>
      <w:r w:rsidRPr="00344FC7">
        <w:t>had exposure to SC tocil</w:t>
      </w:r>
      <w:r w:rsidR="00326EA1">
        <w:t>izumab for up to 1 or 2 years.</w:t>
      </w:r>
    </w:p>
    <w:p w14:paraId="4463B220" w14:textId="77777777" w:rsidR="00326EA1" w:rsidRDefault="00414006" w:rsidP="00326EA1">
      <w:pPr>
        <w:pStyle w:val="ListBullet"/>
      </w:pPr>
      <w:r w:rsidRPr="00344FC7">
        <w:t xml:space="preserve">Treatment emergent adverse events were similar between SC and IV groups at an overall 84% on SC </w:t>
      </w:r>
      <w:r w:rsidR="002E6B16">
        <w:t>versus</w:t>
      </w:r>
      <w:r w:rsidRPr="00344FC7">
        <w:t xml:space="preserve"> 80% on IV from the first pivotal study with administration site adverse events being mo</w:t>
      </w:r>
      <w:r w:rsidR="00326EA1">
        <w:t>re common on SC dosing (14.9 versus</w:t>
      </w:r>
      <w:r w:rsidRPr="00344FC7">
        <w:t xml:space="preserve"> 7%) as expected (mostly erythema, pruritus and pain) but</w:t>
      </w:r>
      <w:r w:rsidR="00326EA1">
        <w:t xml:space="preserve"> no difference by body weight.</w:t>
      </w:r>
    </w:p>
    <w:p w14:paraId="4463B221" w14:textId="77777777" w:rsidR="00326EA1" w:rsidRDefault="00414006" w:rsidP="00326EA1">
      <w:pPr>
        <w:pStyle w:val="ListBullet"/>
      </w:pPr>
      <w:r w:rsidRPr="00344FC7">
        <w:t>Deaths occurred in one patient on SC from shock and two on IV from idiopathi</w:t>
      </w:r>
      <w:r w:rsidR="007F4E8B">
        <w:t xml:space="preserve">c pulmonary fibrosis and sepsis or </w:t>
      </w:r>
      <w:r w:rsidRPr="00344FC7">
        <w:t>septic arthritis in the pivotal study with 4 deaths occurring in the second pivotal study (three sep</w:t>
      </w:r>
      <w:r w:rsidR="00326EA1">
        <w:t>sis, one angina).</w:t>
      </w:r>
    </w:p>
    <w:p w14:paraId="4463B222" w14:textId="77777777" w:rsidR="00326EA1" w:rsidRDefault="00414006" w:rsidP="00326EA1">
      <w:pPr>
        <w:pStyle w:val="ListBullet"/>
      </w:pPr>
      <w:r w:rsidRPr="00344FC7">
        <w:lastRenderedPageBreak/>
        <w:t>Serious adverse events and discontinuations due to adverse events occurred at a similar rate with no apparent d</w:t>
      </w:r>
      <w:r w:rsidR="00326EA1">
        <w:t>ifference between the groups.</w:t>
      </w:r>
    </w:p>
    <w:p w14:paraId="4463B223" w14:textId="77777777" w:rsidR="00326EA1" w:rsidRDefault="00326EA1" w:rsidP="00326EA1">
      <w:pPr>
        <w:pStyle w:val="ListBullet"/>
      </w:pPr>
      <w:r>
        <w:t>I</w:t>
      </w:r>
      <w:r w:rsidR="00414006" w:rsidRPr="00344FC7">
        <w:t>ncreases in hepatic transaminases were observed but at a sim</w:t>
      </w:r>
      <w:r>
        <w:t>ilar rate in SC and IV groups.</w:t>
      </w:r>
    </w:p>
    <w:p w14:paraId="4463B224" w14:textId="77777777" w:rsidR="00326EA1" w:rsidRDefault="00414006" w:rsidP="00326EA1">
      <w:pPr>
        <w:pStyle w:val="ListBullet"/>
      </w:pPr>
      <w:r w:rsidRPr="00344FC7">
        <w:t xml:space="preserve">Decreases in neutrophil and platelet counts also occurred at </w:t>
      </w:r>
      <w:r w:rsidR="00326EA1">
        <w:t>a similar rate in both groups.</w:t>
      </w:r>
    </w:p>
    <w:p w14:paraId="4463B225" w14:textId="77777777" w:rsidR="00326EA1" w:rsidRDefault="00414006" w:rsidP="00326EA1">
      <w:pPr>
        <w:pStyle w:val="ListBullet"/>
      </w:pPr>
      <w:r w:rsidRPr="00344FC7">
        <w:t>Neutral</w:t>
      </w:r>
      <w:r>
        <w:t>is</w:t>
      </w:r>
      <w:r w:rsidRPr="00344FC7">
        <w:t xml:space="preserve">ing anti-tocilizumab antibodies occurred in 1.6% on SC </w:t>
      </w:r>
      <w:r w:rsidR="002E6B16">
        <w:t>versus</w:t>
      </w:r>
      <w:r w:rsidRPr="00344FC7">
        <w:t xml:space="preserve"> 1.7%</w:t>
      </w:r>
      <w:r w:rsidR="00326EA1">
        <w:t xml:space="preserve"> on IV from the pivotal study.</w:t>
      </w:r>
    </w:p>
    <w:p w14:paraId="4463B226" w14:textId="77777777" w:rsidR="00326EA1" w:rsidRDefault="00414006" w:rsidP="00326EA1">
      <w:pPr>
        <w:pStyle w:val="ListBullet"/>
      </w:pPr>
      <w:r w:rsidRPr="00344FC7">
        <w:t>The Japanese study, unlike the two pivotal studies, indicated IgE anti-tocilizumab antibodies wer</w:t>
      </w:r>
      <w:r w:rsidR="00326EA1">
        <w:t>e higher on SC than IV (14.5 versus</w:t>
      </w:r>
      <w:r w:rsidRPr="00344FC7">
        <w:t xml:space="preserve"> 5.2%) with injection site reactions being more common in people positive for Ig</w:t>
      </w:r>
      <w:r w:rsidR="00326EA1">
        <w:t>E anti-tocilizumab antibodies.</w:t>
      </w:r>
    </w:p>
    <w:p w14:paraId="4463B227" w14:textId="77777777" w:rsidR="00326EA1" w:rsidRDefault="00414006" w:rsidP="00326EA1">
      <w:pPr>
        <w:pStyle w:val="ListBullet"/>
      </w:pPr>
      <w:r w:rsidRPr="00344FC7">
        <w:t xml:space="preserve">Injection site reactions were more common on SC than IV (11.6% </w:t>
      </w:r>
      <w:r w:rsidR="002E6B16">
        <w:t>versus</w:t>
      </w:r>
      <w:r w:rsidRPr="00344FC7">
        <w:t xml:space="preserve"> 2.4%) and serious infections were sl</w:t>
      </w:r>
      <w:r w:rsidR="00326EA1">
        <w:t>ightly higher (2.5% versus 1.7%).</w:t>
      </w:r>
    </w:p>
    <w:p w14:paraId="4463B228" w14:textId="77777777" w:rsidR="00326EA1" w:rsidRDefault="00414006" w:rsidP="00326EA1">
      <w:pPr>
        <w:pStyle w:val="ListBullet"/>
      </w:pPr>
      <w:r w:rsidRPr="00344FC7">
        <w:t xml:space="preserve">Anaphylaxis occurred in two people on IV and serious hypersensitivity reactions occurred </w:t>
      </w:r>
      <w:r w:rsidR="00326EA1">
        <w:t xml:space="preserve">in four on SC </w:t>
      </w:r>
      <w:r w:rsidR="002E6B16">
        <w:t>versus</w:t>
      </w:r>
      <w:r w:rsidR="00326EA1">
        <w:t xml:space="preserve"> three on IV.</w:t>
      </w:r>
    </w:p>
    <w:p w14:paraId="4463B229" w14:textId="77777777" w:rsidR="00EC6A68" w:rsidRPr="00EC6A68" w:rsidRDefault="00414006" w:rsidP="00EC6A68">
      <w:pPr>
        <w:pStyle w:val="ListBullet"/>
      </w:pPr>
      <w:r w:rsidRPr="00344FC7">
        <w:t>In the fortnightly dosing study, injection site reactions occurred in 6.9%.</w:t>
      </w:r>
    </w:p>
    <w:p w14:paraId="4463B22A" w14:textId="77777777" w:rsidR="003C7846" w:rsidRPr="003C7846" w:rsidRDefault="003C7846" w:rsidP="00EE56D7">
      <w:pPr>
        <w:pStyle w:val="Heading3"/>
        <w:spacing w:before="360"/>
      </w:pPr>
      <w:bookmarkStart w:id="100" w:name="_Toc272414659"/>
      <w:bookmarkStart w:id="101" w:name="_Toc290846284"/>
      <w:bookmarkStart w:id="102" w:name="_Toc367010587"/>
      <w:bookmarkStart w:id="103" w:name="_Toc464136269"/>
      <w:r w:rsidRPr="003C7846">
        <w:t>Studies providing evaluable safety data</w:t>
      </w:r>
      <w:bookmarkEnd w:id="100"/>
      <w:bookmarkEnd w:id="101"/>
      <w:bookmarkEnd w:id="102"/>
      <w:bookmarkEnd w:id="103"/>
    </w:p>
    <w:p w14:paraId="4463B22B" w14:textId="77777777" w:rsidR="00326EA1" w:rsidRPr="005078A7" w:rsidRDefault="00326EA1" w:rsidP="00326EA1">
      <w:bookmarkStart w:id="104" w:name="_Ref269204367"/>
      <w:bookmarkStart w:id="105" w:name="_Ref271195835"/>
      <w:bookmarkStart w:id="106" w:name="_Ref271195841"/>
      <w:bookmarkStart w:id="107" w:name="_Toc272414660"/>
      <w:bookmarkStart w:id="108" w:name="_Toc290846285"/>
      <w:bookmarkStart w:id="109" w:name="_Toc367010588"/>
      <w:r w:rsidRPr="005078A7">
        <w:t xml:space="preserve">The following </w:t>
      </w:r>
      <w:r>
        <w:t xml:space="preserve">pivotal </w:t>
      </w:r>
      <w:r w:rsidRPr="005078A7">
        <w:t>studies provided evalu</w:t>
      </w:r>
      <w:r w:rsidR="003F3AA2">
        <w:t>able safety data: Study WA22762</w:t>
      </w:r>
      <w:r w:rsidRPr="005078A7">
        <w:t xml:space="preserve"> </w:t>
      </w:r>
      <w:r>
        <w:t xml:space="preserve">and </w:t>
      </w:r>
      <w:r w:rsidRPr="005078A7">
        <w:t>Study NA25220</w:t>
      </w:r>
      <w:r>
        <w:t xml:space="preserve">. Additional safety data was provided in Study </w:t>
      </w:r>
      <w:r w:rsidRPr="00596900">
        <w:t>MRA229JP</w:t>
      </w:r>
      <w:r>
        <w:t xml:space="preserve"> (synopsis only submitted) and Study ML28338 (The sponsor will be requested to provide the CSR when it is available</w:t>
      </w:r>
      <w:r w:rsidR="007F4E8B">
        <w:t xml:space="preserve"> in future</w:t>
      </w:r>
      <w:r>
        <w:t>).</w:t>
      </w:r>
    </w:p>
    <w:bookmarkEnd w:id="104"/>
    <w:bookmarkEnd w:id="105"/>
    <w:bookmarkEnd w:id="106"/>
    <w:bookmarkEnd w:id="107"/>
    <w:bookmarkEnd w:id="108"/>
    <w:bookmarkEnd w:id="109"/>
    <w:p w14:paraId="4463B22C" w14:textId="77777777" w:rsidR="003C7846" w:rsidRPr="003C7846" w:rsidRDefault="003C7846" w:rsidP="004A41D2">
      <w:pPr>
        <w:rPr>
          <w:lang w:eastAsia="en-AU"/>
        </w:rPr>
      </w:pPr>
      <w:r w:rsidRPr="003C7846">
        <w:rPr>
          <w:lang w:eastAsia="en-AU"/>
        </w:rPr>
        <w:t>There were no pivotal studies that assessed safety as a primary outcome.</w:t>
      </w:r>
    </w:p>
    <w:p w14:paraId="4463B22D" w14:textId="77777777" w:rsidR="003C7846" w:rsidRDefault="003C7846" w:rsidP="00EE56D7">
      <w:pPr>
        <w:pStyle w:val="Heading3"/>
        <w:spacing w:before="240"/>
      </w:pPr>
      <w:bookmarkStart w:id="110" w:name="_Toc241374318"/>
      <w:bookmarkStart w:id="111" w:name="_Ref271196630"/>
      <w:bookmarkStart w:id="112" w:name="_Toc272414662"/>
      <w:bookmarkStart w:id="113" w:name="_Toc290846300"/>
      <w:bookmarkStart w:id="114" w:name="_Toc367010589"/>
      <w:bookmarkStart w:id="115" w:name="_Toc464136270"/>
      <w:r w:rsidRPr="003C7846">
        <w:t>Patient exposure</w:t>
      </w:r>
      <w:bookmarkEnd w:id="110"/>
      <w:bookmarkEnd w:id="111"/>
      <w:bookmarkEnd w:id="112"/>
      <w:bookmarkEnd w:id="113"/>
      <w:bookmarkEnd w:id="114"/>
      <w:bookmarkEnd w:id="115"/>
    </w:p>
    <w:p w14:paraId="4463B22E" w14:textId="77777777" w:rsidR="00326EA1" w:rsidRDefault="00DD140D" w:rsidP="00326EA1">
      <w:pPr>
        <w:pStyle w:val="Heading4"/>
      </w:pPr>
      <w:r>
        <w:t>Pivotal studies</w:t>
      </w:r>
    </w:p>
    <w:p w14:paraId="4463B22F" w14:textId="77777777" w:rsidR="00C41D84" w:rsidRDefault="00326EA1" w:rsidP="00326EA1">
      <w:pPr>
        <w:autoSpaceDE w:val="0"/>
        <w:autoSpaceDN w:val="0"/>
        <w:adjustRightInd w:val="0"/>
      </w:pPr>
      <w:r>
        <w:t>Mean and median exposure</w:t>
      </w:r>
      <w:r w:rsidR="00DD140D">
        <w:t xml:space="preserve"> in Study WA22762</w:t>
      </w:r>
      <w:r>
        <w:t xml:space="preserve"> was longer for SC administration of TCZ than for IV administration (1.38 and 1.72 years versus 1.12 and 1.44 years, respectively). A further mean </w:t>
      </w:r>
      <w:r w:rsidR="002E6B16">
        <w:t>(</w:t>
      </w:r>
      <w:r>
        <w:t>median</w:t>
      </w:r>
      <w:r w:rsidR="002E6B16">
        <w:t>)</w:t>
      </w:r>
      <w:r>
        <w:t xml:space="preserve"> 1.20 </w:t>
      </w:r>
      <w:r w:rsidR="002E6B16">
        <w:t>(</w:t>
      </w:r>
      <w:r>
        <w:t>1.33</w:t>
      </w:r>
      <w:r w:rsidR="002E6B16">
        <w:t>)</w:t>
      </w:r>
      <w:r>
        <w:t xml:space="preserve"> years and 1.19 </w:t>
      </w:r>
      <w:r w:rsidR="002E6B16">
        <w:t>(</w:t>
      </w:r>
      <w:r>
        <w:t>1.29</w:t>
      </w:r>
      <w:r w:rsidR="002E6B16">
        <w:t>)</w:t>
      </w:r>
      <w:r>
        <w:t xml:space="preserve"> years of SC and IV TCZ exposure, respectively, were added from the switch arms during the OL phase of the study (s</w:t>
      </w:r>
      <w:r w:rsidR="00956CDB">
        <w:t>ee Table 11</w:t>
      </w:r>
      <w:r>
        <w:t xml:space="preserve"> below).</w:t>
      </w:r>
    </w:p>
    <w:p w14:paraId="4463B230" w14:textId="77777777" w:rsidR="00C41D84" w:rsidRDefault="00956CDB" w:rsidP="00C41D84">
      <w:pPr>
        <w:pStyle w:val="Tabletitle"/>
      </w:pPr>
      <w:r>
        <w:t>Table 11</w:t>
      </w:r>
      <w:r w:rsidR="00C41D84">
        <w:t xml:space="preserve">: </w:t>
      </w:r>
      <w:r w:rsidR="00C41D84" w:rsidRPr="00DB1184">
        <w:t>Extent of Exposure</w:t>
      </w:r>
      <w:r w:rsidR="00C41D84" w:rsidRPr="004A2495">
        <w:rPr>
          <w:vertAlign w:val="superscript"/>
        </w:rPr>
        <w:t>†</w:t>
      </w:r>
      <w:r w:rsidR="00C41D84" w:rsidRPr="00DB1184">
        <w:t xml:space="preserve"> to Trial Treatment (Safety Population, WA22762)</w:t>
      </w:r>
    </w:p>
    <w:tbl>
      <w:tblPr>
        <w:tblStyle w:val="TableTGAblue"/>
        <w:tblW w:w="0" w:type="auto"/>
        <w:tblLook w:val="0020" w:firstRow="1" w:lastRow="0" w:firstColumn="0" w:lastColumn="0" w:noHBand="0" w:noVBand="0"/>
      </w:tblPr>
      <w:tblGrid>
        <w:gridCol w:w="3369"/>
        <w:gridCol w:w="1275"/>
        <w:gridCol w:w="1701"/>
        <w:gridCol w:w="1278"/>
        <w:gridCol w:w="1619"/>
      </w:tblGrid>
      <w:tr w:rsidR="00C41D84" w:rsidRPr="007E074A" w14:paraId="4463B23A" w14:textId="77777777" w:rsidTr="00EE56D7">
        <w:trPr>
          <w:cnfStyle w:val="100000000000" w:firstRow="1" w:lastRow="0" w:firstColumn="0" w:lastColumn="0" w:oddVBand="0" w:evenVBand="0" w:oddHBand="0" w:evenHBand="0" w:firstRowFirstColumn="0" w:firstRowLastColumn="0" w:lastRowFirstColumn="0" w:lastRowLastColumn="0"/>
          <w:cantSplit/>
        </w:trPr>
        <w:tc>
          <w:tcPr>
            <w:tcW w:w="3369" w:type="dxa"/>
            <w:shd w:val="clear" w:color="auto" w:fill="0070B5" w:themeFill="text2" w:themeFillTint="BF"/>
          </w:tcPr>
          <w:p w14:paraId="4463B231" w14:textId="77777777" w:rsidR="00C41D84" w:rsidRPr="00EE56D7" w:rsidRDefault="00C41D84" w:rsidP="00EE56D7">
            <w:pPr>
              <w:ind w:left="0" w:right="0"/>
              <w:rPr>
                <w:color w:val="auto"/>
                <w:sz w:val="18"/>
                <w:szCs w:val="18"/>
                <w:lang w:eastAsia="en-US"/>
              </w:rPr>
            </w:pPr>
          </w:p>
        </w:tc>
        <w:tc>
          <w:tcPr>
            <w:tcW w:w="1275" w:type="dxa"/>
            <w:shd w:val="clear" w:color="auto" w:fill="0070B5" w:themeFill="text2" w:themeFillTint="BF"/>
          </w:tcPr>
          <w:p w14:paraId="4463B233" w14:textId="517690A3" w:rsidR="00C41D84" w:rsidRPr="00EE56D7" w:rsidRDefault="00C41D84" w:rsidP="00EE56D7">
            <w:pPr>
              <w:ind w:left="0" w:right="0"/>
              <w:rPr>
                <w:color w:val="auto"/>
                <w:sz w:val="18"/>
                <w:szCs w:val="18"/>
                <w:lang w:eastAsia="en-US"/>
              </w:rPr>
            </w:pPr>
            <w:r w:rsidRPr="00EE56D7">
              <w:rPr>
                <w:sz w:val="18"/>
                <w:szCs w:val="18"/>
              </w:rPr>
              <w:t>SC TCZ</w:t>
            </w:r>
            <w:r w:rsidR="00EE56D7" w:rsidRPr="00EE56D7">
              <w:rPr>
                <w:sz w:val="18"/>
                <w:szCs w:val="18"/>
              </w:rPr>
              <w:br/>
            </w:r>
            <w:r w:rsidRPr="00EE56D7">
              <w:rPr>
                <w:sz w:val="18"/>
                <w:szCs w:val="18"/>
              </w:rPr>
              <w:t>N</w:t>
            </w:r>
            <w:r w:rsidR="007A3A3C" w:rsidRPr="00EE56D7">
              <w:rPr>
                <w:sz w:val="18"/>
                <w:szCs w:val="18"/>
              </w:rPr>
              <w:t> </w:t>
            </w:r>
            <w:r w:rsidRPr="00EE56D7">
              <w:rPr>
                <w:sz w:val="18"/>
                <w:szCs w:val="18"/>
              </w:rPr>
              <w:t>=</w:t>
            </w:r>
            <w:r w:rsidR="007A3A3C" w:rsidRPr="00EE56D7">
              <w:rPr>
                <w:sz w:val="18"/>
                <w:szCs w:val="18"/>
              </w:rPr>
              <w:t> </w:t>
            </w:r>
            <w:r w:rsidRPr="00EE56D7">
              <w:rPr>
                <w:sz w:val="18"/>
                <w:szCs w:val="18"/>
              </w:rPr>
              <w:t>631</w:t>
            </w:r>
          </w:p>
        </w:tc>
        <w:tc>
          <w:tcPr>
            <w:tcW w:w="1701" w:type="dxa"/>
            <w:shd w:val="clear" w:color="auto" w:fill="0070B5" w:themeFill="text2" w:themeFillTint="BF"/>
          </w:tcPr>
          <w:p w14:paraId="4463B235" w14:textId="34D7F479" w:rsidR="00C41D84" w:rsidRPr="00EE56D7" w:rsidRDefault="00C41D84" w:rsidP="00EE56D7">
            <w:pPr>
              <w:ind w:left="0" w:right="0"/>
              <w:rPr>
                <w:color w:val="000000" w:themeColor="text1"/>
                <w:sz w:val="18"/>
                <w:szCs w:val="18"/>
              </w:rPr>
            </w:pPr>
            <w:r w:rsidRPr="00EE56D7">
              <w:rPr>
                <w:sz w:val="18"/>
                <w:szCs w:val="18"/>
              </w:rPr>
              <w:t>IV-SC TCZ</w:t>
            </w:r>
            <w:r w:rsidR="00B06B62" w:rsidRPr="00EE56D7">
              <w:rPr>
                <w:sz w:val="18"/>
                <w:szCs w:val="18"/>
              </w:rPr>
              <w:t xml:space="preserve"> switch</w:t>
            </w:r>
            <w:r w:rsidR="00EE56D7">
              <w:rPr>
                <w:sz w:val="18"/>
                <w:szCs w:val="18"/>
              </w:rPr>
              <w:br/>
            </w:r>
            <w:r w:rsidRPr="00EE56D7">
              <w:rPr>
                <w:sz w:val="18"/>
                <w:szCs w:val="18"/>
              </w:rPr>
              <w:t>N</w:t>
            </w:r>
            <w:r w:rsidR="007A3A3C" w:rsidRPr="00EE56D7">
              <w:rPr>
                <w:sz w:val="18"/>
                <w:szCs w:val="18"/>
              </w:rPr>
              <w:t> </w:t>
            </w:r>
            <w:r w:rsidRPr="00EE56D7">
              <w:rPr>
                <w:sz w:val="18"/>
                <w:szCs w:val="18"/>
              </w:rPr>
              <w:t>=</w:t>
            </w:r>
            <w:r w:rsidR="007A3A3C" w:rsidRPr="00EE56D7">
              <w:rPr>
                <w:sz w:val="18"/>
                <w:szCs w:val="18"/>
              </w:rPr>
              <w:t> </w:t>
            </w:r>
            <w:r w:rsidRPr="00EE56D7">
              <w:rPr>
                <w:sz w:val="18"/>
                <w:szCs w:val="18"/>
              </w:rPr>
              <w:t>186</w:t>
            </w:r>
          </w:p>
        </w:tc>
        <w:tc>
          <w:tcPr>
            <w:tcW w:w="1278" w:type="dxa"/>
            <w:shd w:val="clear" w:color="auto" w:fill="0070B5" w:themeFill="text2" w:themeFillTint="BF"/>
          </w:tcPr>
          <w:p w14:paraId="4463B237" w14:textId="6A40D66B" w:rsidR="00C41D84" w:rsidRPr="00EE56D7" w:rsidRDefault="00C41D84" w:rsidP="00EE56D7">
            <w:pPr>
              <w:ind w:left="0" w:right="0"/>
              <w:rPr>
                <w:color w:val="000000" w:themeColor="text1"/>
                <w:sz w:val="18"/>
                <w:szCs w:val="18"/>
              </w:rPr>
            </w:pPr>
            <w:r w:rsidRPr="00EE56D7">
              <w:rPr>
                <w:sz w:val="18"/>
                <w:szCs w:val="18"/>
              </w:rPr>
              <w:t>IV TCZ</w:t>
            </w:r>
            <w:r w:rsidR="00EE56D7">
              <w:rPr>
                <w:sz w:val="18"/>
                <w:szCs w:val="18"/>
              </w:rPr>
              <w:br/>
            </w:r>
            <w:r w:rsidRPr="00EE56D7">
              <w:rPr>
                <w:sz w:val="18"/>
                <w:szCs w:val="18"/>
              </w:rPr>
              <w:t>N</w:t>
            </w:r>
            <w:r w:rsidR="007A3A3C" w:rsidRPr="00EE56D7">
              <w:rPr>
                <w:sz w:val="18"/>
                <w:szCs w:val="18"/>
              </w:rPr>
              <w:t> </w:t>
            </w:r>
            <w:r w:rsidRPr="00EE56D7">
              <w:rPr>
                <w:sz w:val="18"/>
                <w:szCs w:val="18"/>
              </w:rPr>
              <w:t>=</w:t>
            </w:r>
            <w:r w:rsidR="007A3A3C" w:rsidRPr="00EE56D7">
              <w:rPr>
                <w:sz w:val="18"/>
                <w:szCs w:val="18"/>
              </w:rPr>
              <w:t> </w:t>
            </w:r>
            <w:r w:rsidRPr="00EE56D7">
              <w:rPr>
                <w:sz w:val="18"/>
                <w:szCs w:val="18"/>
              </w:rPr>
              <w:t>631</w:t>
            </w:r>
          </w:p>
        </w:tc>
        <w:tc>
          <w:tcPr>
            <w:tcW w:w="1619" w:type="dxa"/>
            <w:shd w:val="clear" w:color="auto" w:fill="0070B5" w:themeFill="text2" w:themeFillTint="BF"/>
          </w:tcPr>
          <w:p w14:paraId="4463B239" w14:textId="361A9521" w:rsidR="00C41D84" w:rsidRPr="00EE56D7" w:rsidRDefault="00B06B62" w:rsidP="00EE56D7">
            <w:pPr>
              <w:ind w:left="0" w:right="0"/>
              <w:rPr>
                <w:color w:val="000000" w:themeColor="text1"/>
                <w:sz w:val="18"/>
                <w:szCs w:val="18"/>
              </w:rPr>
            </w:pPr>
            <w:r w:rsidRPr="00EE56D7">
              <w:rPr>
                <w:sz w:val="18"/>
                <w:szCs w:val="18"/>
              </w:rPr>
              <w:t>SC-</w:t>
            </w:r>
            <w:r w:rsidR="00C41D84" w:rsidRPr="00EE56D7">
              <w:rPr>
                <w:sz w:val="18"/>
                <w:szCs w:val="18"/>
              </w:rPr>
              <w:t>IV</w:t>
            </w:r>
            <w:r w:rsidRPr="00EE56D7">
              <w:rPr>
                <w:sz w:val="18"/>
                <w:szCs w:val="18"/>
              </w:rPr>
              <w:t xml:space="preserve"> </w:t>
            </w:r>
            <w:r w:rsidR="00C41D84" w:rsidRPr="00EE56D7">
              <w:rPr>
                <w:sz w:val="18"/>
                <w:szCs w:val="18"/>
              </w:rPr>
              <w:t>TCZ</w:t>
            </w:r>
            <w:r w:rsidRPr="00EE56D7">
              <w:rPr>
                <w:sz w:val="18"/>
                <w:szCs w:val="18"/>
              </w:rPr>
              <w:t xml:space="preserve"> switch</w:t>
            </w:r>
            <w:r w:rsidR="00EE56D7">
              <w:rPr>
                <w:sz w:val="18"/>
                <w:szCs w:val="18"/>
              </w:rPr>
              <w:br/>
            </w:r>
            <w:r w:rsidR="00C41D84" w:rsidRPr="00EE56D7">
              <w:rPr>
                <w:sz w:val="18"/>
                <w:szCs w:val="18"/>
              </w:rPr>
              <w:t>N</w:t>
            </w:r>
            <w:r w:rsidR="007A3A3C" w:rsidRPr="00EE56D7">
              <w:rPr>
                <w:sz w:val="18"/>
                <w:szCs w:val="18"/>
              </w:rPr>
              <w:t> </w:t>
            </w:r>
            <w:r w:rsidR="00C41D84" w:rsidRPr="00EE56D7">
              <w:rPr>
                <w:sz w:val="18"/>
                <w:szCs w:val="18"/>
              </w:rPr>
              <w:t>=</w:t>
            </w:r>
            <w:r w:rsidR="007A3A3C" w:rsidRPr="00EE56D7">
              <w:rPr>
                <w:sz w:val="18"/>
                <w:szCs w:val="18"/>
              </w:rPr>
              <w:t> </w:t>
            </w:r>
            <w:r w:rsidR="00C41D84" w:rsidRPr="00EE56D7">
              <w:rPr>
                <w:sz w:val="18"/>
                <w:szCs w:val="18"/>
              </w:rPr>
              <w:t>48</w:t>
            </w:r>
          </w:p>
        </w:tc>
      </w:tr>
      <w:tr w:rsidR="00C41D84" w:rsidRPr="007E074A" w14:paraId="4463B240" w14:textId="77777777" w:rsidTr="00EE56D7">
        <w:trPr>
          <w:cantSplit/>
        </w:trPr>
        <w:tc>
          <w:tcPr>
            <w:tcW w:w="3369" w:type="dxa"/>
          </w:tcPr>
          <w:p w14:paraId="4463B23B" w14:textId="77777777" w:rsidR="00C41D84" w:rsidRPr="00EE56D7" w:rsidRDefault="00C41D84" w:rsidP="00EE56D7">
            <w:pPr>
              <w:ind w:left="0" w:right="0"/>
              <w:rPr>
                <w:color w:val="auto"/>
                <w:sz w:val="18"/>
                <w:szCs w:val="18"/>
                <w:lang w:eastAsia="en-US"/>
              </w:rPr>
            </w:pPr>
            <w:r w:rsidRPr="00EE56D7">
              <w:rPr>
                <w:sz w:val="18"/>
                <w:szCs w:val="18"/>
              </w:rPr>
              <w:t>Extent of exposure (years)</w:t>
            </w:r>
          </w:p>
        </w:tc>
        <w:tc>
          <w:tcPr>
            <w:tcW w:w="1275" w:type="dxa"/>
          </w:tcPr>
          <w:p w14:paraId="4463B23C" w14:textId="77777777" w:rsidR="00C41D84" w:rsidRPr="00EE56D7" w:rsidRDefault="00C41D84" w:rsidP="00EE56D7">
            <w:pPr>
              <w:ind w:left="0" w:right="0"/>
              <w:rPr>
                <w:color w:val="auto"/>
                <w:sz w:val="18"/>
                <w:szCs w:val="18"/>
                <w:lang w:eastAsia="en-US"/>
              </w:rPr>
            </w:pPr>
          </w:p>
        </w:tc>
        <w:tc>
          <w:tcPr>
            <w:tcW w:w="1701" w:type="dxa"/>
          </w:tcPr>
          <w:p w14:paraId="4463B23D" w14:textId="77777777" w:rsidR="00C41D84" w:rsidRPr="00EE56D7" w:rsidRDefault="00C41D84" w:rsidP="00EE56D7">
            <w:pPr>
              <w:ind w:left="0" w:right="0"/>
              <w:rPr>
                <w:color w:val="auto"/>
                <w:sz w:val="18"/>
                <w:szCs w:val="18"/>
                <w:lang w:eastAsia="en-US"/>
              </w:rPr>
            </w:pPr>
          </w:p>
        </w:tc>
        <w:tc>
          <w:tcPr>
            <w:tcW w:w="1278" w:type="dxa"/>
          </w:tcPr>
          <w:p w14:paraId="4463B23E" w14:textId="77777777" w:rsidR="00C41D84" w:rsidRPr="00EE56D7" w:rsidRDefault="00C41D84" w:rsidP="00EE56D7">
            <w:pPr>
              <w:ind w:left="0" w:right="0"/>
              <w:rPr>
                <w:color w:val="auto"/>
                <w:sz w:val="18"/>
                <w:szCs w:val="18"/>
                <w:lang w:eastAsia="en-US"/>
              </w:rPr>
            </w:pPr>
          </w:p>
        </w:tc>
        <w:tc>
          <w:tcPr>
            <w:tcW w:w="1619" w:type="dxa"/>
          </w:tcPr>
          <w:p w14:paraId="4463B23F" w14:textId="77777777" w:rsidR="00C41D84" w:rsidRPr="00EE56D7" w:rsidRDefault="00C41D84" w:rsidP="00EE56D7">
            <w:pPr>
              <w:ind w:left="0" w:right="0"/>
              <w:rPr>
                <w:sz w:val="18"/>
                <w:szCs w:val="18"/>
              </w:rPr>
            </w:pPr>
          </w:p>
        </w:tc>
      </w:tr>
      <w:tr w:rsidR="00C41D84" w:rsidRPr="007E074A" w14:paraId="4463B246" w14:textId="77777777" w:rsidTr="00EE56D7">
        <w:trPr>
          <w:cantSplit/>
        </w:trPr>
        <w:tc>
          <w:tcPr>
            <w:tcW w:w="3369" w:type="dxa"/>
          </w:tcPr>
          <w:p w14:paraId="4463B241" w14:textId="77777777" w:rsidR="00C41D84" w:rsidRPr="00EE56D7" w:rsidRDefault="00C41D84" w:rsidP="00EE56D7">
            <w:pPr>
              <w:ind w:left="0" w:right="0"/>
              <w:rPr>
                <w:color w:val="auto"/>
                <w:sz w:val="18"/>
                <w:szCs w:val="18"/>
                <w:lang w:eastAsia="en-US"/>
              </w:rPr>
            </w:pPr>
            <w:r w:rsidRPr="00EE56D7">
              <w:rPr>
                <w:sz w:val="18"/>
                <w:szCs w:val="18"/>
              </w:rPr>
              <w:t>Mean</w:t>
            </w:r>
          </w:p>
        </w:tc>
        <w:tc>
          <w:tcPr>
            <w:tcW w:w="1275" w:type="dxa"/>
          </w:tcPr>
          <w:p w14:paraId="4463B242" w14:textId="77777777" w:rsidR="00C41D84" w:rsidRPr="00EE56D7" w:rsidRDefault="00C41D84" w:rsidP="00EE56D7">
            <w:pPr>
              <w:ind w:left="0" w:right="0"/>
              <w:rPr>
                <w:color w:val="auto"/>
                <w:sz w:val="18"/>
                <w:szCs w:val="18"/>
                <w:lang w:eastAsia="en-US"/>
              </w:rPr>
            </w:pPr>
            <w:r w:rsidRPr="00EE56D7">
              <w:rPr>
                <w:sz w:val="18"/>
                <w:szCs w:val="18"/>
              </w:rPr>
              <w:t>1.38</w:t>
            </w:r>
          </w:p>
        </w:tc>
        <w:tc>
          <w:tcPr>
            <w:tcW w:w="1701" w:type="dxa"/>
          </w:tcPr>
          <w:p w14:paraId="4463B243" w14:textId="77777777" w:rsidR="00C41D84" w:rsidRPr="00EE56D7" w:rsidRDefault="00C41D84" w:rsidP="00EE56D7">
            <w:pPr>
              <w:ind w:left="0" w:right="0"/>
              <w:rPr>
                <w:sz w:val="18"/>
                <w:szCs w:val="18"/>
              </w:rPr>
            </w:pPr>
            <w:r w:rsidRPr="00EE56D7">
              <w:rPr>
                <w:sz w:val="18"/>
                <w:szCs w:val="18"/>
              </w:rPr>
              <w:t>1.20</w:t>
            </w:r>
          </w:p>
        </w:tc>
        <w:tc>
          <w:tcPr>
            <w:tcW w:w="1278" w:type="dxa"/>
          </w:tcPr>
          <w:p w14:paraId="4463B244" w14:textId="77777777" w:rsidR="00C41D84" w:rsidRPr="00EE56D7" w:rsidRDefault="00C41D84" w:rsidP="00EE56D7">
            <w:pPr>
              <w:ind w:left="0" w:right="0"/>
              <w:rPr>
                <w:sz w:val="18"/>
                <w:szCs w:val="18"/>
              </w:rPr>
            </w:pPr>
            <w:r w:rsidRPr="00EE56D7">
              <w:rPr>
                <w:sz w:val="18"/>
                <w:szCs w:val="18"/>
              </w:rPr>
              <w:t>1.12</w:t>
            </w:r>
          </w:p>
        </w:tc>
        <w:tc>
          <w:tcPr>
            <w:tcW w:w="1619" w:type="dxa"/>
          </w:tcPr>
          <w:p w14:paraId="4463B245" w14:textId="77777777" w:rsidR="00C41D84" w:rsidRPr="00EE56D7" w:rsidRDefault="00C41D84" w:rsidP="00EE56D7">
            <w:pPr>
              <w:ind w:left="0" w:right="0"/>
              <w:rPr>
                <w:sz w:val="18"/>
                <w:szCs w:val="18"/>
              </w:rPr>
            </w:pPr>
            <w:r w:rsidRPr="00EE56D7">
              <w:rPr>
                <w:sz w:val="18"/>
                <w:szCs w:val="18"/>
              </w:rPr>
              <w:t>1.19</w:t>
            </w:r>
          </w:p>
        </w:tc>
      </w:tr>
      <w:tr w:rsidR="00C41D84" w:rsidRPr="007E074A" w14:paraId="4463B24C" w14:textId="77777777" w:rsidTr="00EE56D7">
        <w:trPr>
          <w:cantSplit/>
        </w:trPr>
        <w:tc>
          <w:tcPr>
            <w:tcW w:w="3369" w:type="dxa"/>
          </w:tcPr>
          <w:p w14:paraId="4463B247" w14:textId="77777777" w:rsidR="00C41D84" w:rsidRPr="00EE56D7" w:rsidRDefault="00C41D84" w:rsidP="00EE56D7">
            <w:pPr>
              <w:ind w:left="0" w:right="0"/>
              <w:rPr>
                <w:color w:val="auto"/>
                <w:sz w:val="18"/>
                <w:szCs w:val="18"/>
                <w:lang w:eastAsia="en-US"/>
              </w:rPr>
            </w:pPr>
            <w:r w:rsidRPr="00EE56D7">
              <w:rPr>
                <w:sz w:val="18"/>
                <w:szCs w:val="18"/>
              </w:rPr>
              <w:t>Median</w:t>
            </w:r>
          </w:p>
        </w:tc>
        <w:tc>
          <w:tcPr>
            <w:tcW w:w="1275" w:type="dxa"/>
          </w:tcPr>
          <w:p w14:paraId="4463B248" w14:textId="77777777" w:rsidR="00C41D84" w:rsidRPr="00EE56D7" w:rsidRDefault="00C41D84" w:rsidP="00EE56D7">
            <w:pPr>
              <w:ind w:left="0" w:right="0"/>
              <w:rPr>
                <w:color w:val="auto"/>
                <w:sz w:val="18"/>
                <w:szCs w:val="18"/>
                <w:lang w:eastAsia="en-US"/>
              </w:rPr>
            </w:pPr>
            <w:r w:rsidRPr="00EE56D7">
              <w:rPr>
                <w:sz w:val="18"/>
                <w:szCs w:val="18"/>
              </w:rPr>
              <w:t>1.72</w:t>
            </w:r>
          </w:p>
        </w:tc>
        <w:tc>
          <w:tcPr>
            <w:tcW w:w="1701" w:type="dxa"/>
          </w:tcPr>
          <w:p w14:paraId="4463B249" w14:textId="77777777" w:rsidR="00C41D84" w:rsidRPr="00EE56D7" w:rsidRDefault="00C41D84" w:rsidP="00EE56D7">
            <w:pPr>
              <w:ind w:left="0" w:right="0"/>
              <w:rPr>
                <w:sz w:val="18"/>
                <w:szCs w:val="18"/>
              </w:rPr>
            </w:pPr>
            <w:r w:rsidRPr="00EE56D7">
              <w:rPr>
                <w:sz w:val="18"/>
                <w:szCs w:val="18"/>
              </w:rPr>
              <w:t>1.33</w:t>
            </w:r>
          </w:p>
        </w:tc>
        <w:tc>
          <w:tcPr>
            <w:tcW w:w="1278" w:type="dxa"/>
          </w:tcPr>
          <w:p w14:paraId="4463B24A" w14:textId="77777777" w:rsidR="00C41D84" w:rsidRPr="00EE56D7" w:rsidRDefault="00C41D84" w:rsidP="00EE56D7">
            <w:pPr>
              <w:ind w:left="0" w:right="0"/>
              <w:rPr>
                <w:sz w:val="18"/>
                <w:szCs w:val="18"/>
              </w:rPr>
            </w:pPr>
            <w:r w:rsidRPr="00EE56D7">
              <w:rPr>
                <w:sz w:val="18"/>
                <w:szCs w:val="18"/>
              </w:rPr>
              <w:t>1.44</w:t>
            </w:r>
          </w:p>
        </w:tc>
        <w:tc>
          <w:tcPr>
            <w:tcW w:w="1619" w:type="dxa"/>
          </w:tcPr>
          <w:p w14:paraId="4463B24B" w14:textId="77777777" w:rsidR="00C41D84" w:rsidRPr="00EE56D7" w:rsidRDefault="00C41D84" w:rsidP="00EE56D7">
            <w:pPr>
              <w:ind w:left="0" w:right="0"/>
              <w:rPr>
                <w:sz w:val="18"/>
                <w:szCs w:val="18"/>
              </w:rPr>
            </w:pPr>
            <w:r w:rsidRPr="00EE56D7">
              <w:rPr>
                <w:sz w:val="18"/>
                <w:szCs w:val="18"/>
              </w:rPr>
              <w:t>1.29</w:t>
            </w:r>
          </w:p>
        </w:tc>
      </w:tr>
      <w:tr w:rsidR="00C41D84" w:rsidRPr="007E074A" w14:paraId="4463B252" w14:textId="77777777" w:rsidTr="00EE56D7">
        <w:trPr>
          <w:cantSplit/>
        </w:trPr>
        <w:tc>
          <w:tcPr>
            <w:tcW w:w="3369" w:type="dxa"/>
          </w:tcPr>
          <w:p w14:paraId="4463B24D" w14:textId="77777777" w:rsidR="00C41D84" w:rsidRPr="00EE56D7" w:rsidRDefault="00C41D84" w:rsidP="00EE56D7">
            <w:pPr>
              <w:ind w:left="0" w:right="0"/>
              <w:rPr>
                <w:color w:val="auto"/>
                <w:sz w:val="18"/>
                <w:szCs w:val="18"/>
                <w:lang w:eastAsia="en-US"/>
              </w:rPr>
            </w:pPr>
            <w:r w:rsidRPr="00EE56D7">
              <w:rPr>
                <w:sz w:val="18"/>
                <w:szCs w:val="18"/>
              </w:rPr>
              <w:t>Min</w:t>
            </w:r>
            <w:r w:rsidR="00DD140D" w:rsidRPr="00EE56D7">
              <w:rPr>
                <w:sz w:val="18"/>
                <w:szCs w:val="18"/>
              </w:rPr>
              <w:noBreakHyphen/>
            </w:r>
            <w:r w:rsidRPr="00EE56D7">
              <w:rPr>
                <w:sz w:val="18"/>
                <w:szCs w:val="18"/>
              </w:rPr>
              <w:t>Max</w:t>
            </w:r>
          </w:p>
        </w:tc>
        <w:tc>
          <w:tcPr>
            <w:tcW w:w="1275" w:type="dxa"/>
          </w:tcPr>
          <w:p w14:paraId="4463B24E" w14:textId="0694F04E" w:rsidR="00C41D84" w:rsidRPr="00EE56D7" w:rsidRDefault="00C41D84" w:rsidP="00EE56D7">
            <w:pPr>
              <w:ind w:left="0" w:right="0"/>
              <w:rPr>
                <w:sz w:val="18"/>
                <w:szCs w:val="18"/>
              </w:rPr>
            </w:pPr>
            <w:r w:rsidRPr="00EE56D7">
              <w:rPr>
                <w:sz w:val="18"/>
                <w:szCs w:val="18"/>
              </w:rPr>
              <w:t>0.0</w:t>
            </w:r>
            <w:r w:rsidR="00220288" w:rsidRPr="00EE56D7">
              <w:rPr>
                <w:sz w:val="18"/>
                <w:szCs w:val="18"/>
              </w:rPr>
              <w:t>-</w:t>
            </w:r>
            <w:r w:rsidRPr="00EE56D7">
              <w:rPr>
                <w:sz w:val="18"/>
                <w:szCs w:val="18"/>
              </w:rPr>
              <w:t>1.8</w:t>
            </w:r>
          </w:p>
        </w:tc>
        <w:tc>
          <w:tcPr>
            <w:tcW w:w="1701" w:type="dxa"/>
          </w:tcPr>
          <w:p w14:paraId="4463B24F" w14:textId="40C390C7" w:rsidR="00C41D84" w:rsidRPr="00EE56D7" w:rsidRDefault="00DD140D" w:rsidP="00EE56D7">
            <w:pPr>
              <w:ind w:left="0" w:right="0"/>
              <w:rPr>
                <w:sz w:val="18"/>
                <w:szCs w:val="18"/>
              </w:rPr>
            </w:pPr>
            <w:r w:rsidRPr="00EE56D7">
              <w:rPr>
                <w:sz w:val="18"/>
                <w:szCs w:val="18"/>
              </w:rPr>
              <w:t>0.1</w:t>
            </w:r>
            <w:r w:rsidR="00220288" w:rsidRPr="00EE56D7">
              <w:rPr>
                <w:sz w:val="18"/>
                <w:szCs w:val="18"/>
              </w:rPr>
              <w:t>-</w:t>
            </w:r>
            <w:r w:rsidR="00C41D84" w:rsidRPr="00EE56D7">
              <w:rPr>
                <w:sz w:val="18"/>
                <w:szCs w:val="18"/>
              </w:rPr>
              <w:t>1.4</w:t>
            </w:r>
          </w:p>
        </w:tc>
        <w:tc>
          <w:tcPr>
            <w:tcW w:w="1278" w:type="dxa"/>
          </w:tcPr>
          <w:p w14:paraId="4463B250" w14:textId="7C4F3AFE" w:rsidR="00C41D84" w:rsidRPr="00EE56D7" w:rsidRDefault="00DD140D" w:rsidP="00EE56D7">
            <w:pPr>
              <w:ind w:left="0" w:right="0"/>
              <w:rPr>
                <w:sz w:val="18"/>
                <w:szCs w:val="18"/>
              </w:rPr>
            </w:pPr>
            <w:r w:rsidRPr="00EE56D7">
              <w:rPr>
                <w:sz w:val="18"/>
                <w:szCs w:val="18"/>
              </w:rPr>
              <w:t>0.1</w:t>
            </w:r>
            <w:r w:rsidR="00220288" w:rsidRPr="00EE56D7">
              <w:rPr>
                <w:sz w:val="18"/>
                <w:szCs w:val="18"/>
              </w:rPr>
              <w:t>-</w:t>
            </w:r>
            <w:r w:rsidR="00C41D84" w:rsidRPr="00EE56D7">
              <w:rPr>
                <w:sz w:val="18"/>
                <w:szCs w:val="18"/>
              </w:rPr>
              <w:t>1.8</w:t>
            </w:r>
          </w:p>
        </w:tc>
        <w:tc>
          <w:tcPr>
            <w:tcW w:w="1619" w:type="dxa"/>
          </w:tcPr>
          <w:p w14:paraId="4463B251" w14:textId="6C6932A4" w:rsidR="00C41D84" w:rsidRPr="00EE56D7" w:rsidRDefault="00DD140D" w:rsidP="00EE56D7">
            <w:pPr>
              <w:ind w:left="0" w:right="0"/>
              <w:rPr>
                <w:sz w:val="18"/>
                <w:szCs w:val="18"/>
              </w:rPr>
            </w:pPr>
            <w:r w:rsidRPr="00EE56D7">
              <w:rPr>
                <w:sz w:val="18"/>
                <w:szCs w:val="18"/>
              </w:rPr>
              <w:t>0.1</w:t>
            </w:r>
            <w:r w:rsidR="00220288" w:rsidRPr="00EE56D7">
              <w:rPr>
                <w:sz w:val="18"/>
                <w:szCs w:val="18"/>
              </w:rPr>
              <w:t>-</w:t>
            </w:r>
            <w:r w:rsidR="00C41D84" w:rsidRPr="00EE56D7">
              <w:rPr>
                <w:sz w:val="18"/>
                <w:szCs w:val="18"/>
              </w:rPr>
              <w:t>1.4</w:t>
            </w:r>
          </w:p>
        </w:tc>
      </w:tr>
      <w:tr w:rsidR="00C41D84" w:rsidRPr="007E074A" w14:paraId="4463B258" w14:textId="77777777" w:rsidTr="00EE56D7">
        <w:trPr>
          <w:cantSplit/>
        </w:trPr>
        <w:tc>
          <w:tcPr>
            <w:tcW w:w="3369" w:type="dxa"/>
          </w:tcPr>
          <w:p w14:paraId="4463B253" w14:textId="77777777" w:rsidR="00C41D84" w:rsidRPr="00EE56D7" w:rsidRDefault="00C41D84" w:rsidP="00EE56D7">
            <w:pPr>
              <w:ind w:left="0" w:right="0"/>
              <w:rPr>
                <w:color w:val="auto"/>
                <w:sz w:val="18"/>
                <w:szCs w:val="18"/>
                <w:lang w:eastAsia="en-US"/>
              </w:rPr>
            </w:pPr>
            <w:r w:rsidRPr="00EE56D7">
              <w:rPr>
                <w:sz w:val="18"/>
                <w:szCs w:val="18"/>
              </w:rPr>
              <w:t>Total PY Exposure† to Treatment</w:t>
            </w:r>
          </w:p>
        </w:tc>
        <w:tc>
          <w:tcPr>
            <w:tcW w:w="1275" w:type="dxa"/>
          </w:tcPr>
          <w:p w14:paraId="4463B254" w14:textId="77777777" w:rsidR="00C41D84" w:rsidRPr="00EE56D7" w:rsidRDefault="00C41D84" w:rsidP="00EE56D7">
            <w:pPr>
              <w:ind w:left="0" w:right="0"/>
              <w:rPr>
                <w:color w:val="auto"/>
                <w:sz w:val="18"/>
                <w:szCs w:val="18"/>
                <w:lang w:eastAsia="en-US"/>
              </w:rPr>
            </w:pPr>
            <w:r w:rsidRPr="00EE56D7">
              <w:rPr>
                <w:sz w:val="18"/>
                <w:szCs w:val="18"/>
              </w:rPr>
              <w:t>873.7</w:t>
            </w:r>
          </w:p>
        </w:tc>
        <w:tc>
          <w:tcPr>
            <w:tcW w:w="1701" w:type="dxa"/>
          </w:tcPr>
          <w:p w14:paraId="4463B255" w14:textId="77777777" w:rsidR="00C41D84" w:rsidRPr="00EE56D7" w:rsidRDefault="00C41D84" w:rsidP="00EE56D7">
            <w:pPr>
              <w:ind w:left="0" w:right="0"/>
              <w:rPr>
                <w:sz w:val="18"/>
                <w:szCs w:val="18"/>
              </w:rPr>
            </w:pPr>
            <w:r w:rsidRPr="00EE56D7">
              <w:rPr>
                <w:sz w:val="18"/>
                <w:szCs w:val="18"/>
              </w:rPr>
              <w:t>224.0</w:t>
            </w:r>
          </w:p>
        </w:tc>
        <w:tc>
          <w:tcPr>
            <w:tcW w:w="1278" w:type="dxa"/>
          </w:tcPr>
          <w:p w14:paraId="4463B256" w14:textId="77777777" w:rsidR="00C41D84" w:rsidRPr="00EE56D7" w:rsidRDefault="00C41D84" w:rsidP="00EE56D7">
            <w:pPr>
              <w:ind w:left="0" w:right="0"/>
              <w:rPr>
                <w:sz w:val="18"/>
                <w:szCs w:val="18"/>
              </w:rPr>
            </w:pPr>
            <w:r w:rsidRPr="00EE56D7">
              <w:rPr>
                <w:sz w:val="18"/>
                <w:szCs w:val="18"/>
              </w:rPr>
              <w:t>707.2</w:t>
            </w:r>
          </w:p>
        </w:tc>
        <w:tc>
          <w:tcPr>
            <w:tcW w:w="1619" w:type="dxa"/>
          </w:tcPr>
          <w:p w14:paraId="4463B257" w14:textId="77777777" w:rsidR="00C41D84" w:rsidRPr="00EE56D7" w:rsidRDefault="00C41D84" w:rsidP="00EE56D7">
            <w:pPr>
              <w:ind w:left="0" w:right="0"/>
              <w:rPr>
                <w:sz w:val="18"/>
                <w:szCs w:val="18"/>
              </w:rPr>
            </w:pPr>
            <w:r w:rsidRPr="00EE56D7">
              <w:rPr>
                <w:sz w:val="18"/>
                <w:szCs w:val="18"/>
              </w:rPr>
              <w:t>57.0</w:t>
            </w:r>
          </w:p>
        </w:tc>
      </w:tr>
      <w:tr w:rsidR="00C41D84" w:rsidRPr="007E074A" w14:paraId="4463B25E" w14:textId="77777777" w:rsidTr="00EE56D7">
        <w:trPr>
          <w:cantSplit/>
        </w:trPr>
        <w:tc>
          <w:tcPr>
            <w:tcW w:w="3369" w:type="dxa"/>
          </w:tcPr>
          <w:p w14:paraId="4463B259" w14:textId="77777777" w:rsidR="00C41D84" w:rsidRPr="00EE56D7" w:rsidRDefault="00C41D84" w:rsidP="00EE56D7">
            <w:pPr>
              <w:ind w:left="0" w:right="0"/>
              <w:rPr>
                <w:color w:val="auto"/>
                <w:sz w:val="18"/>
                <w:szCs w:val="18"/>
                <w:lang w:eastAsia="en-US"/>
              </w:rPr>
            </w:pPr>
            <w:r w:rsidRPr="00EE56D7">
              <w:rPr>
                <w:sz w:val="18"/>
                <w:szCs w:val="18"/>
              </w:rPr>
              <w:t>PY Study Duration‡ (used for AE rates)</w:t>
            </w:r>
          </w:p>
        </w:tc>
        <w:tc>
          <w:tcPr>
            <w:tcW w:w="1275" w:type="dxa"/>
          </w:tcPr>
          <w:p w14:paraId="4463B25A" w14:textId="77777777" w:rsidR="00C41D84" w:rsidRPr="00EE56D7" w:rsidRDefault="00C41D84" w:rsidP="00EE56D7">
            <w:pPr>
              <w:ind w:left="0" w:right="0"/>
              <w:rPr>
                <w:color w:val="auto"/>
                <w:sz w:val="18"/>
                <w:szCs w:val="18"/>
                <w:lang w:eastAsia="en-US"/>
              </w:rPr>
            </w:pPr>
            <w:r w:rsidRPr="00EE56D7">
              <w:rPr>
                <w:sz w:val="18"/>
                <w:szCs w:val="18"/>
              </w:rPr>
              <w:t>1013.3</w:t>
            </w:r>
          </w:p>
        </w:tc>
        <w:tc>
          <w:tcPr>
            <w:tcW w:w="1701" w:type="dxa"/>
          </w:tcPr>
          <w:p w14:paraId="4463B25B" w14:textId="77777777" w:rsidR="00C41D84" w:rsidRPr="00EE56D7" w:rsidRDefault="00C41D84" w:rsidP="00EE56D7">
            <w:pPr>
              <w:ind w:left="0" w:right="0"/>
              <w:rPr>
                <w:sz w:val="18"/>
                <w:szCs w:val="18"/>
              </w:rPr>
            </w:pPr>
            <w:r w:rsidRPr="00EE56D7">
              <w:rPr>
                <w:sz w:val="18"/>
                <w:szCs w:val="18"/>
              </w:rPr>
              <w:t>255.8</w:t>
            </w:r>
          </w:p>
        </w:tc>
        <w:tc>
          <w:tcPr>
            <w:tcW w:w="1278" w:type="dxa"/>
          </w:tcPr>
          <w:p w14:paraId="4463B25C" w14:textId="77777777" w:rsidR="00C41D84" w:rsidRPr="00EE56D7" w:rsidRDefault="00C41D84" w:rsidP="00EE56D7">
            <w:pPr>
              <w:ind w:left="0" w:right="0"/>
              <w:rPr>
                <w:sz w:val="18"/>
                <w:szCs w:val="18"/>
              </w:rPr>
            </w:pPr>
            <w:r w:rsidRPr="00EE56D7">
              <w:rPr>
                <w:sz w:val="18"/>
                <w:szCs w:val="18"/>
              </w:rPr>
              <w:t>816.5</w:t>
            </w:r>
          </w:p>
        </w:tc>
        <w:tc>
          <w:tcPr>
            <w:tcW w:w="1619" w:type="dxa"/>
          </w:tcPr>
          <w:p w14:paraId="4463B25D" w14:textId="77777777" w:rsidR="00C41D84" w:rsidRPr="00EE56D7" w:rsidRDefault="00C41D84" w:rsidP="00EE56D7">
            <w:pPr>
              <w:ind w:left="0" w:right="0"/>
              <w:rPr>
                <w:color w:val="auto"/>
                <w:sz w:val="18"/>
                <w:szCs w:val="18"/>
                <w:lang w:eastAsia="en-US"/>
              </w:rPr>
            </w:pPr>
            <w:r w:rsidRPr="00EE56D7">
              <w:rPr>
                <w:sz w:val="18"/>
                <w:szCs w:val="18"/>
              </w:rPr>
              <w:t>66.2</w:t>
            </w:r>
          </w:p>
        </w:tc>
      </w:tr>
    </w:tbl>
    <w:p w14:paraId="4463B25F" w14:textId="09408321" w:rsidR="00C41D84" w:rsidRPr="00DD140D" w:rsidRDefault="00C41D84" w:rsidP="00177958">
      <w:pPr>
        <w:pStyle w:val="TableDescription"/>
      </w:pPr>
      <w:r w:rsidRPr="00DD140D">
        <w:rPr>
          <w:vertAlign w:val="superscript"/>
        </w:rPr>
        <w:t>†</w:t>
      </w:r>
      <w:r w:rsidR="00177958">
        <w:rPr>
          <w:vertAlign w:val="superscript"/>
        </w:rPr>
        <w:t xml:space="preserve"> </w:t>
      </w:r>
      <w:r w:rsidRPr="00DD140D">
        <w:t>Exposure per SC injection = the difference between the dates of a patient's injection and their subsequent injection (capped at 7 days). SC Extent of exposure = Sum of the exposur</w:t>
      </w:r>
      <w:r w:rsidR="00956CDB" w:rsidRPr="00DD140D">
        <w:t xml:space="preserve">e for all injections + 7 days. </w:t>
      </w:r>
      <w:r w:rsidR="00DD140D">
        <w:lastRenderedPageBreak/>
        <w:t>Total </w:t>
      </w:r>
      <w:r w:rsidRPr="00DD140D">
        <w:t xml:space="preserve">patient years exposure is the sum of the exposure across all patients in the treatment group divided by 365.25. </w:t>
      </w:r>
      <w:r w:rsidRPr="00DD140D">
        <w:rPr>
          <w:vertAlign w:val="superscript"/>
        </w:rPr>
        <w:t>‡</w:t>
      </w:r>
      <w:r w:rsidRPr="00DD140D">
        <w:t>Duration in study (years) = (date of last assessment - date of first dose + 1) / 365.25</w:t>
      </w:r>
    </w:p>
    <w:p w14:paraId="4463B260" w14:textId="77777777" w:rsidR="00C41D84" w:rsidRDefault="00DD140D" w:rsidP="00C41D84">
      <w:pPr>
        <w:autoSpaceDE w:val="0"/>
        <w:autoSpaceDN w:val="0"/>
        <w:adjustRightInd w:val="0"/>
      </w:pPr>
      <w:r>
        <w:t>In Study NA25220 t</w:t>
      </w:r>
      <w:r w:rsidR="00C41D84" w:rsidRPr="00F620AB">
        <w:t>he total patient years (PY) of exposure</w:t>
      </w:r>
      <w:r w:rsidR="00C41D84">
        <w:t xml:space="preserve"> was 404.3</w:t>
      </w:r>
      <w:r w:rsidR="00C41D84" w:rsidRPr="00F620AB">
        <w:t xml:space="preserve"> PY (n=437 pati</w:t>
      </w:r>
      <w:r w:rsidR="00C41D84">
        <w:t>ents) in the TCZ PFS arm, 211.6</w:t>
      </w:r>
      <w:r w:rsidR="00C41D84" w:rsidRPr="00F620AB">
        <w:t xml:space="preserve"> PY in the TCZ PFS-to-AI</w:t>
      </w:r>
      <w:r w:rsidR="00C41D84">
        <w:t xml:space="preserve"> arm (n=168 patients), 75.6</w:t>
      </w:r>
      <w:r w:rsidR="00C41D84" w:rsidRPr="00F620AB">
        <w:t xml:space="preserve"> PY in the placebo-to-TCZ PF</w:t>
      </w:r>
      <w:r w:rsidR="00C41D84">
        <w:t>S arm (n=61 patients), and 78.7</w:t>
      </w:r>
      <w:r w:rsidR="00C41D84" w:rsidRPr="00F620AB">
        <w:t xml:space="preserve"> in the placebo-to-TCZ AI arm (n=59 patients).</w:t>
      </w:r>
      <w:r w:rsidR="00C41D84">
        <w:t xml:space="preserve"> </w:t>
      </w:r>
      <w:r w:rsidR="00C41D84" w:rsidRPr="00F620AB">
        <w:t>This is based on the duration of actually received treatment over the 96 weeks of the study in the TCZ PFS treatment arm, but limited to TCZ exposure during the OL period for the other 3 treatment arms.</w:t>
      </w:r>
      <w:r w:rsidR="009F0A80">
        <w:t xml:space="preserve"> </w:t>
      </w:r>
      <w:r w:rsidR="00C41D84">
        <w:t>For escape patients, exposure to TCZ weekly was 126.5</w:t>
      </w:r>
      <w:r w:rsidR="00C41D84" w:rsidRPr="00945EF2">
        <w:t xml:space="preserve"> PY in the prior TCZ arm</w:t>
      </w:r>
      <w:r w:rsidR="00C41D84">
        <w:t xml:space="preserve"> (n=98 patients) and 129.3</w:t>
      </w:r>
      <w:r w:rsidR="00C41D84" w:rsidRPr="00945EF2">
        <w:t xml:space="preserve"> </w:t>
      </w:r>
      <w:r w:rsidR="00C41D84">
        <w:t xml:space="preserve">PY </w:t>
      </w:r>
      <w:r w:rsidR="00C41D84" w:rsidRPr="00945EF2">
        <w:t>in the prior placebo arm (n=91 patients).</w:t>
      </w:r>
    </w:p>
    <w:p w14:paraId="4463B261" w14:textId="77777777" w:rsidR="007F4E8B" w:rsidRPr="00956CDB" w:rsidRDefault="007F4E8B" w:rsidP="007F4E8B">
      <w:pPr>
        <w:pStyle w:val="Heading4"/>
      </w:pPr>
      <w:r>
        <w:t>Other studies</w:t>
      </w:r>
    </w:p>
    <w:p w14:paraId="4463B262" w14:textId="77777777" w:rsidR="00C41D84" w:rsidRPr="00956CDB" w:rsidRDefault="007F4E8B" w:rsidP="007F4E8B">
      <w:r>
        <w:t xml:space="preserve">Only </w:t>
      </w:r>
      <w:r w:rsidRPr="00BF190E">
        <w:t>Study ML28338</w:t>
      </w:r>
      <w:r>
        <w:t xml:space="preserve"> gave patient exposure data with a t</w:t>
      </w:r>
      <w:r w:rsidR="00C41D84" w:rsidRPr="00BF190E">
        <w:t xml:space="preserve">otal </w:t>
      </w:r>
      <w:r w:rsidR="00C41D84">
        <w:t xml:space="preserve">PY duration </w:t>
      </w:r>
      <w:r>
        <w:t>of</w:t>
      </w:r>
      <w:r w:rsidR="00C41D84">
        <w:t xml:space="preserve"> 251.3</w:t>
      </w:r>
      <w:r w:rsidR="00C41D84" w:rsidRPr="00BF190E">
        <w:t xml:space="preserve"> PY for the overall population</w:t>
      </w:r>
      <w:r w:rsidR="00C41D84">
        <w:t>.</w:t>
      </w:r>
    </w:p>
    <w:p w14:paraId="4463B263" w14:textId="77777777" w:rsidR="00956CDB" w:rsidRDefault="00956CDB" w:rsidP="00956CDB">
      <w:pPr>
        <w:pStyle w:val="Heading3"/>
      </w:pPr>
      <w:bookmarkStart w:id="116" w:name="_Toc430267983"/>
      <w:bookmarkStart w:id="117" w:name="_Toc464136271"/>
      <w:r>
        <w:t>A</w:t>
      </w:r>
      <w:bookmarkEnd w:id="116"/>
      <w:r w:rsidR="00F9420A">
        <w:t>ll adverse events irrespective of study treatment</w:t>
      </w:r>
      <w:bookmarkEnd w:id="117"/>
    </w:p>
    <w:p w14:paraId="4463B264" w14:textId="77777777" w:rsidR="00956CDB" w:rsidRPr="00C27CB6" w:rsidRDefault="00F9420A" w:rsidP="00F9420A">
      <w:pPr>
        <w:pStyle w:val="Heading4"/>
      </w:pPr>
      <w:r>
        <w:t>Pivotal studies</w:t>
      </w:r>
    </w:p>
    <w:p w14:paraId="4463B265" w14:textId="77777777" w:rsidR="00956CDB" w:rsidRPr="002C5EAE" w:rsidRDefault="00956CDB" w:rsidP="00956CDB">
      <w:r w:rsidRPr="00AE098B">
        <w:t>Overall</w:t>
      </w:r>
      <w:r w:rsidR="00F9420A">
        <w:t xml:space="preserve"> in Study WA22762,</w:t>
      </w:r>
      <w:r w:rsidRPr="00AE098B">
        <w:t xml:space="preserve"> the vast majority of patients had at least 1 AE, with incidence similar across the treatment groups (8</w:t>
      </w:r>
      <w:r>
        <w:t>8</w:t>
      </w:r>
      <w:r w:rsidRPr="00AE098B">
        <w:t xml:space="preserve">% </w:t>
      </w:r>
      <w:r>
        <w:t xml:space="preserve">on IV, </w:t>
      </w:r>
      <w:r w:rsidRPr="00AE098B">
        <w:t>92%</w:t>
      </w:r>
      <w:r>
        <w:t xml:space="preserve"> o</w:t>
      </w:r>
      <w:r w:rsidR="00F9420A">
        <w:t xml:space="preserve">n SC, 81% on SC IV, &amp; 87% on IV </w:t>
      </w:r>
      <w:r>
        <w:t xml:space="preserve">SC). Administration </w:t>
      </w:r>
      <w:r w:rsidR="00F9420A">
        <w:t>s</w:t>
      </w:r>
      <w:r>
        <w:t xml:space="preserve">ite </w:t>
      </w:r>
      <w:r w:rsidR="00F9420A">
        <w:t>c</w:t>
      </w:r>
      <w:r>
        <w:t>onditions were more common in the SC (20.8%) and IV</w:t>
      </w:r>
      <w:r w:rsidR="00F9420A">
        <w:t xml:space="preserve"> </w:t>
      </w:r>
      <w:r>
        <w:t>SC (14.5%) patients than in the IV (12.0%) and SC</w:t>
      </w:r>
      <w:r w:rsidR="00F9420A">
        <w:t xml:space="preserve"> IV (8.3%) patients. </w:t>
      </w:r>
      <w:r>
        <w:t>Rates for AEs</w:t>
      </w:r>
      <w:r w:rsidRPr="002C5EAE">
        <w:t xml:space="preserve"> were compara</w:t>
      </w:r>
      <w:r>
        <w:t xml:space="preserve">ble in the SC and IV TCZ arms. </w:t>
      </w:r>
      <w:r w:rsidR="00F9420A">
        <w:t xml:space="preserve">Rates were also similar for IV </w:t>
      </w:r>
      <w:r w:rsidRPr="002C5EAE">
        <w:t>SC switch patie</w:t>
      </w:r>
      <w:r w:rsidR="00F9420A">
        <w:t xml:space="preserve">nts. </w:t>
      </w:r>
      <w:r w:rsidRPr="002C5EAE">
        <w:t>Duration of exposure and e</w:t>
      </w:r>
      <w:r w:rsidR="00F9420A">
        <w:t xml:space="preserve">vent numbers were low in the SC </w:t>
      </w:r>
      <w:r w:rsidRPr="002C5EAE">
        <w:t>IV switch patients with wide CIs, but rates were generally comparable</w:t>
      </w:r>
      <w:r>
        <w:t xml:space="preserve"> to the other treatment arms (</w:t>
      </w:r>
      <w:r w:rsidR="00F9420A">
        <w:t xml:space="preserve">see </w:t>
      </w:r>
      <w:r>
        <w:t>Table 12</w:t>
      </w:r>
      <w:r w:rsidRPr="00AE098B">
        <w:t>, belo</w:t>
      </w:r>
      <w:r>
        <w:t>w)</w:t>
      </w:r>
      <w:r w:rsidRPr="002C5EAE">
        <w:t>.</w:t>
      </w:r>
    </w:p>
    <w:p w14:paraId="4463B266" w14:textId="77777777" w:rsidR="00956CDB" w:rsidRPr="004A5ABB" w:rsidRDefault="00956CDB" w:rsidP="004A5ABB">
      <w:pPr>
        <w:pStyle w:val="Tabletitle"/>
      </w:pPr>
      <w:r w:rsidRPr="004A5ABB">
        <w:t xml:space="preserve">Table 12: Overview of </w:t>
      </w:r>
      <w:r w:rsidR="00F9420A">
        <w:t>a</w:t>
      </w:r>
      <w:r w:rsidRPr="004A5ABB">
        <w:t xml:space="preserve">dverse </w:t>
      </w:r>
      <w:r w:rsidR="00F9420A">
        <w:t>e</w:t>
      </w:r>
      <w:r w:rsidRPr="004A5ABB">
        <w:t xml:space="preserve">vents: </w:t>
      </w:r>
      <w:r w:rsidR="00F9420A">
        <w:t>R</w:t>
      </w:r>
      <w:r w:rsidRPr="004A5ABB">
        <w:t xml:space="preserve">ate </w:t>
      </w:r>
      <w:r w:rsidR="002E6B16">
        <w:t>(</w:t>
      </w:r>
      <w:r w:rsidRPr="004A5ABB">
        <w:t>95% CI</w:t>
      </w:r>
      <w:r w:rsidR="002E6B16">
        <w:t>)</w:t>
      </w:r>
      <w:r w:rsidRPr="004A5ABB">
        <w:t xml:space="preserve"> per 100 PY (</w:t>
      </w:r>
      <w:r w:rsidR="00F9420A">
        <w:t>s</w:t>
      </w:r>
      <w:r w:rsidRPr="004A5ABB">
        <w:t xml:space="preserve">afety </w:t>
      </w:r>
      <w:r w:rsidR="00F9420A">
        <w:t>p</w:t>
      </w:r>
      <w:r w:rsidRPr="004A5ABB">
        <w:t>opulation, WA22762)</w:t>
      </w:r>
    </w:p>
    <w:p w14:paraId="4463B267" w14:textId="77777777" w:rsidR="00956CDB" w:rsidRPr="002C5EAE" w:rsidRDefault="00956CDB" w:rsidP="003B05FB">
      <w:r>
        <w:rPr>
          <w:noProof/>
          <w:lang w:eastAsia="en-AU"/>
        </w:rPr>
        <w:drawing>
          <wp:inline distT="0" distB="0" distL="0" distR="0" wp14:anchorId="4463B3E4" wp14:editId="57AB7F87">
            <wp:extent cx="4591028" cy="3203043"/>
            <wp:effectExtent l="0" t="0" r="635" b="0"/>
            <wp:docPr id="14" name="Picture 14" descr="Table 12: Overview of adverse events: Rate (95% CI) per 100 PY (safety population, WA22762)" title="Table 12: Overview of adverse events: Rate (95% CI) per 100 PY (safety population, WA2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92690" cy="3204203"/>
                    </a:xfrm>
                    <a:prstGeom prst="rect">
                      <a:avLst/>
                    </a:prstGeom>
                    <a:noFill/>
                    <a:ln>
                      <a:noFill/>
                    </a:ln>
                  </pic:spPr>
                </pic:pic>
              </a:graphicData>
            </a:graphic>
          </wp:inline>
        </w:drawing>
      </w:r>
    </w:p>
    <w:p w14:paraId="4463B268" w14:textId="77777777" w:rsidR="00956CDB" w:rsidRPr="00E81A7C" w:rsidRDefault="00956CDB" w:rsidP="00956CDB">
      <w:r w:rsidRPr="00E81A7C">
        <w:t xml:space="preserve">Most events occurred at a similar rate per 100 PY </w:t>
      </w:r>
      <w:r w:rsidR="002E6B16">
        <w:t>(</w:t>
      </w:r>
      <w:r w:rsidRPr="00E81A7C">
        <w:t>95% CI</w:t>
      </w:r>
      <w:r w:rsidR="002E6B16">
        <w:t>)</w:t>
      </w:r>
      <w:r w:rsidRPr="00E81A7C">
        <w:t xml:space="preserve"> in the contin</w:t>
      </w:r>
      <w:r w:rsidR="00F9420A">
        <w:t>uous SC and IV treatment arms,</w:t>
      </w:r>
      <w:r>
        <w:t xml:space="preserve"> </w:t>
      </w:r>
      <w:r w:rsidR="00F9420A">
        <w:t>f</w:t>
      </w:r>
      <w:r w:rsidRPr="00E81A7C">
        <w:t>or example:</w:t>
      </w:r>
    </w:p>
    <w:p w14:paraId="4463B269" w14:textId="77777777" w:rsidR="00956CDB" w:rsidRPr="00E81A7C" w:rsidRDefault="00956CDB" w:rsidP="003B05FB">
      <w:pPr>
        <w:pStyle w:val="ListBullet"/>
      </w:pPr>
      <w:r w:rsidRPr="00E81A7C">
        <w:t>in</w:t>
      </w:r>
      <w:r>
        <w:t xml:space="preserve">fection and infestation events: </w:t>
      </w:r>
      <w:r w:rsidRPr="00E81A7C">
        <w:t xml:space="preserve">108.7 </w:t>
      </w:r>
      <w:r w:rsidR="002E6B16">
        <w:t>(</w:t>
      </w:r>
      <w:r w:rsidRPr="00E81A7C">
        <w:t>102.3, 115.3</w:t>
      </w:r>
      <w:r w:rsidR="002E6B16">
        <w:t>)</w:t>
      </w:r>
      <w:r w:rsidRPr="00E81A7C">
        <w:t xml:space="preserve"> v</w:t>
      </w:r>
      <w:r>
        <w:t>ersu</w:t>
      </w:r>
      <w:r w:rsidRPr="00E81A7C">
        <w:t xml:space="preserve">s 105.6 </w:t>
      </w:r>
      <w:r w:rsidR="002E6B16">
        <w:t>(</w:t>
      </w:r>
      <w:r w:rsidRPr="00E81A7C">
        <w:t>98.6, 112.9</w:t>
      </w:r>
      <w:r w:rsidR="002E6B16">
        <w:t>)</w:t>
      </w:r>
    </w:p>
    <w:p w14:paraId="4463B26A" w14:textId="77777777" w:rsidR="00956CDB" w:rsidRPr="00E81A7C" w:rsidRDefault="00956CDB" w:rsidP="003B05FB">
      <w:pPr>
        <w:pStyle w:val="ListBullet"/>
      </w:pPr>
      <w:r>
        <w:t xml:space="preserve">serious infection: </w:t>
      </w:r>
      <w:r w:rsidRPr="00E81A7C">
        <w:t xml:space="preserve">4.0 </w:t>
      </w:r>
      <w:r w:rsidR="002E6B16">
        <w:t>(</w:t>
      </w:r>
      <w:r w:rsidRPr="00E81A7C">
        <w:t>2.8, 5.4</w:t>
      </w:r>
      <w:r w:rsidR="002E6B16">
        <w:t>)</w:t>
      </w:r>
      <w:r w:rsidRPr="00E81A7C">
        <w:t xml:space="preserve"> </w:t>
      </w:r>
      <w:r w:rsidR="002E6B16">
        <w:t>versus</w:t>
      </w:r>
      <w:r w:rsidRPr="00E81A7C">
        <w:t xml:space="preserve"> 3.9 </w:t>
      </w:r>
      <w:r w:rsidR="002E6B16">
        <w:t>(</w:t>
      </w:r>
      <w:r w:rsidRPr="00E81A7C">
        <w:t>2.7, 5.5</w:t>
      </w:r>
      <w:r w:rsidR="002E6B16">
        <w:t>)</w:t>
      </w:r>
    </w:p>
    <w:p w14:paraId="4463B26B" w14:textId="77777777" w:rsidR="00956CDB" w:rsidRPr="00E81A7C" w:rsidRDefault="00956CDB" w:rsidP="003B05FB">
      <w:pPr>
        <w:pStyle w:val="ListBullet"/>
      </w:pPr>
      <w:r w:rsidRPr="00E81A7C">
        <w:lastRenderedPageBreak/>
        <w:t>adjudicated mal</w:t>
      </w:r>
      <w:r>
        <w:t xml:space="preserve">ignancies (including NMSC AEs): 0.9 </w:t>
      </w:r>
      <w:r w:rsidR="002E6B16">
        <w:t>(</w:t>
      </w:r>
      <w:r>
        <w:t>0.4, 1.7</w:t>
      </w:r>
      <w:r w:rsidR="002E6B16">
        <w:t>)</w:t>
      </w:r>
      <w:r>
        <w:t>versus</w:t>
      </w:r>
      <w:r w:rsidRPr="00E81A7C">
        <w:t xml:space="preserve"> 0.7 </w:t>
      </w:r>
      <w:r w:rsidR="002E6B16">
        <w:t>(</w:t>
      </w:r>
      <w:r w:rsidRPr="00E81A7C">
        <w:t>0.3, 1.6</w:t>
      </w:r>
      <w:r w:rsidR="002E6B16">
        <w:t>)</w:t>
      </w:r>
    </w:p>
    <w:p w14:paraId="4463B26C" w14:textId="77777777" w:rsidR="00956CDB" w:rsidRDefault="00956CDB" w:rsidP="003B05FB">
      <w:pPr>
        <w:pStyle w:val="ListBullet"/>
      </w:pPr>
      <w:r>
        <w:t xml:space="preserve">hypersensitivity reactions: </w:t>
      </w:r>
      <w:r w:rsidRPr="00E81A7C">
        <w:t xml:space="preserve">8.8 </w:t>
      </w:r>
      <w:r w:rsidR="002E6B16">
        <w:t>(</w:t>
      </w:r>
      <w:r w:rsidRPr="00E81A7C">
        <w:t>7.1, 10.8</w:t>
      </w:r>
      <w:r w:rsidR="002E6B16">
        <w:t>)</w:t>
      </w:r>
      <w:r w:rsidRPr="00E81A7C">
        <w:t xml:space="preserve"> v</w:t>
      </w:r>
      <w:r>
        <w:t>ersus</w:t>
      </w:r>
      <w:r w:rsidRPr="00E81A7C">
        <w:t xml:space="preserve"> 14.8 </w:t>
      </w:r>
      <w:r w:rsidR="002E6B16">
        <w:t>(</w:t>
      </w:r>
      <w:r w:rsidRPr="00E81A7C">
        <w:t>12.3, 17.7</w:t>
      </w:r>
      <w:r w:rsidR="002E6B16">
        <w:t>)</w:t>
      </w:r>
    </w:p>
    <w:p w14:paraId="4463B26D" w14:textId="77777777" w:rsidR="00956CDB" w:rsidRPr="00E81A7C" w:rsidRDefault="00956CDB" w:rsidP="003B05FB">
      <w:pPr>
        <w:pStyle w:val="ListBullet"/>
      </w:pPr>
      <w:r>
        <w:t xml:space="preserve">serious hypersensitivity reactions (reported as an SAE): 0.5 </w:t>
      </w:r>
      <w:r w:rsidR="002E6B16">
        <w:t>(</w:t>
      </w:r>
      <w:r>
        <w:t>0.2, 1.2</w:t>
      </w:r>
      <w:r w:rsidR="002E6B16">
        <w:t>)</w:t>
      </w:r>
      <w:r>
        <w:t xml:space="preserve"> versus 0.2 </w:t>
      </w:r>
      <w:r w:rsidR="002E6B16">
        <w:t>(</w:t>
      </w:r>
      <w:r>
        <w:t>0.03, 0.9</w:t>
      </w:r>
      <w:r w:rsidR="002E6B16">
        <w:t>)</w:t>
      </w:r>
    </w:p>
    <w:p w14:paraId="4463B26E" w14:textId="77777777" w:rsidR="00956CDB" w:rsidRPr="00E81A7C" w:rsidRDefault="00956CDB" w:rsidP="003B05FB">
      <w:pPr>
        <w:pStyle w:val="ListBullet"/>
      </w:pPr>
      <w:r w:rsidRPr="00E81A7C">
        <w:t>i</w:t>
      </w:r>
      <w:r>
        <w:t xml:space="preserve">njection site reactions (ISRs): </w:t>
      </w:r>
      <w:r w:rsidRPr="00E81A7C">
        <w:t xml:space="preserve">26.1 </w:t>
      </w:r>
      <w:r w:rsidR="002E6B16">
        <w:t>(</w:t>
      </w:r>
      <w:r w:rsidRPr="00E81A7C">
        <w:t>23.0, 29.4</w:t>
      </w:r>
      <w:r w:rsidR="002E6B16">
        <w:t>)</w:t>
      </w:r>
      <w:r w:rsidRPr="00E81A7C">
        <w:t xml:space="preserve"> v</w:t>
      </w:r>
      <w:r>
        <w:t xml:space="preserve">ersus 33.6 </w:t>
      </w:r>
      <w:r w:rsidR="002E6B16">
        <w:t>(</w:t>
      </w:r>
      <w:r>
        <w:t xml:space="preserve"> 27.1, 41.3</w:t>
      </w:r>
      <w:r w:rsidR="002E6B16">
        <w:t>)</w:t>
      </w:r>
    </w:p>
    <w:p w14:paraId="4463B26F" w14:textId="77777777" w:rsidR="00956CDB" w:rsidRPr="00E81A7C" w:rsidRDefault="00956CDB" w:rsidP="00956CDB">
      <w:r w:rsidRPr="00E81A7C">
        <w:t>In the IV</w:t>
      </w:r>
      <w:r w:rsidR="00F9420A">
        <w:t xml:space="preserve"> to </w:t>
      </w:r>
      <w:r w:rsidRPr="00E81A7C">
        <w:t xml:space="preserve">SC switching arm, event rates were generally similar to the rates in the continuous IV and SC treatment arms (wide and overlapping 95% CIs) with the exception of ISRs (higher at 93.45 </w:t>
      </w:r>
      <w:r w:rsidR="002E6B16">
        <w:t>(</w:t>
      </w:r>
      <w:r w:rsidRPr="00E81A7C">
        <w:t>82.0, 106.1</w:t>
      </w:r>
      <w:r w:rsidR="002E6B16">
        <w:t>)</w:t>
      </w:r>
      <w:r w:rsidRPr="00E81A7C">
        <w:t xml:space="preserve">) and hypersensitivity reactions (lower at 3.91 </w:t>
      </w:r>
      <w:r w:rsidR="002E6B16">
        <w:t>(</w:t>
      </w:r>
      <w:r w:rsidRPr="00E81A7C">
        <w:t xml:space="preserve">1.9, </w:t>
      </w:r>
      <w:r>
        <w:t>7.2</w:t>
      </w:r>
      <w:r w:rsidR="002E6B16">
        <w:t>)</w:t>
      </w:r>
      <w:r>
        <w:t xml:space="preserve">). </w:t>
      </w:r>
      <w:r w:rsidRPr="00E81A7C">
        <w:t>Very few events were reported in the SC</w:t>
      </w:r>
      <w:r w:rsidR="00F9420A">
        <w:t xml:space="preserve"> to </w:t>
      </w:r>
      <w:r w:rsidRPr="00E81A7C">
        <w:t>IV arm beca</w:t>
      </w:r>
      <w:r>
        <w:t>use of the limited PY exposure.</w:t>
      </w:r>
    </w:p>
    <w:p w14:paraId="4463B270" w14:textId="77777777" w:rsidR="00956CDB" w:rsidRPr="00956CDB" w:rsidRDefault="00956CDB" w:rsidP="00956CDB">
      <w:r w:rsidRPr="00E81A7C">
        <w:t>There was a trend towards higher AE rates and numerically higher infections in patients weighing ≥</w:t>
      </w:r>
      <w:r>
        <w:t xml:space="preserve"> </w:t>
      </w:r>
      <w:r w:rsidRPr="00E81A7C">
        <w:t>100</w:t>
      </w:r>
      <w:r>
        <w:t xml:space="preserve"> </w:t>
      </w:r>
      <w:r w:rsidRPr="00E81A7C">
        <w:t>kg at baseline</w:t>
      </w:r>
      <w:r w:rsidR="00F9420A">
        <w:t>.</w:t>
      </w:r>
    </w:p>
    <w:p w14:paraId="4463B271" w14:textId="77777777" w:rsidR="00956CDB" w:rsidRDefault="00F9420A" w:rsidP="00956CDB">
      <w:r>
        <w:t xml:space="preserve">In Study NA25220, a </w:t>
      </w:r>
      <w:r w:rsidR="00956CDB">
        <w:t xml:space="preserve">similar proportion of patients had at least 1 AE in each of the treatment arms (73.5% TCZ PFS, 74.4% TCZ PFS </w:t>
      </w:r>
      <w:r w:rsidR="004A3E8C">
        <w:t>switched to</w:t>
      </w:r>
      <w:r w:rsidR="00956CDB">
        <w:t xml:space="preserve"> TCZ AI, 73.8% placebo </w:t>
      </w:r>
      <w:r w:rsidR="004A3E8C">
        <w:t>switched to</w:t>
      </w:r>
      <w:r w:rsidR="00956CDB">
        <w:t xml:space="preserve"> TCZ PFS, and 79.7% pl</w:t>
      </w:r>
      <w:r w:rsidR="004A3E8C">
        <w:t>acebo switched to</w:t>
      </w:r>
      <w:r>
        <w:t xml:space="preserve"> TCZ AI).</w:t>
      </w:r>
      <w:r w:rsidR="00956CDB">
        <w:t xml:space="preserve"> The proportion of escape patients with AEs were </w:t>
      </w:r>
      <w:r w:rsidR="00956CDB" w:rsidRPr="00F25CBC">
        <w:t>slightly higher</w:t>
      </w:r>
      <w:r w:rsidR="00956CDB">
        <w:t xml:space="preserve"> (84.6% placebo </w:t>
      </w:r>
      <w:r w:rsidR="004A3E8C">
        <w:t>switched to</w:t>
      </w:r>
      <w:r w:rsidR="00956CDB">
        <w:t xml:space="preserve"> TCZ PFS weekly, 83</w:t>
      </w:r>
      <w:r w:rsidR="004A5ABB">
        <w:t xml:space="preserve">.7% TCZ </w:t>
      </w:r>
      <w:r w:rsidR="00AC528E">
        <w:t>every 2 weeks</w:t>
      </w:r>
      <w:r w:rsidR="004A5ABB">
        <w:t xml:space="preserve"> </w:t>
      </w:r>
      <w:r w:rsidR="004A3E8C">
        <w:t>switched to</w:t>
      </w:r>
      <w:r w:rsidR="004A5ABB">
        <w:t xml:space="preserve"> TCZ PFS weekly).</w:t>
      </w:r>
    </w:p>
    <w:p w14:paraId="4463B272" w14:textId="77777777" w:rsidR="00956CDB" w:rsidRDefault="00956CDB" w:rsidP="00F9420A">
      <w:r>
        <w:t xml:space="preserve">Infections and infestations were the most common AEs (URTIs), followed by </w:t>
      </w:r>
      <w:r w:rsidR="00F9420A">
        <w:t>g</w:t>
      </w:r>
      <w:r>
        <w:t xml:space="preserve">astrointestinal disorders, </w:t>
      </w:r>
      <w:r w:rsidR="00F9420A">
        <w:t>i</w:t>
      </w:r>
      <w:r>
        <w:t xml:space="preserve">nvestigations (ALT and AST increased), and </w:t>
      </w:r>
      <w:r w:rsidR="00F9420A">
        <w:t>m</w:t>
      </w:r>
      <w:r>
        <w:t>usculoskeletal and connective tissue diso</w:t>
      </w:r>
      <w:r w:rsidR="00F9420A">
        <w:t xml:space="preserve">rders. </w:t>
      </w:r>
      <w:r>
        <w:t>The types and percentage of AEs were generally si</w:t>
      </w:r>
      <w:r w:rsidR="00F9420A">
        <w:t xml:space="preserve">milar in each of the TCZ arms. </w:t>
      </w:r>
      <w:r>
        <w:t>The overall rates per 100 PY for AEs were generally comparable between the 2 continuous TCZ arms, and lower but comparabl</w:t>
      </w:r>
      <w:r w:rsidR="00F9420A">
        <w:t>e in the 2 placebo switch arms (Table 13</w:t>
      </w:r>
      <w:r w:rsidRPr="00F9420A">
        <w:t xml:space="preserve"> below</w:t>
      </w:r>
      <w:r w:rsidR="00F9420A">
        <w:t xml:space="preserve">). </w:t>
      </w:r>
      <w:r>
        <w:t>These rates are all lower than rep</w:t>
      </w:r>
      <w:r w:rsidR="00F9420A">
        <w:t>orted in the interim OLE report.</w:t>
      </w:r>
    </w:p>
    <w:p w14:paraId="4463B273" w14:textId="77777777" w:rsidR="004A5ABB" w:rsidRPr="00945EF2" w:rsidRDefault="004A5ABB" w:rsidP="004A5ABB">
      <w:pPr>
        <w:pStyle w:val="Tabletitle"/>
      </w:pPr>
      <w:bookmarkStart w:id="118" w:name="_Toc430268056"/>
      <w:r>
        <w:t>Table 13:</w:t>
      </w:r>
      <w:r w:rsidRPr="00945EF2">
        <w:t xml:space="preserve"> Overview of </w:t>
      </w:r>
      <w:r w:rsidR="00F9420A">
        <w:t>a</w:t>
      </w:r>
      <w:r w:rsidRPr="00945EF2">
        <w:t xml:space="preserve">dverse </w:t>
      </w:r>
      <w:r w:rsidR="00F9420A">
        <w:t>e</w:t>
      </w:r>
      <w:r w:rsidRPr="00945EF2">
        <w:t xml:space="preserve">vents: Rate </w:t>
      </w:r>
      <w:r w:rsidR="002E6B16">
        <w:t>(</w:t>
      </w:r>
      <w:r w:rsidRPr="00945EF2">
        <w:t>95% CI</w:t>
      </w:r>
      <w:r w:rsidR="002E6B16">
        <w:t>)</w:t>
      </w:r>
      <w:r w:rsidRPr="00945EF2">
        <w:t xml:space="preserve"> per 100 PY (</w:t>
      </w:r>
      <w:r w:rsidR="00F9420A">
        <w:t>s</w:t>
      </w:r>
      <w:r w:rsidRPr="00945EF2">
        <w:t xml:space="preserve">afety </w:t>
      </w:r>
      <w:r w:rsidR="00F9420A">
        <w:t>p</w:t>
      </w:r>
      <w:r w:rsidRPr="00945EF2">
        <w:t>opulation</w:t>
      </w:r>
      <w:r>
        <w:t xml:space="preserve">, </w:t>
      </w:r>
      <w:r w:rsidR="00F9420A">
        <w:t xml:space="preserve">Study </w:t>
      </w:r>
      <w:r>
        <w:t>N</w:t>
      </w:r>
      <w:r w:rsidRPr="00945EF2">
        <w:t>A2</w:t>
      </w:r>
      <w:r>
        <w:t>52</w:t>
      </w:r>
      <w:r w:rsidRPr="00945EF2">
        <w:t>2</w:t>
      </w:r>
      <w:r>
        <w:t>0</w:t>
      </w:r>
      <w:r w:rsidRPr="00945EF2">
        <w:t>)</w:t>
      </w:r>
      <w:bookmarkEnd w:id="118"/>
    </w:p>
    <w:p w14:paraId="4463B274" w14:textId="77777777" w:rsidR="004A5ABB" w:rsidRDefault="004A5ABB" w:rsidP="004A5ABB">
      <w:r>
        <w:rPr>
          <w:noProof/>
          <w:lang w:eastAsia="en-AU"/>
        </w:rPr>
        <w:drawing>
          <wp:inline distT="0" distB="0" distL="0" distR="0" wp14:anchorId="4463B3E6" wp14:editId="2B8543AF">
            <wp:extent cx="4651283" cy="2253354"/>
            <wp:effectExtent l="0" t="0" r="0" b="0"/>
            <wp:docPr id="15" name="Picture 15" descr="Table 13: Overview of adverse events: Rate (95% CI) per 100 PY (safety population, Study NA25220)" title="Table 13: Overview of adverse events: Rate (95% CI) per 100 PY (safety population, Study NA2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59134" cy="2257157"/>
                    </a:xfrm>
                    <a:prstGeom prst="rect">
                      <a:avLst/>
                    </a:prstGeom>
                    <a:noFill/>
                    <a:ln>
                      <a:noFill/>
                    </a:ln>
                  </pic:spPr>
                </pic:pic>
              </a:graphicData>
            </a:graphic>
          </wp:inline>
        </w:drawing>
      </w:r>
    </w:p>
    <w:p w14:paraId="4463B275" w14:textId="77777777" w:rsidR="004A5ABB" w:rsidRDefault="004A5ABB" w:rsidP="004A5ABB">
      <w:r>
        <w:t xml:space="preserve">Escape patients had types and rates of AEs similar to TCZ PFS </w:t>
      </w:r>
      <w:r w:rsidR="00AC528E">
        <w:t>every 2 weeks</w:t>
      </w:r>
      <w:r>
        <w:t xml:space="preserve"> arm, and was comparable in the prior TCZ (331.90 </w:t>
      </w:r>
      <w:r w:rsidR="002E6B16">
        <w:t>(</w:t>
      </w:r>
      <w:r>
        <w:t>95% CI 300.91, 365.21</w:t>
      </w:r>
      <w:r w:rsidR="002E6B16">
        <w:t>)</w:t>
      </w:r>
      <w:r>
        <w:t xml:space="preserve">) and prior placebo </w:t>
      </w:r>
      <w:r w:rsidRPr="00592423">
        <w:t xml:space="preserve">(360.48 </w:t>
      </w:r>
      <w:r w:rsidR="002E6B16">
        <w:t>(</w:t>
      </w:r>
      <w:r w:rsidRPr="00592423">
        <w:t>95% CI: 328.49; 394.74</w:t>
      </w:r>
      <w:r w:rsidR="002E6B16">
        <w:t>)</w:t>
      </w:r>
      <w:r w:rsidRPr="00592423">
        <w:t>)</w:t>
      </w:r>
      <w:r>
        <w:t xml:space="preserve"> arms.</w:t>
      </w:r>
    </w:p>
    <w:p w14:paraId="4463B276" w14:textId="77777777" w:rsidR="004A5ABB" w:rsidRPr="00A15C5A" w:rsidRDefault="0072757E" w:rsidP="004A5ABB">
      <w:r>
        <w:t xml:space="preserve">Due to </w:t>
      </w:r>
      <w:r w:rsidR="004A5ABB">
        <w:t>the low number of events reported for most AESIs and the limited PY exposure in the prior placebo arms, meaningful comparison was limited. R</w:t>
      </w:r>
      <w:r w:rsidR="004A5ABB" w:rsidRPr="00A15C5A">
        <w:t>ate</w:t>
      </w:r>
      <w:r w:rsidR="004A5ABB">
        <w:t>s</w:t>
      </w:r>
      <w:r w:rsidR="004A5ABB" w:rsidRPr="00A15C5A">
        <w:t xml:space="preserve"> per 100 PY </w:t>
      </w:r>
      <w:r w:rsidR="002E6B16">
        <w:t>(</w:t>
      </w:r>
      <w:r w:rsidR="004A5ABB" w:rsidRPr="00A15C5A">
        <w:t>95% CI</w:t>
      </w:r>
      <w:r w:rsidR="002E6B16">
        <w:t>)</w:t>
      </w:r>
      <w:r w:rsidR="004A5ABB" w:rsidRPr="00A15C5A">
        <w:t xml:space="preserve"> </w:t>
      </w:r>
      <w:r w:rsidR="004A5ABB">
        <w:t xml:space="preserve">were comparable </w:t>
      </w:r>
      <w:r w:rsidR="004A5ABB" w:rsidRPr="00A15C5A">
        <w:t xml:space="preserve">in the </w:t>
      </w:r>
      <w:r w:rsidR="004A5ABB">
        <w:t xml:space="preserve">TCZ PFS, and TCZ PFS </w:t>
      </w:r>
      <w:r w:rsidR="005F7D43">
        <w:t>switched to</w:t>
      </w:r>
      <w:r w:rsidR="004A5ABB">
        <w:t xml:space="preserve"> AI treatment arms for the following events</w:t>
      </w:r>
      <w:r w:rsidR="004A5ABB" w:rsidRPr="00A15C5A">
        <w:t>:</w:t>
      </w:r>
    </w:p>
    <w:p w14:paraId="4463B277" w14:textId="77777777" w:rsidR="004A5ABB" w:rsidRPr="00A15C5A" w:rsidRDefault="004A5ABB" w:rsidP="00202EA0">
      <w:pPr>
        <w:pStyle w:val="ListBullet"/>
      </w:pPr>
      <w:r w:rsidRPr="00A15C5A">
        <w:t>in</w:t>
      </w:r>
      <w:r w:rsidR="00D45FCF">
        <w:t xml:space="preserve">fection and infestation events: </w:t>
      </w:r>
      <w:r w:rsidRPr="007F177F">
        <w:t>87.06</w:t>
      </w:r>
      <w:r>
        <w:t xml:space="preserve"> </w:t>
      </w:r>
      <w:r w:rsidR="002E6B16">
        <w:t>(</w:t>
      </w:r>
      <w:r>
        <w:t>78.20, 96.64</w:t>
      </w:r>
      <w:r w:rsidR="002E6B16">
        <w:t>)</w:t>
      </w:r>
      <w:r>
        <w:t xml:space="preserve"> versus </w:t>
      </w:r>
      <w:r w:rsidRPr="007F177F">
        <w:t>85.54</w:t>
      </w:r>
      <w:r>
        <w:t xml:space="preserve"> </w:t>
      </w:r>
      <w:r w:rsidR="002E6B16">
        <w:t>(</w:t>
      </w:r>
      <w:r>
        <w:t>73.53, 98.95</w:t>
      </w:r>
      <w:r w:rsidR="002E6B16">
        <w:t>)</w:t>
      </w:r>
    </w:p>
    <w:p w14:paraId="4463B278" w14:textId="77777777" w:rsidR="004A5ABB" w:rsidRDefault="00D45FCF" w:rsidP="00202EA0">
      <w:pPr>
        <w:pStyle w:val="ListBullet"/>
      </w:pPr>
      <w:r>
        <w:t xml:space="preserve">serious infection: </w:t>
      </w:r>
      <w:r w:rsidR="004A5ABB" w:rsidRPr="007F177F">
        <w:t>3.96</w:t>
      </w:r>
      <w:r w:rsidR="004A5ABB">
        <w:t xml:space="preserve"> </w:t>
      </w:r>
      <w:r w:rsidR="002E6B16">
        <w:t>(</w:t>
      </w:r>
      <w:r w:rsidR="004A5ABB" w:rsidRPr="007F177F">
        <w:t>2.26, 6.43</w:t>
      </w:r>
      <w:r w:rsidR="002E6B16">
        <w:t>)</w:t>
      </w:r>
      <w:r w:rsidR="004A5ABB">
        <w:t xml:space="preserve"> versus </w:t>
      </w:r>
      <w:r w:rsidR="004A5ABB" w:rsidRPr="007F177F">
        <w:t>1.89</w:t>
      </w:r>
      <w:r w:rsidR="004A5ABB">
        <w:t xml:space="preserve"> </w:t>
      </w:r>
      <w:r w:rsidR="002E6B16">
        <w:t>(</w:t>
      </w:r>
      <w:r w:rsidR="004A5ABB" w:rsidRPr="007F177F">
        <w:t>0.52, 4.84</w:t>
      </w:r>
      <w:r w:rsidR="002E6B16">
        <w:t>)</w:t>
      </w:r>
    </w:p>
    <w:p w14:paraId="4463B279" w14:textId="77777777" w:rsidR="004A5ABB" w:rsidRPr="00AF4696" w:rsidRDefault="004A5ABB" w:rsidP="008E7C09">
      <w:pPr>
        <w:pStyle w:val="ListBullet"/>
      </w:pPr>
      <w:r w:rsidRPr="00AF4696">
        <w:t>adjudicated mal</w:t>
      </w:r>
      <w:r>
        <w:t xml:space="preserve">ignancies (including NMSC AEs): </w:t>
      </w:r>
      <w:r w:rsidRPr="00AF4696">
        <w:t>0.99</w:t>
      </w:r>
      <w:r>
        <w:t xml:space="preserve"> </w:t>
      </w:r>
      <w:r w:rsidR="002E6B16">
        <w:t>(</w:t>
      </w:r>
      <w:r w:rsidRPr="00AF4696">
        <w:t>0.27, 2.53</w:t>
      </w:r>
      <w:r w:rsidR="002E6B16">
        <w:t>)</w:t>
      </w:r>
      <w:r>
        <w:t xml:space="preserve"> versus </w:t>
      </w:r>
      <w:r w:rsidRPr="00AF4696">
        <w:t>0.95</w:t>
      </w:r>
      <w:r>
        <w:t xml:space="preserve"> </w:t>
      </w:r>
      <w:r w:rsidR="002E6B16">
        <w:t>(</w:t>
      </w:r>
      <w:r w:rsidRPr="00AF4696">
        <w:t>0.11, 3.41</w:t>
      </w:r>
      <w:r w:rsidR="002E6B16">
        <w:t>)</w:t>
      </w:r>
    </w:p>
    <w:p w14:paraId="4463B27A" w14:textId="77777777" w:rsidR="004A5ABB" w:rsidRPr="00A15C5A" w:rsidRDefault="004A5ABB" w:rsidP="008E7C09">
      <w:pPr>
        <w:pStyle w:val="ListBullet"/>
      </w:pPr>
      <w:r w:rsidRPr="00A15C5A">
        <w:lastRenderedPageBreak/>
        <w:t>hypersensitivity reactions:</w:t>
      </w:r>
      <w:r w:rsidRPr="00A15C5A">
        <w:tab/>
      </w:r>
      <w:r w:rsidRPr="00AF4696">
        <w:t>5.69</w:t>
      </w:r>
      <w:r>
        <w:t xml:space="preserve"> </w:t>
      </w:r>
      <w:r w:rsidR="002E6B16">
        <w:t>(</w:t>
      </w:r>
      <w:r w:rsidRPr="00AF4696">
        <w:t>3.61, 8.54</w:t>
      </w:r>
      <w:r w:rsidR="002E6B16">
        <w:t>)</w:t>
      </w:r>
      <w:r>
        <w:t xml:space="preserve"> </w:t>
      </w:r>
      <w:r w:rsidR="002E6B16">
        <w:t>versus</w:t>
      </w:r>
      <w:r>
        <w:t xml:space="preserve"> </w:t>
      </w:r>
      <w:r w:rsidRPr="00AF4696">
        <w:t>4.25</w:t>
      </w:r>
      <w:r>
        <w:t xml:space="preserve"> </w:t>
      </w:r>
      <w:r w:rsidR="002E6B16">
        <w:t>(</w:t>
      </w:r>
      <w:r w:rsidRPr="00AF4696">
        <w:t>1.94, 8.07</w:t>
      </w:r>
      <w:r w:rsidR="002E6B16">
        <w:t>)</w:t>
      </w:r>
    </w:p>
    <w:p w14:paraId="4463B27B" w14:textId="77777777" w:rsidR="004A5ABB" w:rsidRPr="00A15C5A" w:rsidRDefault="004A5ABB" w:rsidP="008E7C09">
      <w:pPr>
        <w:pStyle w:val="ListBullet"/>
      </w:pPr>
      <w:r w:rsidRPr="00A15C5A">
        <w:t xml:space="preserve">injection site reactions (ISRs): </w:t>
      </w:r>
      <w:r w:rsidRPr="00AF4696">
        <w:t>22.01</w:t>
      </w:r>
      <w:r>
        <w:t xml:space="preserve"> </w:t>
      </w:r>
      <w:r w:rsidR="002E6B16">
        <w:t>(</w:t>
      </w:r>
      <w:r w:rsidRPr="00AF4696">
        <w:t>17.68, 27.09</w:t>
      </w:r>
      <w:r w:rsidR="002E6B16">
        <w:t>)</w:t>
      </w:r>
      <w:r>
        <w:t xml:space="preserve"> </w:t>
      </w:r>
      <w:r w:rsidR="002E6B16">
        <w:t>versus</w:t>
      </w:r>
      <w:r>
        <w:t xml:space="preserve"> </w:t>
      </w:r>
      <w:r w:rsidRPr="00AF4696">
        <w:t>15.60</w:t>
      </w:r>
      <w:r>
        <w:t xml:space="preserve"> </w:t>
      </w:r>
      <w:r w:rsidR="002E6B16">
        <w:t>(</w:t>
      </w:r>
      <w:r w:rsidRPr="00AF4696">
        <w:t>10.73, 21.90</w:t>
      </w:r>
      <w:r w:rsidR="002E6B16">
        <w:t>)</w:t>
      </w:r>
    </w:p>
    <w:p w14:paraId="4463B27C" w14:textId="77777777" w:rsidR="004A5ABB" w:rsidRDefault="004A5ABB" w:rsidP="00763ED3">
      <w:pPr>
        <w:pStyle w:val="Heading4"/>
      </w:pPr>
      <w:r>
        <w:t>Other studies</w:t>
      </w:r>
    </w:p>
    <w:p w14:paraId="4463B27D" w14:textId="77777777" w:rsidR="004A5ABB" w:rsidRDefault="004A5ABB" w:rsidP="004A5ABB">
      <w:r>
        <w:t>Across the entire study period</w:t>
      </w:r>
      <w:r w:rsidR="0072757E">
        <w:t xml:space="preserve"> of Study MRA229JP </w:t>
      </w:r>
      <w:r>
        <w:t xml:space="preserve">340 subjects </w:t>
      </w:r>
      <w:r w:rsidRPr="00A96C25">
        <w:t>(98.3%)</w:t>
      </w:r>
      <w:r>
        <w:t xml:space="preserve"> experienced 2,</w:t>
      </w:r>
      <w:r w:rsidR="00D45FCF">
        <w:t xml:space="preserve">473 AEs. </w:t>
      </w:r>
      <w:r>
        <w:t>T</w:t>
      </w:r>
      <w:r w:rsidR="00D45FCF">
        <w:t xml:space="preserve">he most common AEs (PTs) were: </w:t>
      </w:r>
      <w:r w:rsidRPr="00A96C25">
        <w:t>nasopharyngitis (46.5%), upper</w:t>
      </w:r>
      <w:r>
        <w:t xml:space="preserve"> </w:t>
      </w:r>
      <w:r w:rsidRPr="00A96C25">
        <w:t>respiratory tract infection (21.1%), blood cholesterol increased (20.2%), pharyngitis</w:t>
      </w:r>
      <w:r>
        <w:t xml:space="preserve"> </w:t>
      </w:r>
      <w:r w:rsidRPr="00A96C25">
        <w:t>(15.0%), low density lipoprotein increased (18.5%), blood triglycerides increased</w:t>
      </w:r>
      <w:r>
        <w:t xml:space="preserve"> </w:t>
      </w:r>
      <w:r w:rsidRPr="00A96C25">
        <w:t>(13.3%), alanine aminotransferase increased (13.0%), stomatitis (11.3%), eczema</w:t>
      </w:r>
      <w:r>
        <w:t xml:space="preserve"> </w:t>
      </w:r>
      <w:r w:rsidRPr="00A96C25">
        <w:t>(11.3%), gamma-glutamyltransferase increased (10.7%), white blood cell count</w:t>
      </w:r>
      <w:r>
        <w:t xml:space="preserve"> </w:t>
      </w:r>
      <w:r w:rsidRPr="00A96C25">
        <w:t>decreased (10.7%), and injection site erythema (10.7%).</w:t>
      </w:r>
    </w:p>
    <w:p w14:paraId="4463B27E" w14:textId="77777777" w:rsidR="004A5ABB" w:rsidRDefault="004A5ABB" w:rsidP="004A5ABB">
      <w:r>
        <w:t xml:space="preserve">In the 82 subjects who self-injected, the AE rates 12 weeks before and 12 weeks after the start of self-injection were similar (54.9% </w:t>
      </w:r>
      <w:r w:rsidR="002E6B16">
        <w:t>(</w:t>
      </w:r>
      <w:r w:rsidRPr="0090123A">
        <w:t>77 events in 45</w:t>
      </w:r>
      <w:r w:rsidR="0072757E">
        <w:t xml:space="preserve"> of </w:t>
      </w:r>
      <w:r w:rsidRPr="0090123A">
        <w:t>82 subjects</w:t>
      </w:r>
      <w:r w:rsidR="002E6B16">
        <w:t>)</w:t>
      </w:r>
      <w:r w:rsidRPr="0090123A">
        <w:t xml:space="preserve"> </w:t>
      </w:r>
      <w:r w:rsidR="00D45FCF">
        <w:t>versus</w:t>
      </w:r>
      <w:r w:rsidRPr="0090123A">
        <w:t xml:space="preserve"> </w:t>
      </w:r>
      <w:r>
        <w:t xml:space="preserve">58.5% </w:t>
      </w:r>
      <w:r w:rsidR="002E6B16">
        <w:t>(</w:t>
      </w:r>
      <w:r w:rsidRPr="0090123A">
        <w:t>85</w:t>
      </w:r>
      <w:r>
        <w:t xml:space="preserve"> </w:t>
      </w:r>
      <w:r w:rsidRPr="0090123A">
        <w:t>events in 48</w:t>
      </w:r>
      <w:r w:rsidR="0072757E">
        <w:t xml:space="preserve"> of </w:t>
      </w:r>
      <w:r w:rsidRPr="0090123A">
        <w:t>82 subjects</w:t>
      </w:r>
      <w:r w:rsidR="002E6B16">
        <w:t>)</w:t>
      </w:r>
      <w:r w:rsidRPr="0090123A">
        <w:t>, respectively</w:t>
      </w:r>
      <w:r>
        <w:t>).</w:t>
      </w:r>
    </w:p>
    <w:p w14:paraId="4463B27F" w14:textId="77777777" w:rsidR="004A5ABB" w:rsidRPr="00676D20" w:rsidRDefault="004A5ABB" w:rsidP="004A5ABB">
      <w:r w:rsidRPr="00BF190E">
        <w:t>A total of 954 AEs were reported by 179 (82.5%) of the 217 patients</w:t>
      </w:r>
      <w:r w:rsidR="0072757E">
        <w:t xml:space="preserve"> in Study ML28338</w:t>
      </w:r>
      <w:r w:rsidRPr="00BF190E">
        <w:t xml:space="preserve"> giving an</w:t>
      </w:r>
      <w:r>
        <w:t xml:space="preserve"> </w:t>
      </w:r>
      <w:r w:rsidRPr="00BF190E">
        <w:t xml:space="preserve">overall rate of 379.66 </w:t>
      </w:r>
      <w:r w:rsidR="002E6B16">
        <w:t>(</w:t>
      </w:r>
      <w:r w:rsidRPr="00BF190E">
        <w:t>95% CI: 355.95, 404.54</w:t>
      </w:r>
      <w:r w:rsidR="002E6B16">
        <w:t>)</w:t>
      </w:r>
      <w:r w:rsidRPr="00BF190E">
        <w:t xml:space="preserve"> events per 100 PY</w:t>
      </w:r>
      <w:r>
        <w:t>.</w:t>
      </w:r>
    </w:p>
    <w:p w14:paraId="4463B280" w14:textId="77777777" w:rsidR="004A5ABB" w:rsidRPr="00D12012" w:rsidRDefault="004A5ABB" w:rsidP="00763ED3">
      <w:pPr>
        <w:pStyle w:val="Heading3"/>
      </w:pPr>
      <w:bookmarkStart w:id="119" w:name="_Ref272333567"/>
      <w:bookmarkStart w:id="120" w:name="_Toc272414665"/>
      <w:bookmarkStart w:id="121" w:name="_Toc290846303"/>
      <w:bookmarkStart w:id="122" w:name="_Toc430267985"/>
      <w:bookmarkStart w:id="123" w:name="_Toc464136272"/>
      <w:r w:rsidRPr="00DC1A24">
        <w:t>Treatment</w:t>
      </w:r>
      <w:r w:rsidR="00C72846">
        <w:t xml:space="preserve"> </w:t>
      </w:r>
      <w:r>
        <w:t>related adverse events (adverse drug reactions)</w:t>
      </w:r>
      <w:bookmarkEnd w:id="119"/>
      <w:bookmarkEnd w:id="120"/>
      <w:bookmarkEnd w:id="121"/>
      <w:bookmarkEnd w:id="122"/>
      <w:bookmarkEnd w:id="123"/>
    </w:p>
    <w:p w14:paraId="4463B281" w14:textId="77777777" w:rsidR="00DC1A24" w:rsidRDefault="00C72846" w:rsidP="00763ED3">
      <w:pPr>
        <w:pStyle w:val="Heading4"/>
      </w:pPr>
      <w:r>
        <w:t>Pivotal studies</w:t>
      </w:r>
    </w:p>
    <w:p w14:paraId="4463B282" w14:textId="77777777" w:rsidR="004A5ABB" w:rsidRDefault="00C72846" w:rsidP="004A5ABB">
      <w:r>
        <w:t>For Study WA22762, treatment related adverse events</w:t>
      </w:r>
      <w:r w:rsidR="004A5ABB">
        <w:t xml:space="preserve"> were </w:t>
      </w:r>
      <w:r w:rsidR="004A5ABB" w:rsidRPr="002C5EAE">
        <w:t xml:space="preserve">not </w:t>
      </w:r>
      <w:r w:rsidR="004A5ABB">
        <w:t xml:space="preserve">specifically tabulated separately (reported in line listings), with the exception of hypersensitivity events which were defined as </w:t>
      </w:r>
      <w:r w:rsidR="004A5ABB" w:rsidRPr="00E81A7C">
        <w:t>any AE (excluding ISRs) that occurred during or within 24</w:t>
      </w:r>
      <w:r w:rsidR="004A5ABB">
        <w:t xml:space="preserve"> </w:t>
      </w:r>
      <w:r w:rsidR="004A5ABB" w:rsidRPr="00E81A7C">
        <w:t>hours of a TCZ/placebo infusion or injection and not deemed 'unrelated' to trial treatment.</w:t>
      </w:r>
    </w:p>
    <w:p w14:paraId="4463B283" w14:textId="77777777" w:rsidR="00C72846" w:rsidRDefault="00C72846" w:rsidP="004A5ABB">
      <w:pPr>
        <w:rPr>
          <w:b/>
        </w:rPr>
      </w:pPr>
      <w:r>
        <w:t>Treatment related adverse events for Study NA25220 were similar to those for Study WA22762.</w:t>
      </w:r>
    </w:p>
    <w:p w14:paraId="4463B284" w14:textId="77777777" w:rsidR="004A5ABB" w:rsidRDefault="004A5ABB" w:rsidP="00C72846">
      <w:pPr>
        <w:pStyle w:val="Heading4"/>
      </w:pPr>
      <w:r>
        <w:t>Other studies</w:t>
      </w:r>
    </w:p>
    <w:p w14:paraId="4463B285" w14:textId="77777777" w:rsidR="004A5ABB" w:rsidRPr="00A96C25" w:rsidRDefault="004A5ABB" w:rsidP="004A5ABB">
      <w:r w:rsidRPr="00A96C25">
        <w:t>Across the entire study period</w:t>
      </w:r>
      <w:r w:rsidR="00C72846">
        <w:t xml:space="preserve"> of </w:t>
      </w:r>
      <w:r w:rsidR="00C72846" w:rsidRPr="00C72846">
        <w:t>Study MRA229JP</w:t>
      </w:r>
      <w:r w:rsidRPr="00A96C25">
        <w:t xml:space="preserve"> 3</w:t>
      </w:r>
      <w:r>
        <w:t>3</w:t>
      </w:r>
      <w:r w:rsidRPr="00A96C25">
        <w:t>4 subjects (</w:t>
      </w:r>
      <w:r>
        <w:t>96.5</w:t>
      </w:r>
      <w:r w:rsidRPr="00A96C25">
        <w:t xml:space="preserve">%) experienced </w:t>
      </w:r>
      <w:r>
        <w:t>1,921</w:t>
      </w:r>
      <w:r w:rsidRPr="00A96C25">
        <w:t xml:space="preserve"> A</w:t>
      </w:r>
      <w:r>
        <w:t>DR</w:t>
      </w:r>
      <w:r w:rsidR="00DC1A24">
        <w:t xml:space="preserve">s. </w:t>
      </w:r>
      <w:r>
        <w:t>No further information was prov</w:t>
      </w:r>
      <w:r w:rsidR="00DC1A24">
        <w:t>ided.</w:t>
      </w:r>
    </w:p>
    <w:p w14:paraId="4463B286" w14:textId="77777777" w:rsidR="004A5ABB" w:rsidRDefault="00C72846" w:rsidP="004A5ABB">
      <w:pPr>
        <w:autoSpaceDE w:val="0"/>
        <w:autoSpaceDN w:val="0"/>
        <w:adjustRightInd w:val="0"/>
      </w:pPr>
      <w:r>
        <w:t xml:space="preserve">No treatment related AEs were reported for </w:t>
      </w:r>
      <w:r w:rsidRPr="00C72846">
        <w:t>Study ML28338</w:t>
      </w:r>
      <w:r>
        <w:t>.</w:t>
      </w:r>
    </w:p>
    <w:p w14:paraId="4463B287" w14:textId="77777777" w:rsidR="004A5ABB" w:rsidRPr="00213E77" w:rsidRDefault="004A5ABB" w:rsidP="00DC1A24">
      <w:pPr>
        <w:pStyle w:val="Heading3"/>
      </w:pPr>
      <w:bookmarkStart w:id="124" w:name="_Toc430267986"/>
      <w:bookmarkStart w:id="125" w:name="_Toc464136273"/>
      <w:r>
        <w:t xml:space="preserve">Deaths and other </w:t>
      </w:r>
      <w:r w:rsidRPr="00DC1A24">
        <w:t>serious</w:t>
      </w:r>
      <w:r>
        <w:t xml:space="preserve"> adverse events</w:t>
      </w:r>
      <w:bookmarkEnd w:id="124"/>
      <w:bookmarkEnd w:id="125"/>
    </w:p>
    <w:p w14:paraId="4463B288" w14:textId="77777777" w:rsidR="00DC1A24" w:rsidRDefault="00E64501" w:rsidP="00DC1A24">
      <w:pPr>
        <w:pStyle w:val="Heading4"/>
      </w:pPr>
      <w:r>
        <w:t>Pivotal studies</w:t>
      </w:r>
    </w:p>
    <w:p w14:paraId="4463B289" w14:textId="77777777" w:rsidR="005C6367" w:rsidRDefault="004A5ABB" w:rsidP="004A5ABB">
      <w:r>
        <w:t xml:space="preserve">In total, 10 </w:t>
      </w:r>
      <w:r w:rsidR="00E64501">
        <w:t xml:space="preserve">deaths were reported during </w:t>
      </w:r>
      <w:r w:rsidR="00E64501" w:rsidRPr="00E64501">
        <w:t>Study WA22762</w:t>
      </w:r>
      <w:r>
        <w:t>: 4 each in the SC and IV treatment arms and 2 in the IV</w:t>
      </w:r>
      <w:r w:rsidR="005C6367">
        <w:t xml:space="preserve"> </w:t>
      </w:r>
      <w:r>
        <w:t xml:space="preserve">SC </w:t>
      </w:r>
      <w:r w:rsidR="005C6367">
        <w:t xml:space="preserve">switch arm. </w:t>
      </w:r>
      <w:r>
        <w:t>All but one occurr</w:t>
      </w:r>
      <w:r w:rsidR="005C6367">
        <w:t>ed in the OL phase of the study</w:t>
      </w:r>
      <w:r>
        <w:t xml:space="preserve"> and 5 of the deaths (2 </w:t>
      </w:r>
      <w:r w:rsidR="005C6367">
        <w:t xml:space="preserve">in the SC, 2 in the IV and 1 in IV </w:t>
      </w:r>
      <w:r>
        <w:t>SC</w:t>
      </w:r>
      <w:r w:rsidR="005C6367">
        <w:t xml:space="preserve"> switch arm</w:t>
      </w:r>
      <w:r>
        <w:t>) were considered</w:t>
      </w:r>
      <w:r w:rsidR="005C6367">
        <w:t xml:space="preserve"> related to the study treatment. Cause of death was given as shock, </w:t>
      </w:r>
      <w:r>
        <w:t>acute respiratory dist</w:t>
      </w:r>
      <w:r w:rsidR="00DC1A24">
        <w:t xml:space="preserve">ress syndrome, </w:t>
      </w:r>
      <w:r w:rsidR="005C6367">
        <w:t>sepsis in two patients and simply ‘death’ in another.</w:t>
      </w:r>
    </w:p>
    <w:p w14:paraId="4463B28A" w14:textId="77777777" w:rsidR="004A5ABB" w:rsidRDefault="004A5ABB" w:rsidP="004A5ABB">
      <w:r>
        <w:t>Overall, 195 patients reported a total of 330 SAEs,</w:t>
      </w:r>
      <w:r w:rsidRPr="00C61BE9">
        <w:t xml:space="preserve"> with incidence similar across the treatment groups (</w:t>
      </w:r>
      <w:r>
        <w:t>13</w:t>
      </w:r>
      <w:r w:rsidRPr="00C61BE9">
        <w:t xml:space="preserve">% on IV and </w:t>
      </w:r>
      <w:r>
        <w:t>14</w:t>
      </w:r>
      <w:r w:rsidRPr="00C61BE9">
        <w:t>% on SC).</w:t>
      </w:r>
      <w:r w:rsidR="00DC1A24">
        <w:t xml:space="preserve"> </w:t>
      </w:r>
      <w:r>
        <w:t xml:space="preserve">The most frequently reported SAEs by SOC were </w:t>
      </w:r>
      <w:r w:rsidR="005C6367">
        <w:t>i</w:t>
      </w:r>
      <w:r w:rsidRPr="004666CB">
        <w:t>nfections and</w:t>
      </w:r>
      <w:r>
        <w:t xml:space="preserve"> </w:t>
      </w:r>
      <w:r w:rsidR="005C6367">
        <w:t>i</w:t>
      </w:r>
      <w:r w:rsidRPr="004666CB">
        <w:t>nfestations,</w:t>
      </w:r>
      <w:r>
        <w:t xml:space="preserve"> </w:t>
      </w:r>
      <w:r w:rsidR="005C6367" w:rsidRPr="004666CB">
        <w:t>musculoskeletal and connective tissue disorders</w:t>
      </w:r>
      <w:r w:rsidR="005C6367">
        <w:t xml:space="preserve">, and nervous system disorders. Hypersensitivity </w:t>
      </w:r>
      <w:r>
        <w:t>SAEs</w:t>
      </w:r>
      <w:r w:rsidRPr="00C61BE9">
        <w:t xml:space="preserve"> were more common in the SC patients</w:t>
      </w:r>
      <w:r w:rsidR="005C6367">
        <w:t xml:space="preserve"> </w:t>
      </w:r>
      <w:r w:rsidR="005C6367" w:rsidRPr="00C61BE9">
        <w:t>(</w:t>
      </w:r>
      <w:r w:rsidR="005C6367">
        <w:t xml:space="preserve">3 patients or </w:t>
      </w:r>
      <w:r w:rsidR="005C6367" w:rsidRPr="00C61BE9">
        <w:t>0.</w:t>
      </w:r>
      <w:r w:rsidR="005C6367">
        <w:t>5%)</w:t>
      </w:r>
      <w:r w:rsidRPr="00C61BE9">
        <w:t xml:space="preserve"> than in the IV </w:t>
      </w:r>
      <w:r w:rsidR="005C6367">
        <w:t xml:space="preserve">patients </w:t>
      </w:r>
      <w:r w:rsidRPr="00C61BE9">
        <w:t>(1</w:t>
      </w:r>
      <w:r w:rsidR="005C6367">
        <w:t xml:space="preserve"> patient or</w:t>
      </w:r>
      <w:r>
        <w:t xml:space="preserve"> 0.</w:t>
      </w:r>
      <w:r w:rsidR="005C6367">
        <w:t>2%).</w:t>
      </w:r>
    </w:p>
    <w:p w14:paraId="4463B28B" w14:textId="77777777" w:rsidR="004A5ABB" w:rsidRDefault="004A5ABB" w:rsidP="004A5ABB">
      <w:r>
        <w:t>R</w:t>
      </w:r>
      <w:r w:rsidRPr="002C5EAE">
        <w:t>ates for</w:t>
      </w:r>
      <w:r>
        <w:t xml:space="preserve"> SAEs</w:t>
      </w:r>
      <w:r w:rsidRPr="002C5EAE">
        <w:t xml:space="preserve"> and deaths were compara</w:t>
      </w:r>
      <w:r w:rsidR="00DC1A24">
        <w:t xml:space="preserve">ble in the SC and IV TCZ arms. </w:t>
      </w:r>
      <w:r w:rsidR="005C6367">
        <w:t xml:space="preserve">Rates were also similar for IV </w:t>
      </w:r>
      <w:r w:rsidRPr="002C5EAE">
        <w:t xml:space="preserve">SC </w:t>
      </w:r>
      <w:r w:rsidR="00DC1A24">
        <w:t xml:space="preserve">switch patients. </w:t>
      </w:r>
      <w:r w:rsidRPr="002C5EAE">
        <w:t>Duration of exposure and event numbers were low in the SC</w:t>
      </w:r>
      <w:r w:rsidR="005C6367">
        <w:t xml:space="preserve"> </w:t>
      </w:r>
      <w:r w:rsidRPr="002C5EAE">
        <w:t>IV switch patients with wide CIs, but rates were generally comparable</w:t>
      </w:r>
      <w:r>
        <w:t xml:space="preserve"> to the other treatment arms (</w:t>
      </w:r>
      <w:r w:rsidR="005C6367">
        <w:t xml:space="preserve">Refer to </w:t>
      </w:r>
      <w:r w:rsidR="00DC1A24">
        <w:t>Table 12</w:t>
      </w:r>
      <w:r w:rsidRPr="004666CB">
        <w:t xml:space="preserve"> </w:t>
      </w:r>
      <w:r>
        <w:t>above)</w:t>
      </w:r>
      <w:r w:rsidRPr="002C5EAE">
        <w:t>.</w:t>
      </w:r>
    </w:p>
    <w:p w14:paraId="4463B28C" w14:textId="77777777" w:rsidR="004A5ABB" w:rsidRDefault="004A5ABB" w:rsidP="004A5ABB">
      <w:r w:rsidRPr="00DE4A29">
        <w:lastRenderedPageBreak/>
        <w:t xml:space="preserve">Nine deaths were reported </w:t>
      </w:r>
      <w:r>
        <w:t xml:space="preserve">during </w:t>
      </w:r>
      <w:r w:rsidR="00E64501" w:rsidRPr="00E64501">
        <w:t>Study NA25220</w:t>
      </w:r>
      <w:r w:rsidR="00DC1A24">
        <w:t xml:space="preserve">: </w:t>
      </w:r>
      <w:r>
        <w:t>4 during the DB phase, 1 during the interim OL phase (previously</w:t>
      </w:r>
      <w:r w:rsidR="0072757E">
        <w:t xml:space="preserve"> reported and evaluated)</w:t>
      </w:r>
      <w:r>
        <w:t xml:space="preserve"> and 4 after the interim analysis of the OL phase</w:t>
      </w:r>
      <w:r w:rsidRPr="00DE4A29">
        <w:t xml:space="preserve">. </w:t>
      </w:r>
      <w:r>
        <w:t>Of these 4 deaths, two were considered related to study treatm</w:t>
      </w:r>
      <w:r w:rsidR="00E64501">
        <w:t>ent (pyrexia of unknown origin (</w:t>
      </w:r>
      <w:r>
        <w:t>T</w:t>
      </w:r>
      <w:r w:rsidR="00DC1A24">
        <w:t xml:space="preserve">CZ PFS </w:t>
      </w:r>
      <w:r w:rsidR="005F7D43">
        <w:t>then</w:t>
      </w:r>
      <w:r w:rsidR="00DC1A24">
        <w:t xml:space="preserve"> AI </w:t>
      </w:r>
      <w:r w:rsidR="005F7D43">
        <w:t xml:space="preserve">switch </w:t>
      </w:r>
      <w:r w:rsidR="00DC1A24">
        <w:t>arm</w:t>
      </w:r>
      <w:r w:rsidR="002E6B16">
        <w:t>)</w:t>
      </w:r>
      <w:r w:rsidR="00DC1A24">
        <w:t xml:space="preserve">, MI </w:t>
      </w:r>
      <w:r w:rsidR="00E64501">
        <w:t>(</w:t>
      </w:r>
      <w:r w:rsidR="00DC1A24">
        <w:t xml:space="preserve">placebo </w:t>
      </w:r>
      <w:r w:rsidR="005F7D43">
        <w:t>then</w:t>
      </w:r>
      <w:r w:rsidR="00E64501">
        <w:t xml:space="preserve"> TCZ PFS</w:t>
      </w:r>
      <w:r w:rsidR="005F7D43">
        <w:t xml:space="preserve"> switch</w:t>
      </w:r>
      <w:r w:rsidR="00E64501">
        <w:t xml:space="preserve"> arm)</w:t>
      </w:r>
      <w:r>
        <w:t>), and 2 unrelated (</w:t>
      </w:r>
      <w:r w:rsidR="0072757E">
        <w:t>myocardial infarction</w:t>
      </w:r>
      <w:r w:rsidR="00E64501">
        <w:t xml:space="preserve"> (</w:t>
      </w:r>
      <w:r w:rsidR="00DC1A24">
        <w:t xml:space="preserve">placebo </w:t>
      </w:r>
      <w:r w:rsidR="005F7D43">
        <w:t>then</w:t>
      </w:r>
      <w:r w:rsidRPr="00DE4A29">
        <w:t xml:space="preserve"> TCZ PFS </w:t>
      </w:r>
      <w:r w:rsidR="005F7D43">
        <w:t>then</w:t>
      </w:r>
      <w:r>
        <w:t xml:space="preserve"> AI </w:t>
      </w:r>
      <w:r w:rsidR="005F7D43">
        <w:t xml:space="preserve">switch </w:t>
      </w:r>
      <w:r w:rsidR="0072757E">
        <w:t>arm), myocardial infarction</w:t>
      </w:r>
      <w:r w:rsidR="00E64501">
        <w:t xml:space="preserve"> (</w:t>
      </w:r>
      <w:r w:rsidRPr="00DE4A29">
        <w:t>TCZ PFS arm</w:t>
      </w:r>
      <w:r w:rsidR="00E64501">
        <w:t>)</w:t>
      </w:r>
      <w:r>
        <w:t>).</w:t>
      </w:r>
      <w:r w:rsidR="00DC1A24">
        <w:t xml:space="preserve"> </w:t>
      </w:r>
      <w:r>
        <w:t>One patient in the escape arm died (upper GI haemorrhage, considered unrelated to treatment).</w:t>
      </w:r>
    </w:p>
    <w:p w14:paraId="4463B28D" w14:textId="77777777" w:rsidR="004A5ABB" w:rsidRDefault="004A5ABB" w:rsidP="004A5ABB">
      <w:r>
        <w:t xml:space="preserve">Overall, 63 patients reported 82 SAEs across the DB and OL phases of the study, with incidence similar in the TCZ PFS and </w:t>
      </w:r>
      <w:r w:rsidR="005F7D43">
        <w:t xml:space="preserve">the </w:t>
      </w:r>
      <w:r>
        <w:t xml:space="preserve">TCZ PFS </w:t>
      </w:r>
      <w:r w:rsidR="005F7D43">
        <w:t>then</w:t>
      </w:r>
      <w:r w:rsidR="00E64501">
        <w:t xml:space="preserve"> TCZ AI</w:t>
      </w:r>
      <w:r w:rsidR="005F7D43">
        <w:t xml:space="preserve"> switch</w:t>
      </w:r>
      <w:r w:rsidR="00E64501">
        <w:t xml:space="preserve"> arms (8.2% </w:t>
      </w:r>
      <w:r w:rsidR="002E6B16">
        <w:t>versus</w:t>
      </w:r>
      <w:r w:rsidR="00E64501">
        <w:t xml:space="preserve"> 10.1%). </w:t>
      </w:r>
      <w:r>
        <w:t>There were few</w:t>
      </w:r>
      <w:r w:rsidRPr="00DB2B7F">
        <w:t xml:space="preserve"> </w:t>
      </w:r>
      <w:r>
        <w:t>S</w:t>
      </w:r>
      <w:r w:rsidRPr="00DB2B7F">
        <w:t>AEs and the limited PY exp</w:t>
      </w:r>
      <w:r w:rsidR="0072757E">
        <w:t>osure in the prior placebo arms</w:t>
      </w:r>
      <w:r w:rsidRPr="00DB2B7F">
        <w:t xml:space="preserve"> </w:t>
      </w:r>
      <w:r>
        <w:t xml:space="preserve">limiting </w:t>
      </w:r>
      <w:r w:rsidR="00DC1A24">
        <w:t xml:space="preserve">meaningful comparison. </w:t>
      </w:r>
      <w:r w:rsidRPr="00DB2B7F">
        <w:t xml:space="preserve">The most frequently reported SAEs by SOC were </w:t>
      </w:r>
      <w:r w:rsidR="00E64501">
        <w:t>i</w:t>
      </w:r>
      <w:r w:rsidRPr="00DB2B7F">
        <w:t xml:space="preserve">nfections and </w:t>
      </w:r>
      <w:r w:rsidR="00E64501">
        <w:t>i</w:t>
      </w:r>
      <w:r>
        <w:t xml:space="preserve">nfestations, </w:t>
      </w:r>
      <w:r w:rsidR="00E64501">
        <w:t>g</w:t>
      </w:r>
      <w:r>
        <w:t xml:space="preserve">astrointestinal disorders, and </w:t>
      </w:r>
      <w:r w:rsidR="00E64501">
        <w:t>c</w:t>
      </w:r>
      <w:r>
        <w:t>ardiac disorders</w:t>
      </w:r>
      <w:r w:rsidRPr="00DB2B7F">
        <w:t>.</w:t>
      </w:r>
      <w:r w:rsidR="00DC1A24">
        <w:t xml:space="preserve"> </w:t>
      </w:r>
      <w:r>
        <w:t>Most types of SAEs were reported in ≤2 patients.</w:t>
      </w:r>
      <w:r w:rsidR="00DC1A24">
        <w:t xml:space="preserve"> </w:t>
      </w:r>
      <w:r>
        <w:t xml:space="preserve">A further 30 patients on escape therapy had SAEs (16 </w:t>
      </w:r>
      <w:r w:rsidR="00E64501">
        <w:t>(16.3%) on prior TCZ, 14 (15.4%)</w:t>
      </w:r>
      <w:r>
        <w:t xml:space="preserve"> on prior placebo).</w:t>
      </w:r>
    </w:p>
    <w:p w14:paraId="4463B28E" w14:textId="77777777" w:rsidR="004A5ABB" w:rsidRDefault="004A5ABB" w:rsidP="00DC1A24">
      <w:pPr>
        <w:pStyle w:val="Heading4"/>
      </w:pPr>
      <w:r>
        <w:t>Other studies</w:t>
      </w:r>
    </w:p>
    <w:p w14:paraId="4463B28F" w14:textId="77777777" w:rsidR="004A5ABB" w:rsidRDefault="004A5ABB" w:rsidP="004A5ABB">
      <w:pPr>
        <w:autoSpaceDE w:val="0"/>
        <w:autoSpaceDN w:val="0"/>
        <w:adjustRightInd w:val="0"/>
      </w:pPr>
      <w:r>
        <w:t>O</w:t>
      </w:r>
      <w:r w:rsidRPr="002F065E">
        <w:t xml:space="preserve">ne death </w:t>
      </w:r>
      <w:r>
        <w:t xml:space="preserve">occurred </w:t>
      </w:r>
      <w:r w:rsidR="00E64501">
        <w:t>during S</w:t>
      </w:r>
      <w:r w:rsidRPr="002F065E">
        <w:t>tudy</w:t>
      </w:r>
      <w:r w:rsidR="00E64501">
        <w:t xml:space="preserve"> MRA229JP</w:t>
      </w:r>
      <w:r w:rsidRPr="002F065E">
        <w:t xml:space="preserve"> </w:t>
      </w:r>
      <w:r>
        <w:t>(</w:t>
      </w:r>
      <w:r w:rsidRPr="002F065E">
        <w:t>in the open-label</w:t>
      </w:r>
      <w:r>
        <w:t xml:space="preserve"> </w:t>
      </w:r>
      <w:r w:rsidRPr="002F065E">
        <w:t>period</w:t>
      </w:r>
      <w:r>
        <w:t>)</w:t>
      </w:r>
      <w:r w:rsidRPr="002F065E">
        <w:t xml:space="preserve">. There were 107 </w:t>
      </w:r>
      <w:r>
        <w:t>SAEs</w:t>
      </w:r>
      <w:r w:rsidRPr="002F065E">
        <w:t xml:space="preserve"> in 22.3% (77</w:t>
      </w:r>
      <w:r w:rsidR="00E64501">
        <w:t xml:space="preserve"> of </w:t>
      </w:r>
      <w:r w:rsidRPr="002F065E">
        <w:t>346</w:t>
      </w:r>
      <w:r w:rsidR="00E64501">
        <w:t xml:space="preserve"> subjects</w:t>
      </w:r>
      <w:r w:rsidRPr="002F065E">
        <w:t>) of the</w:t>
      </w:r>
      <w:r>
        <w:t xml:space="preserve"> </w:t>
      </w:r>
      <w:r w:rsidRPr="002F065E">
        <w:t xml:space="preserve">subjects. </w:t>
      </w:r>
      <w:r w:rsidRPr="00955976">
        <w:t>The most freque</w:t>
      </w:r>
      <w:r w:rsidR="00DC1A24">
        <w:t>ntly reported SAEs by SOC were i</w:t>
      </w:r>
      <w:r w:rsidRPr="00955976">
        <w:t xml:space="preserve">nfections and </w:t>
      </w:r>
      <w:r w:rsidR="00DC1A24">
        <w:t>i</w:t>
      </w:r>
      <w:r w:rsidRPr="00955976">
        <w:t xml:space="preserve">nfestations </w:t>
      </w:r>
      <w:r w:rsidRPr="002F065E">
        <w:t>which occurred in</w:t>
      </w:r>
      <w:r>
        <w:t xml:space="preserve"> </w:t>
      </w:r>
      <w:r w:rsidRPr="002F065E">
        <w:t>8.7% (30</w:t>
      </w:r>
      <w:r w:rsidR="00E64501">
        <w:t xml:space="preserve"> of </w:t>
      </w:r>
      <w:r w:rsidRPr="002F065E">
        <w:t>346 subjects) of the subjects.</w:t>
      </w:r>
    </w:p>
    <w:p w14:paraId="4463B290" w14:textId="77777777" w:rsidR="004A5ABB" w:rsidRDefault="0072757E" w:rsidP="004A5ABB">
      <w:pPr>
        <w:autoSpaceDE w:val="0"/>
        <w:autoSpaceDN w:val="0"/>
        <w:adjustRightInd w:val="0"/>
      </w:pPr>
      <w:r>
        <w:t>In Study ML28338</w:t>
      </w:r>
      <w:r w:rsidR="00E64501">
        <w:t xml:space="preserve"> a</w:t>
      </w:r>
      <w:r w:rsidR="004A5ABB" w:rsidRPr="00EE0A5B">
        <w:t xml:space="preserve"> total of 37 </w:t>
      </w:r>
      <w:r w:rsidR="004A5ABB">
        <w:t>SAEs</w:t>
      </w:r>
      <w:r w:rsidR="004A5ABB" w:rsidRPr="00EE0A5B">
        <w:t xml:space="preserve"> in 23 patients (10.6%) were reported giving an overall</w:t>
      </w:r>
      <w:r w:rsidR="004A5ABB">
        <w:t xml:space="preserve"> </w:t>
      </w:r>
      <w:r w:rsidR="004A5ABB" w:rsidRPr="00EE0A5B">
        <w:t>rate of 14.72 (95% CI: 10.37, 20.30) SAEs per 100 PY. There were no deaths</w:t>
      </w:r>
      <w:r w:rsidR="004A5ABB">
        <w:t xml:space="preserve"> </w:t>
      </w:r>
      <w:r w:rsidR="004A5ABB" w:rsidRPr="00EE0A5B">
        <w:t>during the study.</w:t>
      </w:r>
    </w:p>
    <w:p w14:paraId="4463B291" w14:textId="77777777" w:rsidR="004A5ABB" w:rsidRPr="00DC1A24" w:rsidRDefault="004A5ABB" w:rsidP="00DC1A24">
      <w:pPr>
        <w:pStyle w:val="Heading3"/>
      </w:pPr>
      <w:bookmarkStart w:id="126" w:name="_Toc430267987"/>
      <w:bookmarkStart w:id="127" w:name="_Toc464136274"/>
      <w:r w:rsidRPr="00DC1A24">
        <w:t>Discontinuation due to adverse events</w:t>
      </w:r>
      <w:bookmarkEnd w:id="126"/>
      <w:bookmarkEnd w:id="127"/>
    </w:p>
    <w:p w14:paraId="4463B292" w14:textId="77777777" w:rsidR="00DC1A24" w:rsidRPr="00D736E3" w:rsidRDefault="00D736E3" w:rsidP="00DC1A24">
      <w:pPr>
        <w:pStyle w:val="Heading4"/>
      </w:pPr>
      <w:r>
        <w:t>Pivotal studies</w:t>
      </w:r>
    </w:p>
    <w:p w14:paraId="4463B293" w14:textId="77777777" w:rsidR="004A5ABB" w:rsidRDefault="00D736E3" w:rsidP="004A5ABB">
      <w:r>
        <w:t xml:space="preserve">In Study WA22762 </w:t>
      </w:r>
      <w:r w:rsidR="004A5ABB" w:rsidRPr="00D06DD4">
        <w:t>AEs leading</w:t>
      </w:r>
      <w:r w:rsidR="004A5ABB">
        <w:t xml:space="preserve"> to withdrawal were</w:t>
      </w:r>
      <w:r w:rsidR="004A5ABB" w:rsidRPr="00D06DD4">
        <w:t xml:space="preserve"> observed in 91 (14.4%) patients in the SC arm and </w:t>
      </w:r>
      <w:r w:rsidR="004A5ABB">
        <w:t>80 (</w:t>
      </w:r>
      <w:r w:rsidR="004A5ABB" w:rsidRPr="00D06DD4">
        <w:t>12.7%</w:t>
      </w:r>
      <w:r w:rsidR="004A5ABB">
        <w:t xml:space="preserve">) </w:t>
      </w:r>
      <w:r w:rsidR="004A5ABB" w:rsidRPr="00D06DD4">
        <w:t>patients</w:t>
      </w:r>
      <w:r w:rsidR="004A5ABB">
        <w:t xml:space="preserve"> </w:t>
      </w:r>
      <w:r w:rsidR="004A5ABB" w:rsidRPr="00D06DD4">
        <w:t>in the IV arm.</w:t>
      </w:r>
      <w:r w:rsidR="00DC1A24">
        <w:t xml:space="preserve"> </w:t>
      </w:r>
      <w:r w:rsidR="004A5ABB" w:rsidRPr="006B4B28">
        <w:t>The most common AEs that led</w:t>
      </w:r>
      <w:r w:rsidR="004A5ABB">
        <w:t xml:space="preserve"> </w:t>
      </w:r>
      <w:r w:rsidR="004A5ABB" w:rsidRPr="006B4B28">
        <w:t>to withdrawal were hypersensitivity, infections, and elevated transaminases.</w:t>
      </w:r>
      <w:r w:rsidR="00DC1A24">
        <w:t xml:space="preserve"> </w:t>
      </w:r>
      <w:r w:rsidR="004A5ABB">
        <w:t>R</w:t>
      </w:r>
      <w:r w:rsidR="004A5ABB" w:rsidRPr="002C5EAE">
        <w:t>ates for AEs leading to withdrawal were compara</w:t>
      </w:r>
      <w:r w:rsidR="00DC1A24">
        <w:t xml:space="preserve">ble in the SC and IV TCZ arms. </w:t>
      </w:r>
      <w:r w:rsidR="004A5ABB" w:rsidRPr="002C5EAE">
        <w:t>Rates were also similar for IV</w:t>
      </w:r>
      <w:r>
        <w:t xml:space="preserve"> </w:t>
      </w:r>
      <w:r w:rsidR="004A5ABB" w:rsidRPr="002C5EAE">
        <w:t>SC switch patients</w:t>
      </w:r>
      <w:r w:rsidR="00DC1A24">
        <w:t xml:space="preserve">. </w:t>
      </w:r>
      <w:r w:rsidR="004A5ABB" w:rsidRPr="002C5EAE">
        <w:t>Duration of exposure and e</w:t>
      </w:r>
      <w:r>
        <w:t xml:space="preserve">vent numbers were low in the SC </w:t>
      </w:r>
      <w:r w:rsidR="004A5ABB" w:rsidRPr="002C5EAE">
        <w:t>IV switch patients with wide CIs, but rates were generally comparable</w:t>
      </w:r>
      <w:r w:rsidR="004A5ABB">
        <w:t xml:space="preserve"> to the other treatment arms </w:t>
      </w:r>
      <w:r w:rsidR="004A5ABB" w:rsidRPr="004666CB">
        <w:t>(</w:t>
      </w:r>
      <w:r>
        <w:t xml:space="preserve">See </w:t>
      </w:r>
      <w:r w:rsidR="00DC1A24">
        <w:t>Table 12</w:t>
      </w:r>
      <w:r w:rsidR="004A5ABB">
        <w:t xml:space="preserve"> above)</w:t>
      </w:r>
      <w:r w:rsidR="004A5ABB" w:rsidRPr="002C5EAE">
        <w:t>.</w:t>
      </w:r>
    </w:p>
    <w:p w14:paraId="4463B294" w14:textId="77777777" w:rsidR="004A5ABB" w:rsidRDefault="004A5ABB" w:rsidP="004A5ABB">
      <w:r w:rsidRPr="00364A2F">
        <w:t xml:space="preserve">AEs leading to withdrawal </w:t>
      </w:r>
      <w:r w:rsidR="00D736E3">
        <w:t xml:space="preserve">from </w:t>
      </w:r>
      <w:r w:rsidR="00D736E3" w:rsidRPr="00D736E3">
        <w:t>Study NA25220</w:t>
      </w:r>
      <w:r w:rsidR="00D736E3">
        <w:t xml:space="preserve"> </w:t>
      </w:r>
      <w:r w:rsidRPr="00364A2F">
        <w:t xml:space="preserve">were reported for </w:t>
      </w:r>
      <w:r w:rsidR="00D736E3">
        <w:t xml:space="preserve">16 (3.7%) TCZ </w:t>
      </w:r>
      <w:r>
        <w:t xml:space="preserve">PFS patients, 8 (5.4%) TCZ PFS </w:t>
      </w:r>
      <w:r w:rsidR="005F7D43">
        <w:t>to</w:t>
      </w:r>
      <w:r>
        <w:t xml:space="preserve"> </w:t>
      </w:r>
      <w:r w:rsidRPr="00364A2F">
        <w:t>AI</w:t>
      </w:r>
      <w:r w:rsidR="005F7D43">
        <w:t xml:space="preserve"> switch patients</w:t>
      </w:r>
      <w:r>
        <w:t xml:space="preserve"> and 1 patient each (1.7%) in the placebo </w:t>
      </w:r>
      <w:r w:rsidR="005F7D43">
        <w:t>to</w:t>
      </w:r>
      <w:r>
        <w:t xml:space="preserve"> TCZ P</w:t>
      </w:r>
      <w:r w:rsidR="00DC1A24">
        <w:t>FS</w:t>
      </w:r>
      <w:r w:rsidR="005F7D43">
        <w:t xml:space="preserve"> switch</w:t>
      </w:r>
      <w:r w:rsidR="00DC1A24">
        <w:t xml:space="preserve"> and placebo </w:t>
      </w:r>
      <w:r w:rsidR="005F7D43">
        <w:t>to</w:t>
      </w:r>
      <w:r w:rsidR="00DC1A24">
        <w:t xml:space="preserve"> TCZ AI</w:t>
      </w:r>
      <w:r w:rsidR="005F7D43">
        <w:t xml:space="preserve"> switch</w:t>
      </w:r>
      <w:r w:rsidR="00DC1A24">
        <w:t xml:space="preserve"> arms. </w:t>
      </w:r>
      <w:r>
        <w:t>The most common reasons for withdrawal included neutropenia, and increased ALT.</w:t>
      </w:r>
      <w:r w:rsidR="009F0A80">
        <w:t xml:space="preserve"> </w:t>
      </w:r>
      <w:r>
        <w:t>Twelve patients in the escape arm (5 on prior TCZ, 7 on prior placebo) were withdrawn.</w:t>
      </w:r>
    </w:p>
    <w:p w14:paraId="4463B295" w14:textId="77777777" w:rsidR="004A5ABB" w:rsidRDefault="004A5ABB" w:rsidP="00DC1A24">
      <w:pPr>
        <w:pStyle w:val="Heading4"/>
      </w:pPr>
      <w:r>
        <w:t>Other studies</w:t>
      </w:r>
    </w:p>
    <w:p w14:paraId="4463B296" w14:textId="77777777" w:rsidR="004A5ABB" w:rsidRDefault="00D736E3" w:rsidP="004A5ABB">
      <w:pPr>
        <w:autoSpaceDE w:val="0"/>
        <w:autoSpaceDN w:val="0"/>
        <w:adjustRightInd w:val="0"/>
      </w:pPr>
      <w:r>
        <w:t>In Study MRA229JP t</w:t>
      </w:r>
      <w:r w:rsidR="004A5ABB" w:rsidRPr="002F065E">
        <w:t xml:space="preserve">here were 44 </w:t>
      </w:r>
      <w:r w:rsidR="004A5ABB">
        <w:t>AEs</w:t>
      </w:r>
      <w:r w:rsidR="004A5ABB" w:rsidRPr="002F065E">
        <w:t xml:space="preserve"> </w:t>
      </w:r>
      <w:r w:rsidR="004A5ABB">
        <w:t xml:space="preserve">in 36 subjects </w:t>
      </w:r>
      <w:r w:rsidR="004A5ABB" w:rsidRPr="002F065E">
        <w:t>leading to withdrawal of</w:t>
      </w:r>
      <w:r w:rsidR="004A5ABB">
        <w:t xml:space="preserve"> </w:t>
      </w:r>
      <w:r w:rsidR="004A5ABB" w:rsidRPr="002F065E">
        <w:t xml:space="preserve">the investigation product </w:t>
      </w:r>
      <w:r w:rsidR="004A5ABB">
        <w:t xml:space="preserve">and a further </w:t>
      </w:r>
      <w:r w:rsidR="004A5ABB" w:rsidRPr="002F065E">
        <w:t xml:space="preserve">299 adverse events </w:t>
      </w:r>
      <w:r w:rsidR="004A5ABB">
        <w:t xml:space="preserve">in 181 subjects </w:t>
      </w:r>
      <w:r w:rsidR="004A5ABB" w:rsidRPr="002F065E">
        <w:t>leading to modification of the dosing interval or temporary suspension of treatment</w:t>
      </w:r>
      <w:r w:rsidR="004A5ABB">
        <w:t>.</w:t>
      </w:r>
      <w:r w:rsidR="004A5ABB" w:rsidRPr="002F065E">
        <w:t xml:space="preserve"> The most</w:t>
      </w:r>
      <w:r w:rsidR="004A5ABB">
        <w:t xml:space="preserve"> </w:t>
      </w:r>
      <w:r w:rsidR="004A5ABB" w:rsidRPr="002F065E">
        <w:t>common SOCs were infections and infestations.</w:t>
      </w:r>
    </w:p>
    <w:p w14:paraId="4463B297" w14:textId="77777777" w:rsidR="004A5ABB" w:rsidRDefault="004A5ABB" w:rsidP="004A5ABB">
      <w:pPr>
        <w:autoSpaceDE w:val="0"/>
        <w:autoSpaceDN w:val="0"/>
        <w:adjustRightInd w:val="0"/>
      </w:pPr>
      <w:r>
        <w:t>Sixteen</w:t>
      </w:r>
      <w:r w:rsidRPr="00EE0A5B">
        <w:t xml:space="preserve"> patients (7.4%)</w:t>
      </w:r>
      <w:r w:rsidR="00D736E3">
        <w:t xml:space="preserve"> in Study ML28338</w:t>
      </w:r>
      <w:r w:rsidRPr="00EE0A5B">
        <w:t xml:space="preserve"> experienced an AE that le</w:t>
      </w:r>
      <w:r w:rsidR="00DC1A24">
        <w:t>d to withdrawal from treatment.</w:t>
      </w:r>
    </w:p>
    <w:p w14:paraId="4463B298" w14:textId="77777777" w:rsidR="004A5ABB" w:rsidRPr="00D8701E" w:rsidRDefault="004A5ABB" w:rsidP="00177958">
      <w:pPr>
        <w:pStyle w:val="Heading3"/>
      </w:pPr>
      <w:bookmarkStart w:id="128" w:name="_Toc430267988"/>
      <w:bookmarkStart w:id="129" w:name="_Toc464136275"/>
      <w:r w:rsidRPr="00D8701E">
        <w:lastRenderedPageBreak/>
        <w:t>Adverse events of special interest</w:t>
      </w:r>
      <w:bookmarkEnd w:id="128"/>
      <w:bookmarkEnd w:id="129"/>
    </w:p>
    <w:p w14:paraId="4463B299" w14:textId="77777777" w:rsidR="004A5ABB" w:rsidRPr="00D8701E" w:rsidRDefault="004A5ABB" w:rsidP="00D8701E">
      <w:pPr>
        <w:pStyle w:val="Heading4"/>
      </w:pPr>
      <w:bookmarkStart w:id="130" w:name="_Toc430267989"/>
      <w:r w:rsidRPr="00D8701E">
        <w:t>Immunogenicity</w:t>
      </w:r>
      <w:bookmarkEnd w:id="130"/>
    </w:p>
    <w:p w14:paraId="4463B29A" w14:textId="77777777" w:rsidR="00D8701E" w:rsidRDefault="00D736E3" w:rsidP="00D8701E">
      <w:pPr>
        <w:pStyle w:val="Heading5"/>
      </w:pPr>
      <w:r>
        <w:t>Pivotal studies</w:t>
      </w:r>
    </w:p>
    <w:p w14:paraId="4463B29B" w14:textId="77777777" w:rsidR="004A5ABB" w:rsidRDefault="00D736E3" w:rsidP="004A5ABB">
      <w:pPr>
        <w:autoSpaceDE w:val="0"/>
        <w:autoSpaceDN w:val="0"/>
        <w:adjustRightInd w:val="0"/>
      </w:pPr>
      <w:r>
        <w:t>In Study WA22762 a</w:t>
      </w:r>
      <w:r w:rsidR="004A5ABB">
        <w:t>nti-TCZ antibodies were detected in only a small proportion of patients in t</w:t>
      </w:r>
      <w:r>
        <w:t>he SC (1.6%), IV (1.1%), and IV SC (0.5%) arms</w:t>
      </w:r>
      <w:r w:rsidR="004A5ABB">
        <w:t xml:space="preserve"> and only 2 patients (both on SC TCZ) had positive anti-TCZ IgE antibodies</w:t>
      </w:r>
      <w:r w:rsidR="000427DA">
        <w:t xml:space="preserve">. </w:t>
      </w:r>
      <w:r w:rsidR="004A5ABB">
        <w:t>None of the patients had an anaphylactic or se</w:t>
      </w:r>
      <w:r>
        <w:t>rious hypersensitivity reaction.</w:t>
      </w:r>
      <w:r w:rsidR="004A5ABB">
        <w:t xml:space="preserve"> 1 patient (in the IV arm) had a clinically significant hypersensitivity reaction, and 2 patients in the SC arm had non-serious ISRs (injection site erythema)</w:t>
      </w:r>
      <w:r w:rsidR="000427DA">
        <w:t>. N</w:t>
      </w:r>
      <w:r w:rsidR="004A5ABB">
        <w:t xml:space="preserve">o patient with </w:t>
      </w:r>
      <w:r w:rsidR="004A5ABB" w:rsidRPr="001A10FE">
        <w:t>anti-TCZ antibodies</w:t>
      </w:r>
      <w:r w:rsidR="004A5ABB">
        <w:t xml:space="preserve"> was</w:t>
      </w:r>
      <w:r w:rsidR="004A5ABB" w:rsidRPr="001A10FE">
        <w:t xml:space="preserve"> withdrawn from study due to insufficient therapeutic response or met the criteria of</w:t>
      </w:r>
      <w:r w:rsidR="004A5ABB">
        <w:t xml:space="preserve"> </w:t>
      </w:r>
      <w:r w:rsidR="004A5ABB" w:rsidRPr="001A10FE">
        <w:t>“loss of efficacy”.</w:t>
      </w:r>
    </w:p>
    <w:p w14:paraId="4463B29C" w14:textId="77777777" w:rsidR="004A5ABB" w:rsidRDefault="004A5ABB" w:rsidP="004A5ABB">
      <w:pPr>
        <w:autoSpaceDE w:val="0"/>
        <w:autoSpaceDN w:val="0"/>
        <w:adjustRightInd w:val="0"/>
      </w:pPr>
      <w:r w:rsidRPr="00E13E44">
        <w:t>The proportions of patients</w:t>
      </w:r>
      <w:r w:rsidR="00D736E3">
        <w:t xml:space="preserve"> in Study NA25220</w:t>
      </w:r>
      <w:r w:rsidRPr="00E13E44">
        <w:t xml:space="preserve"> </w:t>
      </w:r>
      <w:r>
        <w:t>with</w:t>
      </w:r>
      <w:r w:rsidRPr="00E13E44">
        <w:t xml:space="preserve"> anti-TCZ antibodies post-baseline were consistently low and similar across the</w:t>
      </w:r>
      <w:r>
        <w:t xml:space="preserve"> </w:t>
      </w:r>
      <w:r w:rsidRPr="00E13E44">
        <w:t>treatment arms: 8 of 432 patients (1.9%) in the TCZ PFS arm, 1 of 168 patients (0.6%)</w:t>
      </w:r>
      <w:r>
        <w:t xml:space="preserve"> in the TCZ PFS </w:t>
      </w:r>
      <w:r w:rsidR="005F7D43">
        <w:t>to</w:t>
      </w:r>
      <w:r w:rsidRPr="00E13E44">
        <w:t xml:space="preserve"> AI</w:t>
      </w:r>
      <w:r w:rsidR="005F7D43">
        <w:t xml:space="preserve"> switch</w:t>
      </w:r>
      <w:r w:rsidRPr="00E13E44">
        <w:t xml:space="preserve"> arm, 1 of 61</w:t>
      </w:r>
      <w:r>
        <w:t xml:space="preserve"> patients (1.7%) in the placebo </w:t>
      </w:r>
      <w:r w:rsidR="005F7D43">
        <w:t>to</w:t>
      </w:r>
      <w:r>
        <w:t xml:space="preserve"> </w:t>
      </w:r>
      <w:r w:rsidRPr="00E13E44">
        <w:t xml:space="preserve">TCZ PFS </w:t>
      </w:r>
      <w:r w:rsidR="005F7D43">
        <w:t xml:space="preserve">switch </w:t>
      </w:r>
      <w:r w:rsidRPr="00E13E44">
        <w:t>arm, no</w:t>
      </w:r>
      <w:r>
        <w:t xml:space="preserve"> </w:t>
      </w:r>
      <w:r w:rsidRPr="00E13E44">
        <w:t>patients in the placebo</w:t>
      </w:r>
      <w:r>
        <w:t xml:space="preserve"> </w:t>
      </w:r>
      <w:r w:rsidR="005F7D43">
        <w:t>to</w:t>
      </w:r>
      <w:r>
        <w:t xml:space="preserve"> </w:t>
      </w:r>
      <w:r w:rsidRPr="00E13E44">
        <w:t>TCZ AI</w:t>
      </w:r>
      <w:r w:rsidR="005F7D43">
        <w:t xml:space="preserve"> switch</w:t>
      </w:r>
      <w:r w:rsidRPr="00E13E44">
        <w:t xml:space="preserve"> arm, and 3 of 218 patients (1.4%) in the placebo arm</w:t>
      </w:r>
      <w:r>
        <w:t>.</w:t>
      </w:r>
      <w:r w:rsidR="000427DA">
        <w:t xml:space="preserve"> </w:t>
      </w:r>
      <w:r>
        <w:t>Among escape patients, 3</w:t>
      </w:r>
      <w:r w:rsidRPr="00E13E44">
        <w:t xml:space="preserve"> (3.3%) patients in the prior placebo arm and 1 (1.0%) patient in the prior TCZ arm</w:t>
      </w:r>
      <w:r>
        <w:t xml:space="preserve"> </w:t>
      </w:r>
      <w:r w:rsidRPr="00E13E44">
        <w:t>had</w:t>
      </w:r>
      <w:r>
        <w:t xml:space="preserve"> </w:t>
      </w:r>
      <w:r w:rsidRPr="00E13E44">
        <w:t>anti-TCZ antibodies</w:t>
      </w:r>
      <w:r w:rsidR="000427DA">
        <w:t xml:space="preserve">. </w:t>
      </w:r>
      <w:r>
        <w:t xml:space="preserve">Four patients had </w:t>
      </w:r>
      <w:r w:rsidRPr="004C62CE">
        <w:t xml:space="preserve">positive anti-TCZ IgE antibodies </w:t>
      </w:r>
      <w:r>
        <w:t>(3 in the TCZ PFS arm an</w:t>
      </w:r>
      <w:r w:rsidR="000427DA">
        <w:t xml:space="preserve">d 1 in the TCZ PFS </w:t>
      </w:r>
      <w:r w:rsidR="005F7D43">
        <w:t>to</w:t>
      </w:r>
      <w:r w:rsidR="000427DA">
        <w:t xml:space="preserve"> AI</w:t>
      </w:r>
      <w:r w:rsidR="005F7D43">
        <w:t xml:space="preserve"> switch</w:t>
      </w:r>
      <w:r w:rsidR="000427DA">
        <w:t xml:space="preserve"> arm). </w:t>
      </w:r>
      <w:r w:rsidRPr="009C50DA">
        <w:t>None of the patients had an anaphylactic</w:t>
      </w:r>
      <w:r>
        <w:t>,</w:t>
      </w:r>
      <w:r w:rsidRPr="009C50DA">
        <w:t xml:space="preserve"> or serious </w:t>
      </w:r>
      <w:r>
        <w:t>or</w:t>
      </w:r>
      <w:r w:rsidRPr="009C50DA">
        <w:t xml:space="preserve"> clinically significant hypersensitivity reaction</w:t>
      </w:r>
      <w:r>
        <w:t>, or injection site reaction</w:t>
      </w:r>
      <w:r w:rsidR="000427DA">
        <w:t xml:space="preserve">. </w:t>
      </w:r>
      <w:r w:rsidRPr="009C50DA">
        <w:t>No patient with anti-TCZ antibodies experienced</w:t>
      </w:r>
      <w:r>
        <w:t xml:space="preserve"> </w:t>
      </w:r>
      <w:r w:rsidRPr="009C50DA">
        <w:t>loss of efficacy or withdrew from the study due to lack of efficacy.</w:t>
      </w:r>
    </w:p>
    <w:p w14:paraId="4463B29D" w14:textId="77777777" w:rsidR="004A5ABB" w:rsidRDefault="004A5ABB" w:rsidP="000427DA">
      <w:pPr>
        <w:pStyle w:val="Heading5"/>
      </w:pPr>
      <w:r>
        <w:t>Other studies</w:t>
      </w:r>
    </w:p>
    <w:p w14:paraId="4463B29E" w14:textId="77777777" w:rsidR="004A5ABB" w:rsidRDefault="004A5ABB" w:rsidP="004A5ABB">
      <w:r w:rsidRPr="00CA1BC0">
        <w:t>Overall</w:t>
      </w:r>
      <w:r w:rsidR="00D736E3">
        <w:t xml:space="preserve"> in Study MRA229JP</w:t>
      </w:r>
      <w:r w:rsidRPr="00CA1BC0">
        <w:t xml:space="preserve"> anti-TCZ antibodies (screening method) were detected</w:t>
      </w:r>
      <w:r>
        <w:t xml:space="preserve"> </w:t>
      </w:r>
      <w:r w:rsidRPr="00CA1BC0">
        <w:t xml:space="preserve">in 6 of 173 (3.5%) patients in the </w:t>
      </w:r>
      <w:r>
        <w:t>SC TCZ</w:t>
      </w:r>
      <w:r w:rsidRPr="00CA1BC0">
        <w:t xml:space="preserve"> group </w:t>
      </w:r>
      <w:r>
        <w:t xml:space="preserve">(all during the BD phase) </w:t>
      </w:r>
      <w:r w:rsidRPr="00CA1BC0">
        <w:t>and in 1 of 173 (0.6%) patients in</w:t>
      </w:r>
      <w:r>
        <w:t xml:space="preserve"> </w:t>
      </w:r>
      <w:r w:rsidRPr="00CA1BC0">
        <w:t xml:space="preserve">the </w:t>
      </w:r>
      <w:r>
        <w:t>IV TCZ</w:t>
      </w:r>
      <w:r w:rsidRPr="00CA1BC0">
        <w:t xml:space="preserve"> group </w:t>
      </w:r>
      <w:r>
        <w:t xml:space="preserve">(after switch to SC administration) </w:t>
      </w:r>
      <w:r w:rsidRPr="00CA1BC0">
        <w:t>during the 108-week study</w:t>
      </w:r>
      <w:r>
        <w:t>.</w:t>
      </w:r>
      <w:r w:rsidR="000427DA">
        <w:t xml:space="preserve"> </w:t>
      </w:r>
      <w:r>
        <w:t>Sixteen</w:t>
      </w:r>
      <w:r w:rsidRPr="00955976">
        <w:t xml:space="preserve"> </w:t>
      </w:r>
      <w:r>
        <w:t>subjects</w:t>
      </w:r>
      <w:r w:rsidRPr="00955976">
        <w:t xml:space="preserve"> (4.8%) experienced a post-injection systemic reaction</w:t>
      </w:r>
      <w:r>
        <w:t>, but</w:t>
      </w:r>
      <w:r w:rsidRPr="00955976">
        <w:t xml:space="preserve"> </w:t>
      </w:r>
      <w:r>
        <w:t>t</w:t>
      </w:r>
      <w:r w:rsidRPr="00955976">
        <w:t>here were no</w:t>
      </w:r>
      <w:r>
        <w:t xml:space="preserve"> </w:t>
      </w:r>
      <w:r w:rsidRPr="00955976">
        <w:t>events of anaphylaxis reported.</w:t>
      </w:r>
    </w:p>
    <w:p w14:paraId="4463B29F" w14:textId="77777777" w:rsidR="004A5ABB" w:rsidRPr="0048794D" w:rsidRDefault="00D736E3" w:rsidP="004A5ABB">
      <w:r>
        <w:t>Data from Study ML28338 was n</w:t>
      </w:r>
      <w:r w:rsidR="004A5ABB">
        <w:t>ot yet available</w:t>
      </w:r>
      <w:r w:rsidR="000427DA">
        <w:t>.</w:t>
      </w:r>
    </w:p>
    <w:p w14:paraId="4463B2A0" w14:textId="77777777" w:rsidR="004A5ABB" w:rsidRPr="00C81624" w:rsidRDefault="004A5ABB" w:rsidP="000427DA">
      <w:pPr>
        <w:pStyle w:val="Heading4"/>
      </w:pPr>
      <w:bookmarkStart w:id="131" w:name="_Toc430267990"/>
      <w:r w:rsidRPr="00C81624">
        <w:t>Injection site reactions</w:t>
      </w:r>
      <w:bookmarkEnd w:id="131"/>
    </w:p>
    <w:p w14:paraId="4463B2A1" w14:textId="77777777" w:rsidR="000427DA" w:rsidRDefault="00D736E3" w:rsidP="000427DA">
      <w:pPr>
        <w:pStyle w:val="Heading5"/>
      </w:pPr>
      <w:r>
        <w:t>Pivotal studies</w:t>
      </w:r>
    </w:p>
    <w:p w14:paraId="4463B2A2" w14:textId="77777777" w:rsidR="004A5ABB" w:rsidRDefault="00D736E3" w:rsidP="004A5ABB">
      <w:pPr>
        <w:autoSpaceDE w:val="0"/>
        <w:autoSpaceDN w:val="0"/>
        <w:adjustRightInd w:val="0"/>
      </w:pPr>
      <w:r>
        <w:t>In Study WA22762 a</w:t>
      </w:r>
      <w:r w:rsidR="004A5ABB">
        <w:t xml:space="preserve"> total of 264 </w:t>
      </w:r>
      <w:r w:rsidR="004A5ABB" w:rsidRPr="00F344F8">
        <w:t>ISRs</w:t>
      </w:r>
      <w:r w:rsidR="004A5ABB">
        <w:rPr>
          <w:b/>
        </w:rPr>
        <w:t xml:space="preserve"> </w:t>
      </w:r>
      <w:r w:rsidR="004A5ABB" w:rsidRPr="00F344F8">
        <w:t xml:space="preserve">were observed in </w:t>
      </w:r>
      <w:r w:rsidR="004A5ABB">
        <w:t>77</w:t>
      </w:r>
      <w:r w:rsidR="004A5ABB" w:rsidRPr="00F344F8">
        <w:t xml:space="preserve"> (</w:t>
      </w:r>
      <w:r w:rsidR="004A5ABB">
        <w:t>12.2</w:t>
      </w:r>
      <w:r w:rsidR="004A5ABB" w:rsidRPr="00F344F8">
        <w:t xml:space="preserve">%) patients in the SC arm and </w:t>
      </w:r>
      <w:r w:rsidR="004A5ABB">
        <w:t>91 ISRs were observed in 15</w:t>
      </w:r>
      <w:r w:rsidR="004A5ABB" w:rsidRPr="00F344F8">
        <w:t xml:space="preserve"> (2.</w:t>
      </w:r>
      <w:r w:rsidR="004A5ABB">
        <w:t>4</w:t>
      </w:r>
      <w:r w:rsidR="004A5ABB" w:rsidRPr="00F344F8">
        <w:t>%) patients in the IV arm</w:t>
      </w:r>
      <w:r w:rsidR="004A5ABB">
        <w:t xml:space="preserve"> (who only received SC injections of placebo during the 24 weeks of the DB phase of the study)</w:t>
      </w:r>
      <w:r w:rsidR="004A5ABB" w:rsidRPr="00F344F8">
        <w:t>.</w:t>
      </w:r>
      <w:r w:rsidR="000427DA">
        <w:t xml:space="preserve"> </w:t>
      </w:r>
      <w:r w:rsidR="004A5ABB">
        <w:t>This resulted in a comparable rate of ISRs in both arms (</w:t>
      </w:r>
      <w:r w:rsidR="004A5ABB" w:rsidRPr="00E00C81">
        <w:t xml:space="preserve">26.05 </w:t>
      </w:r>
      <w:r>
        <w:t>(</w:t>
      </w:r>
      <w:r w:rsidR="004A5ABB" w:rsidRPr="00E00C81">
        <w:t>23.01,</w:t>
      </w:r>
      <w:r w:rsidR="004A5ABB">
        <w:t xml:space="preserve"> </w:t>
      </w:r>
      <w:r>
        <w:t>29.39) versus</w:t>
      </w:r>
      <w:r w:rsidR="004A5ABB">
        <w:t xml:space="preserve"> </w:t>
      </w:r>
      <w:r w:rsidR="004A5ABB" w:rsidRPr="00E00C81">
        <w:t xml:space="preserve">33.63 </w:t>
      </w:r>
      <w:r>
        <w:t>(27.08, 41.29)</w:t>
      </w:r>
      <w:r w:rsidR="004A5ABB" w:rsidRPr="00E00C81">
        <w:t xml:space="preserve"> events per 100 PY</w:t>
      </w:r>
      <w:r w:rsidR="000427DA">
        <w:t xml:space="preserve">). </w:t>
      </w:r>
      <w:r w:rsidR="004A5ABB" w:rsidRPr="00E00C81">
        <w:t xml:space="preserve">None of the ISR symptoms in </w:t>
      </w:r>
      <w:r w:rsidR="004A5ABB">
        <w:t>either</w:t>
      </w:r>
      <w:r w:rsidR="004A5ABB" w:rsidRPr="00E00C81">
        <w:t xml:space="preserve"> arm were reported as an SAE and none led to</w:t>
      </w:r>
      <w:r w:rsidR="004A5ABB">
        <w:t xml:space="preserve"> </w:t>
      </w:r>
      <w:r w:rsidR="004A5ABB" w:rsidRPr="00E00C81">
        <w:t>withdrawal from treatment.</w:t>
      </w:r>
      <w:r w:rsidR="000427DA">
        <w:t xml:space="preserve"> </w:t>
      </w:r>
      <w:r w:rsidR="004A5ABB">
        <w:t xml:space="preserve">In the switch arms, no </w:t>
      </w:r>
      <w:r>
        <w:t xml:space="preserve">ISR AEs were reported in the SC </w:t>
      </w:r>
      <w:r w:rsidR="004A5ABB">
        <w:t>IV arm (as expected as there were no SC injections during the OL phase), and 12 pat</w:t>
      </w:r>
      <w:r>
        <w:t xml:space="preserve">ients had 239 ISR AEs in the IV </w:t>
      </w:r>
      <w:r w:rsidR="004A5ABB">
        <w:t xml:space="preserve">SC arm </w:t>
      </w:r>
      <w:r w:rsidR="004A5ABB" w:rsidRPr="000F5EE2">
        <w:t>(93.45</w:t>
      </w:r>
      <w:r w:rsidR="004A5ABB">
        <w:t xml:space="preserve"> </w:t>
      </w:r>
      <w:r>
        <w:t>(81.98, 106.08)</w:t>
      </w:r>
      <w:r w:rsidR="004A5ABB" w:rsidRPr="000F5EE2">
        <w:t xml:space="preserve"> events per 100 PY).</w:t>
      </w:r>
      <w:r w:rsidR="000427DA">
        <w:t xml:space="preserve"> </w:t>
      </w:r>
      <w:r w:rsidR="004A5ABB">
        <w:t xml:space="preserve">The higher rate </w:t>
      </w:r>
      <w:r w:rsidR="004A5ABB" w:rsidRPr="000F5EE2">
        <w:t>in the IV</w:t>
      </w:r>
      <w:r w:rsidR="00B06B62">
        <w:t xml:space="preserve"> to </w:t>
      </w:r>
      <w:r w:rsidR="004A5ABB" w:rsidRPr="000F5EE2">
        <w:t>SC</w:t>
      </w:r>
      <w:r w:rsidR="00B06B62">
        <w:t xml:space="preserve"> switch</w:t>
      </w:r>
      <w:r w:rsidR="004A5ABB" w:rsidRPr="000F5EE2">
        <w:t xml:space="preserve"> arm</w:t>
      </w:r>
      <w:r w:rsidR="004A5ABB">
        <w:t xml:space="preserve"> was largely due to multiple ISR AEs (between 31 and 75 events each) reported by 5 patients.</w:t>
      </w:r>
    </w:p>
    <w:p w14:paraId="4463B2A3" w14:textId="77777777" w:rsidR="004A5ABB" w:rsidRDefault="00AD2E52" w:rsidP="004A5ABB">
      <w:pPr>
        <w:autoSpaceDE w:val="0"/>
        <w:autoSpaceDN w:val="0"/>
        <w:adjustRightInd w:val="0"/>
      </w:pPr>
      <w:r>
        <w:t xml:space="preserve">In Study NA25220 </w:t>
      </w:r>
      <w:r w:rsidR="004A5ABB">
        <w:t xml:space="preserve">ISRs were more common in the TCZ PFS arm than in the </w:t>
      </w:r>
      <w:r w:rsidR="004A5ABB" w:rsidRPr="00C617BB">
        <w:t>TCZ PFS</w:t>
      </w:r>
      <w:r w:rsidR="004A5ABB">
        <w:t xml:space="preserve"> </w:t>
      </w:r>
      <w:r w:rsidR="005F7D43">
        <w:t>to</w:t>
      </w:r>
      <w:r w:rsidR="004A5ABB">
        <w:t xml:space="preserve"> AI</w:t>
      </w:r>
      <w:r w:rsidR="005F7D43">
        <w:t xml:space="preserve"> switch</w:t>
      </w:r>
      <w:r w:rsidR="004A5ABB">
        <w:t xml:space="preserve"> arm (</w:t>
      </w:r>
      <w:r w:rsidR="004A5ABB" w:rsidRPr="00C617BB">
        <w:t xml:space="preserve">22.01 </w:t>
      </w:r>
      <w:r>
        <w:t>(</w:t>
      </w:r>
      <w:r w:rsidR="004A5ABB" w:rsidRPr="00C617BB">
        <w:t>17.68;</w:t>
      </w:r>
      <w:r w:rsidR="004A5ABB">
        <w:t xml:space="preserve"> </w:t>
      </w:r>
      <w:r>
        <w:t>27.09) versus</w:t>
      </w:r>
      <w:r w:rsidR="004A5ABB">
        <w:t xml:space="preserve"> </w:t>
      </w:r>
      <w:r>
        <w:t>15.60 (</w:t>
      </w:r>
      <w:r w:rsidR="004A5ABB" w:rsidRPr="00C617BB">
        <w:t>10.73;</w:t>
      </w:r>
      <w:r w:rsidR="004A5ABB">
        <w:t xml:space="preserve"> </w:t>
      </w:r>
      <w:r>
        <w:t>21.90)</w:t>
      </w:r>
      <w:r w:rsidR="004A5ABB">
        <w:t>), with very few events in eit</w:t>
      </w:r>
      <w:r w:rsidR="000427DA">
        <w:t xml:space="preserve">her of the prior placebo arms. </w:t>
      </w:r>
      <w:r w:rsidR="004A5ABB">
        <w:t>The most commonly reported ISRs were injection site erythema, and injection site pain.</w:t>
      </w:r>
    </w:p>
    <w:p w14:paraId="4463B2A4" w14:textId="77777777" w:rsidR="004A5ABB" w:rsidRDefault="004A5ABB" w:rsidP="000427DA">
      <w:pPr>
        <w:pStyle w:val="Heading5"/>
      </w:pPr>
      <w:r>
        <w:t>Other studies</w:t>
      </w:r>
    </w:p>
    <w:p w14:paraId="4463B2A5" w14:textId="77777777" w:rsidR="004A5ABB" w:rsidRDefault="004A5ABB" w:rsidP="004A5ABB">
      <w:r>
        <w:t>There were 57 injection site reactions</w:t>
      </w:r>
      <w:r w:rsidR="00AD2E52">
        <w:t xml:space="preserve"> in Study MRA229JP (all mild) in 13.2% (44 of </w:t>
      </w:r>
      <w:r>
        <w:t>333 subjects) of the subjects.</w:t>
      </w:r>
      <w:r w:rsidR="000427DA">
        <w:t xml:space="preserve"> </w:t>
      </w:r>
      <w:r>
        <w:t>In the 82 subjects who self-injected,</w:t>
      </w:r>
      <w:r w:rsidRPr="0090123A">
        <w:t xml:space="preserve"> the incidence rate of</w:t>
      </w:r>
      <w:r>
        <w:t xml:space="preserve"> </w:t>
      </w:r>
      <w:r w:rsidRPr="0090123A">
        <w:t xml:space="preserve">administration site reactions was higher after the start of self-injection, </w:t>
      </w:r>
      <w:r>
        <w:t xml:space="preserve">but </w:t>
      </w:r>
      <w:r w:rsidRPr="0090123A">
        <w:t>the reactions</w:t>
      </w:r>
      <w:r>
        <w:t xml:space="preserve"> </w:t>
      </w:r>
      <w:r w:rsidRPr="0090123A">
        <w:t>were all mild, and none of the subjects discontinued self-injection owing to injection</w:t>
      </w:r>
      <w:r>
        <w:t xml:space="preserve"> </w:t>
      </w:r>
      <w:r w:rsidRPr="0090123A">
        <w:t>site reactions.</w:t>
      </w:r>
    </w:p>
    <w:p w14:paraId="4463B2A6" w14:textId="77777777" w:rsidR="004A5ABB" w:rsidRPr="0048794D" w:rsidRDefault="004A5ABB" w:rsidP="004A5ABB">
      <w:r w:rsidRPr="00F425CD">
        <w:lastRenderedPageBreak/>
        <w:t>A total of 29 ISRs in 6 (2.8%) of 217 patients were reported</w:t>
      </w:r>
      <w:r w:rsidR="00AD2E52">
        <w:t xml:space="preserve"> in Study ML28338</w:t>
      </w:r>
      <w:r w:rsidR="000427DA">
        <w:t>.</w:t>
      </w:r>
    </w:p>
    <w:p w14:paraId="4463B2A7" w14:textId="77777777" w:rsidR="004A5ABB" w:rsidRPr="005311D1" w:rsidRDefault="004A5ABB" w:rsidP="00BE147E">
      <w:pPr>
        <w:pStyle w:val="Heading4"/>
      </w:pPr>
      <w:bookmarkStart w:id="132" w:name="_Toc430267991"/>
      <w:r w:rsidRPr="005311D1">
        <w:t>Infection</w:t>
      </w:r>
      <w:bookmarkEnd w:id="132"/>
      <w:r w:rsidR="00B43480">
        <w:t xml:space="preserve"> of any nature</w:t>
      </w:r>
    </w:p>
    <w:p w14:paraId="4463B2A8" w14:textId="77777777" w:rsidR="00BE147E" w:rsidRPr="005311D1" w:rsidRDefault="00B43480" w:rsidP="00BE147E">
      <w:pPr>
        <w:pStyle w:val="Heading5"/>
      </w:pPr>
      <w:r>
        <w:t>Pivotal studies</w:t>
      </w:r>
    </w:p>
    <w:p w14:paraId="4463B2A9" w14:textId="77777777" w:rsidR="004A5ABB" w:rsidRPr="00BE147E" w:rsidRDefault="004A5ABB" w:rsidP="004A5ABB">
      <w:pPr>
        <w:autoSpaceDE w:val="0"/>
        <w:autoSpaceDN w:val="0"/>
        <w:adjustRightInd w:val="0"/>
        <w:rPr>
          <w:highlight w:val="yellow"/>
        </w:rPr>
      </w:pPr>
      <w:r w:rsidRPr="005311D1">
        <w:t xml:space="preserve">The overall rate </w:t>
      </w:r>
      <w:r w:rsidR="00B43480">
        <w:t>(</w:t>
      </w:r>
      <w:r w:rsidRPr="005311D1">
        <w:t>95% CI</w:t>
      </w:r>
      <w:r w:rsidR="00B43480">
        <w:t>)</w:t>
      </w:r>
      <w:r w:rsidRPr="005311D1">
        <w:t xml:space="preserve"> </w:t>
      </w:r>
      <w:r w:rsidR="005311D1" w:rsidRPr="005311D1">
        <w:t>of infection and i</w:t>
      </w:r>
      <w:r w:rsidRPr="005311D1">
        <w:t xml:space="preserve">nfestation AEs </w:t>
      </w:r>
      <w:r w:rsidR="00AD2E52">
        <w:t xml:space="preserve">in Study WA22762 </w:t>
      </w:r>
      <w:r w:rsidRPr="005311D1">
        <w:t>was c</w:t>
      </w:r>
      <w:r w:rsidR="00351BC0">
        <w:t>omparable in the SC, IV, and IV SC arms (108.66 (102.34, 115.27)</w:t>
      </w:r>
      <w:r w:rsidRPr="005311D1">
        <w:t xml:space="preserve"> v</w:t>
      </w:r>
      <w:r w:rsidR="005311D1" w:rsidRPr="005311D1">
        <w:t>ersus</w:t>
      </w:r>
      <w:r w:rsidR="00351BC0">
        <w:t xml:space="preserve"> 105.57 (98.64, 112.86)</w:t>
      </w:r>
      <w:r w:rsidRPr="005311D1">
        <w:t xml:space="preserve"> v</w:t>
      </w:r>
      <w:r w:rsidR="005311D1" w:rsidRPr="005311D1">
        <w:t>er</w:t>
      </w:r>
      <w:r w:rsidRPr="005311D1">
        <w:t>s</w:t>
      </w:r>
      <w:r w:rsidR="005311D1" w:rsidRPr="005311D1">
        <w:t>us</w:t>
      </w:r>
      <w:r w:rsidR="00351BC0">
        <w:t xml:space="preserve"> 96.97 (85.28, 109.82)</w:t>
      </w:r>
      <w:r w:rsidRPr="005311D1">
        <w:t xml:space="preserve"> events per 100 PY, respectively)</w:t>
      </w:r>
      <w:r w:rsidR="005311D1" w:rsidRPr="005311D1">
        <w:t xml:space="preserve">. </w:t>
      </w:r>
      <w:r w:rsidRPr="005311D1">
        <w:t>Rates were numerically lower in th</w:t>
      </w:r>
      <w:r w:rsidR="00351BC0">
        <w:t xml:space="preserve">e SC </w:t>
      </w:r>
      <w:r w:rsidRPr="005311D1">
        <w:t xml:space="preserve">IV arm (84.60 </w:t>
      </w:r>
      <w:r w:rsidR="00B43480">
        <w:t>(</w:t>
      </w:r>
      <w:r w:rsidRPr="005311D1">
        <w:t>63.91, 109.86</w:t>
      </w:r>
      <w:r w:rsidR="00B43480">
        <w:t>)</w:t>
      </w:r>
      <w:r w:rsidRPr="005311D1">
        <w:t xml:space="preserve"> events per 100 PY) but the 9</w:t>
      </w:r>
      <w:r w:rsidR="00B43480">
        <w:t>5% CIs are wide and overlapping.</w:t>
      </w:r>
    </w:p>
    <w:p w14:paraId="4463B2AA" w14:textId="77777777" w:rsidR="004A5ABB" w:rsidRDefault="00B43480" w:rsidP="004A5ABB">
      <w:pPr>
        <w:autoSpaceDE w:val="0"/>
        <w:autoSpaceDN w:val="0"/>
        <w:adjustRightInd w:val="0"/>
      </w:pPr>
      <w:r w:rsidRPr="00B43480">
        <w:t>In Study NA25220 t</w:t>
      </w:r>
      <w:r w:rsidR="004A5ABB" w:rsidRPr="00B43480">
        <w:t xml:space="preserve">he overall rate </w:t>
      </w:r>
      <w:r>
        <w:t>(</w:t>
      </w:r>
      <w:r w:rsidR="004A5ABB" w:rsidRPr="00B43480">
        <w:t>95% CI</w:t>
      </w:r>
      <w:r>
        <w:t>)</w:t>
      </w:r>
      <w:r w:rsidR="004A5ABB" w:rsidRPr="00B43480">
        <w:t xml:space="preserve"> of </w:t>
      </w:r>
      <w:r>
        <w:t>i</w:t>
      </w:r>
      <w:r w:rsidR="004A5ABB" w:rsidRPr="00B43480">
        <w:t xml:space="preserve">nfection and </w:t>
      </w:r>
      <w:r>
        <w:t>i</w:t>
      </w:r>
      <w:r w:rsidR="004A5ABB" w:rsidRPr="00B43480">
        <w:t xml:space="preserve">nfestation AEs was comparable in the TCZ PFS, TCZ PFS </w:t>
      </w:r>
      <w:r w:rsidR="005F7D43">
        <w:t>to</w:t>
      </w:r>
      <w:r w:rsidR="004A5ABB" w:rsidRPr="00B43480">
        <w:t xml:space="preserve"> TCZ AI</w:t>
      </w:r>
      <w:r w:rsidR="005F7D43">
        <w:t xml:space="preserve"> switch</w:t>
      </w:r>
      <w:r w:rsidR="004A5ABB" w:rsidRPr="00B43480">
        <w:t xml:space="preserve">, and placebo </w:t>
      </w:r>
      <w:r w:rsidR="005F7D43">
        <w:t>to</w:t>
      </w:r>
      <w:r w:rsidR="004A5ABB" w:rsidRPr="00B43480">
        <w:t xml:space="preserve"> TCZ PFS</w:t>
      </w:r>
      <w:r w:rsidR="005F7D43">
        <w:t xml:space="preserve"> switch</w:t>
      </w:r>
      <w:r w:rsidR="004A5ABB" w:rsidRPr="00B43480">
        <w:t xml:space="preserve"> arms (87.06 </w:t>
      </w:r>
      <w:r>
        <w:t>(</w:t>
      </w:r>
      <w:r w:rsidR="004A5ABB" w:rsidRPr="00B43480">
        <w:t>78.20; 96.64</w:t>
      </w:r>
      <w:r>
        <w:t>)</w:t>
      </w:r>
      <w:r w:rsidR="004A5ABB" w:rsidRPr="00B43480">
        <w:t xml:space="preserve"> v</w:t>
      </w:r>
      <w:r>
        <w:t>ersus</w:t>
      </w:r>
      <w:r w:rsidR="004A5ABB" w:rsidRPr="00B43480">
        <w:t xml:space="preserve"> 85.54 </w:t>
      </w:r>
      <w:r>
        <w:t>(</w:t>
      </w:r>
      <w:r w:rsidR="004A5ABB" w:rsidRPr="00B43480">
        <w:t>73.53; 98.95</w:t>
      </w:r>
      <w:r>
        <w:t>)</w:t>
      </w:r>
      <w:r w:rsidR="004A5ABB" w:rsidRPr="00B43480">
        <w:t xml:space="preserve"> v</w:t>
      </w:r>
      <w:r>
        <w:t>ersus</w:t>
      </w:r>
      <w:r w:rsidR="004A5ABB" w:rsidRPr="00B43480">
        <w:t xml:space="preserve"> 90.01 </w:t>
      </w:r>
      <w:r>
        <w:t>(</w:t>
      </w:r>
      <w:r w:rsidR="004A5ABB" w:rsidRPr="00B43480">
        <w:t>69.90; 114.11</w:t>
      </w:r>
      <w:r>
        <w:t>)</w:t>
      </w:r>
      <w:r w:rsidR="004A5ABB" w:rsidRPr="00B43480">
        <w:t xml:space="preserve"> eve</w:t>
      </w:r>
      <w:r>
        <w:t xml:space="preserve">nts per 100 PY, respectively). </w:t>
      </w:r>
      <w:r w:rsidR="004A5ABB" w:rsidRPr="00B43480">
        <w:t xml:space="preserve">Rates were numerically lower in the placebo </w:t>
      </w:r>
      <w:r w:rsidR="005F7D43">
        <w:t xml:space="preserve">to </w:t>
      </w:r>
      <w:r w:rsidR="004A5ABB" w:rsidRPr="00B43480">
        <w:t xml:space="preserve">PFS </w:t>
      </w:r>
      <w:r w:rsidR="005F7D43">
        <w:t>to</w:t>
      </w:r>
      <w:r w:rsidR="004A5ABB" w:rsidRPr="00B43480">
        <w:t xml:space="preserve"> TCZ AI</w:t>
      </w:r>
      <w:r w:rsidR="005F7D43">
        <w:t xml:space="preserve"> switch</w:t>
      </w:r>
      <w:r w:rsidR="004A5ABB" w:rsidRPr="00B43480">
        <w:t xml:space="preserve"> arm (59.76 </w:t>
      </w:r>
      <w:r>
        <w:t>(</w:t>
      </w:r>
      <w:r w:rsidR="004A5ABB" w:rsidRPr="00B43480">
        <w:t>43.91; 79.46</w:t>
      </w:r>
      <w:r>
        <w:t>)</w:t>
      </w:r>
      <w:r w:rsidR="004A5ABB" w:rsidRPr="00B43480">
        <w:t xml:space="preserve"> events per 100 PY) b</w:t>
      </w:r>
      <w:r>
        <w:t>ut the 95% CIs are overlapping.</w:t>
      </w:r>
    </w:p>
    <w:p w14:paraId="4463B2AB" w14:textId="77777777" w:rsidR="004A5ABB" w:rsidRPr="002E6B16" w:rsidRDefault="004A5ABB" w:rsidP="002E6B16">
      <w:pPr>
        <w:pStyle w:val="Heading5"/>
      </w:pPr>
      <w:r w:rsidRPr="002E6B16">
        <w:t>Other studies</w:t>
      </w:r>
    </w:p>
    <w:p w14:paraId="4463B2AC" w14:textId="77777777" w:rsidR="004A5ABB" w:rsidRPr="00B43480" w:rsidRDefault="00B43480" w:rsidP="004A5ABB">
      <w:r>
        <w:t>Overall rates of infection were not discussed in the non-pivotal studies.</w:t>
      </w:r>
    </w:p>
    <w:p w14:paraId="4463B2AD" w14:textId="77777777" w:rsidR="004A5ABB" w:rsidRPr="002E6B16" w:rsidRDefault="004A5ABB" w:rsidP="002E6B16">
      <w:pPr>
        <w:pStyle w:val="Heading4"/>
      </w:pPr>
      <w:bookmarkStart w:id="133" w:name="_Toc430267992"/>
      <w:r w:rsidRPr="002E6B16">
        <w:t>Serious infections</w:t>
      </w:r>
      <w:bookmarkEnd w:id="133"/>
    </w:p>
    <w:p w14:paraId="4463B2AE" w14:textId="77777777" w:rsidR="004A5ABB" w:rsidRPr="002E6B16" w:rsidRDefault="004A5ABB" w:rsidP="002E6B16">
      <w:pPr>
        <w:pStyle w:val="Heading5"/>
      </w:pPr>
      <w:r w:rsidRPr="002E6B16">
        <w:t>Pivotal studies</w:t>
      </w:r>
    </w:p>
    <w:p w14:paraId="4463B2AF" w14:textId="77777777" w:rsidR="004A5ABB" w:rsidRDefault="004A5ABB" w:rsidP="004A5ABB">
      <w:pPr>
        <w:autoSpaceDE w:val="0"/>
        <w:autoSpaceDN w:val="0"/>
        <w:adjustRightInd w:val="0"/>
      </w:pPr>
      <w:r w:rsidRPr="0048794D">
        <w:t xml:space="preserve">The overall rate </w:t>
      </w:r>
      <w:r w:rsidR="00B43480">
        <w:t>(95% CI)</w:t>
      </w:r>
      <w:r>
        <w:t xml:space="preserve"> of serious i</w:t>
      </w:r>
      <w:r w:rsidRPr="0048794D">
        <w:t xml:space="preserve">nfection AEs </w:t>
      </w:r>
      <w:r w:rsidR="00B43480">
        <w:t xml:space="preserve">in Study WA22762 </w:t>
      </w:r>
      <w:r>
        <w:t xml:space="preserve">was comparable </w:t>
      </w:r>
      <w:r w:rsidRPr="0048794D">
        <w:t>in the SC</w:t>
      </w:r>
      <w:r>
        <w:t xml:space="preserve"> and</w:t>
      </w:r>
      <w:r w:rsidRPr="0048794D">
        <w:t xml:space="preserve"> </w:t>
      </w:r>
      <w:r>
        <w:t xml:space="preserve">IV </w:t>
      </w:r>
      <w:r w:rsidRPr="0048794D">
        <w:t>arm</w:t>
      </w:r>
      <w:r>
        <w:t>s</w:t>
      </w:r>
      <w:r w:rsidRPr="0048794D">
        <w:t xml:space="preserve"> </w:t>
      </w:r>
      <w:r>
        <w:t xml:space="preserve">(3.95 </w:t>
      </w:r>
      <w:r w:rsidR="00B43480">
        <w:t>(</w:t>
      </w:r>
      <w:r>
        <w:t>2.82, 5.38</w:t>
      </w:r>
      <w:r w:rsidR="00B43480">
        <w:t>)</w:t>
      </w:r>
      <w:r>
        <w:t xml:space="preserve"> v</w:t>
      </w:r>
      <w:r w:rsidR="00B43480">
        <w:t>ersus</w:t>
      </w:r>
      <w:r>
        <w:t xml:space="preserve"> 3.92 </w:t>
      </w:r>
      <w:r w:rsidR="00B43480">
        <w:t>(</w:t>
      </w:r>
      <w:r w:rsidRPr="00693951">
        <w:t>2.68, 5.53</w:t>
      </w:r>
      <w:r w:rsidR="00B43480">
        <w:t>)</w:t>
      </w:r>
      <w:r>
        <w:t xml:space="preserve"> </w:t>
      </w:r>
      <w:r w:rsidRPr="00693951">
        <w:t>events per 100 PY, respectively)</w:t>
      </w:r>
      <w:r w:rsidR="00B43480">
        <w:t xml:space="preserve">. </w:t>
      </w:r>
      <w:r>
        <w:t>Rates were numerically higher in the IV</w:t>
      </w:r>
      <w:r w:rsidR="00B43480">
        <w:t xml:space="preserve"> </w:t>
      </w:r>
      <w:r>
        <w:t>SC arm (</w:t>
      </w:r>
      <w:r w:rsidRPr="00693951">
        <w:t xml:space="preserve">6.65 </w:t>
      </w:r>
      <w:r w:rsidR="00B43480">
        <w:t>(</w:t>
      </w:r>
      <w:r w:rsidRPr="00693951">
        <w:t>3.87,</w:t>
      </w:r>
      <w:r>
        <w:t xml:space="preserve"> </w:t>
      </w:r>
      <w:r w:rsidRPr="00693951">
        <w:t>10.64</w:t>
      </w:r>
      <w:r w:rsidR="00B43480">
        <w:t>)</w:t>
      </w:r>
      <w:r w:rsidRPr="0048794D">
        <w:t xml:space="preserve"> events per 100 PY</w:t>
      </w:r>
      <w:r>
        <w:t xml:space="preserve">) </w:t>
      </w:r>
      <w:r w:rsidRPr="0048794D">
        <w:t>but the</w:t>
      </w:r>
      <w:r>
        <w:t xml:space="preserve"> </w:t>
      </w:r>
      <w:r w:rsidRPr="0048794D">
        <w:t>95% CIs are wide and overlapping.</w:t>
      </w:r>
      <w:r w:rsidR="002E6B16">
        <w:t xml:space="preserve"> </w:t>
      </w:r>
      <w:r>
        <w:t>There was a single serious infection (div</w:t>
      </w:r>
      <w:r w:rsidR="002E6B16">
        <w:t xml:space="preserve">erticulitis) reported in the SC </w:t>
      </w:r>
      <w:r>
        <w:t>IV arm (</w:t>
      </w:r>
      <w:r w:rsidR="002E6B16">
        <w:t>1.51 (</w:t>
      </w:r>
      <w:r w:rsidRPr="00693951">
        <w:t>0.04,</w:t>
      </w:r>
      <w:r>
        <w:t xml:space="preserve"> </w:t>
      </w:r>
      <w:r w:rsidR="002E6B16">
        <w:t>8.42)</w:t>
      </w:r>
      <w:r w:rsidRPr="00693951">
        <w:t xml:space="preserve"> events per 100 PY</w:t>
      </w:r>
      <w:r>
        <w:t>)</w:t>
      </w:r>
      <w:r w:rsidR="002E6B16">
        <w:t xml:space="preserve">. </w:t>
      </w:r>
      <w:r w:rsidRPr="00693951">
        <w:t xml:space="preserve">The most common serious infections occurring in </w:t>
      </w:r>
      <w:r w:rsidR="007F4E8B">
        <w:t xml:space="preserve">≥ 2 </w:t>
      </w:r>
      <w:r w:rsidRPr="00693951">
        <w:t>patients in either SC or IV</w:t>
      </w:r>
      <w:r>
        <w:t xml:space="preserve"> </w:t>
      </w:r>
      <w:r w:rsidRPr="00693951">
        <w:t>arm were</w:t>
      </w:r>
      <w:r>
        <w:t>:</w:t>
      </w:r>
      <w:r w:rsidRPr="00693951">
        <w:t xml:space="preserve"> cellulitis (8 patients SC v</w:t>
      </w:r>
      <w:r w:rsidR="002E6B16">
        <w:t>ersus</w:t>
      </w:r>
      <w:r w:rsidRPr="00693951">
        <w:t xml:space="preserve"> 1 patient IV, respectively), pneumonia (4 patients</w:t>
      </w:r>
      <w:r>
        <w:t xml:space="preserve"> </w:t>
      </w:r>
      <w:r w:rsidRPr="00693951">
        <w:t>v</w:t>
      </w:r>
      <w:r w:rsidR="002E6B16">
        <w:t>ersus</w:t>
      </w:r>
      <w:r w:rsidRPr="00693951">
        <w:t xml:space="preserve"> 6 patients), septic shock (3 patients v</w:t>
      </w:r>
      <w:r w:rsidR="002E6B16">
        <w:t>ersu</w:t>
      </w:r>
      <w:r w:rsidRPr="00693951">
        <w:t>s. 1 patient), urinary tract infection (3 patients</w:t>
      </w:r>
      <w:r>
        <w:t xml:space="preserve"> </w:t>
      </w:r>
      <w:r w:rsidRPr="00693951">
        <w:t>v</w:t>
      </w:r>
      <w:r w:rsidR="002E6B16">
        <w:t>ersus</w:t>
      </w:r>
      <w:r w:rsidRPr="00693951">
        <w:t xml:space="preserve"> 1 patient), gastroenteritis (2 patients v</w:t>
      </w:r>
      <w:r w:rsidR="002E6B16">
        <w:t>ersus</w:t>
      </w:r>
      <w:r w:rsidRPr="00693951">
        <w:t xml:space="preserve"> 2 patients), peritonitis (2 patients v</w:t>
      </w:r>
      <w:r w:rsidR="002E6B16">
        <w:t>ersus</w:t>
      </w:r>
      <w:r>
        <w:t xml:space="preserve"> </w:t>
      </w:r>
      <w:r w:rsidRPr="00693951">
        <w:t>0 patient), wound infection (0 patient v</w:t>
      </w:r>
      <w:r w:rsidR="002E6B16">
        <w:t>ersus</w:t>
      </w:r>
      <w:r w:rsidRPr="00693951">
        <w:t xml:space="preserve"> 3 patients), b</w:t>
      </w:r>
      <w:r w:rsidR="002E6B16">
        <w:t>acterial arthritis (0 patient versus</w:t>
      </w:r>
      <w:r>
        <w:t xml:space="preserve"> </w:t>
      </w:r>
      <w:r w:rsidRPr="00693951">
        <w:t>2 patients), infective arthritis (1 patient v</w:t>
      </w:r>
      <w:r w:rsidR="002E6B16">
        <w:t>ersus</w:t>
      </w:r>
      <w:r w:rsidRPr="00693951">
        <w:t xml:space="preserve"> 2 patients), and infective bursitis (0 patient v</w:t>
      </w:r>
      <w:r w:rsidR="002E6B16">
        <w:t>ersus</w:t>
      </w:r>
      <w:r>
        <w:t xml:space="preserve"> </w:t>
      </w:r>
      <w:r w:rsidRPr="00693951">
        <w:t>2 patients)</w:t>
      </w:r>
      <w:r w:rsidR="002E6B16">
        <w:t xml:space="preserve">. </w:t>
      </w:r>
      <w:r w:rsidRPr="00693951">
        <w:t xml:space="preserve">The most common serious </w:t>
      </w:r>
      <w:r w:rsidR="002E6B16">
        <w:t xml:space="preserve">infections in the IV </w:t>
      </w:r>
      <w:r w:rsidRPr="00693951">
        <w:t xml:space="preserve">SC switch arm (occurring in </w:t>
      </w:r>
      <w:r w:rsidRPr="00693951">
        <w:rPr>
          <w:rFonts w:hint="eastAsia"/>
        </w:rPr>
        <w:t>≥</w:t>
      </w:r>
      <w:r w:rsidRPr="00693951">
        <w:t xml:space="preserve"> 2 patients)</w:t>
      </w:r>
      <w:r>
        <w:t xml:space="preserve"> </w:t>
      </w:r>
      <w:r w:rsidRPr="00693951">
        <w:t>were pneumonia (4 patients) and cellulitis (2 patients).</w:t>
      </w:r>
    </w:p>
    <w:p w14:paraId="4463B2B0" w14:textId="77777777" w:rsidR="004A5ABB" w:rsidRPr="00A25DD8" w:rsidRDefault="002E6B16" w:rsidP="004A5ABB">
      <w:pPr>
        <w:autoSpaceDE w:val="0"/>
        <w:autoSpaceDN w:val="0"/>
        <w:adjustRightInd w:val="0"/>
      </w:pPr>
      <w:r w:rsidRPr="002E6B16">
        <w:t xml:space="preserve">In </w:t>
      </w:r>
      <w:r>
        <w:t>Study NA25220 t</w:t>
      </w:r>
      <w:r w:rsidR="004A5ABB" w:rsidRPr="00A25DD8">
        <w:t>here were few serious infections</w:t>
      </w:r>
      <w:r w:rsidR="004A5ABB">
        <w:t>, but the r</w:t>
      </w:r>
      <w:r w:rsidR="004A5ABB" w:rsidRPr="00A25DD8">
        <w:t>ate</w:t>
      </w:r>
      <w:r w:rsidR="004A5ABB">
        <w:t xml:space="preserve"> (</w:t>
      </w:r>
      <w:r w:rsidR="004A5ABB" w:rsidRPr="00B84EDE">
        <w:t xml:space="preserve">events per 100 PY) </w:t>
      </w:r>
      <w:r w:rsidR="004A5ABB">
        <w:t>was</w:t>
      </w:r>
      <w:r w:rsidR="004A5ABB" w:rsidRPr="00A25DD8">
        <w:t xml:space="preserve"> numerically higher in the </w:t>
      </w:r>
      <w:r>
        <w:t xml:space="preserve">TCZ </w:t>
      </w:r>
      <w:r w:rsidR="004A5ABB">
        <w:t>PFS</w:t>
      </w:r>
      <w:r w:rsidR="004A5ABB" w:rsidRPr="00A25DD8">
        <w:t xml:space="preserve"> arm (</w:t>
      </w:r>
      <w:r w:rsidR="004A5ABB">
        <w:t>3.96</w:t>
      </w:r>
      <w:r w:rsidR="004A5ABB" w:rsidRPr="00A25DD8">
        <w:t xml:space="preserve"> </w:t>
      </w:r>
      <w:r>
        <w:t>(</w:t>
      </w:r>
      <w:r w:rsidR="004A5ABB" w:rsidRPr="00A25DD8">
        <w:t>2.</w:t>
      </w:r>
      <w:r>
        <w:t>26; 6.43)</w:t>
      </w:r>
      <w:r w:rsidR="004A5ABB">
        <w:t>)</w:t>
      </w:r>
      <w:r w:rsidR="004A5ABB" w:rsidRPr="00A25DD8">
        <w:t xml:space="preserve"> </w:t>
      </w:r>
      <w:r>
        <w:t xml:space="preserve">compared with the TCZ </w:t>
      </w:r>
      <w:r w:rsidR="004A5ABB">
        <w:t xml:space="preserve">PFS </w:t>
      </w:r>
      <w:r w:rsidR="005F7D43">
        <w:t>to</w:t>
      </w:r>
      <w:r w:rsidR="004A5ABB">
        <w:t xml:space="preserve"> TCZ AI </w:t>
      </w:r>
      <w:r w:rsidR="005F7D43">
        <w:t xml:space="preserve">switch </w:t>
      </w:r>
      <w:r w:rsidR="004A5ABB">
        <w:t>arm</w:t>
      </w:r>
      <w:r w:rsidR="004A5ABB" w:rsidRPr="00A25DD8">
        <w:t xml:space="preserve"> (</w:t>
      </w:r>
      <w:r w:rsidR="004A5ABB">
        <w:t>1.89</w:t>
      </w:r>
      <w:r w:rsidR="004A5ABB" w:rsidRPr="00A25DD8">
        <w:t xml:space="preserve"> </w:t>
      </w:r>
      <w:r>
        <w:t>(</w:t>
      </w:r>
      <w:r w:rsidR="004A5ABB">
        <w:t>0.52</w:t>
      </w:r>
      <w:r w:rsidR="004A5ABB" w:rsidRPr="00A25DD8">
        <w:t xml:space="preserve">; </w:t>
      </w:r>
      <w:r w:rsidR="004A5ABB">
        <w:t>4.84</w:t>
      </w:r>
      <w:r>
        <w:t>)</w:t>
      </w:r>
      <w:r w:rsidR="004A5ABB" w:rsidRPr="00A25DD8">
        <w:t>)</w:t>
      </w:r>
      <w:r>
        <w:t xml:space="preserve">. </w:t>
      </w:r>
      <w:r w:rsidR="004A5ABB">
        <w:t xml:space="preserve">The only </w:t>
      </w:r>
      <w:r w:rsidR="004A5ABB" w:rsidRPr="00A25DD8">
        <w:t xml:space="preserve">events </w:t>
      </w:r>
      <w:r w:rsidR="004A5ABB">
        <w:t>occurring in more than 1 patient were:</w:t>
      </w:r>
      <w:r w:rsidR="004A5ABB" w:rsidRPr="00A25DD8">
        <w:t xml:space="preserve"> pneumonia, sepsis, lower respiratory tract infection, and pulmonary</w:t>
      </w:r>
      <w:r w:rsidR="004A5ABB">
        <w:t xml:space="preserve"> </w:t>
      </w:r>
      <w:r w:rsidR="004A5ABB" w:rsidRPr="00A25DD8">
        <w:t xml:space="preserve">tuberculosis </w:t>
      </w:r>
      <w:r w:rsidR="004A5ABB">
        <w:t xml:space="preserve">which </w:t>
      </w:r>
      <w:r w:rsidR="004A5ABB" w:rsidRPr="00A25DD8">
        <w:t>each occurred in 2 patients</w:t>
      </w:r>
      <w:r w:rsidR="004A5ABB">
        <w:t>, all on the T</w:t>
      </w:r>
      <w:r>
        <w:t xml:space="preserve">CZ PFS arm. </w:t>
      </w:r>
      <w:r w:rsidR="004A5ABB">
        <w:t>Fifteen escape patients (</w:t>
      </w:r>
      <w:r w:rsidR="004A5ABB" w:rsidRPr="00574878">
        <w:t>8 in the prior TCZ arm (8.2%) and 7 in the prior</w:t>
      </w:r>
      <w:r w:rsidR="004A5ABB">
        <w:t xml:space="preserve"> </w:t>
      </w:r>
      <w:r w:rsidR="004A5ABB" w:rsidRPr="00574878">
        <w:t>placebo arm (7.7%)</w:t>
      </w:r>
      <w:r w:rsidR="004A5ABB">
        <w:t>) experienced serious infections with cellulitis (6 patients) and pneumonia (3 patients) being the only events occurring in more than 1 patient.</w:t>
      </w:r>
    </w:p>
    <w:p w14:paraId="4463B2B1" w14:textId="77777777" w:rsidR="004A5ABB" w:rsidRPr="002E6B16" w:rsidRDefault="004A5ABB" w:rsidP="002E6B16">
      <w:pPr>
        <w:pStyle w:val="Heading5"/>
      </w:pPr>
      <w:r w:rsidRPr="002E6B16">
        <w:t>Other studies</w:t>
      </w:r>
    </w:p>
    <w:p w14:paraId="4463B2B2" w14:textId="77777777" w:rsidR="002E6B16" w:rsidRPr="002E6B16" w:rsidRDefault="002E6B16" w:rsidP="004A5ABB">
      <w:r w:rsidRPr="002E6B16">
        <w:t xml:space="preserve">Infection was not discussed in </w:t>
      </w:r>
      <w:r w:rsidR="004A5ABB" w:rsidRPr="002E6B16">
        <w:t>Study MRA229JP</w:t>
      </w:r>
      <w:r w:rsidRPr="002E6B16">
        <w:t>.</w:t>
      </w:r>
    </w:p>
    <w:p w14:paraId="4463B2B3" w14:textId="77777777" w:rsidR="004A5ABB" w:rsidRPr="00574878" w:rsidRDefault="002E6B16" w:rsidP="004A5ABB">
      <w:r w:rsidRPr="002E6B16">
        <w:t>In Study ML28338 t</w:t>
      </w:r>
      <w:r w:rsidR="004A5ABB" w:rsidRPr="002E6B16">
        <w:t>he rate of serious and/or medically significant infections was 4.38 events per 100 PY.</w:t>
      </w:r>
    </w:p>
    <w:p w14:paraId="4463B2B4" w14:textId="77777777" w:rsidR="004A5ABB" w:rsidRPr="002E6B16" w:rsidRDefault="004A5ABB" w:rsidP="002E6B16">
      <w:pPr>
        <w:pStyle w:val="Heading4"/>
      </w:pPr>
      <w:bookmarkStart w:id="134" w:name="_Toc430267993"/>
      <w:r w:rsidRPr="002E6B16">
        <w:t>Opportunistic infections</w:t>
      </w:r>
      <w:bookmarkEnd w:id="134"/>
    </w:p>
    <w:p w14:paraId="4463B2B5" w14:textId="77777777" w:rsidR="004A5ABB" w:rsidRPr="002E6B16" w:rsidRDefault="004A5ABB" w:rsidP="002E6B16">
      <w:pPr>
        <w:pStyle w:val="Heading5"/>
      </w:pPr>
      <w:r w:rsidRPr="002E6B16">
        <w:t>Pivotal studies</w:t>
      </w:r>
    </w:p>
    <w:p w14:paraId="4463B2B6" w14:textId="77777777" w:rsidR="004A5ABB" w:rsidRPr="002E6B16" w:rsidRDefault="002E6B16" w:rsidP="004A5ABB">
      <w:r w:rsidRPr="002E6B16">
        <w:t xml:space="preserve">In </w:t>
      </w:r>
      <w:r w:rsidR="004A5ABB" w:rsidRPr="002E6B16">
        <w:t>Study WA22762</w:t>
      </w:r>
      <w:r>
        <w:rPr>
          <w:b/>
        </w:rPr>
        <w:t xml:space="preserve"> </w:t>
      </w:r>
      <w:r>
        <w:t>s</w:t>
      </w:r>
      <w:r w:rsidR="004A5ABB" w:rsidRPr="00B72212">
        <w:t>even</w:t>
      </w:r>
      <w:r w:rsidR="004A5ABB" w:rsidRPr="00763009">
        <w:t xml:space="preserve"> opportunistic infections were reported during the study</w:t>
      </w:r>
      <w:r>
        <w:t xml:space="preserve">: </w:t>
      </w:r>
      <w:r w:rsidR="004A5ABB" w:rsidRPr="00763009">
        <w:t>4 events in 3</w:t>
      </w:r>
      <w:r w:rsidR="004A5ABB">
        <w:t xml:space="preserve"> </w:t>
      </w:r>
      <w:r w:rsidR="004A5ABB" w:rsidRPr="00763009">
        <w:t xml:space="preserve">patients in the SC arm </w:t>
      </w:r>
      <w:r w:rsidR="004A5ABB">
        <w:t xml:space="preserve">(atypical pneumonia, bronchopulmonary aspergillosis, oropharyngeal candidiasis, and pharyngeal abscess) </w:t>
      </w:r>
      <w:r w:rsidR="004A5ABB" w:rsidRPr="00763009">
        <w:t>and 2 events in 2 patients in the IV arm</w:t>
      </w:r>
      <w:r w:rsidR="004A5ABB" w:rsidRPr="00B72212">
        <w:rPr>
          <w:rFonts w:ascii="ArialMT" w:hAnsi="ArialMT" w:cs="ArialMT"/>
        </w:rPr>
        <w:t xml:space="preserve"> </w:t>
      </w:r>
      <w:r w:rsidR="004A5ABB">
        <w:rPr>
          <w:rFonts w:ascii="ArialMT" w:hAnsi="ArialMT" w:cs="ArialMT"/>
        </w:rPr>
        <w:t>(</w:t>
      </w:r>
      <w:r w:rsidR="004A5ABB" w:rsidRPr="00B72212">
        <w:t>genital herpes zoster</w:t>
      </w:r>
      <w:r w:rsidR="004A5ABB">
        <w:t xml:space="preserve"> </w:t>
      </w:r>
      <w:r w:rsidR="004A5ABB" w:rsidRPr="00B72212">
        <w:t>and lepromatous leprosy</w:t>
      </w:r>
      <w:r w:rsidR="004A5ABB">
        <w:t>)</w:t>
      </w:r>
      <w:r w:rsidR="004A5ABB" w:rsidRPr="00763009">
        <w:t>.</w:t>
      </w:r>
      <w:r w:rsidR="004A5ABB">
        <w:t xml:space="preserve"> </w:t>
      </w:r>
      <w:r w:rsidR="004A5ABB" w:rsidRPr="00763009">
        <w:t xml:space="preserve">The overall rate of opportunistic infection AEs was </w:t>
      </w:r>
      <w:r w:rsidR="004A5ABB" w:rsidRPr="00763009">
        <w:lastRenderedPageBreak/>
        <w:t xml:space="preserve">comparable </w:t>
      </w:r>
      <w:r w:rsidR="004A5ABB" w:rsidRPr="00B72212">
        <w:t xml:space="preserve">in the SC </w:t>
      </w:r>
      <w:r w:rsidR="004A5ABB">
        <w:t>and</w:t>
      </w:r>
      <w:r w:rsidR="004A5ABB" w:rsidRPr="00B72212">
        <w:t xml:space="preserve"> </w:t>
      </w:r>
      <w:r w:rsidR="004A5ABB" w:rsidRPr="00763009">
        <w:t>IV arm</w:t>
      </w:r>
      <w:r w:rsidR="004A5ABB">
        <w:t>s</w:t>
      </w:r>
      <w:r w:rsidR="004A5ABB" w:rsidRPr="00763009">
        <w:t xml:space="preserve"> (0.39 </w:t>
      </w:r>
      <w:r>
        <w:t>(95% CI: 0.11, 1.01)</w:t>
      </w:r>
      <w:r w:rsidR="004A5ABB" w:rsidRPr="00763009">
        <w:t xml:space="preserve"> v</w:t>
      </w:r>
      <w:r>
        <w:t>ersus</w:t>
      </w:r>
      <w:r w:rsidR="004A5ABB" w:rsidRPr="00763009">
        <w:t xml:space="preserve"> 0.24 </w:t>
      </w:r>
      <w:r>
        <w:t>(95% CI: 0.03, 0.88)</w:t>
      </w:r>
      <w:r w:rsidR="004A5ABB">
        <w:t xml:space="preserve"> </w:t>
      </w:r>
      <w:r w:rsidR="004A5ABB" w:rsidRPr="00763009">
        <w:t>e</w:t>
      </w:r>
      <w:r w:rsidR="004A5ABB">
        <w:t>vents per 100 PY, respectively).</w:t>
      </w:r>
    </w:p>
    <w:p w14:paraId="4463B2B7" w14:textId="77777777" w:rsidR="004A5ABB" w:rsidRPr="00574878" w:rsidRDefault="002E6B16" w:rsidP="004A5ABB">
      <w:r w:rsidRPr="002E6B16">
        <w:t xml:space="preserve">In </w:t>
      </w:r>
      <w:r>
        <w:t>Study NA25220 f</w:t>
      </w:r>
      <w:r w:rsidR="004A5ABB" w:rsidRPr="00574878">
        <w:t>our opportunistic infections were reported during the study</w:t>
      </w:r>
      <w:r>
        <w:t>:</w:t>
      </w:r>
      <w:r w:rsidR="004A5ABB" w:rsidRPr="00574878">
        <w:t xml:space="preserve"> 1 during the DB phase (coccidioidomycosis</w:t>
      </w:r>
      <w:r w:rsidR="004A5ABB">
        <w:t xml:space="preserve"> in a patient in the placebo arm), and 3 during the OL phase (oesophageal candidiasis in a patient </w:t>
      </w:r>
      <w:r w:rsidR="004A5ABB" w:rsidRPr="00470B4C">
        <w:t>in the TCZ PFS arm</w:t>
      </w:r>
      <w:r w:rsidR="004A5ABB">
        <w:t xml:space="preserve">, </w:t>
      </w:r>
      <w:r w:rsidR="004A5ABB" w:rsidRPr="00470B4C">
        <w:t>coccidioidomycosis</w:t>
      </w:r>
      <w:r w:rsidR="004A5ABB">
        <w:t xml:space="preserve"> in a patient in the TCZ PFS </w:t>
      </w:r>
      <w:r w:rsidR="005F7D43">
        <w:t>to</w:t>
      </w:r>
      <w:r w:rsidR="004A5ABB">
        <w:t xml:space="preserve"> </w:t>
      </w:r>
      <w:r w:rsidR="004A5ABB" w:rsidRPr="00470B4C">
        <w:t>AI</w:t>
      </w:r>
      <w:r w:rsidR="005F7D43">
        <w:t xml:space="preserve"> switch</w:t>
      </w:r>
      <w:r w:rsidR="004A5ABB" w:rsidRPr="00470B4C">
        <w:t xml:space="preserve"> arm</w:t>
      </w:r>
      <w:r w:rsidR="004A5ABB">
        <w:t xml:space="preserve">, and </w:t>
      </w:r>
      <w:r w:rsidR="004A5ABB" w:rsidRPr="00470B4C">
        <w:t xml:space="preserve">atypical pneumonia in a patient in the TCZ PFS </w:t>
      </w:r>
      <w:r w:rsidR="005F7D43">
        <w:t>to</w:t>
      </w:r>
      <w:r w:rsidR="004A5ABB" w:rsidRPr="00470B4C">
        <w:t xml:space="preserve"> AI </w:t>
      </w:r>
      <w:r w:rsidR="005F7D43">
        <w:t xml:space="preserve">switch </w:t>
      </w:r>
      <w:r w:rsidR="004A5ABB" w:rsidRPr="00470B4C">
        <w:t>arm</w:t>
      </w:r>
      <w:r w:rsidR="004A5ABB">
        <w:t>).</w:t>
      </w:r>
    </w:p>
    <w:p w14:paraId="4463B2B8" w14:textId="77777777" w:rsidR="004A5ABB" w:rsidRPr="002E6B16" w:rsidRDefault="004A5ABB" w:rsidP="002E6B16">
      <w:pPr>
        <w:pStyle w:val="Heading5"/>
      </w:pPr>
      <w:r w:rsidRPr="002E6B16">
        <w:t>Other studies</w:t>
      </w:r>
    </w:p>
    <w:p w14:paraId="4463B2B9" w14:textId="77777777" w:rsidR="004A5ABB" w:rsidRPr="002E6B16" w:rsidRDefault="002E6B16" w:rsidP="004A5ABB">
      <w:r w:rsidRPr="002E6B16">
        <w:t>Opportunistic infection was not discussed.</w:t>
      </w:r>
    </w:p>
    <w:p w14:paraId="4463B2BA" w14:textId="77777777" w:rsidR="004A5ABB" w:rsidRPr="002E6B16" w:rsidRDefault="004A5ABB" w:rsidP="002E6B16">
      <w:pPr>
        <w:pStyle w:val="Heading4"/>
      </w:pPr>
      <w:bookmarkStart w:id="135" w:name="_Toc430267994"/>
      <w:r w:rsidRPr="002E6B16">
        <w:t>Malignancy</w:t>
      </w:r>
      <w:bookmarkEnd w:id="135"/>
    </w:p>
    <w:p w14:paraId="4463B2BB" w14:textId="77777777" w:rsidR="004A5ABB" w:rsidRPr="002E6B16" w:rsidRDefault="004A5ABB" w:rsidP="002E6B16">
      <w:pPr>
        <w:pStyle w:val="Heading5"/>
      </w:pPr>
      <w:r w:rsidRPr="002E6B16">
        <w:t>Pivotal studies</w:t>
      </w:r>
    </w:p>
    <w:p w14:paraId="4463B2BC" w14:textId="77777777" w:rsidR="004A5ABB" w:rsidRDefault="004A5ABB" w:rsidP="004A5ABB">
      <w:pPr>
        <w:autoSpaceDE w:val="0"/>
        <w:autoSpaceDN w:val="0"/>
        <w:adjustRightInd w:val="0"/>
      </w:pPr>
      <w:r w:rsidRPr="00B96FCD">
        <w:t xml:space="preserve">The overall rate </w:t>
      </w:r>
      <w:r w:rsidR="002E6B16">
        <w:t>(</w:t>
      </w:r>
      <w:r w:rsidRPr="00B96FCD">
        <w:t>95% CI</w:t>
      </w:r>
      <w:r w:rsidR="002E6B16">
        <w:t>)</w:t>
      </w:r>
      <w:r w:rsidRPr="00B96FCD">
        <w:t xml:space="preserve"> of </w:t>
      </w:r>
      <w:r>
        <w:t xml:space="preserve">adjudicated malignancy </w:t>
      </w:r>
      <w:r w:rsidR="00FA5DE9">
        <w:t xml:space="preserve">in </w:t>
      </w:r>
      <w:r w:rsidR="00FA5DE9" w:rsidRPr="00FA5DE9">
        <w:t>Study WA22762</w:t>
      </w:r>
      <w:r w:rsidR="00FA5DE9">
        <w:rPr>
          <w:b/>
        </w:rPr>
        <w:t xml:space="preserve"> </w:t>
      </w:r>
      <w:r>
        <w:t>including NMSC</w:t>
      </w:r>
      <w:r w:rsidRPr="00B96FCD">
        <w:t xml:space="preserve"> </w:t>
      </w:r>
      <w:r>
        <w:t xml:space="preserve">AEs </w:t>
      </w:r>
      <w:r w:rsidRPr="00B96FCD">
        <w:t>was comparable in the SC</w:t>
      </w:r>
      <w:r>
        <w:t xml:space="preserve">, </w:t>
      </w:r>
      <w:r w:rsidRPr="00B96FCD">
        <w:t xml:space="preserve">IV </w:t>
      </w:r>
      <w:r>
        <w:t>and IV</w:t>
      </w:r>
      <w:r w:rsidR="00FA5DE9">
        <w:t xml:space="preserve"> </w:t>
      </w:r>
      <w:r>
        <w:t xml:space="preserve">SC </w:t>
      </w:r>
      <w:r w:rsidRPr="00B96FCD">
        <w:t>arms</w:t>
      </w:r>
      <w:r>
        <w:t xml:space="preserve"> (</w:t>
      </w:r>
      <w:r w:rsidRPr="00B96FCD">
        <w:t>0.89</w:t>
      </w:r>
      <w:r>
        <w:t xml:space="preserve"> </w:t>
      </w:r>
      <w:r w:rsidR="002E6B16">
        <w:t>(</w:t>
      </w:r>
      <w:r w:rsidRPr="00B96FCD">
        <w:t>0.41, 1.69</w:t>
      </w:r>
      <w:r w:rsidR="002E6B16">
        <w:t>)</w:t>
      </w:r>
      <w:r w:rsidRPr="00B96FCD">
        <w:t xml:space="preserve"> </w:t>
      </w:r>
      <w:r w:rsidR="002E6B16">
        <w:t>versus</w:t>
      </w:r>
      <w:r w:rsidRPr="00B96FCD">
        <w:t xml:space="preserve"> 0.73 </w:t>
      </w:r>
      <w:r w:rsidR="002E6B16">
        <w:t>(</w:t>
      </w:r>
      <w:r w:rsidRPr="00B96FCD">
        <w:t>0.27, 1.60</w:t>
      </w:r>
      <w:r w:rsidR="002E6B16">
        <w:t>)</w:t>
      </w:r>
      <w:r>
        <w:t xml:space="preserve"> </w:t>
      </w:r>
      <w:r w:rsidR="002E6B16">
        <w:t>versus</w:t>
      </w:r>
      <w:r>
        <w:t xml:space="preserve"> 0.78 </w:t>
      </w:r>
      <w:r w:rsidR="002E6B16">
        <w:t>(</w:t>
      </w:r>
      <w:r>
        <w:t>0.09, 2.82</w:t>
      </w:r>
      <w:r w:rsidR="002E6B16">
        <w:t>)</w:t>
      </w:r>
      <w:r>
        <w:t xml:space="preserve"> </w:t>
      </w:r>
      <w:r w:rsidRPr="00B96FCD">
        <w:t>events per 100 PY</w:t>
      </w:r>
      <w:r w:rsidR="00FA5DE9">
        <w:t xml:space="preserve">). </w:t>
      </w:r>
      <w:r w:rsidRPr="008B1807">
        <w:t>One adjudicated malignan</w:t>
      </w:r>
      <w:r w:rsidR="00FA5DE9">
        <w:t xml:space="preserve">cy event was reported in the SC </w:t>
      </w:r>
      <w:r w:rsidRPr="008B1807">
        <w:t>IV</w:t>
      </w:r>
      <w:r>
        <w:t xml:space="preserve"> </w:t>
      </w:r>
      <w:r w:rsidRPr="008B1807">
        <w:t>switch arm</w:t>
      </w:r>
      <w:r>
        <w:t xml:space="preserve"> after the switch to IV therapy</w:t>
      </w:r>
      <w:r w:rsidRPr="008B1807">
        <w:t xml:space="preserve"> </w:t>
      </w:r>
      <w:r>
        <w:t>(</w:t>
      </w:r>
      <w:r w:rsidRPr="008B1807">
        <w:t xml:space="preserve">1.51 </w:t>
      </w:r>
      <w:r w:rsidR="002E6B16">
        <w:t>(</w:t>
      </w:r>
      <w:r w:rsidRPr="008B1807">
        <w:t>0.04,</w:t>
      </w:r>
      <w:r>
        <w:t xml:space="preserve"> </w:t>
      </w:r>
      <w:r w:rsidRPr="008B1807">
        <w:t>8.42</w:t>
      </w:r>
      <w:r w:rsidR="002E6B16">
        <w:t>)</w:t>
      </w:r>
      <w:r w:rsidRPr="008B1807">
        <w:t xml:space="preserve"> events per 100 PY</w:t>
      </w:r>
      <w:r w:rsidR="00FA5DE9">
        <w:t xml:space="preserve">). </w:t>
      </w:r>
      <w:r>
        <w:t>While the rate w</w:t>
      </w:r>
      <w:r w:rsidR="00B06B62">
        <w:t xml:space="preserve">as numerically higher in the SC to </w:t>
      </w:r>
      <w:r>
        <w:t>IV</w:t>
      </w:r>
      <w:r w:rsidR="00B06B62">
        <w:t xml:space="preserve"> switch</w:t>
      </w:r>
      <w:r>
        <w:t xml:space="preserve"> arm, </w:t>
      </w:r>
      <w:r w:rsidRPr="008B1807">
        <w:t>the 9</w:t>
      </w:r>
      <w:r>
        <w:t>5% CIs are wide and overlap with the rates in the other treatment.</w:t>
      </w:r>
    </w:p>
    <w:p w14:paraId="4463B2BD" w14:textId="77777777" w:rsidR="004A5ABB" w:rsidRDefault="00FA5DE9" w:rsidP="004A5ABB">
      <w:pPr>
        <w:autoSpaceDE w:val="0"/>
        <w:autoSpaceDN w:val="0"/>
        <w:adjustRightInd w:val="0"/>
      </w:pPr>
      <w:r w:rsidRPr="00FA5DE9">
        <w:t xml:space="preserve">In </w:t>
      </w:r>
      <w:r>
        <w:t>Study NA25220 e</w:t>
      </w:r>
      <w:r w:rsidR="004A5ABB" w:rsidRPr="00B84EDE">
        <w:t xml:space="preserve">ight malignancies </w:t>
      </w:r>
      <w:r w:rsidR="004A5ABB">
        <w:t xml:space="preserve">were reported during the study, 3 during the DB phase (all in the TCZ PFS arm), and 5 in the OL phase (1 </w:t>
      </w:r>
      <w:r w:rsidR="004A5ABB" w:rsidRPr="00F66940">
        <w:t>in the TCZ PFS</w:t>
      </w:r>
      <w:r w:rsidR="004A5ABB">
        <w:t>,</w:t>
      </w:r>
      <w:r w:rsidR="004A5ABB" w:rsidRPr="00F66940">
        <w:t xml:space="preserve"> </w:t>
      </w:r>
      <w:r w:rsidR="004A5ABB">
        <w:t xml:space="preserve">2 in the TCZ PFS </w:t>
      </w:r>
      <w:r w:rsidR="005F7D43">
        <w:t>to</w:t>
      </w:r>
      <w:r w:rsidR="004A5ABB">
        <w:t xml:space="preserve"> AI and 2 in the placebo </w:t>
      </w:r>
      <w:r w:rsidR="005F7D43">
        <w:t>to</w:t>
      </w:r>
      <w:r>
        <w:t xml:space="preserve"> AI</w:t>
      </w:r>
      <w:r w:rsidR="005F7D43">
        <w:t xml:space="preserve"> switch</w:t>
      </w:r>
      <w:r>
        <w:t xml:space="preserve"> arms). </w:t>
      </w:r>
      <w:r w:rsidR="004A5ABB">
        <w:t>Six malignancies were reported in escape patients</w:t>
      </w:r>
      <w:r>
        <w:t>:</w:t>
      </w:r>
      <w:r w:rsidR="004A5ABB">
        <w:t xml:space="preserve"> 4 in the prior placebo </w:t>
      </w:r>
      <w:r>
        <w:t>arm and 2 in the prior TCZ arm.</w:t>
      </w:r>
    </w:p>
    <w:p w14:paraId="4463B2BE" w14:textId="77777777" w:rsidR="004A5ABB" w:rsidRPr="00FA5DE9" w:rsidRDefault="004A5ABB" w:rsidP="00FA5DE9">
      <w:pPr>
        <w:pStyle w:val="Heading5"/>
      </w:pPr>
      <w:r w:rsidRPr="00FA5DE9">
        <w:t>Other studies</w:t>
      </w:r>
    </w:p>
    <w:p w14:paraId="4463B2BF" w14:textId="77777777" w:rsidR="004A5ABB" w:rsidRPr="00FA5DE9" w:rsidRDefault="00FA5DE9" w:rsidP="00FA5DE9">
      <w:r w:rsidRPr="00FA5DE9">
        <w:t>Malignancy was n</w:t>
      </w:r>
      <w:r w:rsidR="004A5ABB" w:rsidRPr="00FA5DE9">
        <w:t>ot discussed</w:t>
      </w:r>
      <w:r w:rsidRPr="00FA5DE9">
        <w:t xml:space="preserve"> in Study MRA229JP</w:t>
      </w:r>
      <w:r w:rsidR="004A5ABB" w:rsidRPr="00FA5DE9">
        <w:t>.</w:t>
      </w:r>
    </w:p>
    <w:p w14:paraId="4463B2C0" w14:textId="77777777" w:rsidR="004A5ABB" w:rsidRPr="00FA5DE9" w:rsidRDefault="00FA5DE9" w:rsidP="00FA5DE9">
      <w:r w:rsidRPr="00FA5DE9">
        <w:t>In Study ML28338 t</w:t>
      </w:r>
      <w:r w:rsidR="004A5ABB" w:rsidRPr="00FA5DE9">
        <w:t xml:space="preserve">wo malignancies in 2 patients were reported (0.80 </w:t>
      </w:r>
      <w:r w:rsidR="002E6B16" w:rsidRPr="00FA5DE9">
        <w:t>(</w:t>
      </w:r>
      <w:r w:rsidR="004A5ABB" w:rsidRPr="00FA5DE9">
        <w:t>95% CI 0.10, 2.88</w:t>
      </w:r>
      <w:r w:rsidR="002E6B16" w:rsidRPr="00FA5DE9">
        <w:t>)</w:t>
      </w:r>
      <w:r w:rsidRPr="00FA5DE9">
        <w:t xml:space="preserve"> per 100 PY).</w:t>
      </w:r>
    </w:p>
    <w:p w14:paraId="4463B2C1" w14:textId="77777777" w:rsidR="004A5ABB" w:rsidRPr="00FA5DE9" w:rsidRDefault="004A5ABB" w:rsidP="00FA5DE9">
      <w:pPr>
        <w:pStyle w:val="Heading4"/>
      </w:pPr>
      <w:bookmarkStart w:id="136" w:name="_Toc430267995"/>
      <w:r w:rsidRPr="00FA5DE9">
        <w:t>Anaphylaxis and hypersensitivity</w:t>
      </w:r>
      <w:bookmarkEnd w:id="136"/>
    </w:p>
    <w:p w14:paraId="4463B2C2" w14:textId="77777777" w:rsidR="004A5ABB" w:rsidRPr="00FA5DE9" w:rsidRDefault="004A5ABB" w:rsidP="00FA5DE9">
      <w:pPr>
        <w:pStyle w:val="Heading5"/>
      </w:pPr>
      <w:bookmarkStart w:id="137" w:name="_Ref422818076"/>
      <w:r w:rsidRPr="00FA5DE9">
        <w:t>Pivotal studies</w:t>
      </w:r>
      <w:bookmarkEnd w:id="137"/>
    </w:p>
    <w:p w14:paraId="4463B2C3" w14:textId="77777777" w:rsidR="004A5ABB" w:rsidRDefault="00FA5DE9" w:rsidP="004A5ABB">
      <w:pPr>
        <w:autoSpaceDE w:val="0"/>
        <w:autoSpaceDN w:val="0"/>
        <w:adjustRightInd w:val="0"/>
      </w:pPr>
      <w:r w:rsidRPr="00FA5DE9">
        <w:t>No</w:t>
      </w:r>
      <w:r w:rsidR="004A5ABB" w:rsidRPr="0070518D">
        <w:t xml:space="preserve"> anaphylactic events </w:t>
      </w:r>
      <w:r w:rsidR="004A5ABB">
        <w:t>were identified</w:t>
      </w:r>
      <w:r>
        <w:t xml:space="preserve"> in Study WA22762. </w:t>
      </w:r>
      <w:r w:rsidR="004A5ABB">
        <w:t>Hypersensitivity reactions were lower in the SC arm than in the IV arm (</w:t>
      </w:r>
      <w:r w:rsidR="004A5ABB" w:rsidRPr="004F4126">
        <w:t xml:space="preserve">8.78 </w:t>
      </w:r>
      <w:r w:rsidR="002E6B16">
        <w:t>(</w:t>
      </w:r>
      <w:r w:rsidR="004A5ABB" w:rsidRPr="004F4126">
        <w:t>7.05, 10.81</w:t>
      </w:r>
      <w:r w:rsidR="002E6B16">
        <w:t>)</w:t>
      </w:r>
      <w:r w:rsidR="004A5ABB" w:rsidRPr="004F4126">
        <w:t xml:space="preserve"> </w:t>
      </w:r>
      <w:r w:rsidR="002E6B16">
        <w:t>versus</w:t>
      </w:r>
      <w:r w:rsidR="004A5ABB" w:rsidRPr="004F4126">
        <w:t xml:space="preserve"> 14.82 </w:t>
      </w:r>
      <w:r w:rsidR="002E6B16">
        <w:t>(</w:t>
      </w:r>
      <w:r w:rsidR="004A5ABB">
        <w:t>1</w:t>
      </w:r>
      <w:r w:rsidR="004A5ABB" w:rsidRPr="004F4126">
        <w:t>2.30, 17.71</w:t>
      </w:r>
      <w:r w:rsidR="002E6B16">
        <w:t>)</w:t>
      </w:r>
      <w:r w:rsidR="004A5ABB" w:rsidRPr="004F4126">
        <w:t xml:space="preserve"> events per</w:t>
      </w:r>
      <w:r w:rsidR="004A5ABB">
        <w:t xml:space="preserve"> 100 PY).</w:t>
      </w:r>
      <w:r w:rsidR="009F0A80">
        <w:t xml:space="preserve"> </w:t>
      </w:r>
      <w:r w:rsidR="004A5ABB">
        <w:t>There were 10 events in the IV</w:t>
      </w:r>
      <w:r>
        <w:t xml:space="preserve"> </w:t>
      </w:r>
      <w:r w:rsidR="004A5ABB">
        <w:t>SC arm and 1 in the SC</w:t>
      </w:r>
      <w:r>
        <w:t xml:space="preserve"> </w:t>
      </w:r>
      <w:r w:rsidR="004A5ABB">
        <w:t>IV arm (</w:t>
      </w:r>
      <w:r w:rsidR="004A5ABB" w:rsidRPr="004F4126">
        <w:t xml:space="preserve">3.91 </w:t>
      </w:r>
      <w:r w:rsidR="002E6B16">
        <w:t>(</w:t>
      </w:r>
      <w:r w:rsidR="004A5ABB" w:rsidRPr="004F4126">
        <w:t>1.88, 7.19</w:t>
      </w:r>
      <w:r w:rsidR="002E6B16">
        <w:t>)</w:t>
      </w:r>
      <w:r w:rsidR="005F7D43">
        <w:t xml:space="preserve"> </w:t>
      </w:r>
      <w:r w:rsidR="002E6B16">
        <w:t>versus</w:t>
      </w:r>
      <w:r w:rsidR="004A5ABB" w:rsidRPr="004F4126">
        <w:t xml:space="preserve"> 1.51 </w:t>
      </w:r>
      <w:r w:rsidR="002E6B16">
        <w:t>(</w:t>
      </w:r>
      <w:r w:rsidR="004A5ABB" w:rsidRPr="004F4126">
        <w:t>0.04,</w:t>
      </w:r>
      <w:r w:rsidR="004A5ABB">
        <w:t xml:space="preserve"> </w:t>
      </w:r>
      <w:r w:rsidR="004A5ABB" w:rsidRPr="004F4126">
        <w:t>8.42</w:t>
      </w:r>
      <w:r w:rsidR="002E6B16">
        <w:t>)</w:t>
      </w:r>
      <w:r w:rsidR="004A5ABB" w:rsidRPr="004F4126">
        <w:t xml:space="preserve"> events per 100 PY</w:t>
      </w:r>
      <w:r w:rsidR="004A5ABB">
        <w:t>). Most of the hypersensitivity reactions were not considered clinically significant (did not result in wi</w:t>
      </w:r>
      <w:r>
        <w:t xml:space="preserve">thdrawal from the study drug). </w:t>
      </w:r>
      <w:r w:rsidR="004A5ABB">
        <w:t>Rates for clinically significant hypersensitivity events were comparable in the SC and IV arms (</w:t>
      </w:r>
      <w:r w:rsidR="004A5ABB" w:rsidRPr="004C30C6">
        <w:t xml:space="preserve">1.18 </w:t>
      </w:r>
      <w:r w:rsidR="002E6B16">
        <w:t>(</w:t>
      </w:r>
      <w:r w:rsidR="004A5ABB" w:rsidRPr="004C30C6">
        <w:t>0.61, 2.07</w:t>
      </w:r>
      <w:r>
        <w:t xml:space="preserve"> </w:t>
      </w:r>
      <w:r w:rsidR="002E6B16">
        <w:t>versus</w:t>
      </w:r>
      <w:r w:rsidR="004A5ABB" w:rsidRPr="004C30C6">
        <w:t xml:space="preserve"> 1.47 </w:t>
      </w:r>
      <w:r w:rsidR="002E6B16">
        <w:t>(</w:t>
      </w:r>
      <w:r w:rsidR="004A5ABB" w:rsidRPr="004C30C6">
        <w:t>0.76, 2.57</w:t>
      </w:r>
      <w:r w:rsidR="002E6B16">
        <w:t>)</w:t>
      </w:r>
      <w:r w:rsidR="004A5ABB" w:rsidRPr="004C30C6">
        <w:t xml:space="preserve"> events per 100</w:t>
      </w:r>
      <w:r w:rsidR="004A5ABB">
        <w:t xml:space="preserve"> </w:t>
      </w:r>
      <w:r w:rsidR="004A5ABB" w:rsidRPr="004C30C6">
        <w:t>PY</w:t>
      </w:r>
      <w:r w:rsidR="004A5ABB">
        <w:t xml:space="preserve">). </w:t>
      </w:r>
      <w:r w:rsidR="004A5ABB" w:rsidRPr="004C30C6">
        <w:t>No clinically significant</w:t>
      </w:r>
      <w:r w:rsidR="004A5ABB">
        <w:t xml:space="preserve"> </w:t>
      </w:r>
      <w:r w:rsidR="004A5ABB" w:rsidRPr="004C30C6">
        <w:t xml:space="preserve">hypersensitivity events were reported for either switch arm. </w:t>
      </w:r>
      <w:r w:rsidR="004A5ABB">
        <w:t>Seven hypersensitivity events were reported as an SAE: 5 in the SC arm and 2 in the IV arm (</w:t>
      </w:r>
      <w:r w:rsidR="004A5ABB" w:rsidRPr="00F344F8">
        <w:t xml:space="preserve">0.49 </w:t>
      </w:r>
      <w:r w:rsidR="002E6B16">
        <w:t>(</w:t>
      </w:r>
      <w:r>
        <w:t>95% CI</w:t>
      </w:r>
      <w:r w:rsidR="004A5ABB" w:rsidRPr="00F344F8">
        <w:t xml:space="preserve"> 0.16, 1.15</w:t>
      </w:r>
      <w:r w:rsidR="002E6B16">
        <w:t>)</w:t>
      </w:r>
      <w:r w:rsidR="004A5ABB">
        <w:t xml:space="preserve"> </w:t>
      </w:r>
      <w:r w:rsidR="002E6B16">
        <w:t>versus</w:t>
      </w:r>
      <w:r w:rsidR="004A5ABB" w:rsidRPr="00F344F8">
        <w:t xml:space="preserve"> 0.24 </w:t>
      </w:r>
      <w:r w:rsidR="002E6B16">
        <w:t>(</w:t>
      </w:r>
      <w:r w:rsidR="004A5ABB" w:rsidRPr="00F344F8">
        <w:t>0.03, 0.88</w:t>
      </w:r>
      <w:r w:rsidR="002E6B16">
        <w:t>)</w:t>
      </w:r>
      <w:r w:rsidR="004A5ABB" w:rsidRPr="00F344F8">
        <w:t xml:space="preserve"> events per 100 PY</w:t>
      </w:r>
      <w:r w:rsidR="004A5ABB">
        <w:t>). Ten additional potential hypersensitivity events (5 each in the SC an IV arms) occurred more than 24 hours after study drug administration.</w:t>
      </w:r>
    </w:p>
    <w:p w14:paraId="4463B2C4" w14:textId="77777777" w:rsidR="004A5ABB" w:rsidRDefault="00FA5DE9" w:rsidP="004A5ABB">
      <w:pPr>
        <w:autoSpaceDE w:val="0"/>
        <w:autoSpaceDN w:val="0"/>
        <w:adjustRightInd w:val="0"/>
      </w:pPr>
      <w:r w:rsidRPr="00FA5DE9">
        <w:t>In Study NA25220</w:t>
      </w:r>
      <w:r>
        <w:rPr>
          <w:b/>
        </w:rPr>
        <w:t xml:space="preserve"> </w:t>
      </w:r>
      <w:r w:rsidR="004A5ABB">
        <w:t>no anaphylactic events were identified and o</w:t>
      </w:r>
      <w:r w:rsidR="004A5ABB" w:rsidRPr="00B230E5">
        <w:t xml:space="preserve">nly 1 clinically significant hypersensitivity reaction was reported </w:t>
      </w:r>
      <w:r>
        <w:t xml:space="preserve">(TCZ PFS arm). </w:t>
      </w:r>
      <w:r w:rsidR="004A5ABB">
        <w:t>Overall, 36 hypersensitivity reactions were reported and while numerically higher in the TCZ PFS arm, rates were generally similar across the treatment arms with</w:t>
      </w:r>
      <w:r>
        <w:t xml:space="preserve"> wide and overlapping 95% CIs. </w:t>
      </w:r>
      <w:r w:rsidR="004A5ABB" w:rsidRPr="00C617BB">
        <w:t xml:space="preserve">Five escape patients (2 </w:t>
      </w:r>
      <w:r w:rsidR="002E6B16">
        <w:t>(</w:t>
      </w:r>
      <w:r w:rsidR="004A5ABB" w:rsidRPr="00C617BB">
        <w:t>2.0%</w:t>
      </w:r>
      <w:r w:rsidR="002E6B16">
        <w:t>)</w:t>
      </w:r>
      <w:r w:rsidR="004A5ABB" w:rsidRPr="00C617BB">
        <w:t xml:space="preserve"> in the prior TCZ arm and 3 </w:t>
      </w:r>
      <w:r w:rsidR="002E6B16">
        <w:t>(</w:t>
      </w:r>
      <w:r w:rsidR="004A5ABB" w:rsidRPr="00C617BB">
        <w:t>3.3%</w:t>
      </w:r>
      <w:r w:rsidR="002E6B16">
        <w:t>)</w:t>
      </w:r>
      <w:r w:rsidR="004A5ABB" w:rsidRPr="00C617BB">
        <w:t xml:space="preserve"> in the prior placebo</w:t>
      </w:r>
      <w:r w:rsidR="004A5ABB">
        <w:t xml:space="preserve"> </w:t>
      </w:r>
      <w:r w:rsidR="004A5ABB" w:rsidRPr="00C617BB">
        <w:t>arm) had at least 1 hypersensitivity event during the study</w:t>
      </w:r>
      <w:r w:rsidR="004A5ABB">
        <w:t>.</w:t>
      </w:r>
    </w:p>
    <w:p w14:paraId="4463B2C5" w14:textId="77777777" w:rsidR="004A5ABB" w:rsidRPr="00FA5DE9" w:rsidRDefault="004A5ABB" w:rsidP="00FA5DE9">
      <w:pPr>
        <w:pStyle w:val="Heading5"/>
      </w:pPr>
      <w:r w:rsidRPr="00FA5DE9">
        <w:lastRenderedPageBreak/>
        <w:t>Other studies</w:t>
      </w:r>
    </w:p>
    <w:p w14:paraId="4463B2C6" w14:textId="77777777" w:rsidR="004A5ABB" w:rsidRDefault="004A5ABB" w:rsidP="004A5ABB">
      <w:r w:rsidRPr="002567A8">
        <w:t>No anaphylactic reaction events were reported in the 84-week open-label</w:t>
      </w:r>
      <w:r>
        <w:t xml:space="preserve"> </w:t>
      </w:r>
      <w:r w:rsidRPr="002567A8">
        <w:t xml:space="preserve">period </w:t>
      </w:r>
      <w:r w:rsidR="00FA5DE9">
        <w:t xml:space="preserve">of </w:t>
      </w:r>
      <w:r w:rsidR="00FA5DE9" w:rsidRPr="00FA5DE9">
        <w:t xml:space="preserve">Study MRA229JP </w:t>
      </w:r>
      <w:r w:rsidRPr="002567A8">
        <w:t xml:space="preserve">during which all patients received </w:t>
      </w:r>
      <w:r>
        <w:t>SC TCZ</w:t>
      </w:r>
      <w:r w:rsidRPr="002567A8">
        <w:t>.</w:t>
      </w:r>
      <w:r w:rsidR="00FA5DE9">
        <w:t xml:space="preserve"> </w:t>
      </w:r>
      <w:r>
        <w:t xml:space="preserve">One </w:t>
      </w:r>
      <w:r w:rsidRPr="002567A8">
        <w:t xml:space="preserve">severe anaphylactic reaction </w:t>
      </w:r>
      <w:r>
        <w:t xml:space="preserve">was reported </w:t>
      </w:r>
      <w:r w:rsidRPr="002567A8">
        <w:t>following the</w:t>
      </w:r>
      <w:r>
        <w:t xml:space="preserve"> </w:t>
      </w:r>
      <w:r w:rsidRPr="002567A8">
        <w:t xml:space="preserve">second </w:t>
      </w:r>
      <w:r>
        <w:t>IV TCZ</w:t>
      </w:r>
      <w:r w:rsidRPr="002567A8">
        <w:t xml:space="preserve"> infusion</w:t>
      </w:r>
      <w:r>
        <w:t xml:space="preserve"> in the DB phase of the study</w:t>
      </w:r>
      <w:r w:rsidRPr="002567A8">
        <w:t>.</w:t>
      </w:r>
    </w:p>
    <w:p w14:paraId="4463B2C7" w14:textId="77777777" w:rsidR="004A5ABB" w:rsidRPr="0048794D" w:rsidRDefault="004A5ABB" w:rsidP="004A5ABB">
      <w:r>
        <w:t xml:space="preserve">No anaphylaxis or serious and/or clinically significant hypersensitivity </w:t>
      </w:r>
      <w:r w:rsidRPr="001410DF">
        <w:t>events were reported</w:t>
      </w:r>
      <w:r w:rsidR="00FA5DE9">
        <w:t xml:space="preserve"> in </w:t>
      </w:r>
      <w:r w:rsidR="00FA5DE9" w:rsidRPr="00FA5DE9">
        <w:t>Study ML28338</w:t>
      </w:r>
      <w:r w:rsidR="00FA5DE9">
        <w:t>.</w:t>
      </w:r>
      <w:r>
        <w:t xml:space="preserve"> Six potential hypersensitivity events were reported (2.39 </w:t>
      </w:r>
      <w:r w:rsidR="002E6B16">
        <w:t>(</w:t>
      </w:r>
      <w:r>
        <w:t>95% CI 0.88, 5.20</w:t>
      </w:r>
      <w:r w:rsidR="002E6B16">
        <w:t>)</w:t>
      </w:r>
      <w:r w:rsidR="00FA5DE9">
        <w:t xml:space="preserve"> per 100 PY).</w:t>
      </w:r>
    </w:p>
    <w:p w14:paraId="4463B2C8" w14:textId="624489C5" w:rsidR="004A5ABB" w:rsidRPr="00FA5DE9" w:rsidRDefault="00763ED3" w:rsidP="00FA5DE9">
      <w:pPr>
        <w:pStyle w:val="Heading4"/>
      </w:pPr>
      <w:bookmarkStart w:id="138" w:name="_Toc430267996"/>
      <w:r>
        <w:t>Hepatic e</w:t>
      </w:r>
      <w:r w:rsidR="004A5ABB" w:rsidRPr="00FA5DE9">
        <w:t>vents</w:t>
      </w:r>
      <w:bookmarkEnd w:id="138"/>
    </w:p>
    <w:p w14:paraId="4463B2C9" w14:textId="77777777" w:rsidR="004A5ABB" w:rsidRPr="00FA5DE9" w:rsidRDefault="004A5ABB" w:rsidP="00FA5DE9">
      <w:pPr>
        <w:pStyle w:val="Heading5"/>
      </w:pPr>
      <w:r w:rsidRPr="00FA5DE9">
        <w:t>Pivotal studies</w:t>
      </w:r>
    </w:p>
    <w:p w14:paraId="4463B2CA" w14:textId="77777777" w:rsidR="004A5ABB" w:rsidRPr="00B72212" w:rsidRDefault="00FA5DE9" w:rsidP="004A5ABB">
      <w:pPr>
        <w:autoSpaceDE w:val="0"/>
        <w:autoSpaceDN w:val="0"/>
        <w:adjustRightInd w:val="0"/>
      </w:pPr>
      <w:r w:rsidRPr="00FA5DE9">
        <w:t>In Study WA22762</w:t>
      </w:r>
      <w:r>
        <w:rPr>
          <w:b/>
        </w:rPr>
        <w:t xml:space="preserve"> </w:t>
      </w:r>
      <w:r w:rsidR="004A5ABB">
        <w:t>two patients had 3 serious hepatic adver</w:t>
      </w:r>
      <w:r>
        <w:t xml:space="preserve">se events, both in the IV arm. </w:t>
      </w:r>
      <w:r w:rsidR="004A5ABB">
        <w:t>These events were hepatic encephalopathy (</w:t>
      </w:r>
      <w:r>
        <w:t>two events occured</w:t>
      </w:r>
      <w:r w:rsidR="004A5ABB">
        <w:t xml:space="preserve"> in same patient) and hepatic steatosis</w:t>
      </w:r>
      <w:r>
        <w:t xml:space="preserve"> in another patient. </w:t>
      </w:r>
      <w:r w:rsidR="004A5ABB" w:rsidRPr="00B72212">
        <w:t>All serious hepatic AEs were Grade 3 and considered by the investigator as being not</w:t>
      </w:r>
      <w:r w:rsidR="004A5ABB">
        <w:t xml:space="preserve"> </w:t>
      </w:r>
      <w:r>
        <w:t>related to study treatment.</w:t>
      </w:r>
    </w:p>
    <w:p w14:paraId="4463B2CB" w14:textId="1D20C631" w:rsidR="004A5ABB" w:rsidRPr="00FA5DE9" w:rsidRDefault="00FA5DE9" w:rsidP="00FA5DE9">
      <w:pPr>
        <w:rPr>
          <w:b/>
        </w:rPr>
      </w:pPr>
      <w:r w:rsidRPr="00FA5DE9">
        <w:t xml:space="preserve">In </w:t>
      </w:r>
      <w:r w:rsidR="004A5ABB" w:rsidRPr="00FA5DE9">
        <w:t>Study NA25220</w:t>
      </w:r>
      <w:r>
        <w:t xml:space="preserve"> h</w:t>
      </w:r>
      <w:r w:rsidR="004A5ABB" w:rsidRPr="00471086">
        <w:t xml:space="preserve">epatic events of special interest were defined as a combination of the </w:t>
      </w:r>
      <w:r>
        <w:t>h</w:t>
      </w:r>
      <w:r w:rsidR="004A5ABB" w:rsidRPr="00471086">
        <w:t xml:space="preserve">epatic </w:t>
      </w:r>
      <w:r w:rsidR="00C147A6">
        <w:t>f</w:t>
      </w:r>
      <w:r w:rsidR="00C147A6" w:rsidRPr="00471086">
        <w:t>ailure</w:t>
      </w:r>
      <w:r w:rsidR="004A5ABB" w:rsidRPr="00471086">
        <w:t>,</w:t>
      </w:r>
      <w:r w:rsidR="004A5ABB">
        <w:t xml:space="preserve"> </w:t>
      </w:r>
      <w:r>
        <w:t>f</w:t>
      </w:r>
      <w:r w:rsidR="004A5ABB" w:rsidRPr="00471086">
        <w:t xml:space="preserve">ibrosis and </w:t>
      </w:r>
      <w:r>
        <w:t>c</w:t>
      </w:r>
      <w:r w:rsidR="004A5ABB" w:rsidRPr="00471086">
        <w:t xml:space="preserve">irrhosis SMQ </w:t>
      </w:r>
      <w:r>
        <w:t>w</w:t>
      </w:r>
      <w:r w:rsidR="004A5ABB" w:rsidRPr="00471086">
        <w:t xml:space="preserve">ide and </w:t>
      </w:r>
      <w:r>
        <w:t>h</w:t>
      </w:r>
      <w:r w:rsidR="004A5ABB" w:rsidRPr="00471086">
        <w:t>epatitis, non-infectious SMQ Wide. No serious hepatic events were reported during the study</w:t>
      </w:r>
      <w:r>
        <w:t xml:space="preserve">. </w:t>
      </w:r>
      <w:r w:rsidR="004A5ABB">
        <w:t>Non-serious e</w:t>
      </w:r>
      <w:r w:rsidR="004A5ABB" w:rsidRPr="00471086">
        <w:t>vents were reported for 6 patients</w:t>
      </w:r>
      <w:r w:rsidR="004A5ABB">
        <w:t xml:space="preserve"> </w:t>
      </w:r>
      <w:r w:rsidR="004A5ABB" w:rsidRPr="00471086">
        <w:t xml:space="preserve">(1.4%) in the TCZ PFS arm (hepatic steatosis </w:t>
      </w:r>
      <w:r w:rsidR="002E6B16">
        <w:t>(</w:t>
      </w:r>
      <w:r w:rsidR="004A5ABB" w:rsidRPr="00471086">
        <w:t>3 patients</w:t>
      </w:r>
      <w:r w:rsidR="002E6B16">
        <w:t>)</w:t>
      </w:r>
      <w:r w:rsidR="004A5ABB" w:rsidRPr="00471086">
        <w:t xml:space="preserve"> and biliary dyskinesia,</w:t>
      </w:r>
      <w:r w:rsidR="004A5ABB">
        <w:t xml:space="preserve"> </w:t>
      </w:r>
      <w:r w:rsidR="004A5ABB" w:rsidRPr="00471086">
        <w:t xml:space="preserve">cholelithiasis, and hepatic cyst </w:t>
      </w:r>
      <w:r w:rsidR="002E6B16">
        <w:t>(</w:t>
      </w:r>
      <w:r w:rsidR="004A5ABB" w:rsidRPr="00471086">
        <w:t>1 patient each</w:t>
      </w:r>
      <w:r w:rsidR="002E6B16">
        <w:t>)</w:t>
      </w:r>
      <w:r w:rsidR="004A5ABB" w:rsidRPr="00471086">
        <w:t>), 4 patients (2.4%) in the TCZ PFS</w:t>
      </w:r>
      <w:r w:rsidR="004A5ABB">
        <w:t xml:space="preserve"> </w:t>
      </w:r>
      <w:r w:rsidR="005F7D43">
        <w:t>to</w:t>
      </w:r>
      <w:r w:rsidR="004A5ABB">
        <w:t xml:space="preserve"> </w:t>
      </w:r>
      <w:r w:rsidR="004A5ABB" w:rsidRPr="00471086">
        <w:t>AI</w:t>
      </w:r>
      <w:r w:rsidR="005F7D43">
        <w:t xml:space="preserve"> switch</w:t>
      </w:r>
      <w:r w:rsidR="004A5ABB">
        <w:t xml:space="preserve"> </w:t>
      </w:r>
      <w:r w:rsidR="004A5ABB" w:rsidRPr="00471086">
        <w:t>arm (cholelithiasis, hepatitis, hypertransaminas</w:t>
      </w:r>
      <w:r w:rsidR="00EB0542">
        <w:t>a</w:t>
      </w:r>
      <w:r w:rsidR="004A5ABB" w:rsidRPr="00471086">
        <w:t>emia and hyperbilirubinemia), 1 patient</w:t>
      </w:r>
      <w:r w:rsidR="004A5ABB">
        <w:t xml:space="preserve"> </w:t>
      </w:r>
      <w:r w:rsidR="004A5ABB" w:rsidRPr="00471086">
        <w:t>(1.6%) in the placebo</w:t>
      </w:r>
      <w:r w:rsidR="004A5ABB">
        <w:t xml:space="preserve"> </w:t>
      </w:r>
      <w:r w:rsidR="005F7D43">
        <w:t>to</w:t>
      </w:r>
      <w:r w:rsidR="004A5ABB">
        <w:t xml:space="preserve"> </w:t>
      </w:r>
      <w:r w:rsidR="004A5ABB" w:rsidRPr="00471086">
        <w:t>TCZ PFS</w:t>
      </w:r>
      <w:r w:rsidR="005F7D43">
        <w:t xml:space="preserve"> switch</w:t>
      </w:r>
      <w:r w:rsidR="004A5ABB" w:rsidRPr="00471086">
        <w:t xml:space="preserve"> arm (hypertransaminas</w:t>
      </w:r>
      <w:r w:rsidR="00EB0542">
        <w:t>a</w:t>
      </w:r>
      <w:r w:rsidR="004A5ABB" w:rsidRPr="00471086">
        <w:t>emia), and 3 patients (5.1%)</w:t>
      </w:r>
      <w:r w:rsidR="004A5ABB">
        <w:t xml:space="preserve"> </w:t>
      </w:r>
      <w:r w:rsidR="004A5ABB" w:rsidRPr="00471086">
        <w:t>in the placebo</w:t>
      </w:r>
      <w:r w:rsidR="004A5ABB">
        <w:t xml:space="preserve"> </w:t>
      </w:r>
      <w:r w:rsidR="005F7D43">
        <w:t>to</w:t>
      </w:r>
      <w:r w:rsidR="004A5ABB">
        <w:t xml:space="preserve"> </w:t>
      </w:r>
      <w:r w:rsidR="004A5ABB" w:rsidRPr="00471086">
        <w:t>TCZ AI</w:t>
      </w:r>
      <w:r w:rsidR="005F7D43">
        <w:t xml:space="preserve"> switch</w:t>
      </w:r>
      <w:r w:rsidR="004A5ABB" w:rsidRPr="00471086">
        <w:t xml:space="preserve"> arm (hypertransaminas</w:t>
      </w:r>
      <w:r w:rsidR="00EB0542">
        <w:t>a</w:t>
      </w:r>
      <w:r w:rsidR="004A5ABB" w:rsidRPr="00471086">
        <w:t>emia, hyperbilirubin</w:t>
      </w:r>
      <w:r w:rsidR="00EB0542">
        <w:t>a</w:t>
      </w:r>
      <w:r w:rsidR="004A5ABB" w:rsidRPr="00471086">
        <w:t>emia, and biliary</w:t>
      </w:r>
      <w:r w:rsidR="004A5ABB">
        <w:t xml:space="preserve"> </w:t>
      </w:r>
      <w:r w:rsidR="004A5ABB" w:rsidRPr="00471086">
        <w:t>colic).</w:t>
      </w:r>
      <w:r>
        <w:t xml:space="preserve"> </w:t>
      </w:r>
      <w:r w:rsidR="004A5ABB">
        <w:t xml:space="preserve">One escape patient </w:t>
      </w:r>
      <w:r w:rsidR="004A5ABB" w:rsidRPr="00471086">
        <w:t>in the prior placebo arm developed acute</w:t>
      </w:r>
      <w:r w:rsidR="004A5ABB">
        <w:t xml:space="preserve"> </w:t>
      </w:r>
      <w:r w:rsidR="004A5ABB" w:rsidRPr="00471086">
        <w:t>cholecystitis</w:t>
      </w:r>
      <w:r w:rsidR="004A5ABB">
        <w:t>.</w:t>
      </w:r>
    </w:p>
    <w:p w14:paraId="4463B2CC" w14:textId="77777777" w:rsidR="004A5ABB" w:rsidRPr="00FA5DE9" w:rsidRDefault="004A5ABB" w:rsidP="00FA5DE9">
      <w:pPr>
        <w:pStyle w:val="Heading5"/>
      </w:pPr>
      <w:r w:rsidRPr="00FA5DE9">
        <w:t>Other studies</w:t>
      </w:r>
    </w:p>
    <w:p w14:paraId="4463B2CD" w14:textId="77777777" w:rsidR="004A5ABB" w:rsidRPr="00FA5DE9" w:rsidRDefault="00FA5DE9" w:rsidP="00FA5DE9">
      <w:r w:rsidRPr="00FA5DE9">
        <w:t xml:space="preserve">There was </w:t>
      </w:r>
      <w:r>
        <w:t>n</w:t>
      </w:r>
      <w:r w:rsidRPr="00FA5DE9">
        <w:t>o discussion of hepatic events in Study MRA229JP</w:t>
      </w:r>
      <w:r w:rsidR="004A5ABB" w:rsidRPr="00FA5DE9">
        <w:t>.</w:t>
      </w:r>
    </w:p>
    <w:p w14:paraId="4463B2CE" w14:textId="77777777" w:rsidR="004A5ABB" w:rsidRPr="005C6367" w:rsidRDefault="004A5ABB" w:rsidP="004A5ABB">
      <w:pPr>
        <w:autoSpaceDE w:val="0"/>
        <w:autoSpaceDN w:val="0"/>
        <w:adjustRightInd w:val="0"/>
      </w:pPr>
      <w:r>
        <w:t>No s</w:t>
      </w:r>
      <w:r w:rsidRPr="001410DF">
        <w:t>erious and/or medically significant hepatic events</w:t>
      </w:r>
      <w:r>
        <w:t xml:space="preserve"> were reported</w:t>
      </w:r>
      <w:r w:rsidR="005C6367">
        <w:t xml:space="preserve"> from Study ML28338.</w:t>
      </w:r>
    </w:p>
    <w:p w14:paraId="4463B2CF" w14:textId="77777777" w:rsidR="004A5ABB" w:rsidRPr="005C6367" w:rsidRDefault="004A5ABB" w:rsidP="005C6367">
      <w:pPr>
        <w:pStyle w:val="Heading4"/>
      </w:pPr>
      <w:bookmarkStart w:id="139" w:name="_Toc430267997"/>
      <w:r w:rsidRPr="005C6367">
        <w:t>Stroke</w:t>
      </w:r>
      <w:bookmarkEnd w:id="139"/>
    </w:p>
    <w:p w14:paraId="4463B2D0" w14:textId="77777777" w:rsidR="004A5ABB" w:rsidRPr="005C6367" w:rsidRDefault="004A5ABB" w:rsidP="005C6367">
      <w:pPr>
        <w:pStyle w:val="Heading5"/>
      </w:pPr>
      <w:r w:rsidRPr="005C6367">
        <w:t>Pivotal studies</w:t>
      </w:r>
    </w:p>
    <w:p w14:paraId="4463B2D1" w14:textId="77777777" w:rsidR="004A5ABB" w:rsidRPr="00471086" w:rsidRDefault="004A5ABB" w:rsidP="004A5ABB">
      <w:pPr>
        <w:autoSpaceDE w:val="0"/>
        <w:autoSpaceDN w:val="0"/>
        <w:adjustRightInd w:val="0"/>
      </w:pPr>
      <w:r>
        <w:t>Four</w:t>
      </w:r>
      <w:r w:rsidRPr="00B72212">
        <w:t xml:space="preserve"> patients in the SC group</w:t>
      </w:r>
      <w:r w:rsidR="005C6367">
        <w:t xml:space="preserve"> of Study WA22762</w:t>
      </w:r>
      <w:r w:rsidRPr="00B72212">
        <w:t xml:space="preserve"> and 10 patients in the IV group</w:t>
      </w:r>
      <w:r>
        <w:t xml:space="preserve"> </w:t>
      </w:r>
      <w:r w:rsidRPr="00B72212">
        <w:t>e</w:t>
      </w:r>
      <w:r w:rsidR="005C6367">
        <w:t>xperienced a serious stroke AE.</w:t>
      </w:r>
      <w:r>
        <w:t xml:space="preserve"> </w:t>
      </w:r>
      <w:r w:rsidRPr="00B72212">
        <w:t>Of the</w:t>
      </w:r>
      <w:r>
        <w:t xml:space="preserve">se, </w:t>
      </w:r>
      <w:r w:rsidR="005C6367">
        <w:t xml:space="preserve">4 occurred during the 24 </w:t>
      </w:r>
      <w:r w:rsidRPr="00B72212">
        <w:t>week DB period (in the IV arm)</w:t>
      </w:r>
      <w:r>
        <w:t>,</w:t>
      </w:r>
      <w:r w:rsidRPr="00B72212">
        <w:t xml:space="preserve"> 2 </w:t>
      </w:r>
      <w:r>
        <w:t>occurred before</w:t>
      </w:r>
      <w:r w:rsidR="005C6367">
        <w:t xml:space="preserve"> a clinical </w:t>
      </w:r>
      <w:r w:rsidR="00966DA8">
        <w:t>cut-</w:t>
      </w:r>
      <w:r w:rsidR="00966DA8" w:rsidRPr="00DA0E3D">
        <w:t>off</w:t>
      </w:r>
      <w:r w:rsidRPr="00DA0E3D">
        <w:t xml:space="preserve"> date of 16 January 2012</w:t>
      </w:r>
      <w:r>
        <w:t xml:space="preserve"> </w:t>
      </w:r>
      <w:r w:rsidR="002E6B16">
        <w:t>(</w:t>
      </w:r>
      <w:r>
        <w:t>interim OLE phase</w:t>
      </w:r>
      <w:r w:rsidR="002E6B16">
        <w:t>)</w:t>
      </w:r>
      <w:r w:rsidRPr="00B72212">
        <w:t xml:space="preserve"> (in the SC arm)</w:t>
      </w:r>
      <w:r>
        <w:t xml:space="preserve"> and</w:t>
      </w:r>
      <w:r w:rsidRPr="00B72212">
        <w:t xml:space="preserve"> the</w:t>
      </w:r>
      <w:r>
        <w:t xml:space="preserve"> </w:t>
      </w:r>
      <w:r w:rsidRPr="00B72212">
        <w:t>remaining 8 occurred during the remainder of the OLE period</w:t>
      </w:r>
      <w:r w:rsidR="005C6367">
        <w:t xml:space="preserve">. </w:t>
      </w:r>
      <w:r>
        <w:t>Two were considered related to study treatment (</w:t>
      </w:r>
      <w:r w:rsidR="005C6367">
        <w:t>1</w:t>
      </w:r>
      <w:r>
        <w:t xml:space="preserve"> </w:t>
      </w:r>
      <w:r w:rsidRPr="00DA0E3D">
        <w:t>CTC Grade 3 haemorrhagic stroke</w:t>
      </w:r>
      <w:r w:rsidR="005C6367">
        <w:t xml:space="preserve"> and 1</w:t>
      </w:r>
      <w:r>
        <w:t xml:space="preserve"> </w:t>
      </w:r>
      <w:r w:rsidRPr="00DA0E3D">
        <w:t>CTC Grade 4 ischemic stroke</w:t>
      </w:r>
      <w:r w:rsidR="005C6367">
        <w:t xml:space="preserve">). </w:t>
      </w:r>
      <w:r w:rsidRPr="008131E6">
        <w:t>No serious stroke AEs were report</w:t>
      </w:r>
      <w:r w:rsidR="005C6367">
        <w:t xml:space="preserve">ed in the IV SC or SC </w:t>
      </w:r>
      <w:r w:rsidRPr="008131E6">
        <w:t>IV switch arms.</w:t>
      </w:r>
    </w:p>
    <w:p w14:paraId="4463B2D2" w14:textId="77777777" w:rsidR="004A5ABB" w:rsidRDefault="005C6367" w:rsidP="005C6367">
      <w:r w:rsidRPr="005C6367">
        <w:t xml:space="preserve">In </w:t>
      </w:r>
      <w:r w:rsidR="004A5ABB" w:rsidRPr="005C6367">
        <w:t>Study NA25220</w:t>
      </w:r>
      <w:r w:rsidRPr="005C6367">
        <w:t xml:space="preserve"> no</w:t>
      </w:r>
      <w:r w:rsidR="004A5ABB" w:rsidRPr="005C6367">
        <w:t xml:space="preserve"> stroke events were reported in any of the 4 re-randomised treatment arms</w:t>
      </w:r>
      <w:r w:rsidRPr="005C6367">
        <w:t xml:space="preserve"> or in escape patients. </w:t>
      </w:r>
      <w:r w:rsidR="004A5ABB" w:rsidRPr="005C6367">
        <w:t>One patient in the TCZ PFS arm experienced a Grade 4 transient ischemic attack but recovered with treatment; the event was considered unrelated to study treatment.</w:t>
      </w:r>
    </w:p>
    <w:p w14:paraId="4463B2D3" w14:textId="77777777" w:rsidR="004A5ABB" w:rsidRPr="005C6367" w:rsidRDefault="004A5ABB" w:rsidP="005C6367">
      <w:pPr>
        <w:pStyle w:val="Heading5"/>
      </w:pPr>
      <w:r w:rsidRPr="005C6367">
        <w:t>Other studies</w:t>
      </w:r>
    </w:p>
    <w:p w14:paraId="4463B2D4" w14:textId="77777777" w:rsidR="005C6367" w:rsidRDefault="005C6367" w:rsidP="005C6367">
      <w:r>
        <w:t xml:space="preserve">Stroke events were not discussed in </w:t>
      </w:r>
      <w:r w:rsidR="004A5ABB" w:rsidRPr="005C6367">
        <w:t>Study MRA229JP</w:t>
      </w:r>
      <w:r>
        <w:t>.</w:t>
      </w:r>
    </w:p>
    <w:p w14:paraId="4463B2D5" w14:textId="77777777" w:rsidR="004A5ABB" w:rsidRPr="00471086" w:rsidRDefault="005C6367" w:rsidP="004A5ABB">
      <w:r>
        <w:t>In Study ML28338 f</w:t>
      </w:r>
      <w:r w:rsidR="004A5ABB" w:rsidRPr="005C6367">
        <w:t xml:space="preserve">ive events in 4 patients were reported (1.99 </w:t>
      </w:r>
      <w:r w:rsidR="002E6B16" w:rsidRPr="005C6367">
        <w:t>(</w:t>
      </w:r>
      <w:r w:rsidR="004A5ABB" w:rsidRPr="005C6367">
        <w:t>95% CI 0.65, 4.64</w:t>
      </w:r>
      <w:r w:rsidR="002E6B16" w:rsidRPr="005C6367">
        <w:t>)</w:t>
      </w:r>
      <w:r>
        <w:t xml:space="preserve"> per 100 PY).</w:t>
      </w:r>
    </w:p>
    <w:p w14:paraId="4463B2D6" w14:textId="77777777" w:rsidR="004A5ABB" w:rsidRPr="00E13E44" w:rsidRDefault="004A5ABB" w:rsidP="004D4CF2">
      <w:pPr>
        <w:pStyle w:val="Heading4"/>
      </w:pPr>
      <w:bookmarkStart w:id="140" w:name="_Toc430267998"/>
      <w:r>
        <w:lastRenderedPageBreak/>
        <w:t>Myocardial Infarction</w:t>
      </w:r>
      <w:bookmarkEnd w:id="140"/>
    </w:p>
    <w:p w14:paraId="4463B2D7" w14:textId="77777777" w:rsidR="004A5ABB" w:rsidRPr="005C6367" w:rsidRDefault="004A5ABB" w:rsidP="005C6367">
      <w:pPr>
        <w:pStyle w:val="Heading5"/>
      </w:pPr>
      <w:r w:rsidRPr="005C6367">
        <w:t>Pivotal studies</w:t>
      </w:r>
    </w:p>
    <w:p w14:paraId="4463B2D8" w14:textId="77777777" w:rsidR="004A5ABB" w:rsidRPr="005C6367" w:rsidRDefault="004A5ABB" w:rsidP="005C6367">
      <w:r w:rsidRPr="005C6367">
        <w:t>Two patients in the SC arm</w:t>
      </w:r>
      <w:r w:rsidR="005C6367">
        <w:t xml:space="preserve"> of </w:t>
      </w:r>
      <w:r w:rsidR="005C6367" w:rsidRPr="005C6367">
        <w:t>Study WA22762</w:t>
      </w:r>
      <w:r w:rsidRPr="005C6367">
        <w:t xml:space="preserve"> </w:t>
      </w:r>
      <w:r w:rsidR="005C6367">
        <w:t xml:space="preserve">and 1 patient in the IV </w:t>
      </w:r>
      <w:r w:rsidRPr="005C6367">
        <w:t xml:space="preserve">SC switch arm </w:t>
      </w:r>
      <w:r w:rsidR="005C6367">
        <w:t>experienced serious myocardial infarction (</w:t>
      </w:r>
      <w:r w:rsidRPr="005C6367">
        <w:t>MI</w:t>
      </w:r>
      <w:r w:rsidR="005C6367">
        <w:t>)</w:t>
      </w:r>
      <w:r w:rsidRPr="005C6367">
        <w:t xml:space="preserve"> AEs. One event occurred during the DB period and 2 during the OL period</w:t>
      </w:r>
      <w:r w:rsidR="005C6367">
        <w:t xml:space="preserve">. </w:t>
      </w:r>
      <w:r w:rsidRPr="005C6367">
        <w:t>All serious MI AEs were considered by the investigators as being not related to study treatment.</w:t>
      </w:r>
    </w:p>
    <w:p w14:paraId="4463B2D9" w14:textId="77777777" w:rsidR="004A5ABB" w:rsidRPr="005C6367" w:rsidRDefault="005C6367" w:rsidP="005C6367">
      <w:r>
        <w:t>In Study NA25220 o</w:t>
      </w:r>
      <w:r w:rsidR="004A5ABB" w:rsidRPr="005C6367">
        <w:t xml:space="preserve">ne patient each in the TCZ PFS, TCZ PFS </w:t>
      </w:r>
      <w:r w:rsidR="005F7D43">
        <w:t>to</w:t>
      </w:r>
      <w:r w:rsidR="004A5ABB" w:rsidRPr="005C6367">
        <w:t xml:space="preserve"> AI</w:t>
      </w:r>
      <w:r w:rsidR="005F7D43">
        <w:t xml:space="preserve"> switch</w:t>
      </w:r>
      <w:r w:rsidR="004A5ABB" w:rsidRPr="005C6367">
        <w:t xml:space="preserve">, and placebo </w:t>
      </w:r>
      <w:r w:rsidR="005F7D43">
        <w:t>to</w:t>
      </w:r>
      <w:r w:rsidR="004A5ABB" w:rsidRPr="005C6367">
        <w:t xml:space="preserve"> TCZ PFS arms and 2 escape patients had a serious MI event.</w:t>
      </w:r>
      <w:r>
        <w:t xml:space="preserve"> </w:t>
      </w:r>
      <w:r w:rsidR="004A5ABB" w:rsidRPr="005C6367">
        <w:t xml:space="preserve">Only one event was considered by the investigator to be related to study drug (placebo </w:t>
      </w:r>
      <w:r w:rsidR="005F7D43">
        <w:t>to</w:t>
      </w:r>
      <w:r w:rsidR="004A5ABB" w:rsidRPr="005C6367">
        <w:t xml:space="preserve"> TCZ PFS</w:t>
      </w:r>
      <w:r w:rsidR="005F7D43">
        <w:t xml:space="preserve"> switch</w:t>
      </w:r>
      <w:r w:rsidR="004A5ABB" w:rsidRPr="005C6367">
        <w:t xml:space="preserve"> treatment arm).</w:t>
      </w:r>
    </w:p>
    <w:p w14:paraId="4463B2DA" w14:textId="77777777" w:rsidR="004A5ABB" w:rsidRPr="005C6367" w:rsidRDefault="004A5ABB" w:rsidP="005C6367">
      <w:pPr>
        <w:pStyle w:val="Heading5"/>
      </w:pPr>
      <w:r w:rsidRPr="005C6367">
        <w:t>Other studies</w:t>
      </w:r>
    </w:p>
    <w:p w14:paraId="4463B2DB" w14:textId="77777777" w:rsidR="004A5ABB" w:rsidRPr="005C6367" w:rsidRDefault="005C6367" w:rsidP="005C6367">
      <w:r>
        <w:t>In Study MRA229JP MI AEs were n</w:t>
      </w:r>
      <w:r w:rsidR="004A5ABB" w:rsidRPr="005C6367">
        <w:t>ot discussed.</w:t>
      </w:r>
    </w:p>
    <w:p w14:paraId="4463B2DC" w14:textId="77777777" w:rsidR="004A5ABB" w:rsidRDefault="004A5ABB" w:rsidP="005C6367">
      <w:r w:rsidRPr="005C6367">
        <w:t>Study ML28338</w:t>
      </w:r>
      <w:r w:rsidR="005C6367">
        <w:t xml:space="preserve"> saw n</w:t>
      </w:r>
      <w:r w:rsidRPr="005C6367">
        <w:t xml:space="preserve">o MI and/or acute coronary syndrome events </w:t>
      </w:r>
      <w:r w:rsidR="005C6367">
        <w:t>reported.</w:t>
      </w:r>
    </w:p>
    <w:p w14:paraId="4463B2DD" w14:textId="77777777" w:rsidR="004A5ABB" w:rsidRDefault="004A5ABB" w:rsidP="004D4CF2">
      <w:pPr>
        <w:pStyle w:val="Heading3"/>
      </w:pPr>
      <w:bookmarkStart w:id="141" w:name="_Toc430267999"/>
      <w:bookmarkStart w:id="142" w:name="_Toc464136276"/>
      <w:r>
        <w:t>Laboratory tests</w:t>
      </w:r>
      <w:bookmarkEnd w:id="141"/>
      <w:bookmarkEnd w:id="142"/>
    </w:p>
    <w:p w14:paraId="4463B2DE" w14:textId="77777777" w:rsidR="004A5ABB" w:rsidRDefault="004A5ABB" w:rsidP="006B4610">
      <w:pPr>
        <w:pStyle w:val="Heading4"/>
      </w:pPr>
      <w:bookmarkStart w:id="143" w:name="_Toc430268000"/>
      <w:r>
        <w:t>Liver function</w:t>
      </w:r>
      <w:bookmarkEnd w:id="143"/>
    </w:p>
    <w:p w14:paraId="4463B2DF" w14:textId="77777777" w:rsidR="004A5ABB" w:rsidRDefault="004A5ABB" w:rsidP="006B4610">
      <w:pPr>
        <w:pStyle w:val="Heading5"/>
      </w:pPr>
      <w:r>
        <w:t>Pivotal studies</w:t>
      </w:r>
    </w:p>
    <w:p w14:paraId="4463B2E0" w14:textId="77777777" w:rsidR="004A5ABB" w:rsidRDefault="006B4610" w:rsidP="004D4CF2">
      <w:r>
        <w:t>In Study WA22762 m</w:t>
      </w:r>
      <w:r w:rsidR="004A5ABB" w:rsidRPr="00D06DD4">
        <w:t xml:space="preserve">arked shifts </w:t>
      </w:r>
      <w:r>
        <w:t>(that is</w:t>
      </w:r>
      <w:r w:rsidR="004A5ABB" w:rsidRPr="00D06DD4">
        <w:t xml:space="preserve"> from normal at baseline to </w:t>
      </w:r>
      <w:r w:rsidR="004A5ABB">
        <w:t>&gt;</w:t>
      </w:r>
      <w:r>
        <w:t> </w:t>
      </w:r>
      <w:r w:rsidR="004A5ABB">
        <w:t>3 to 5</w:t>
      </w:r>
      <w:r w:rsidR="003D26DB">
        <w:t xml:space="preserve"> times </w:t>
      </w:r>
      <w:r w:rsidR="004A5ABB" w:rsidRPr="00D06DD4">
        <w:t xml:space="preserve">ULN or </w:t>
      </w:r>
      <w:r w:rsidR="004A5ABB">
        <w:t>&gt;5</w:t>
      </w:r>
      <w:r w:rsidR="003D26DB">
        <w:t xml:space="preserve"> times </w:t>
      </w:r>
      <w:r w:rsidR="004A5ABB" w:rsidRPr="00D06DD4">
        <w:t>ULN</w:t>
      </w:r>
      <w:r w:rsidR="004A5ABB">
        <w:t xml:space="preserve"> </w:t>
      </w:r>
      <w:r>
        <w:t>or from raised</w:t>
      </w:r>
      <w:r w:rsidR="00A33444">
        <w:t xml:space="preserve"> ULN</w:t>
      </w:r>
      <w:r>
        <w:t xml:space="preserve"> but &lt;</w:t>
      </w:r>
      <w:r w:rsidR="00A33444">
        <w:t xml:space="preserve"> </w:t>
      </w:r>
      <w:r w:rsidR="004A5ABB" w:rsidRPr="00D06DD4">
        <w:t>3</w:t>
      </w:r>
      <w:r w:rsidR="001204C7">
        <w:t> </w:t>
      </w:r>
      <w:r w:rsidR="00C35C41">
        <w:t xml:space="preserve">x </w:t>
      </w:r>
      <w:r w:rsidR="00A33444">
        <w:t>normal</w:t>
      </w:r>
      <w:r w:rsidR="004A5ABB" w:rsidRPr="00D06DD4">
        <w:t xml:space="preserve"> at baseline to &gt;</w:t>
      </w:r>
      <w:r w:rsidR="00A33444">
        <w:t xml:space="preserve"> </w:t>
      </w:r>
      <w:r w:rsidR="004A5ABB" w:rsidRPr="00D06DD4">
        <w:t>5</w:t>
      </w:r>
      <w:r w:rsidR="001204C7">
        <w:t> </w:t>
      </w:r>
      <w:r w:rsidR="00C35C41">
        <w:t xml:space="preserve">x </w:t>
      </w:r>
      <w:r w:rsidR="004A5ABB" w:rsidRPr="00D06DD4">
        <w:t>ULN) were experienced by</w:t>
      </w:r>
      <w:r w:rsidR="004A5ABB">
        <w:t xml:space="preserve"> </w:t>
      </w:r>
      <w:r w:rsidR="004A5ABB" w:rsidRPr="00D06DD4">
        <w:t>a similar proportion of patients for both ALT (</w:t>
      </w:r>
      <w:r w:rsidR="00A33444">
        <w:t>(</w:t>
      </w:r>
      <w:r w:rsidR="004A5ABB" w:rsidRPr="00D06DD4">
        <w:t xml:space="preserve">7.3% SC </w:t>
      </w:r>
      <w:r w:rsidR="002E6B16">
        <w:t>versus</w:t>
      </w:r>
      <w:r w:rsidR="004A5ABB" w:rsidRPr="00D06DD4">
        <w:t xml:space="preserve"> 6.2% IV</w:t>
      </w:r>
      <w:r w:rsidR="00A33444">
        <w:t>)</w:t>
      </w:r>
      <w:r w:rsidR="004A5ABB">
        <w:t xml:space="preserve"> </w:t>
      </w:r>
      <w:r w:rsidR="002E6B16">
        <w:t>versus</w:t>
      </w:r>
      <w:r w:rsidR="004A5ABB">
        <w:t xml:space="preserve"> </w:t>
      </w:r>
      <w:r w:rsidR="00A33444">
        <w:t xml:space="preserve">(9.1% IV </w:t>
      </w:r>
      <w:r w:rsidR="004A5ABB">
        <w:t xml:space="preserve">SC </w:t>
      </w:r>
      <w:r w:rsidR="002E6B16">
        <w:t>versus</w:t>
      </w:r>
      <w:r w:rsidR="00A33444">
        <w:t xml:space="preserve"> 10.4% SC </w:t>
      </w:r>
      <w:r w:rsidR="004A5ABB">
        <w:t>IV</w:t>
      </w:r>
      <w:r w:rsidR="004A5ABB" w:rsidRPr="00D06DD4">
        <w:t>)</w:t>
      </w:r>
      <w:r w:rsidR="00A33444">
        <w:t>)</w:t>
      </w:r>
      <w:r w:rsidR="004A5ABB">
        <w:t xml:space="preserve"> </w:t>
      </w:r>
      <w:r w:rsidR="004A5ABB" w:rsidRPr="00D06DD4">
        <w:t xml:space="preserve">and AST </w:t>
      </w:r>
      <w:r w:rsidR="00A33444">
        <w:t>(</w:t>
      </w:r>
      <w:r w:rsidR="004A5ABB" w:rsidRPr="00D06DD4">
        <w:t xml:space="preserve">(1.7% SC </w:t>
      </w:r>
      <w:r w:rsidR="002E6B16">
        <w:t>versus</w:t>
      </w:r>
      <w:r w:rsidR="004A5ABB" w:rsidRPr="00D06DD4">
        <w:t xml:space="preserve"> 1.3% IV</w:t>
      </w:r>
      <w:r w:rsidR="00A33444">
        <w:t>)</w:t>
      </w:r>
      <w:r w:rsidR="004A5ABB" w:rsidRPr="00180E8D">
        <w:t xml:space="preserve"> </w:t>
      </w:r>
      <w:r w:rsidR="002E6B16">
        <w:t>versus</w:t>
      </w:r>
      <w:r w:rsidR="004A5ABB" w:rsidRPr="00180E8D">
        <w:t xml:space="preserve"> </w:t>
      </w:r>
      <w:r w:rsidR="00A33444">
        <w:t xml:space="preserve">(2.1% IV </w:t>
      </w:r>
      <w:r w:rsidR="004A5ABB">
        <w:t xml:space="preserve">SC </w:t>
      </w:r>
      <w:r w:rsidR="002E6B16">
        <w:t>versus</w:t>
      </w:r>
      <w:r w:rsidR="004A5ABB">
        <w:t xml:space="preserve"> </w:t>
      </w:r>
      <w:r w:rsidR="004A5ABB" w:rsidRPr="00180E8D">
        <w:t>0.</w:t>
      </w:r>
      <w:r w:rsidR="004A5ABB">
        <w:t>0</w:t>
      </w:r>
      <w:r w:rsidR="00A33444">
        <w:t xml:space="preserve">% SC </w:t>
      </w:r>
      <w:r w:rsidR="004A5ABB" w:rsidRPr="00180E8D">
        <w:t>IV</w:t>
      </w:r>
      <w:r w:rsidR="004A5ABB" w:rsidRPr="00D06DD4">
        <w:t>)</w:t>
      </w:r>
      <w:r w:rsidR="00A33444">
        <w:t>)</w:t>
      </w:r>
      <w:r w:rsidR="004A5ABB" w:rsidRPr="00D06DD4">
        <w:t>.</w:t>
      </w:r>
    </w:p>
    <w:p w14:paraId="4463B2E1" w14:textId="77777777" w:rsidR="004A5ABB" w:rsidRDefault="004A5ABB" w:rsidP="004D4CF2">
      <w:r w:rsidRPr="00954180">
        <w:t>The incidence of marked shifts in ALT and AST</w:t>
      </w:r>
      <w:r w:rsidR="00A33444">
        <w:t xml:space="preserve"> in </w:t>
      </w:r>
      <w:r w:rsidR="00A33444" w:rsidRPr="00A33444">
        <w:t>Study NA25220</w:t>
      </w:r>
      <w:r w:rsidRPr="00954180">
        <w:t xml:space="preserve"> (</w:t>
      </w:r>
      <w:r w:rsidR="00A33444">
        <w:t>that is,</w:t>
      </w:r>
      <w:r w:rsidRPr="00954180">
        <w:t xml:space="preserve"> from normal at baseline to </w:t>
      </w:r>
      <w:r w:rsidR="00A33444">
        <w:t xml:space="preserve">either between </w:t>
      </w:r>
      <w:r>
        <w:t>3</w:t>
      </w:r>
      <w:r w:rsidR="00A33444">
        <w:t xml:space="preserve"> times</w:t>
      </w:r>
      <w:r w:rsidRPr="00954180">
        <w:t xml:space="preserve"> to</w:t>
      </w:r>
      <w:r w:rsidR="00A33444">
        <w:t xml:space="preserve"> 5 times normal </w:t>
      </w:r>
      <w:r w:rsidRPr="00954180">
        <w:t xml:space="preserve">ULN or </w:t>
      </w:r>
      <w:r w:rsidR="00A33444">
        <w:t xml:space="preserve">above </w:t>
      </w:r>
      <w:r w:rsidRPr="00954180">
        <w:t>5</w:t>
      </w:r>
      <w:r w:rsidR="00A33444">
        <w:t xml:space="preserve"> times normal ULN and from raised </w:t>
      </w:r>
      <w:r w:rsidRPr="00954180">
        <w:t xml:space="preserve">ULN </w:t>
      </w:r>
      <w:r w:rsidR="00A33444">
        <w:t>below</w:t>
      </w:r>
      <w:r w:rsidRPr="00954180">
        <w:t xml:space="preserve"> 3</w:t>
      </w:r>
      <w:r w:rsidR="00A33444">
        <w:t xml:space="preserve"> times normal </w:t>
      </w:r>
      <w:r w:rsidRPr="00954180">
        <w:t>ULN at baseline to</w:t>
      </w:r>
      <w:r w:rsidR="00A33444">
        <w:t xml:space="preserve"> more than </w:t>
      </w:r>
      <w:r w:rsidRPr="00954180">
        <w:t>5</w:t>
      </w:r>
      <w:r w:rsidR="00A33444">
        <w:t xml:space="preserve"> times normal </w:t>
      </w:r>
      <w:r w:rsidRPr="00954180">
        <w:t>ULN) was low in all</w:t>
      </w:r>
      <w:r>
        <w:t xml:space="preserve"> </w:t>
      </w:r>
      <w:r w:rsidRPr="00954180">
        <w:t>treatment arms</w:t>
      </w:r>
      <w:r w:rsidR="00A33444">
        <w:t xml:space="preserve">. </w:t>
      </w:r>
      <w:r w:rsidRPr="00954180">
        <w:t>Most of the ALT and AST elevations represented single or non-consecutive</w:t>
      </w:r>
      <w:r>
        <w:t xml:space="preserve"> </w:t>
      </w:r>
      <w:r w:rsidRPr="00954180">
        <w:t>occurrences</w:t>
      </w:r>
      <w:r w:rsidR="00A33444">
        <w:t xml:space="preserve">. </w:t>
      </w:r>
      <w:r w:rsidRPr="00954180">
        <w:t>None of the elevations in transaminases were associated with simultaneous elevations</w:t>
      </w:r>
      <w:r>
        <w:t xml:space="preserve"> </w:t>
      </w:r>
      <w:r w:rsidRPr="00954180">
        <w:t>in total bilirubin of &gt; 2 ULN</w:t>
      </w:r>
      <w:r>
        <w:t>.</w:t>
      </w:r>
    </w:p>
    <w:p w14:paraId="4463B2E2" w14:textId="77777777" w:rsidR="004A5ABB" w:rsidRDefault="004A5ABB" w:rsidP="00A33444">
      <w:pPr>
        <w:pStyle w:val="Heading4"/>
      </w:pPr>
      <w:bookmarkStart w:id="144" w:name="_Toc430268001"/>
      <w:r>
        <w:t>Kidney function</w:t>
      </w:r>
      <w:bookmarkEnd w:id="144"/>
    </w:p>
    <w:p w14:paraId="4463B2E3" w14:textId="77777777" w:rsidR="004A5ABB" w:rsidRDefault="00A33444" w:rsidP="004A5ABB">
      <w:r>
        <w:t>None of the studies discussed renal function.</w:t>
      </w:r>
    </w:p>
    <w:p w14:paraId="4463B2E4" w14:textId="77777777" w:rsidR="004A5ABB" w:rsidRDefault="004A5ABB" w:rsidP="00A33444">
      <w:pPr>
        <w:pStyle w:val="Heading4"/>
      </w:pPr>
      <w:bookmarkStart w:id="145" w:name="_Toc430268002"/>
      <w:r>
        <w:t>Haematology</w:t>
      </w:r>
      <w:bookmarkEnd w:id="145"/>
    </w:p>
    <w:p w14:paraId="4463B2E5" w14:textId="77777777" w:rsidR="004A5ABB" w:rsidRDefault="004A5ABB" w:rsidP="00A33444">
      <w:pPr>
        <w:pStyle w:val="Heading5"/>
      </w:pPr>
      <w:r w:rsidRPr="00A33444">
        <w:t>Pivotal</w:t>
      </w:r>
      <w:r>
        <w:t xml:space="preserve"> studies</w:t>
      </w:r>
    </w:p>
    <w:p w14:paraId="4463B2E6" w14:textId="77777777" w:rsidR="004A5ABB" w:rsidRDefault="00A33444" w:rsidP="004A5ABB">
      <w:r w:rsidRPr="00A33444">
        <w:t xml:space="preserve">Amongst patients in </w:t>
      </w:r>
      <w:r w:rsidR="004A5ABB" w:rsidRPr="00A33444">
        <w:t>Study WA22762</w:t>
      </w:r>
      <w:r>
        <w:t xml:space="preserve">, </w:t>
      </w:r>
      <w:r w:rsidR="004A5ABB" w:rsidRPr="00C93F10">
        <w:t xml:space="preserve">newly occurring Grade 3 or 4 neutropaenia </w:t>
      </w:r>
      <w:r w:rsidR="004A5ABB">
        <w:t xml:space="preserve">was experienced by </w:t>
      </w:r>
      <w:r w:rsidR="004A5ABB" w:rsidRPr="00C93F10">
        <w:t xml:space="preserve">a similar proportion </w:t>
      </w:r>
      <w:r w:rsidR="004A5ABB">
        <w:t>in</w:t>
      </w:r>
      <w:r>
        <w:t xml:space="preserve"> both</w:t>
      </w:r>
      <w:r w:rsidR="004A5ABB">
        <w:t xml:space="preserve"> the SC and IV arms (6.0% </w:t>
      </w:r>
      <w:r w:rsidR="002E6B16">
        <w:t>versus</w:t>
      </w:r>
      <w:r w:rsidR="004A5ABB">
        <w:t xml:space="preserve"> 6.7%), and by 3 (1.6%) in the IV</w:t>
      </w:r>
      <w:r>
        <w:t xml:space="preserve"> to </w:t>
      </w:r>
      <w:r w:rsidR="004A5ABB">
        <w:t>SC</w:t>
      </w:r>
      <w:r>
        <w:t xml:space="preserve"> switch arm. </w:t>
      </w:r>
      <w:r w:rsidR="004A5ABB">
        <w:t>There were no occurrences in the SC</w:t>
      </w:r>
      <w:r>
        <w:t xml:space="preserve"> to </w:t>
      </w:r>
      <w:r w:rsidR="004A5ABB">
        <w:t>IV</w:t>
      </w:r>
      <w:r>
        <w:t xml:space="preserve"> switch arm. </w:t>
      </w:r>
      <w:r w:rsidR="004A5ABB" w:rsidRPr="005E49A2">
        <w:t xml:space="preserve">No patient with Grade 3 or 4 neutropenia experienced a serious infection in the </w:t>
      </w:r>
      <w:r w:rsidR="004A5ABB">
        <w:t>SC or IV arm, and</w:t>
      </w:r>
      <w:r w:rsidR="004A5ABB" w:rsidRPr="005E49A2">
        <w:t xml:space="preserve"> </w:t>
      </w:r>
      <w:r w:rsidR="004A5ABB">
        <w:t>1</w:t>
      </w:r>
      <w:r w:rsidR="004A5ABB" w:rsidRPr="005E49A2">
        <w:t xml:space="preserve"> patient in the IV</w:t>
      </w:r>
      <w:r>
        <w:t xml:space="preserve"> to </w:t>
      </w:r>
      <w:r w:rsidR="004A5ABB" w:rsidRPr="005E49A2">
        <w:t>SC switch arm had a</w:t>
      </w:r>
      <w:r w:rsidR="004A5ABB">
        <w:t xml:space="preserve"> </w:t>
      </w:r>
      <w:r w:rsidR="004A5ABB" w:rsidRPr="005E49A2">
        <w:t>serious infection of laryngitis</w:t>
      </w:r>
      <w:r>
        <w:t>.</w:t>
      </w:r>
    </w:p>
    <w:p w14:paraId="4463B2E7" w14:textId="629131AF" w:rsidR="004A5ABB" w:rsidRDefault="004A5ABB" w:rsidP="004A5ABB">
      <w:r>
        <w:t>Newly occurring Grade</w:t>
      </w:r>
      <w:r w:rsidRPr="00C2436C">
        <w:t xml:space="preserve"> </w:t>
      </w:r>
      <w:r>
        <w:t xml:space="preserve">2, </w:t>
      </w:r>
      <w:r w:rsidRPr="00C2436C">
        <w:t>3</w:t>
      </w:r>
      <w:r>
        <w:t xml:space="preserve"> or</w:t>
      </w:r>
      <w:r w:rsidRPr="00C2436C">
        <w:t xml:space="preserve"> 4 </w:t>
      </w:r>
      <w:r>
        <w:t>thrombocytopaenia</w:t>
      </w:r>
      <w:r w:rsidRPr="00C2436C">
        <w:t xml:space="preserve"> </w:t>
      </w:r>
      <w:r>
        <w:t>was</w:t>
      </w:r>
      <w:r w:rsidRPr="00C2436C">
        <w:t xml:space="preserve"> rare, occurring in </w:t>
      </w:r>
      <w:r w:rsidR="004D4CF2">
        <w:t>≤</w:t>
      </w:r>
      <w:r w:rsidRPr="00C2436C">
        <w:t xml:space="preserve"> 0.5% of patients in </w:t>
      </w:r>
      <w:r>
        <w:t>the SC or IV treatment groups, with no occurrences in the IV</w:t>
      </w:r>
      <w:r w:rsidR="00A33444">
        <w:t xml:space="preserve"> to SC or SC to IV switch groups. </w:t>
      </w:r>
      <w:r w:rsidRPr="001522A2">
        <w:t>Thrombocytopenia was not associated with</w:t>
      </w:r>
      <w:r>
        <w:t xml:space="preserve"> </w:t>
      </w:r>
      <w:r w:rsidRPr="001522A2">
        <w:t>any serious blee</w:t>
      </w:r>
      <w:r>
        <w:t>ding events</w:t>
      </w:r>
      <w:r w:rsidRPr="001522A2">
        <w:t>.</w:t>
      </w:r>
    </w:p>
    <w:p w14:paraId="4463B2E8" w14:textId="4DA584DB" w:rsidR="004A5ABB" w:rsidRDefault="00A33444" w:rsidP="004A5ABB">
      <w:r w:rsidRPr="00A33444">
        <w:t>In Study NA25220</w:t>
      </w:r>
      <w:r>
        <w:rPr>
          <w:b/>
        </w:rPr>
        <w:t xml:space="preserve"> </w:t>
      </w:r>
      <w:r w:rsidR="004A5ABB">
        <w:t>newly occurring Grade 3 or 4 neutropaenia was reported by a small proportion of patients in each of the treatment arms</w:t>
      </w:r>
      <w:r>
        <w:t xml:space="preserve">: </w:t>
      </w:r>
      <w:r w:rsidR="004A5ABB">
        <w:t>8</w:t>
      </w:r>
      <w:r>
        <w:t xml:space="preserve"> patients</w:t>
      </w:r>
      <w:r w:rsidR="004A5ABB">
        <w:t xml:space="preserve"> </w:t>
      </w:r>
      <w:r w:rsidR="002E6B16">
        <w:t>(</w:t>
      </w:r>
      <w:r w:rsidR="004A5ABB">
        <w:t>4.7%</w:t>
      </w:r>
      <w:r w:rsidR="002E6B16">
        <w:t>)</w:t>
      </w:r>
      <w:r>
        <w:t xml:space="preserve"> in the </w:t>
      </w:r>
      <w:r w:rsidR="004A5ABB">
        <w:t>TCZ PFS</w:t>
      </w:r>
      <w:r>
        <w:t xml:space="preserve"> arm</w:t>
      </w:r>
      <w:r w:rsidR="004A5ABB">
        <w:t>, 9</w:t>
      </w:r>
      <w:r>
        <w:t xml:space="preserve"> patients</w:t>
      </w:r>
      <w:r w:rsidR="004A5ABB">
        <w:t xml:space="preserve"> </w:t>
      </w:r>
      <w:r w:rsidR="002E6B16">
        <w:t>(</w:t>
      </w:r>
      <w:r w:rsidR="004A5ABB">
        <w:t>5.4%</w:t>
      </w:r>
      <w:r w:rsidR="002E6B16">
        <w:t>)</w:t>
      </w:r>
      <w:r w:rsidR="004A5ABB">
        <w:t xml:space="preserve"> </w:t>
      </w:r>
      <w:r>
        <w:t xml:space="preserve">with </w:t>
      </w:r>
      <w:r w:rsidR="004A5ABB" w:rsidRPr="009B07D2">
        <w:t>TCZ PFS</w:t>
      </w:r>
      <w:r>
        <w:t xml:space="preserve"> then</w:t>
      </w:r>
      <w:r w:rsidR="004A5ABB">
        <w:t xml:space="preserve"> AI</w:t>
      </w:r>
      <w:r>
        <w:t xml:space="preserve"> </w:t>
      </w:r>
      <w:r w:rsidR="005F7D43">
        <w:t xml:space="preserve">switch </w:t>
      </w:r>
      <w:r>
        <w:t>arm</w:t>
      </w:r>
      <w:r w:rsidR="004A5ABB">
        <w:t xml:space="preserve">, 2 </w:t>
      </w:r>
      <w:r>
        <w:t xml:space="preserve">patients </w:t>
      </w:r>
      <w:r w:rsidR="002E6B16">
        <w:t>(</w:t>
      </w:r>
      <w:r w:rsidR="004A5ABB">
        <w:t>3.3%</w:t>
      </w:r>
      <w:r w:rsidR="002E6B16">
        <w:t>)</w:t>
      </w:r>
      <w:r w:rsidR="004A5ABB">
        <w:t xml:space="preserve"> </w:t>
      </w:r>
      <w:r>
        <w:t>in placebo then</w:t>
      </w:r>
      <w:r w:rsidR="004A5ABB">
        <w:t xml:space="preserve"> TCZ PFS</w:t>
      </w:r>
      <w:r>
        <w:t xml:space="preserve"> </w:t>
      </w:r>
      <w:r w:rsidR="005F7D43">
        <w:t xml:space="preserve">switch </w:t>
      </w:r>
      <w:r>
        <w:t>arm</w:t>
      </w:r>
      <w:r w:rsidR="004A5ABB">
        <w:t xml:space="preserve">, and 5 </w:t>
      </w:r>
      <w:r>
        <w:t xml:space="preserve">patients </w:t>
      </w:r>
      <w:r w:rsidR="002E6B16">
        <w:t>(</w:t>
      </w:r>
      <w:r w:rsidR="004A5ABB">
        <w:t>8.5%</w:t>
      </w:r>
      <w:r w:rsidR="002E6B16">
        <w:t>)</w:t>
      </w:r>
      <w:r w:rsidR="004A5ABB">
        <w:t xml:space="preserve"> </w:t>
      </w:r>
      <w:r>
        <w:t>in the placebo then</w:t>
      </w:r>
      <w:r w:rsidR="004A5ABB">
        <w:t xml:space="preserve"> TCZ AI</w:t>
      </w:r>
      <w:r>
        <w:t xml:space="preserve"> arm).</w:t>
      </w:r>
      <w:r w:rsidR="004A5ABB">
        <w:t xml:space="preserve"> </w:t>
      </w:r>
      <w:r w:rsidR="004A5ABB" w:rsidRPr="009B07D2">
        <w:t>Most occurred</w:t>
      </w:r>
      <w:r w:rsidR="004A5ABB">
        <w:t xml:space="preserve"> </w:t>
      </w:r>
      <w:r w:rsidR="008E364D">
        <w:t>at single or non-</w:t>
      </w:r>
      <w:r w:rsidR="004A5ABB" w:rsidRPr="009B07D2">
        <w:t>consecutive visits.</w:t>
      </w:r>
      <w:r>
        <w:t xml:space="preserve"> </w:t>
      </w:r>
      <w:r w:rsidR="004A5ABB" w:rsidRPr="009B07D2">
        <w:t>None of the patients with neutropenia developed a serious infection</w:t>
      </w:r>
      <w:r w:rsidR="004A5ABB">
        <w:t>.</w:t>
      </w:r>
    </w:p>
    <w:p w14:paraId="4463B2E9" w14:textId="77777777" w:rsidR="004A5ABB" w:rsidRDefault="004A5ABB" w:rsidP="004A5ABB">
      <w:r w:rsidRPr="00954180">
        <w:lastRenderedPageBreak/>
        <w:t xml:space="preserve">Newly occurring Grade </w:t>
      </w:r>
      <w:r>
        <w:t xml:space="preserve">2 or </w:t>
      </w:r>
      <w:r w:rsidRPr="00954180">
        <w:t xml:space="preserve">3 thrombocytopaenia was </w:t>
      </w:r>
      <w:r w:rsidR="00563075">
        <w:t>uncommon</w:t>
      </w:r>
      <w:r w:rsidRPr="00954180">
        <w:t xml:space="preserve"> occurring in </w:t>
      </w:r>
      <w:r>
        <w:t>1</w:t>
      </w:r>
      <w:r w:rsidR="00563075">
        <w:t xml:space="preserve"> patient</w:t>
      </w:r>
      <w:r>
        <w:t xml:space="preserve"> (0.6%) </w:t>
      </w:r>
      <w:r w:rsidRPr="00954180">
        <w:t xml:space="preserve">in the </w:t>
      </w:r>
      <w:r>
        <w:t>TCZ PFS treatment group and 2 patients</w:t>
      </w:r>
      <w:r w:rsidR="00563075">
        <w:t xml:space="preserve"> (1.2%) in the TCZ PFS then AI </w:t>
      </w:r>
      <w:r w:rsidR="005F7D43">
        <w:t xml:space="preserve">switch </w:t>
      </w:r>
      <w:r w:rsidR="00563075">
        <w:t xml:space="preserve">treatment group. </w:t>
      </w:r>
      <w:r>
        <w:t>There were</w:t>
      </w:r>
      <w:r w:rsidRPr="00954180">
        <w:t xml:space="preserve"> no occurrences in the </w:t>
      </w:r>
      <w:r>
        <w:t>prior placebo</w:t>
      </w:r>
      <w:r w:rsidR="00563075">
        <w:t xml:space="preserve"> groups. </w:t>
      </w:r>
      <w:r w:rsidRPr="00954180">
        <w:t>Thrombocytopenia was not associated with any serious bleeding events.</w:t>
      </w:r>
    </w:p>
    <w:p w14:paraId="4463B2EA" w14:textId="77777777" w:rsidR="004A5ABB" w:rsidRPr="00147161" w:rsidRDefault="004A5ABB" w:rsidP="00563075">
      <w:pPr>
        <w:pStyle w:val="Heading4"/>
      </w:pPr>
      <w:bookmarkStart w:id="146" w:name="_Toc430268003"/>
      <w:r w:rsidRPr="00147161">
        <w:t>Lipids</w:t>
      </w:r>
      <w:bookmarkEnd w:id="146"/>
    </w:p>
    <w:p w14:paraId="4463B2EB" w14:textId="77777777" w:rsidR="004A5ABB" w:rsidRPr="00563075" w:rsidRDefault="004A5ABB" w:rsidP="00563075">
      <w:pPr>
        <w:pStyle w:val="Heading5"/>
      </w:pPr>
      <w:r w:rsidRPr="00563075">
        <w:t>Pivotal studies</w:t>
      </w:r>
    </w:p>
    <w:p w14:paraId="4463B2EC" w14:textId="03E419A5" w:rsidR="004A5ABB" w:rsidRDefault="00563075" w:rsidP="004A5ABB">
      <w:r w:rsidRPr="00563075">
        <w:t xml:space="preserve">In </w:t>
      </w:r>
      <w:r w:rsidR="004A5ABB" w:rsidRPr="00563075">
        <w:t>Study WA22762</w:t>
      </w:r>
      <w:r>
        <w:rPr>
          <w:b/>
        </w:rPr>
        <w:t xml:space="preserve"> </w:t>
      </w:r>
      <w:r w:rsidR="004A5ABB" w:rsidRPr="00147161">
        <w:t xml:space="preserve">an increase in total cholesterol from </w:t>
      </w:r>
      <w:r w:rsidR="004A5ABB">
        <w:t>&lt;</w:t>
      </w:r>
      <w:r>
        <w:t xml:space="preserve"> </w:t>
      </w:r>
      <w:r w:rsidR="004A5ABB" w:rsidRPr="00147161">
        <w:t>200 mg/dL at</w:t>
      </w:r>
      <w:r w:rsidR="004A5ABB">
        <w:t xml:space="preserve"> </w:t>
      </w:r>
      <w:r w:rsidR="004A5ABB" w:rsidRPr="00147161">
        <w:t xml:space="preserve">baseline to </w:t>
      </w:r>
      <w:r w:rsidR="008E28D8">
        <w:t>≥</w:t>
      </w:r>
      <w:r>
        <w:t xml:space="preserve"> </w:t>
      </w:r>
      <w:r w:rsidR="004A5ABB" w:rsidRPr="00147161">
        <w:t xml:space="preserve">200 mg/dL at the last observation was more common in the </w:t>
      </w:r>
      <w:r w:rsidR="004A5ABB">
        <w:t xml:space="preserve">switch arms </w:t>
      </w:r>
      <w:r>
        <w:t xml:space="preserve">(IV to </w:t>
      </w:r>
      <w:r w:rsidR="004A5ABB" w:rsidRPr="000F332A">
        <w:t xml:space="preserve">SC </w:t>
      </w:r>
      <w:r>
        <w:t>(</w:t>
      </w:r>
      <w:r w:rsidR="004A5ABB">
        <w:t>27.4%</w:t>
      </w:r>
      <w:r>
        <w:t xml:space="preserve">) and SC to </w:t>
      </w:r>
      <w:r w:rsidR="004A5ABB" w:rsidRPr="000F332A">
        <w:t xml:space="preserve">IV </w:t>
      </w:r>
      <w:r>
        <w:t>(</w:t>
      </w:r>
      <w:r w:rsidR="004A5ABB" w:rsidRPr="000F332A">
        <w:t>34.9%</w:t>
      </w:r>
      <w:r w:rsidR="004A5ABB">
        <w:t>)</w:t>
      </w:r>
      <w:r>
        <w:t>)</w:t>
      </w:r>
      <w:r w:rsidR="004A5ABB">
        <w:t xml:space="preserve"> than in the continuous treatment arms (</w:t>
      </w:r>
      <w:r w:rsidR="004A5ABB" w:rsidRPr="00147161">
        <w:t xml:space="preserve">SC </w:t>
      </w:r>
      <w:r>
        <w:t>26.1% and</w:t>
      </w:r>
      <w:r w:rsidR="004A5ABB">
        <w:t xml:space="preserve"> </w:t>
      </w:r>
      <w:r w:rsidR="004A5ABB" w:rsidRPr="00147161">
        <w:t>IV 21.0%).</w:t>
      </w:r>
      <w:r>
        <w:t xml:space="preserve"> The SC to </w:t>
      </w:r>
      <w:r w:rsidR="004A5ABB" w:rsidRPr="000F332A">
        <w:t>IV result should be interpreted with caution as it is based on 48 patients.</w:t>
      </w:r>
      <w:r>
        <w:t xml:space="preserve"> </w:t>
      </w:r>
      <w:r w:rsidR="004A5ABB">
        <w:t>Decreases in HDL from ≥</w:t>
      </w:r>
      <w:r>
        <w:t> </w:t>
      </w:r>
      <w:r w:rsidR="004A5ABB">
        <w:t xml:space="preserve">40 mg/dL at </w:t>
      </w:r>
      <w:r w:rsidR="004A5ABB" w:rsidRPr="002010D1">
        <w:t>baseline to</w:t>
      </w:r>
      <w:r w:rsidR="004A5ABB">
        <w:t xml:space="preserve"> &lt;</w:t>
      </w:r>
      <w:r>
        <w:t> </w:t>
      </w:r>
      <w:r w:rsidR="004A5ABB" w:rsidRPr="002010D1">
        <w:t>40 mg/dL at the last observation was</w:t>
      </w:r>
      <w:r w:rsidR="004A5ABB">
        <w:t xml:space="preserve"> reported in a similar proportion of SC (3.2%) and IV (3.9%) patients.</w:t>
      </w:r>
    </w:p>
    <w:p w14:paraId="4463B2ED" w14:textId="2C5CAE3B" w:rsidR="004A5ABB" w:rsidRDefault="00563075" w:rsidP="00563075">
      <w:r w:rsidRPr="00563075">
        <w:t>Newly</w:t>
      </w:r>
      <w:r w:rsidR="004A5ABB" w:rsidRPr="009C7279">
        <w:t xml:space="preserve"> occurring post baseline shifts</w:t>
      </w:r>
      <w:r>
        <w:t xml:space="preserve"> in </w:t>
      </w:r>
      <w:r w:rsidRPr="00563075">
        <w:t>Study NA25220</w:t>
      </w:r>
      <w:r w:rsidR="004A5ABB" w:rsidRPr="00563075">
        <w:t xml:space="preserve"> </w:t>
      </w:r>
      <w:r w:rsidR="004A5ABB" w:rsidRPr="009C7279">
        <w:t xml:space="preserve">from </w:t>
      </w:r>
      <w:r w:rsidR="004A5ABB" w:rsidRPr="009C7279">
        <w:rPr>
          <w:rFonts w:hint="eastAsia"/>
        </w:rPr>
        <w:t>≤</w:t>
      </w:r>
      <w:r>
        <w:t> 200 mg/dL to worsened</w:t>
      </w:r>
      <w:r w:rsidR="004A5ABB">
        <w:t xml:space="preserve"> </w:t>
      </w:r>
      <w:r w:rsidR="004A5ABB" w:rsidRPr="009C7279">
        <w:t xml:space="preserve">values </w:t>
      </w:r>
      <w:r w:rsidR="00201D0E">
        <w:t>≥</w:t>
      </w:r>
      <w:r>
        <w:t> </w:t>
      </w:r>
      <w:r w:rsidR="004A5ABB" w:rsidRPr="009C7279">
        <w:t>240 mg/dL were observed for 10.0%, 6.0%, 1.7%, and 8.5% of patients</w:t>
      </w:r>
      <w:r w:rsidR="004A5ABB">
        <w:t xml:space="preserve"> </w:t>
      </w:r>
      <w:r>
        <w:t>respectively</w:t>
      </w:r>
      <w:r w:rsidR="004A5ABB" w:rsidRPr="009C7279">
        <w:t xml:space="preserve"> in the TCZ PFS, TCZ PFS</w:t>
      </w:r>
      <w:r w:rsidR="004A5ABB">
        <w:t xml:space="preserve"> </w:t>
      </w:r>
      <w:r>
        <w:t xml:space="preserve">to AI, placebo to </w:t>
      </w:r>
      <w:r w:rsidR="004A5ABB" w:rsidRPr="009C7279">
        <w:t>TCZ PFS, and placebo</w:t>
      </w:r>
      <w:r>
        <w:t xml:space="preserve"> to </w:t>
      </w:r>
      <w:r w:rsidR="004A5ABB">
        <w:t>T</w:t>
      </w:r>
      <w:r w:rsidR="004A5ABB" w:rsidRPr="009C7279">
        <w:t>C</w:t>
      </w:r>
      <w:r w:rsidR="004A5ABB">
        <w:t xml:space="preserve">Z </w:t>
      </w:r>
      <w:r w:rsidR="004A5ABB" w:rsidRPr="009C7279">
        <w:t>AI</w:t>
      </w:r>
      <w:r w:rsidR="005F7D43">
        <w:t xml:space="preserve"> switch</w:t>
      </w:r>
      <w:r w:rsidR="004A5ABB" w:rsidRPr="009C7279">
        <w:t xml:space="preserve"> arms.</w:t>
      </w:r>
      <w:r>
        <w:t xml:space="preserve"> </w:t>
      </w:r>
      <w:r w:rsidR="004A5ABB" w:rsidRPr="009C7279">
        <w:t>Decreases in HDL from ≥40 mg/dL at baseline to &lt;</w:t>
      </w:r>
      <w:r>
        <w:t> </w:t>
      </w:r>
      <w:r w:rsidR="004A5ABB" w:rsidRPr="009C7279">
        <w:t>40 mg/dL at the last observation was reported</w:t>
      </w:r>
      <w:r w:rsidR="004A5ABB">
        <w:t xml:space="preserve"> </w:t>
      </w:r>
      <w:r w:rsidR="004A5ABB" w:rsidRPr="00F15013">
        <w:t>for 1.</w:t>
      </w:r>
      <w:r w:rsidR="004A5ABB">
        <w:t>8</w:t>
      </w:r>
      <w:r w:rsidR="004A5ABB" w:rsidRPr="00F15013">
        <w:t xml:space="preserve">%, </w:t>
      </w:r>
      <w:r w:rsidR="004A5ABB">
        <w:t>2.4</w:t>
      </w:r>
      <w:r w:rsidR="004A5ABB" w:rsidRPr="00F15013">
        <w:t xml:space="preserve">%, </w:t>
      </w:r>
      <w:r w:rsidR="004A5ABB">
        <w:t>3.3</w:t>
      </w:r>
      <w:r w:rsidR="004A5ABB" w:rsidRPr="00F15013">
        <w:t>%, and 5</w:t>
      </w:r>
      <w:r w:rsidR="004A5ABB">
        <w:t>.1</w:t>
      </w:r>
      <w:r w:rsidR="004A5ABB" w:rsidRPr="00F15013">
        <w:t>% of p</w:t>
      </w:r>
      <w:r>
        <w:t xml:space="preserve">atients in the TCZ PFS, TCZ PFS to AI, placebo to TCZ PFS, and placebo to </w:t>
      </w:r>
      <w:r w:rsidR="004A5ABB" w:rsidRPr="00F15013">
        <w:t xml:space="preserve">TCZ AI </w:t>
      </w:r>
      <w:r w:rsidR="005F7D43">
        <w:t xml:space="preserve">switch </w:t>
      </w:r>
      <w:r w:rsidR="004A5ABB" w:rsidRPr="00F15013">
        <w:t>arms</w:t>
      </w:r>
      <w:r>
        <w:t xml:space="preserve"> </w:t>
      </w:r>
      <w:r w:rsidR="004A5ABB" w:rsidRPr="00F15013">
        <w:t>respectively.</w:t>
      </w:r>
    </w:p>
    <w:p w14:paraId="4463B2EE" w14:textId="3ACD18E2" w:rsidR="004A5ABB" w:rsidRDefault="004A5ABB" w:rsidP="00295B8E">
      <w:pPr>
        <w:pStyle w:val="Heading3"/>
      </w:pPr>
      <w:bookmarkStart w:id="147" w:name="_Toc430268004"/>
      <w:bookmarkStart w:id="148" w:name="_Toc464136277"/>
      <w:r>
        <w:t xml:space="preserve">Other </w:t>
      </w:r>
      <w:r w:rsidR="00201D0E">
        <w:t>r</w:t>
      </w:r>
      <w:r>
        <w:t>eports</w:t>
      </w:r>
      <w:bookmarkEnd w:id="147"/>
      <w:bookmarkEnd w:id="148"/>
    </w:p>
    <w:p w14:paraId="4463B2EF" w14:textId="77777777" w:rsidR="004A5ABB" w:rsidRPr="007A4FB6" w:rsidRDefault="004A5ABB" w:rsidP="00295B8E">
      <w:pPr>
        <w:pStyle w:val="Heading4"/>
      </w:pPr>
      <w:bookmarkStart w:id="149" w:name="_Ref424826713"/>
      <w:bookmarkStart w:id="150" w:name="_Toc430268005"/>
      <w:r w:rsidRPr="007A4FB6">
        <w:t>Drug Safety Report</w:t>
      </w:r>
      <w:r w:rsidR="00563075">
        <w:t>:</w:t>
      </w:r>
      <w:r w:rsidRPr="007A4FB6">
        <w:t xml:space="preserve"> Character</w:t>
      </w:r>
      <w:r>
        <w:t>is</w:t>
      </w:r>
      <w:r w:rsidRPr="007A4FB6">
        <w:t xml:space="preserve">ation of </w:t>
      </w:r>
      <w:r w:rsidR="00563075">
        <w:t>a</w:t>
      </w:r>
      <w:r w:rsidRPr="007A4FB6">
        <w:t xml:space="preserve">naphylaxis </w:t>
      </w:r>
      <w:r w:rsidR="00563075">
        <w:t>e</w:t>
      </w:r>
      <w:r w:rsidRPr="007A4FB6">
        <w:t xml:space="preserve">vents in </w:t>
      </w:r>
      <w:r w:rsidR="00563075">
        <w:t>t</w:t>
      </w:r>
      <w:r w:rsidRPr="007A4FB6">
        <w:t xml:space="preserve">ocilizumab </w:t>
      </w:r>
      <w:r w:rsidR="00563075">
        <w:t>p</w:t>
      </w:r>
      <w:r w:rsidRPr="007A4FB6">
        <w:t>atients</w:t>
      </w:r>
      <w:bookmarkEnd w:id="149"/>
      <w:bookmarkEnd w:id="150"/>
    </w:p>
    <w:p w14:paraId="4463B2F0" w14:textId="2259D953" w:rsidR="004A5ABB" w:rsidRPr="00C26B44" w:rsidRDefault="004A5ABB" w:rsidP="004A5ABB">
      <w:pPr>
        <w:autoSpaceDE w:val="0"/>
        <w:autoSpaceDN w:val="0"/>
        <w:adjustRightInd w:val="0"/>
      </w:pPr>
      <w:r w:rsidRPr="007A4FB6">
        <w:t xml:space="preserve">The Roche safety database </w:t>
      </w:r>
      <w:r w:rsidR="00C26B44">
        <w:t>ARISg</w:t>
      </w:r>
      <w:r w:rsidR="00C26B44">
        <w:rPr>
          <w:rStyle w:val="FootnoteReference"/>
        </w:rPr>
        <w:footnoteReference w:id="4"/>
      </w:r>
      <w:r w:rsidRPr="007A4FB6">
        <w:t xml:space="preserve"> was searched for all cases within the anaphylactic reaction</w:t>
      </w:r>
      <w:r w:rsidR="00C26B44">
        <w:t xml:space="preserve"> SMQ</w:t>
      </w:r>
      <w:r w:rsidR="00A8735E">
        <w:rPr>
          <w:rStyle w:val="FootnoteReference"/>
        </w:rPr>
        <w:footnoteReference w:id="5"/>
      </w:r>
      <w:r w:rsidR="00295B8E">
        <w:rPr>
          <w:vertAlign w:val="superscript"/>
        </w:rPr>
        <w:t>,</w:t>
      </w:r>
      <w:r w:rsidR="00A8735E">
        <w:rPr>
          <w:rStyle w:val="FootnoteReference"/>
        </w:rPr>
        <w:footnoteReference w:id="6"/>
      </w:r>
      <w:r w:rsidRPr="007A4FB6">
        <w:t xml:space="preserve"> </w:t>
      </w:r>
      <w:r w:rsidR="00C26B44">
        <w:t xml:space="preserve">using the </w:t>
      </w:r>
      <w:r w:rsidRPr="007A4FB6">
        <w:t xml:space="preserve">preferred term (PT) 'hypersensitivity' with a </w:t>
      </w:r>
      <w:r w:rsidR="00C26B44">
        <w:t>cut-off date of 10 April 2013.</w:t>
      </w:r>
      <w:r w:rsidR="00C26B44" w:rsidRPr="007A4FB6">
        <w:rPr>
          <w:rStyle w:val="FootnoteReference"/>
        </w:rPr>
        <w:footnoteReference w:id="7"/>
      </w:r>
      <w:r w:rsidR="00C26B44">
        <w:t xml:space="preserve"> </w:t>
      </w:r>
      <w:r w:rsidRPr="007A4FB6">
        <w:t xml:space="preserve">Preclinical data, company sponsored clinical trials and published </w:t>
      </w:r>
      <w:r w:rsidR="00C26B44">
        <w:t xml:space="preserve">literature were also searched. </w:t>
      </w:r>
      <w:r w:rsidRPr="007A4FB6">
        <w:t xml:space="preserve">All cases identified from the ARISg search were medically reviewed internally by the Marketing Authorisation Holder (MAH) and were also medically reviewed by an external panel of clinical experts </w:t>
      </w:r>
      <w:r>
        <w:t>(adjudicators) in anaphylaxis.</w:t>
      </w:r>
    </w:p>
    <w:p w14:paraId="4463B2F1" w14:textId="40AB62D9" w:rsidR="004A5ABB" w:rsidRPr="00C26B44" w:rsidRDefault="004A5ABB" w:rsidP="00C26B44">
      <w:pPr>
        <w:pStyle w:val="Heading4"/>
      </w:pPr>
      <w:bookmarkStart w:id="151" w:name="_Toc430268006"/>
      <w:r w:rsidRPr="00C26B44">
        <w:t>Preclinical / T</w:t>
      </w:r>
      <w:r w:rsidR="00295B8E">
        <w:t>oxicological e</w:t>
      </w:r>
      <w:r w:rsidRPr="00C26B44">
        <w:t>vidence</w:t>
      </w:r>
      <w:bookmarkEnd w:id="151"/>
    </w:p>
    <w:p w14:paraId="4463B2F2" w14:textId="63CBA390" w:rsidR="004A5ABB" w:rsidRPr="007A4FB6" w:rsidRDefault="004A5ABB" w:rsidP="004A5ABB">
      <w:pPr>
        <w:autoSpaceDE w:val="0"/>
        <w:autoSpaceDN w:val="0"/>
        <w:adjustRightInd w:val="0"/>
      </w:pPr>
      <w:r w:rsidRPr="007A4FB6">
        <w:t xml:space="preserve">No evidence was found for a </w:t>
      </w:r>
      <w:r>
        <w:t>major</w:t>
      </w:r>
      <w:r w:rsidRPr="007A4FB6">
        <w:t xml:space="preserve"> risk of cytokine release syndrome (which has similar clinical manifestations to </w:t>
      </w:r>
      <w:r w:rsidR="00295B8E">
        <w:t>anaphylaxis) in non</w:t>
      </w:r>
      <w:r w:rsidRPr="007A4FB6">
        <w:t>clinical animal</w:t>
      </w:r>
      <w:r>
        <w:t xml:space="preserve"> </w:t>
      </w:r>
      <w:r w:rsidRPr="007A4FB6">
        <w:t xml:space="preserve">models </w:t>
      </w:r>
      <w:r w:rsidR="00A8735E">
        <w:t xml:space="preserve">(that is, in monkeys) </w:t>
      </w:r>
      <w:r w:rsidRPr="0001676F">
        <w:t>after repeated</w:t>
      </w:r>
      <w:r>
        <w:t xml:space="preserve"> </w:t>
      </w:r>
      <w:r w:rsidRPr="0001676F">
        <w:t xml:space="preserve">subcutaneous and intravenous injections of tocilizumab for a period of 6 months </w:t>
      </w:r>
      <w:r w:rsidRPr="007A4FB6">
        <w:t>or in vitro models</w:t>
      </w:r>
      <w:r w:rsidR="00C26B44">
        <w:t xml:space="preserve"> using human whole blood cells.</w:t>
      </w:r>
    </w:p>
    <w:p w14:paraId="4463B2F3" w14:textId="77777777" w:rsidR="004A5ABB" w:rsidRPr="003B2B34" w:rsidRDefault="004A5ABB" w:rsidP="00C26B44">
      <w:pPr>
        <w:pStyle w:val="Heading4"/>
      </w:pPr>
      <w:bookmarkStart w:id="152" w:name="_Toc430268007"/>
      <w:r w:rsidRPr="003B2B34">
        <w:t xml:space="preserve">Company </w:t>
      </w:r>
      <w:r w:rsidR="00A8735E">
        <w:t>c</w:t>
      </w:r>
      <w:r w:rsidRPr="003B2B34">
        <w:t xml:space="preserve">linical </w:t>
      </w:r>
      <w:r w:rsidR="002E6B16">
        <w:t>(</w:t>
      </w:r>
      <w:r w:rsidR="00A8735E">
        <w:t>t</w:t>
      </w:r>
      <w:r>
        <w:t>rial</w:t>
      </w:r>
      <w:r w:rsidR="002E6B16">
        <w:t>)</w:t>
      </w:r>
      <w:r>
        <w:t xml:space="preserve"> </w:t>
      </w:r>
      <w:r w:rsidR="00A8735E">
        <w:t>d</w:t>
      </w:r>
      <w:r w:rsidRPr="003B2B34">
        <w:t xml:space="preserve">atabase </w:t>
      </w:r>
      <w:r w:rsidR="00A8735E">
        <w:t>r</w:t>
      </w:r>
      <w:r w:rsidRPr="003B2B34">
        <w:t>esults</w:t>
      </w:r>
      <w:bookmarkEnd w:id="152"/>
    </w:p>
    <w:p w14:paraId="4463B2F4" w14:textId="77777777" w:rsidR="004A5ABB" w:rsidRDefault="004A5ABB" w:rsidP="004A5ABB">
      <w:pPr>
        <w:autoSpaceDE w:val="0"/>
        <w:autoSpaceDN w:val="0"/>
        <w:adjustRightInd w:val="0"/>
      </w:pPr>
      <w:r w:rsidRPr="00C26B44">
        <w:rPr>
          <w:b/>
        </w:rPr>
        <w:t>TCZ subcutaneous formulation</w:t>
      </w:r>
      <w:r>
        <w:t xml:space="preserve">: </w:t>
      </w:r>
      <w:r w:rsidRPr="009A51C4">
        <w:t>No cases of anaphylaxis have been reported in the ongoing clinical trial program to date.</w:t>
      </w:r>
    </w:p>
    <w:p w14:paraId="4463B2F5" w14:textId="3A8A576A" w:rsidR="004A5ABB" w:rsidRDefault="004A5ABB" w:rsidP="004A5ABB">
      <w:pPr>
        <w:autoSpaceDE w:val="0"/>
        <w:autoSpaceDN w:val="0"/>
        <w:adjustRightInd w:val="0"/>
      </w:pPr>
      <w:r w:rsidRPr="00C26B44">
        <w:rPr>
          <w:b/>
        </w:rPr>
        <w:t>TCZ intravenous formulation</w:t>
      </w:r>
      <w:r w:rsidR="00C26B44">
        <w:t xml:space="preserve">: </w:t>
      </w:r>
      <w:r>
        <w:t xml:space="preserve">Anaphylactic reactions reported from </w:t>
      </w:r>
      <w:r w:rsidR="00C26B44">
        <w:t>s</w:t>
      </w:r>
      <w:r>
        <w:t>ponsor studies are summarised in</w:t>
      </w:r>
      <w:r w:rsidR="00B07046">
        <w:t xml:space="preserve"> Table 12 </w:t>
      </w:r>
      <w:r w:rsidR="00F76384">
        <w:t xml:space="preserve">(below). </w:t>
      </w:r>
      <w:r>
        <w:t xml:space="preserve">The overall incidence was 0.298%, with the lowest incidence in </w:t>
      </w:r>
      <w:r w:rsidR="00F76384">
        <w:t xml:space="preserve">the adult RA studies (0.198%). </w:t>
      </w:r>
      <w:r>
        <w:t xml:space="preserve">The high rate in the AS studies (1.408%) was the result of a </w:t>
      </w:r>
      <w:r>
        <w:lastRenderedPageBreak/>
        <w:t xml:space="preserve">cluster of </w:t>
      </w:r>
      <w:r w:rsidR="00F76384">
        <w:t>5 cases reported from Bulgaria.</w:t>
      </w:r>
      <w:r>
        <w:t xml:space="preserve"> All cases in all indications fully resolved with treatment.</w:t>
      </w:r>
    </w:p>
    <w:p w14:paraId="4463B2F6" w14:textId="77777777" w:rsidR="00C26B44" w:rsidRDefault="00C26B44" w:rsidP="00C26B44">
      <w:pPr>
        <w:pStyle w:val="Tabletitle"/>
      </w:pPr>
      <w:bookmarkStart w:id="153" w:name="_Ref423507013"/>
      <w:bookmarkStart w:id="154" w:name="_Toc430268057"/>
      <w:r>
        <w:t xml:space="preserve">Table </w:t>
      </w:r>
      <w:bookmarkEnd w:id="153"/>
      <w:r>
        <w:t xml:space="preserve">12 </w:t>
      </w:r>
      <w:r w:rsidRPr="002E7D0C">
        <w:t>Incidence Proportion of Anaphylactic Reactions Associated with</w:t>
      </w:r>
      <w:r>
        <w:t xml:space="preserve"> TCZ</w:t>
      </w:r>
      <w:r w:rsidRPr="002E7D0C">
        <w:t xml:space="preserve"> following IV Infusion in Company Clinical </w:t>
      </w:r>
      <w:r>
        <w:t xml:space="preserve">Trial </w:t>
      </w:r>
      <w:r w:rsidRPr="002E7D0C">
        <w:t>Database</w:t>
      </w:r>
      <w:bookmarkEnd w:id="154"/>
    </w:p>
    <w:p w14:paraId="4463B2F7" w14:textId="77777777" w:rsidR="00A8735E" w:rsidRDefault="00C26B44" w:rsidP="00A8735E">
      <w:r>
        <w:rPr>
          <w:rFonts w:eastAsia="Times New Roman"/>
          <w:noProof/>
          <w:kern w:val="16"/>
          <w:szCs w:val="24"/>
          <w:lang w:eastAsia="en-AU"/>
        </w:rPr>
        <w:drawing>
          <wp:inline distT="0" distB="0" distL="0" distR="0" wp14:anchorId="4463B3E8" wp14:editId="4287EFFA">
            <wp:extent cx="4154442" cy="1755788"/>
            <wp:effectExtent l="0" t="0" r="0" b="0"/>
            <wp:docPr id="16" name="Picture 16" descr="Table 12 Incidence Proportion of Anaphylactic Reactions Associated with TCZ following IV Infusion in Company Clinical Trial Database" title="Table 12 Incidence Proportion of Anaphylactic Reactions Associated with TCZ following IV Infusion in Company Clinical Trial 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55591" cy="1756274"/>
                    </a:xfrm>
                    <a:prstGeom prst="rect">
                      <a:avLst/>
                    </a:prstGeom>
                    <a:noFill/>
                    <a:ln>
                      <a:noFill/>
                    </a:ln>
                  </pic:spPr>
                </pic:pic>
              </a:graphicData>
            </a:graphic>
          </wp:inline>
        </w:drawing>
      </w:r>
      <w:bookmarkStart w:id="155" w:name="_Toc241374319"/>
      <w:bookmarkStart w:id="156" w:name="_Ref271044764"/>
      <w:bookmarkStart w:id="157" w:name="_Toc272414663"/>
      <w:bookmarkStart w:id="158" w:name="_Toc290846301"/>
      <w:bookmarkStart w:id="159" w:name="_Toc367010590"/>
    </w:p>
    <w:p w14:paraId="4463B2F8" w14:textId="77777777" w:rsidR="00A8735E" w:rsidRDefault="00A8735E" w:rsidP="00A8735E">
      <w:pPr>
        <w:pStyle w:val="Heading4"/>
      </w:pPr>
      <w:r>
        <w:t>Company safety database (ARISg)</w:t>
      </w:r>
    </w:p>
    <w:p w14:paraId="4463B2F9" w14:textId="77777777" w:rsidR="008632C3" w:rsidRDefault="008632C3" w:rsidP="008632C3">
      <w:pPr>
        <w:autoSpaceDE w:val="0"/>
        <w:autoSpaceDN w:val="0"/>
        <w:adjustRightInd w:val="0"/>
      </w:pPr>
      <w:r>
        <w:t>ARISg</w:t>
      </w:r>
      <w:r>
        <w:rPr>
          <w:rStyle w:val="FootnoteReference"/>
        </w:rPr>
        <w:footnoteReference w:id="8"/>
      </w:r>
      <w:r>
        <w:t xml:space="preserve"> contains a</w:t>
      </w:r>
      <w:r w:rsidRPr="003B2B34">
        <w:t>ll SAEs</w:t>
      </w:r>
      <w:r>
        <w:t>,</w:t>
      </w:r>
      <w:r w:rsidRPr="003B2B34">
        <w:t xml:space="preserve"> all </w:t>
      </w:r>
      <w:r>
        <w:t>AEs</w:t>
      </w:r>
      <w:r w:rsidRPr="003B2B34">
        <w:t xml:space="preserve"> of special interest (including</w:t>
      </w:r>
      <w:r>
        <w:t xml:space="preserve"> non </w:t>
      </w:r>
      <w:r w:rsidRPr="003B2B34">
        <w:t>serious events) from clinical trials of TCZ (irrespective of reporter causality</w:t>
      </w:r>
      <w:r>
        <w:t xml:space="preserve"> assessment, therefore includes the cases reported in the previous section of this document)</w:t>
      </w:r>
      <w:r w:rsidRPr="003B2B34">
        <w:t xml:space="preserve"> </w:t>
      </w:r>
      <w:r>
        <w:t xml:space="preserve">and </w:t>
      </w:r>
      <w:r w:rsidRPr="003B2B34">
        <w:t>all spontaneous reports of AEs from countries where TCZ is marketed</w:t>
      </w:r>
      <w:r>
        <w:t>.</w:t>
      </w:r>
    </w:p>
    <w:p w14:paraId="4463B2FA" w14:textId="0067CCB3" w:rsidR="008632C3" w:rsidRPr="008632C3" w:rsidRDefault="008632C3" w:rsidP="008632C3">
      <w:pPr>
        <w:pStyle w:val="Heading5"/>
      </w:pPr>
      <w:r w:rsidRPr="008632C3">
        <w:t>All</w:t>
      </w:r>
      <w:r w:rsidR="00D70A61">
        <w:t xml:space="preserve"> c</w:t>
      </w:r>
      <w:r w:rsidRPr="008632C3">
        <w:t>ases</w:t>
      </w:r>
    </w:p>
    <w:p w14:paraId="4463B2FB" w14:textId="77777777" w:rsidR="008632C3" w:rsidRDefault="008632C3" w:rsidP="008632C3">
      <w:pPr>
        <w:autoSpaceDE w:val="0"/>
        <w:autoSpaceDN w:val="0"/>
        <w:adjustRightInd w:val="0"/>
      </w:pPr>
      <w:r>
        <w:t>In total 732 cases were identified</w:t>
      </w:r>
      <w:r w:rsidRPr="003B2B34">
        <w:t xml:space="preserve"> of which 122 cases were assessed by the external adjudicators as ‘anaphylaxis to (Tocilizumab) TCZ’ c</w:t>
      </w:r>
      <w:r>
        <w:t>ases, using Sampson’s criteria</w:t>
      </w:r>
      <w:r>
        <w:rPr>
          <w:rStyle w:val="FootnoteReference"/>
        </w:rPr>
        <w:footnoteReference w:id="9"/>
      </w:r>
      <w:r>
        <w:t xml:space="preserve"> </w:t>
      </w:r>
      <w:r w:rsidRPr="003B2B34">
        <w:t>based on the reported information within the case.</w:t>
      </w:r>
      <w:r>
        <w:t xml:space="preserve"> The remaining 610 cases were adjudicated as either not anaphylaxis or unevaluable. With an estimated cumulative patient exposure to TCZ between April 2005 and April 2013 of 234,146 patients, the un-adjudicated anaphylaxis incidence proportion is 0.31% (732/234,146) and the externally adjudicated incidence proportion is 0.052% (122 cases out of 234,146 estimated cumulative exposure patients).</w:t>
      </w:r>
    </w:p>
    <w:p w14:paraId="4463B2FC" w14:textId="77777777" w:rsidR="008632C3" w:rsidRDefault="008632C3" w:rsidP="008632C3">
      <w:pPr>
        <w:autoSpaceDE w:val="0"/>
        <w:autoSpaceDN w:val="0"/>
        <w:adjustRightInd w:val="0"/>
      </w:pPr>
      <w:r w:rsidRPr="002509F8">
        <w:t xml:space="preserve">A total of 1215 </w:t>
      </w:r>
      <w:r>
        <w:t>AEs</w:t>
      </w:r>
      <w:r w:rsidRPr="002509F8">
        <w:t xml:space="preserve"> we</w:t>
      </w:r>
      <w:r>
        <w:t>re reported for these 732 cases of which</w:t>
      </w:r>
      <w:r w:rsidRPr="002509F8">
        <w:t xml:space="preserve"> 679 AEs (55.9%) </w:t>
      </w:r>
      <w:r>
        <w:t xml:space="preserve">in 528 individuals (72.1%) </w:t>
      </w:r>
      <w:r w:rsidRPr="002509F8">
        <w:t>were serious. The most frequent PTs reported were</w:t>
      </w:r>
      <w:r>
        <w:t xml:space="preserve"> </w:t>
      </w:r>
      <w:r w:rsidRPr="002509F8">
        <w:t>hypersensitivity (n</w:t>
      </w:r>
      <w:r>
        <w:t> </w:t>
      </w:r>
      <w:r w:rsidRPr="002509F8">
        <w:t>=</w:t>
      </w:r>
      <w:r>
        <w:t> 274)</w:t>
      </w:r>
      <w:r w:rsidRPr="002509F8">
        <w:t xml:space="preserve"> followed by anaphylactic reaction (n</w:t>
      </w:r>
      <w:r>
        <w:t> </w:t>
      </w:r>
      <w:r w:rsidRPr="002509F8">
        <w:t>=</w:t>
      </w:r>
      <w:r>
        <w:t> </w:t>
      </w:r>
      <w:r w:rsidRPr="002509F8">
        <w:t xml:space="preserve">152) </w:t>
      </w:r>
      <w:r>
        <w:t xml:space="preserve">dyspnoea </w:t>
      </w:r>
      <w:r w:rsidRPr="002509F8">
        <w:t>(n</w:t>
      </w:r>
      <w:r>
        <w:t> </w:t>
      </w:r>
      <w:r w:rsidRPr="002509F8">
        <w:t>=</w:t>
      </w:r>
      <w:r>
        <w:t> </w:t>
      </w:r>
      <w:r w:rsidRPr="002509F8">
        <w:t>111)</w:t>
      </w:r>
      <w:r>
        <w:t xml:space="preserve"> rash (n = 70), and pruritus (n</w:t>
      </w:r>
      <w:r w:rsidR="001C663D">
        <w:t> </w:t>
      </w:r>
      <w:r>
        <w:t>=</w:t>
      </w:r>
      <w:r w:rsidR="001C663D">
        <w:t> </w:t>
      </w:r>
      <w:r>
        <w:t>62)</w:t>
      </w:r>
      <w:r w:rsidRPr="002509F8">
        <w:t>.</w:t>
      </w:r>
    </w:p>
    <w:p w14:paraId="4463B2FD" w14:textId="77777777" w:rsidR="008632C3" w:rsidRDefault="008632C3" w:rsidP="008632C3">
      <w:pPr>
        <w:autoSpaceDE w:val="0"/>
        <w:autoSpaceDN w:val="0"/>
        <w:adjustRightInd w:val="0"/>
      </w:pPr>
      <w:r w:rsidRPr="007219A0">
        <w:t xml:space="preserve">Of the 732 cases, 378 were study cases </w:t>
      </w:r>
      <w:r>
        <w:t xml:space="preserve">(329 medically confirmed) </w:t>
      </w:r>
      <w:r w:rsidRPr="007219A0">
        <w:t>and 354 were spontaneous cases</w:t>
      </w:r>
      <w:r>
        <w:t xml:space="preserve"> (300 medically confirmed)</w:t>
      </w:r>
      <w:r w:rsidRPr="007219A0">
        <w:t>.</w:t>
      </w:r>
      <w:r>
        <w:t xml:space="preserve"> The most common indications for TCZ use were RA (77.5%) juvenile arthritis (7.1%) and ankylosing spondylitis (</w:t>
      </w:r>
      <w:r w:rsidRPr="00AC65BD">
        <w:t>1.5%)</w:t>
      </w:r>
      <w:r>
        <w:t>. T</w:t>
      </w:r>
      <w:r w:rsidRPr="007219A0">
        <w:t xml:space="preserve">he highest number of cases was reported from </w:t>
      </w:r>
      <w:r>
        <w:t>the</w:t>
      </w:r>
      <w:r w:rsidRPr="007219A0">
        <w:t xml:space="preserve"> USA </w:t>
      </w:r>
      <w:r>
        <w:t>(n </w:t>
      </w:r>
      <w:r w:rsidRPr="007219A0">
        <w:t>=</w:t>
      </w:r>
      <w:r>
        <w:t> </w:t>
      </w:r>
      <w:r w:rsidRPr="007219A0">
        <w:t>144</w:t>
      </w:r>
      <w:r>
        <w:t xml:space="preserve"> </w:t>
      </w:r>
      <w:r w:rsidRPr="007219A0">
        <w:t>cases) followed by Japan (</w:t>
      </w:r>
      <w:r>
        <w:t>n </w:t>
      </w:r>
      <w:r w:rsidRPr="007219A0">
        <w:t>=</w:t>
      </w:r>
      <w:r>
        <w:t> 77 cases)</w:t>
      </w:r>
      <w:r w:rsidRPr="007219A0">
        <w:t xml:space="preserve"> Brazil (</w:t>
      </w:r>
      <w:r>
        <w:t>n </w:t>
      </w:r>
      <w:r w:rsidRPr="007219A0">
        <w:t>=</w:t>
      </w:r>
      <w:r>
        <w:t> 74 cases)</w:t>
      </w:r>
      <w:r w:rsidRPr="007219A0">
        <w:t xml:space="preserve"> Canada (</w:t>
      </w:r>
      <w:r>
        <w:t>n </w:t>
      </w:r>
      <w:r w:rsidRPr="007219A0">
        <w:t>=</w:t>
      </w:r>
      <w:r>
        <w:t> </w:t>
      </w:r>
      <w:r w:rsidRPr="007219A0">
        <w:t xml:space="preserve">59 </w:t>
      </w:r>
      <w:r w:rsidRPr="0016396B">
        <w:t>cases) and Germany (n</w:t>
      </w:r>
      <w:r>
        <w:t> </w:t>
      </w:r>
      <w:r w:rsidRPr="0016396B">
        <w:t>=</w:t>
      </w:r>
      <w:r>
        <w:t xml:space="preserve"> 52 cases). </w:t>
      </w:r>
      <w:r w:rsidRPr="0016396B">
        <w:t>The majority of cases were reported in adults (n</w:t>
      </w:r>
      <w:r>
        <w:t> </w:t>
      </w:r>
      <w:r w:rsidRPr="0016396B">
        <w:t>=</w:t>
      </w:r>
      <w:r>
        <w:t> </w:t>
      </w:r>
      <w:r w:rsidRPr="0016396B">
        <w:t>450) followed by elderly patients (n</w:t>
      </w:r>
      <w:r>
        <w:t> </w:t>
      </w:r>
      <w:r w:rsidRPr="0016396B">
        <w:t>=</w:t>
      </w:r>
      <w:r>
        <w:t> </w:t>
      </w:r>
      <w:r w:rsidRPr="0016396B">
        <w:t>123 cases), children (n</w:t>
      </w:r>
      <w:r>
        <w:t> </w:t>
      </w:r>
      <w:r w:rsidRPr="0016396B">
        <w:t>=</w:t>
      </w:r>
      <w:r>
        <w:t> 26 cases),</w:t>
      </w:r>
      <w:r w:rsidRPr="0016396B">
        <w:t xml:space="preserve"> adolescents (n</w:t>
      </w:r>
      <w:r>
        <w:t> </w:t>
      </w:r>
      <w:r w:rsidRPr="0016396B">
        <w:t>=</w:t>
      </w:r>
      <w:r>
        <w:t> </w:t>
      </w:r>
      <w:r w:rsidRPr="0016396B">
        <w:t>10 cases) and infants (n</w:t>
      </w:r>
      <w:r>
        <w:t> </w:t>
      </w:r>
      <w:r w:rsidRPr="0016396B">
        <w:t>=</w:t>
      </w:r>
      <w:r>
        <w:t> </w:t>
      </w:r>
      <w:r w:rsidRPr="0016396B">
        <w:t>3 cases). The age was unknown in 120 cases.</w:t>
      </w:r>
    </w:p>
    <w:p w14:paraId="4463B2FE" w14:textId="77777777" w:rsidR="00A8735E" w:rsidRDefault="008632C3" w:rsidP="003E2239">
      <w:pPr>
        <w:pageBreakBefore/>
        <w:autoSpaceDE w:val="0"/>
        <w:autoSpaceDN w:val="0"/>
        <w:adjustRightInd w:val="0"/>
      </w:pPr>
      <w:r w:rsidRPr="0075007E">
        <w:lastRenderedPageBreak/>
        <w:t>These cases have been re</w:t>
      </w:r>
      <w:r w:rsidR="001C663D">
        <w:t>ported (see Table 13 below) in the PSURs as follows:</w:t>
      </w:r>
    </w:p>
    <w:p w14:paraId="4463B2FF" w14:textId="77777777" w:rsidR="001C663D" w:rsidRDefault="001C663D" w:rsidP="001C663D">
      <w:pPr>
        <w:pStyle w:val="Tabletitle"/>
      </w:pPr>
      <w:r>
        <w:t xml:space="preserve">Table 13: </w:t>
      </w:r>
      <w:r w:rsidRPr="0075007E">
        <w:t xml:space="preserve">Comparison of </w:t>
      </w:r>
      <w:r>
        <w:t>i</w:t>
      </w:r>
      <w:r w:rsidRPr="0075007E">
        <w:t xml:space="preserve">ncidence </w:t>
      </w:r>
      <w:r>
        <w:t>p</w:t>
      </w:r>
      <w:r w:rsidRPr="0075007E">
        <w:t xml:space="preserve">roportions for </w:t>
      </w:r>
      <w:r>
        <w:t>a</w:t>
      </w:r>
      <w:r w:rsidRPr="0075007E">
        <w:t xml:space="preserve">naphylaxis </w:t>
      </w:r>
      <w:r>
        <w:t>e</w:t>
      </w:r>
      <w:r w:rsidRPr="0075007E">
        <w:t>vent</w:t>
      </w:r>
      <w:r>
        <w:t>s</w:t>
      </w:r>
      <w:r w:rsidRPr="0075007E">
        <w:t xml:space="preserve"> from the </w:t>
      </w:r>
      <w:r>
        <w:t>s</w:t>
      </w:r>
      <w:r w:rsidRPr="0075007E">
        <w:t xml:space="preserve">afety </w:t>
      </w:r>
      <w:r>
        <w:t>d</w:t>
      </w:r>
      <w:r w:rsidRPr="0075007E">
        <w:t>atabase per PSUR period</w:t>
      </w:r>
      <w:r>
        <w:t>.</w:t>
      </w:r>
    </w:p>
    <w:p w14:paraId="4463B300" w14:textId="77777777" w:rsidR="001C663D" w:rsidRDefault="001C663D" w:rsidP="001C663D">
      <w:pPr>
        <w:autoSpaceDE w:val="0"/>
        <w:autoSpaceDN w:val="0"/>
        <w:adjustRightInd w:val="0"/>
      </w:pPr>
      <w:r>
        <w:rPr>
          <w:noProof/>
          <w:lang w:eastAsia="en-AU"/>
        </w:rPr>
        <w:drawing>
          <wp:inline distT="0" distB="0" distL="0" distR="0" wp14:anchorId="4463B3EA" wp14:editId="5720759E">
            <wp:extent cx="4441491" cy="2410211"/>
            <wp:effectExtent l="0" t="0" r="0" b="9525"/>
            <wp:docPr id="17" name="Picture 17" descr="Table 13: Comparison of incidence proportions for anaphylaxis events from the safety database per PSUR period." title="Table 13: Comparison of incidence proportions for anaphylaxis events from the safety database per PSUR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8089" cy="2413791"/>
                    </a:xfrm>
                    <a:prstGeom prst="rect">
                      <a:avLst/>
                    </a:prstGeom>
                    <a:noFill/>
                    <a:ln>
                      <a:noFill/>
                    </a:ln>
                  </pic:spPr>
                </pic:pic>
              </a:graphicData>
            </a:graphic>
          </wp:inline>
        </w:drawing>
      </w:r>
    </w:p>
    <w:p w14:paraId="4463B301" w14:textId="36A1D0B8" w:rsidR="001C663D" w:rsidRPr="00CD6305" w:rsidRDefault="0079146B" w:rsidP="001C663D">
      <w:pPr>
        <w:pStyle w:val="Heading5"/>
      </w:pPr>
      <w:r>
        <w:t>Adjudicated a</w:t>
      </w:r>
      <w:r w:rsidR="001C663D" w:rsidRPr="00CD6305">
        <w:t xml:space="preserve">naphylaxis </w:t>
      </w:r>
      <w:r>
        <w:t>c</w:t>
      </w:r>
      <w:r w:rsidR="001C663D" w:rsidRPr="00CD6305">
        <w:t>ases</w:t>
      </w:r>
    </w:p>
    <w:p w14:paraId="4463B302" w14:textId="77777777" w:rsidR="001C663D" w:rsidRDefault="001C663D" w:rsidP="001C663D">
      <w:pPr>
        <w:autoSpaceDE w:val="0"/>
        <w:autoSpaceDN w:val="0"/>
        <w:adjustRightInd w:val="0"/>
      </w:pPr>
      <w:r>
        <w:t xml:space="preserve">For the 122 adjudicated anaphylaxis cases there were 241 events reported of which 196 AEs (81.3%) in 116 individuals (95.1%) were serious. </w:t>
      </w:r>
      <w:r w:rsidRPr="00CD6305">
        <w:t xml:space="preserve">The most frequent PTs reported were </w:t>
      </w:r>
      <w:r>
        <w:t>anaphylactic reaction (n = 4</w:t>
      </w:r>
      <w:r w:rsidRPr="00CD6305">
        <w:t xml:space="preserve">2), </w:t>
      </w:r>
      <w:r>
        <w:t>anaphylactic shock (n = 26), hypersensitivity (n = 2</w:t>
      </w:r>
      <w:r w:rsidRPr="00CD6305">
        <w:t xml:space="preserve">4), dyspnoea </w:t>
      </w:r>
      <w:r>
        <w:t>(n = 19</w:t>
      </w:r>
      <w:r w:rsidRPr="00CD6305">
        <w:t xml:space="preserve">), and </w:t>
      </w:r>
      <w:r>
        <w:t>hypotension</w:t>
      </w:r>
      <w:r w:rsidRPr="00CD6305">
        <w:t xml:space="preserve"> (n</w:t>
      </w:r>
      <w:r>
        <w:t> </w:t>
      </w:r>
      <w:r w:rsidRPr="00CD6305">
        <w:t>=</w:t>
      </w:r>
      <w:r>
        <w:t> 16).</w:t>
      </w:r>
    </w:p>
    <w:p w14:paraId="4463B303" w14:textId="77777777" w:rsidR="001C663D" w:rsidRDefault="001C663D" w:rsidP="001C663D">
      <w:pPr>
        <w:autoSpaceDE w:val="0"/>
        <w:autoSpaceDN w:val="0"/>
        <w:adjustRightInd w:val="0"/>
      </w:pPr>
      <w:r>
        <w:t>Of the 12</w:t>
      </w:r>
      <w:r w:rsidRPr="00CD6305">
        <w:t xml:space="preserve">2 cases, </w:t>
      </w:r>
      <w:r>
        <w:t>51</w:t>
      </w:r>
      <w:r w:rsidRPr="00CD6305">
        <w:t xml:space="preserve"> were study cases (</w:t>
      </w:r>
      <w:r>
        <w:t>48</w:t>
      </w:r>
      <w:r w:rsidRPr="00CD6305">
        <w:t xml:space="preserve"> medically confirmed) and </w:t>
      </w:r>
      <w:r>
        <w:t>71</w:t>
      </w:r>
      <w:r w:rsidRPr="00CD6305">
        <w:t xml:space="preserve"> were spontaneous cases (</w:t>
      </w:r>
      <w:r>
        <w:t xml:space="preserve">65 medically confirmed). </w:t>
      </w:r>
      <w:r w:rsidRPr="00CD6305">
        <w:t xml:space="preserve">The highest number of cases was reported from </w:t>
      </w:r>
      <w:r>
        <w:t xml:space="preserve">the </w:t>
      </w:r>
      <w:r w:rsidRPr="00CD6305">
        <w:t xml:space="preserve">USA </w:t>
      </w:r>
      <w:r>
        <w:t>(n </w:t>
      </w:r>
      <w:r w:rsidRPr="00CD6305">
        <w:t>=</w:t>
      </w:r>
      <w:r>
        <w:t> 29</w:t>
      </w:r>
      <w:r w:rsidRPr="00CD6305">
        <w:t xml:space="preserve"> cases) followed by Japan (</w:t>
      </w:r>
      <w:r>
        <w:t>n </w:t>
      </w:r>
      <w:r w:rsidRPr="00CD6305">
        <w:t>=</w:t>
      </w:r>
      <w:r>
        <w:t> 17</w:t>
      </w:r>
      <w:r w:rsidRPr="00CD6305">
        <w:t xml:space="preserve"> cases), </w:t>
      </w:r>
      <w:r>
        <w:t xml:space="preserve">Australia (n = 8), </w:t>
      </w:r>
      <w:r w:rsidRPr="00CD6305">
        <w:t xml:space="preserve">Brazil </w:t>
      </w:r>
      <w:r>
        <w:t xml:space="preserve">and Germany </w:t>
      </w:r>
      <w:r w:rsidRPr="00CD6305">
        <w:t>(</w:t>
      </w:r>
      <w:r>
        <w:t>n </w:t>
      </w:r>
      <w:r w:rsidRPr="00CD6305">
        <w:t>=</w:t>
      </w:r>
      <w:r>
        <w:t> </w:t>
      </w:r>
      <w:r w:rsidRPr="00CD6305">
        <w:t>7 cases</w:t>
      </w:r>
      <w:r>
        <w:t xml:space="preserve"> each</w:t>
      </w:r>
      <w:r w:rsidRPr="00CD6305">
        <w:t xml:space="preserve">), </w:t>
      </w:r>
      <w:r>
        <w:t xml:space="preserve">and </w:t>
      </w:r>
      <w:r w:rsidRPr="00CD6305">
        <w:t xml:space="preserve">Canada </w:t>
      </w:r>
      <w:r>
        <w:t xml:space="preserve">and Poland </w:t>
      </w:r>
      <w:r w:rsidRPr="00CD6305">
        <w:t>(</w:t>
      </w:r>
      <w:r>
        <w:t>n </w:t>
      </w:r>
      <w:r w:rsidRPr="00CD6305">
        <w:t>=</w:t>
      </w:r>
      <w:r>
        <w:t> </w:t>
      </w:r>
      <w:r w:rsidRPr="00CD6305">
        <w:t>5 cases</w:t>
      </w:r>
      <w:r>
        <w:t xml:space="preserve"> each</w:t>
      </w:r>
      <w:r w:rsidRPr="00CD6305">
        <w:t>)</w:t>
      </w:r>
      <w:r>
        <w:t xml:space="preserve">. </w:t>
      </w:r>
      <w:r w:rsidRPr="00CD6305">
        <w:t>The majority of cases were reported in adults (n</w:t>
      </w:r>
      <w:r>
        <w:t> </w:t>
      </w:r>
      <w:r w:rsidRPr="00CD6305">
        <w:t>=</w:t>
      </w:r>
      <w:r>
        <w:t> 87</w:t>
      </w:r>
      <w:r w:rsidRPr="00CD6305">
        <w:t>) followed by elderly patients (</w:t>
      </w:r>
      <w:r>
        <w:t>n </w:t>
      </w:r>
      <w:r w:rsidRPr="00CD6305">
        <w:t>=</w:t>
      </w:r>
      <w:r>
        <w:t> 19</w:t>
      </w:r>
      <w:r w:rsidRPr="00CD6305">
        <w:t xml:space="preserve"> cases), children (</w:t>
      </w:r>
      <w:r>
        <w:t>n </w:t>
      </w:r>
      <w:r w:rsidRPr="00CD6305">
        <w:t>=</w:t>
      </w:r>
      <w:r>
        <w:t> 7</w:t>
      </w:r>
      <w:r w:rsidRPr="00CD6305">
        <w:t xml:space="preserve"> cases), </w:t>
      </w:r>
      <w:r>
        <w:t xml:space="preserve">and </w:t>
      </w:r>
      <w:r w:rsidRPr="00CD6305">
        <w:t>adolescents (</w:t>
      </w:r>
      <w:r>
        <w:t>n </w:t>
      </w:r>
      <w:r w:rsidRPr="00CD6305">
        <w:t>=</w:t>
      </w:r>
      <w:r>
        <w:t> 2</w:t>
      </w:r>
      <w:r w:rsidRPr="00CD6305">
        <w:t xml:space="preserve"> cases). The age was unknown in </w:t>
      </w:r>
      <w:r>
        <w:t>7</w:t>
      </w:r>
      <w:r w:rsidRPr="00CD6305">
        <w:t xml:space="preserve"> cases.</w:t>
      </w:r>
      <w:r>
        <w:t xml:space="preserve"> Anaphylaxis events occurred most commonly on the 2</w:t>
      </w:r>
      <w:r w:rsidRPr="00437741">
        <w:rPr>
          <w:vertAlign w:val="superscript"/>
        </w:rPr>
        <w:t>nd</w:t>
      </w:r>
      <w:r>
        <w:t xml:space="preserve"> (36.9%) or 3</w:t>
      </w:r>
      <w:r w:rsidRPr="00437741">
        <w:rPr>
          <w:vertAlign w:val="superscript"/>
        </w:rPr>
        <w:t>rd</w:t>
      </w:r>
      <w:r>
        <w:t xml:space="preserve"> (18.0%)</w:t>
      </w:r>
      <w:r w:rsidRPr="00466B08">
        <w:t xml:space="preserve"> infusion</w:t>
      </w:r>
      <w:r>
        <w:t>, but 1 case followed the 20</w:t>
      </w:r>
      <w:r w:rsidRPr="00437741">
        <w:rPr>
          <w:vertAlign w:val="superscript"/>
        </w:rPr>
        <w:t>th</w:t>
      </w:r>
      <w:r>
        <w:t xml:space="preserve"> infusion (0.8%). Infusion number information was not reported for 22.1% of events. </w:t>
      </w:r>
      <w:r w:rsidRPr="007662B1">
        <w:t>Of anaphylaxis events where the infusion number was known</w:t>
      </w:r>
      <w:r>
        <w:t xml:space="preserve"> (n </w:t>
      </w:r>
      <w:r w:rsidRPr="00CD6305">
        <w:t>=</w:t>
      </w:r>
      <w:r>
        <w:t> 95)</w:t>
      </w:r>
      <w:r w:rsidRPr="007662B1">
        <w:t xml:space="preserve">, </w:t>
      </w:r>
      <w:r>
        <w:t>57% (n </w:t>
      </w:r>
      <w:r w:rsidRPr="00CD6305">
        <w:t>=</w:t>
      </w:r>
      <w:r>
        <w:t> 54</w:t>
      </w:r>
      <w:r w:rsidRPr="007662B1">
        <w:t xml:space="preserve">), 80% </w:t>
      </w:r>
      <w:r>
        <w:t>(n </w:t>
      </w:r>
      <w:r w:rsidRPr="00CD6305">
        <w:t>=</w:t>
      </w:r>
      <w:r>
        <w:t> 76</w:t>
      </w:r>
      <w:r w:rsidRPr="007662B1">
        <w:t>), and 91% (</w:t>
      </w:r>
      <w:r>
        <w:t>n </w:t>
      </w:r>
      <w:r w:rsidRPr="00CD6305">
        <w:t>=</w:t>
      </w:r>
      <w:r>
        <w:t> </w:t>
      </w:r>
      <w:r w:rsidRPr="007662B1">
        <w:t>86) occurred by infusion number 2, 3 and 5 respectively (</w:t>
      </w:r>
      <w:r>
        <w:t>see Table 14</w:t>
      </w:r>
      <w:r w:rsidRPr="007662B1">
        <w:t xml:space="preserve"> below).</w:t>
      </w:r>
      <w:r>
        <w:t xml:space="preserve"> </w:t>
      </w:r>
      <w:r w:rsidRPr="006D037D">
        <w:t>The majority of events occurred during the</w:t>
      </w:r>
      <w:r>
        <w:t xml:space="preserve"> infusion (55.7%) or within 24 hours of the infusion (33.6%). Fatal anaphylaxis has been reported 4 times (3 medically confirmed).</w:t>
      </w:r>
    </w:p>
    <w:p w14:paraId="4463B304" w14:textId="77777777" w:rsidR="001C663D" w:rsidRDefault="001C663D" w:rsidP="001C663D">
      <w:pPr>
        <w:pStyle w:val="Tabletitle"/>
      </w:pPr>
      <w:r>
        <w:t xml:space="preserve">Table 14: </w:t>
      </w:r>
      <w:r w:rsidRPr="001C663D">
        <w:t xml:space="preserve">Anaphylaxis </w:t>
      </w:r>
      <w:r>
        <w:t>e</w:t>
      </w:r>
      <w:r w:rsidRPr="001C663D">
        <w:t xml:space="preserve">vent by </w:t>
      </w:r>
      <w:r>
        <w:t>i</w:t>
      </w:r>
      <w:r w:rsidRPr="001C663D">
        <w:t xml:space="preserve">nfusion </w:t>
      </w:r>
      <w:r>
        <w:t>n</w:t>
      </w:r>
      <w:r w:rsidRPr="001C663D">
        <w:t>umber (</w:t>
      </w:r>
      <w:r>
        <w:t>n = </w:t>
      </w:r>
      <w:r w:rsidRPr="001C663D">
        <w:t>122 cases)</w:t>
      </w:r>
      <w:r>
        <w:t>.</w:t>
      </w:r>
    </w:p>
    <w:p w14:paraId="4463B305" w14:textId="77777777" w:rsidR="001C663D" w:rsidRDefault="001C663D" w:rsidP="001C663D">
      <w:pPr>
        <w:autoSpaceDE w:val="0"/>
        <w:autoSpaceDN w:val="0"/>
        <w:adjustRightInd w:val="0"/>
      </w:pPr>
      <w:r>
        <w:rPr>
          <w:noProof/>
          <w:lang w:eastAsia="en-AU"/>
        </w:rPr>
        <w:drawing>
          <wp:inline distT="0" distB="0" distL="0" distR="0" wp14:anchorId="4463B3EC" wp14:editId="1EAEC32F">
            <wp:extent cx="3409179" cy="2141627"/>
            <wp:effectExtent l="0" t="0" r="1270" b="0"/>
            <wp:docPr id="18" name="Picture 18" descr="Table 14: Anaphylaxis event by infusion number (n = 122 cases)." title="Table 14: Anaphylaxis event by infusion number (n = 122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13711" cy="2144474"/>
                    </a:xfrm>
                    <a:prstGeom prst="rect">
                      <a:avLst/>
                    </a:prstGeom>
                    <a:noFill/>
                    <a:ln>
                      <a:noFill/>
                    </a:ln>
                  </pic:spPr>
                </pic:pic>
              </a:graphicData>
            </a:graphic>
          </wp:inline>
        </w:drawing>
      </w:r>
    </w:p>
    <w:p w14:paraId="4463B306" w14:textId="77777777" w:rsidR="001C663D" w:rsidRPr="00D205A3" w:rsidRDefault="001C663D" w:rsidP="00D205A3">
      <w:pPr>
        <w:ind w:left="227"/>
        <w:rPr>
          <w:i/>
        </w:rPr>
      </w:pPr>
      <w:r w:rsidRPr="00D205A3">
        <w:rPr>
          <w:i/>
        </w:rPr>
        <w:lastRenderedPageBreak/>
        <w:t>Evaluator’s comment: While the majority of anaphylaxis events occur with the first 4 to 5 infusions, similar data has not been reported for other hypersensitivity reactions. The sponsor will be asked to provide these data for the SC and comparator arms (for all hypersensitivity, clinically significant hypersensitivity, and serious hypersensitivity events) for studies WA22762 and NA25220. Based on the sponsor’s application letter, there has only been one case of adjudicated anaphylaxis to SC TCZ up to 10 October 2014. It was not clear from the Drug Safety Report (with a data cut-off of 10 April 2013) whether this case forms one of the 122 adjudicated cases, or arose after the cut-off date. The sponsor will be asked to clarify this and also to provide details regarding how many of the 732 potential anaphylaxis cases and 122 adjudicated anaphylaxis cases were on SC TCZ.</w:t>
      </w:r>
    </w:p>
    <w:p w14:paraId="4463B307" w14:textId="78E5387E" w:rsidR="00F03DB0" w:rsidRPr="00F03DB0" w:rsidRDefault="00F03DB0" w:rsidP="00F03DB0">
      <w:pPr>
        <w:pStyle w:val="Heading5"/>
      </w:pPr>
      <w:r>
        <w:t xml:space="preserve">Sponsor produced addendum to </w:t>
      </w:r>
      <w:r w:rsidR="00401EE2">
        <w:t>s</w:t>
      </w:r>
      <w:r>
        <w:t xml:space="preserve">ummary of </w:t>
      </w:r>
      <w:r w:rsidR="00401EE2">
        <w:t>c</w:t>
      </w:r>
      <w:r>
        <w:t xml:space="preserve">linical </w:t>
      </w:r>
      <w:r w:rsidR="00401EE2">
        <w:t>s</w:t>
      </w:r>
      <w:r>
        <w:t>afety</w:t>
      </w:r>
    </w:p>
    <w:p w14:paraId="4463B308" w14:textId="77777777" w:rsidR="001C663D" w:rsidRDefault="001C663D" w:rsidP="00401EE2">
      <w:r w:rsidRPr="00471946">
        <w:t xml:space="preserve">The </w:t>
      </w:r>
      <w:r w:rsidR="00F03DB0">
        <w:t>s</w:t>
      </w:r>
      <w:r w:rsidRPr="00471946">
        <w:t>ponsor produced an addendum to the original Summary of Clinical Safety, which contained analyses not presented. In particular, they analysed clinical and post-marketing safety data on hypersensitivity reactions and anaphylaxis events in RA patients treated with the SC and IV formulations of TCZ.</w:t>
      </w:r>
      <w:r w:rsidR="00F03DB0">
        <w:t xml:space="preserve"> </w:t>
      </w:r>
      <w:r w:rsidRPr="00471946">
        <w:t xml:space="preserve">The methodology for searching ARISg was the same as reported in the Drug Safety Report </w:t>
      </w:r>
      <w:r w:rsidR="00F03DB0">
        <w:t xml:space="preserve">reported above </w:t>
      </w:r>
      <w:r w:rsidRPr="00471946">
        <w:t>but the data cut</w:t>
      </w:r>
      <w:r w:rsidR="00F03DB0">
        <w:t xml:space="preserve">-off date was 10 October 2014. </w:t>
      </w:r>
      <w:r w:rsidRPr="00471946">
        <w:t xml:space="preserve">Hypersensitivity and anaphylaxis events in patients exposed to IV and SC TCZ are presented </w:t>
      </w:r>
      <w:r w:rsidRPr="00F03DB0">
        <w:t xml:space="preserve">in </w:t>
      </w:r>
      <w:r w:rsidR="00F03DB0">
        <w:t>Table 15 and Table 16 below:</w:t>
      </w:r>
    </w:p>
    <w:p w14:paraId="4463B309" w14:textId="77777777" w:rsidR="00F03DB0" w:rsidRPr="00F03DB0" w:rsidRDefault="00F03DB0" w:rsidP="00F03DB0">
      <w:pPr>
        <w:pStyle w:val="Tabletitle"/>
      </w:pPr>
      <w:r>
        <w:t>Table 15: Global Safety Database, global reporting p</w:t>
      </w:r>
      <w:r w:rsidRPr="00471946">
        <w:t xml:space="preserve">roportions and rates of hypersensitivity in patients exposed to </w:t>
      </w:r>
      <w:r>
        <w:t>IV and SC</w:t>
      </w:r>
      <w:r w:rsidRPr="00471946">
        <w:t xml:space="preserve"> tocilizumab (cut-off 10 </w:t>
      </w:r>
      <w:r>
        <w:t>O</w:t>
      </w:r>
      <w:r w:rsidRPr="00471946">
        <w:t>ctober 2014)</w:t>
      </w:r>
    </w:p>
    <w:p w14:paraId="4463B30A" w14:textId="77777777" w:rsidR="001C663D" w:rsidRDefault="00F03DB0" w:rsidP="001C663D">
      <w:pPr>
        <w:autoSpaceDE w:val="0"/>
        <w:autoSpaceDN w:val="0"/>
        <w:adjustRightInd w:val="0"/>
      </w:pPr>
      <w:r>
        <w:rPr>
          <w:noProof/>
          <w:lang w:eastAsia="en-AU"/>
        </w:rPr>
        <w:drawing>
          <wp:inline distT="0" distB="0" distL="0" distR="0" wp14:anchorId="4463B3EE" wp14:editId="2E8165D6">
            <wp:extent cx="3557175" cy="1602502"/>
            <wp:effectExtent l="0" t="0" r="5715" b="0"/>
            <wp:docPr id="19" name="Picture 19" descr="Table 15: Global Safety Database, global reporting proportions and rates of hypersensitivity in patients exposed to IV and SC tocilizumab (cut-off 10 October 2014)" title="Table 15: Global Safety Database, global reporting proportions and rates of hypersensitivity in patients exposed to IV and SC tocilizumab (cut-off 10 Octo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62382" cy="1604848"/>
                    </a:xfrm>
                    <a:prstGeom prst="rect">
                      <a:avLst/>
                    </a:prstGeom>
                    <a:noFill/>
                    <a:ln>
                      <a:noFill/>
                    </a:ln>
                  </pic:spPr>
                </pic:pic>
              </a:graphicData>
            </a:graphic>
          </wp:inline>
        </w:drawing>
      </w:r>
    </w:p>
    <w:p w14:paraId="4463B30B" w14:textId="77777777" w:rsidR="00F03DB0" w:rsidRPr="00F03DB0" w:rsidRDefault="00F03DB0" w:rsidP="00401EE2">
      <w:pPr>
        <w:pStyle w:val="TableDescription"/>
      </w:pPr>
      <w:r w:rsidRPr="00F03DB0">
        <w:t xml:space="preserve">PT = preferred term. Cases for which the route of administration of TCZ was unknown or not IV or SC were excluded from the analysis. </w:t>
      </w:r>
      <w:r w:rsidRPr="00F03DB0">
        <w:rPr>
          <w:vertAlign w:val="superscript"/>
        </w:rPr>
        <w:t>a</w:t>
      </w:r>
      <w:r w:rsidRPr="00F03DB0">
        <w:t xml:space="preserve">Includes patients who received only IV or whose most recent administration of TCZ was IV. </w:t>
      </w:r>
      <w:r w:rsidRPr="00F03DB0">
        <w:rPr>
          <w:vertAlign w:val="superscript"/>
        </w:rPr>
        <w:t>b</w:t>
      </w:r>
      <w:r w:rsidRPr="00F03DB0">
        <w:t>Includes patients who received only SC or whose most recent administration of TCZ was SC.</w:t>
      </w:r>
    </w:p>
    <w:p w14:paraId="4463B30C" w14:textId="77777777" w:rsidR="001C663D" w:rsidRDefault="001C663D" w:rsidP="00401EE2">
      <w:r w:rsidRPr="00471946">
        <w:t xml:space="preserve">Using the Hypersensitivity SMQ (Narrow) search strategy, 305 cases were reported in patients receiving SC TCZ (proportion 1.5 per 100 patients; 1.8 </w:t>
      </w:r>
      <w:r w:rsidR="00F03DB0">
        <w:t>(95% CI: 1.56, 1.96)</w:t>
      </w:r>
      <w:r w:rsidRPr="00471946">
        <w:t xml:space="preserve"> cases per 100 PY), and 2,749 in patients receiving IV TCZ (propor</w:t>
      </w:r>
      <w:r w:rsidR="00F03DB0">
        <w:t xml:space="preserve">tion 0.7 per 100 patients; 0.8 (95% CI: 0.77, 0.83) cases per 100 PY). </w:t>
      </w:r>
      <w:r w:rsidRPr="00471946">
        <w:t xml:space="preserve">Using the more restricted and specific PT Hypersensitivity (serious cases only) search strategy, 11 cases were reported in patients receiving SC TCZ (proportion 0.05 per 100 patients; 0.06 </w:t>
      </w:r>
      <w:r w:rsidR="00F03DB0">
        <w:t>(95% CI: 0.03, 0.11)</w:t>
      </w:r>
      <w:r w:rsidRPr="00471946">
        <w:t xml:space="preserve"> cases per 100 PY), and 148 in patients receiving IV TCZ (proporti</w:t>
      </w:r>
      <w:r w:rsidR="00F03DB0">
        <w:t>on 0.04 per 100 patients; 0.04 (</w:t>
      </w:r>
      <w:r w:rsidRPr="00471946">
        <w:t xml:space="preserve">95% </w:t>
      </w:r>
      <w:r w:rsidR="00F03DB0">
        <w:t>CI: 0.04, 0.05)</w:t>
      </w:r>
      <w:r w:rsidRPr="00471946">
        <w:t xml:space="preserve"> cases per 100 PY).</w:t>
      </w:r>
    </w:p>
    <w:p w14:paraId="4463B30D" w14:textId="77777777" w:rsidR="00F03DB0" w:rsidRPr="00471946" w:rsidRDefault="00F03DB0" w:rsidP="00F03DB0">
      <w:pPr>
        <w:pStyle w:val="Tabletitle"/>
      </w:pPr>
      <w:r>
        <w:t xml:space="preserve">Table 16: </w:t>
      </w:r>
      <w:r w:rsidRPr="00471946">
        <w:t>Global Safety Database</w:t>
      </w:r>
      <w:r>
        <w:t xml:space="preserve">, </w:t>
      </w:r>
      <w:r w:rsidRPr="00471946">
        <w:t xml:space="preserve">global reporting proportions and rates of anaphylaxis in patients exposed to </w:t>
      </w:r>
      <w:r>
        <w:t>IV and SC</w:t>
      </w:r>
      <w:r w:rsidRPr="00471946">
        <w:t xml:space="preserve"> tocilizumab (cut-off 10 </w:t>
      </w:r>
      <w:r>
        <w:t>O</w:t>
      </w:r>
      <w:r w:rsidRPr="00471946">
        <w:t>ctober 2014)</w:t>
      </w:r>
    </w:p>
    <w:p w14:paraId="4463B30E" w14:textId="77777777" w:rsidR="001C663D" w:rsidRDefault="00F03DB0" w:rsidP="001C663D">
      <w:pPr>
        <w:autoSpaceDE w:val="0"/>
        <w:autoSpaceDN w:val="0"/>
        <w:adjustRightInd w:val="0"/>
      </w:pPr>
      <w:r>
        <w:rPr>
          <w:noProof/>
          <w:lang w:eastAsia="en-AU"/>
        </w:rPr>
        <w:drawing>
          <wp:inline distT="0" distB="0" distL="0" distR="0" wp14:anchorId="4463B3F0" wp14:editId="02EC16FA">
            <wp:extent cx="3958876" cy="1149913"/>
            <wp:effectExtent l="0" t="0" r="3810" b="0"/>
            <wp:docPr id="20" name="Picture 20" descr="Table 16: Global Safety Database, global reporting proportions and rates of anaphylaxis in patients exposed to IV and SC tocilizumab (cut-off 10 October 2014)" title="Table 16: Global Safety Database, global reporting proportions and rates of anaphylaxis in patients exposed to IV and SC tocilizumab (cut-off 10 October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67322" cy="1152366"/>
                    </a:xfrm>
                    <a:prstGeom prst="rect">
                      <a:avLst/>
                    </a:prstGeom>
                    <a:noFill/>
                    <a:ln>
                      <a:noFill/>
                    </a:ln>
                  </pic:spPr>
                </pic:pic>
              </a:graphicData>
            </a:graphic>
          </wp:inline>
        </w:drawing>
      </w:r>
    </w:p>
    <w:p w14:paraId="4463B30F" w14:textId="77777777" w:rsidR="00F03DB0" w:rsidRPr="00F03DB0" w:rsidRDefault="00F03DB0" w:rsidP="00401EE2">
      <w:pPr>
        <w:pStyle w:val="TableDescription"/>
      </w:pPr>
      <w:r w:rsidRPr="00F03DB0">
        <w:lastRenderedPageBreak/>
        <w:t xml:space="preserve">PT = preferred term. Cases for which the route of administration of TCZ was unknown or not IV or SC were excluded from the analysis. </w:t>
      </w:r>
      <w:r w:rsidRPr="00F03DB0">
        <w:rPr>
          <w:vertAlign w:val="superscript"/>
        </w:rPr>
        <w:t>a</w:t>
      </w:r>
      <w:r w:rsidRPr="00F03DB0">
        <w:t xml:space="preserve">Includes patients who received only IV or whose most recent administration of TCZ was IV. </w:t>
      </w:r>
      <w:r w:rsidRPr="00F03DB0">
        <w:rPr>
          <w:vertAlign w:val="superscript"/>
        </w:rPr>
        <w:t>b</w:t>
      </w:r>
      <w:r w:rsidRPr="00F03DB0">
        <w:t>Includes patients who received only SC or whose most recent administration of TCZ was SC.</w:t>
      </w:r>
    </w:p>
    <w:p w14:paraId="4463B310" w14:textId="77777777" w:rsidR="001C663D" w:rsidRDefault="001C663D" w:rsidP="00401EE2">
      <w:r w:rsidRPr="00471946">
        <w:t xml:space="preserve">In total, 23 anaphylactic reactions were reported in patients receiving SC TCZ (proportion 0.11 per 100 patients; 0.13 </w:t>
      </w:r>
      <w:r w:rsidR="00F03DB0">
        <w:t>(</w:t>
      </w:r>
      <w:r w:rsidRPr="00471946">
        <w:t>95% CI: 0.08, 0.20</w:t>
      </w:r>
      <w:r w:rsidR="00F03DB0">
        <w:t>)</w:t>
      </w:r>
      <w:r w:rsidRPr="00471946">
        <w:t xml:space="preserve"> cases per 100 PY), and 701 in patients receiving IV TCZ (proportion 0.17 per 100 patients; 0.20 </w:t>
      </w:r>
      <w:r w:rsidR="00F03DB0">
        <w:t>(</w:t>
      </w:r>
      <w:r w:rsidRPr="00471946">
        <w:t>95% CI:</w:t>
      </w:r>
      <w:r w:rsidR="00F03DB0">
        <w:t xml:space="preserve"> 0.19, 0.22) cases per 100 PY).</w:t>
      </w:r>
    </w:p>
    <w:p w14:paraId="4463B311" w14:textId="25BF0C83" w:rsidR="00656419" w:rsidRPr="005A2989" w:rsidRDefault="00401EE2" w:rsidP="00401EE2">
      <w:pPr>
        <w:pStyle w:val="Heading4"/>
      </w:pPr>
      <w:bookmarkStart w:id="160" w:name="_Toc430268009"/>
      <w:r>
        <w:t>Literature r</w:t>
      </w:r>
      <w:r w:rsidR="00656419" w:rsidRPr="005A2989">
        <w:t>eview</w:t>
      </w:r>
      <w:bookmarkEnd w:id="160"/>
    </w:p>
    <w:p w14:paraId="4463B312" w14:textId="77777777" w:rsidR="00656419" w:rsidRDefault="00656419" w:rsidP="00401EE2">
      <w:r w:rsidRPr="008F4826">
        <w:t xml:space="preserve">Epidemiology data on the rates of anaphylaxis in </w:t>
      </w:r>
      <w:r>
        <w:t xml:space="preserve">the general population and in patients with </w:t>
      </w:r>
      <w:r w:rsidRPr="008F4826">
        <w:t>RA treated with biologic therapy are limited.</w:t>
      </w:r>
      <w:r>
        <w:t xml:space="preserve"> The sponsor identified a small number of publications which estimated a population-based lifetime prevalence of anaphylaxis to range from 0.05% to 2.0% and the average annual incidence rate of anaphylaxis to range from 210 to 498 per 1,000,000 PY in the USA, with the annual incidence rate increasing over time</w:t>
      </w:r>
      <w:r w:rsidRPr="0001676F">
        <w:rPr>
          <w:rFonts w:ascii="ArialMT" w:hAnsi="ArialMT" w:cs="ArialMT"/>
          <w:sz w:val="23"/>
          <w:szCs w:val="23"/>
        </w:rPr>
        <w:t xml:space="preserve"> </w:t>
      </w:r>
      <w:r>
        <w:rPr>
          <w:rFonts w:ascii="ArialMT" w:hAnsi="ArialMT" w:cs="ArialMT"/>
          <w:sz w:val="23"/>
          <w:szCs w:val="23"/>
        </w:rPr>
        <w:t>(</w:t>
      </w:r>
      <w:r w:rsidRPr="0001676F">
        <w:t>from 469 per 1,000,000</w:t>
      </w:r>
      <w:r>
        <w:t xml:space="preserve"> </w:t>
      </w:r>
      <w:r w:rsidRPr="0001676F">
        <w:t>PY in 1990 to 589 per 1,000,000</w:t>
      </w:r>
      <w:r>
        <w:t xml:space="preserve"> </w:t>
      </w:r>
      <w:r w:rsidRPr="0001676F">
        <w:t>PY in 2000</w:t>
      </w:r>
      <w:r>
        <w:t xml:space="preserve">). The data on deaths due to anaphylaxis are even more limited, with an estimate of 4.8 deaths per 1,000,000 PY, of which approximately one quarter are thought to be drug-induced. These estimates varied with the source of the data (higher in the USA), definition of anaphylaxis used, collection methodologies, and time period analysed. The literature was also searched for </w:t>
      </w:r>
      <w:r w:rsidRPr="002D55A3">
        <w:t>serious infusion reactions or anaphylaxis</w:t>
      </w:r>
      <w:r>
        <w:t xml:space="preserve"> </w:t>
      </w:r>
      <w:r w:rsidRPr="002D55A3">
        <w:t>/</w:t>
      </w:r>
      <w:r>
        <w:t xml:space="preserve"> </w:t>
      </w:r>
      <w:r w:rsidRPr="002D55A3">
        <w:t>anaphylactoid reactions</w:t>
      </w:r>
      <w:r>
        <w:t xml:space="preserve"> following treatment with biological therapies. Two reports of anaphylaxis </w:t>
      </w:r>
      <w:r w:rsidRPr="00F04F30">
        <w:t xml:space="preserve">during clinical studies </w:t>
      </w:r>
      <w:r>
        <w:t xml:space="preserve">on abatacept were found (1 from SC and 1 from IV route of administration), and 7 reports of infusion reactions on infliximab. A further 24 serious infusion reactions </w:t>
      </w:r>
      <w:r w:rsidRPr="00DE707A">
        <w:t>occurring during or within 2 hours</w:t>
      </w:r>
      <w:r>
        <w:t xml:space="preserve"> </w:t>
      </w:r>
      <w:r w:rsidRPr="00DE707A">
        <w:t>after</w:t>
      </w:r>
      <w:r>
        <w:t xml:space="preserve"> infliximab</w:t>
      </w:r>
      <w:r w:rsidRPr="00DE707A">
        <w:t xml:space="preserve"> infusion completion</w:t>
      </w:r>
      <w:r>
        <w:t xml:space="preserve"> were identified in a post-marketing study.</w:t>
      </w:r>
    </w:p>
    <w:p w14:paraId="4463B313" w14:textId="605CD662" w:rsidR="00656419" w:rsidRPr="00CC4716" w:rsidRDefault="00656419" w:rsidP="00EB0542">
      <w:pPr>
        <w:pStyle w:val="Heading4"/>
      </w:pPr>
      <w:bookmarkStart w:id="161" w:name="_Toc430268010"/>
      <w:r w:rsidRPr="00CC4716">
        <w:t>Research Report</w:t>
      </w:r>
      <w:r w:rsidR="00CC4716" w:rsidRPr="00CC4716">
        <w:t xml:space="preserve">: </w:t>
      </w:r>
      <w:r w:rsidR="00CC4716" w:rsidRPr="001204C7">
        <w:t>Rates for anaphylaxis for patients with rheumatoid arthritistreated with tocilizumab or other biologics: an analy</w:t>
      </w:r>
      <w:r w:rsidR="00CC4716" w:rsidRPr="00D64C75">
        <w:t>sis based on health claims data</w:t>
      </w:r>
      <w:r w:rsidR="00CC4716" w:rsidRPr="001204C7">
        <w:t xml:space="preserve"> (Report 1063062, December 2014)</w:t>
      </w:r>
    </w:p>
    <w:bookmarkEnd w:id="161"/>
    <w:p w14:paraId="4463B314" w14:textId="77777777" w:rsidR="00656419" w:rsidRDefault="00656419" w:rsidP="00656419">
      <w:r>
        <w:t xml:space="preserve">Due of limited epidemiology data </w:t>
      </w:r>
      <w:r w:rsidRPr="00B40900">
        <w:t xml:space="preserve">on the rates of anaphylaxis in </w:t>
      </w:r>
      <w:r>
        <w:t xml:space="preserve">patients with </w:t>
      </w:r>
      <w:r w:rsidRPr="00B40900">
        <w:t>RA treated with biologic therapy</w:t>
      </w:r>
      <w:r>
        <w:t xml:space="preserve">, the sponsor conducted </w:t>
      </w:r>
      <w:r w:rsidRPr="00B40900">
        <w:t>a retrospective cohort study of anaphylaxis in multiple cohorts of RA patients treated with</w:t>
      </w:r>
      <w:r>
        <w:t xml:space="preserve"> commonly used</w:t>
      </w:r>
      <w:r w:rsidRPr="00B40900">
        <w:t xml:space="preserve"> biologics</w:t>
      </w:r>
      <w:r>
        <w:t xml:space="preserve">, including </w:t>
      </w:r>
      <w:r w:rsidRPr="00B40900">
        <w:t>adalimumab, etanercept, golimumab, certolizumab pegol (SC</w:t>
      </w:r>
      <w:r>
        <w:t xml:space="preserve"> </w:t>
      </w:r>
      <w:r w:rsidRPr="00B40900">
        <w:t>formulation), infliximab, TCZ (IV formulation</w:t>
      </w:r>
      <w:r>
        <w:t xml:space="preserve"> only as SC formulation not approved at the time the study was conducted</w:t>
      </w:r>
      <w:r w:rsidRPr="00B40900">
        <w:t>) and abatacept (both IV and SC</w:t>
      </w:r>
      <w:r>
        <w:t xml:space="preserve"> </w:t>
      </w:r>
      <w:r w:rsidRPr="00B40900">
        <w:t>formulation)</w:t>
      </w:r>
      <w:r>
        <w:t>.</w:t>
      </w:r>
    </w:p>
    <w:p w14:paraId="4463B315" w14:textId="77777777" w:rsidR="00656419" w:rsidRDefault="00656419" w:rsidP="00656419">
      <w:r>
        <w:t xml:space="preserve">The data source for the study </w:t>
      </w:r>
      <w:r w:rsidRPr="00017CB2">
        <w:t>was t</w:t>
      </w:r>
      <w:r>
        <w:t xml:space="preserve">he Truven Healthcare MarketScan </w:t>
      </w:r>
      <w:r w:rsidRPr="00017CB2">
        <w:t>Commercial Claims and Encounters (Commercial) and the Medicare Supplemental and</w:t>
      </w:r>
      <w:r>
        <w:t xml:space="preserve"> </w:t>
      </w:r>
      <w:r w:rsidRPr="00017CB2">
        <w:t>COB (Medicare) Database</w:t>
      </w:r>
      <w:r>
        <w:t xml:space="preserve"> (from January 2000 to September 2013)</w:t>
      </w:r>
      <w:r w:rsidRPr="00017CB2">
        <w:t xml:space="preserve"> which contains information on the Medicare population with</w:t>
      </w:r>
      <w:r>
        <w:t xml:space="preserve"> </w:t>
      </w:r>
      <w:r w:rsidRPr="00017CB2">
        <w:t>supplemental insurance paid for by employers.</w:t>
      </w:r>
    </w:p>
    <w:p w14:paraId="4463B316" w14:textId="77777777" w:rsidR="00656419" w:rsidRDefault="00656419" w:rsidP="00656419">
      <w:r w:rsidRPr="00017CB2">
        <w:t>Anaphylaxis and fatal anaphyla</w:t>
      </w:r>
      <w:r>
        <w:t>xis within 7 days of drug administration (where able to be ascertained) were the primary endpoints</w:t>
      </w:r>
      <w:r w:rsidRPr="00017CB2">
        <w:t>.</w:t>
      </w:r>
      <w:r>
        <w:t xml:space="preserve"> A</w:t>
      </w:r>
      <w:r w:rsidRPr="00DD487F">
        <w:t xml:space="preserve">naphylaxis within </w:t>
      </w:r>
      <w:r>
        <w:t>14 and 30</w:t>
      </w:r>
      <w:r w:rsidRPr="00DD487F">
        <w:t xml:space="preserve"> days of drug administration were </w:t>
      </w:r>
      <w:r>
        <w:t>used as sensitivity analyses.</w:t>
      </w:r>
    </w:p>
    <w:p w14:paraId="4463B317" w14:textId="77777777" w:rsidR="00656419" w:rsidRPr="00017CB2" w:rsidRDefault="00656419" w:rsidP="00656419">
      <w:r w:rsidRPr="00017CB2">
        <w:t>Two</w:t>
      </w:r>
      <w:r>
        <w:t xml:space="preserve"> </w:t>
      </w:r>
      <w:r w:rsidRPr="00017CB2">
        <w:t>definitions of anaphylaxis were used:</w:t>
      </w:r>
    </w:p>
    <w:p w14:paraId="4463B318" w14:textId="77777777" w:rsidR="00656419" w:rsidRPr="00017CB2" w:rsidRDefault="00656419" w:rsidP="00656419">
      <w:pPr>
        <w:pStyle w:val="Numberbullet0"/>
      </w:pPr>
      <w:r w:rsidRPr="00017CB2">
        <w:t>Algorithmic definition based o</w:t>
      </w:r>
      <w:r>
        <w:t xml:space="preserve">n the Mini-Sentinel initiative. </w:t>
      </w:r>
      <w:r w:rsidRPr="00017CB2">
        <w:t>This is the more specific definition</w:t>
      </w:r>
      <w:r>
        <w:t xml:space="preserve"> which was used for the primary analysis</w:t>
      </w:r>
      <w:r w:rsidRPr="00017CB2">
        <w:t>.</w:t>
      </w:r>
    </w:p>
    <w:p w14:paraId="4463B319" w14:textId="77777777" w:rsidR="00656419" w:rsidRDefault="00656419" w:rsidP="00656419">
      <w:pPr>
        <w:pStyle w:val="Numberbullet0"/>
      </w:pPr>
      <w:r w:rsidRPr="00017CB2">
        <w:t>Algorithmic definition of anaphylaxis of hospitali</w:t>
      </w:r>
      <w:r>
        <w:t>s</w:t>
      </w:r>
      <w:r w:rsidRPr="00017CB2">
        <w:t>ed and non-hospitali</w:t>
      </w:r>
      <w:r>
        <w:t>s</w:t>
      </w:r>
      <w:r w:rsidRPr="00017CB2">
        <w:t>ed events</w:t>
      </w:r>
      <w:r>
        <w:t xml:space="preserve"> </w:t>
      </w:r>
      <w:r w:rsidRPr="00017CB2">
        <w:t>based on the Sampson criteria.</w:t>
      </w:r>
      <w:r w:rsidR="009F0A80">
        <w:t xml:space="preserve"> </w:t>
      </w:r>
      <w:r w:rsidRPr="00017CB2">
        <w:t>In order to qualify as anaphylaxis more than one</w:t>
      </w:r>
      <w:r>
        <w:t xml:space="preserve"> ICD9 code required. </w:t>
      </w:r>
      <w:r w:rsidRPr="00017CB2">
        <w:t>This is the more sensitive definition</w:t>
      </w:r>
      <w:r w:rsidRPr="0088354B">
        <w:t xml:space="preserve"> which was used for the </w:t>
      </w:r>
      <w:r>
        <w:t>secondary</w:t>
      </w:r>
      <w:r w:rsidRPr="0088354B">
        <w:t xml:space="preserve"> analysis</w:t>
      </w:r>
      <w:r w:rsidRPr="00017CB2">
        <w:t>.</w:t>
      </w:r>
    </w:p>
    <w:p w14:paraId="4463B31A" w14:textId="77777777" w:rsidR="00656419" w:rsidRDefault="00656419" w:rsidP="00656419">
      <w:r w:rsidRPr="00DC6D5C">
        <w:t>Fatal anaphylaxis cases were based on the in-hospital death variable</w:t>
      </w:r>
      <w:r>
        <w:t xml:space="preserve">. </w:t>
      </w:r>
      <w:r w:rsidRPr="00DC6D5C">
        <w:t>This would have underestimated fatalities as according to the US Centres for Disease Control, only 30% of all deaths occur in a hospital setting.</w:t>
      </w:r>
    </w:p>
    <w:p w14:paraId="4463B31B" w14:textId="77777777" w:rsidR="00656419" w:rsidRPr="007531D0" w:rsidRDefault="00656419" w:rsidP="001204C7">
      <w:pPr>
        <w:pStyle w:val="Heading5"/>
      </w:pPr>
      <w:r w:rsidRPr="007531D0">
        <w:lastRenderedPageBreak/>
        <w:t>Results</w:t>
      </w:r>
    </w:p>
    <w:p w14:paraId="4463B31C" w14:textId="26B1EADD" w:rsidR="00656419" w:rsidRDefault="00656419" w:rsidP="00656419">
      <w:r>
        <w:t>The largest cohorts (patient numbers) were for Enbrel SC (32,382), Humira SC (29,942), and Remicade IV (16,790) and the smallest for Orencia SC (2,004), Actemra IV (2,605), and Cimzia SC (3,054). The majority of patients were female (74</w:t>
      </w:r>
      <w:r w:rsidR="00401EE2">
        <w:t>-</w:t>
      </w:r>
      <w:r>
        <w:t>82%), with a mean age of 49 to 54 years. Up to 1.6% (using Sampson criteria) had a previous history of anaphylaxis (&lt;0.15% if using mini-sentinel criteria).</w:t>
      </w:r>
    </w:p>
    <w:p w14:paraId="4463B31D" w14:textId="604CCD0C" w:rsidR="00656419" w:rsidRDefault="00656419" w:rsidP="00656419">
      <w:r w:rsidRPr="00145FBD">
        <w:t xml:space="preserve">Incidence rates of anaphylaxis within 7-days of the infusion for the three IV drugs </w:t>
      </w:r>
      <w:r>
        <w:t>are presented in</w:t>
      </w:r>
      <w:r w:rsidRPr="00145FBD">
        <w:t xml:space="preserve"> </w:t>
      </w:r>
      <w:r w:rsidR="00B07046">
        <w:t>Table 17</w:t>
      </w:r>
      <w:r>
        <w:t>, below. Overall incidence rates were higher using the sensitive definition (0.11) than the specific definition (0.04) and were generally consistent for each individual drug based on overlapping CIs. Anaphylaxis rates within 14 or 30 days changed little for the specific definition, but increased 2 to 5-fold with the sensitive definition. Rates remained consistent between drugs.</w:t>
      </w:r>
    </w:p>
    <w:p w14:paraId="4463B31E" w14:textId="77777777" w:rsidR="00656419" w:rsidRDefault="00656419" w:rsidP="00656419">
      <w:pPr>
        <w:pStyle w:val="Tabletitle"/>
      </w:pPr>
      <w:r>
        <w:t xml:space="preserve">Table 17: </w:t>
      </w:r>
      <w:r w:rsidRPr="00011F5C">
        <w:t xml:space="preserve">Incidence rates (per 100 </w:t>
      </w:r>
      <w:r>
        <w:t>PY</w:t>
      </w:r>
      <w:r w:rsidRPr="00011F5C">
        <w:t>) of</w:t>
      </w:r>
      <w:r>
        <w:t xml:space="preserve"> </w:t>
      </w:r>
      <w:r w:rsidRPr="00011F5C">
        <w:t xml:space="preserve">anaphylaxis events occurring within 7 days </w:t>
      </w:r>
      <w:r>
        <w:t>and at any time following</w:t>
      </w:r>
      <w:r w:rsidRPr="00011F5C">
        <w:t xml:space="preserve"> infusion in adult</w:t>
      </w:r>
      <w:r>
        <w:t xml:space="preserve"> RA patients treated with IV</w:t>
      </w:r>
      <w:r w:rsidRPr="00011F5C">
        <w:t xml:space="preserve"> biologics</w:t>
      </w:r>
      <w:r>
        <w:t>.</w:t>
      </w:r>
    </w:p>
    <w:p w14:paraId="4463B31F" w14:textId="77777777" w:rsidR="00656419" w:rsidRDefault="00656419" w:rsidP="00656419">
      <w:r>
        <w:rPr>
          <w:noProof/>
          <w:lang w:eastAsia="en-AU"/>
        </w:rPr>
        <w:drawing>
          <wp:inline distT="0" distB="0" distL="0" distR="0" wp14:anchorId="4463B3F2" wp14:editId="448286C5">
            <wp:extent cx="4551654" cy="2383783"/>
            <wp:effectExtent l="0" t="0" r="1905" b="0"/>
            <wp:docPr id="21" name="Picture 21" descr="Table 17: Incidence rates (per 100 PY) of anaphylaxis events occurring within 7 days and at any time following infusion in adult RA patients treated with IV biologics." title="Table 17: Incidence rates (per 100 PY) of anaphylaxis events occurring within 7 days and at any time following infusion in adult RA patients treated with IV biolog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58926" cy="2387591"/>
                    </a:xfrm>
                    <a:prstGeom prst="rect">
                      <a:avLst/>
                    </a:prstGeom>
                  </pic:spPr>
                </pic:pic>
              </a:graphicData>
            </a:graphic>
          </wp:inline>
        </w:drawing>
      </w:r>
    </w:p>
    <w:p w14:paraId="4463B320" w14:textId="77777777" w:rsidR="00656419" w:rsidRDefault="00656419" w:rsidP="00656419">
      <w:r>
        <w:t xml:space="preserve">For drugs administered via the subcutaneous route, exact timing of administration was not always ascertainable; therefore </w:t>
      </w:r>
      <w:r w:rsidRPr="003B23C4">
        <w:t xml:space="preserve">incidence rates of anaphylaxis </w:t>
      </w:r>
      <w:r>
        <w:t>occurring</w:t>
      </w:r>
      <w:r w:rsidRPr="003B23C4">
        <w:t xml:space="preserve"> at any time following</w:t>
      </w:r>
      <w:r>
        <w:t xml:space="preserve"> drug prescription are presented in </w:t>
      </w:r>
      <w:r w:rsidR="00FB6100">
        <w:t>Table 18</w:t>
      </w:r>
      <w:r>
        <w:t xml:space="preserve"> below. Consistent with the IV results, event numbers and rates were higher with the sensitive definition compared</w:t>
      </w:r>
      <w:r w:rsidR="00FB6100">
        <w:t xml:space="preserve"> with the specific definition. </w:t>
      </w:r>
      <w:r>
        <w:t>Rates were generally comparable across the individual drugs although the point estimates were higher for certolizumab (0.93) and abatacept (0.58) for the sensitive definition.</w:t>
      </w:r>
      <w:r w:rsidR="00FB6100">
        <w:t xml:space="preserve"> </w:t>
      </w:r>
      <w:r>
        <w:t>Rates of anaphylaxis were also comparable across the SC and IV formulations when the “Any Time” time frame was used (final 2 columns of</w:t>
      </w:r>
      <w:r w:rsidR="00FB6100">
        <w:t xml:space="preserve"> Table 17</w:t>
      </w:r>
      <w:r>
        <w:t xml:space="preserve"> above).</w:t>
      </w:r>
    </w:p>
    <w:p w14:paraId="4463B321" w14:textId="77777777" w:rsidR="00FB6100" w:rsidRDefault="00FB6100" w:rsidP="00FB6100">
      <w:pPr>
        <w:pStyle w:val="Tabletitle"/>
      </w:pPr>
      <w:r>
        <w:t xml:space="preserve">Table 18: </w:t>
      </w:r>
      <w:r w:rsidRPr="00011F5C">
        <w:t xml:space="preserve">Incidence </w:t>
      </w:r>
      <w:r>
        <w:t>r</w:t>
      </w:r>
      <w:r w:rsidRPr="00011F5C">
        <w:t>ates (per 100 PY) of</w:t>
      </w:r>
      <w:r>
        <w:t xml:space="preserve"> </w:t>
      </w:r>
      <w:r w:rsidRPr="00011F5C">
        <w:t xml:space="preserve">anaphylaxis events occurring </w:t>
      </w:r>
      <w:r>
        <w:t>at any time</w:t>
      </w:r>
      <w:r w:rsidRPr="00011F5C">
        <w:t xml:space="preserve"> </w:t>
      </w:r>
      <w:r>
        <w:t>following treatment</w:t>
      </w:r>
      <w:r w:rsidRPr="004F2659">
        <w:rPr>
          <w:bCs/>
        </w:rPr>
        <w:t xml:space="preserve"> </w:t>
      </w:r>
      <w:r w:rsidRPr="004F2659">
        <w:t xml:space="preserve">with </w:t>
      </w:r>
      <w:r>
        <w:t>SC</w:t>
      </w:r>
      <w:r w:rsidRPr="004F2659">
        <w:t xml:space="preserve"> biologics</w:t>
      </w:r>
      <w:r w:rsidRPr="00011F5C">
        <w:t xml:space="preserve"> in adult</w:t>
      </w:r>
      <w:r>
        <w:t xml:space="preserve"> RA patients</w:t>
      </w:r>
    </w:p>
    <w:p w14:paraId="4463B322" w14:textId="77777777" w:rsidR="00FB6100" w:rsidRDefault="00FB6100" w:rsidP="00656419">
      <w:r>
        <w:rPr>
          <w:noProof/>
          <w:lang w:eastAsia="en-AU"/>
        </w:rPr>
        <w:drawing>
          <wp:inline distT="0" distB="0" distL="0" distR="0" wp14:anchorId="4463B3F4" wp14:editId="7DC01B7C">
            <wp:extent cx="4223154" cy="1725809"/>
            <wp:effectExtent l="0" t="0" r="6350" b="8255"/>
            <wp:docPr id="22" name="Picture 22" descr="Table 18: Incidence rates (per 100 PY) of anaphylaxis events occurring at any time following treatment with SC biologics in adult RA patients" title="Table 18: Incidence rates (per 100 PY) of anaphylaxis events occurring at any time following treatment with SC biologics in adult R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4224427" cy="1726329"/>
                    </a:xfrm>
                    <a:prstGeom prst="rect">
                      <a:avLst/>
                    </a:prstGeom>
                  </pic:spPr>
                </pic:pic>
              </a:graphicData>
            </a:graphic>
          </wp:inline>
        </w:drawing>
      </w:r>
    </w:p>
    <w:p w14:paraId="4463B323" w14:textId="77777777" w:rsidR="00FB6100" w:rsidRDefault="00FB6100" w:rsidP="00FB6100">
      <w:r w:rsidRPr="00F51048">
        <w:lastRenderedPageBreak/>
        <w:t xml:space="preserve">Overall </w:t>
      </w:r>
      <w:r>
        <w:t xml:space="preserve">there were few cases of fatal anaphylaxis within 7 days of the primary event (2 using the specific definition (1 each for IV TCZ and adalimumab SC), 28 using the sensitive definition) (see Table 19, below). Rates were comparable </w:t>
      </w:r>
      <w:r w:rsidRPr="007D4DB7">
        <w:t xml:space="preserve">across drugs, time windows and definitions </w:t>
      </w:r>
      <w:r>
        <w:t>with a</w:t>
      </w:r>
      <w:r w:rsidRPr="007D4DB7">
        <w:t>ll confidence intervals</w:t>
      </w:r>
      <w:r>
        <w:t xml:space="preserve"> </w:t>
      </w:r>
      <w:r w:rsidRPr="007D4DB7">
        <w:t>overlapping.</w:t>
      </w:r>
    </w:p>
    <w:p w14:paraId="4463B324" w14:textId="77777777" w:rsidR="00FB6100" w:rsidRDefault="00FB6100" w:rsidP="00FB6100">
      <w:pPr>
        <w:pStyle w:val="Tabletitle"/>
      </w:pPr>
      <w:r>
        <w:t xml:space="preserve">Table 19: </w:t>
      </w:r>
      <w:r w:rsidRPr="00011F5C">
        <w:t xml:space="preserve">Incidence rates (per 100 </w:t>
      </w:r>
      <w:r>
        <w:t>PY</w:t>
      </w:r>
      <w:r w:rsidRPr="00011F5C">
        <w:t>) of</w:t>
      </w:r>
      <w:r>
        <w:t xml:space="preserve"> fatal </w:t>
      </w:r>
      <w:r w:rsidRPr="00011F5C">
        <w:t xml:space="preserve">anaphylaxis events occurring within 7 days </w:t>
      </w:r>
      <w:r>
        <w:t>of anaphylaxis event</w:t>
      </w:r>
      <w:r w:rsidRPr="00011F5C">
        <w:t xml:space="preserve"> in adult</w:t>
      </w:r>
      <w:r>
        <w:t xml:space="preserve"> RA patients.</w:t>
      </w:r>
    </w:p>
    <w:p w14:paraId="4463B325" w14:textId="77777777" w:rsidR="00FB6100" w:rsidRDefault="00FB6100" w:rsidP="00656419">
      <w:r>
        <w:rPr>
          <w:noProof/>
          <w:lang w:eastAsia="en-AU"/>
        </w:rPr>
        <w:drawing>
          <wp:inline distT="0" distB="0" distL="0" distR="0" wp14:anchorId="4463B3F6" wp14:editId="7724E6D7">
            <wp:extent cx="4254867" cy="2576559"/>
            <wp:effectExtent l="0" t="0" r="0" b="0"/>
            <wp:docPr id="23" name="Picture 23" descr="Table 19: Incidence rates (per 100 PY) of fatal anaphylaxis events occurring within 7 days of anaphylaxis event in adult RA patients." title="Table 19: Incidence rates (per 100 PY) of fatal anaphylaxis events occurring within 7 days of anaphylaxis event in adult RA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252726" cy="2575263"/>
                    </a:xfrm>
                    <a:prstGeom prst="rect">
                      <a:avLst/>
                    </a:prstGeom>
                  </pic:spPr>
                </pic:pic>
              </a:graphicData>
            </a:graphic>
          </wp:inline>
        </w:drawing>
      </w:r>
    </w:p>
    <w:p w14:paraId="4463B326" w14:textId="77777777" w:rsidR="00FB6100" w:rsidRDefault="00FB6100" w:rsidP="00FB6100">
      <w:pPr>
        <w:pStyle w:val="Heading3"/>
      </w:pPr>
      <w:bookmarkStart w:id="162" w:name="_Toc430268011"/>
      <w:bookmarkStart w:id="163" w:name="_Toc367010606"/>
      <w:bookmarkStart w:id="164" w:name="_Toc464136278"/>
      <w:bookmarkEnd w:id="155"/>
      <w:bookmarkEnd w:id="156"/>
      <w:bookmarkEnd w:id="157"/>
      <w:bookmarkEnd w:id="158"/>
      <w:bookmarkEnd w:id="159"/>
      <w:r w:rsidRPr="00FB6100">
        <w:t>Post-marketing experience</w:t>
      </w:r>
      <w:bookmarkEnd w:id="162"/>
      <w:bookmarkEnd w:id="164"/>
    </w:p>
    <w:p w14:paraId="4463B327" w14:textId="77777777" w:rsidR="00FB6100" w:rsidRDefault="00FB6100" w:rsidP="00FB6100">
      <w:pPr>
        <w:autoSpaceDE w:val="0"/>
        <w:autoSpaceDN w:val="0"/>
        <w:adjustRightInd w:val="0"/>
        <w:rPr>
          <w:bCs/>
        </w:rPr>
      </w:pPr>
      <w:r w:rsidRPr="002F251F">
        <w:rPr>
          <w:bCs/>
        </w:rPr>
        <w:t>Two Periodic Benefit-Risk Evaluation Reports (PBRERs)</w:t>
      </w:r>
      <w:r>
        <w:rPr>
          <w:bCs/>
        </w:rPr>
        <w:t xml:space="preserve"> were submitted covering the periods 11 October 2013 to 10 April 2014, and 11 April 2014 to 10 October 2014. </w:t>
      </w:r>
      <w:r w:rsidRPr="009E2978">
        <w:rPr>
          <w:bCs/>
        </w:rPr>
        <w:t xml:space="preserve">Since the international birth date (11 April 2005) </w:t>
      </w:r>
      <w:r>
        <w:rPr>
          <w:bCs/>
        </w:rPr>
        <w:t xml:space="preserve">to </w:t>
      </w:r>
      <w:r w:rsidRPr="009E2978">
        <w:rPr>
          <w:bCs/>
        </w:rPr>
        <w:t>10 October 2014</w:t>
      </w:r>
      <w:r>
        <w:rPr>
          <w:bCs/>
        </w:rPr>
        <w:t xml:space="preserve"> </w:t>
      </w:r>
      <w:r w:rsidRPr="009E2978">
        <w:rPr>
          <w:bCs/>
        </w:rPr>
        <w:t>the estimated cumulative market</w:t>
      </w:r>
      <w:r>
        <w:rPr>
          <w:bCs/>
        </w:rPr>
        <w:t xml:space="preserve"> </w:t>
      </w:r>
      <w:r w:rsidRPr="009E2978">
        <w:rPr>
          <w:bCs/>
        </w:rPr>
        <w:t xml:space="preserve">exposure to tocilizumab is 399,041 patients (equivalent to 323,111 </w:t>
      </w:r>
      <w:r>
        <w:rPr>
          <w:bCs/>
        </w:rPr>
        <w:t>PYs</w:t>
      </w:r>
      <w:r w:rsidRPr="009E2978">
        <w:rPr>
          <w:bCs/>
        </w:rPr>
        <w:t>) of</w:t>
      </w:r>
      <w:r>
        <w:rPr>
          <w:bCs/>
        </w:rPr>
        <w:t xml:space="preserve"> </w:t>
      </w:r>
      <w:r w:rsidRPr="009E2978">
        <w:rPr>
          <w:bCs/>
        </w:rPr>
        <w:t xml:space="preserve">which 382,166 patients </w:t>
      </w:r>
      <w:r>
        <w:rPr>
          <w:bCs/>
        </w:rPr>
        <w:t xml:space="preserve">(95.8%) </w:t>
      </w:r>
      <w:r w:rsidRPr="009E2978">
        <w:rPr>
          <w:bCs/>
        </w:rPr>
        <w:t xml:space="preserve">received intravenous tocilizumab and 16,875 patients </w:t>
      </w:r>
      <w:r>
        <w:rPr>
          <w:bCs/>
        </w:rPr>
        <w:t xml:space="preserve">(estimated 13,664 PYs) </w:t>
      </w:r>
      <w:r w:rsidRPr="009E2978">
        <w:rPr>
          <w:bCs/>
        </w:rPr>
        <w:t>received</w:t>
      </w:r>
      <w:r>
        <w:rPr>
          <w:bCs/>
        </w:rPr>
        <w:t xml:space="preserve"> </w:t>
      </w:r>
      <w:r w:rsidRPr="009E2978">
        <w:rPr>
          <w:bCs/>
        </w:rPr>
        <w:t>subcutaneous tocilizumab.</w:t>
      </w:r>
      <w:r>
        <w:rPr>
          <w:bCs/>
        </w:rPr>
        <w:t xml:space="preserve"> A further 24,897 patients received TCZ while participating in clinical trials </w:t>
      </w:r>
      <w:r w:rsidRPr="00D872F9">
        <w:rPr>
          <w:bCs/>
        </w:rPr>
        <w:t xml:space="preserve">(34,065.1 PYs on </w:t>
      </w:r>
      <w:r>
        <w:rPr>
          <w:bCs/>
        </w:rPr>
        <w:t>IV TCZ</w:t>
      </w:r>
      <w:r w:rsidRPr="00D872F9">
        <w:rPr>
          <w:bCs/>
        </w:rPr>
        <w:t xml:space="preserve"> and 3,715.7 PYs on </w:t>
      </w:r>
      <w:r>
        <w:rPr>
          <w:bCs/>
        </w:rPr>
        <w:t>SC TCZ</w:t>
      </w:r>
      <w:r w:rsidRPr="00D872F9">
        <w:rPr>
          <w:bCs/>
        </w:rPr>
        <w:t>)</w:t>
      </w:r>
      <w:r>
        <w:rPr>
          <w:bCs/>
        </w:rPr>
        <w:t>.</w:t>
      </w:r>
    </w:p>
    <w:p w14:paraId="4463B328" w14:textId="77777777" w:rsidR="00FB6100" w:rsidRDefault="00FB6100" w:rsidP="00FB6100">
      <w:pPr>
        <w:autoSpaceDE w:val="0"/>
        <w:autoSpaceDN w:val="0"/>
        <w:adjustRightInd w:val="0"/>
        <w:rPr>
          <w:bCs/>
        </w:rPr>
      </w:pPr>
      <w:r>
        <w:rPr>
          <w:bCs/>
        </w:rPr>
        <w:t>During the combined periods, the following actions were taken:</w:t>
      </w:r>
    </w:p>
    <w:p w14:paraId="4463B329" w14:textId="7F7B3BDC" w:rsidR="00FB6100" w:rsidRPr="00905C69" w:rsidRDefault="00FB6100" w:rsidP="00401EE2">
      <w:pPr>
        <w:pStyle w:val="ListBullet"/>
      </w:pPr>
      <w:r w:rsidRPr="00905C69">
        <w:t>Stevens</w:t>
      </w:r>
      <w:r w:rsidR="00401EE2">
        <w:t>-</w:t>
      </w:r>
      <w:r w:rsidRPr="00905C69">
        <w:t>Johnson syndrome (SJS) was identified as a new adverse drug reaction resulting in the update of the core data sheet (CDS), SPC, PIL, and Informed Consent Forms and other relevant clinical trial documents for a number of ongoing studies.</w:t>
      </w:r>
    </w:p>
    <w:p w14:paraId="4463B32A" w14:textId="77777777" w:rsidR="00FB6100" w:rsidRPr="00905C69" w:rsidRDefault="00FB6100" w:rsidP="00FB6100">
      <w:pPr>
        <w:pStyle w:val="ListBullet"/>
      </w:pPr>
      <w:r w:rsidRPr="00905C69">
        <w:t>A drug safety report (DSR) was prepared for autoimmune disorders, but the signal was refuted by the MAH following a thorough assessment.</w:t>
      </w:r>
    </w:p>
    <w:p w14:paraId="4463B32B" w14:textId="77777777" w:rsidR="00FB6100" w:rsidRDefault="00FB6100" w:rsidP="00FB6100">
      <w:pPr>
        <w:pStyle w:val="ListBullet"/>
      </w:pPr>
      <w:r>
        <w:t>The</w:t>
      </w:r>
      <w:r w:rsidRPr="00905C69">
        <w:t xml:space="preserve"> SC formulation of tocilizumab was approved in the European Union for the treatment of moderate to severely active RA in adult patients who have had an inadequate </w:t>
      </w:r>
      <w:r>
        <w:t>response to one or more DMARDs.</w:t>
      </w:r>
    </w:p>
    <w:p w14:paraId="4463B32C" w14:textId="77777777" w:rsidR="00FB6100" w:rsidRDefault="00FB6100" w:rsidP="00FB6100">
      <w:pPr>
        <w:autoSpaceDE w:val="0"/>
        <w:autoSpaceDN w:val="0"/>
        <w:adjustRightInd w:val="0"/>
      </w:pPr>
      <w:r>
        <w:t xml:space="preserve">Serious hypersensitivity reactions and anaphylaxis are considered events of interest for TCZ </w:t>
      </w:r>
      <w:r w:rsidRPr="00ED3A57">
        <w:t>(</w:t>
      </w:r>
      <w:r w:rsidR="003F3AA2">
        <w:t>Table 20</w:t>
      </w:r>
      <w:r w:rsidRPr="00ED3A57">
        <w:t>, below)</w:t>
      </w:r>
      <w:r>
        <w:t>. During the period of the PBRERs, no new notable findings related to these events were identified and the safety profile of SC TCZ was found to be comparable with the safety profile of IV TCZ (with the exception of injection site reactions which were more common with SC TCZ).</w:t>
      </w:r>
    </w:p>
    <w:p w14:paraId="4463B32D" w14:textId="77777777" w:rsidR="00FB6100" w:rsidRDefault="00FB6100" w:rsidP="00FB6100">
      <w:pPr>
        <w:pStyle w:val="Tabletitle"/>
      </w:pPr>
      <w:r>
        <w:lastRenderedPageBreak/>
        <w:t>Table 20: Cumulative rates of serious hypersensitivity reactions (PBRER 11/4/14 to 10/10/14)</w:t>
      </w:r>
      <w:r w:rsidR="005320D9">
        <w:t>.</w:t>
      </w:r>
    </w:p>
    <w:p w14:paraId="4463B32E" w14:textId="77777777" w:rsidR="00FB6100" w:rsidRDefault="00FB6100" w:rsidP="00FB6100">
      <w:pPr>
        <w:rPr>
          <w:lang w:eastAsia="ja-JP"/>
        </w:rPr>
      </w:pPr>
      <w:r>
        <w:rPr>
          <w:noProof/>
          <w:lang w:eastAsia="en-AU"/>
        </w:rPr>
        <w:drawing>
          <wp:inline distT="0" distB="0" distL="0" distR="0" wp14:anchorId="4463B3F8" wp14:editId="0CED4FED">
            <wp:extent cx="4535001" cy="1160883"/>
            <wp:effectExtent l="0" t="0" r="0" b="1270"/>
            <wp:docPr id="24" name="Picture 24" descr="Table 20: Cumulative rates of serious hypersensitivity reactions (PBRER 11/4/14 to 10/10/14)." title="Table 20: Cumulative rates of serious hypersensitivity reactions (PBRER 11/4/14 to 10/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4532383" cy="1160213"/>
                    </a:xfrm>
                    <a:prstGeom prst="rect">
                      <a:avLst/>
                    </a:prstGeom>
                  </pic:spPr>
                </pic:pic>
              </a:graphicData>
            </a:graphic>
          </wp:inline>
        </w:drawing>
      </w:r>
    </w:p>
    <w:p w14:paraId="4463B32F" w14:textId="77777777" w:rsidR="00FB6100" w:rsidRPr="00471946" w:rsidRDefault="00FB6100" w:rsidP="00FB6100">
      <w:pPr>
        <w:autoSpaceDE w:val="0"/>
        <w:autoSpaceDN w:val="0"/>
        <w:adjustRightInd w:val="0"/>
      </w:pPr>
      <w:r w:rsidRPr="00471946">
        <w:t>No other newly identified safety risks were identified, and post-marketing data were considered to be consistent with the safety profile observed in the clinical trial data.</w:t>
      </w:r>
      <w:r>
        <w:t xml:space="preserve"> </w:t>
      </w:r>
      <w:r w:rsidRPr="00471946">
        <w:t>Of note, there was no data specifically related to home-based use of SC TCZ in these reports.</w:t>
      </w:r>
    </w:p>
    <w:p w14:paraId="4463B330" w14:textId="77777777" w:rsidR="00FA777C" w:rsidRPr="00471946" w:rsidRDefault="00FA777C" w:rsidP="00401EE2">
      <w:pPr>
        <w:pStyle w:val="Heading3"/>
      </w:pPr>
      <w:bookmarkStart w:id="165" w:name="_Ref424887195"/>
      <w:bookmarkStart w:id="166" w:name="_Toc430268012"/>
      <w:bookmarkStart w:id="167" w:name="_Toc464136279"/>
      <w:r w:rsidRPr="00471946">
        <w:t>Safety of home-based therapy</w:t>
      </w:r>
      <w:bookmarkEnd w:id="165"/>
      <w:bookmarkEnd w:id="166"/>
      <w:bookmarkEnd w:id="167"/>
    </w:p>
    <w:p w14:paraId="4463B331" w14:textId="77777777" w:rsidR="00FB6100" w:rsidRDefault="00FA777C" w:rsidP="00FA777C">
      <w:pPr>
        <w:autoSpaceDE w:val="0"/>
        <w:autoSpaceDN w:val="0"/>
        <w:adjustRightInd w:val="0"/>
      </w:pPr>
      <w:r w:rsidRPr="00471946">
        <w:t xml:space="preserve">The </w:t>
      </w:r>
      <w:r>
        <w:t>s</w:t>
      </w:r>
      <w:r w:rsidRPr="00471946">
        <w:t xml:space="preserve">ponsor has provided long term safety data for patients receiving SC TCZ in clinical trials and post-marketing data in support of the safety of </w:t>
      </w:r>
      <w:r>
        <w:t xml:space="preserve">home-based therapy. </w:t>
      </w:r>
      <w:r w:rsidRPr="00471946">
        <w:t>However while the data does address the relative safety of subcutaneous administration of TCZ versus intravenous TCZ, for the majority of the data it was not reported whether SC administration occurred in a home setting or</w:t>
      </w:r>
      <w:r>
        <w:t xml:space="preserve"> a healthcare setting. </w:t>
      </w:r>
      <w:r w:rsidRPr="00471946">
        <w:t>While the clinical trial protocols all allowed home administration after demonstrated competence in self-administration (or administration by a caregiver) at the clinical site, only the Japanese study (MRA229JP) reported AEs separately for patients before and afte</w:t>
      </w:r>
      <w:r>
        <w:t xml:space="preserve">r the start of self-injection. </w:t>
      </w:r>
      <w:r w:rsidRPr="00471946">
        <w:t xml:space="preserve">Similarly for the post-marketing data, safety of SC TCZ (versus IV TCZ) has been presented, but it is not reported separately for clinical site and home-based administration (the </w:t>
      </w:r>
      <w:r>
        <w:t>s</w:t>
      </w:r>
      <w:r w:rsidRPr="00471946">
        <w:t>ponsor will be asked</w:t>
      </w:r>
      <w:r>
        <w:t xml:space="preserve"> to provide this information). </w:t>
      </w:r>
      <w:r w:rsidRPr="00471946">
        <w:t>Therefore the decision regarding the safety of home-based therapy is being made on the basis of the relative safety of SC versus IV TCZ administration which has occurred primarily in the healthcare setting, not on demonstrated safety of SC TCZ in the home.</w:t>
      </w:r>
    </w:p>
    <w:p w14:paraId="4463B332" w14:textId="33D48A48" w:rsidR="003C7846" w:rsidRPr="003C7846" w:rsidRDefault="00401EE2" w:rsidP="00560623">
      <w:pPr>
        <w:pStyle w:val="Heading3"/>
      </w:pPr>
      <w:bookmarkStart w:id="168" w:name="_Toc464136280"/>
      <w:r>
        <w:t>Risk m</w:t>
      </w:r>
      <w:r w:rsidR="003C7846" w:rsidRPr="003C7846">
        <w:t xml:space="preserve">anagement </w:t>
      </w:r>
      <w:r>
        <w:t>p</w:t>
      </w:r>
      <w:r w:rsidR="003C7846" w:rsidRPr="003C7846">
        <w:t>lan</w:t>
      </w:r>
      <w:bookmarkEnd w:id="163"/>
      <w:bookmarkEnd w:id="168"/>
    </w:p>
    <w:p w14:paraId="4463B333" w14:textId="77777777" w:rsidR="003C7846" w:rsidRPr="003C7846" w:rsidRDefault="003C7846" w:rsidP="00560623">
      <w:pPr>
        <w:rPr>
          <w:lang w:eastAsia="en-AU"/>
        </w:rPr>
      </w:pPr>
      <w:r w:rsidRPr="003C7846">
        <w:rPr>
          <w:lang w:eastAsia="en-AU"/>
        </w:rPr>
        <w:t>In the Australian specific Risk Management Plan</w:t>
      </w:r>
      <w:r w:rsidR="00D64C75">
        <w:rPr>
          <w:lang w:eastAsia="en-AU"/>
        </w:rPr>
        <w:t>,</w:t>
      </w:r>
      <w:r w:rsidRPr="003C7846">
        <w:rPr>
          <w:lang w:eastAsia="en-AU"/>
        </w:rPr>
        <w:t xml:space="preserve"> the Important Identified Risks are:</w:t>
      </w:r>
    </w:p>
    <w:p w14:paraId="4463B334" w14:textId="77777777" w:rsidR="003C7846" w:rsidRPr="003C7846" w:rsidRDefault="003C7846" w:rsidP="003F3AA2">
      <w:pPr>
        <w:pStyle w:val="ListBullet"/>
        <w:rPr>
          <w:lang w:eastAsia="en-AU"/>
        </w:rPr>
      </w:pPr>
      <w:r w:rsidRPr="003C7846">
        <w:rPr>
          <w:lang w:eastAsia="en-AU"/>
        </w:rPr>
        <w:t xml:space="preserve">Serious </w:t>
      </w:r>
      <w:r w:rsidR="003F3AA2">
        <w:rPr>
          <w:lang w:eastAsia="en-AU"/>
        </w:rPr>
        <w:t>i</w:t>
      </w:r>
      <w:r w:rsidRPr="003C7846">
        <w:rPr>
          <w:lang w:eastAsia="en-AU"/>
        </w:rPr>
        <w:t>nfection</w:t>
      </w:r>
    </w:p>
    <w:p w14:paraId="4463B335" w14:textId="77777777" w:rsidR="003C7846" w:rsidRPr="003C7846" w:rsidRDefault="003C7846" w:rsidP="003F3AA2">
      <w:pPr>
        <w:pStyle w:val="ListBullet"/>
        <w:rPr>
          <w:lang w:eastAsia="en-AU"/>
        </w:rPr>
      </w:pPr>
      <w:r w:rsidRPr="003C7846">
        <w:rPr>
          <w:lang w:val="en-US"/>
        </w:rPr>
        <w:t>Complications of diverticulitis (including GI perforation)</w:t>
      </w:r>
    </w:p>
    <w:p w14:paraId="4463B336" w14:textId="77777777" w:rsidR="003C7846" w:rsidRPr="003C7846" w:rsidRDefault="003C7846" w:rsidP="003F3AA2">
      <w:pPr>
        <w:pStyle w:val="ListBullet"/>
        <w:rPr>
          <w:lang w:eastAsia="en-AU"/>
        </w:rPr>
      </w:pPr>
      <w:r w:rsidRPr="003C7846">
        <w:rPr>
          <w:lang w:val="en-US"/>
        </w:rPr>
        <w:t>Serious hypersensitivity reactions</w:t>
      </w:r>
    </w:p>
    <w:p w14:paraId="4463B337" w14:textId="77777777" w:rsidR="003C7846" w:rsidRPr="003C7846" w:rsidRDefault="003C7846" w:rsidP="00560623">
      <w:pPr>
        <w:rPr>
          <w:lang w:eastAsia="en-AU"/>
        </w:rPr>
      </w:pPr>
      <w:r w:rsidRPr="003C7846">
        <w:rPr>
          <w:lang w:eastAsia="en-AU"/>
        </w:rPr>
        <w:t>The Important Potential Risks are:</w:t>
      </w:r>
    </w:p>
    <w:p w14:paraId="4463B338" w14:textId="77777777" w:rsidR="003C7846" w:rsidRPr="003C7846" w:rsidRDefault="003C7846" w:rsidP="003F3AA2">
      <w:pPr>
        <w:pStyle w:val="ListBullet"/>
        <w:rPr>
          <w:lang w:eastAsia="en-AU"/>
        </w:rPr>
      </w:pPr>
      <w:r w:rsidRPr="003C7846">
        <w:rPr>
          <w:lang w:eastAsia="en-AU"/>
        </w:rPr>
        <w:t>Neutropenia</w:t>
      </w:r>
    </w:p>
    <w:p w14:paraId="4463B339" w14:textId="77777777" w:rsidR="003C7846" w:rsidRPr="003C7846" w:rsidRDefault="003C7846" w:rsidP="003F3AA2">
      <w:pPr>
        <w:pStyle w:val="ListBullet"/>
        <w:rPr>
          <w:lang w:eastAsia="en-AU"/>
        </w:rPr>
      </w:pPr>
      <w:r w:rsidRPr="003C7846">
        <w:rPr>
          <w:lang w:eastAsia="en-AU"/>
        </w:rPr>
        <w:t>Thrombocytopenia</w:t>
      </w:r>
    </w:p>
    <w:p w14:paraId="4463B33A" w14:textId="77777777" w:rsidR="003C7846" w:rsidRPr="003C7846" w:rsidRDefault="003C7846" w:rsidP="003F3AA2">
      <w:pPr>
        <w:pStyle w:val="ListBullet"/>
        <w:rPr>
          <w:lang w:eastAsia="en-AU"/>
        </w:rPr>
      </w:pPr>
      <w:r w:rsidRPr="003C7846">
        <w:rPr>
          <w:lang w:eastAsia="en-AU"/>
        </w:rPr>
        <w:t>Elevated hepatic transaminases</w:t>
      </w:r>
    </w:p>
    <w:p w14:paraId="4463B33B" w14:textId="77777777" w:rsidR="003C7846" w:rsidRPr="003C7846" w:rsidRDefault="003C7846" w:rsidP="003F3AA2">
      <w:pPr>
        <w:pStyle w:val="ListBullet"/>
        <w:rPr>
          <w:lang w:eastAsia="en-AU"/>
        </w:rPr>
      </w:pPr>
      <w:r w:rsidRPr="003C7846">
        <w:rPr>
          <w:lang w:eastAsia="en-AU"/>
        </w:rPr>
        <w:t>Elevated bilirubin (essentially indirect)</w:t>
      </w:r>
    </w:p>
    <w:p w14:paraId="4463B33C" w14:textId="77777777" w:rsidR="003C7846" w:rsidRPr="003C7846" w:rsidRDefault="003C7846" w:rsidP="003F3AA2">
      <w:pPr>
        <w:pStyle w:val="ListBullet"/>
        <w:rPr>
          <w:lang w:eastAsia="en-AU"/>
        </w:rPr>
      </w:pPr>
      <w:r w:rsidRPr="003C7846">
        <w:rPr>
          <w:lang w:eastAsia="en-AU"/>
        </w:rPr>
        <w:t>Immunogenicity</w:t>
      </w:r>
    </w:p>
    <w:p w14:paraId="4463B33D" w14:textId="77777777" w:rsidR="003C7846" w:rsidRPr="003C7846" w:rsidRDefault="003C7846" w:rsidP="003F3AA2">
      <w:pPr>
        <w:pStyle w:val="ListBullet"/>
        <w:rPr>
          <w:lang w:eastAsia="en-AU"/>
        </w:rPr>
      </w:pPr>
      <w:r w:rsidRPr="003C7846">
        <w:rPr>
          <w:lang w:eastAsia="en-AU"/>
        </w:rPr>
        <w:t>Elevated lipids</w:t>
      </w:r>
    </w:p>
    <w:p w14:paraId="4463B33E" w14:textId="77777777" w:rsidR="003C7846" w:rsidRPr="003C7846" w:rsidRDefault="003C7846" w:rsidP="003F3AA2">
      <w:pPr>
        <w:pStyle w:val="ListBullet"/>
        <w:rPr>
          <w:lang w:eastAsia="en-AU"/>
        </w:rPr>
      </w:pPr>
      <w:r w:rsidRPr="003C7846">
        <w:rPr>
          <w:lang w:eastAsia="en-AU"/>
        </w:rPr>
        <w:t>Malignancies</w:t>
      </w:r>
    </w:p>
    <w:p w14:paraId="4463B33F" w14:textId="77777777" w:rsidR="003C7846" w:rsidRPr="003C7846" w:rsidRDefault="003C7846" w:rsidP="003F3AA2">
      <w:pPr>
        <w:pStyle w:val="ListBullet"/>
        <w:rPr>
          <w:lang w:eastAsia="en-AU"/>
        </w:rPr>
      </w:pPr>
      <w:r w:rsidRPr="003C7846">
        <w:rPr>
          <w:lang w:eastAsia="en-AU"/>
        </w:rPr>
        <w:t>Demyelinating disorders</w:t>
      </w:r>
    </w:p>
    <w:p w14:paraId="4463B340" w14:textId="77777777" w:rsidR="003C7846" w:rsidRPr="003C7846" w:rsidRDefault="003C7846" w:rsidP="003F3AA2">
      <w:pPr>
        <w:pStyle w:val="ListBullet"/>
        <w:rPr>
          <w:lang w:eastAsia="en-AU"/>
        </w:rPr>
      </w:pPr>
      <w:r w:rsidRPr="003C7846">
        <w:rPr>
          <w:lang w:eastAsia="en-AU"/>
        </w:rPr>
        <w:t>Viral reactivation</w:t>
      </w:r>
    </w:p>
    <w:p w14:paraId="4463B341" w14:textId="77777777" w:rsidR="003C7846" w:rsidRPr="003C7846" w:rsidRDefault="003C7846" w:rsidP="003F3AA2">
      <w:pPr>
        <w:pStyle w:val="ListBullet"/>
        <w:rPr>
          <w:lang w:eastAsia="en-AU"/>
        </w:rPr>
      </w:pPr>
      <w:r w:rsidRPr="003C7846">
        <w:rPr>
          <w:lang w:eastAsia="en-AU"/>
        </w:rPr>
        <w:lastRenderedPageBreak/>
        <w:t>CYP450 enzyme normalisation</w:t>
      </w:r>
    </w:p>
    <w:p w14:paraId="4463B342" w14:textId="77777777" w:rsidR="003C7846" w:rsidRPr="003C7846" w:rsidRDefault="003C7846" w:rsidP="00560623">
      <w:pPr>
        <w:rPr>
          <w:lang w:eastAsia="en-AU"/>
        </w:rPr>
      </w:pPr>
      <w:r w:rsidRPr="003C7846">
        <w:rPr>
          <w:lang w:eastAsia="en-AU"/>
        </w:rPr>
        <w:t>Important Missing Information is:</w:t>
      </w:r>
    </w:p>
    <w:p w14:paraId="4463B343" w14:textId="77777777" w:rsidR="003C7846" w:rsidRPr="003C7846" w:rsidRDefault="003C7846" w:rsidP="00625762">
      <w:pPr>
        <w:pStyle w:val="ListBullet"/>
        <w:rPr>
          <w:lang w:eastAsia="en-AU"/>
        </w:rPr>
      </w:pPr>
      <w:r w:rsidRPr="003C7846">
        <w:rPr>
          <w:lang w:eastAsia="en-AU"/>
        </w:rPr>
        <w:t>Increased mortality in the Japanese PMS compared to clinical study population</w:t>
      </w:r>
    </w:p>
    <w:p w14:paraId="4463B344" w14:textId="77777777" w:rsidR="003C7846" w:rsidRPr="003C7846" w:rsidRDefault="003C7846" w:rsidP="00625762">
      <w:pPr>
        <w:pStyle w:val="ListBullet"/>
        <w:rPr>
          <w:lang w:eastAsia="en-AU"/>
        </w:rPr>
      </w:pPr>
      <w:r w:rsidRPr="003C7846">
        <w:rPr>
          <w:lang w:eastAsia="en-AU"/>
        </w:rPr>
        <w:t>Elderly</w:t>
      </w:r>
    </w:p>
    <w:p w14:paraId="4463B345" w14:textId="77777777" w:rsidR="003C7846" w:rsidRPr="003C7846" w:rsidRDefault="003C7846" w:rsidP="00625762">
      <w:pPr>
        <w:pStyle w:val="ListBullet"/>
        <w:rPr>
          <w:lang w:eastAsia="en-AU"/>
        </w:rPr>
      </w:pPr>
      <w:r w:rsidRPr="003C7846">
        <w:rPr>
          <w:lang w:eastAsia="en-AU"/>
        </w:rPr>
        <w:t>Paediatric patients</w:t>
      </w:r>
    </w:p>
    <w:p w14:paraId="4463B346" w14:textId="77777777" w:rsidR="003C7846" w:rsidRPr="003C7846" w:rsidRDefault="003C7846" w:rsidP="00625762">
      <w:pPr>
        <w:pStyle w:val="ListBullet"/>
        <w:rPr>
          <w:lang w:eastAsia="en-AU"/>
        </w:rPr>
      </w:pPr>
      <w:r w:rsidRPr="003C7846">
        <w:rPr>
          <w:lang w:eastAsia="en-AU"/>
        </w:rPr>
        <w:t>Effects during pregnancy</w:t>
      </w:r>
    </w:p>
    <w:p w14:paraId="4463B347" w14:textId="77777777" w:rsidR="003C7846" w:rsidRPr="003C7846" w:rsidRDefault="003C7846" w:rsidP="00625762">
      <w:pPr>
        <w:pStyle w:val="ListBullet"/>
        <w:rPr>
          <w:lang w:eastAsia="en-AU"/>
        </w:rPr>
      </w:pPr>
      <w:r w:rsidRPr="003C7846">
        <w:rPr>
          <w:lang w:eastAsia="en-AU"/>
        </w:rPr>
        <w:t>Hepatic impairment</w:t>
      </w:r>
    </w:p>
    <w:p w14:paraId="4463B348" w14:textId="77777777" w:rsidR="003C7846" w:rsidRPr="003C7846" w:rsidRDefault="003C7846" w:rsidP="00625762">
      <w:pPr>
        <w:pStyle w:val="ListBullet"/>
        <w:rPr>
          <w:lang w:eastAsia="en-AU"/>
        </w:rPr>
      </w:pPr>
      <w:r w:rsidRPr="003C7846">
        <w:rPr>
          <w:lang w:eastAsia="en-AU"/>
        </w:rPr>
        <w:t>Renal Impairment</w:t>
      </w:r>
    </w:p>
    <w:p w14:paraId="4463B349" w14:textId="77777777" w:rsidR="003C7846" w:rsidRPr="003C7846" w:rsidRDefault="003C7846" w:rsidP="00625762">
      <w:pPr>
        <w:pStyle w:val="ListBullet"/>
        <w:rPr>
          <w:lang w:eastAsia="en-AU"/>
        </w:rPr>
      </w:pPr>
      <w:r w:rsidRPr="003C7846">
        <w:rPr>
          <w:lang w:eastAsia="en-AU"/>
        </w:rPr>
        <w:t>Combination with biologics</w:t>
      </w:r>
    </w:p>
    <w:p w14:paraId="4463B34A" w14:textId="77777777" w:rsidR="003C7846" w:rsidRPr="003C7846" w:rsidRDefault="00560623" w:rsidP="00625762">
      <w:pPr>
        <w:pStyle w:val="ListBullet"/>
        <w:rPr>
          <w:lang w:eastAsia="en-AU"/>
        </w:rPr>
      </w:pPr>
      <w:r>
        <w:rPr>
          <w:lang w:eastAsia="en-AU"/>
        </w:rPr>
        <w:t>Vaccinations</w:t>
      </w:r>
    </w:p>
    <w:p w14:paraId="4463B34B" w14:textId="77777777" w:rsidR="003C7846" w:rsidRDefault="003C7846" w:rsidP="003C0C9F">
      <w:pPr>
        <w:pStyle w:val="Heading3"/>
      </w:pPr>
      <w:bookmarkStart w:id="169" w:name="_Toc241374328"/>
      <w:bookmarkStart w:id="170" w:name="_Toc272414691"/>
      <w:bookmarkStart w:id="171" w:name="_Toc290846329"/>
      <w:bookmarkStart w:id="172" w:name="_Toc367010607"/>
      <w:bookmarkStart w:id="173" w:name="_Toc464136281"/>
      <w:r w:rsidRPr="003C7846">
        <w:t>Evaluator’s overall conclusions on clinical safety</w:t>
      </w:r>
      <w:bookmarkEnd w:id="169"/>
      <w:bookmarkEnd w:id="170"/>
      <w:bookmarkEnd w:id="171"/>
      <w:bookmarkEnd w:id="172"/>
      <w:bookmarkEnd w:id="173"/>
    </w:p>
    <w:p w14:paraId="4463B34C" w14:textId="77777777" w:rsidR="009F0A80" w:rsidRDefault="009F0A80" w:rsidP="009F0A80">
      <w:pPr>
        <w:pStyle w:val="ListBullet"/>
      </w:pPr>
      <w:r w:rsidRPr="007D2A65">
        <w:t xml:space="preserve">Injection site reactions </w:t>
      </w:r>
      <w:r>
        <w:t xml:space="preserve">with the TCZ PFS presentation </w:t>
      </w:r>
      <w:r w:rsidRPr="007D2A65">
        <w:t xml:space="preserve">occurred at a similar rate </w:t>
      </w:r>
      <w:r>
        <w:t>in both pivotal studies (</w:t>
      </w:r>
      <w:r w:rsidRPr="00FE5708">
        <w:t xml:space="preserve">26.1 </w:t>
      </w:r>
      <w:r>
        <w:t>(</w:t>
      </w:r>
      <w:r w:rsidRPr="00FE5708">
        <w:t>23.0, 29.4</w:t>
      </w:r>
      <w:r>
        <w:t>)</w:t>
      </w:r>
      <w:r w:rsidRPr="00FE5708">
        <w:t xml:space="preserve"> </w:t>
      </w:r>
      <w:r>
        <w:t>versus</w:t>
      </w:r>
      <w:r w:rsidRPr="00FE5708">
        <w:t xml:space="preserve"> </w:t>
      </w:r>
      <w:r w:rsidRPr="007D2A65">
        <w:t xml:space="preserve">22.01 </w:t>
      </w:r>
      <w:r>
        <w:t>(</w:t>
      </w:r>
      <w:r w:rsidRPr="007D2A65">
        <w:t>17.68, 27.09</w:t>
      </w:r>
      <w:r>
        <w:t xml:space="preserve">) </w:t>
      </w:r>
      <w:r w:rsidRPr="000C7411">
        <w:t xml:space="preserve">events per 100 PY </w:t>
      </w:r>
      <w:r>
        <w:t>for WA22762 and NA25220, respectively). These rates were comparable to the rate seen with IV administration of TCZ (33.6 (</w:t>
      </w:r>
      <w:r w:rsidRPr="006D037D">
        <w:t>27.1, 41.3</w:t>
      </w:r>
      <w:r>
        <w:t xml:space="preserve">) </w:t>
      </w:r>
      <w:r w:rsidRPr="000C7411">
        <w:t>events per 100 PY</w:t>
      </w:r>
      <w:r>
        <w:t>) in WA22762.</w:t>
      </w:r>
    </w:p>
    <w:p w14:paraId="4463B34D" w14:textId="77777777" w:rsidR="009F0A80" w:rsidRDefault="009F0A80" w:rsidP="009F0A80">
      <w:pPr>
        <w:pStyle w:val="ListBullet"/>
      </w:pPr>
      <w:r w:rsidRPr="00FE5708">
        <w:t>Hypersensitivity reactions</w:t>
      </w:r>
      <w:r>
        <w:t xml:space="preserve"> </w:t>
      </w:r>
      <w:r w:rsidRPr="0034662D">
        <w:t xml:space="preserve">with the TCZ PFS presentation occurred at a similar rate in both pivotal studies </w:t>
      </w:r>
      <w:r w:rsidRPr="00FE5708">
        <w:t xml:space="preserve">(8.8 </w:t>
      </w:r>
      <w:r>
        <w:t>(</w:t>
      </w:r>
      <w:r w:rsidRPr="00FE5708">
        <w:t>7.1, 10.8</w:t>
      </w:r>
      <w:r>
        <w:t>)</w:t>
      </w:r>
      <w:r w:rsidRPr="00FE5708">
        <w:t xml:space="preserve"> </w:t>
      </w:r>
      <w:r>
        <w:t xml:space="preserve">versus </w:t>
      </w:r>
      <w:r w:rsidRPr="00FE5708">
        <w:t xml:space="preserve">5.69 </w:t>
      </w:r>
      <w:r>
        <w:t>(</w:t>
      </w:r>
      <w:r w:rsidRPr="00FE5708">
        <w:t>3.61, 8.54</w:t>
      </w:r>
      <w:r>
        <w:t xml:space="preserve">) </w:t>
      </w:r>
      <w:r w:rsidRPr="000C7411">
        <w:t xml:space="preserve">events per 100 PY </w:t>
      </w:r>
      <w:r w:rsidRPr="0034662D">
        <w:t>for WA22762 and NA25220, respectivel</w:t>
      </w:r>
      <w:r>
        <w:t xml:space="preserve">y), which was lower than the rate seen with </w:t>
      </w:r>
      <w:r w:rsidRPr="006D037D">
        <w:t xml:space="preserve">IV administration (14.8 </w:t>
      </w:r>
      <w:r>
        <w:t>(</w:t>
      </w:r>
      <w:r w:rsidRPr="006D037D">
        <w:t>12.3, 17.7</w:t>
      </w:r>
      <w:r>
        <w:t xml:space="preserve">)) </w:t>
      </w:r>
      <w:r w:rsidRPr="006D037D">
        <w:t>in WA22762.</w:t>
      </w:r>
    </w:p>
    <w:p w14:paraId="4463B34E" w14:textId="77777777" w:rsidR="009F0A80" w:rsidRDefault="009F0A80" w:rsidP="009F0A80">
      <w:pPr>
        <w:pStyle w:val="ListBullet"/>
      </w:pPr>
      <w:r w:rsidRPr="00FE5708">
        <w:t>Serious hypersensitivity reactions</w:t>
      </w:r>
      <w:r>
        <w:t xml:space="preserve"> </w:t>
      </w:r>
      <w:r w:rsidRPr="0034662D">
        <w:t>with the TCZ PFS presentation occurred at a similar rate in both pivotal studies</w:t>
      </w:r>
      <w:r>
        <w:t xml:space="preserve"> </w:t>
      </w:r>
      <w:r w:rsidRPr="00FE5708">
        <w:t xml:space="preserve">(0.5 </w:t>
      </w:r>
      <w:r>
        <w:t>(</w:t>
      </w:r>
      <w:r w:rsidRPr="00FE5708">
        <w:t>0.2, 1.2</w:t>
      </w:r>
      <w:r>
        <w:t>)</w:t>
      </w:r>
      <w:r w:rsidRPr="00FE5708">
        <w:t xml:space="preserve"> </w:t>
      </w:r>
      <w:r>
        <w:t xml:space="preserve">versus 0.00 (0.00, 0.91) </w:t>
      </w:r>
      <w:r w:rsidRPr="000C7411">
        <w:t xml:space="preserve">events per 100 PY </w:t>
      </w:r>
      <w:r w:rsidRPr="0034662D">
        <w:t>for WA2</w:t>
      </w:r>
      <w:r>
        <w:t xml:space="preserve">2762 and NA25220, respectively), </w:t>
      </w:r>
      <w:r w:rsidRPr="006D037D">
        <w:t xml:space="preserve">which was </w:t>
      </w:r>
      <w:r>
        <w:t>comparable to</w:t>
      </w:r>
      <w:r w:rsidRPr="006D037D">
        <w:t xml:space="preserve"> the rate seen with IV administration (0.2 </w:t>
      </w:r>
      <w:r>
        <w:t>(</w:t>
      </w:r>
      <w:r w:rsidRPr="006D037D">
        <w:t>0.03, 0.9</w:t>
      </w:r>
      <w:r>
        <w:t>)</w:t>
      </w:r>
      <w:r w:rsidRPr="006D037D">
        <w:t>) in WA22762.</w:t>
      </w:r>
    </w:p>
    <w:p w14:paraId="4463B34F" w14:textId="0B4E7C4A" w:rsidR="009F0A80" w:rsidRDefault="009F0A80" w:rsidP="009F0A80">
      <w:pPr>
        <w:pStyle w:val="ListBullet"/>
      </w:pPr>
      <w:r w:rsidRPr="003E6453">
        <w:t xml:space="preserve">To date, </w:t>
      </w:r>
      <w:r w:rsidR="003C0C9F">
        <w:t>only one (non-</w:t>
      </w:r>
      <w:r>
        <w:t>fatal) anaphylaxis event has</w:t>
      </w:r>
      <w:r w:rsidRPr="003E6453">
        <w:t xml:space="preserve"> been reported with SC TCZ administration.</w:t>
      </w:r>
      <w:r>
        <w:t xml:space="preserve"> </w:t>
      </w:r>
      <w:r w:rsidRPr="003E6453">
        <w:t xml:space="preserve">This needs to be put in the context of an estimated 13,664 PYs of </w:t>
      </w:r>
      <w:r>
        <w:t xml:space="preserve">post-authorisation </w:t>
      </w:r>
      <w:r w:rsidRPr="003E6453">
        <w:t xml:space="preserve">exposure to SC TCZ, versus </w:t>
      </w:r>
      <w:r w:rsidRPr="00ED3A57">
        <w:rPr>
          <w:bCs/>
        </w:rPr>
        <w:t xml:space="preserve">309,447 </w:t>
      </w:r>
      <w:r w:rsidRPr="003E6453">
        <w:t xml:space="preserve">PYs of </w:t>
      </w:r>
      <w:r w:rsidRPr="00D55D9B">
        <w:t xml:space="preserve">post-authorisation </w:t>
      </w:r>
      <w:r w:rsidRPr="003E6453">
        <w:t xml:space="preserve">exposure to IV TCZ </w:t>
      </w:r>
      <w:r>
        <w:t xml:space="preserve">with an estimated anaphylaxis rate of </w:t>
      </w:r>
      <w:r w:rsidRPr="003E6453">
        <w:t xml:space="preserve">0.05 </w:t>
      </w:r>
      <w:r>
        <w:t>(</w:t>
      </w:r>
      <w:r w:rsidRPr="003E6453">
        <w:t>95% CI: 0.02, 0.10</w:t>
      </w:r>
      <w:r>
        <w:t>)</w:t>
      </w:r>
      <w:r w:rsidRPr="003E6453">
        <w:t xml:space="preserve"> events per 100 PY</w:t>
      </w:r>
      <w:r>
        <w:t xml:space="preserve"> based on </w:t>
      </w:r>
      <w:r w:rsidRPr="00463201">
        <w:t>cumulative</w:t>
      </w:r>
      <w:r>
        <w:t xml:space="preserve"> market exposure up till 10 October 2014</w:t>
      </w:r>
      <w:r w:rsidRPr="003E6453">
        <w:t>.</w:t>
      </w:r>
      <w:r>
        <w:t xml:space="preserve"> Based on the adult IV TCZ RA clinical trial program, the incidence proportion of anaphylactic reactions was 0.198%, while the overall adjudicated incidence proportion based on clinical trials in all indications and spontaneous reports was 0.052%.</w:t>
      </w:r>
    </w:p>
    <w:p w14:paraId="4463B350" w14:textId="77777777" w:rsidR="009F0A80" w:rsidRPr="003E6453" w:rsidRDefault="009F0A80" w:rsidP="009F0A80">
      <w:pPr>
        <w:pStyle w:val="ListBullet"/>
      </w:pPr>
      <w:r>
        <w:t xml:space="preserve">Based on </w:t>
      </w:r>
      <w:r w:rsidRPr="00F6392F">
        <w:t>a retrospective cohort study of anaphylaxis in multiple cohorts of RA patients treated with commonly used biologics</w:t>
      </w:r>
      <w:r>
        <w:t>, rates of anaphylaxis following IV administration were similar (overlapping 95% CIs) for TCZ, infliximab and abatacept. Only abatacept had both IV and SC formulations in the database, and anaphylaxis rates were comparable for both formulations.</w:t>
      </w:r>
    </w:p>
    <w:p w14:paraId="4463B351" w14:textId="77B0F4CD" w:rsidR="009F0A80" w:rsidRPr="003E6453" w:rsidRDefault="009F0A80" w:rsidP="009F0A80">
      <w:pPr>
        <w:pStyle w:val="ListBullet"/>
      </w:pPr>
      <w:r w:rsidRPr="003E6453">
        <w:t xml:space="preserve">Of </w:t>
      </w:r>
      <w:r>
        <w:t xml:space="preserve">the 122 adjudicated </w:t>
      </w:r>
      <w:r w:rsidRPr="003E6453">
        <w:t xml:space="preserve">anaphylaxis events following IV TCZ administration, </w:t>
      </w:r>
      <w:r w:rsidR="002E266E">
        <w:t>91</w:t>
      </w:r>
      <w:r w:rsidRPr="003E6453">
        <w:t xml:space="preserve">% occurred </w:t>
      </w:r>
      <w:r>
        <w:t xml:space="preserve">in association with </w:t>
      </w:r>
      <w:r w:rsidRPr="003E6453">
        <w:t>the first 5 infusions.</w:t>
      </w:r>
      <w:r>
        <w:t xml:space="preserve"> It is not known whether this would also reflect the distribution of anaphylaxis events following SC administration.</w:t>
      </w:r>
    </w:p>
    <w:p w14:paraId="4463B352" w14:textId="77777777" w:rsidR="009F0A80" w:rsidRDefault="009F0A80" w:rsidP="009F0A80">
      <w:pPr>
        <w:pStyle w:val="ListBullet"/>
      </w:pPr>
      <w:r>
        <w:t>Development of antibodies is not a good predictor of hypersensitivity, anaphylaxis, or ISRs.</w:t>
      </w:r>
    </w:p>
    <w:p w14:paraId="4463B353" w14:textId="77777777" w:rsidR="009F0A80" w:rsidRDefault="009F0A80" w:rsidP="009F0A80">
      <w:pPr>
        <w:pStyle w:val="ListBullet"/>
      </w:pPr>
      <w:r w:rsidRPr="001C39B3">
        <w:t>When compared to the rates in the</w:t>
      </w:r>
      <w:r>
        <w:t xml:space="preserve"> </w:t>
      </w:r>
      <w:r w:rsidRPr="001C39B3">
        <w:t>24</w:t>
      </w:r>
      <w:r>
        <w:t xml:space="preserve"> </w:t>
      </w:r>
      <w:r w:rsidRPr="001C39B3">
        <w:t>week DB and interim OLE reports, the rate of AEs of hypersensitivity declined</w:t>
      </w:r>
      <w:r>
        <w:t xml:space="preserve"> </w:t>
      </w:r>
      <w:r w:rsidRPr="001C39B3">
        <w:t xml:space="preserve">over the course of the </w:t>
      </w:r>
      <w:r>
        <w:t xml:space="preserve">pivotal </w:t>
      </w:r>
      <w:r w:rsidRPr="001C39B3">
        <w:t>stud</w:t>
      </w:r>
      <w:r>
        <w:t>ies</w:t>
      </w:r>
      <w:r w:rsidRPr="001C39B3">
        <w:t>.</w:t>
      </w:r>
    </w:p>
    <w:p w14:paraId="4463B354" w14:textId="77777777" w:rsidR="009F0A80" w:rsidRDefault="009F0A80" w:rsidP="009F0A80">
      <w:pPr>
        <w:pStyle w:val="ListBullet"/>
      </w:pPr>
      <w:r>
        <w:lastRenderedPageBreak/>
        <w:t xml:space="preserve">The AE profiles </w:t>
      </w:r>
      <w:r w:rsidRPr="00D35596">
        <w:t xml:space="preserve">were comparable </w:t>
      </w:r>
      <w:r>
        <w:t>for the weekly and 2 weekly SC TCZ dosing regimens, and were consistent with the known safety profile of IV TCZ.</w:t>
      </w:r>
    </w:p>
    <w:p w14:paraId="4463B355" w14:textId="77777777" w:rsidR="00FA777C" w:rsidRPr="00FA777C" w:rsidRDefault="009F0A80" w:rsidP="009F0A80">
      <w:pPr>
        <w:pStyle w:val="ListBullet"/>
        <w:rPr>
          <w:lang w:eastAsia="en-AU"/>
        </w:rPr>
      </w:pPr>
      <w:r w:rsidRPr="00471946">
        <w:t>Safety has not specifically been demonstrated for SC</w:t>
      </w:r>
      <w:r>
        <w:t xml:space="preserve"> TCZ in the home-based setting.</w:t>
      </w:r>
    </w:p>
    <w:p w14:paraId="4463B356" w14:textId="77777777" w:rsidR="00C22678" w:rsidRDefault="00C22678" w:rsidP="003C0C9F">
      <w:pPr>
        <w:pStyle w:val="Heading2"/>
      </w:pPr>
      <w:bookmarkStart w:id="174" w:name="_Toc464136282"/>
      <w:r>
        <w:t>First round benefit-risk assessment</w:t>
      </w:r>
      <w:bookmarkEnd w:id="174"/>
    </w:p>
    <w:p w14:paraId="4463B357" w14:textId="77777777" w:rsidR="00560623" w:rsidRDefault="00560623" w:rsidP="003C0C9F">
      <w:pPr>
        <w:pStyle w:val="Heading3"/>
      </w:pPr>
      <w:bookmarkStart w:id="175" w:name="_Toc236802592"/>
      <w:bookmarkStart w:id="176" w:name="_Toc241374331"/>
      <w:bookmarkStart w:id="177" w:name="_Ref272160836"/>
      <w:bookmarkStart w:id="178" w:name="_Toc272414693"/>
      <w:bookmarkStart w:id="179" w:name="_Toc290846331"/>
      <w:bookmarkStart w:id="180" w:name="_Toc367010609"/>
      <w:bookmarkStart w:id="181" w:name="_Toc464136283"/>
      <w:r w:rsidRPr="00E070F6">
        <w:t>First round assessment of benefits</w:t>
      </w:r>
      <w:bookmarkEnd w:id="175"/>
      <w:bookmarkEnd w:id="176"/>
      <w:bookmarkEnd w:id="177"/>
      <w:bookmarkEnd w:id="178"/>
      <w:bookmarkEnd w:id="179"/>
      <w:bookmarkEnd w:id="180"/>
      <w:bookmarkEnd w:id="181"/>
    </w:p>
    <w:p w14:paraId="4463B358" w14:textId="77777777" w:rsidR="009F0A80" w:rsidRDefault="009F0A80" w:rsidP="009F0A80">
      <w:r>
        <w:t>The benefits of subcutaneous administration of tocilizumab in the proposed usage are:</w:t>
      </w:r>
    </w:p>
    <w:p w14:paraId="4463B359" w14:textId="77777777" w:rsidR="009F0A80" w:rsidRDefault="009F0A80" w:rsidP="009F0A80">
      <w:pPr>
        <w:pStyle w:val="ListBullet"/>
      </w:pPr>
      <w:r>
        <w:t>Comparable efficacy (non-inferiority) for subcutaneous tocilizumab 162 mg weekly and the approved intravenous dosing regimen (</w:t>
      </w:r>
      <w:r w:rsidRPr="00905C69">
        <w:t>8 mg/kg IV 4</w:t>
      </w:r>
      <w:r>
        <w:t xml:space="preserve"> </w:t>
      </w:r>
      <w:r w:rsidRPr="00905C69">
        <w:t>w</w:t>
      </w:r>
      <w:r>
        <w:t>eekly)</w:t>
      </w:r>
      <w:r w:rsidRPr="00905C69">
        <w:t xml:space="preserve"> </w:t>
      </w:r>
      <w:r>
        <w:t>which is maintained for up to 2 years of follow up.</w:t>
      </w:r>
    </w:p>
    <w:p w14:paraId="4463B35A" w14:textId="77777777" w:rsidR="009F0A80" w:rsidRDefault="009F0A80" w:rsidP="009F0A80">
      <w:pPr>
        <w:pStyle w:val="ListBullet"/>
      </w:pPr>
      <w:r>
        <w:t>Provides an alternative to intravenous dosing which may be preferable to patients with poor venous access.</w:t>
      </w:r>
    </w:p>
    <w:p w14:paraId="4463B35B" w14:textId="77777777" w:rsidR="009F0A80" w:rsidRDefault="009F0A80" w:rsidP="009F0A80">
      <w:pPr>
        <w:pStyle w:val="ListBullet"/>
      </w:pPr>
      <w:r>
        <w:t>Potentially allows for the convenience of home administration in patients for whom this is considered appropriate by their health care professional.</w:t>
      </w:r>
    </w:p>
    <w:p w14:paraId="4463B35C" w14:textId="77777777" w:rsidR="009F0A80" w:rsidRPr="009F0A80" w:rsidRDefault="009F0A80" w:rsidP="009F0A80">
      <w:pPr>
        <w:pStyle w:val="ListBullet"/>
      </w:pPr>
      <w:r>
        <w:t>AE profile that is consistent with that known for the IV dosing regimen.</w:t>
      </w:r>
    </w:p>
    <w:p w14:paraId="4463B35D" w14:textId="77777777" w:rsidR="00560623" w:rsidRDefault="00560623" w:rsidP="003C0C9F">
      <w:pPr>
        <w:pStyle w:val="Heading3"/>
      </w:pPr>
      <w:bookmarkStart w:id="182" w:name="_Toc236802596"/>
      <w:bookmarkStart w:id="183" w:name="_Toc241374334"/>
      <w:bookmarkStart w:id="184" w:name="_Ref272160964"/>
      <w:bookmarkStart w:id="185" w:name="_Toc272414694"/>
      <w:bookmarkStart w:id="186" w:name="_Toc290846332"/>
      <w:bookmarkStart w:id="187" w:name="_Toc367010610"/>
      <w:bookmarkStart w:id="188" w:name="_Toc464136284"/>
      <w:r w:rsidRPr="00E070F6">
        <w:t>First round assessment of risks</w:t>
      </w:r>
      <w:bookmarkEnd w:id="182"/>
      <w:bookmarkEnd w:id="183"/>
      <w:bookmarkEnd w:id="184"/>
      <w:bookmarkEnd w:id="185"/>
      <w:bookmarkEnd w:id="186"/>
      <w:bookmarkEnd w:id="187"/>
      <w:bookmarkEnd w:id="188"/>
    </w:p>
    <w:p w14:paraId="4463B35E" w14:textId="77777777" w:rsidR="009F0A80" w:rsidRDefault="009F0A80" w:rsidP="009F0A80">
      <w:r>
        <w:t xml:space="preserve">The risks of </w:t>
      </w:r>
      <w:r w:rsidRPr="00F04F62">
        <w:t xml:space="preserve">subcutaneous administration of tocilizumab </w:t>
      </w:r>
      <w:r>
        <w:t>in the proposed usage are:</w:t>
      </w:r>
    </w:p>
    <w:p w14:paraId="4463B35F" w14:textId="77777777" w:rsidR="009F0A80" w:rsidRPr="00905C69" w:rsidRDefault="009F0A80" w:rsidP="009F0A80">
      <w:pPr>
        <w:pStyle w:val="ListBullet"/>
      </w:pPr>
      <w:r>
        <w:t>C</w:t>
      </w:r>
      <w:r w:rsidRPr="00905C69">
        <w:t>omparable rates of injection site reacti</w:t>
      </w:r>
      <w:r>
        <w:t>ons, hypersensitivity reactions</w:t>
      </w:r>
      <w:r w:rsidRPr="00905C69">
        <w:t xml:space="preserve"> and anaphylaxis for SC and IV administration of tocilizumab, however the data for SC use is based on fewer PYs of follow-up (</w:t>
      </w:r>
      <w:r w:rsidRPr="00905C69">
        <w:rPr>
          <w:bCs/>
        </w:rPr>
        <w:t>13,664 PYs versus 309,447 PYs, respectively)</w:t>
      </w:r>
      <w:r w:rsidRPr="00905C69">
        <w:t>.</w:t>
      </w:r>
    </w:p>
    <w:p w14:paraId="4463B360" w14:textId="77777777" w:rsidR="009F0A80" w:rsidRDefault="009F0A80" w:rsidP="009F0A80">
      <w:pPr>
        <w:pStyle w:val="ListBullet"/>
      </w:pPr>
      <w:r>
        <w:t>Non-serious hypersensitivity reactions may not be recognized (or reported) by the patient resulting in ongoing use of tocilizumab rather than permanent discontinuation of treatment. A subsequent, more serious reaction could then occur.</w:t>
      </w:r>
    </w:p>
    <w:p w14:paraId="4463B361" w14:textId="77777777" w:rsidR="009F0A80" w:rsidRPr="009F0A80" w:rsidRDefault="009F0A80" w:rsidP="009F0A80">
      <w:pPr>
        <w:pStyle w:val="ListBullet"/>
      </w:pPr>
      <w:r w:rsidRPr="00BB6D78">
        <w:t xml:space="preserve">A serious hypersensitivity reaction </w:t>
      </w:r>
      <w:r>
        <w:t>or anaphylaxis following</w:t>
      </w:r>
      <w:r w:rsidRPr="00BB6D78">
        <w:t xml:space="preserve"> SC usage of tocilizumab could occur in the home environment. Patients </w:t>
      </w:r>
      <w:r>
        <w:t xml:space="preserve">(and/or carers or other household members) </w:t>
      </w:r>
      <w:r w:rsidRPr="00BB6D78">
        <w:t xml:space="preserve">may not be adequately prepared to deal with such an event, </w:t>
      </w:r>
      <w:r>
        <w:t>so</w:t>
      </w:r>
      <w:r w:rsidRPr="00BB6D78">
        <w:t xml:space="preserve"> there is the potential for delay in appropriate treatment which may, in the worst case scenario, result in a fatality.</w:t>
      </w:r>
      <w:r>
        <w:t xml:space="preserve"> Patient specific safety and training materials need to be developed to address this.</w:t>
      </w:r>
    </w:p>
    <w:p w14:paraId="4463B362" w14:textId="77777777" w:rsidR="00560623" w:rsidRDefault="00560623" w:rsidP="003C0C9F">
      <w:pPr>
        <w:pStyle w:val="Heading3"/>
      </w:pPr>
      <w:bookmarkStart w:id="189" w:name="_Toc236802597"/>
      <w:bookmarkStart w:id="190" w:name="_Toc241374335"/>
      <w:bookmarkStart w:id="191" w:name="_Toc272414695"/>
      <w:bookmarkStart w:id="192" w:name="_Toc290846333"/>
      <w:bookmarkStart w:id="193" w:name="_Toc367010611"/>
      <w:bookmarkStart w:id="194" w:name="_Toc464136285"/>
      <w:r w:rsidRPr="00E070F6">
        <w:t>First round assessment of benefit-risk balance</w:t>
      </w:r>
      <w:bookmarkEnd w:id="189"/>
      <w:bookmarkEnd w:id="190"/>
      <w:bookmarkEnd w:id="191"/>
      <w:bookmarkEnd w:id="192"/>
      <w:bookmarkEnd w:id="193"/>
      <w:bookmarkEnd w:id="194"/>
    </w:p>
    <w:p w14:paraId="4463B363" w14:textId="77777777" w:rsidR="009F0A80" w:rsidRDefault="009F0A80" w:rsidP="009F0A80">
      <w:r>
        <w:t xml:space="preserve">The benefit-risk balance </w:t>
      </w:r>
      <w:r w:rsidRPr="00787C84">
        <w:t>of subcutaneous administration of tocilizumab is unfavourable</w:t>
      </w:r>
      <w:r>
        <w:t xml:space="preserve"> given the proposed usage, but would become favourable if the changes recommended </w:t>
      </w:r>
      <w:r w:rsidR="005B76B7">
        <w:t>in the ‘</w:t>
      </w:r>
      <w:r>
        <w:t>First round recommen</w:t>
      </w:r>
      <w:r w:rsidR="005B76B7">
        <w:t>dations regarding authorisation’</w:t>
      </w:r>
      <w:r>
        <w:t xml:space="preserve"> are adopted.</w:t>
      </w:r>
    </w:p>
    <w:p w14:paraId="4463B364" w14:textId="77777777" w:rsidR="009F0A80" w:rsidRPr="009F0A80" w:rsidRDefault="009F0A80" w:rsidP="009F0A80">
      <w:r w:rsidRPr="00471946">
        <w:t>While comparable rates of injection site reactions, hypers</w:t>
      </w:r>
      <w:r>
        <w:t>ensitivity reactions</w:t>
      </w:r>
      <w:r w:rsidRPr="00471946">
        <w:t xml:space="preserve"> and anaphylaxis have been demonstrated for SC and IV administration of tocilizumab, the data for SC use is based on fewer PYs of follow-up and safety for home-based use has not been specifically</w:t>
      </w:r>
      <w:r>
        <w:t xml:space="preserve"> presented. </w:t>
      </w:r>
      <w:r w:rsidRPr="00471946">
        <w:t xml:space="preserve">While the rates of serious hypersensitivity reactions and anaphylaxis following SC TCZ are low, it cannot be assumed that the outcomes for these events would be the same in the </w:t>
      </w:r>
      <w:r>
        <w:t xml:space="preserve">clinical and home environment. </w:t>
      </w:r>
      <w:r w:rsidRPr="00471946">
        <w:t>In clinical sites, access to professional assistance, resuscitation equipm</w:t>
      </w:r>
      <w:r>
        <w:t xml:space="preserve">ent and emergency drugs </w:t>
      </w:r>
      <w:r w:rsidRPr="00471946">
        <w:t xml:space="preserve">are usually </w:t>
      </w:r>
      <w:r>
        <w:t xml:space="preserve">readily available. </w:t>
      </w:r>
      <w:r w:rsidRPr="00471946">
        <w:t>The same cannot be said f</w:t>
      </w:r>
      <w:r>
        <w:t>or a patient’s home environment</w:t>
      </w:r>
      <w:r w:rsidRPr="00471946">
        <w:t xml:space="preserve"> and delay in accessing appropriate treatment may result in an increased incidence of serious or fatal events.</w:t>
      </w:r>
    </w:p>
    <w:p w14:paraId="4463B365" w14:textId="77777777" w:rsidR="00C22678" w:rsidRDefault="00C22678" w:rsidP="003C0C9F">
      <w:pPr>
        <w:pStyle w:val="Heading2"/>
      </w:pPr>
      <w:bookmarkStart w:id="195" w:name="_Toc464136286"/>
      <w:r>
        <w:lastRenderedPageBreak/>
        <w:t>First round recommendation regarding authorisation</w:t>
      </w:r>
      <w:bookmarkEnd w:id="195"/>
    </w:p>
    <w:p w14:paraId="4463B366" w14:textId="77777777" w:rsidR="009F0A80" w:rsidRDefault="009F0A80" w:rsidP="009F0A80">
      <w:r w:rsidRPr="00471946">
        <w:t>The evaluator recommends</w:t>
      </w:r>
      <w:r>
        <w:t>:</w:t>
      </w:r>
    </w:p>
    <w:p w14:paraId="4463B367" w14:textId="77777777" w:rsidR="009F0A80" w:rsidRPr="009F0A80" w:rsidRDefault="009F0A80" w:rsidP="009F0A80">
      <w:pPr>
        <w:ind w:left="720"/>
        <w:rPr>
          <w:i/>
        </w:rPr>
      </w:pPr>
      <w:r w:rsidRPr="009F0A80">
        <w:rPr>
          <w:i/>
        </w:rPr>
        <w:t>Approval of the registration of a subcutaneous formulation of tocilizumab for the existing adult rheumatoid arthritis indication subject to modification of the PI, CMI, and RMP</w:t>
      </w:r>
      <w:r>
        <w:rPr>
          <w:i/>
        </w:rPr>
        <w:t>.</w:t>
      </w:r>
    </w:p>
    <w:p w14:paraId="4463B368" w14:textId="77777777" w:rsidR="009F0A80" w:rsidRPr="00471946" w:rsidRDefault="009F0A80" w:rsidP="009F0A80">
      <w:r w:rsidRPr="00471946">
        <w:t xml:space="preserve">While there is a recognized potential for serious hypersensitivity reactions and anaphylaxis with the use of biologic agents, it is a rare event that can occur with any of the </w:t>
      </w:r>
      <w:r>
        <w:t xml:space="preserve">currently registered products. </w:t>
      </w:r>
      <w:r w:rsidRPr="00471946">
        <w:t xml:space="preserve">If an event occurs in the healthcare environment (the current situation </w:t>
      </w:r>
      <w:r>
        <w:t>with the IV formulation)</w:t>
      </w:r>
      <w:r w:rsidRPr="00471946">
        <w:t xml:space="preserve"> appropriate treatment can be initiated immediately, ensuring the best chance for a </w:t>
      </w:r>
      <w:r>
        <w:t xml:space="preserve">full recovery. </w:t>
      </w:r>
      <w:r w:rsidRPr="00471946">
        <w:t xml:space="preserve">However registration of the subcutaneous formulation will provide the opportunity for home use with no healthcare professional </w:t>
      </w:r>
      <w:r>
        <w:t xml:space="preserve">supervision. </w:t>
      </w:r>
      <w:r w:rsidRPr="00471946">
        <w:t>Under these circumstances early signs of hyperse</w:t>
      </w:r>
      <w:r>
        <w:t>nsitivity may not be recognized</w:t>
      </w:r>
      <w:r w:rsidRPr="00471946">
        <w:t xml:space="preserve"> resulting in treatment delays and an increased risk of adverse outcomes.</w:t>
      </w:r>
      <w:r>
        <w:t xml:space="preserve"> </w:t>
      </w:r>
      <w:r w:rsidRPr="00471946">
        <w:t>Additionally non-serious hypersensitivity which, if recognized, would result in permanent discontinuation of treatment may no</w:t>
      </w:r>
      <w:r>
        <w:t>t be appreciated by the patient</w:t>
      </w:r>
      <w:r w:rsidRPr="00471946">
        <w:t xml:space="preserve"> resulting in continued use and an increased risk of a subsequent serious hypersensitivity reaction.</w:t>
      </w:r>
    </w:p>
    <w:p w14:paraId="4463B369" w14:textId="508D3D1A" w:rsidR="009F0A80" w:rsidRPr="009F0A80" w:rsidRDefault="009F0A80" w:rsidP="009F0A80">
      <w:r w:rsidRPr="00471946">
        <w:t>There are currently 5 biologic agents with subcutaneous formulations registered for use in adult pati</w:t>
      </w:r>
      <w:r w:rsidR="003C2DCF">
        <w:t xml:space="preserve">ents with rheumatoid arthritis, four TNF inhibitors: </w:t>
      </w:r>
      <w:r w:rsidRPr="00471946">
        <w:t>etanercept</w:t>
      </w:r>
      <w:r>
        <w:t xml:space="preserve">, </w:t>
      </w:r>
      <w:r w:rsidRPr="00471946">
        <w:t>adalimumab, certolizumab</w:t>
      </w:r>
      <w:r w:rsidR="003C2DCF">
        <w:t xml:space="preserve">, golimumab </w:t>
      </w:r>
      <w:r w:rsidRPr="00471946">
        <w:t xml:space="preserve">and </w:t>
      </w:r>
      <w:r w:rsidR="003C2DCF">
        <w:t xml:space="preserve">one T-cell costimulation blocker: abatacept. </w:t>
      </w:r>
      <w:r w:rsidRPr="00471946">
        <w:t xml:space="preserve">Each of these products has allergic reactions or hypersensitivity mentioned in the </w:t>
      </w:r>
      <w:r w:rsidR="003C2DCF">
        <w:t>precautions</w:t>
      </w:r>
      <w:r w:rsidRPr="00471946">
        <w:t xml:space="preserve"> section of the PI, but only abatacept report</w:t>
      </w:r>
      <w:r w:rsidR="003C2DCF">
        <w:t xml:space="preserve">s a fatal case of anaphylaxis. </w:t>
      </w:r>
      <w:r w:rsidRPr="00471946">
        <w:t>Within the limitations of the data available, the incidence of anaphylaxis appears similar for the currently registered biologic agents with subcutaneous formulations and tocilizumab.</w:t>
      </w:r>
      <w:r w:rsidR="003C2DCF">
        <w:t xml:space="preserve"> </w:t>
      </w:r>
      <w:r w:rsidRPr="00471946">
        <w:t xml:space="preserve">However there have been deaths due to suspected severe allergic reactions on tocilizumab and a more conservative approach to home administration is considered appropriate. The </w:t>
      </w:r>
      <w:r w:rsidR="003C2DCF">
        <w:t>‘</w:t>
      </w:r>
      <w:r w:rsidR="003C2DCF" w:rsidRPr="00471946">
        <w:t>dosage and administration</w:t>
      </w:r>
      <w:r w:rsidR="003C2DCF">
        <w:t>’</w:t>
      </w:r>
      <w:r w:rsidR="003C2DCF" w:rsidRPr="00471946">
        <w:t xml:space="preserve"> </w:t>
      </w:r>
      <w:r w:rsidRPr="00471946">
        <w:t>section of the PI is therefore proposed to be modified such that the first 5 subcutaneous injections are administered under the supervision of a qualified healthcare professional.</w:t>
      </w:r>
      <w:r w:rsidR="003C2DCF">
        <w:t xml:space="preserve"> </w:t>
      </w:r>
      <w:r w:rsidRPr="00471946">
        <w:t>This suggestion is based on the assumption that the distribution of anaphylaxis events following SC administration would reflect the distribution following intravenous infusion, and data from the Company Safety Da</w:t>
      </w:r>
      <w:r>
        <w:t>tabase which demonstrated that 91</w:t>
      </w:r>
      <w:r w:rsidRPr="00471946">
        <w:t xml:space="preserve">% of anaphylaxis events following tocilizumab infusion </w:t>
      </w:r>
      <w:r>
        <w:t>(</w:t>
      </w:r>
      <w:r w:rsidRPr="0048380B">
        <w:t>where the infusion number was known</w:t>
      </w:r>
      <w:r>
        <w:t>)</w:t>
      </w:r>
      <w:r w:rsidRPr="0048380B">
        <w:t xml:space="preserve"> </w:t>
      </w:r>
      <w:r w:rsidRPr="00471946">
        <w:t>occurred by infusion number 5.</w:t>
      </w:r>
      <w:r w:rsidR="003C2DCF">
        <w:t xml:space="preserve"> </w:t>
      </w:r>
      <w:r w:rsidRPr="00471946">
        <w:t>This also reflects what occurred in the Phase III clinical trials of SC tocilizumab, where self-administration at home was allowed after 4</w:t>
      </w:r>
      <w:r w:rsidR="003C0C9F">
        <w:t>-</w:t>
      </w:r>
      <w:r w:rsidRPr="00471946">
        <w:t>7 injections at the clinical site (including demonstrated competence in self-administration).</w:t>
      </w:r>
    </w:p>
    <w:p w14:paraId="4463B36A" w14:textId="77777777" w:rsidR="00C22678" w:rsidRDefault="00C22678" w:rsidP="003C0C9F">
      <w:pPr>
        <w:pStyle w:val="Heading2"/>
      </w:pPr>
      <w:bookmarkStart w:id="196" w:name="_Toc464136287"/>
      <w:r>
        <w:t>Clinical questions</w:t>
      </w:r>
      <w:bookmarkEnd w:id="196"/>
    </w:p>
    <w:p w14:paraId="4463B36B" w14:textId="77777777" w:rsidR="003C2DCF" w:rsidRDefault="003C2DCF" w:rsidP="003C0C9F">
      <w:pPr>
        <w:pStyle w:val="Heading3"/>
      </w:pPr>
      <w:bookmarkStart w:id="197" w:name="_Toc464136288"/>
      <w:r>
        <w:t>Efficacy</w:t>
      </w:r>
      <w:bookmarkEnd w:id="197"/>
    </w:p>
    <w:p w14:paraId="4463B36C" w14:textId="77777777" w:rsidR="003C2DCF" w:rsidRPr="00471946" w:rsidRDefault="003C2DCF" w:rsidP="003C0C9F">
      <w:pPr>
        <w:pStyle w:val="Numberbullet0"/>
        <w:numPr>
          <w:ilvl w:val="0"/>
          <w:numId w:val="21"/>
        </w:numPr>
      </w:pPr>
      <w:r w:rsidRPr="00471946">
        <w:t>The PP population was used for the longer-term analyses of efficacy (Week 49) for consistency with the Week 24 analyses reported in the Week 24 CSR, which were based on the PP population because WA22762 was a non-inferiority study. Please provide analyses for the efficacy variables presented in Table 10 of the CSR using the PP population to allow comparison with the Week 24 and 49 results.</w:t>
      </w:r>
    </w:p>
    <w:p w14:paraId="4463B36D" w14:textId="77777777" w:rsidR="003C2DCF" w:rsidRPr="00471946" w:rsidRDefault="003C2DCF" w:rsidP="00F72E65">
      <w:pPr>
        <w:pStyle w:val="Numberbullet0"/>
        <w:numPr>
          <w:ilvl w:val="0"/>
          <w:numId w:val="21"/>
        </w:numPr>
      </w:pPr>
      <w:r w:rsidRPr="00471946">
        <w:t>It is noted that the ACR20/50/70 response rates at weeks 24, 48/49, and 96/97 were similar for patients receiving SC TCZ weekly in study WA22762 and SC TCZ 2-weekly in study NA25220.</w:t>
      </w:r>
      <w:r>
        <w:t xml:space="preserve"> </w:t>
      </w:r>
      <w:r w:rsidRPr="00471946">
        <w:t>Although these studies were not designed to be directly compared, the patient populations in these studies were similar (moderate to severe RA with an i</w:t>
      </w:r>
      <w:r>
        <w:t xml:space="preserve">nadequate response to DMARDS). </w:t>
      </w:r>
      <w:r w:rsidRPr="00471946">
        <w:t xml:space="preserve">The dosage selection for the pivotal studies was based on PD profiles, however in view of the similar efficacy responses for the two dosage </w:t>
      </w:r>
      <w:r w:rsidRPr="00471946">
        <w:lastRenderedPageBreak/>
        <w:t>regimens, please comment on this finding and advise whether there are any planned or existing studies directly comparing clinical outcomes for the two SC dosing regimens</w:t>
      </w:r>
      <w:r>
        <w:t>.</w:t>
      </w:r>
    </w:p>
    <w:p w14:paraId="4463B36E" w14:textId="77777777" w:rsidR="003C2DCF" w:rsidRDefault="003C2DCF" w:rsidP="00F72E65">
      <w:pPr>
        <w:pStyle w:val="Numberbullet0"/>
        <w:numPr>
          <w:ilvl w:val="0"/>
          <w:numId w:val="21"/>
        </w:numPr>
      </w:pPr>
      <w:r w:rsidRPr="00471946">
        <w:t xml:space="preserve">In the pre-submission meeting dossier sent by </w:t>
      </w:r>
      <w:r>
        <w:t>the sponsor</w:t>
      </w:r>
      <w:r w:rsidRPr="00471946">
        <w:t xml:space="preserve"> to the TGA in an email on 29 August 2014 and in the slide set attached to the revised TGA official meeting record sent in an email dated 6 November 2014, it was stated that the final CSR for study ML28338 wo</w:t>
      </w:r>
      <w:r>
        <w:t>uld be provided for evaluation.</w:t>
      </w:r>
      <w:r w:rsidRPr="00471946">
        <w:t xml:space="preserve"> In </w:t>
      </w:r>
      <w:r>
        <w:t xml:space="preserve">the </w:t>
      </w:r>
      <w:r w:rsidRPr="00471946">
        <w:t>Summary of Clinical Safety Addendum</w:t>
      </w:r>
      <w:r>
        <w:t xml:space="preserve"> </w:t>
      </w:r>
      <w:r w:rsidRPr="00471946">
        <w:t>it was stated that the CSR “</w:t>
      </w:r>
      <w:r w:rsidRPr="00F72E65">
        <w:rPr>
          <w:i/>
        </w:rPr>
        <w:t>is still in preparation</w:t>
      </w:r>
      <w:r>
        <w:t>”.</w:t>
      </w:r>
      <w:r w:rsidRPr="00471946">
        <w:t xml:space="preserve"> If available, the </w:t>
      </w:r>
      <w:r>
        <w:t>s</w:t>
      </w:r>
      <w:r w:rsidRPr="00471946">
        <w:t>ponsor is requested to provide this report for evaluation.</w:t>
      </w:r>
    </w:p>
    <w:p w14:paraId="4463B36F" w14:textId="77777777" w:rsidR="003E3B96" w:rsidRDefault="003E3B96" w:rsidP="003C0C9F">
      <w:pPr>
        <w:pStyle w:val="Heading3"/>
      </w:pPr>
      <w:bookmarkStart w:id="198" w:name="_Toc464136289"/>
      <w:r>
        <w:t>Safety</w:t>
      </w:r>
      <w:bookmarkEnd w:id="198"/>
    </w:p>
    <w:p w14:paraId="4463B370" w14:textId="77777777" w:rsidR="003E3B96" w:rsidRDefault="003E3B96" w:rsidP="00F72E65">
      <w:pPr>
        <w:pStyle w:val="Numberbullet0"/>
        <w:numPr>
          <w:ilvl w:val="0"/>
          <w:numId w:val="22"/>
        </w:numPr>
        <w:rPr>
          <w:lang w:eastAsia="ja-JP"/>
        </w:rPr>
      </w:pPr>
      <w:r>
        <w:rPr>
          <w:lang w:eastAsia="ja-JP"/>
        </w:rPr>
        <w:t>While the majority of anaphylaxis events occur with the first 4 to 5 infusions, similar data has not been reported for other hypersensitivity reactions. Please provide these data (for all hypersensitivity, clinically significant hypersensitivity, and serious hypersensitivity events) for studies WA22762 and NA25220.</w:t>
      </w:r>
    </w:p>
    <w:p w14:paraId="4463B371" w14:textId="77777777" w:rsidR="003E3B96" w:rsidRDefault="003E3B96" w:rsidP="00F72E65">
      <w:pPr>
        <w:pStyle w:val="Numberbullet0"/>
        <w:numPr>
          <w:ilvl w:val="0"/>
          <w:numId w:val="22"/>
        </w:numPr>
        <w:rPr>
          <w:lang w:eastAsia="ja-JP"/>
        </w:rPr>
      </w:pPr>
      <w:r>
        <w:rPr>
          <w:lang w:eastAsia="ja-JP"/>
        </w:rPr>
        <w:t>Based on the application letter and submission data there has only been one case of adjudicated anaphylaxis to SC TCZ up to 10 October 2014. It is not clear from the Drug Safety Report (with a data cut-off of 10 April 2013) whether this case forms one of the 122 adjudicated cases, or arose after the cut-off date. Please clarify this, and provide details regarding how many of the 732 potential anaphylaxis cases and 122 adjudicated anaphylaxis cases were on SC TCZ.</w:t>
      </w:r>
    </w:p>
    <w:p w14:paraId="4463B372" w14:textId="77777777" w:rsidR="003E3B96" w:rsidRPr="003E3B96" w:rsidRDefault="003E3B96" w:rsidP="00F72E65">
      <w:pPr>
        <w:pStyle w:val="Numberbullet0"/>
        <w:numPr>
          <w:ilvl w:val="0"/>
          <w:numId w:val="22"/>
        </w:numPr>
        <w:rPr>
          <w:lang w:eastAsia="ja-JP"/>
        </w:rPr>
      </w:pPr>
      <w:r>
        <w:rPr>
          <w:lang w:eastAsia="ja-JP"/>
        </w:rPr>
        <w:t>While the clinical trial protocols all allowed home administration after demonstrated competence in self-administration (or administration by a caregiver) at the clinical site, AEs have only been reported separately for the Japanese study (MRA229JP) for patients before and after the start of self-injection. Please provide information for studies WA2262, NA25220 and ML28338 regarding the number of patients who administered SC TCZ at home, when this took place (after how many visits), and the amount of PYs of exposure to SC TCZ at home, self-injection at the clinical site, and healthcare practitioner injection at the clinical site. Please also provide information on the occurrence of hypersensitivity reactions and anaphylaxis for each of these exposure periods. Where possible, please also provide this information for the post-marketing data.</w:t>
      </w:r>
    </w:p>
    <w:p w14:paraId="4463B373" w14:textId="77777777" w:rsidR="00C618F7" w:rsidRDefault="00C618F7" w:rsidP="003C0C9F">
      <w:pPr>
        <w:pStyle w:val="Heading2"/>
      </w:pPr>
      <w:bookmarkStart w:id="199" w:name="_Toc464136290"/>
      <w:r>
        <w:t>Second round evaluation of clinical data submitted in response to questions</w:t>
      </w:r>
      <w:bookmarkEnd w:id="199"/>
    </w:p>
    <w:p w14:paraId="4463B374" w14:textId="77777777" w:rsidR="003E3B96" w:rsidRDefault="003E3B96" w:rsidP="003E3B96">
      <w:pPr>
        <w:pStyle w:val="Heading3"/>
      </w:pPr>
      <w:bookmarkStart w:id="200" w:name="_Toc464136291"/>
      <w:r>
        <w:t>Efficacy</w:t>
      </w:r>
      <w:bookmarkEnd w:id="200"/>
    </w:p>
    <w:p w14:paraId="4463B375" w14:textId="77777777" w:rsidR="00D64C75" w:rsidRDefault="00D64C75" w:rsidP="001204C7">
      <w:pPr>
        <w:pStyle w:val="Heading4"/>
      </w:pPr>
      <w:r>
        <w:t>Question 1</w:t>
      </w:r>
    </w:p>
    <w:p w14:paraId="4463B376" w14:textId="77777777" w:rsidR="003E3B96" w:rsidRPr="00D64C75" w:rsidRDefault="003E3B96" w:rsidP="001204C7">
      <w:pPr>
        <w:pStyle w:val="ListBullet"/>
        <w:ind w:left="357" w:hanging="357"/>
        <w:rPr>
          <w:i/>
        </w:rPr>
      </w:pPr>
      <w:r w:rsidRPr="00D64C75">
        <w:rPr>
          <w:i/>
        </w:rPr>
        <w:t>The PP population was used for the longer-term analyses of eff</w:t>
      </w:r>
      <w:r w:rsidR="00F72E65" w:rsidRPr="00D64C75">
        <w:rPr>
          <w:i/>
        </w:rPr>
        <w:t xml:space="preserve">icacy (Week 49) for consistency </w:t>
      </w:r>
      <w:r w:rsidRPr="00D64C75">
        <w:rPr>
          <w:i/>
        </w:rPr>
        <w:t>with the Week 24 analyses reported in the Week 24 CSR, which were based on the PP population because WA22762 was a non-inferiority study. Please provide analyses for the efficacy variables presented in Table 10 of the CSR using the PP population to allow comparison with the Week 24 and 49 results.</w:t>
      </w:r>
    </w:p>
    <w:p w14:paraId="4463B377" w14:textId="77777777" w:rsidR="00D64C75" w:rsidRPr="00D64C75" w:rsidRDefault="003E3B96" w:rsidP="001204C7">
      <w:pPr>
        <w:pStyle w:val="Heading5"/>
      </w:pPr>
      <w:r w:rsidRPr="00D64C75">
        <w:t>Sponsor</w:t>
      </w:r>
      <w:r w:rsidR="00DD5711" w:rsidRPr="00D64C75">
        <w:t>’s</w:t>
      </w:r>
      <w:r w:rsidRPr="00D64C75">
        <w:t xml:space="preserve"> response</w:t>
      </w:r>
    </w:p>
    <w:p w14:paraId="4463B378" w14:textId="77777777" w:rsidR="003E3B96" w:rsidRDefault="003E3B96" w:rsidP="001204C7">
      <w:r w:rsidRPr="00E37E78">
        <w:t xml:space="preserve">The </w:t>
      </w:r>
      <w:r>
        <w:t>s</w:t>
      </w:r>
      <w:r w:rsidRPr="00E37E78">
        <w:t>ponsor provided the requested analyses on the PP population</w:t>
      </w:r>
      <w:r>
        <w:t xml:space="preserve"> (see Table </w:t>
      </w:r>
      <w:r w:rsidR="005320D9">
        <w:t>21</w:t>
      </w:r>
      <w:r>
        <w:t xml:space="preserve"> below)</w:t>
      </w:r>
      <w:r w:rsidRPr="00E37E78">
        <w:t>.</w:t>
      </w:r>
    </w:p>
    <w:p w14:paraId="4463B379" w14:textId="77777777" w:rsidR="003E3B96" w:rsidRPr="003E3B96" w:rsidRDefault="003E3B96" w:rsidP="003E3B96">
      <w:pPr>
        <w:pStyle w:val="Tabletitle"/>
      </w:pPr>
      <w:r>
        <w:lastRenderedPageBreak/>
        <w:t xml:space="preserve">Table 21: </w:t>
      </w:r>
      <w:r w:rsidRPr="00D510E4">
        <w:t xml:space="preserve">WA22762 Overview of </w:t>
      </w:r>
      <w:r>
        <w:t>e</w:t>
      </w:r>
      <w:r w:rsidRPr="00D510E4">
        <w:t xml:space="preserve">fficacy </w:t>
      </w:r>
      <w:r>
        <w:t>r</w:t>
      </w:r>
      <w:r w:rsidRPr="00D510E4">
        <w:t>esults up to Week 97 (PP Population</w:t>
      </w:r>
      <w:r>
        <w:t>)</w:t>
      </w:r>
    </w:p>
    <w:p w14:paraId="4463B37A" w14:textId="77777777" w:rsidR="003E3B96" w:rsidRDefault="003E3B96" w:rsidP="007E074A">
      <w:r>
        <w:rPr>
          <w:noProof/>
          <w:lang w:eastAsia="en-AU"/>
        </w:rPr>
        <w:drawing>
          <wp:inline distT="0" distB="0" distL="0" distR="0" wp14:anchorId="4463B3FA" wp14:editId="071FFCC9">
            <wp:extent cx="3655016" cy="4081463"/>
            <wp:effectExtent l="0" t="0" r="3175" b="0"/>
            <wp:docPr id="25" name="Picture 25" descr="Table 21: WA22762 Overview of efficacy results up to Week 97 (PP Population)" title="Table 21: WA22762 Overview of efficacy results up to Week 97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lum bright="-20000" contrast="40000"/>
                      <a:extLst>
                        <a:ext uri="{28A0092B-C50C-407E-A947-70E740481C1C}">
                          <a14:useLocalDpi xmlns:a14="http://schemas.microsoft.com/office/drawing/2010/main" val="0"/>
                        </a:ext>
                      </a:extLst>
                    </a:blip>
                    <a:srcRect/>
                    <a:stretch>
                      <a:fillRect/>
                    </a:stretch>
                  </pic:blipFill>
                  <pic:spPr bwMode="auto">
                    <a:xfrm>
                      <a:off x="0" y="0"/>
                      <a:ext cx="3658563" cy="4085424"/>
                    </a:xfrm>
                    <a:prstGeom prst="rect">
                      <a:avLst/>
                    </a:prstGeom>
                    <a:noFill/>
                    <a:ln>
                      <a:noFill/>
                    </a:ln>
                  </pic:spPr>
                </pic:pic>
              </a:graphicData>
            </a:graphic>
          </wp:inline>
        </w:drawing>
      </w:r>
    </w:p>
    <w:p w14:paraId="4463B37B" w14:textId="77777777" w:rsidR="00D64C75" w:rsidRDefault="003E3B96" w:rsidP="001204C7">
      <w:pPr>
        <w:pStyle w:val="Heading5"/>
      </w:pPr>
      <w:r w:rsidRPr="003E3B96">
        <w:t>Evaluator’s comment</w:t>
      </w:r>
    </w:p>
    <w:p w14:paraId="4463B37C" w14:textId="77777777" w:rsidR="003E3B96" w:rsidRDefault="003E3B96" w:rsidP="001204C7">
      <w:r w:rsidRPr="00D64C75">
        <w:t>Compared with the analyses on the ITT population (</w:t>
      </w:r>
      <w:r w:rsidRPr="00791331">
        <w:t xml:space="preserve">Table </w:t>
      </w:r>
      <w:r w:rsidR="00D64C75">
        <w:t>2</w:t>
      </w:r>
      <w:r w:rsidRPr="00D64C75">
        <w:t>1 above</w:t>
      </w:r>
      <w:r w:rsidRPr="00791331">
        <w:t>), the primary and secondary efficacy endpoint results for the PP population were very similar (most differences within 0%</w:t>
      </w:r>
      <w:r w:rsidRPr="00791331">
        <w:noBreakHyphen/>
      </w:r>
      <w:r w:rsidRPr="00CC661C">
        <w:t>2%) at Weeks 24, 49 and 97 for each of the treatment groups, with maintenance of efficacy for the duration o</w:t>
      </w:r>
      <w:r w:rsidRPr="00D64C75">
        <w:t>f follow-up within each group. More variability was seen in the patients who switched from the SC to IV formulation, most likely due to the small patient numbers. This response is acceptable.</w:t>
      </w:r>
    </w:p>
    <w:p w14:paraId="4463B37D" w14:textId="77777777" w:rsidR="00791331" w:rsidRPr="00791331" w:rsidRDefault="00791331" w:rsidP="001204C7">
      <w:pPr>
        <w:pStyle w:val="Heading4"/>
      </w:pPr>
      <w:r>
        <w:t>Question 2</w:t>
      </w:r>
    </w:p>
    <w:p w14:paraId="4463B37E" w14:textId="77777777" w:rsidR="003E3B96" w:rsidRPr="00791331" w:rsidRDefault="003E3B96" w:rsidP="001204C7">
      <w:pPr>
        <w:pStyle w:val="ListBullet"/>
        <w:ind w:left="357" w:hanging="357"/>
        <w:rPr>
          <w:i/>
        </w:rPr>
      </w:pPr>
      <w:r w:rsidRPr="00791331">
        <w:rPr>
          <w:i/>
        </w:rPr>
        <w:t>It is noted that the ACR20/50/70 response rates at weeks 24, 48/49, and 96/97 were similar for patients receiving SC TCZ weekly in study WA22762 and SC TCZ 2</w:t>
      </w:r>
      <w:r w:rsidR="00DD5711" w:rsidRPr="00791331">
        <w:rPr>
          <w:i/>
        </w:rPr>
        <w:noBreakHyphen/>
        <w:t xml:space="preserve">weekly in study NA25220. </w:t>
      </w:r>
      <w:r w:rsidRPr="00791331">
        <w:rPr>
          <w:i/>
        </w:rPr>
        <w:t>Although these studies were not designed to be directly compared, the patient populations in these studies were similar (moderate to severe RA with an i</w:t>
      </w:r>
      <w:r w:rsidR="00DD5711" w:rsidRPr="00791331">
        <w:rPr>
          <w:i/>
        </w:rPr>
        <w:t xml:space="preserve">nadequate response to DMARDS). </w:t>
      </w:r>
      <w:r w:rsidRPr="00791331">
        <w:rPr>
          <w:i/>
        </w:rPr>
        <w:t xml:space="preserve">The dosage selection for the pivotal studies was based on PD profiles, however in view of the similar efficacy responses for the two dosage regimens, please comment on this finding and advise whether there are any planned or existing studies directly comparing clinical outcomes </w:t>
      </w:r>
      <w:r w:rsidR="00DD5711" w:rsidRPr="00791331">
        <w:rPr>
          <w:i/>
        </w:rPr>
        <w:t>for the two SC dosing regimens.</w:t>
      </w:r>
    </w:p>
    <w:p w14:paraId="4463B37F" w14:textId="77777777" w:rsidR="00DD5711" w:rsidRDefault="00DD5711" w:rsidP="00A40606">
      <w:pPr>
        <w:ind w:left="425"/>
      </w:pPr>
      <w:r>
        <w:rPr>
          <w:b/>
        </w:rPr>
        <w:t>Sponsor’s response</w:t>
      </w:r>
      <w:r w:rsidR="003E3B96" w:rsidRPr="00233C4E">
        <w:rPr>
          <w:b/>
        </w:rPr>
        <w:t>:</w:t>
      </w:r>
      <w:r w:rsidR="003E3B96" w:rsidRPr="00233C4E">
        <w:t xml:space="preserve"> The </w:t>
      </w:r>
      <w:r>
        <w:t>s</w:t>
      </w:r>
      <w:r w:rsidR="003E3B96" w:rsidRPr="00233C4E">
        <w:t xml:space="preserve">ponsor </w:t>
      </w:r>
      <w:r w:rsidR="003E3B96">
        <w:t>stated that the “</w:t>
      </w:r>
      <w:r w:rsidR="003E3B96" w:rsidRPr="00001D7E">
        <w:t>Pharmacodynamic (PD), efficacy, and safety results from placebo-controlled study periods of core studies to support the starting dose of TCZ SC QW were extensively discussed in the original submission (</w:t>
      </w:r>
      <w:r w:rsidR="003E3B96" w:rsidRPr="00920804">
        <w:t>PM-2012-04162-1-3</w:t>
      </w:r>
      <w:r w:rsidR="003E3B96">
        <w:t xml:space="preserve">) </w:t>
      </w:r>
      <w:r w:rsidR="003E3B96" w:rsidRPr="00001D7E">
        <w:t>and in the Sponsor’s prior pre-ACPM response (dated 18 November 2013).</w:t>
      </w:r>
      <w:r>
        <w:t xml:space="preserve">” </w:t>
      </w:r>
      <w:r w:rsidR="003E3B96">
        <w:t>They further emphasised the design differences between study WA22762 and NA25520 that made compariso</w:t>
      </w:r>
      <w:r>
        <w:t>n of the results inappropriate.</w:t>
      </w:r>
      <w:r w:rsidR="003E3B96">
        <w:t xml:space="preserve"> In particular, patients in NA25520 who had an inadequate response to SC TCZ </w:t>
      </w:r>
      <w:r w:rsidR="00AC528E">
        <w:t>every 2 weeks</w:t>
      </w:r>
      <w:r w:rsidR="003E3B96">
        <w:t xml:space="preserve"> </w:t>
      </w:r>
      <w:r w:rsidR="003E3B96" w:rsidRPr="009077B2">
        <w:t xml:space="preserve">were allowed to escape to </w:t>
      </w:r>
      <w:r w:rsidR="003E3B96">
        <w:t xml:space="preserve">SC TCZ weekly and </w:t>
      </w:r>
      <w:r w:rsidR="003E3B96" w:rsidRPr="009077B2">
        <w:t xml:space="preserve">were excluded </w:t>
      </w:r>
      <w:r w:rsidR="003E3B96">
        <w:t>from</w:t>
      </w:r>
      <w:r w:rsidR="003E3B96" w:rsidRPr="009077B2">
        <w:t xml:space="preserve"> the efficacy analysis</w:t>
      </w:r>
      <w:r w:rsidR="003E3B96">
        <w:t xml:space="preserve">. This occurred for </w:t>
      </w:r>
      <w:r w:rsidR="003E3B96" w:rsidRPr="009077B2">
        <w:t>72/438</w:t>
      </w:r>
      <w:r w:rsidR="003E3B96">
        <w:t xml:space="preserve"> patients </w:t>
      </w:r>
      <w:r w:rsidR="003E3B96" w:rsidRPr="007D6AB4">
        <w:t xml:space="preserve">(16.4%) </w:t>
      </w:r>
      <w:r w:rsidR="003E3B96">
        <w:lastRenderedPageBreak/>
        <w:t xml:space="preserve">prior to Week 24, and for </w:t>
      </w:r>
      <w:r w:rsidR="003E3B96" w:rsidRPr="007D6AB4">
        <w:t>26/338 patients (7.7%) who were re-randomised at Week 24</w:t>
      </w:r>
      <w:r w:rsidR="003E3B96">
        <w:t xml:space="preserve"> (these latter patients were excluded from the efficacy analysis </w:t>
      </w:r>
      <w:r w:rsidR="003E3B96" w:rsidRPr="00780786">
        <w:t>from the point</w:t>
      </w:r>
      <w:r w:rsidR="003E3B96">
        <w:t xml:space="preserve"> </w:t>
      </w:r>
      <w:r w:rsidR="003E3B96" w:rsidRPr="00780786">
        <w:t>of escape</w:t>
      </w:r>
      <w:r w:rsidR="003E3B96">
        <w:t>)</w:t>
      </w:r>
      <w:r w:rsidR="003E3B96" w:rsidRPr="00780786">
        <w:t xml:space="preserve">. </w:t>
      </w:r>
      <w:r w:rsidR="003E3B96">
        <w:t xml:space="preserve">The </w:t>
      </w:r>
      <w:r>
        <w:t>sponsor stated that:</w:t>
      </w:r>
    </w:p>
    <w:p w14:paraId="4463B380" w14:textId="77777777" w:rsidR="003E3B96" w:rsidRPr="00A40606" w:rsidRDefault="00A40606" w:rsidP="00A40606">
      <w:pPr>
        <w:ind w:left="425"/>
        <w:rPr>
          <w:i/>
        </w:rPr>
      </w:pPr>
      <w:r>
        <w:rPr>
          <w:i/>
        </w:rPr>
        <w:t>‘</w:t>
      </w:r>
      <w:r w:rsidR="003E3B96" w:rsidRPr="00A40606">
        <w:rPr>
          <w:i/>
        </w:rPr>
        <w:t xml:space="preserve">As a result, the patients included in the efficacy analysis in the TCZ SC </w:t>
      </w:r>
      <w:r w:rsidR="00AC528E">
        <w:rPr>
          <w:i/>
        </w:rPr>
        <w:t>EVERY 2 WEEKS</w:t>
      </w:r>
      <w:r w:rsidR="003E3B96" w:rsidRPr="00A40606">
        <w:rPr>
          <w:i/>
        </w:rPr>
        <w:t xml:space="preserve"> group in study NA25220 were</w:t>
      </w:r>
      <w:r>
        <w:rPr>
          <w:i/>
        </w:rPr>
        <w:t xml:space="preserve"> enriched with ‘good responders’</w:t>
      </w:r>
      <w:r w:rsidR="003E3B96" w:rsidRPr="00A40606">
        <w:rPr>
          <w:i/>
        </w:rPr>
        <w:t xml:space="preserve"> to TCZ SC </w:t>
      </w:r>
      <w:r w:rsidR="00AC528E">
        <w:rPr>
          <w:i/>
        </w:rPr>
        <w:t>EVERY 2 WEEKS</w:t>
      </w:r>
      <w:r w:rsidR="003E3B96" w:rsidRPr="00A40606">
        <w:rPr>
          <w:i/>
        </w:rPr>
        <w:t xml:space="preserve"> therapy and such the response rates on TCZ </w:t>
      </w:r>
      <w:r w:rsidR="00AC528E">
        <w:rPr>
          <w:i/>
        </w:rPr>
        <w:t>EVERY 2 WEEKS</w:t>
      </w:r>
      <w:r w:rsidR="003E3B96" w:rsidRPr="00A40606">
        <w:rPr>
          <w:i/>
        </w:rPr>
        <w:t xml:space="preserve"> may have been over-estimated.</w:t>
      </w:r>
      <w:r>
        <w:rPr>
          <w:i/>
        </w:rPr>
        <w:t>’</w:t>
      </w:r>
    </w:p>
    <w:p w14:paraId="4463B381" w14:textId="77777777" w:rsidR="00DD5711" w:rsidRDefault="00DD5711" w:rsidP="00A40606">
      <w:pPr>
        <w:ind w:left="425"/>
      </w:pPr>
      <w:r w:rsidRPr="00DD5711">
        <w:rPr>
          <w:b/>
        </w:rPr>
        <w:t>Evaluator’s comment:</w:t>
      </w:r>
      <w:r>
        <w:t xml:space="preserve"> This response is acceptable. </w:t>
      </w:r>
      <w:r w:rsidRPr="00025929">
        <w:t xml:space="preserve">On reviewing the ACPM 295 Ratified resolution, it appears that weekly </w:t>
      </w:r>
      <w:r>
        <w:t xml:space="preserve">dosing was deemed appropriate. </w:t>
      </w:r>
      <w:r w:rsidRPr="00025929">
        <w:t>The evaluator is satisfied that study WA22762 demonstrated that TCZ 162 mg SC weekly is non-inferior to the currently approved TCZ 8 mg/kg IV given every 4 weeks, and as such TCZ 162 mg SC weekly is the appropriate starting dose.</w:t>
      </w:r>
      <w:r w:rsidR="0006729F">
        <w:t xml:space="preserve"> </w:t>
      </w:r>
      <w:r w:rsidRPr="00025929">
        <w:t xml:space="preserve">While study NA25220 did show that many patients respond to SC TCZ </w:t>
      </w:r>
      <w:r w:rsidR="00AC528E">
        <w:t>every 2 weeks</w:t>
      </w:r>
      <w:r w:rsidRPr="00025929">
        <w:t xml:space="preserve">, </w:t>
      </w:r>
      <w:r>
        <w:t>it has only been shown to be superior to placebo.</w:t>
      </w:r>
      <w:r w:rsidR="0006729F">
        <w:t xml:space="preserve"> </w:t>
      </w:r>
      <w:r>
        <w:t>T</w:t>
      </w:r>
      <w:r w:rsidRPr="00025929">
        <w:t xml:space="preserve">he Sponsor states there are no existing or planned studies to compare the safety and efficacy of SC TCZ </w:t>
      </w:r>
      <w:r w:rsidR="00AC528E">
        <w:t>every 2 weeks</w:t>
      </w:r>
      <w:r w:rsidRPr="00025929">
        <w:t xml:space="preserve"> with SC TCZ weekly.</w:t>
      </w:r>
    </w:p>
    <w:p w14:paraId="4463B382" w14:textId="77777777" w:rsidR="00DD5711" w:rsidRDefault="00DD5711" w:rsidP="00F72E65">
      <w:pPr>
        <w:pStyle w:val="Numberbullet0"/>
      </w:pPr>
      <w:r w:rsidRPr="00471946">
        <w:t>In the pre-submission meeting dossier sent by Roche to the TGA in an email on 29 August 2014 and in the slide set attached to the revised TGA official meeting record sent in an email dated 6 November 2014, it was stated that the final CSR for study ML28338 would be provided for evaluation.</w:t>
      </w:r>
      <w:r w:rsidR="0006729F">
        <w:t xml:space="preserve"> </w:t>
      </w:r>
      <w:r w:rsidRPr="00471946">
        <w:t xml:space="preserve">In </w:t>
      </w:r>
      <w:r>
        <w:t xml:space="preserve">the </w:t>
      </w:r>
      <w:r w:rsidRPr="00471946">
        <w:t>Summ</w:t>
      </w:r>
      <w:r>
        <w:t>ary of Clinical Safety Addendum</w:t>
      </w:r>
      <w:r w:rsidRPr="00471946">
        <w:t>, it was stated that the CSR “</w:t>
      </w:r>
      <w:r w:rsidRPr="00471946">
        <w:rPr>
          <w:i/>
        </w:rPr>
        <w:t>is still in preparation</w:t>
      </w:r>
      <w:r>
        <w:t xml:space="preserve">”. </w:t>
      </w:r>
      <w:r w:rsidRPr="00471946">
        <w:t xml:space="preserve">If available, the </w:t>
      </w:r>
      <w:r>
        <w:t>s</w:t>
      </w:r>
      <w:r w:rsidRPr="00471946">
        <w:t>ponsor is requested to provide this report for evaluation.</w:t>
      </w:r>
    </w:p>
    <w:p w14:paraId="4463B383" w14:textId="77777777" w:rsidR="00DD5711" w:rsidRDefault="00DD5711" w:rsidP="00A40606">
      <w:pPr>
        <w:ind w:left="425"/>
      </w:pPr>
      <w:r>
        <w:rPr>
          <w:b/>
        </w:rPr>
        <w:t>Sponsor’s response</w:t>
      </w:r>
      <w:r w:rsidRPr="00233C4E">
        <w:rPr>
          <w:b/>
        </w:rPr>
        <w:t>:</w:t>
      </w:r>
      <w:r>
        <w:t xml:space="preserve"> </w:t>
      </w:r>
      <w:r w:rsidRPr="00AD3D4B">
        <w:t xml:space="preserve">The Sponsor provided </w:t>
      </w:r>
      <w:r>
        <w:t xml:space="preserve">the finalised </w:t>
      </w:r>
      <w:r w:rsidRPr="00AD3D4B">
        <w:t>CSR for study ML28338 (report no. 1063256) for</w:t>
      </w:r>
      <w:r>
        <w:t xml:space="preserve"> </w:t>
      </w:r>
      <w:r w:rsidRPr="00AD3D4B">
        <w:t>evaluation</w:t>
      </w:r>
      <w:r>
        <w:t>. Study ML28338 was</w:t>
      </w:r>
      <w:r w:rsidRPr="00747D34">
        <w:t xml:space="preserve"> a multicentre open-label, long-term extension</w:t>
      </w:r>
      <w:r>
        <w:t xml:space="preserve"> (LTE)</w:t>
      </w:r>
      <w:r w:rsidRPr="00747D34">
        <w:t xml:space="preserve"> study to evaluate safety </w:t>
      </w:r>
      <w:r>
        <w:t xml:space="preserve">(primary objective) </w:t>
      </w:r>
      <w:r w:rsidRPr="00747D34">
        <w:t>and efficacy of SC TCZ in patients</w:t>
      </w:r>
      <w:r>
        <w:t xml:space="preserve"> </w:t>
      </w:r>
      <w:r w:rsidRPr="00747D34">
        <w:t>with moderate to severe RA who completed studies</w:t>
      </w:r>
      <w:r>
        <w:t xml:space="preserve"> </w:t>
      </w:r>
      <w:r w:rsidRPr="00747D34">
        <w:t xml:space="preserve">WA22762 or NA25220 and met the study ML28338 </w:t>
      </w:r>
      <w:r>
        <w:t xml:space="preserve">entry criteria (U.S. patients only). Patients on SC TCZ continued either weekly </w:t>
      </w:r>
      <w:r w:rsidRPr="00747D34">
        <w:t xml:space="preserve">or </w:t>
      </w:r>
      <w:r w:rsidR="00AC528E">
        <w:t>every 2 weeks</w:t>
      </w:r>
      <w:r>
        <w:t xml:space="preserve"> treatment, while</w:t>
      </w:r>
      <w:r w:rsidRPr="00747D34">
        <w:t xml:space="preserve"> those patients </w:t>
      </w:r>
      <w:r w:rsidRPr="00414B23">
        <w:t>from study WA22762</w:t>
      </w:r>
      <w:r>
        <w:t xml:space="preserve"> </w:t>
      </w:r>
      <w:r w:rsidRPr="00747D34">
        <w:t xml:space="preserve">who were on </w:t>
      </w:r>
      <w:r>
        <w:t>IV TCZ</w:t>
      </w:r>
      <w:r w:rsidRPr="00747D34">
        <w:t xml:space="preserve"> 8 mg/kg, switched</w:t>
      </w:r>
      <w:r>
        <w:t xml:space="preserve"> </w:t>
      </w:r>
      <w:r w:rsidRPr="00747D34">
        <w:t xml:space="preserve">to </w:t>
      </w:r>
      <w:r>
        <w:t>SC TCZ</w:t>
      </w:r>
      <w:r w:rsidRPr="00747D34">
        <w:t xml:space="preserve"> </w:t>
      </w:r>
      <w:r>
        <w:t>weekly</w:t>
      </w:r>
      <w:r w:rsidRPr="00747D34">
        <w:t xml:space="preserve"> therapy.</w:t>
      </w:r>
    </w:p>
    <w:p w14:paraId="4463B384" w14:textId="77777777" w:rsidR="00DD5711" w:rsidRDefault="00DD5711" w:rsidP="00A40606">
      <w:pPr>
        <w:ind w:left="360"/>
      </w:pPr>
      <w:r>
        <w:t>A summary of the findings are presented here:</w:t>
      </w:r>
    </w:p>
    <w:p w14:paraId="4463B385" w14:textId="77777777" w:rsidR="00DD5711" w:rsidRPr="00DD5711" w:rsidRDefault="00DD5711" w:rsidP="003C0C9F">
      <w:pPr>
        <w:pStyle w:val="ListBullet"/>
        <w:ind w:left="709"/>
        <w:rPr>
          <w:b/>
        </w:rPr>
      </w:pPr>
      <w:r>
        <w:t xml:space="preserve">In total, 217 patients were exposed to SC TCZ for a mean of </w:t>
      </w:r>
      <w:r w:rsidRPr="00511295">
        <w:t>0.93 years (range 0.08</w:t>
      </w:r>
      <w:r>
        <w:noBreakHyphen/>
      </w:r>
      <w:r w:rsidRPr="00511295">
        <w:t>1.59)</w:t>
      </w:r>
      <w:r>
        <w:t>.</w:t>
      </w:r>
    </w:p>
    <w:p w14:paraId="4463B386" w14:textId="77777777" w:rsidR="00DD5711" w:rsidRPr="00DD5711" w:rsidRDefault="00DD5711" w:rsidP="003C0C9F">
      <w:pPr>
        <w:pStyle w:val="ListBullet"/>
        <w:ind w:left="709"/>
        <w:rPr>
          <w:b/>
        </w:rPr>
      </w:pPr>
      <w:r w:rsidRPr="00D76082">
        <w:rPr>
          <w:bCs/>
        </w:rPr>
        <w:t xml:space="preserve">Of the 217 treated patients, 44 received SC TCZ </w:t>
      </w:r>
      <w:r w:rsidR="00AC528E">
        <w:rPr>
          <w:bCs/>
        </w:rPr>
        <w:t>every 2 weeks</w:t>
      </w:r>
      <w:r w:rsidRPr="00D76082">
        <w:rPr>
          <w:bCs/>
        </w:rPr>
        <w:t xml:space="preserve"> and the remaini</w:t>
      </w:r>
      <w:r>
        <w:rPr>
          <w:bCs/>
        </w:rPr>
        <w:t xml:space="preserve">ng 173 received weekly SC TCZ. </w:t>
      </w:r>
      <w:r>
        <w:t xml:space="preserve">Mean exposure increased to </w:t>
      </w:r>
      <w:r w:rsidRPr="00511295">
        <w:t>2.6 years (range 1.35-3.36)</w:t>
      </w:r>
      <w:r>
        <w:t xml:space="preserve"> when </w:t>
      </w:r>
      <w:r w:rsidRPr="00511295">
        <w:t>participation in both the core and LTE studies was considered</w:t>
      </w:r>
      <w:r>
        <w:t>.</w:t>
      </w:r>
    </w:p>
    <w:p w14:paraId="4463B387" w14:textId="77777777" w:rsidR="00DD5711" w:rsidRPr="00DD5711" w:rsidRDefault="00DD5711" w:rsidP="003C0C9F">
      <w:pPr>
        <w:pStyle w:val="ListBullet"/>
        <w:ind w:left="709"/>
        <w:rPr>
          <w:b/>
        </w:rPr>
      </w:pPr>
      <w:r w:rsidRPr="00511295">
        <w:t>AEs were reported by 179 patients (82.5%), with an event rate of 379.66 (95% CI: 355.95, 404.54) per 100 PY</w:t>
      </w:r>
      <w:r>
        <w:t xml:space="preserve">. </w:t>
      </w:r>
      <w:r w:rsidRPr="00511295">
        <w:t>The most common AEs were: URTI (19.8%), sinusitis (11.1%)</w:t>
      </w:r>
      <w:r>
        <w:t>, and nasopharyngitis (10.1%).</w:t>
      </w:r>
    </w:p>
    <w:p w14:paraId="4463B388" w14:textId="77777777" w:rsidR="00DD5711" w:rsidRPr="00DD5711" w:rsidRDefault="00DD5711" w:rsidP="003C0C9F">
      <w:pPr>
        <w:pStyle w:val="ListBullet"/>
        <w:ind w:left="709"/>
        <w:rPr>
          <w:b/>
        </w:rPr>
      </w:pPr>
      <w:r w:rsidRPr="00511295">
        <w:t>AEs were considered to be treatment-related</w:t>
      </w:r>
      <w:r>
        <w:t xml:space="preserve"> in 49 patients with 98 TEAEs. </w:t>
      </w:r>
      <w:r w:rsidRPr="00511295">
        <w:t>The most common TEAEs were: URTI (n = 11, 5.1%), ALT increased (n = 6, 2.8%), neutropenia (n = 6, 2.8%), neutrophil count decreased (n = 5, 2.3%), thrombocytopenia (n = 4, 1.8%), AST increased (n = 3, 1.4%), and sinusitis (n = 3, 1.4%).</w:t>
      </w:r>
    </w:p>
    <w:p w14:paraId="4463B389" w14:textId="77777777" w:rsidR="00DD5711" w:rsidRPr="00DD5711" w:rsidRDefault="00DD5711" w:rsidP="003C0C9F">
      <w:pPr>
        <w:pStyle w:val="ListBullet"/>
        <w:ind w:left="709"/>
        <w:rPr>
          <w:b/>
        </w:rPr>
      </w:pPr>
      <w:r w:rsidRPr="00511295">
        <w:t>A total of 37 SAEs were re</w:t>
      </w:r>
      <w:r>
        <w:t xml:space="preserve">ported in 23 patients (10.6%). </w:t>
      </w:r>
      <w:r w:rsidRPr="00511295">
        <w:t xml:space="preserve">The most frequently reported SAEs by SOC were </w:t>
      </w:r>
      <w:r>
        <w:t>i</w:t>
      </w:r>
      <w:r w:rsidRPr="00511295">
        <w:t xml:space="preserve">nfections and </w:t>
      </w:r>
      <w:r>
        <w:t>i</w:t>
      </w:r>
      <w:r w:rsidRPr="00511295">
        <w:t xml:space="preserve">nfestations (3.2%), </w:t>
      </w:r>
      <w:r>
        <w:t>and n</w:t>
      </w:r>
      <w:r w:rsidRPr="00511295">
        <w:t xml:space="preserve">ervous </w:t>
      </w:r>
      <w:r>
        <w:t>s</w:t>
      </w:r>
      <w:r w:rsidRPr="00511295">
        <w:t xml:space="preserve">ystem </w:t>
      </w:r>
      <w:r>
        <w:t>d</w:t>
      </w:r>
      <w:r w:rsidRPr="00511295">
        <w:t xml:space="preserve">isorders </w:t>
      </w:r>
      <w:r>
        <w:t xml:space="preserve">(2.3%). </w:t>
      </w:r>
      <w:r w:rsidRPr="00511295">
        <w:t>Only 4 SAEs in 3 patients were considered treatment-related: endocarditis, staphylococcal bacteraemia, thrombocytopaenia,</w:t>
      </w:r>
      <w:r>
        <w:t xml:space="preserve"> and diverticular perforation.</w:t>
      </w:r>
    </w:p>
    <w:p w14:paraId="4463B38A" w14:textId="77777777" w:rsidR="00DD5711" w:rsidRPr="00DD5711" w:rsidRDefault="00DD5711" w:rsidP="003C0C9F">
      <w:pPr>
        <w:pStyle w:val="ListBullet"/>
        <w:ind w:left="709"/>
        <w:rPr>
          <w:b/>
        </w:rPr>
      </w:pPr>
      <w:r w:rsidRPr="00511295">
        <w:t xml:space="preserve">Discontinuation as a result of AEs occurred in 16 patients (7.4%): 14 patients (8.1%) in SC TCZ weekly and 2 patients (4.5%) in SC </w:t>
      </w:r>
      <w:r>
        <w:t xml:space="preserve">TCZ </w:t>
      </w:r>
      <w:r w:rsidR="00AC528E">
        <w:t>every 2 weeks</w:t>
      </w:r>
      <w:r>
        <w:t xml:space="preserve">. </w:t>
      </w:r>
      <w:r w:rsidRPr="00511295">
        <w:t>Only staphylococcal bacteraemia occurred</w:t>
      </w:r>
      <w:r>
        <w:t xml:space="preserve"> in more than 1 patient (n=2).</w:t>
      </w:r>
    </w:p>
    <w:p w14:paraId="4463B38B" w14:textId="77777777" w:rsidR="00DD5711" w:rsidRPr="00DD5711" w:rsidRDefault="00DD5711" w:rsidP="003C0C9F">
      <w:pPr>
        <w:pStyle w:val="ListBullet"/>
        <w:ind w:left="709"/>
        <w:rPr>
          <w:b/>
        </w:rPr>
      </w:pPr>
      <w:r w:rsidRPr="00511295">
        <w:t>No deaths occurred during the study.</w:t>
      </w:r>
    </w:p>
    <w:p w14:paraId="4463B38C" w14:textId="77777777" w:rsidR="00DD5711" w:rsidRPr="00DD5711" w:rsidRDefault="00DD5711" w:rsidP="00C10CAB">
      <w:pPr>
        <w:pStyle w:val="ListBullet"/>
        <w:ind w:left="709"/>
        <w:rPr>
          <w:b/>
        </w:rPr>
      </w:pPr>
      <w:r w:rsidRPr="00037591">
        <w:lastRenderedPageBreak/>
        <w:t>Six patients experienced 29 ISRs</w:t>
      </w:r>
      <w:r>
        <w:t>; none were serious or lead to withdrawal from the study.</w:t>
      </w:r>
    </w:p>
    <w:p w14:paraId="4463B38D" w14:textId="77777777" w:rsidR="00DD5711" w:rsidRPr="00DD5711" w:rsidRDefault="00DD5711" w:rsidP="00C10CAB">
      <w:pPr>
        <w:pStyle w:val="ListBullet"/>
        <w:ind w:left="709"/>
        <w:rPr>
          <w:b/>
        </w:rPr>
      </w:pPr>
      <w:r w:rsidRPr="00037591">
        <w:t>There were no cases of anaphylaxis or serious hypersensitivity reaction.</w:t>
      </w:r>
    </w:p>
    <w:p w14:paraId="4463B38E" w14:textId="77777777" w:rsidR="00DD5711" w:rsidRPr="00DD5711" w:rsidRDefault="00DD5711" w:rsidP="00C10CAB">
      <w:pPr>
        <w:pStyle w:val="ListBullet"/>
        <w:ind w:left="709"/>
        <w:rPr>
          <w:b/>
        </w:rPr>
      </w:pPr>
      <w:r w:rsidRPr="00037591">
        <w:t>Serious and/or medically significant infections occurred in 8 patients</w:t>
      </w:r>
      <w:r>
        <w:t>.</w:t>
      </w:r>
    </w:p>
    <w:p w14:paraId="4463B38F" w14:textId="77777777" w:rsidR="00DD5711" w:rsidRPr="00DD5711" w:rsidRDefault="00DD5711" w:rsidP="00C10CAB">
      <w:pPr>
        <w:pStyle w:val="ListBullet"/>
        <w:ind w:left="709"/>
        <w:rPr>
          <w:b/>
        </w:rPr>
      </w:pPr>
      <w:r w:rsidRPr="00037591">
        <w:t>Neutralizing anti-tocilizumab antibodies occurred in</w:t>
      </w:r>
      <w:r>
        <w:t xml:space="preserve"> 1 patient (0.5%).</w:t>
      </w:r>
    </w:p>
    <w:p w14:paraId="4463B390" w14:textId="77777777" w:rsidR="00DD5711" w:rsidRDefault="00DD5711" w:rsidP="00A40606">
      <w:pPr>
        <w:ind w:left="360"/>
      </w:pPr>
      <w:r>
        <w:t>Efficacy based on a number of validated measures was generally maintained throughout the study, although based on a decreasing number of patients.</w:t>
      </w:r>
    </w:p>
    <w:p w14:paraId="4463B391" w14:textId="77777777" w:rsidR="00DD5711" w:rsidRPr="00D205A3" w:rsidRDefault="00DD5711" w:rsidP="00A40606">
      <w:pPr>
        <w:ind w:left="360"/>
        <w:rPr>
          <w:i/>
        </w:rPr>
      </w:pPr>
      <w:r w:rsidRPr="00D205A3">
        <w:rPr>
          <w:i/>
        </w:rPr>
        <w:t>Evaluator’s comment: This LTE study was conducted in the subset of U.S. patients who had completed the core WA22762 and NA25220 studies. It provided safety data for an additional mean duration of SC TCZ exposure of 1.16 years. The rate and type of AEs and SAEs was generally consistent with those reported in the core studies, and patients continued to derive benefit from SC TCZ based on numerous validated efficacy measures.</w:t>
      </w:r>
    </w:p>
    <w:p w14:paraId="4463B392" w14:textId="77777777" w:rsidR="00F72E65" w:rsidRDefault="00F72E65" w:rsidP="00F72E65">
      <w:pPr>
        <w:pStyle w:val="Heading3"/>
      </w:pPr>
      <w:bookmarkStart w:id="201" w:name="_Toc464136292"/>
      <w:r>
        <w:t>Safety</w:t>
      </w:r>
      <w:bookmarkEnd w:id="201"/>
    </w:p>
    <w:p w14:paraId="4463B393" w14:textId="77777777" w:rsidR="00F72E65" w:rsidRPr="00F72E65" w:rsidRDefault="00F72E65" w:rsidP="00F72E65">
      <w:pPr>
        <w:pStyle w:val="Numberbullet0"/>
        <w:numPr>
          <w:ilvl w:val="0"/>
          <w:numId w:val="23"/>
        </w:numPr>
      </w:pPr>
      <w:r w:rsidRPr="00471946">
        <w:t>While the majority of anaphylaxis events occur with the first 4 to 5 infusions, similar data has not been reported for other hypersensitivity reactions. Please provide these data (for all hypersensitivity, clinically significant hypersensitivity, and serious hypersensitivity events) for studies WA22762 and NA25220.</w:t>
      </w:r>
    </w:p>
    <w:p w14:paraId="4463B394" w14:textId="77777777" w:rsidR="00F72E65" w:rsidRPr="00EF5875" w:rsidRDefault="00F72E65" w:rsidP="00A40606">
      <w:pPr>
        <w:ind w:left="425"/>
      </w:pPr>
      <w:r>
        <w:rPr>
          <w:b/>
        </w:rPr>
        <w:t xml:space="preserve">Sponsor’s response: </w:t>
      </w:r>
      <w:r w:rsidRPr="0011121B">
        <w:t>The Sponsor provided the requested analyses.</w:t>
      </w:r>
      <w:r>
        <w:t xml:space="preserve"> T</w:t>
      </w:r>
      <w:r w:rsidRPr="00EF5875">
        <w:t>he following definitions were pre</w:t>
      </w:r>
      <w:r>
        <w:t>-</w:t>
      </w:r>
      <w:r w:rsidRPr="00EF5875">
        <w:t>specified</w:t>
      </w:r>
      <w:r>
        <w:t xml:space="preserve"> </w:t>
      </w:r>
      <w:r w:rsidRPr="00EF5875">
        <w:t>for the reporting of hypersensitivity events</w:t>
      </w:r>
      <w:r>
        <w:rPr>
          <w:rStyle w:val="FootnoteReference"/>
        </w:rPr>
        <w:footnoteReference w:id="10"/>
      </w:r>
      <w:r w:rsidRPr="00EF5875">
        <w:t>:</w:t>
      </w:r>
    </w:p>
    <w:p w14:paraId="4463B395" w14:textId="77777777" w:rsidR="00F72E65" w:rsidRPr="00EF5875" w:rsidRDefault="00F72E65" w:rsidP="00A40606">
      <w:pPr>
        <w:ind w:left="425"/>
      </w:pPr>
      <w:r w:rsidRPr="00EF5875">
        <w:t>Hypersensitivity events: defined as all AEs except injection site reactions (ISRs)</w:t>
      </w:r>
      <w:r>
        <w:t xml:space="preserve"> </w:t>
      </w:r>
      <w:r w:rsidRPr="00EF5875">
        <w:t>that occurred during or within 24 hours of an infusion or injection and which</w:t>
      </w:r>
      <w:r>
        <w:t xml:space="preserve"> </w:t>
      </w:r>
      <w:r w:rsidRPr="00EF5875">
        <w:t>were not judged “unrelated” to treatment by the investigator, regardless of</w:t>
      </w:r>
      <w:r>
        <w:t xml:space="preserve"> </w:t>
      </w:r>
      <w:r w:rsidRPr="00EF5875">
        <w:t>whether or not they were clinically consistent with hypersensitivity.</w:t>
      </w:r>
    </w:p>
    <w:p w14:paraId="4463B396" w14:textId="77777777" w:rsidR="00F72E65" w:rsidRPr="00EF5875" w:rsidRDefault="00F72E65" w:rsidP="00936A9F">
      <w:pPr>
        <w:pStyle w:val="ListBullet"/>
        <w:ind w:left="851"/>
      </w:pPr>
      <w:r w:rsidRPr="00EF5875">
        <w:t>Clinically significant hypersensitivity events: hypersensitivity events (as defined</w:t>
      </w:r>
      <w:r>
        <w:t xml:space="preserve"> </w:t>
      </w:r>
      <w:r w:rsidRPr="00EF5875">
        <w:t>above) that led to withdrawal from treatment.</w:t>
      </w:r>
    </w:p>
    <w:p w14:paraId="4463B397" w14:textId="77777777" w:rsidR="00F72E65" w:rsidRPr="00EF5875" w:rsidRDefault="00F72E65" w:rsidP="00936A9F">
      <w:pPr>
        <w:pStyle w:val="ListBullet"/>
        <w:ind w:left="851"/>
      </w:pPr>
      <w:r w:rsidRPr="00EF5875">
        <w:t>Serious hypersensitivity events: hypersensitivity events (as defined above) that</w:t>
      </w:r>
      <w:r>
        <w:t xml:space="preserve"> </w:t>
      </w:r>
      <w:r w:rsidRPr="00EF5875">
        <w:t>were reported as serious.</w:t>
      </w:r>
    </w:p>
    <w:p w14:paraId="4463B398" w14:textId="77777777" w:rsidR="00F72E65" w:rsidRPr="00EF5875" w:rsidRDefault="00F72E65" w:rsidP="00936A9F">
      <w:pPr>
        <w:pStyle w:val="ListBullet"/>
        <w:ind w:left="851"/>
      </w:pPr>
      <w:r w:rsidRPr="00EF5875">
        <w:t>Serious clinically significant hypersensitivity events: hypersensitivity events (as</w:t>
      </w:r>
      <w:r>
        <w:t xml:space="preserve"> </w:t>
      </w:r>
      <w:r w:rsidRPr="00EF5875">
        <w:t>defined above) that were reported as serious and led to withdrawal from</w:t>
      </w:r>
      <w:r>
        <w:t xml:space="preserve"> </w:t>
      </w:r>
      <w:r w:rsidRPr="00EF5875">
        <w:t>treatment.</w:t>
      </w:r>
    </w:p>
    <w:p w14:paraId="4463B399" w14:textId="77777777" w:rsidR="00F72E65" w:rsidRDefault="00F72E65" w:rsidP="00936A9F">
      <w:pPr>
        <w:pStyle w:val="ListBullet"/>
        <w:ind w:left="851"/>
      </w:pPr>
      <w:r w:rsidRPr="00EF5875">
        <w:t>Anaphylactic reactions: identified according to the Anaphylactic Reaction</w:t>
      </w:r>
      <w:r>
        <w:t xml:space="preserve"> </w:t>
      </w:r>
      <w:r w:rsidRPr="00EF5875">
        <w:t>Standardized MedDRA Query (SMQ) (narrow) and the Roche standard Adverse</w:t>
      </w:r>
      <w:r>
        <w:t xml:space="preserve"> </w:t>
      </w:r>
      <w:r w:rsidRPr="00EF5875">
        <w:t>Event Group Term (AEGT) basket based on Sampson’s Criteria.</w:t>
      </w:r>
    </w:p>
    <w:p w14:paraId="4463B39A" w14:textId="77777777" w:rsidR="00F72E65" w:rsidRPr="00BC36A1" w:rsidRDefault="00F72E65" w:rsidP="00F72E65">
      <w:pPr>
        <w:autoSpaceDE w:val="0"/>
        <w:autoSpaceDN w:val="0"/>
        <w:adjustRightInd w:val="0"/>
        <w:ind w:left="284"/>
        <w:jc w:val="both"/>
        <w:rPr>
          <w:b/>
        </w:rPr>
      </w:pPr>
      <w:r w:rsidRPr="00BC36A1">
        <w:rPr>
          <w:b/>
        </w:rPr>
        <w:t>Study WA22762</w:t>
      </w:r>
    </w:p>
    <w:p w14:paraId="4463B39B" w14:textId="77777777" w:rsidR="00F72E65" w:rsidRDefault="00F72E65" w:rsidP="00F72E65">
      <w:pPr>
        <w:autoSpaceDE w:val="0"/>
        <w:autoSpaceDN w:val="0"/>
        <w:adjustRightInd w:val="0"/>
        <w:ind w:left="284"/>
        <w:jc w:val="both"/>
      </w:pPr>
      <w:r w:rsidRPr="00F72E65">
        <w:rPr>
          <w:b/>
        </w:rPr>
        <w:t>IV TCZ</w:t>
      </w:r>
      <w:r>
        <w:t xml:space="preserve"> (includes IV TCZ </w:t>
      </w:r>
      <w:r w:rsidR="00AC528E">
        <w:t>every 4 weeks</w:t>
      </w:r>
      <w:r>
        <w:t>, IV PLC, &amp; SC</w:t>
      </w:r>
      <w:r w:rsidR="00A40606">
        <w:t xml:space="preserve"> </w:t>
      </w:r>
      <w:r>
        <w:t xml:space="preserve">IV </w:t>
      </w:r>
      <w:r w:rsidRPr="00CD63CB">
        <w:t xml:space="preserve">TCZ </w:t>
      </w:r>
      <w:r>
        <w:t>switch patients):</w:t>
      </w:r>
      <w:r w:rsidRPr="0011121B">
        <w:t xml:space="preserve"> up to Week 97 (24 infusions)</w:t>
      </w:r>
      <w:r>
        <w:t>,</w:t>
      </w:r>
      <w:r w:rsidRPr="0011121B">
        <w:t xml:space="preserve"> 63 AEs met the criteria of hypers</w:t>
      </w:r>
      <w:r w:rsidR="00B06B62">
        <w:t xml:space="preserve">ensitivity in the IV TCZ and SC to </w:t>
      </w:r>
      <w:r w:rsidRPr="0011121B">
        <w:t>IV TCZ switch group.</w:t>
      </w:r>
      <w:r w:rsidR="0006729F">
        <w:t xml:space="preserve"> </w:t>
      </w:r>
      <w:r w:rsidRPr="0011121B">
        <w:t>Twenty</w:t>
      </w:r>
      <w:r w:rsidR="00A40606">
        <w:t xml:space="preserve"> </w:t>
      </w:r>
      <w:r w:rsidRPr="0011121B">
        <w:t>five (39.7%) occurred with the 1</w:t>
      </w:r>
      <w:r w:rsidRPr="0011121B">
        <w:rPr>
          <w:vertAlign w:val="superscript"/>
        </w:rPr>
        <w:t>st</w:t>
      </w:r>
      <w:r w:rsidRPr="0011121B">
        <w:t xml:space="preserve"> infusion, and the majority (55.6%) occurred by infusion number 3.</w:t>
      </w:r>
      <w:r>
        <w:t xml:space="preserve"> Seven of the 63 AEs (11.1%) were clinically significant, with 4 occurring following </w:t>
      </w:r>
      <w:r w:rsidR="00A40606">
        <w:t>1</w:t>
      </w:r>
      <w:r w:rsidR="00A40606" w:rsidRPr="00A40606">
        <w:rPr>
          <w:vertAlign w:val="superscript"/>
        </w:rPr>
        <w:t>st</w:t>
      </w:r>
      <w:r w:rsidR="00A40606">
        <w:t xml:space="preserve"> </w:t>
      </w:r>
      <w:r>
        <w:t>infusion, and only 1 considered serious (</w:t>
      </w:r>
      <w:r w:rsidR="00A40606">
        <w:t>Table 22</w:t>
      </w:r>
      <w:r>
        <w:t>, below).</w:t>
      </w:r>
    </w:p>
    <w:p w14:paraId="4463B39C" w14:textId="77777777" w:rsidR="00F72E65" w:rsidRDefault="00F72E65" w:rsidP="00F72E65">
      <w:pPr>
        <w:pStyle w:val="Tabletitle"/>
      </w:pPr>
      <w:r>
        <w:lastRenderedPageBreak/>
        <w:t xml:space="preserve">Table 22: </w:t>
      </w:r>
      <w:r w:rsidRPr="00951E10">
        <w:t xml:space="preserve">WA22762: </w:t>
      </w:r>
      <w:r>
        <w:t>A</w:t>
      </w:r>
      <w:r w:rsidRPr="00951E10">
        <w:t xml:space="preserve">ll hypersensitivity events by </w:t>
      </w:r>
      <w:r>
        <w:t>IV</w:t>
      </w:r>
      <w:r w:rsidRPr="00951E10">
        <w:t xml:space="preserve"> infusion / </w:t>
      </w:r>
      <w:r>
        <w:t>SC</w:t>
      </w:r>
      <w:r w:rsidRPr="00951E10">
        <w:t xml:space="preserve"> injection number up to week 97</w:t>
      </w:r>
    </w:p>
    <w:p w14:paraId="4463B39D" w14:textId="77777777" w:rsidR="00F72E65" w:rsidRDefault="00F72E65" w:rsidP="00F72E65">
      <w:pPr>
        <w:autoSpaceDE w:val="0"/>
        <w:autoSpaceDN w:val="0"/>
        <w:adjustRightInd w:val="0"/>
        <w:ind w:left="284"/>
        <w:jc w:val="both"/>
      </w:pPr>
      <w:r>
        <w:rPr>
          <w:noProof/>
          <w:lang w:eastAsia="en-AU"/>
        </w:rPr>
        <w:drawing>
          <wp:inline distT="0" distB="0" distL="0" distR="0" wp14:anchorId="4463B3FC" wp14:editId="667B8E2E">
            <wp:extent cx="3995875" cy="1836994"/>
            <wp:effectExtent l="0" t="0" r="5080" b="0"/>
            <wp:docPr id="26" name="Picture 26" descr="Table 22: WA22762: All hypersensitivity events by IV infusion / SC injection number up to week 97" title="Table 22: WA22762: All hypersensitivity events by IV infusion / SC injection number up to we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000031" cy="1838905"/>
                    </a:xfrm>
                    <a:prstGeom prst="rect">
                      <a:avLst/>
                    </a:prstGeom>
                  </pic:spPr>
                </pic:pic>
              </a:graphicData>
            </a:graphic>
          </wp:inline>
        </w:drawing>
      </w:r>
    </w:p>
    <w:p w14:paraId="4463B39E" w14:textId="77777777" w:rsidR="00F72E65" w:rsidRDefault="00F72E65" w:rsidP="00A40606">
      <w:pPr>
        <w:ind w:left="284"/>
      </w:pPr>
      <w:r w:rsidRPr="00A40606">
        <w:rPr>
          <w:b/>
        </w:rPr>
        <w:t>SC TCZ</w:t>
      </w:r>
      <w:r w:rsidR="00A40606">
        <w:t xml:space="preserve">: </w:t>
      </w:r>
      <w:r w:rsidRPr="0011121B">
        <w:t>In the SC TCZ and IV</w:t>
      </w:r>
      <w:r w:rsidR="00A40606">
        <w:t xml:space="preserve"> </w:t>
      </w:r>
      <w:r w:rsidRPr="0011121B">
        <w:t xml:space="preserve">SC TCZ switch group, </w:t>
      </w:r>
      <w:r>
        <w:t>97</w:t>
      </w:r>
      <w:r w:rsidRPr="0011121B">
        <w:t xml:space="preserve"> AEs met the </w:t>
      </w:r>
      <w:r>
        <w:t xml:space="preserve">hypersensitivity </w:t>
      </w:r>
      <w:r w:rsidRPr="0011121B">
        <w:t>criteria: 21 (21.6%) occurred with the 1</w:t>
      </w:r>
      <w:r w:rsidRPr="0011121B">
        <w:rPr>
          <w:vertAlign w:val="superscript"/>
        </w:rPr>
        <w:t>st</w:t>
      </w:r>
      <w:r w:rsidRPr="0011121B">
        <w:t xml:space="preserve"> </w:t>
      </w:r>
      <w:r>
        <w:t>injection</w:t>
      </w:r>
      <w:r w:rsidRPr="0011121B">
        <w:t>, and the majority (51.5%) o</w:t>
      </w:r>
      <w:r>
        <w:t xml:space="preserve">ccurred by </w:t>
      </w:r>
      <w:r w:rsidR="00A40606">
        <w:t>the 11</w:t>
      </w:r>
      <w:r w:rsidR="00A40606" w:rsidRPr="00A40606">
        <w:rPr>
          <w:vertAlign w:val="superscript"/>
        </w:rPr>
        <w:t>th</w:t>
      </w:r>
      <w:r w:rsidR="00A40606">
        <w:t xml:space="preserve"> </w:t>
      </w:r>
      <w:r>
        <w:t>injection. Twelve</w:t>
      </w:r>
      <w:r w:rsidRPr="005A300C">
        <w:t xml:space="preserve"> of the </w:t>
      </w:r>
      <w:r>
        <w:t>97</w:t>
      </w:r>
      <w:r w:rsidRPr="005A300C">
        <w:t xml:space="preserve"> AEs (</w:t>
      </w:r>
      <w:r>
        <w:t>12</w:t>
      </w:r>
      <w:r w:rsidRPr="005A300C">
        <w:t>.</w:t>
      </w:r>
      <w:r>
        <w:t>4</w:t>
      </w:r>
      <w:r w:rsidRPr="005A300C">
        <w:t xml:space="preserve">%) were clinically significant, with </w:t>
      </w:r>
      <w:r>
        <w:t>5</w:t>
      </w:r>
      <w:r w:rsidRPr="005A300C">
        <w:t xml:space="preserve"> occurring </w:t>
      </w:r>
      <w:r>
        <w:t>between</w:t>
      </w:r>
      <w:r w:rsidRPr="005A300C">
        <w:t xml:space="preserve"> </w:t>
      </w:r>
      <w:r w:rsidR="00A40606">
        <w:t>the 1</w:t>
      </w:r>
      <w:r w:rsidR="00A40606" w:rsidRPr="00A40606">
        <w:rPr>
          <w:vertAlign w:val="superscript"/>
        </w:rPr>
        <w:t>st</w:t>
      </w:r>
      <w:r w:rsidR="00A40606">
        <w:t xml:space="preserve"> and 4</w:t>
      </w:r>
      <w:r w:rsidR="00A40606" w:rsidRPr="00A40606">
        <w:rPr>
          <w:vertAlign w:val="superscript"/>
        </w:rPr>
        <w:t>th</w:t>
      </w:r>
      <w:r w:rsidR="00A40606">
        <w:t xml:space="preserve"> </w:t>
      </w:r>
      <w:r>
        <w:t>injection</w:t>
      </w:r>
      <w:r w:rsidR="00A40606">
        <w:t xml:space="preserve"> </w:t>
      </w:r>
      <w:r w:rsidRPr="005A300C">
        <w:t xml:space="preserve">and </w:t>
      </w:r>
      <w:r>
        <w:t>3 (</w:t>
      </w:r>
      <w:r w:rsidR="00A40606">
        <w:t xml:space="preserve">all </w:t>
      </w:r>
      <w:r>
        <w:t xml:space="preserve">in 1 patient) </w:t>
      </w:r>
      <w:r w:rsidR="00A40606">
        <w:t>occurring with the 29</w:t>
      </w:r>
      <w:r w:rsidR="00A40606" w:rsidRPr="00A40606">
        <w:rPr>
          <w:vertAlign w:val="superscript"/>
        </w:rPr>
        <w:t>th</w:t>
      </w:r>
      <w:r w:rsidR="00A40606">
        <w:t xml:space="preserve"> injection</w:t>
      </w:r>
      <w:r>
        <w:t>. O</w:t>
      </w:r>
      <w:r w:rsidRPr="005A300C">
        <w:t xml:space="preserve">nly </w:t>
      </w:r>
      <w:r>
        <w:t>2</w:t>
      </w:r>
      <w:r w:rsidRPr="005A300C">
        <w:t xml:space="preserve"> </w:t>
      </w:r>
      <w:r>
        <w:t xml:space="preserve">clinically significant reactions were </w:t>
      </w:r>
      <w:r w:rsidRPr="005A300C">
        <w:t>considered serious.</w:t>
      </w:r>
      <w:r w:rsidR="00A40606">
        <w:t xml:space="preserve"> </w:t>
      </w:r>
      <w:r>
        <w:t xml:space="preserve">There were 3 additional </w:t>
      </w:r>
      <w:r w:rsidR="00DC7EE3">
        <w:t>‘</w:t>
      </w:r>
      <w:r>
        <w:t>hypersensitivity</w:t>
      </w:r>
      <w:r w:rsidR="00DC7EE3">
        <w:t>’</w:t>
      </w:r>
      <w:r>
        <w:t xml:space="preserve"> SAEs (all reported as cellulitis) which did not result in study withdrawal.</w:t>
      </w:r>
    </w:p>
    <w:p w14:paraId="4463B39F" w14:textId="77777777" w:rsidR="00F72E65" w:rsidRDefault="00F72E65" w:rsidP="00A40606">
      <w:pPr>
        <w:ind w:left="284"/>
      </w:pPr>
      <w:r w:rsidRPr="00A40606">
        <w:rPr>
          <w:b/>
        </w:rPr>
        <w:t>SC PLC</w:t>
      </w:r>
      <w:r w:rsidR="00A40606">
        <w:t>:</w:t>
      </w:r>
      <w:r>
        <w:t xml:space="preserve"> </w:t>
      </w:r>
      <w:r w:rsidRPr="0011121B">
        <w:t xml:space="preserve">The </w:t>
      </w:r>
      <w:r>
        <w:t xml:space="preserve">SC </w:t>
      </w:r>
      <w:r w:rsidRPr="0011121B">
        <w:t>PLC group reported 52 hypersensitivity AEs: 13 (25.0%) occurred with the 2</w:t>
      </w:r>
      <w:r w:rsidRPr="0011121B">
        <w:rPr>
          <w:vertAlign w:val="superscript"/>
        </w:rPr>
        <w:t>nd</w:t>
      </w:r>
      <w:r w:rsidRPr="0011121B">
        <w:t xml:space="preserve"> infusion, and the majority (61.5%) occurred by infusion number 4.</w:t>
      </w:r>
      <w:r w:rsidR="00A40606">
        <w:t xml:space="preserve"> </w:t>
      </w:r>
      <w:r>
        <w:t>Five</w:t>
      </w:r>
      <w:r w:rsidRPr="00C22C77">
        <w:t xml:space="preserve"> of the </w:t>
      </w:r>
      <w:r>
        <w:t>52</w:t>
      </w:r>
      <w:r w:rsidRPr="00C22C77">
        <w:t xml:space="preserve"> AEs (</w:t>
      </w:r>
      <w:r>
        <w:t>9.6</w:t>
      </w:r>
      <w:r w:rsidRPr="00C22C77">
        <w:t>%) were clinically significant</w:t>
      </w:r>
      <w:r>
        <w:t xml:space="preserve"> (all non-serious)</w:t>
      </w:r>
      <w:r w:rsidRPr="00C22C77">
        <w:t>,</w:t>
      </w:r>
      <w:r>
        <w:t xml:space="preserve"> and occurred as single events at </w:t>
      </w:r>
      <w:r w:rsidR="00A40606">
        <w:t>3</w:t>
      </w:r>
      <w:r w:rsidR="00A40606" w:rsidRPr="00A40606">
        <w:rPr>
          <w:vertAlign w:val="superscript"/>
        </w:rPr>
        <w:t>rd</w:t>
      </w:r>
      <w:r w:rsidR="00A40606">
        <w:t>, 4</w:t>
      </w:r>
      <w:r w:rsidR="00A40606" w:rsidRPr="00A40606">
        <w:rPr>
          <w:vertAlign w:val="superscript"/>
        </w:rPr>
        <w:t>th</w:t>
      </w:r>
      <w:r w:rsidR="00A40606">
        <w:t>, 8</w:t>
      </w:r>
      <w:r w:rsidR="00A40606" w:rsidRPr="00A40606">
        <w:rPr>
          <w:vertAlign w:val="superscript"/>
        </w:rPr>
        <w:t>th</w:t>
      </w:r>
      <w:r w:rsidR="00A40606">
        <w:t>, 14</w:t>
      </w:r>
      <w:r w:rsidR="00A40606" w:rsidRPr="00A40606">
        <w:rPr>
          <w:vertAlign w:val="superscript"/>
        </w:rPr>
        <w:t>th</w:t>
      </w:r>
      <w:r w:rsidR="00A40606">
        <w:t xml:space="preserve"> and 19</w:t>
      </w:r>
      <w:r w:rsidR="00A40606" w:rsidRPr="00A40606">
        <w:rPr>
          <w:vertAlign w:val="superscript"/>
        </w:rPr>
        <w:t>th</w:t>
      </w:r>
      <w:r w:rsidR="00A40606">
        <w:t xml:space="preserve"> injections. </w:t>
      </w:r>
      <w:r w:rsidRPr="00E372F2">
        <w:t xml:space="preserve">There </w:t>
      </w:r>
      <w:r>
        <w:t>was 1</w:t>
      </w:r>
      <w:r w:rsidRPr="00E372F2">
        <w:t xml:space="preserve"> “hypersensitivity” </w:t>
      </w:r>
      <w:r>
        <w:t>SAE</w:t>
      </w:r>
      <w:r w:rsidRPr="00E372F2">
        <w:t xml:space="preserve"> (cellulitis) which did not result in study withdrawal.</w:t>
      </w:r>
    </w:p>
    <w:p w14:paraId="4463B3A0" w14:textId="77777777" w:rsidR="00BC36A1" w:rsidRPr="00A40606" w:rsidRDefault="00BC36A1" w:rsidP="00BC36A1">
      <w:pPr>
        <w:tabs>
          <w:tab w:val="left" w:pos="720"/>
        </w:tabs>
        <w:autoSpaceDE w:val="0"/>
        <w:autoSpaceDN w:val="0"/>
        <w:adjustRightInd w:val="0"/>
        <w:ind w:left="284"/>
        <w:rPr>
          <w:b/>
          <w:bCs/>
        </w:rPr>
      </w:pPr>
      <w:r w:rsidRPr="00A40606">
        <w:rPr>
          <w:b/>
          <w:bCs/>
        </w:rPr>
        <w:t>Study NA25220</w:t>
      </w:r>
    </w:p>
    <w:p w14:paraId="4463B3A1" w14:textId="77777777" w:rsidR="00BC36A1" w:rsidRPr="00A40606" w:rsidRDefault="00A40606" w:rsidP="00A40606">
      <w:pPr>
        <w:ind w:left="284"/>
        <w:rPr>
          <w:b/>
        </w:rPr>
      </w:pPr>
      <w:r>
        <w:rPr>
          <w:b/>
        </w:rPr>
        <w:t xml:space="preserve">SC TCZ: </w:t>
      </w:r>
      <w:r w:rsidR="00BC36A1" w:rsidRPr="00CD63CB">
        <w:t xml:space="preserve">(includes TCZ </w:t>
      </w:r>
      <w:r w:rsidR="00AC528E">
        <w:t>every 2 weeks</w:t>
      </w:r>
      <w:r w:rsidR="00BC36A1" w:rsidRPr="00CD63CB">
        <w:t xml:space="preserve">, PLC-TCZ </w:t>
      </w:r>
      <w:r w:rsidR="00AC528E">
        <w:t>every 2 weeks</w:t>
      </w:r>
      <w:r w:rsidR="00BC36A1" w:rsidRPr="00CD63CB">
        <w:t xml:space="preserve"> switch, &amp; TCZ weekly escape patients)</w:t>
      </w:r>
      <w:r w:rsidR="00BC36A1" w:rsidRPr="00E2536E">
        <w:t>: up to Week 96</w:t>
      </w:r>
      <w:r w:rsidR="00BC36A1">
        <w:t>, 48</w:t>
      </w:r>
      <w:r w:rsidR="00BC36A1" w:rsidRPr="00E2536E">
        <w:t xml:space="preserve"> AEs met the hypersensitivity criteria:</w:t>
      </w:r>
      <w:r w:rsidR="00BC36A1">
        <w:t xml:space="preserve"> 10 (20.8%) occurred with the 1</w:t>
      </w:r>
      <w:r w:rsidR="00BC36A1" w:rsidRPr="0037184C">
        <w:rPr>
          <w:vertAlign w:val="superscript"/>
        </w:rPr>
        <w:t>st</w:t>
      </w:r>
      <w:r w:rsidR="00BC36A1">
        <w:t xml:space="preserve"> injection,</w:t>
      </w:r>
      <w:r w:rsidR="00BC36A1" w:rsidRPr="0037184C">
        <w:t xml:space="preserve"> and the majority (5</w:t>
      </w:r>
      <w:r w:rsidR="00BC36A1">
        <w:t>6</w:t>
      </w:r>
      <w:r w:rsidR="00BC36A1" w:rsidRPr="0037184C">
        <w:t>.</w:t>
      </w:r>
      <w:r w:rsidR="00BC36A1">
        <w:t>3</w:t>
      </w:r>
      <w:r w:rsidR="00BC36A1" w:rsidRPr="0037184C">
        <w:t xml:space="preserve">%) occurred by </w:t>
      </w:r>
      <w:r>
        <w:t>the 11</w:t>
      </w:r>
      <w:r w:rsidRPr="00A40606">
        <w:rPr>
          <w:vertAlign w:val="superscript"/>
        </w:rPr>
        <w:t>th</w:t>
      </w:r>
      <w:r>
        <w:t xml:space="preserve"> injection.</w:t>
      </w:r>
      <w:r w:rsidR="00BC36A1" w:rsidRPr="0037184C">
        <w:t xml:space="preserve"> </w:t>
      </w:r>
      <w:r w:rsidR="00BC36A1">
        <w:t>Three</w:t>
      </w:r>
      <w:r w:rsidR="00BC36A1" w:rsidRPr="0037184C">
        <w:t xml:space="preserve"> of the </w:t>
      </w:r>
      <w:r w:rsidR="00BC36A1">
        <w:t>48</w:t>
      </w:r>
      <w:r w:rsidR="00BC36A1" w:rsidRPr="0037184C">
        <w:t xml:space="preserve"> AEs (</w:t>
      </w:r>
      <w:r w:rsidR="00BC36A1">
        <w:t>6</w:t>
      </w:r>
      <w:r w:rsidR="00BC36A1" w:rsidRPr="0037184C">
        <w:t>.</w:t>
      </w:r>
      <w:r w:rsidR="00BC36A1">
        <w:t>3</w:t>
      </w:r>
      <w:r w:rsidR="00BC36A1" w:rsidRPr="0037184C">
        <w:t xml:space="preserve">%) were clinically significant, occurring </w:t>
      </w:r>
      <w:r w:rsidR="00BC36A1">
        <w:t>at</w:t>
      </w:r>
      <w:r w:rsidR="00BC36A1" w:rsidRPr="0037184C">
        <w:t xml:space="preserve"> </w:t>
      </w:r>
      <w:r>
        <w:t>the 14</w:t>
      </w:r>
      <w:r w:rsidRPr="00A40606">
        <w:rPr>
          <w:vertAlign w:val="superscript"/>
        </w:rPr>
        <w:t>th</w:t>
      </w:r>
      <w:r>
        <w:t xml:space="preserve"> </w:t>
      </w:r>
      <w:r w:rsidR="00BC36A1" w:rsidRPr="0037184C">
        <w:t>injection</w:t>
      </w:r>
      <w:r>
        <w:t xml:space="preserve"> and 2 at the 17</w:t>
      </w:r>
      <w:r w:rsidRPr="00A40606">
        <w:rPr>
          <w:vertAlign w:val="superscript"/>
        </w:rPr>
        <w:t>th</w:t>
      </w:r>
      <w:r w:rsidR="00BC36A1">
        <w:t>;</w:t>
      </w:r>
      <w:r w:rsidR="00BC36A1" w:rsidRPr="0037184C">
        <w:t xml:space="preserve"> </w:t>
      </w:r>
      <w:r w:rsidR="00BC36A1">
        <w:t xml:space="preserve">all </w:t>
      </w:r>
      <w:r w:rsidR="00BC36A1" w:rsidRPr="0037184C">
        <w:t xml:space="preserve">were considered </w:t>
      </w:r>
      <w:r w:rsidR="00BC36A1">
        <w:t>non-</w:t>
      </w:r>
      <w:r w:rsidR="00BC36A1" w:rsidRPr="0037184C">
        <w:t>serious</w:t>
      </w:r>
      <w:r w:rsidR="00BC36A1">
        <w:t xml:space="preserve"> (</w:t>
      </w:r>
      <w:r>
        <w:t xml:space="preserve">see Table 23 </w:t>
      </w:r>
      <w:r w:rsidR="00BC36A1">
        <w:t>below)</w:t>
      </w:r>
      <w:r w:rsidR="00BC36A1" w:rsidRPr="0037184C">
        <w:t>.</w:t>
      </w:r>
      <w:r>
        <w:t xml:space="preserve"> There was 1 hypersensitivity</w:t>
      </w:r>
      <w:r w:rsidR="00BC36A1" w:rsidRPr="00E36241">
        <w:t xml:space="preserve"> SAE (</w:t>
      </w:r>
      <w:r w:rsidR="00BC36A1">
        <w:t>Ludwig angina</w:t>
      </w:r>
      <w:r w:rsidR="00BC36A1" w:rsidRPr="00E36241">
        <w:t>) which did not result in study withdrawal.</w:t>
      </w:r>
    </w:p>
    <w:p w14:paraId="4463B3A2" w14:textId="77777777" w:rsidR="00BC36A1" w:rsidRDefault="00BC36A1" w:rsidP="00BC36A1">
      <w:pPr>
        <w:tabs>
          <w:tab w:val="left" w:pos="720"/>
        </w:tabs>
        <w:autoSpaceDE w:val="0"/>
        <w:autoSpaceDN w:val="0"/>
        <w:adjustRightInd w:val="0"/>
        <w:ind w:left="284"/>
        <w:rPr>
          <w:bCs/>
        </w:rPr>
      </w:pPr>
      <w:r w:rsidRPr="00A40606">
        <w:rPr>
          <w:b/>
          <w:bCs/>
        </w:rPr>
        <w:t>SC PLC</w:t>
      </w:r>
      <w:r w:rsidR="00A40606">
        <w:rPr>
          <w:bCs/>
        </w:rPr>
        <w:t>:</w:t>
      </w:r>
      <w:r w:rsidRPr="0037184C">
        <w:rPr>
          <w:bCs/>
        </w:rPr>
        <w:t xml:space="preserve"> The SC </w:t>
      </w:r>
      <w:r>
        <w:rPr>
          <w:bCs/>
        </w:rPr>
        <w:t>PLC group reported 1</w:t>
      </w:r>
      <w:r w:rsidRPr="0037184C">
        <w:rPr>
          <w:bCs/>
        </w:rPr>
        <w:t xml:space="preserve">2 hypersensitivity AEs: </w:t>
      </w:r>
      <w:r>
        <w:rPr>
          <w:bCs/>
        </w:rPr>
        <w:t>6 (</w:t>
      </w:r>
      <w:r w:rsidRPr="0037184C">
        <w:rPr>
          <w:bCs/>
        </w:rPr>
        <w:t>5</w:t>
      </w:r>
      <w:r>
        <w:rPr>
          <w:bCs/>
        </w:rPr>
        <w:t>0</w:t>
      </w:r>
      <w:r w:rsidRPr="0037184C">
        <w:rPr>
          <w:bCs/>
        </w:rPr>
        <w:t xml:space="preserve">.0%) occurred with the </w:t>
      </w:r>
      <w:r w:rsidR="00A40606">
        <w:rPr>
          <w:bCs/>
        </w:rPr>
        <w:t>1st</w:t>
      </w:r>
      <w:r w:rsidRPr="0037184C">
        <w:rPr>
          <w:bCs/>
        </w:rPr>
        <w:t xml:space="preserve"> infusion, and the majority (</w:t>
      </w:r>
      <w:r>
        <w:rPr>
          <w:bCs/>
        </w:rPr>
        <w:t>83.3</w:t>
      </w:r>
      <w:r w:rsidRPr="0037184C">
        <w:rPr>
          <w:bCs/>
        </w:rPr>
        <w:t xml:space="preserve">%) occurred by </w:t>
      </w:r>
      <w:r w:rsidR="00A40606">
        <w:rPr>
          <w:bCs/>
        </w:rPr>
        <w:t>the 2</w:t>
      </w:r>
      <w:r w:rsidR="00A40606" w:rsidRPr="00A40606">
        <w:rPr>
          <w:bCs/>
          <w:vertAlign w:val="superscript"/>
        </w:rPr>
        <w:t>nd</w:t>
      </w:r>
      <w:r w:rsidR="00A40606">
        <w:rPr>
          <w:bCs/>
        </w:rPr>
        <w:t xml:space="preserve"> </w:t>
      </w:r>
      <w:r w:rsidRPr="0037184C">
        <w:rPr>
          <w:bCs/>
        </w:rPr>
        <w:t>infus</w:t>
      </w:r>
      <w:r w:rsidR="00A40606">
        <w:rPr>
          <w:bCs/>
        </w:rPr>
        <w:t>ion.</w:t>
      </w:r>
      <w:r w:rsidRPr="0037184C">
        <w:rPr>
          <w:bCs/>
        </w:rPr>
        <w:t xml:space="preserve"> </w:t>
      </w:r>
      <w:r>
        <w:rPr>
          <w:bCs/>
        </w:rPr>
        <w:t xml:space="preserve">There </w:t>
      </w:r>
      <w:r w:rsidRPr="0037184C">
        <w:rPr>
          <w:bCs/>
        </w:rPr>
        <w:t xml:space="preserve">were </w:t>
      </w:r>
      <w:r>
        <w:rPr>
          <w:bCs/>
        </w:rPr>
        <w:t xml:space="preserve">no </w:t>
      </w:r>
      <w:r w:rsidRPr="0037184C">
        <w:rPr>
          <w:bCs/>
        </w:rPr>
        <w:t xml:space="preserve">clinically significant </w:t>
      </w:r>
      <w:r>
        <w:rPr>
          <w:bCs/>
        </w:rPr>
        <w:t xml:space="preserve">or serious </w:t>
      </w:r>
      <w:r w:rsidRPr="0037184C">
        <w:rPr>
          <w:bCs/>
        </w:rPr>
        <w:t>events.</w:t>
      </w:r>
    </w:p>
    <w:p w14:paraId="4463B3A3" w14:textId="77777777" w:rsidR="00A40606" w:rsidRPr="0037184C" w:rsidRDefault="00A40606" w:rsidP="00A40606">
      <w:pPr>
        <w:pStyle w:val="Tabletitle"/>
      </w:pPr>
      <w:r>
        <w:t>Table 23: NA</w:t>
      </w:r>
      <w:r w:rsidRPr="00951E10">
        <w:t>2</w:t>
      </w:r>
      <w:r>
        <w:t>5220</w:t>
      </w:r>
      <w:r w:rsidRPr="00951E10">
        <w:t xml:space="preserve">: All </w:t>
      </w:r>
      <w:r>
        <w:t>h</w:t>
      </w:r>
      <w:r w:rsidRPr="00951E10">
        <w:t xml:space="preserve">ypersensitivity </w:t>
      </w:r>
      <w:r w:rsidR="005320D9">
        <w:t>e</w:t>
      </w:r>
      <w:r w:rsidRPr="00951E10">
        <w:t xml:space="preserve">vents by SC </w:t>
      </w:r>
      <w:r>
        <w:t>i</w:t>
      </w:r>
      <w:r w:rsidRPr="00951E10">
        <w:t xml:space="preserve">njection </w:t>
      </w:r>
      <w:r>
        <w:t>n</w:t>
      </w:r>
      <w:r w:rsidRPr="00951E10">
        <w:t>umber</w:t>
      </w:r>
      <w:r>
        <w:t xml:space="preserve"> up to Week 96</w:t>
      </w:r>
      <w:r w:rsidR="005320D9">
        <w:t>.</w:t>
      </w:r>
    </w:p>
    <w:p w14:paraId="4463B3A4" w14:textId="77777777" w:rsidR="00F72E65" w:rsidRDefault="00BC36A1" w:rsidP="00F72E65">
      <w:pPr>
        <w:autoSpaceDE w:val="0"/>
        <w:autoSpaceDN w:val="0"/>
        <w:adjustRightInd w:val="0"/>
        <w:jc w:val="both"/>
        <w:rPr>
          <w:b/>
        </w:rPr>
      </w:pPr>
      <w:r>
        <w:rPr>
          <w:noProof/>
          <w:lang w:eastAsia="en-AU"/>
        </w:rPr>
        <w:drawing>
          <wp:inline distT="0" distB="0" distL="0" distR="0" wp14:anchorId="4463B3FE" wp14:editId="76E7D0AA">
            <wp:extent cx="4459633" cy="2262215"/>
            <wp:effectExtent l="0" t="0" r="0" b="5080"/>
            <wp:docPr id="27" name="Picture 27" descr="Table 23: NA25220: All hypersensitivity events by SC injection number up to Week 96." title="Table 23: NA25220: All hypersensitivity events by SC injection number up to Wee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60158" cy="2262481"/>
                    </a:xfrm>
                    <a:prstGeom prst="rect">
                      <a:avLst/>
                    </a:prstGeom>
                  </pic:spPr>
                </pic:pic>
              </a:graphicData>
            </a:graphic>
          </wp:inline>
        </w:drawing>
      </w:r>
    </w:p>
    <w:p w14:paraId="4463B3A5" w14:textId="77777777" w:rsidR="00BC36A1" w:rsidRPr="00D205A3" w:rsidRDefault="00BC36A1" w:rsidP="00A40606">
      <w:pPr>
        <w:ind w:left="720"/>
        <w:rPr>
          <w:i/>
        </w:rPr>
      </w:pPr>
      <w:r w:rsidRPr="00D205A3">
        <w:rPr>
          <w:i/>
        </w:rPr>
        <w:lastRenderedPageBreak/>
        <w:t>Evaluator’s comment:</w:t>
      </w:r>
      <w:r w:rsidR="00A40606" w:rsidRPr="00D205A3">
        <w:rPr>
          <w:i/>
        </w:rPr>
        <w:t xml:space="preserve"> </w:t>
      </w:r>
      <w:r w:rsidRPr="00D205A3">
        <w:rPr>
          <w:i/>
        </w:rPr>
        <w:t>These results are consistent with the adjudicated anaphylaxis data from the company safety database.</w:t>
      </w:r>
      <w:r w:rsidR="0006729F" w:rsidRPr="00D205A3">
        <w:rPr>
          <w:i/>
        </w:rPr>
        <w:t xml:space="preserve"> </w:t>
      </w:r>
      <w:r w:rsidRPr="00D205A3">
        <w:rPr>
          <w:i/>
        </w:rPr>
        <w:t>Hypersensitivity events, particularly those that were clinically significant and/or serious, were uncommon and generally resolved without sequelae.</w:t>
      </w:r>
      <w:r w:rsidR="0006729F" w:rsidRPr="00D205A3">
        <w:rPr>
          <w:i/>
        </w:rPr>
        <w:t xml:space="preserve"> </w:t>
      </w:r>
      <w:r w:rsidRPr="00D205A3">
        <w:rPr>
          <w:i/>
        </w:rPr>
        <w:t>They occurred most commonly in the first 1-3 injections / infusions but did also occur intermittently thereafter during t</w:t>
      </w:r>
      <w:r w:rsidR="00A40606" w:rsidRPr="00D205A3">
        <w:rPr>
          <w:i/>
        </w:rPr>
        <w:t xml:space="preserve">he 96 / 97 weeks of follow-up. </w:t>
      </w:r>
      <w:r w:rsidRPr="00D205A3">
        <w:rPr>
          <w:i/>
        </w:rPr>
        <w:t xml:space="preserve">While 17.5% of hypersensitivity events following IV TCZ occurred after 12 or more infusions (≈12+ months of exposure at </w:t>
      </w:r>
      <w:r w:rsidR="00AC528E" w:rsidRPr="00D205A3">
        <w:rPr>
          <w:i/>
        </w:rPr>
        <w:t>every 4 weeks</w:t>
      </w:r>
      <w:r w:rsidRPr="00D205A3">
        <w:rPr>
          <w:i/>
        </w:rPr>
        <w:t xml:space="preserve">), up to 50% of hypersensitivity events following SC TCZ occurred after 12 or more injections (≈6+ months of exposure at </w:t>
      </w:r>
      <w:r w:rsidR="00AC528E" w:rsidRPr="00D205A3">
        <w:rPr>
          <w:i/>
        </w:rPr>
        <w:t>every 2 weeks</w:t>
      </w:r>
      <w:r w:rsidRPr="00D205A3">
        <w:rPr>
          <w:i/>
        </w:rPr>
        <w:t>). It is also acknowledged that the definition of hypersensitivity used in this analysis is a conservative one, and that many of the events were not clinically consistent wi</w:t>
      </w:r>
      <w:r w:rsidR="00A40606" w:rsidRPr="00D205A3">
        <w:rPr>
          <w:i/>
        </w:rPr>
        <w:t xml:space="preserve">th hypersensitivity reactions. </w:t>
      </w:r>
      <w:r w:rsidRPr="00D205A3">
        <w:rPr>
          <w:i/>
        </w:rPr>
        <w:t>The response is noted.</w:t>
      </w:r>
    </w:p>
    <w:p w14:paraId="4463B3A6" w14:textId="77777777" w:rsidR="00A40606" w:rsidRDefault="00A40606" w:rsidP="00A40606">
      <w:pPr>
        <w:pStyle w:val="Numberbullet0"/>
        <w:numPr>
          <w:ilvl w:val="0"/>
          <w:numId w:val="22"/>
        </w:numPr>
        <w:rPr>
          <w:lang w:eastAsia="ja-JP"/>
        </w:rPr>
      </w:pPr>
      <w:r>
        <w:rPr>
          <w:lang w:eastAsia="ja-JP"/>
        </w:rPr>
        <w:t>Based on the application letter and submission data there has only been one case of adjudicated anaphylaxis to SC TCZ up to 10 October 2014. It is not clear from the Drug Safety Report (with a data cut-off of 10 April 2013) whether this case forms one of the 122 adjudicated cases, or arose after the cut-off date. Please clarify this, and provide details regarding how many of the 732 potential anaphylaxis cases and 122 adjudicated anaphylaxis cases were on SC TCZ.</w:t>
      </w:r>
    </w:p>
    <w:p w14:paraId="4463B3A7" w14:textId="77777777" w:rsidR="00BC36A1" w:rsidRDefault="006B753B" w:rsidP="006B753B">
      <w:pPr>
        <w:autoSpaceDE w:val="0"/>
        <w:autoSpaceDN w:val="0"/>
        <w:adjustRightInd w:val="0"/>
        <w:ind w:left="360"/>
        <w:jc w:val="both"/>
      </w:pPr>
      <w:r>
        <w:rPr>
          <w:b/>
        </w:rPr>
        <w:t xml:space="preserve">Sponsor’s response: </w:t>
      </w:r>
      <w:r>
        <w:t>The s</w:t>
      </w:r>
      <w:r w:rsidR="00BC36A1" w:rsidRPr="00E37E78">
        <w:t xml:space="preserve">ponsor </w:t>
      </w:r>
      <w:r w:rsidR="00BC36A1">
        <w:t>advised that:</w:t>
      </w:r>
    </w:p>
    <w:p w14:paraId="4463B3A8" w14:textId="77777777" w:rsidR="00BC36A1" w:rsidRPr="00335476" w:rsidRDefault="006B753B" w:rsidP="007A45BF">
      <w:pPr>
        <w:pStyle w:val="ListBullet"/>
        <w:ind w:left="709"/>
        <w:rPr>
          <w:b/>
        </w:rPr>
      </w:pPr>
      <w:r>
        <w:t>T</w:t>
      </w:r>
      <w:r w:rsidR="00BC36A1">
        <w:t xml:space="preserve">he single case of </w:t>
      </w:r>
      <w:r w:rsidR="00BC36A1" w:rsidRPr="00335476">
        <w:t>adjudicated anaphylaxis to SC TCZ up to 10 October 2014</w:t>
      </w:r>
      <w:r w:rsidR="00BC36A1">
        <w:t xml:space="preserve"> was received after the Drug Safety Report cut-off and does not therefore form part of the 122 adjudicated anaphylaxis cases in that report,</w:t>
      </w:r>
    </w:p>
    <w:p w14:paraId="4463B3A9" w14:textId="77777777" w:rsidR="00BC36A1" w:rsidRPr="00335476" w:rsidRDefault="00BC36A1" w:rsidP="007A45BF">
      <w:pPr>
        <w:pStyle w:val="ListBullet"/>
        <w:ind w:left="709"/>
        <w:rPr>
          <w:b/>
        </w:rPr>
      </w:pPr>
      <w:r>
        <w:t>28 of the 732 potential anaphylaxis cases were potentially on SC TCZ (2 cases on known SC TCZ, the remaining 26 were on blinded study medication and could therefore have been receiving either TCZ or PLC), and</w:t>
      </w:r>
    </w:p>
    <w:p w14:paraId="4463B3AA" w14:textId="77777777" w:rsidR="00BC36A1" w:rsidRPr="006B753B" w:rsidRDefault="00F64487" w:rsidP="007A45BF">
      <w:pPr>
        <w:pStyle w:val="ListBullet"/>
        <w:ind w:left="709"/>
        <w:rPr>
          <w:b/>
        </w:rPr>
      </w:pPr>
      <w:r>
        <w:t xml:space="preserve">None </w:t>
      </w:r>
      <w:r w:rsidR="00BC36A1">
        <w:t>of the 122 adjudicated anaphylaxis cases were on SC TCZ.</w:t>
      </w:r>
    </w:p>
    <w:p w14:paraId="4463B3AB" w14:textId="77777777" w:rsidR="006B753B" w:rsidRDefault="00BC36A1" w:rsidP="006B753B">
      <w:pPr>
        <w:tabs>
          <w:tab w:val="left" w:pos="720"/>
        </w:tabs>
        <w:autoSpaceDE w:val="0"/>
        <w:autoSpaceDN w:val="0"/>
        <w:adjustRightInd w:val="0"/>
        <w:ind w:left="284"/>
      </w:pPr>
      <w:r>
        <w:t xml:space="preserve">The </w:t>
      </w:r>
      <w:r w:rsidR="006B753B">
        <w:t>s</w:t>
      </w:r>
      <w:r>
        <w:t xml:space="preserve">ponsor also advised that no additional </w:t>
      </w:r>
      <w:r w:rsidRPr="00FB5D2D">
        <w:t>adjudicated anaphylaxis cases</w:t>
      </w:r>
      <w:r>
        <w:t xml:space="preserve"> have been identified up to</w:t>
      </w:r>
      <w:r w:rsidR="006B753B">
        <w:t xml:space="preserve"> the end of February 2015. </w:t>
      </w:r>
      <w:r>
        <w:t>Monitoring is ongoing.</w:t>
      </w:r>
    </w:p>
    <w:p w14:paraId="4463B3AC" w14:textId="77777777" w:rsidR="006B753B" w:rsidRPr="00D205A3" w:rsidRDefault="006B753B" w:rsidP="006B753B">
      <w:pPr>
        <w:tabs>
          <w:tab w:val="left" w:pos="720"/>
        </w:tabs>
        <w:autoSpaceDE w:val="0"/>
        <w:autoSpaceDN w:val="0"/>
        <w:adjustRightInd w:val="0"/>
        <w:ind w:left="284"/>
        <w:rPr>
          <w:rFonts w:asciiTheme="minorHAnsi" w:hAnsiTheme="minorHAnsi"/>
          <w:i/>
        </w:rPr>
      </w:pPr>
      <w:r w:rsidRPr="00D205A3">
        <w:rPr>
          <w:rFonts w:asciiTheme="minorHAnsi" w:hAnsiTheme="minorHAnsi"/>
          <w:i/>
        </w:rPr>
        <w:t xml:space="preserve">Evaluator’s comment: </w:t>
      </w:r>
      <w:r w:rsidRPr="00D205A3">
        <w:rPr>
          <w:rFonts w:asciiTheme="minorHAnsi" w:hAnsiTheme="minorHAnsi" w:cs="Calibri"/>
          <w:i/>
        </w:rPr>
        <w:t>The response is noted.</w:t>
      </w:r>
    </w:p>
    <w:p w14:paraId="4463B3AD" w14:textId="77777777" w:rsidR="00BC36A1" w:rsidRPr="00471946" w:rsidRDefault="006B753B" w:rsidP="006B753B">
      <w:pPr>
        <w:pStyle w:val="Numberbullet0"/>
        <w:numPr>
          <w:ilvl w:val="0"/>
          <w:numId w:val="22"/>
        </w:numPr>
        <w:rPr>
          <w:lang w:eastAsia="ja-JP"/>
        </w:rPr>
      </w:pPr>
      <w:r>
        <w:rPr>
          <w:lang w:eastAsia="ja-JP"/>
        </w:rPr>
        <w:t>While the clinical trial protocols all allowed home administration after demonstrated competence in self-administration (or administration by a caregiver) at the clinical site, AEs have only been reported separately for the Japanese study (MRA229JP) for patients before and after the start of self-injection. Please provide information for studies WA2262, NA25220 and ML28338 regarding the number of patients who administered SC TCZ at home, when this took place (after how many visits), and the amount of PYs of exposure to SC TCZ at home, self-injection at the clinical site, and healthcare practitioner injection at the clinical site. Please also provide information on the occurrence of hypersensitivity reactions and anaphylaxis for each of these exposure periods. Where possible, please also provide this information for the post-marketing data.</w:t>
      </w:r>
    </w:p>
    <w:p w14:paraId="4463B3AE" w14:textId="1A4616A3" w:rsidR="00BC36A1" w:rsidRDefault="006B753B" w:rsidP="006B753B">
      <w:pPr>
        <w:autoSpaceDE w:val="0"/>
        <w:autoSpaceDN w:val="0"/>
        <w:adjustRightInd w:val="0"/>
        <w:ind w:left="360"/>
        <w:jc w:val="both"/>
      </w:pPr>
      <w:r>
        <w:rPr>
          <w:b/>
        </w:rPr>
        <w:t xml:space="preserve">Sponsor’s response: </w:t>
      </w:r>
      <w:r w:rsidR="00BC36A1" w:rsidRPr="00E37E78">
        <w:t xml:space="preserve">The </w:t>
      </w:r>
      <w:r>
        <w:t>s</w:t>
      </w:r>
      <w:r w:rsidR="00BC36A1" w:rsidRPr="00E37E78">
        <w:t>ponsor provided the requested analyses.</w:t>
      </w:r>
      <w:r>
        <w:t xml:space="preserve"> </w:t>
      </w:r>
      <w:r w:rsidR="00BC36A1">
        <w:t>In each of the 3 studies (</w:t>
      </w:r>
      <w:r>
        <w:t xml:space="preserve">see Table 24 </w:t>
      </w:r>
      <w:r w:rsidR="00BC36A1">
        <w:t>below), the va</w:t>
      </w:r>
      <w:r>
        <w:t>st majority of patients (84.5</w:t>
      </w:r>
      <w:r w:rsidR="000C588B">
        <w:t>-</w:t>
      </w:r>
      <w:r w:rsidR="00BC36A1">
        <w:t>94.3%) administered</w:t>
      </w:r>
      <w:r>
        <w:t xml:space="preserve"> at least 1 injection at home. </w:t>
      </w:r>
      <w:r w:rsidR="00BC36A1">
        <w:t xml:space="preserve">The exception was PLC patients in </w:t>
      </w:r>
      <w:r w:rsidR="00BC36A1" w:rsidRPr="00B27394">
        <w:t>Study NA25220 (51.4%).</w:t>
      </w:r>
      <w:r w:rsidR="00BC36A1">
        <w:t xml:space="preserve"> The mean number of homes injections per patient was</w:t>
      </w:r>
      <w:r w:rsidR="00BC36A1" w:rsidRPr="00F87492">
        <w:t xml:space="preserve"> 48</w:t>
      </w:r>
      <w:r w:rsidR="00BC36A1">
        <w:t>,</w:t>
      </w:r>
      <w:r w:rsidR="00BC36A1" w:rsidRPr="00F87492">
        <w:t xml:space="preserve"> 25 </w:t>
      </w:r>
      <w:r w:rsidR="00BC36A1">
        <w:t xml:space="preserve">and 37 </w:t>
      </w:r>
      <w:r w:rsidR="00BC36A1" w:rsidRPr="00F87492">
        <w:t>in studies WA22762</w:t>
      </w:r>
      <w:r w:rsidR="00BC36A1">
        <w:t>,</w:t>
      </w:r>
      <w:r w:rsidR="00BC36A1" w:rsidRPr="00F87492">
        <w:t xml:space="preserve"> NA25220, </w:t>
      </w:r>
      <w:r w:rsidR="00BC36A1">
        <w:t xml:space="preserve">and ML28338, </w:t>
      </w:r>
      <w:r w:rsidR="00BC36A1" w:rsidRPr="00F87492">
        <w:t>respectively.</w:t>
      </w:r>
      <w:r>
        <w:t xml:space="preserve"> </w:t>
      </w:r>
      <w:r w:rsidR="00BC36A1">
        <w:t>The timing of commencement of self-injection at home is not specifically available, however it was largely driven by the study protocol:</w:t>
      </w:r>
    </w:p>
    <w:p w14:paraId="4463B3AF" w14:textId="77777777" w:rsidR="00BC36A1" w:rsidRDefault="00BC36A1" w:rsidP="000C588B">
      <w:pPr>
        <w:pStyle w:val="ListBullet"/>
        <w:ind w:left="709"/>
      </w:pPr>
      <w:r w:rsidRPr="00AF2ED1">
        <w:t>WA22762</w:t>
      </w:r>
      <w:r>
        <w:t>:</w:t>
      </w:r>
      <w:r w:rsidRPr="00AF2ED1">
        <w:t xml:space="preserve"> the first 4 SC injection</w:t>
      </w:r>
      <w:r>
        <w:t>s</w:t>
      </w:r>
      <w:r w:rsidRPr="00AF2ED1">
        <w:t xml:space="preserve"> during both the DB and OL periods were requ</w:t>
      </w:r>
      <w:r>
        <w:t>ired to be conducted at the clinic.</w:t>
      </w:r>
    </w:p>
    <w:p w14:paraId="4463B3B0" w14:textId="77777777" w:rsidR="00BC36A1" w:rsidRDefault="00BC36A1" w:rsidP="000C588B">
      <w:pPr>
        <w:pStyle w:val="ListBullet"/>
        <w:ind w:left="709"/>
      </w:pPr>
      <w:r w:rsidRPr="00AF2ED1">
        <w:lastRenderedPageBreak/>
        <w:t>NA25220</w:t>
      </w:r>
      <w:r>
        <w:t>:</w:t>
      </w:r>
      <w:r w:rsidRPr="00AF2ED1">
        <w:t xml:space="preserve"> the first 6 or 4 SC</w:t>
      </w:r>
      <w:r>
        <w:t xml:space="preserve"> </w:t>
      </w:r>
      <w:r w:rsidRPr="00AF2ED1">
        <w:t>injections were to be done at the clinic during both the DB and OL phases for patients on SC</w:t>
      </w:r>
      <w:r>
        <w:t xml:space="preserve"> </w:t>
      </w:r>
      <w:r w:rsidR="001204C7">
        <w:t>every 2 weeks</w:t>
      </w:r>
      <w:r w:rsidRPr="00AF2ED1">
        <w:t xml:space="preserve"> or escape therapy </w:t>
      </w:r>
      <w:r>
        <w:t>SC weekly injections, respectively.</w:t>
      </w:r>
    </w:p>
    <w:p w14:paraId="4463B3B1" w14:textId="77777777" w:rsidR="00BC36A1" w:rsidRDefault="00BC36A1" w:rsidP="000C588B">
      <w:pPr>
        <w:pStyle w:val="ListBullet"/>
        <w:ind w:left="709"/>
      </w:pPr>
      <w:r w:rsidRPr="00AF2ED1">
        <w:t>ML28338</w:t>
      </w:r>
      <w:r>
        <w:t xml:space="preserve">: </w:t>
      </w:r>
      <w:r w:rsidRPr="00AF2ED1">
        <w:t>only those patients enrolling from WA22762 on IV treatment were to have their first 4 SC TCZ</w:t>
      </w:r>
      <w:r>
        <w:t xml:space="preserve"> </w:t>
      </w:r>
      <w:r w:rsidRPr="00AF2ED1">
        <w:t>injections administered at the study site.</w:t>
      </w:r>
    </w:p>
    <w:p w14:paraId="4463B3B2" w14:textId="77777777" w:rsidR="00BC36A1" w:rsidRDefault="00BC36A1" w:rsidP="006B753B">
      <w:pPr>
        <w:autoSpaceDE w:val="0"/>
        <w:autoSpaceDN w:val="0"/>
        <w:adjustRightInd w:val="0"/>
        <w:ind w:left="360"/>
        <w:jc w:val="both"/>
      </w:pPr>
      <w:r>
        <w:t>Overall, the majority of injections were administered at home (62.4%), and most of these were self-administered by the patient (78.2%) (</w:t>
      </w:r>
      <w:r w:rsidR="006B753B">
        <w:t xml:space="preserve">See Table 25 </w:t>
      </w:r>
      <w:r>
        <w:t>below).</w:t>
      </w:r>
    </w:p>
    <w:p w14:paraId="4463B3B3" w14:textId="77777777" w:rsidR="006B753B" w:rsidRDefault="006B753B" w:rsidP="006B753B">
      <w:pPr>
        <w:pStyle w:val="Tabletitle"/>
      </w:pPr>
      <w:r>
        <w:t xml:space="preserve">Table 24: </w:t>
      </w:r>
      <w:r w:rsidRPr="00C644C9">
        <w:t>Number of SC injections per patient at home or clinic</w:t>
      </w:r>
      <w:r>
        <w:t>.</w:t>
      </w:r>
    </w:p>
    <w:p w14:paraId="4463B3B4" w14:textId="77777777" w:rsidR="006B753B" w:rsidRDefault="006B753B" w:rsidP="007E074A">
      <w:pPr>
        <w:autoSpaceDE w:val="0"/>
        <w:autoSpaceDN w:val="0"/>
        <w:adjustRightInd w:val="0"/>
      </w:pPr>
      <w:r>
        <w:rPr>
          <w:noProof/>
          <w:lang w:eastAsia="en-AU"/>
        </w:rPr>
        <w:drawing>
          <wp:inline distT="0" distB="0" distL="0" distR="0" wp14:anchorId="4463B400" wp14:editId="36C1F8D4">
            <wp:extent cx="3616951" cy="3102617"/>
            <wp:effectExtent l="0" t="0" r="3175" b="2540"/>
            <wp:docPr id="28" name="Picture 28" descr="Table 24: Number of SC injections per patient at home or clinic." title="Table 24: Number of SC injections per patient at home or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619368" cy="3104690"/>
                    </a:xfrm>
                    <a:prstGeom prst="rect">
                      <a:avLst/>
                    </a:prstGeom>
                  </pic:spPr>
                </pic:pic>
              </a:graphicData>
            </a:graphic>
          </wp:inline>
        </w:drawing>
      </w:r>
    </w:p>
    <w:p w14:paraId="4463B3B5" w14:textId="77777777" w:rsidR="006B753B" w:rsidRDefault="006B753B" w:rsidP="006B753B">
      <w:pPr>
        <w:pStyle w:val="Tabletitle"/>
      </w:pPr>
      <w:r>
        <w:t xml:space="preserve">Table 25: </w:t>
      </w:r>
      <w:r w:rsidRPr="00C644C9">
        <w:t xml:space="preserve">Total </w:t>
      </w:r>
      <w:r>
        <w:t>n</w:t>
      </w:r>
      <w:r w:rsidRPr="00C644C9">
        <w:t xml:space="preserve">umber of </w:t>
      </w:r>
      <w:r>
        <w:t>i</w:t>
      </w:r>
      <w:r w:rsidRPr="00C644C9">
        <w:t xml:space="preserve">njections at </w:t>
      </w:r>
      <w:r>
        <w:t>h</w:t>
      </w:r>
      <w:r w:rsidRPr="00C644C9">
        <w:t>ome v</w:t>
      </w:r>
      <w:r>
        <w:t>ersu</w:t>
      </w:r>
      <w:r w:rsidRPr="00C644C9">
        <w:t xml:space="preserve">s </w:t>
      </w:r>
      <w:r>
        <w:t>c</w:t>
      </w:r>
      <w:r w:rsidRPr="00C644C9">
        <w:t>linic</w:t>
      </w:r>
    </w:p>
    <w:p w14:paraId="4463B3B6" w14:textId="77777777" w:rsidR="006B753B" w:rsidRDefault="006B753B" w:rsidP="00F72E65">
      <w:pPr>
        <w:autoSpaceDE w:val="0"/>
        <w:autoSpaceDN w:val="0"/>
        <w:adjustRightInd w:val="0"/>
        <w:jc w:val="both"/>
      </w:pPr>
      <w:r>
        <w:rPr>
          <w:noProof/>
          <w:lang w:eastAsia="en-AU"/>
        </w:rPr>
        <w:drawing>
          <wp:inline distT="0" distB="0" distL="0" distR="0" wp14:anchorId="4463B402" wp14:editId="1C10A0FD">
            <wp:extent cx="4566714" cy="1138263"/>
            <wp:effectExtent l="0" t="0" r="5715" b="5080"/>
            <wp:docPr id="29" name="Picture 29" descr="Table 25: Total number of injections at home versus clinic" title="Table 25: Total number of injections at home versus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4571488" cy="1139453"/>
                    </a:xfrm>
                    <a:prstGeom prst="rect">
                      <a:avLst/>
                    </a:prstGeom>
                  </pic:spPr>
                </pic:pic>
              </a:graphicData>
            </a:graphic>
          </wp:inline>
        </w:drawing>
      </w:r>
    </w:p>
    <w:p w14:paraId="4463B3B7" w14:textId="77777777" w:rsidR="006B753B" w:rsidRDefault="006B753B" w:rsidP="006B753B">
      <w:pPr>
        <w:ind w:left="720"/>
      </w:pPr>
      <w:r w:rsidRPr="00B06289">
        <w:t>The PYs</w:t>
      </w:r>
      <w:r>
        <w:t xml:space="preserve"> of exposure to SC TCZ at home and at the clinical site was provided for each of the studies, along with the corresponding incidence rates of hypersensitivity events (see Table 26 below). In studies WA22762 and ML28338, PYs of exposure to SC TCZ were higher in the home than in the clinic (749.69 versus 359.23, and 153.0 vs. 48.6, respectively). In study NA25220, exposure was similar at home (477.28 PYs) and in the clinic (469.55 PYs), because the protocol specified that </w:t>
      </w:r>
      <w:r w:rsidRPr="00CA09D9">
        <w:t>the</w:t>
      </w:r>
      <w:r>
        <w:t xml:space="preserve"> </w:t>
      </w:r>
      <w:r w:rsidRPr="00CA09D9">
        <w:t xml:space="preserve">first 6 </w:t>
      </w:r>
      <w:r>
        <w:t>(</w:t>
      </w:r>
      <w:r w:rsidRPr="00CA09D9">
        <w:t xml:space="preserve">SC </w:t>
      </w:r>
      <w:r w:rsidR="001204C7">
        <w:t>every 2 weeks</w:t>
      </w:r>
      <w:r>
        <w:t>)</w:t>
      </w:r>
      <w:r w:rsidRPr="00CA09D9">
        <w:t xml:space="preserve"> or 4 </w:t>
      </w:r>
      <w:r>
        <w:t>(SC QW (</w:t>
      </w:r>
      <w:r w:rsidRPr="00CA09D9">
        <w:t>escape therapy</w:t>
      </w:r>
      <w:r>
        <w:t>)</w:t>
      </w:r>
      <w:r w:rsidRPr="00CA09D9">
        <w:t>) injections had to be administered at the clinic for both the DB and OL periods.</w:t>
      </w:r>
      <w:r>
        <w:t xml:space="preserve"> The number and rate of hypersensitivity events associated with home injections was much lower than for clinic injections, which is consistent with the earlier finding (see response to Safety Question (i) above) that hypersensitivity events occur most frequently after the first 1–3 injections. Results varied with respect to clinically significant hypersensitivity and serious hypersensitivity events, but the number of events was small and, as previously presented, many of these events </w:t>
      </w:r>
      <w:r w:rsidRPr="00946CDF">
        <w:t xml:space="preserve">were </w:t>
      </w:r>
      <w:r w:rsidRPr="00946CDF">
        <w:lastRenderedPageBreak/>
        <w:t>not clinically consistent with hypersensitivity reactions</w:t>
      </w:r>
      <w:r>
        <w:t>. There were no events that met the criteria for anaphylaxis.</w:t>
      </w:r>
    </w:p>
    <w:p w14:paraId="4463B3B8" w14:textId="77777777" w:rsidR="006B753B" w:rsidRDefault="006B753B" w:rsidP="006B753B">
      <w:pPr>
        <w:pStyle w:val="Tabletitle"/>
      </w:pPr>
      <w:r>
        <w:t xml:space="preserve">Table 26: </w:t>
      </w:r>
      <w:r w:rsidRPr="00BF25B1">
        <w:t xml:space="preserve">Incidence rates of hypersensitivity events following </w:t>
      </w:r>
      <w:r>
        <w:t>SC</w:t>
      </w:r>
      <w:r w:rsidRPr="00BF25B1">
        <w:t xml:space="preserve"> injections at home v</w:t>
      </w:r>
      <w:r>
        <w:t>ersu</w:t>
      </w:r>
      <w:r w:rsidRPr="00BF25B1">
        <w:t>s</w:t>
      </w:r>
      <w:r>
        <w:t xml:space="preserve"> </w:t>
      </w:r>
      <w:r w:rsidRPr="00BF25B1">
        <w:t>clinic</w:t>
      </w:r>
      <w:r>
        <w:t>.</w:t>
      </w:r>
    </w:p>
    <w:p w14:paraId="4463B3B9" w14:textId="77777777" w:rsidR="006B753B" w:rsidRDefault="006B753B" w:rsidP="007E074A">
      <w:pPr>
        <w:autoSpaceDE w:val="0"/>
        <w:autoSpaceDN w:val="0"/>
        <w:adjustRightInd w:val="0"/>
      </w:pPr>
      <w:r>
        <w:rPr>
          <w:noProof/>
          <w:lang w:eastAsia="en-AU"/>
        </w:rPr>
        <w:drawing>
          <wp:inline distT="0" distB="0" distL="0" distR="0" wp14:anchorId="4463B404" wp14:editId="32872B8F">
            <wp:extent cx="4257266" cy="5586826"/>
            <wp:effectExtent l="0" t="0" r="0" b="0"/>
            <wp:docPr id="30" name="Picture 30" descr="Table 26: Incidence rates of hypersensitivity events following SC injections at home versus clinic." title="Table 26: Incidence rates of hypersensitivity events following SC injections at home versus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59049" cy="5589166"/>
                    </a:xfrm>
                    <a:prstGeom prst="rect">
                      <a:avLst/>
                    </a:prstGeom>
                    <a:noFill/>
                    <a:ln>
                      <a:noFill/>
                    </a:ln>
                  </pic:spPr>
                </pic:pic>
              </a:graphicData>
            </a:graphic>
          </wp:inline>
        </w:drawing>
      </w:r>
    </w:p>
    <w:p w14:paraId="4463B3BA" w14:textId="4F5A9697" w:rsidR="006B753B" w:rsidRPr="00D205A3" w:rsidRDefault="006B753B" w:rsidP="006B753B">
      <w:pPr>
        <w:ind w:left="567"/>
        <w:rPr>
          <w:i/>
        </w:rPr>
      </w:pPr>
      <w:r w:rsidRPr="00D205A3">
        <w:rPr>
          <w:i/>
        </w:rPr>
        <w:t>Evaluator’s comment: The provided analyses have clarified the safety of SC TCZ in the home based setting with respect to hypersensitivity events. The majority of patients administered ≥ 1 injection at home (mean of 25 to 48 injections depending on the study), and overall PYs of exposure to SC TCZ (looking at the 3 studies together) was higher in the home than in the clinic. The number and rate of hypersensitivity events associated with home injections was much lower than for clinic injections. This is consistent with the earlier finding (see response to Safety Question (i) above) that hypersensitivity events occur most frequently after the first 1–3 injections, and the fact that the administration of the first 4</w:t>
      </w:r>
      <w:r w:rsidR="002D7FC2">
        <w:rPr>
          <w:i/>
        </w:rPr>
        <w:t>-</w:t>
      </w:r>
      <w:r w:rsidRPr="00D205A3">
        <w:rPr>
          <w:i/>
        </w:rPr>
        <w:t xml:space="preserve">7 injections occurred in the clinic as specified by the study protocols. The results were less clear cut with respect to clinically significant hypersensitivity and serious hypersensitivity events, but the number of events was small and many of these events were not clinically consistent with hypersensitivity reactions. There were no events that met the criteria for anaphylaxis. While the potential for a serious hypersensitivity or anaphylactic reaction to occur after home-based administration remains, the evidence presented to date (&gt; 70,000 home-based SC </w:t>
      </w:r>
      <w:r w:rsidRPr="00D205A3">
        <w:rPr>
          <w:i/>
        </w:rPr>
        <w:lastRenderedPageBreak/>
        <w:t>injections in clinical studies, and an estimated cumulative 34,413 patients on SC TCZ in the post-authorisation phase) suggests that the risk is low and consistent with the risk for other biologic agents with subcutaneous formulations registered for use in adult patients with rheumatoid arthritis.</w:t>
      </w:r>
    </w:p>
    <w:p w14:paraId="4463B3BB" w14:textId="77777777" w:rsidR="00C618F7" w:rsidRDefault="00C618F7" w:rsidP="002D7FC2">
      <w:pPr>
        <w:pStyle w:val="Heading2"/>
      </w:pPr>
      <w:bookmarkStart w:id="202" w:name="_Toc464136293"/>
      <w:r>
        <w:t>Second round benefit-risk assessment</w:t>
      </w:r>
      <w:bookmarkEnd w:id="202"/>
    </w:p>
    <w:p w14:paraId="4463B3BC" w14:textId="77777777" w:rsidR="00EA5C59" w:rsidRDefault="00EA5C59" w:rsidP="002D7FC2">
      <w:pPr>
        <w:pStyle w:val="Heading3"/>
      </w:pPr>
      <w:bookmarkStart w:id="203" w:name="_Toc272414709"/>
      <w:bookmarkStart w:id="204" w:name="_Toc290846349"/>
      <w:bookmarkStart w:id="205" w:name="_Toc290888886"/>
      <w:bookmarkStart w:id="206" w:name="_Toc367010627"/>
      <w:bookmarkStart w:id="207" w:name="_Toc464136294"/>
      <w:r w:rsidRPr="00D275A6">
        <w:t>Second round assessment of benefits</w:t>
      </w:r>
      <w:bookmarkEnd w:id="203"/>
      <w:bookmarkEnd w:id="204"/>
      <w:bookmarkEnd w:id="205"/>
      <w:bookmarkEnd w:id="206"/>
      <w:bookmarkEnd w:id="207"/>
    </w:p>
    <w:p w14:paraId="4463B3BD" w14:textId="77777777" w:rsidR="008A2A4A" w:rsidRPr="008A2A4A" w:rsidRDefault="008A2A4A" w:rsidP="008A2A4A">
      <w:pPr>
        <w:rPr>
          <w:lang w:eastAsia="ja-JP"/>
        </w:rPr>
      </w:pPr>
      <w:r>
        <w:t xml:space="preserve">After consideration of the responses to clinical questions, the benefits of </w:t>
      </w:r>
      <w:r w:rsidRPr="00B04983">
        <w:t>subcutaneous administration of tocilizumab in the proposed usage are</w:t>
      </w:r>
      <w:r>
        <w:t xml:space="preserve"> unchanged from those identified in the first round assessment of benefits.</w:t>
      </w:r>
    </w:p>
    <w:p w14:paraId="4463B3BE" w14:textId="77777777" w:rsidR="00EA5C59" w:rsidRDefault="00EA5C59" w:rsidP="00EA5C59">
      <w:pPr>
        <w:pStyle w:val="Heading3"/>
      </w:pPr>
      <w:bookmarkStart w:id="208" w:name="_Toc272414710"/>
      <w:bookmarkStart w:id="209" w:name="_Toc290846350"/>
      <w:bookmarkStart w:id="210" w:name="_Toc290888887"/>
      <w:bookmarkStart w:id="211" w:name="_Toc367010628"/>
      <w:bookmarkStart w:id="212" w:name="_Toc464136295"/>
      <w:r w:rsidRPr="00D275A6">
        <w:t>Second round assessment of risks</w:t>
      </w:r>
      <w:bookmarkEnd w:id="208"/>
      <w:bookmarkEnd w:id="209"/>
      <w:bookmarkEnd w:id="210"/>
      <w:bookmarkEnd w:id="211"/>
      <w:bookmarkEnd w:id="212"/>
    </w:p>
    <w:p w14:paraId="4463B3BF" w14:textId="77777777" w:rsidR="008A2A4A" w:rsidRDefault="008A2A4A" w:rsidP="008A2A4A">
      <w:r>
        <w:t xml:space="preserve">After consideration of the responses to clinical questions, the risks of </w:t>
      </w:r>
      <w:r w:rsidRPr="00B04983">
        <w:t>subcutaneous administration of tocilizumab in the proposed usage are</w:t>
      </w:r>
      <w:r>
        <w:t xml:space="preserve"> essentially unchanged from those identified in the first round assessment of benefits.</w:t>
      </w:r>
    </w:p>
    <w:p w14:paraId="4463B3C0" w14:textId="062716E9" w:rsidR="008A2A4A" w:rsidRPr="008A2A4A" w:rsidRDefault="008A2A4A" w:rsidP="008A2A4A">
      <w:r>
        <w:t xml:space="preserve">Additional data on </w:t>
      </w:r>
      <w:r w:rsidRPr="00B04983">
        <w:t>ra</w:t>
      </w:r>
      <w:r>
        <w:t>tes of injection site reactions and</w:t>
      </w:r>
      <w:r w:rsidRPr="00B04983">
        <w:t xml:space="preserve"> hypersensi</w:t>
      </w:r>
      <w:r>
        <w:t>tivity reactions</w:t>
      </w:r>
      <w:r w:rsidRPr="00B04983">
        <w:t xml:space="preserve"> </w:t>
      </w:r>
      <w:r>
        <w:t xml:space="preserve">after home </w:t>
      </w:r>
      <w:r w:rsidRPr="00B04983">
        <w:t xml:space="preserve">based </w:t>
      </w:r>
      <w:r>
        <w:t xml:space="preserve">administration were presented for </w:t>
      </w:r>
      <w:r w:rsidRPr="00396649">
        <w:t>studies WA22762, NA25220, and ML28338</w:t>
      </w:r>
      <w:r>
        <w:t xml:space="preserve">. Overall </w:t>
      </w:r>
      <w:r w:rsidRPr="00396649">
        <w:t>the majority of injections were administered at home (62.4</w:t>
      </w:r>
      <w:r w:rsidR="002D7FC2">
        <w:t>%), and most of these were self-</w:t>
      </w:r>
      <w:r w:rsidRPr="00396649">
        <w:t>administered by the patient (78.2%)</w:t>
      </w:r>
      <w:r>
        <w:t xml:space="preserve">. </w:t>
      </w:r>
      <w:r w:rsidRPr="00396649">
        <w:t xml:space="preserve">The number and rate of hypersensitivity events associated with home injections was much lower than for clinic injections, which is consistent with the </w:t>
      </w:r>
      <w:r>
        <w:t>facts</w:t>
      </w:r>
      <w:r w:rsidRPr="00396649">
        <w:t xml:space="preserve"> that hypersensitivity events occur most frequently</w:t>
      </w:r>
      <w:r>
        <w:t xml:space="preserve"> after the first 1</w:t>
      </w:r>
      <w:r w:rsidR="002D7FC2">
        <w:t>-</w:t>
      </w:r>
      <w:r>
        <w:t xml:space="preserve">3 injections, </w:t>
      </w:r>
      <w:r w:rsidRPr="00396649">
        <w:t xml:space="preserve">and that </w:t>
      </w:r>
      <w:r>
        <w:t>per-protocol,</w:t>
      </w:r>
      <w:r w:rsidRPr="00396649">
        <w:t xml:space="preserve"> administration of the first 4</w:t>
      </w:r>
      <w:r w:rsidR="002D7FC2">
        <w:t>-</w:t>
      </w:r>
      <w:r w:rsidRPr="00396649">
        <w:t>7 inje</w:t>
      </w:r>
      <w:r>
        <w:t xml:space="preserve">ctions occurred in the clinic. </w:t>
      </w:r>
      <w:r w:rsidRPr="00396649">
        <w:t>While the potential for a serious hypersensitivity or anaphylactic reaction to occur after home-based administration remains, the evidence presented to date (&gt;</w:t>
      </w:r>
      <w:r>
        <w:t> </w:t>
      </w:r>
      <w:r w:rsidRPr="00396649">
        <w:t>70,000 home-based SC injections in clinical studies, and an estimated cumulative 34,413 patients on SC TCZ in the post</w:t>
      </w:r>
      <w:r>
        <w:t xml:space="preserve"> </w:t>
      </w:r>
      <w:r w:rsidRPr="00396649">
        <w:t>authorisation phase) suggests that the risk is low and consistent with the risk for other biologic agents with subcutaneous formulations registered for use in adult patients with rheumatoid arthritis.</w:t>
      </w:r>
    </w:p>
    <w:p w14:paraId="4463B3C1" w14:textId="77777777" w:rsidR="00EA5C59" w:rsidRDefault="00EA5C59" w:rsidP="0070197D">
      <w:pPr>
        <w:pStyle w:val="Heading3"/>
      </w:pPr>
      <w:bookmarkStart w:id="213" w:name="_Toc272414711"/>
      <w:bookmarkStart w:id="214" w:name="_Toc290846351"/>
      <w:bookmarkStart w:id="215" w:name="_Toc290888888"/>
      <w:bookmarkStart w:id="216" w:name="_Toc367010629"/>
      <w:bookmarkStart w:id="217" w:name="_Toc464136296"/>
      <w:r w:rsidRPr="00D275A6">
        <w:t>Second round assessment of benefit-risk balance</w:t>
      </w:r>
      <w:bookmarkEnd w:id="213"/>
      <w:bookmarkEnd w:id="214"/>
      <w:bookmarkEnd w:id="215"/>
      <w:bookmarkEnd w:id="216"/>
      <w:bookmarkEnd w:id="217"/>
    </w:p>
    <w:p w14:paraId="4463B3C2" w14:textId="77777777" w:rsidR="008A2A4A" w:rsidRPr="008A2A4A" w:rsidRDefault="008A2A4A" w:rsidP="008A2A4A">
      <w:r>
        <w:t>The benefit-</w:t>
      </w:r>
      <w:r w:rsidRPr="00816496">
        <w:t>risk balance of subcutaneous administration of tocilizumab is favourable given the proposed usage.</w:t>
      </w:r>
      <w:r>
        <w:t xml:space="preserve"> The subcutaneous formulation of tocilizumab </w:t>
      </w:r>
      <w:r w:rsidRPr="000A3C10">
        <w:t xml:space="preserve">162 mg weekly </w:t>
      </w:r>
      <w:r>
        <w:t xml:space="preserve">has demonstrated non-inferiority to the approved intravenous dosing regimen (8 mg/kg IV 4 </w:t>
      </w:r>
      <w:r w:rsidRPr="000A3C10">
        <w:t>weekly)</w:t>
      </w:r>
      <w:r>
        <w:t xml:space="preserve">, and has a comparable safety profile. The risk of a </w:t>
      </w:r>
      <w:r w:rsidRPr="000A3C10">
        <w:t>serious hypersensitivity or anaphylactic reaction</w:t>
      </w:r>
      <w:r>
        <w:t xml:space="preserve"> occurring in the home appears to be low, and is comparable to the risks associated with the subcutaneous formulations of other registered biologic agents.</w:t>
      </w:r>
    </w:p>
    <w:p w14:paraId="4463B3C3" w14:textId="77777777" w:rsidR="00C618F7" w:rsidRDefault="00C618F7" w:rsidP="0070197D">
      <w:pPr>
        <w:pStyle w:val="Heading2"/>
      </w:pPr>
      <w:bookmarkStart w:id="218" w:name="_Toc464136297"/>
      <w:r>
        <w:t>Second round recommendation regarding authorisation</w:t>
      </w:r>
      <w:bookmarkEnd w:id="218"/>
    </w:p>
    <w:p w14:paraId="4463B3C5" w14:textId="59666C22" w:rsidR="0070197D" w:rsidRDefault="008A2A4A" w:rsidP="0070197D">
      <w:r w:rsidRPr="00B04983">
        <w:t xml:space="preserve">The evaluator recommends approval of the registration of a subcutaneous formulation of tocilizumab for the existing adult rheumatoid arthritis indication subject to modification of the PI, </w:t>
      </w:r>
      <w:r w:rsidR="00922E47">
        <w:t xml:space="preserve">CMI, and RMP as described elsewhere in comments on the PI and CMI. </w:t>
      </w:r>
      <w:r>
        <w:t xml:space="preserve">The risk of </w:t>
      </w:r>
      <w:r w:rsidRPr="001B36C5">
        <w:t>serious hypersensitivity reactions and anaphylaxis</w:t>
      </w:r>
      <w:r>
        <w:t xml:space="preserve"> in the home should be clearly communicated to both healthcare professionals and patients, and patients need to be educated regarding the symptoms and signs of allergic / hypersensitivity reactions to tocilizumab so that appropriate action can be taken promptly, thus minimising </w:t>
      </w:r>
      <w:r w:rsidRPr="009C6947">
        <w:t xml:space="preserve">potential </w:t>
      </w:r>
      <w:r>
        <w:t>adverse outcomes.</w:t>
      </w:r>
      <w:bookmarkEnd w:id="3"/>
      <w:bookmarkEnd w:id="1"/>
      <w:bookmarkEnd w:id="0"/>
    </w:p>
    <w:p w14:paraId="494F311D" w14:textId="77777777" w:rsidR="0070197D" w:rsidRDefault="0070197D">
      <w:pPr>
        <w:spacing w:before="0" w:after="200" w:line="0" w:lineRule="auto"/>
      </w:pPr>
      <w:r>
        <w:br w:type="page"/>
      </w:r>
    </w:p>
    <w:p w14:paraId="4463B3C6" w14:textId="77777777" w:rsidR="008A2A4A" w:rsidRPr="001D043B" w:rsidRDefault="008A2A4A" w:rsidP="0013254D">
      <w:pPr>
        <w:pStyle w:val="ListBullet3"/>
        <w:numPr>
          <w:ilvl w:val="0"/>
          <w:numId w:val="0"/>
        </w:numPr>
        <w:sectPr w:rsidR="008A2A4A" w:rsidRPr="001D043B" w:rsidSect="008D770F">
          <w:headerReference w:type="even" r:id="rId43"/>
          <w:headerReference w:type="default" r:id="rId44"/>
          <w:headerReference w:type="first" r:id="rId45"/>
          <w:footerReference w:type="first" r:id="rId46"/>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4463B3C8" w14:textId="77777777" w:rsidTr="0024542C">
        <w:trPr>
          <w:trHeight w:hRule="exact" w:val="564"/>
        </w:trPr>
        <w:tc>
          <w:tcPr>
            <w:tcW w:w="9175" w:type="dxa"/>
          </w:tcPr>
          <w:p w14:paraId="4463B3C7" w14:textId="77777777" w:rsidR="00B3567E" w:rsidRPr="00487162" w:rsidRDefault="00B3567E" w:rsidP="0024542C">
            <w:pPr>
              <w:pStyle w:val="TGASignoff"/>
            </w:pPr>
            <w:r w:rsidRPr="00487162">
              <w:lastRenderedPageBreak/>
              <w:t>Therapeutic Goods Administration</w:t>
            </w:r>
          </w:p>
        </w:tc>
      </w:tr>
      <w:tr w:rsidR="00B3567E" w:rsidRPr="00487162" w14:paraId="4463B3CC" w14:textId="77777777" w:rsidTr="0024542C">
        <w:trPr>
          <w:trHeight w:val="1221"/>
        </w:trPr>
        <w:tc>
          <w:tcPr>
            <w:tcW w:w="9175" w:type="dxa"/>
            <w:tcMar>
              <w:top w:w="28" w:type="dxa"/>
            </w:tcMar>
          </w:tcPr>
          <w:p w14:paraId="4463B3C9" w14:textId="77777777" w:rsidR="00B3567E" w:rsidRPr="00487162" w:rsidRDefault="00B3567E" w:rsidP="0024542C">
            <w:pPr>
              <w:pStyle w:val="Address"/>
            </w:pPr>
            <w:r w:rsidRPr="00487162">
              <w:t>PO Box 100 Woden ACT 2606 Australia</w:t>
            </w:r>
          </w:p>
          <w:p w14:paraId="4463B3CA" w14:textId="77777777" w:rsidR="00B3567E" w:rsidRPr="00487162" w:rsidRDefault="00B3567E" w:rsidP="0024542C">
            <w:pPr>
              <w:pStyle w:val="Address"/>
            </w:pPr>
            <w:r w:rsidRPr="00487162">
              <w:t xml:space="preserve">Email: </w:t>
            </w:r>
            <w:hyperlink r:id="rId47" w:history="1">
              <w:r w:rsidRPr="008D770F">
                <w:rPr>
                  <w:rStyle w:val="Hyperlink"/>
                </w:rPr>
                <w:t>info@tga.gov.au</w:t>
              </w:r>
            </w:hyperlink>
            <w:r w:rsidR="009F0A80">
              <w:t xml:space="preserve"> </w:t>
            </w:r>
            <w:r w:rsidRPr="00487162">
              <w:t>Phone: 1800 020 653</w:t>
            </w:r>
            <w:r w:rsidR="009F0A80">
              <w:t xml:space="preserve"> </w:t>
            </w:r>
            <w:r w:rsidRPr="00487162">
              <w:t>Fax: 02 6232 8605</w:t>
            </w:r>
          </w:p>
          <w:p w14:paraId="4463B3CB" w14:textId="77777777" w:rsidR="00B3567E" w:rsidRPr="008D770F" w:rsidRDefault="00177958" w:rsidP="0024542C">
            <w:pPr>
              <w:pStyle w:val="Address"/>
              <w:spacing w:line="260" w:lineRule="atLeast"/>
              <w:rPr>
                <w:b/>
                <w:color w:val="0000FF"/>
                <w:u w:val="single"/>
              </w:rPr>
            </w:pPr>
            <w:hyperlink r:id="rId48" w:history="1">
              <w:r w:rsidR="00E979F4" w:rsidRPr="00FE02B1">
                <w:rPr>
                  <w:rStyle w:val="Hyperlink"/>
                  <w:b/>
                </w:rPr>
                <w:t>https://www.tga.gov.au</w:t>
              </w:r>
            </w:hyperlink>
          </w:p>
        </w:tc>
      </w:tr>
    </w:tbl>
    <w:p w14:paraId="4463B3CD" w14:textId="77777777" w:rsidR="00774E1D" w:rsidRPr="008A5E0B" w:rsidRDefault="00774E1D" w:rsidP="008A5E0B"/>
    <w:sectPr w:rsidR="00774E1D" w:rsidRPr="008A5E0B" w:rsidSect="00B3567E">
      <w:headerReference w:type="even" r:id="rId49"/>
      <w:headerReference w:type="default" r:id="rId50"/>
      <w:footerReference w:type="default" r:id="rId51"/>
      <w:headerReference w:type="first" r:id="rId52"/>
      <w:footerReference w:type="first" r:id="rId53"/>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63B40D" w14:textId="77777777" w:rsidR="00C329D3" w:rsidRDefault="00C329D3" w:rsidP="00C40A36">
      <w:pPr>
        <w:spacing w:after="0"/>
      </w:pPr>
      <w:r>
        <w:separator/>
      </w:r>
    </w:p>
  </w:endnote>
  <w:endnote w:type="continuationSeparator" w:id="0">
    <w:p w14:paraId="4463B40E" w14:textId="77777777" w:rsidR="00C329D3" w:rsidRDefault="00C329D3"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ArialMT">
    <w:altName w:val="Arial"/>
    <w:panose1 w:val="00000000000000000000"/>
    <w:charset w:val="00"/>
    <w:family w:val="swiss"/>
    <w:notTrueType/>
    <w:pitch w:val="default"/>
    <w:sig w:usb0="00000003" w:usb1="08070000" w:usb2="00000010" w:usb3="00000000" w:csb0="00020009"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938"/>
      <w:gridCol w:w="923"/>
    </w:tblGrid>
    <w:tr w:rsidR="00C329D3" w:rsidRPr="00487162" w14:paraId="4463B412" w14:textId="77777777" w:rsidTr="00981D66">
      <w:trPr>
        <w:trHeight w:val="269"/>
      </w:trPr>
      <w:tc>
        <w:tcPr>
          <w:tcW w:w="7938" w:type="dxa"/>
          <w:tcMar>
            <w:top w:w="142" w:type="dxa"/>
            <w:bottom w:w="0" w:type="dxa"/>
          </w:tcMar>
        </w:tcPr>
        <w:p w14:paraId="4463B410" w14:textId="77777777" w:rsidR="00C329D3" w:rsidRPr="00487162" w:rsidRDefault="00C329D3" w:rsidP="004147E5">
          <w:pPr>
            <w:pStyle w:val="Footer"/>
          </w:pPr>
          <w:r>
            <w:t>Submission</w:t>
          </w:r>
          <w:r w:rsidRPr="00487162">
            <w:t xml:space="preserve"> PM-20</w:t>
          </w:r>
          <w:r>
            <w:t>14-04309-1-3 Extract from the Clinical Evaluation Report for Actemra</w:t>
          </w:r>
        </w:p>
      </w:tc>
      <w:tc>
        <w:tcPr>
          <w:tcW w:w="923" w:type="dxa"/>
          <w:tcMar>
            <w:top w:w="142" w:type="dxa"/>
            <w:bottom w:w="0" w:type="dxa"/>
          </w:tcMar>
        </w:tcPr>
        <w:p w14:paraId="4463B411" w14:textId="77777777" w:rsidR="00C329D3" w:rsidRPr="00981D66" w:rsidRDefault="00C329D3" w:rsidP="00D855D4">
          <w:pPr>
            <w:pStyle w:val="Footer"/>
            <w:jc w:val="right"/>
          </w:pPr>
          <w:r w:rsidRPr="00981D66">
            <w:fldChar w:fldCharType="begin"/>
          </w:r>
          <w:r w:rsidRPr="00981D66">
            <w:instrText xml:space="preserve"> PAGE  \* Arabic  \* MERGEFORMAT </w:instrText>
          </w:r>
          <w:r w:rsidRPr="00981D66">
            <w:fldChar w:fldCharType="separate"/>
          </w:r>
          <w:r w:rsidR="00177958">
            <w:rPr>
              <w:noProof/>
            </w:rPr>
            <w:t>2</w:t>
          </w:r>
          <w:r w:rsidRPr="00981D66">
            <w:fldChar w:fldCharType="end"/>
          </w:r>
          <w:r w:rsidRPr="00981D66">
            <w:t xml:space="preserve"> of </w:t>
          </w:r>
          <w:r w:rsidR="00177958">
            <w:fldChar w:fldCharType="begin"/>
          </w:r>
          <w:r w:rsidR="00177958">
            <w:instrText xml:space="preserve"> NUMPAGES  \* Arabic  \* MERGEFORMAT </w:instrText>
          </w:r>
          <w:r w:rsidR="00177958">
            <w:fldChar w:fldCharType="separate"/>
          </w:r>
          <w:r w:rsidR="00177958">
            <w:rPr>
              <w:noProof/>
            </w:rPr>
            <w:t>59</w:t>
          </w:r>
          <w:r w:rsidR="00177958">
            <w:rPr>
              <w:noProof/>
            </w:rPr>
            <w:fldChar w:fldCharType="end"/>
          </w:r>
        </w:p>
      </w:tc>
    </w:tr>
  </w:tbl>
  <w:p w14:paraId="4463B413" w14:textId="77777777" w:rsidR="00C329D3" w:rsidRDefault="00C329D3"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329D3" w:rsidRPr="00487162" w14:paraId="4463B41C" w14:textId="77777777" w:rsidTr="00E45619">
      <w:trPr>
        <w:trHeight w:val="269"/>
      </w:trPr>
      <w:tc>
        <w:tcPr>
          <w:tcW w:w="4519" w:type="dxa"/>
          <w:tcBorders>
            <w:top w:val="single" w:sz="4" w:space="0" w:color="auto"/>
          </w:tcBorders>
          <w:tcMar>
            <w:top w:w="142" w:type="dxa"/>
            <w:bottom w:w="0" w:type="dxa"/>
          </w:tcMar>
        </w:tcPr>
        <w:p w14:paraId="4463B419" w14:textId="77777777" w:rsidR="00C329D3" w:rsidRPr="00487162" w:rsidRDefault="00C329D3" w:rsidP="00FE1DEE">
          <w:pPr>
            <w:pStyle w:val="Footer"/>
          </w:pPr>
          <w:r w:rsidRPr="00487162">
            <w:t>Document title, Part #, Section # - Section title</w:t>
          </w:r>
        </w:p>
        <w:p w14:paraId="4463B41A" w14:textId="77777777" w:rsidR="00C329D3" w:rsidRPr="00487162" w:rsidRDefault="00C329D3" w:rsidP="00FE1DEE">
          <w:pPr>
            <w:pStyle w:val="Footer"/>
          </w:pPr>
          <w:r w:rsidRPr="00487162">
            <w:t>V1.0 October 2010</w:t>
          </w:r>
        </w:p>
      </w:tc>
      <w:tc>
        <w:tcPr>
          <w:tcW w:w="4342" w:type="dxa"/>
          <w:tcBorders>
            <w:top w:val="single" w:sz="4" w:space="0" w:color="auto"/>
          </w:tcBorders>
          <w:tcMar>
            <w:top w:w="142" w:type="dxa"/>
            <w:bottom w:w="0" w:type="dxa"/>
          </w:tcMar>
        </w:tcPr>
        <w:p w14:paraId="4463B41B" w14:textId="77777777" w:rsidR="00C329D3" w:rsidRPr="00487162" w:rsidRDefault="00C329D3"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64</w:t>
            </w:r>
          </w:fldSimple>
        </w:p>
      </w:tc>
    </w:tr>
  </w:tbl>
  <w:p w14:paraId="4463B41D" w14:textId="77777777" w:rsidR="00C329D3" w:rsidRDefault="00C329D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3B420" w14:textId="77777777" w:rsidR="00C329D3" w:rsidRDefault="00C329D3"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329D3" w14:paraId="4463B42E" w14:textId="77777777" w:rsidTr="0010601F">
      <w:trPr>
        <w:trHeight w:val="108"/>
      </w:trPr>
      <w:tc>
        <w:tcPr>
          <w:tcW w:w="8875" w:type="dxa"/>
          <w:gridSpan w:val="2"/>
          <w:tcBorders>
            <w:bottom w:val="single" w:sz="4" w:space="0" w:color="auto"/>
          </w:tcBorders>
          <w:tcMar>
            <w:right w:w="284" w:type="dxa"/>
          </w:tcMar>
        </w:tcPr>
        <w:p w14:paraId="4463B423" w14:textId="77777777" w:rsidR="00C329D3" w:rsidRDefault="00C329D3" w:rsidP="006E08B3">
          <w:pPr>
            <w:pStyle w:val="Heading3"/>
          </w:pPr>
          <w:r>
            <w:t>Copyright</w:t>
          </w:r>
        </w:p>
        <w:p w14:paraId="4463B424" w14:textId="77777777" w:rsidR="00C329D3" w:rsidRDefault="00C329D3" w:rsidP="006E08B3">
          <w:r>
            <w:rPr>
              <w:rFonts w:cs="Arial"/>
            </w:rPr>
            <w:t>©</w:t>
          </w:r>
          <w:r>
            <w:t xml:space="preserve"> Commonwealth of Australia (add year)</w:t>
          </w:r>
        </w:p>
        <w:p w14:paraId="4463B425" w14:textId="77777777" w:rsidR="00C329D3" w:rsidRDefault="00C329D3" w:rsidP="006E08B3"/>
        <w:p w14:paraId="4463B426" w14:textId="77777777" w:rsidR="00C329D3" w:rsidRDefault="00C329D3"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4463B427" w14:textId="77777777" w:rsidR="00C329D3" w:rsidRDefault="00C329D3" w:rsidP="006E08B3"/>
        <w:p w14:paraId="4463B428" w14:textId="77777777" w:rsidR="00C329D3" w:rsidRDefault="00C329D3" w:rsidP="006E08B3">
          <w:pPr>
            <w:pStyle w:val="Heading3"/>
          </w:pPr>
          <w:r>
            <w:t>Confidentiality</w:t>
          </w:r>
        </w:p>
        <w:p w14:paraId="4463B429" w14:textId="77777777" w:rsidR="00C329D3" w:rsidRDefault="00C329D3"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4463B42A" w14:textId="77777777" w:rsidR="00C329D3" w:rsidRDefault="00C329D3" w:rsidP="006E08B3"/>
        <w:p w14:paraId="4463B42B" w14:textId="77777777" w:rsidR="00C329D3" w:rsidRDefault="00C329D3" w:rsidP="006E08B3">
          <w:r>
            <w:t>For submission made by individuals, all personal details, other than your name, will be removed from your submission before it is published on the TGA’s Internet site.</w:t>
          </w:r>
        </w:p>
        <w:p w14:paraId="4463B42C" w14:textId="77777777" w:rsidR="00C329D3" w:rsidRDefault="00C329D3" w:rsidP="006E08B3"/>
        <w:p w14:paraId="4463B42D" w14:textId="77777777" w:rsidR="00C329D3" w:rsidRDefault="00C329D3" w:rsidP="006E08B3">
          <w:r>
            <w:t>In addition, a list of parties making submissions will be published. If you do not wish to be identified with your submission you must specifically request this in the space provided ib the submission coversheet.</w:t>
          </w:r>
        </w:p>
      </w:tc>
    </w:tr>
    <w:tr w:rsidR="00C329D3" w14:paraId="4463B432" w14:textId="77777777" w:rsidTr="0010601F">
      <w:trPr>
        <w:trHeight w:val="417"/>
      </w:trPr>
      <w:tc>
        <w:tcPr>
          <w:tcW w:w="4519" w:type="dxa"/>
          <w:tcBorders>
            <w:top w:val="single" w:sz="4" w:space="0" w:color="auto"/>
          </w:tcBorders>
          <w:tcMar>
            <w:top w:w="142" w:type="dxa"/>
            <w:bottom w:w="0" w:type="dxa"/>
          </w:tcMar>
        </w:tcPr>
        <w:p w14:paraId="4463B42F" w14:textId="77777777" w:rsidR="00C329D3" w:rsidRDefault="00C329D3" w:rsidP="006E08B3">
          <w:r>
            <w:t>Document title, Part #, Section # - Section title</w:t>
          </w:r>
        </w:p>
        <w:p w14:paraId="4463B430" w14:textId="77777777" w:rsidR="00C329D3" w:rsidRDefault="00C329D3" w:rsidP="006E08B3">
          <w:r>
            <w:t>V1.0 October 2010</w:t>
          </w:r>
        </w:p>
      </w:tc>
      <w:tc>
        <w:tcPr>
          <w:tcW w:w="4356" w:type="dxa"/>
          <w:tcBorders>
            <w:top w:val="single" w:sz="4" w:space="0" w:color="auto"/>
          </w:tcBorders>
          <w:tcMar>
            <w:top w:w="142" w:type="dxa"/>
            <w:bottom w:w="0" w:type="dxa"/>
          </w:tcMar>
        </w:tcPr>
        <w:p w14:paraId="4463B431" w14:textId="77777777" w:rsidR="00C329D3" w:rsidRDefault="00C329D3"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64</w:t>
            </w:r>
          </w:fldSimple>
          <w:r>
            <w:t xml:space="preserve"> </w:t>
          </w:r>
        </w:p>
      </w:tc>
    </w:tr>
  </w:tbl>
  <w:p w14:paraId="4463B433" w14:textId="77777777" w:rsidR="00C329D3" w:rsidRDefault="00C329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63B40B" w14:textId="77777777" w:rsidR="00C329D3" w:rsidRDefault="00C329D3" w:rsidP="00C40A36">
      <w:pPr>
        <w:spacing w:after="0"/>
      </w:pPr>
      <w:r>
        <w:separator/>
      </w:r>
    </w:p>
  </w:footnote>
  <w:footnote w:type="continuationSeparator" w:id="0">
    <w:p w14:paraId="4463B40C" w14:textId="77777777" w:rsidR="00C329D3" w:rsidRDefault="00C329D3" w:rsidP="00C40A36">
      <w:pPr>
        <w:spacing w:after="0"/>
      </w:pPr>
      <w:r>
        <w:continuationSeparator/>
      </w:r>
    </w:p>
  </w:footnote>
  <w:footnote w:id="1">
    <w:p w14:paraId="4463B438" w14:textId="423BC954" w:rsidR="00C329D3" w:rsidRPr="00475873" w:rsidRDefault="00C329D3" w:rsidP="0098005E">
      <w:pPr>
        <w:pStyle w:val="FootnoteText"/>
        <w:rPr>
          <w:lang w:val="en-US"/>
        </w:rPr>
      </w:pPr>
      <w:r w:rsidRPr="00AC528E">
        <w:rPr>
          <w:rStyle w:val="FootnoteReference"/>
          <w:sz w:val="16"/>
        </w:rPr>
        <w:footnoteRef/>
      </w:r>
      <w:r w:rsidRPr="00AC528E">
        <w:t xml:space="preserve"> </w:t>
      </w:r>
      <w:r w:rsidRPr="00AC528E">
        <w:rPr>
          <w:lang w:val="en-US"/>
        </w:rPr>
        <w:t>ACRχ; American College of Rheumatology Criteria Response: A measurement, recording improvement in disease state of rheumatoid arthritis, with χ = corresponding with a global improvement of at least</w:t>
      </w:r>
      <w:r w:rsidR="0098005E">
        <w:rPr>
          <w:lang w:val="en-US"/>
        </w:rPr>
        <w:t xml:space="preserve"> that number (as a percentage).</w:t>
      </w:r>
    </w:p>
  </w:footnote>
  <w:footnote w:id="2">
    <w:p w14:paraId="4463B439" w14:textId="271D2B52" w:rsidR="00C329D3" w:rsidRPr="00475873" w:rsidRDefault="00C329D3" w:rsidP="0098005E">
      <w:pPr>
        <w:pStyle w:val="FootnoteText"/>
      </w:pPr>
      <w:r>
        <w:rPr>
          <w:rStyle w:val="FootnoteReference"/>
        </w:rPr>
        <w:footnoteRef/>
      </w:r>
      <w:r>
        <w:t xml:space="preserve"> </w:t>
      </w:r>
      <w:r w:rsidRPr="00475873">
        <w:t>HAQ-DI; Stanford Health Assessment Questionnaire</w:t>
      </w:r>
      <w:r w:rsidR="0098005E">
        <w:t>-</w:t>
      </w:r>
      <w:r w:rsidRPr="00475873">
        <w:t>Disability Index: 20 Question patient reported assessment of rheumatoid arthritis. Fries JF et al. Measurement of patient Outcomes in arthritis. Arthritis and Rheumatism, 23, 1980, pp.137-145.</w:t>
      </w:r>
    </w:p>
  </w:footnote>
  <w:footnote w:id="3">
    <w:p w14:paraId="4463B43A" w14:textId="543FC1E3" w:rsidR="00C329D3" w:rsidRPr="00475873" w:rsidRDefault="00C329D3" w:rsidP="0098005E">
      <w:pPr>
        <w:pStyle w:val="FootnoteText"/>
      </w:pPr>
      <w:r w:rsidRPr="00475873">
        <w:rPr>
          <w:rStyle w:val="FootnoteReference"/>
          <w:sz w:val="18"/>
          <w:szCs w:val="19"/>
        </w:rPr>
        <w:footnoteRef/>
      </w:r>
      <w:r w:rsidRPr="00475873">
        <w:t xml:space="preserve"> DAS28-ESR; Disease Activity Score 28-Erythrocyte Sedimentation Rate: </w:t>
      </w:r>
      <w:r>
        <w:t xml:space="preserve">Combined index to measure rheumatoid arthritis disease activity using swollen/tender joint number with ESR blood test. van der Heijde et al. </w:t>
      </w:r>
      <w:r w:rsidRPr="00475873">
        <w:rPr>
          <w:lang w:val="en-US"/>
        </w:rPr>
        <w:t>Judging disease activity in clinical practice in rheumatoid arthritis: first step in the development of a disease activity score.</w:t>
      </w:r>
      <w:r>
        <w:rPr>
          <w:lang w:val="en-US"/>
        </w:rPr>
        <w:t xml:space="preserve"> </w:t>
      </w:r>
      <w:r w:rsidRPr="00475873">
        <w:t>Ann Rheum Dis. 1990 Nov; 49(11): 916</w:t>
      </w:r>
      <w:r w:rsidR="0098005E">
        <w:t>-</w:t>
      </w:r>
      <w:r w:rsidRPr="00475873">
        <w:t>920.</w:t>
      </w:r>
    </w:p>
  </w:footnote>
  <w:footnote w:id="4">
    <w:p w14:paraId="4463B43B" w14:textId="77777777" w:rsidR="00C329D3" w:rsidRPr="00FB6100" w:rsidRDefault="00C329D3" w:rsidP="00295B8E">
      <w:pPr>
        <w:pStyle w:val="FootnoteText"/>
        <w:rPr>
          <w:lang w:val="en-US"/>
        </w:rPr>
      </w:pPr>
      <w:r w:rsidRPr="00FB6100">
        <w:rPr>
          <w:rStyle w:val="FootnoteReference"/>
          <w:sz w:val="18"/>
        </w:rPr>
        <w:footnoteRef/>
      </w:r>
      <w:r w:rsidRPr="00FB6100">
        <w:t xml:space="preserve"> ARISg; Adverse Reaction Information System Global</w:t>
      </w:r>
    </w:p>
  </w:footnote>
  <w:footnote w:id="5">
    <w:p w14:paraId="4463B43C" w14:textId="77777777" w:rsidR="00C329D3" w:rsidRPr="00FB6100" w:rsidRDefault="00C329D3" w:rsidP="00295B8E">
      <w:pPr>
        <w:pStyle w:val="FootnoteText"/>
        <w:rPr>
          <w:lang w:val="en-US"/>
        </w:rPr>
      </w:pPr>
      <w:r w:rsidRPr="00FB6100">
        <w:rPr>
          <w:rStyle w:val="FootnoteReference"/>
          <w:sz w:val="18"/>
        </w:rPr>
        <w:footnoteRef/>
      </w:r>
      <w:r w:rsidRPr="00FB6100">
        <w:t xml:space="preserve"> SMQ; Standardised MedDRA Query</w:t>
      </w:r>
    </w:p>
  </w:footnote>
  <w:footnote w:id="6">
    <w:p w14:paraId="4463B43D" w14:textId="77777777" w:rsidR="00C329D3" w:rsidRPr="00FB6100" w:rsidRDefault="00C329D3" w:rsidP="00295B8E">
      <w:pPr>
        <w:pStyle w:val="FootnoteText"/>
        <w:rPr>
          <w:lang w:val="en-US"/>
        </w:rPr>
      </w:pPr>
      <w:r w:rsidRPr="00FB6100">
        <w:rPr>
          <w:rStyle w:val="FootnoteReference"/>
          <w:sz w:val="18"/>
        </w:rPr>
        <w:footnoteRef/>
      </w:r>
      <w:r w:rsidRPr="00FB6100">
        <w:t xml:space="preserve"> MedDRA; Medical Dictionary for Regulatory Activities</w:t>
      </w:r>
    </w:p>
  </w:footnote>
  <w:footnote w:id="7">
    <w:p w14:paraId="4463B43E" w14:textId="77777777" w:rsidR="00C329D3" w:rsidRPr="00FB6100" w:rsidRDefault="00C329D3" w:rsidP="00295B8E">
      <w:pPr>
        <w:pStyle w:val="FootnoteText"/>
        <w:rPr>
          <w:sz w:val="16"/>
        </w:rPr>
      </w:pPr>
      <w:r w:rsidRPr="00FB6100">
        <w:rPr>
          <w:rStyle w:val="FootnoteReference"/>
          <w:sz w:val="18"/>
        </w:rPr>
        <w:footnoteRef/>
      </w:r>
      <w:r w:rsidRPr="00FB6100">
        <w:t xml:space="preserve"> An algorithmic search is a combination of search terms from various sub-categories of the broad search terms to further refine the identification of cases of interest. Algorithmic search methodology yields greater sensitivity compared to the narrow search and greater specificity compared to the broad search.</w:t>
      </w:r>
    </w:p>
  </w:footnote>
  <w:footnote w:id="8">
    <w:p w14:paraId="4463B43F" w14:textId="24D884CE" w:rsidR="00C329D3" w:rsidRPr="008632C3" w:rsidRDefault="00C329D3" w:rsidP="003E2239">
      <w:pPr>
        <w:pStyle w:val="FootnoteText"/>
        <w:rPr>
          <w:lang w:val="en-US"/>
        </w:rPr>
      </w:pPr>
      <w:r w:rsidRPr="008632C3">
        <w:rPr>
          <w:rStyle w:val="FootnoteReference"/>
          <w:sz w:val="19"/>
          <w:szCs w:val="19"/>
        </w:rPr>
        <w:footnoteRef/>
      </w:r>
      <w:r w:rsidRPr="008632C3">
        <w:t xml:space="preserve"> ARISg Adverse Reaction Information System Global</w:t>
      </w:r>
      <w:r>
        <w:t>. ‘</w:t>
      </w:r>
      <w:r w:rsidRPr="001C663D">
        <w:t>ARISg is the world’s leading pharmacovigilance and clinical safety system, with more than 300 companies maintaining their critical drug</w:t>
      </w:r>
      <w:r>
        <w:t xml:space="preserve"> s</w:t>
      </w:r>
      <w:r w:rsidR="0050030E">
        <w:t>afety data in ARISg worldwide’.</w:t>
      </w:r>
    </w:p>
  </w:footnote>
  <w:footnote w:id="9">
    <w:p w14:paraId="4463B440" w14:textId="3700A63C" w:rsidR="00C329D3" w:rsidRPr="008632C3" w:rsidRDefault="00C329D3" w:rsidP="003E2239">
      <w:pPr>
        <w:pStyle w:val="FootnoteText"/>
        <w:rPr>
          <w:lang w:val="en-US"/>
        </w:rPr>
      </w:pPr>
      <w:r w:rsidRPr="008632C3">
        <w:rPr>
          <w:rStyle w:val="FootnoteReference"/>
          <w:sz w:val="19"/>
          <w:szCs w:val="19"/>
        </w:rPr>
        <w:footnoteRef/>
      </w:r>
      <w:r w:rsidRPr="008632C3">
        <w:t xml:space="preserve"> </w:t>
      </w:r>
      <w:r w:rsidRPr="008632C3">
        <w:rPr>
          <w:lang w:val="en-US"/>
        </w:rPr>
        <w:t xml:space="preserve">Sampson’s criteria for anaphylaxis: Clinical criteria for the diagnosis of anaphylaxis. </w:t>
      </w:r>
      <w:r w:rsidRPr="008632C3">
        <w:rPr>
          <w:noProof/>
          <w:lang w:val="en"/>
        </w:rPr>
        <w:t>Second symposium on the definition and management of anaphylaxis: Summary report</w:t>
      </w:r>
      <w:r w:rsidR="003E2239">
        <w:rPr>
          <w:noProof/>
          <w:lang w:val="en"/>
        </w:rPr>
        <w:t>-</w:t>
      </w:r>
      <w:r w:rsidRPr="008632C3">
        <w:rPr>
          <w:noProof/>
          <w:lang w:val="en"/>
        </w:rPr>
        <w:t>Second National Institute of Allergy and Infectious Disease/Food Allergy and Anaphylaxis Network symposium. Sampson A et al. Journal of Allergy and Clinical Immunology, Volume 117 , Issue 2, 391</w:t>
      </w:r>
      <w:r w:rsidR="0050030E">
        <w:rPr>
          <w:noProof/>
          <w:lang w:val="en"/>
        </w:rPr>
        <w:t>-</w:t>
      </w:r>
      <w:r w:rsidRPr="008632C3">
        <w:rPr>
          <w:noProof/>
          <w:lang w:val="en"/>
        </w:rPr>
        <w:t>397.</w:t>
      </w:r>
    </w:p>
  </w:footnote>
  <w:footnote w:id="10">
    <w:p w14:paraId="4463B441" w14:textId="77777777" w:rsidR="00C329D3" w:rsidRDefault="00C329D3" w:rsidP="007476DD">
      <w:pPr>
        <w:pStyle w:val="FootnoteText"/>
      </w:pPr>
      <w:r>
        <w:rPr>
          <w:rStyle w:val="FootnoteReference"/>
        </w:rPr>
        <w:footnoteRef/>
      </w:r>
      <w:r>
        <w:t xml:space="preserve"> </w:t>
      </w:r>
      <w:r w:rsidRPr="005320D9">
        <w:t>Due to the double-dummy design up to Week 24, at the timepoints that both IV and SC treatment were given, a conservative approach was applied and any event meeting the above definitions of hypersensitivity was always attributed to TCZ (IV or SC) rather than to PLC. However, since SC was administered more frequently than IV, some AEs were attributed to PLC SC treatment as they occurred at a time when only PLC SC was given. In contrast, no AEs were attributed to PLC IV, as PLC IV was always administered together with TCZ SC.</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3B40F" w14:textId="77777777" w:rsidR="00C329D3" w:rsidRDefault="00C329D3"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3B414" w14:textId="77777777" w:rsidR="00C329D3" w:rsidRDefault="00C329D3">
    <w:pPr>
      <w:rPr>
        <w:noProof/>
        <w:lang w:eastAsia="en-AU"/>
      </w:rPr>
    </w:pPr>
    <w:r w:rsidRPr="002D545C">
      <w:rPr>
        <w:noProof/>
        <w:lang w:eastAsia="en-AU"/>
      </w:rPr>
      <w:drawing>
        <wp:anchor distT="0" distB="0" distL="114300" distR="114300" simplePos="0" relativeHeight="251659264" behindDoc="1" locked="0" layoutInCell="1" allowOverlap="1" wp14:anchorId="4463B434" wp14:editId="4463B435">
          <wp:simplePos x="0" y="0"/>
          <wp:positionH relativeFrom="column">
            <wp:posOffset>-1089660</wp:posOffset>
          </wp:positionH>
          <wp:positionV relativeFrom="paragraph">
            <wp:posOffset>-585470</wp:posOffset>
          </wp:positionV>
          <wp:extent cx="7572375" cy="10706100"/>
          <wp:effectExtent l="19050" t="0" r="0" b="0"/>
          <wp:wrapNone/>
          <wp:docPr id="3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4463B415" w14:textId="77777777" w:rsidR="00C329D3" w:rsidRDefault="00C329D3" w:rsidP="00593AD1">
    <w:pPr>
      <w:pStyle w:val="HeaderNoLine"/>
    </w:pPr>
    <w:r>
      <w:rPr>
        <w:noProof/>
        <w:lang w:eastAsia="en-AU"/>
      </w:rPr>
      <w:drawing>
        <wp:inline distT="0" distB="0" distL="0" distR="0" wp14:anchorId="4463B436" wp14:editId="4463B437">
          <wp:extent cx="5400675" cy="7639050"/>
          <wp:effectExtent l="0" t="0" r="9525" b="0"/>
          <wp:docPr id="32" name="Picture 3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3B416" w14:textId="77777777" w:rsidR="00C329D3" w:rsidRDefault="00C329D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3B417" w14:textId="77777777" w:rsidR="00C329D3" w:rsidRDefault="00C329D3">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3B418" w14:textId="77777777" w:rsidR="00C329D3" w:rsidRDefault="00C329D3">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3B41E" w14:textId="77777777" w:rsidR="00C329D3" w:rsidRDefault="00C329D3">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3B41F" w14:textId="77777777" w:rsidR="00C329D3" w:rsidRPr="00D205A3" w:rsidRDefault="00C329D3" w:rsidP="0070197D">
    <w:pPr>
      <w:pStyle w:val="Header"/>
      <w:pBdr>
        <w:bottom w:val="none" w:sz="0" w:space="0" w:color="auto"/>
      </w:pBd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3B421" w14:textId="77777777" w:rsidR="00C329D3" w:rsidRDefault="00C329D3" w:rsidP="006E08B3">
    <w:r>
      <w:t>Therapeutic Goods Administration</w:t>
    </w:r>
  </w:p>
  <w:p w14:paraId="4463B422" w14:textId="77777777" w:rsidR="00C329D3" w:rsidRDefault="00C329D3"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9965DEA"/>
    <w:lvl w:ilvl="0">
      <w:start w:val="1"/>
      <w:numFmt w:val="decimal"/>
      <w:lvlText w:val="%1."/>
      <w:lvlJc w:val="left"/>
      <w:pPr>
        <w:tabs>
          <w:tab w:val="num" w:pos="1492"/>
        </w:tabs>
        <w:ind w:left="1492" w:hanging="360"/>
      </w:pPr>
    </w:lvl>
  </w:abstractNum>
  <w:abstractNum w:abstractNumId="1">
    <w:nsid w:val="FFFFFF7D"/>
    <w:multiLevelType w:val="singleLevel"/>
    <w:tmpl w:val="1E1EC9F6"/>
    <w:lvl w:ilvl="0">
      <w:start w:val="1"/>
      <w:numFmt w:val="decimal"/>
      <w:lvlText w:val="%1."/>
      <w:lvlJc w:val="left"/>
      <w:pPr>
        <w:tabs>
          <w:tab w:val="num" w:pos="1209"/>
        </w:tabs>
        <w:ind w:left="1209" w:hanging="360"/>
      </w:pPr>
    </w:lvl>
  </w:abstractNum>
  <w:abstractNum w:abstractNumId="2">
    <w:nsid w:val="FFFFFF7E"/>
    <w:multiLevelType w:val="singleLevel"/>
    <w:tmpl w:val="AC6402AE"/>
    <w:lvl w:ilvl="0">
      <w:start w:val="1"/>
      <w:numFmt w:val="decimal"/>
      <w:lvlText w:val="%1."/>
      <w:lvlJc w:val="left"/>
      <w:pPr>
        <w:tabs>
          <w:tab w:val="num" w:pos="926"/>
        </w:tabs>
        <w:ind w:left="926" w:hanging="360"/>
      </w:pPr>
    </w:lvl>
  </w:abstractNum>
  <w:abstractNum w:abstractNumId="3">
    <w:nsid w:val="FFFFFF7F"/>
    <w:multiLevelType w:val="singleLevel"/>
    <w:tmpl w:val="FEC45A32"/>
    <w:lvl w:ilvl="0">
      <w:start w:val="1"/>
      <w:numFmt w:val="decimal"/>
      <w:lvlText w:val="%1."/>
      <w:lvlJc w:val="left"/>
      <w:pPr>
        <w:tabs>
          <w:tab w:val="num" w:pos="643"/>
        </w:tabs>
        <w:ind w:left="643" w:hanging="360"/>
      </w:pPr>
    </w:lvl>
  </w:abstractNum>
  <w:abstractNum w:abstractNumId="4">
    <w:nsid w:val="FFFFFF80"/>
    <w:multiLevelType w:val="singleLevel"/>
    <w:tmpl w:val="606693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623031A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27EC0B0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F283A5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226E23A2"/>
    <w:lvl w:ilvl="0">
      <w:start w:val="1"/>
      <w:numFmt w:val="decimal"/>
      <w:lvlText w:val="%1."/>
      <w:lvlJc w:val="left"/>
      <w:pPr>
        <w:tabs>
          <w:tab w:val="num" w:pos="360"/>
        </w:tabs>
        <w:ind w:left="360" w:hanging="360"/>
      </w:pPr>
    </w:lvl>
  </w:abstractNum>
  <w:abstractNum w:abstractNumId="9">
    <w:nsid w:val="FFFFFF89"/>
    <w:multiLevelType w:val="singleLevel"/>
    <w:tmpl w:val="EC6EB6CC"/>
    <w:lvl w:ilvl="0">
      <w:start w:val="1"/>
      <w:numFmt w:val="bullet"/>
      <w:lvlText w:val=""/>
      <w:lvlJc w:val="left"/>
      <w:pPr>
        <w:tabs>
          <w:tab w:val="num" w:pos="360"/>
        </w:tabs>
        <w:ind w:left="360" w:hanging="360"/>
      </w:pPr>
      <w:rPr>
        <w:rFonts w:ascii="Symbol" w:hAnsi="Symbol" w:hint="default"/>
      </w:rPr>
    </w:lvl>
  </w:abstractNum>
  <w:abstractNum w:abstractNumId="10">
    <w:nsid w:val="08794615"/>
    <w:multiLevelType w:val="hybridMultilevel"/>
    <w:tmpl w:val="A7561688"/>
    <w:lvl w:ilvl="0" w:tplc="75BE7E8A">
      <w:start w:val="1"/>
      <w:numFmt w:val="bullet"/>
      <w:pStyle w:val="CommentDot"/>
      <w:lvlText w:val="▪"/>
      <w:lvlJc w:val="left"/>
      <w:pPr>
        <w:ind w:left="1996" w:hanging="360"/>
      </w:pPr>
      <w:rPr>
        <w:rFonts w:ascii="Arial" w:hAnsi="Arial" w:hint="default"/>
      </w:rPr>
    </w:lvl>
    <w:lvl w:ilvl="1" w:tplc="0C090003" w:tentative="1">
      <w:start w:val="1"/>
      <w:numFmt w:val="bullet"/>
      <w:lvlText w:val="o"/>
      <w:lvlJc w:val="left"/>
      <w:pPr>
        <w:ind w:left="2716" w:hanging="360"/>
      </w:pPr>
      <w:rPr>
        <w:rFonts w:ascii="Courier New" w:hAnsi="Courier New" w:cs="Courier New" w:hint="default"/>
      </w:rPr>
    </w:lvl>
    <w:lvl w:ilvl="2" w:tplc="0C090005" w:tentative="1">
      <w:start w:val="1"/>
      <w:numFmt w:val="bullet"/>
      <w:lvlText w:val=""/>
      <w:lvlJc w:val="left"/>
      <w:pPr>
        <w:ind w:left="3436" w:hanging="360"/>
      </w:pPr>
      <w:rPr>
        <w:rFonts w:ascii="Wingdings" w:hAnsi="Wingdings" w:hint="default"/>
      </w:rPr>
    </w:lvl>
    <w:lvl w:ilvl="3" w:tplc="0C090001" w:tentative="1">
      <w:start w:val="1"/>
      <w:numFmt w:val="bullet"/>
      <w:lvlText w:val=""/>
      <w:lvlJc w:val="left"/>
      <w:pPr>
        <w:ind w:left="4156" w:hanging="360"/>
      </w:pPr>
      <w:rPr>
        <w:rFonts w:ascii="Symbol" w:hAnsi="Symbol" w:hint="default"/>
      </w:rPr>
    </w:lvl>
    <w:lvl w:ilvl="4" w:tplc="0C090003" w:tentative="1">
      <w:start w:val="1"/>
      <w:numFmt w:val="bullet"/>
      <w:lvlText w:val="o"/>
      <w:lvlJc w:val="left"/>
      <w:pPr>
        <w:ind w:left="4876" w:hanging="360"/>
      </w:pPr>
      <w:rPr>
        <w:rFonts w:ascii="Courier New" w:hAnsi="Courier New" w:cs="Courier New" w:hint="default"/>
      </w:rPr>
    </w:lvl>
    <w:lvl w:ilvl="5" w:tplc="0C090005" w:tentative="1">
      <w:start w:val="1"/>
      <w:numFmt w:val="bullet"/>
      <w:lvlText w:val=""/>
      <w:lvlJc w:val="left"/>
      <w:pPr>
        <w:ind w:left="5596" w:hanging="360"/>
      </w:pPr>
      <w:rPr>
        <w:rFonts w:ascii="Wingdings" w:hAnsi="Wingdings" w:hint="default"/>
      </w:rPr>
    </w:lvl>
    <w:lvl w:ilvl="6" w:tplc="0C090001" w:tentative="1">
      <w:start w:val="1"/>
      <w:numFmt w:val="bullet"/>
      <w:lvlText w:val=""/>
      <w:lvlJc w:val="left"/>
      <w:pPr>
        <w:ind w:left="6316" w:hanging="360"/>
      </w:pPr>
      <w:rPr>
        <w:rFonts w:ascii="Symbol" w:hAnsi="Symbol" w:hint="default"/>
      </w:rPr>
    </w:lvl>
    <w:lvl w:ilvl="7" w:tplc="0C090003" w:tentative="1">
      <w:start w:val="1"/>
      <w:numFmt w:val="bullet"/>
      <w:lvlText w:val="o"/>
      <w:lvlJc w:val="left"/>
      <w:pPr>
        <w:ind w:left="7036" w:hanging="360"/>
      </w:pPr>
      <w:rPr>
        <w:rFonts w:ascii="Courier New" w:hAnsi="Courier New" w:cs="Courier New" w:hint="default"/>
      </w:rPr>
    </w:lvl>
    <w:lvl w:ilvl="8" w:tplc="0C090005" w:tentative="1">
      <w:start w:val="1"/>
      <w:numFmt w:val="bullet"/>
      <w:lvlText w:val=""/>
      <w:lvlJc w:val="left"/>
      <w:pPr>
        <w:ind w:left="7756" w:hanging="360"/>
      </w:pPr>
      <w:rPr>
        <w:rFonts w:ascii="Wingdings" w:hAnsi="Wingdings" w:hint="default"/>
      </w:rPr>
    </w:lvl>
  </w:abstractNum>
  <w:abstractNum w:abstractNumId="11">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12">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nsid w:val="284B0386"/>
    <w:multiLevelType w:val="hybridMultilevel"/>
    <w:tmpl w:val="F13E7018"/>
    <w:lvl w:ilvl="0" w:tplc="33940096">
      <w:start w:val="1"/>
      <w:numFmt w:val="lowerRoman"/>
      <w:lvlText w:val="Question (%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2C45044C"/>
    <w:multiLevelType w:val="hybridMultilevel"/>
    <w:tmpl w:val="2ECC9CC0"/>
    <w:lvl w:ilvl="0" w:tplc="0C74158A">
      <w:start w:val="1"/>
      <w:numFmt w:val="lowerRoman"/>
      <w:lvlText w:val="Question (%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nsid w:val="2D5A7FE1"/>
    <w:multiLevelType w:val="hybridMultilevel"/>
    <w:tmpl w:val="EA5EB7C6"/>
    <w:lvl w:ilvl="0" w:tplc="04090001">
      <w:start w:val="1"/>
      <w:numFmt w:val="bullet"/>
      <w:lvlText w:val=""/>
      <w:lvlJc w:val="left"/>
      <w:pPr>
        <w:tabs>
          <w:tab w:val="num" w:pos="2140"/>
        </w:tabs>
        <w:ind w:left="2140" w:hanging="360"/>
      </w:pPr>
      <w:rPr>
        <w:rFonts w:ascii="Symbol" w:hAnsi="Symbol" w:hint="default"/>
      </w:rPr>
    </w:lvl>
    <w:lvl w:ilvl="1" w:tplc="04090003">
      <w:start w:val="1"/>
      <w:numFmt w:val="bullet"/>
      <w:lvlText w:val="o"/>
      <w:lvlJc w:val="left"/>
      <w:pPr>
        <w:tabs>
          <w:tab w:val="num" w:pos="2860"/>
        </w:tabs>
        <w:ind w:left="2860" w:hanging="360"/>
      </w:pPr>
      <w:rPr>
        <w:rFonts w:ascii="Courier New" w:hAnsi="Courier New" w:cs="Courier New" w:hint="default"/>
      </w:rPr>
    </w:lvl>
    <w:lvl w:ilvl="2" w:tplc="04090005">
      <w:start w:val="1"/>
      <w:numFmt w:val="bullet"/>
      <w:lvlText w:val=""/>
      <w:lvlJc w:val="left"/>
      <w:pPr>
        <w:tabs>
          <w:tab w:val="num" w:pos="3580"/>
        </w:tabs>
        <w:ind w:left="3580" w:hanging="360"/>
      </w:pPr>
      <w:rPr>
        <w:rFonts w:ascii="Wingdings" w:hAnsi="Wingdings" w:hint="default"/>
      </w:rPr>
    </w:lvl>
    <w:lvl w:ilvl="3" w:tplc="04090001">
      <w:start w:val="1"/>
      <w:numFmt w:val="bullet"/>
      <w:lvlText w:val=""/>
      <w:lvlJc w:val="left"/>
      <w:pPr>
        <w:tabs>
          <w:tab w:val="num" w:pos="4300"/>
        </w:tabs>
        <w:ind w:left="4300" w:hanging="360"/>
      </w:pPr>
      <w:rPr>
        <w:rFonts w:ascii="Symbol" w:hAnsi="Symbol" w:hint="default"/>
      </w:rPr>
    </w:lvl>
    <w:lvl w:ilvl="4" w:tplc="04090003">
      <w:start w:val="1"/>
      <w:numFmt w:val="bullet"/>
      <w:lvlText w:val="o"/>
      <w:lvlJc w:val="left"/>
      <w:pPr>
        <w:tabs>
          <w:tab w:val="num" w:pos="5020"/>
        </w:tabs>
        <w:ind w:left="5020" w:hanging="360"/>
      </w:pPr>
      <w:rPr>
        <w:rFonts w:ascii="Courier New" w:hAnsi="Courier New" w:cs="Courier New" w:hint="default"/>
      </w:rPr>
    </w:lvl>
    <w:lvl w:ilvl="5" w:tplc="04090005">
      <w:start w:val="1"/>
      <w:numFmt w:val="bullet"/>
      <w:lvlText w:val=""/>
      <w:lvlJc w:val="left"/>
      <w:pPr>
        <w:tabs>
          <w:tab w:val="num" w:pos="5740"/>
        </w:tabs>
        <w:ind w:left="5740" w:hanging="360"/>
      </w:pPr>
      <w:rPr>
        <w:rFonts w:ascii="Wingdings" w:hAnsi="Wingdings" w:hint="default"/>
      </w:rPr>
    </w:lvl>
    <w:lvl w:ilvl="6" w:tplc="04090001">
      <w:start w:val="1"/>
      <w:numFmt w:val="bullet"/>
      <w:lvlText w:val=""/>
      <w:lvlJc w:val="left"/>
      <w:pPr>
        <w:tabs>
          <w:tab w:val="num" w:pos="6460"/>
        </w:tabs>
        <w:ind w:left="6460" w:hanging="360"/>
      </w:pPr>
      <w:rPr>
        <w:rFonts w:ascii="Symbol" w:hAnsi="Symbol" w:hint="default"/>
      </w:rPr>
    </w:lvl>
    <w:lvl w:ilvl="7" w:tplc="04090003">
      <w:start w:val="1"/>
      <w:numFmt w:val="bullet"/>
      <w:lvlText w:val="o"/>
      <w:lvlJc w:val="left"/>
      <w:pPr>
        <w:tabs>
          <w:tab w:val="num" w:pos="7180"/>
        </w:tabs>
        <w:ind w:left="7180" w:hanging="360"/>
      </w:pPr>
      <w:rPr>
        <w:rFonts w:ascii="Courier New" w:hAnsi="Courier New" w:cs="Courier New" w:hint="default"/>
      </w:rPr>
    </w:lvl>
    <w:lvl w:ilvl="8" w:tplc="04090005">
      <w:start w:val="1"/>
      <w:numFmt w:val="bullet"/>
      <w:lvlText w:val=""/>
      <w:lvlJc w:val="left"/>
      <w:pPr>
        <w:tabs>
          <w:tab w:val="num" w:pos="7900"/>
        </w:tabs>
        <w:ind w:left="7900" w:hanging="360"/>
      </w:pPr>
      <w:rPr>
        <w:rFonts w:ascii="Wingdings" w:hAnsi="Wingdings" w:hint="default"/>
      </w:rPr>
    </w:lvl>
  </w:abstractNum>
  <w:abstractNum w:abstractNumId="16">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7">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8">
    <w:nsid w:val="48F2425F"/>
    <w:multiLevelType w:val="hybridMultilevel"/>
    <w:tmpl w:val="CF5EED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076D7D"/>
    <w:multiLevelType w:val="multilevel"/>
    <w:tmpl w:val="86EA5790"/>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276"/>
        </w:tabs>
        <w:ind w:left="1276"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843"/>
        </w:tabs>
        <w:ind w:left="1843"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0">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1">
    <w:nsid w:val="67707DA8"/>
    <w:multiLevelType w:val="hybridMultilevel"/>
    <w:tmpl w:val="B086B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68042582"/>
    <w:multiLevelType w:val="hybridMultilevel"/>
    <w:tmpl w:val="2CA4DBC8"/>
    <w:lvl w:ilvl="0" w:tplc="64D85228">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680B3550"/>
    <w:multiLevelType w:val="multilevel"/>
    <w:tmpl w:val="C4E4DD5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6D0B1B75"/>
    <w:multiLevelType w:val="multilevel"/>
    <w:tmpl w:val="BFB06E46"/>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964"/>
        </w:tabs>
        <w:ind w:left="964" w:hanging="964"/>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lvlText w:val="%1.%2.%3.%4."/>
      <w:lvlJc w:val="left"/>
      <w:pPr>
        <w:tabs>
          <w:tab w:val="num" w:pos="1617"/>
        </w:tabs>
        <w:ind w:left="1617" w:hanging="119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A7B03DB"/>
    <w:multiLevelType w:val="hybridMultilevel"/>
    <w:tmpl w:val="50C0331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num w:numId="1">
    <w:abstractNumId w:val="12"/>
  </w:num>
  <w:num w:numId="2">
    <w:abstractNumId w:val="11"/>
  </w:num>
  <w:num w:numId="3">
    <w:abstractNumId w:val="12"/>
  </w:num>
  <w:num w:numId="4">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4"/>
  </w:num>
  <w:num w:numId="6">
    <w:abstractNumId w:val="16"/>
  </w:num>
  <w:num w:numId="7">
    <w:abstractNumId w:val="17"/>
  </w:num>
  <w:num w:numId="8">
    <w:abstractNumId w:val="19"/>
  </w:num>
  <w:num w:numId="9">
    <w:abstractNumId w:val="25"/>
  </w:num>
  <w:num w:numId="10">
    <w:abstractNumId w:val="10"/>
  </w:num>
  <w:num w:numId="11">
    <w:abstractNumId w:val="20"/>
  </w:num>
  <w:num w:numId="12">
    <w:abstractNumId w:val="23"/>
  </w:num>
  <w:num w:numId="13">
    <w:abstractNumId w:val="22"/>
  </w:num>
  <w:num w:numId="14">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5">
    <w:abstractNumId w:val="14"/>
  </w:num>
  <w:num w:numId="16">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7">
    <w:abstractNumId w:val="13"/>
  </w:num>
  <w:num w:numId="18">
    <w:abstractNumId w:val="18"/>
  </w:num>
  <w:num w:numId="19">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0">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1">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2">
    <w:abstractNumId w:val="11"/>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3">
    <w:abstractNumId w:val="11"/>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4">
    <w:abstractNumId w:val="26"/>
  </w:num>
  <w:num w:numId="25">
    <w:abstractNumId w:val="21"/>
  </w:num>
  <w:num w:numId="26">
    <w:abstractNumId w:val="9"/>
  </w:num>
  <w:num w:numId="27">
    <w:abstractNumId w:val="7"/>
  </w:num>
  <w:num w:numId="28">
    <w:abstractNumId w:val="6"/>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num>
  <w:num w:numId="31">
    <w:abstractNumId w:val="5"/>
  </w:num>
  <w:num w:numId="32">
    <w:abstractNumId w:val="4"/>
  </w:num>
  <w:num w:numId="33">
    <w:abstractNumId w:val="8"/>
  </w:num>
  <w:num w:numId="34">
    <w:abstractNumId w:val="3"/>
  </w:num>
  <w:num w:numId="35">
    <w:abstractNumId w:val="2"/>
  </w:num>
  <w:num w:numId="36">
    <w:abstractNumId w:val="1"/>
  </w:num>
  <w:num w:numId="37">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displayBackgroundShape/>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72EA"/>
    <w:rsid w:val="00002031"/>
    <w:rsid w:val="00004734"/>
    <w:rsid w:val="00006A09"/>
    <w:rsid w:val="00006B22"/>
    <w:rsid w:val="0001276A"/>
    <w:rsid w:val="00017462"/>
    <w:rsid w:val="000246AE"/>
    <w:rsid w:val="00025C67"/>
    <w:rsid w:val="000334F6"/>
    <w:rsid w:val="00040ACB"/>
    <w:rsid w:val="00042688"/>
    <w:rsid w:val="000427DA"/>
    <w:rsid w:val="0004534D"/>
    <w:rsid w:val="0005559E"/>
    <w:rsid w:val="00064785"/>
    <w:rsid w:val="0006729F"/>
    <w:rsid w:val="00075B69"/>
    <w:rsid w:val="00077775"/>
    <w:rsid w:val="00082C36"/>
    <w:rsid w:val="00090471"/>
    <w:rsid w:val="00097B5E"/>
    <w:rsid w:val="000A0D96"/>
    <w:rsid w:val="000A3AED"/>
    <w:rsid w:val="000A63AF"/>
    <w:rsid w:val="000B3532"/>
    <w:rsid w:val="000B3A75"/>
    <w:rsid w:val="000C588B"/>
    <w:rsid w:val="000C690F"/>
    <w:rsid w:val="000D1295"/>
    <w:rsid w:val="000D391B"/>
    <w:rsid w:val="000D3D6D"/>
    <w:rsid w:val="000D4FC7"/>
    <w:rsid w:val="000E1F95"/>
    <w:rsid w:val="000F02F9"/>
    <w:rsid w:val="000F06FD"/>
    <w:rsid w:val="000F4869"/>
    <w:rsid w:val="000F5B42"/>
    <w:rsid w:val="000F6E6F"/>
    <w:rsid w:val="0010193C"/>
    <w:rsid w:val="00104613"/>
    <w:rsid w:val="0010601F"/>
    <w:rsid w:val="0010788A"/>
    <w:rsid w:val="00107A31"/>
    <w:rsid w:val="00110EA5"/>
    <w:rsid w:val="00112F56"/>
    <w:rsid w:val="001204C7"/>
    <w:rsid w:val="00125318"/>
    <w:rsid w:val="001305A2"/>
    <w:rsid w:val="0013254D"/>
    <w:rsid w:val="00133238"/>
    <w:rsid w:val="0014197B"/>
    <w:rsid w:val="001447CD"/>
    <w:rsid w:val="001516B1"/>
    <w:rsid w:val="00154EBB"/>
    <w:rsid w:val="00156316"/>
    <w:rsid w:val="00165389"/>
    <w:rsid w:val="001674BD"/>
    <w:rsid w:val="0017078F"/>
    <w:rsid w:val="0017693F"/>
    <w:rsid w:val="00177958"/>
    <w:rsid w:val="0018110E"/>
    <w:rsid w:val="00181684"/>
    <w:rsid w:val="001843C6"/>
    <w:rsid w:val="001850E0"/>
    <w:rsid w:val="001A2158"/>
    <w:rsid w:val="001A525F"/>
    <w:rsid w:val="001B09F9"/>
    <w:rsid w:val="001B30AB"/>
    <w:rsid w:val="001B5D98"/>
    <w:rsid w:val="001B6448"/>
    <w:rsid w:val="001C554A"/>
    <w:rsid w:val="001C657B"/>
    <w:rsid w:val="001C663D"/>
    <w:rsid w:val="001D7689"/>
    <w:rsid w:val="001E07CF"/>
    <w:rsid w:val="001E577E"/>
    <w:rsid w:val="001E59F1"/>
    <w:rsid w:val="001F497A"/>
    <w:rsid w:val="001F49EB"/>
    <w:rsid w:val="001F6CBA"/>
    <w:rsid w:val="00201D0E"/>
    <w:rsid w:val="00201D4E"/>
    <w:rsid w:val="0020207A"/>
    <w:rsid w:val="00202EA0"/>
    <w:rsid w:val="002076C9"/>
    <w:rsid w:val="00211E31"/>
    <w:rsid w:val="00220288"/>
    <w:rsid w:val="00220B8A"/>
    <w:rsid w:val="002257F3"/>
    <w:rsid w:val="00233456"/>
    <w:rsid w:val="002339A5"/>
    <w:rsid w:val="0024542C"/>
    <w:rsid w:val="002469C2"/>
    <w:rsid w:val="00252FF8"/>
    <w:rsid w:val="00257848"/>
    <w:rsid w:val="002666AC"/>
    <w:rsid w:val="0027084A"/>
    <w:rsid w:val="00272523"/>
    <w:rsid w:val="00286434"/>
    <w:rsid w:val="00286C59"/>
    <w:rsid w:val="00292113"/>
    <w:rsid w:val="002942D1"/>
    <w:rsid w:val="0029501A"/>
    <w:rsid w:val="00295B8E"/>
    <w:rsid w:val="00296341"/>
    <w:rsid w:val="002B1638"/>
    <w:rsid w:val="002B39D3"/>
    <w:rsid w:val="002C25F1"/>
    <w:rsid w:val="002C63ED"/>
    <w:rsid w:val="002D545C"/>
    <w:rsid w:val="002D6161"/>
    <w:rsid w:val="002D7FC2"/>
    <w:rsid w:val="002E266E"/>
    <w:rsid w:val="002E4C9A"/>
    <w:rsid w:val="002E6B16"/>
    <w:rsid w:val="002F11F8"/>
    <w:rsid w:val="002F3F56"/>
    <w:rsid w:val="002F44B5"/>
    <w:rsid w:val="00311AC0"/>
    <w:rsid w:val="0032583B"/>
    <w:rsid w:val="00326EA1"/>
    <w:rsid w:val="00327883"/>
    <w:rsid w:val="00335504"/>
    <w:rsid w:val="003362D6"/>
    <w:rsid w:val="00344A05"/>
    <w:rsid w:val="00351BC0"/>
    <w:rsid w:val="003521E8"/>
    <w:rsid w:val="003727DB"/>
    <w:rsid w:val="003728F3"/>
    <w:rsid w:val="003741A8"/>
    <w:rsid w:val="0037496E"/>
    <w:rsid w:val="0037623D"/>
    <w:rsid w:val="003779EE"/>
    <w:rsid w:val="00386150"/>
    <w:rsid w:val="003874CE"/>
    <w:rsid w:val="00390900"/>
    <w:rsid w:val="00396C92"/>
    <w:rsid w:val="003A7F6C"/>
    <w:rsid w:val="003B05FB"/>
    <w:rsid w:val="003B1113"/>
    <w:rsid w:val="003B4D60"/>
    <w:rsid w:val="003B634F"/>
    <w:rsid w:val="003B7E39"/>
    <w:rsid w:val="003C0C9F"/>
    <w:rsid w:val="003C2DCF"/>
    <w:rsid w:val="003C58DC"/>
    <w:rsid w:val="003C7846"/>
    <w:rsid w:val="003D0A3B"/>
    <w:rsid w:val="003D1E62"/>
    <w:rsid w:val="003D26DB"/>
    <w:rsid w:val="003D29AF"/>
    <w:rsid w:val="003E2239"/>
    <w:rsid w:val="003E2486"/>
    <w:rsid w:val="003E3208"/>
    <w:rsid w:val="003E3B96"/>
    <w:rsid w:val="003F0B04"/>
    <w:rsid w:val="003F3AA2"/>
    <w:rsid w:val="003F4C75"/>
    <w:rsid w:val="0040134E"/>
    <w:rsid w:val="004014DA"/>
    <w:rsid w:val="00401EE2"/>
    <w:rsid w:val="00414006"/>
    <w:rsid w:val="004147E5"/>
    <w:rsid w:val="00415D59"/>
    <w:rsid w:val="00421550"/>
    <w:rsid w:val="0043797D"/>
    <w:rsid w:val="00440A2D"/>
    <w:rsid w:val="00444761"/>
    <w:rsid w:val="004564A7"/>
    <w:rsid w:val="004617BF"/>
    <w:rsid w:val="00463658"/>
    <w:rsid w:val="00467F1F"/>
    <w:rsid w:val="00472065"/>
    <w:rsid w:val="004722CC"/>
    <w:rsid w:val="00475873"/>
    <w:rsid w:val="004936E4"/>
    <w:rsid w:val="00494E60"/>
    <w:rsid w:val="00497487"/>
    <w:rsid w:val="004A3E8C"/>
    <w:rsid w:val="004A41D2"/>
    <w:rsid w:val="004A5ABB"/>
    <w:rsid w:val="004A7E13"/>
    <w:rsid w:val="004B5B9B"/>
    <w:rsid w:val="004B7B76"/>
    <w:rsid w:val="004C1877"/>
    <w:rsid w:val="004C2DCA"/>
    <w:rsid w:val="004D4CF2"/>
    <w:rsid w:val="004E435C"/>
    <w:rsid w:val="004F0F38"/>
    <w:rsid w:val="004F4AF5"/>
    <w:rsid w:val="0050030E"/>
    <w:rsid w:val="00501572"/>
    <w:rsid w:val="00501921"/>
    <w:rsid w:val="00507684"/>
    <w:rsid w:val="00511B9A"/>
    <w:rsid w:val="00521738"/>
    <w:rsid w:val="00524885"/>
    <w:rsid w:val="00530354"/>
    <w:rsid w:val="005311D1"/>
    <w:rsid w:val="00531581"/>
    <w:rsid w:val="005320D9"/>
    <w:rsid w:val="0053625B"/>
    <w:rsid w:val="005434C6"/>
    <w:rsid w:val="00543B39"/>
    <w:rsid w:val="00550096"/>
    <w:rsid w:val="00557FF9"/>
    <w:rsid w:val="00560623"/>
    <w:rsid w:val="00561745"/>
    <w:rsid w:val="00563075"/>
    <w:rsid w:val="00576378"/>
    <w:rsid w:val="00577945"/>
    <w:rsid w:val="00577E38"/>
    <w:rsid w:val="00585322"/>
    <w:rsid w:val="005857C6"/>
    <w:rsid w:val="00586F98"/>
    <w:rsid w:val="00587165"/>
    <w:rsid w:val="00592F6E"/>
    <w:rsid w:val="00593AD1"/>
    <w:rsid w:val="005A68B6"/>
    <w:rsid w:val="005B76B7"/>
    <w:rsid w:val="005C5570"/>
    <w:rsid w:val="005C6367"/>
    <w:rsid w:val="005C79A4"/>
    <w:rsid w:val="005D5442"/>
    <w:rsid w:val="005D790F"/>
    <w:rsid w:val="005E3405"/>
    <w:rsid w:val="005F7D43"/>
    <w:rsid w:val="00603F32"/>
    <w:rsid w:val="006170F0"/>
    <w:rsid w:val="00620406"/>
    <w:rsid w:val="00625762"/>
    <w:rsid w:val="00632398"/>
    <w:rsid w:val="00640FC3"/>
    <w:rsid w:val="00642020"/>
    <w:rsid w:val="00644824"/>
    <w:rsid w:val="00646206"/>
    <w:rsid w:val="0065337B"/>
    <w:rsid w:val="0065419D"/>
    <w:rsid w:val="00656419"/>
    <w:rsid w:val="006575E1"/>
    <w:rsid w:val="006604D8"/>
    <w:rsid w:val="00664A5B"/>
    <w:rsid w:val="00671171"/>
    <w:rsid w:val="006763D2"/>
    <w:rsid w:val="0067679F"/>
    <w:rsid w:val="00680C08"/>
    <w:rsid w:val="006931B1"/>
    <w:rsid w:val="006A15C0"/>
    <w:rsid w:val="006B4610"/>
    <w:rsid w:val="006B4C50"/>
    <w:rsid w:val="006B753B"/>
    <w:rsid w:val="006C130C"/>
    <w:rsid w:val="006C2888"/>
    <w:rsid w:val="006C3E2A"/>
    <w:rsid w:val="006C642F"/>
    <w:rsid w:val="006D0380"/>
    <w:rsid w:val="006D03E5"/>
    <w:rsid w:val="006D5D3E"/>
    <w:rsid w:val="006E08B3"/>
    <w:rsid w:val="006E10F1"/>
    <w:rsid w:val="006F0D50"/>
    <w:rsid w:val="006F17AC"/>
    <w:rsid w:val="006F1D37"/>
    <w:rsid w:val="006F26D0"/>
    <w:rsid w:val="006F2796"/>
    <w:rsid w:val="006F572E"/>
    <w:rsid w:val="00700D62"/>
    <w:rsid w:val="0070197D"/>
    <w:rsid w:val="007046D6"/>
    <w:rsid w:val="00705DB0"/>
    <w:rsid w:val="00710B7B"/>
    <w:rsid w:val="00722B57"/>
    <w:rsid w:val="0072757E"/>
    <w:rsid w:val="0074253D"/>
    <w:rsid w:val="0074429B"/>
    <w:rsid w:val="007476DD"/>
    <w:rsid w:val="007513B4"/>
    <w:rsid w:val="007615BC"/>
    <w:rsid w:val="00762F05"/>
    <w:rsid w:val="00763ED3"/>
    <w:rsid w:val="007652FF"/>
    <w:rsid w:val="00770EF1"/>
    <w:rsid w:val="00773EF7"/>
    <w:rsid w:val="007749EE"/>
    <w:rsid w:val="00774E1D"/>
    <w:rsid w:val="0077675A"/>
    <w:rsid w:val="007769C6"/>
    <w:rsid w:val="00780355"/>
    <w:rsid w:val="00785721"/>
    <w:rsid w:val="00791331"/>
    <w:rsid w:val="0079146B"/>
    <w:rsid w:val="00793A59"/>
    <w:rsid w:val="007A3A3C"/>
    <w:rsid w:val="007A45BF"/>
    <w:rsid w:val="007B3C19"/>
    <w:rsid w:val="007B6E9F"/>
    <w:rsid w:val="007B71A1"/>
    <w:rsid w:val="007C1216"/>
    <w:rsid w:val="007C1AF7"/>
    <w:rsid w:val="007C4C84"/>
    <w:rsid w:val="007E074A"/>
    <w:rsid w:val="007E6E27"/>
    <w:rsid w:val="007F3E00"/>
    <w:rsid w:val="007F4E8B"/>
    <w:rsid w:val="00805D27"/>
    <w:rsid w:val="00821776"/>
    <w:rsid w:val="00824D87"/>
    <w:rsid w:val="008321F5"/>
    <w:rsid w:val="00832369"/>
    <w:rsid w:val="00834660"/>
    <w:rsid w:val="00836BC2"/>
    <w:rsid w:val="008414A0"/>
    <w:rsid w:val="0084544D"/>
    <w:rsid w:val="008557DB"/>
    <w:rsid w:val="0085641B"/>
    <w:rsid w:val="00857136"/>
    <w:rsid w:val="0086274A"/>
    <w:rsid w:val="008632C3"/>
    <w:rsid w:val="00886D15"/>
    <w:rsid w:val="00886D9E"/>
    <w:rsid w:val="00887DD8"/>
    <w:rsid w:val="00892CC0"/>
    <w:rsid w:val="00896018"/>
    <w:rsid w:val="008960DD"/>
    <w:rsid w:val="0089635C"/>
    <w:rsid w:val="008A2A4A"/>
    <w:rsid w:val="008A2B9D"/>
    <w:rsid w:val="008A5E0B"/>
    <w:rsid w:val="008A6D59"/>
    <w:rsid w:val="008B4B03"/>
    <w:rsid w:val="008B52EC"/>
    <w:rsid w:val="008B596F"/>
    <w:rsid w:val="008B5A3E"/>
    <w:rsid w:val="008C159F"/>
    <w:rsid w:val="008C1623"/>
    <w:rsid w:val="008C1850"/>
    <w:rsid w:val="008C51A9"/>
    <w:rsid w:val="008D770F"/>
    <w:rsid w:val="008E28D8"/>
    <w:rsid w:val="008E364D"/>
    <w:rsid w:val="008E510B"/>
    <w:rsid w:val="008E7846"/>
    <w:rsid w:val="008E7BEA"/>
    <w:rsid w:val="008E7C09"/>
    <w:rsid w:val="008F1CCC"/>
    <w:rsid w:val="008F2967"/>
    <w:rsid w:val="008F6943"/>
    <w:rsid w:val="008F69AF"/>
    <w:rsid w:val="00902A21"/>
    <w:rsid w:val="00903F2D"/>
    <w:rsid w:val="00906445"/>
    <w:rsid w:val="00920330"/>
    <w:rsid w:val="009219D7"/>
    <w:rsid w:val="00922D53"/>
    <w:rsid w:val="00922E47"/>
    <w:rsid w:val="00923B70"/>
    <w:rsid w:val="00924482"/>
    <w:rsid w:val="0092647E"/>
    <w:rsid w:val="00930237"/>
    <w:rsid w:val="00936A9F"/>
    <w:rsid w:val="009438E8"/>
    <w:rsid w:val="0094614A"/>
    <w:rsid w:val="00946EA5"/>
    <w:rsid w:val="0095160F"/>
    <w:rsid w:val="00956CDB"/>
    <w:rsid w:val="00963C08"/>
    <w:rsid w:val="00966DA8"/>
    <w:rsid w:val="009703F4"/>
    <w:rsid w:val="0098005E"/>
    <w:rsid w:val="00981D66"/>
    <w:rsid w:val="0098585A"/>
    <w:rsid w:val="0098669D"/>
    <w:rsid w:val="00994A53"/>
    <w:rsid w:val="00994C95"/>
    <w:rsid w:val="009A4CED"/>
    <w:rsid w:val="009A4F0B"/>
    <w:rsid w:val="009A690D"/>
    <w:rsid w:val="009B1D12"/>
    <w:rsid w:val="009B416B"/>
    <w:rsid w:val="009C4BD5"/>
    <w:rsid w:val="009D7B77"/>
    <w:rsid w:val="009E0BB0"/>
    <w:rsid w:val="009E3FBB"/>
    <w:rsid w:val="009F0A80"/>
    <w:rsid w:val="00A00DB8"/>
    <w:rsid w:val="00A102E4"/>
    <w:rsid w:val="00A12C42"/>
    <w:rsid w:val="00A14DF7"/>
    <w:rsid w:val="00A235D9"/>
    <w:rsid w:val="00A30D8F"/>
    <w:rsid w:val="00A3246D"/>
    <w:rsid w:val="00A33444"/>
    <w:rsid w:val="00A36FA7"/>
    <w:rsid w:val="00A37422"/>
    <w:rsid w:val="00A40606"/>
    <w:rsid w:val="00A475B7"/>
    <w:rsid w:val="00A47AF7"/>
    <w:rsid w:val="00A47C3E"/>
    <w:rsid w:val="00A50226"/>
    <w:rsid w:val="00A60BAD"/>
    <w:rsid w:val="00A7586E"/>
    <w:rsid w:val="00A77C63"/>
    <w:rsid w:val="00A8735E"/>
    <w:rsid w:val="00A964D1"/>
    <w:rsid w:val="00AA0ED0"/>
    <w:rsid w:val="00AA3499"/>
    <w:rsid w:val="00AC2B40"/>
    <w:rsid w:val="00AC2BB2"/>
    <w:rsid w:val="00AC2C3C"/>
    <w:rsid w:val="00AC512D"/>
    <w:rsid w:val="00AC528E"/>
    <w:rsid w:val="00AD2E52"/>
    <w:rsid w:val="00AE01C2"/>
    <w:rsid w:val="00AE65EB"/>
    <w:rsid w:val="00AE67A7"/>
    <w:rsid w:val="00AE783A"/>
    <w:rsid w:val="00AF1D94"/>
    <w:rsid w:val="00AF53B5"/>
    <w:rsid w:val="00AF60C5"/>
    <w:rsid w:val="00B009C6"/>
    <w:rsid w:val="00B01548"/>
    <w:rsid w:val="00B02208"/>
    <w:rsid w:val="00B042E4"/>
    <w:rsid w:val="00B05795"/>
    <w:rsid w:val="00B06B62"/>
    <w:rsid w:val="00B07046"/>
    <w:rsid w:val="00B13761"/>
    <w:rsid w:val="00B1425E"/>
    <w:rsid w:val="00B21D29"/>
    <w:rsid w:val="00B25034"/>
    <w:rsid w:val="00B275F4"/>
    <w:rsid w:val="00B33588"/>
    <w:rsid w:val="00B33863"/>
    <w:rsid w:val="00B3567E"/>
    <w:rsid w:val="00B37D17"/>
    <w:rsid w:val="00B4175E"/>
    <w:rsid w:val="00B43480"/>
    <w:rsid w:val="00B452CE"/>
    <w:rsid w:val="00B54C25"/>
    <w:rsid w:val="00B76B91"/>
    <w:rsid w:val="00B77EB1"/>
    <w:rsid w:val="00B811C6"/>
    <w:rsid w:val="00B85A87"/>
    <w:rsid w:val="00B92E08"/>
    <w:rsid w:val="00B96EBE"/>
    <w:rsid w:val="00BA6DB2"/>
    <w:rsid w:val="00BB7571"/>
    <w:rsid w:val="00BC36A1"/>
    <w:rsid w:val="00BC622A"/>
    <w:rsid w:val="00BD45E3"/>
    <w:rsid w:val="00BD5B18"/>
    <w:rsid w:val="00BE0A78"/>
    <w:rsid w:val="00BE147E"/>
    <w:rsid w:val="00BE32A6"/>
    <w:rsid w:val="00BE6252"/>
    <w:rsid w:val="00BE79F0"/>
    <w:rsid w:val="00BF046D"/>
    <w:rsid w:val="00BF1190"/>
    <w:rsid w:val="00BF5D04"/>
    <w:rsid w:val="00C10CAB"/>
    <w:rsid w:val="00C1164D"/>
    <w:rsid w:val="00C12FBE"/>
    <w:rsid w:val="00C137CE"/>
    <w:rsid w:val="00C13DA1"/>
    <w:rsid w:val="00C147A6"/>
    <w:rsid w:val="00C16861"/>
    <w:rsid w:val="00C17832"/>
    <w:rsid w:val="00C223F3"/>
    <w:rsid w:val="00C22678"/>
    <w:rsid w:val="00C26B44"/>
    <w:rsid w:val="00C329D3"/>
    <w:rsid w:val="00C35C41"/>
    <w:rsid w:val="00C404A6"/>
    <w:rsid w:val="00C40A36"/>
    <w:rsid w:val="00C41D84"/>
    <w:rsid w:val="00C44419"/>
    <w:rsid w:val="00C45E7B"/>
    <w:rsid w:val="00C4625F"/>
    <w:rsid w:val="00C471B1"/>
    <w:rsid w:val="00C618F7"/>
    <w:rsid w:val="00C6316B"/>
    <w:rsid w:val="00C634A9"/>
    <w:rsid w:val="00C64586"/>
    <w:rsid w:val="00C70D53"/>
    <w:rsid w:val="00C72846"/>
    <w:rsid w:val="00C73D0B"/>
    <w:rsid w:val="00C772FF"/>
    <w:rsid w:val="00C801AF"/>
    <w:rsid w:val="00C80256"/>
    <w:rsid w:val="00C811C0"/>
    <w:rsid w:val="00CB6BC0"/>
    <w:rsid w:val="00CC1B7C"/>
    <w:rsid w:val="00CC4716"/>
    <w:rsid w:val="00CC5DC3"/>
    <w:rsid w:val="00CC661C"/>
    <w:rsid w:val="00CC727F"/>
    <w:rsid w:val="00CF15C3"/>
    <w:rsid w:val="00CF2B6F"/>
    <w:rsid w:val="00CF58B6"/>
    <w:rsid w:val="00D017ED"/>
    <w:rsid w:val="00D040D3"/>
    <w:rsid w:val="00D04C65"/>
    <w:rsid w:val="00D05AAC"/>
    <w:rsid w:val="00D205A3"/>
    <w:rsid w:val="00D224FE"/>
    <w:rsid w:val="00D43C7E"/>
    <w:rsid w:val="00D45FCF"/>
    <w:rsid w:val="00D53A31"/>
    <w:rsid w:val="00D6493E"/>
    <w:rsid w:val="00D64C75"/>
    <w:rsid w:val="00D70A61"/>
    <w:rsid w:val="00D7301E"/>
    <w:rsid w:val="00D736E3"/>
    <w:rsid w:val="00D83AE1"/>
    <w:rsid w:val="00D855D4"/>
    <w:rsid w:val="00D8701E"/>
    <w:rsid w:val="00D87961"/>
    <w:rsid w:val="00D93466"/>
    <w:rsid w:val="00DA1124"/>
    <w:rsid w:val="00DB75B7"/>
    <w:rsid w:val="00DC156B"/>
    <w:rsid w:val="00DC1A24"/>
    <w:rsid w:val="00DC6E02"/>
    <w:rsid w:val="00DC7EE3"/>
    <w:rsid w:val="00DD140D"/>
    <w:rsid w:val="00DD5711"/>
    <w:rsid w:val="00DE02AE"/>
    <w:rsid w:val="00DE078C"/>
    <w:rsid w:val="00DE76CE"/>
    <w:rsid w:val="00DF012F"/>
    <w:rsid w:val="00DF1D7F"/>
    <w:rsid w:val="00DF4BE4"/>
    <w:rsid w:val="00DF6330"/>
    <w:rsid w:val="00E02FB4"/>
    <w:rsid w:val="00E07F15"/>
    <w:rsid w:val="00E20571"/>
    <w:rsid w:val="00E235F7"/>
    <w:rsid w:val="00E23659"/>
    <w:rsid w:val="00E239D4"/>
    <w:rsid w:val="00E26130"/>
    <w:rsid w:val="00E2741C"/>
    <w:rsid w:val="00E40B22"/>
    <w:rsid w:val="00E45619"/>
    <w:rsid w:val="00E4588F"/>
    <w:rsid w:val="00E46DA3"/>
    <w:rsid w:val="00E51BB1"/>
    <w:rsid w:val="00E6103D"/>
    <w:rsid w:val="00E624A5"/>
    <w:rsid w:val="00E64501"/>
    <w:rsid w:val="00E64EE9"/>
    <w:rsid w:val="00E7344E"/>
    <w:rsid w:val="00E772EA"/>
    <w:rsid w:val="00E77A9E"/>
    <w:rsid w:val="00E77B22"/>
    <w:rsid w:val="00E915C4"/>
    <w:rsid w:val="00E92857"/>
    <w:rsid w:val="00E936E3"/>
    <w:rsid w:val="00E979F4"/>
    <w:rsid w:val="00EA5C59"/>
    <w:rsid w:val="00EB0542"/>
    <w:rsid w:val="00EB0798"/>
    <w:rsid w:val="00EB40AD"/>
    <w:rsid w:val="00EB586E"/>
    <w:rsid w:val="00EB5FC8"/>
    <w:rsid w:val="00EC6A68"/>
    <w:rsid w:val="00ED3CAD"/>
    <w:rsid w:val="00ED5A41"/>
    <w:rsid w:val="00EE1DE8"/>
    <w:rsid w:val="00EE56D7"/>
    <w:rsid w:val="00F033EC"/>
    <w:rsid w:val="00F03DB0"/>
    <w:rsid w:val="00F04070"/>
    <w:rsid w:val="00F04F68"/>
    <w:rsid w:val="00F12670"/>
    <w:rsid w:val="00F14B27"/>
    <w:rsid w:val="00F173E4"/>
    <w:rsid w:val="00F3033D"/>
    <w:rsid w:val="00F3148D"/>
    <w:rsid w:val="00F325C5"/>
    <w:rsid w:val="00F32FE0"/>
    <w:rsid w:val="00F35298"/>
    <w:rsid w:val="00F47333"/>
    <w:rsid w:val="00F47E37"/>
    <w:rsid w:val="00F53C07"/>
    <w:rsid w:val="00F54B65"/>
    <w:rsid w:val="00F640B6"/>
    <w:rsid w:val="00F64487"/>
    <w:rsid w:val="00F708EC"/>
    <w:rsid w:val="00F72E65"/>
    <w:rsid w:val="00F76384"/>
    <w:rsid w:val="00F80E40"/>
    <w:rsid w:val="00F848D9"/>
    <w:rsid w:val="00F85F3A"/>
    <w:rsid w:val="00F9420A"/>
    <w:rsid w:val="00FA20D9"/>
    <w:rsid w:val="00FA5B82"/>
    <w:rsid w:val="00FA5DE9"/>
    <w:rsid w:val="00FA639E"/>
    <w:rsid w:val="00FA777C"/>
    <w:rsid w:val="00FB02AB"/>
    <w:rsid w:val="00FB0A74"/>
    <w:rsid w:val="00FB11F1"/>
    <w:rsid w:val="00FB6100"/>
    <w:rsid w:val="00FC25E4"/>
    <w:rsid w:val="00FC4EF7"/>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4463A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98005E"/>
    <w:pPr>
      <w:spacing w:before="120" w:after="120" w:line="240" w:lineRule="auto"/>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4A5ABB"/>
    <w:pPr>
      <w:keepNext/>
      <w:spacing w:before="0"/>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4A5ABB"/>
    <w:pPr>
      <w:keepNext/>
      <w:spacing w:before="0"/>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pPr>
    <w:rPr>
      <w:rFonts w:ascii="Arial" w:hAnsi="Arial"/>
      <w:noProof/>
      <w:sz w:val="14"/>
      <w:lang w:eastAsia="en-AU"/>
    </w:rPr>
  </w:style>
  <w:style w:type="paragraph" w:customStyle="1" w:styleId="AxisTitle">
    <w:name w:val="Axis Title"/>
    <w:basedOn w:val="Normal"/>
    <w:rsid w:val="00F3148D"/>
    <w:pPr>
      <w:spacing w:after="0"/>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006A09"/>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006A09"/>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C25F1"/>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1204C7"/>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06A0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06A0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06A0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06A0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7C4C84"/>
    <w:pPr>
      <w:numPr>
        <w:numId w:val="6"/>
      </w:numPr>
      <w:spacing w:after="0"/>
    </w:pPr>
    <w:rPr>
      <w:rFonts w:eastAsia="Times New Roman"/>
      <w:kern w:val="24"/>
      <w:szCs w:val="24"/>
      <w:lang w:eastAsia="en-AU"/>
    </w:rPr>
  </w:style>
  <w:style w:type="paragraph" w:customStyle="1" w:styleId="Bullet2">
    <w:name w:val="Bullet 2"/>
    <w:basedOn w:val="Bullet1"/>
    <w:rsid w:val="007C4C84"/>
    <w:pPr>
      <w:numPr>
        <w:numId w:val="7"/>
      </w:numPr>
    </w:pPr>
  </w:style>
  <w:style w:type="paragraph" w:styleId="ListParagraph">
    <w:name w:val="List Paragraph"/>
    <w:basedOn w:val="Normal"/>
    <w:uiPriority w:val="34"/>
    <w:rsid w:val="00DE078C"/>
    <w:pPr>
      <w:ind w:left="720"/>
      <w:contextualSpacing/>
    </w:pPr>
  </w:style>
  <w:style w:type="character" w:customStyle="1" w:styleId="Heading8Char">
    <w:name w:val="Heading 8 Char"/>
    <w:basedOn w:val="DefaultParagraphFont"/>
    <w:link w:val="Heading8"/>
    <w:rsid w:val="004A5ABB"/>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4A5ABB"/>
    <w:rPr>
      <w:rFonts w:ascii="Arial" w:eastAsia="Times New Roman" w:hAnsi="Arial" w:cs="Arial"/>
      <w:kern w:val="16"/>
      <w:u w:val="single"/>
      <w:lang w:eastAsia="en-AU"/>
    </w:rPr>
  </w:style>
  <w:style w:type="paragraph" w:customStyle="1" w:styleId="Heading0inTOC">
    <w:name w:val="Heading 0 (in TOC)"/>
    <w:basedOn w:val="Heading1"/>
    <w:next w:val="Normal"/>
    <w:rsid w:val="004A5ABB"/>
    <w:pPr>
      <w:keepLines w:val="0"/>
      <w:numPr>
        <w:numId w:val="0"/>
      </w:numPr>
      <w:adjustRightInd/>
      <w:snapToGrid/>
      <w:spacing w:before="0" w:after="120"/>
    </w:pPr>
    <w:rPr>
      <w:rFonts w:ascii="Arial" w:hAnsi="Arial" w:cs="Times New Roman"/>
      <w:bCs w:val="0"/>
      <w:kern w:val="16"/>
      <w:sz w:val="28"/>
      <w:szCs w:val="24"/>
      <w:lang w:eastAsia="en-AU"/>
    </w:rPr>
  </w:style>
  <w:style w:type="character" w:styleId="PageNumber">
    <w:name w:val="page number"/>
    <w:rsid w:val="004A5ABB"/>
    <w:rPr>
      <w:sz w:val="20"/>
    </w:rPr>
  </w:style>
  <w:style w:type="paragraph" w:customStyle="1" w:styleId="TableBullet">
    <w:name w:val="Table Bullet"/>
    <w:basedOn w:val="Normal"/>
    <w:rsid w:val="004A5ABB"/>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 w:val="20"/>
      <w:szCs w:val="24"/>
      <w:lang w:eastAsia="en-AU"/>
    </w:rPr>
  </w:style>
  <w:style w:type="paragraph" w:styleId="TOC4">
    <w:name w:val="toc 4"/>
    <w:basedOn w:val="Normal"/>
    <w:next w:val="Normal"/>
    <w:uiPriority w:val="39"/>
    <w:rsid w:val="004A5ABB"/>
    <w:pPr>
      <w:tabs>
        <w:tab w:val="left" w:pos="1247"/>
        <w:tab w:val="right" w:leader="dot" w:pos="9356"/>
      </w:tabs>
      <w:spacing w:before="0" w:after="0"/>
      <w:ind w:left="1247" w:hanging="907"/>
    </w:pPr>
    <w:rPr>
      <w:rFonts w:eastAsia="Times New Roman"/>
      <w:kern w:val="16"/>
      <w:sz w:val="20"/>
      <w:szCs w:val="24"/>
      <w:lang w:eastAsia="en-AU"/>
    </w:rPr>
  </w:style>
  <w:style w:type="paragraph" w:styleId="TOC5">
    <w:name w:val="toc 5"/>
    <w:basedOn w:val="Normal"/>
    <w:next w:val="Normal"/>
    <w:uiPriority w:val="39"/>
    <w:rsid w:val="004A5ABB"/>
    <w:pPr>
      <w:spacing w:before="0" w:after="0"/>
      <w:ind w:left="454"/>
    </w:pPr>
    <w:rPr>
      <w:rFonts w:eastAsia="Times New Roman"/>
      <w:kern w:val="16"/>
      <w:sz w:val="20"/>
      <w:szCs w:val="24"/>
      <w:lang w:eastAsia="en-AU"/>
    </w:rPr>
  </w:style>
  <w:style w:type="paragraph" w:styleId="TOC6">
    <w:name w:val="toc 6"/>
    <w:basedOn w:val="Normal"/>
    <w:next w:val="Normal"/>
    <w:uiPriority w:val="39"/>
    <w:rsid w:val="004A5ABB"/>
    <w:pPr>
      <w:spacing w:before="0" w:after="0"/>
      <w:ind w:left="567"/>
    </w:pPr>
    <w:rPr>
      <w:rFonts w:eastAsia="Times New Roman"/>
      <w:kern w:val="16"/>
      <w:sz w:val="20"/>
      <w:szCs w:val="24"/>
      <w:lang w:eastAsia="en-AU"/>
    </w:rPr>
  </w:style>
  <w:style w:type="paragraph" w:styleId="TOC7">
    <w:name w:val="toc 7"/>
    <w:basedOn w:val="Normal"/>
    <w:next w:val="Normal"/>
    <w:uiPriority w:val="39"/>
    <w:rsid w:val="004A5ABB"/>
    <w:pPr>
      <w:spacing w:before="0" w:after="0"/>
      <w:ind w:left="680"/>
    </w:pPr>
    <w:rPr>
      <w:rFonts w:eastAsia="Times New Roman"/>
      <w:kern w:val="16"/>
      <w:sz w:val="20"/>
      <w:szCs w:val="24"/>
      <w:lang w:eastAsia="en-AU"/>
    </w:rPr>
  </w:style>
  <w:style w:type="paragraph" w:styleId="TOC8">
    <w:name w:val="toc 8"/>
    <w:basedOn w:val="Normal"/>
    <w:next w:val="Normal"/>
    <w:uiPriority w:val="39"/>
    <w:rsid w:val="004A5ABB"/>
    <w:pPr>
      <w:spacing w:before="0" w:after="0"/>
      <w:ind w:left="907"/>
    </w:pPr>
    <w:rPr>
      <w:rFonts w:eastAsia="Times New Roman"/>
      <w:kern w:val="16"/>
      <w:sz w:val="20"/>
      <w:szCs w:val="24"/>
      <w:lang w:eastAsia="en-AU"/>
    </w:rPr>
  </w:style>
  <w:style w:type="paragraph" w:styleId="TOC9">
    <w:name w:val="toc 9"/>
    <w:basedOn w:val="Normal"/>
    <w:next w:val="Normal"/>
    <w:uiPriority w:val="39"/>
    <w:rsid w:val="004A5ABB"/>
    <w:pPr>
      <w:spacing w:before="0" w:after="0"/>
      <w:ind w:left="1134"/>
    </w:pPr>
    <w:rPr>
      <w:rFonts w:eastAsia="Times New Roman"/>
      <w:kern w:val="16"/>
      <w:sz w:val="20"/>
      <w:szCs w:val="24"/>
      <w:lang w:eastAsia="en-AU"/>
    </w:rPr>
  </w:style>
  <w:style w:type="paragraph" w:styleId="EndnoteText">
    <w:name w:val="endnote text"/>
    <w:basedOn w:val="Normal"/>
    <w:link w:val="EndnoteTextChar"/>
    <w:semiHidden/>
    <w:rsid w:val="004A5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A5ABB"/>
    <w:rPr>
      <w:rFonts w:ascii="Cambria" w:eastAsia="Times New Roman" w:hAnsi="Cambria" w:cs="Times New Roman"/>
      <w:kern w:val="16"/>
      <w:sz w:val="20"/>
      <w:szCs w:val="20"/>
      <w:lang w:eastAsia="en-AU"/>
    </w:rPr>
  </w:style>
  <w:style w:type="character" w:styleId="EndnoteReference">
    <w:name w:val="endnote reference"/>
    <w:semiHidden/>
    <w:rsid w:val="004A5ABB"/>
    <w:rPr>
      <w:dstrike w:val="0"/>
      <w:vertAlign w:val="baseline"/>
    </w:rPr>
  </w:style>
  <w:style w:type="paragraph" w:styleId="FootnoteText">
    <w:name w:val="footnote text"/>
    <w:basedOn w:val="Normal"/>
    <w:link w:val="FootnoteTextChar"/>
    <w:semiHidden/>
    <w:rsid w:val="004A5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4A5ABB"/>
    <w:rPr>
      <w:rFonts w:ascii="Cambria" w:eastAsia="Times New Roman" w:hAnsi="Cambria" w:cs="Times New Roman"/>
      <w:kern w:val="16"/>
      <w:sz w:val="20"/>
      <w:szCs w:val="20"/>
      <w:lang w:eastAsia="en-AU"/>
    </w:rPr>
  </w:style>
  <w:style w:type="character" w:styleId="FootnoteReference">
    <w:name w:val="footnote reference"/>
    <w:semiHidden/>
    <w:rsid w:val="004A5ABB"/>
    <w:rPr>
      <w:vertAlign w:val="superscript"/>
    </w:rPr>
  </w:style>
  <w:style w:type="paragraph" w:customStyle="1" w:styleId="Abbreviations">
    <w:name w:val="Abbreviations"/>
    <w:basedOn w:val="Normal"/>
    <w:rsid w:val="004A5AB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Cs w:val="24"/>
      <w:lang w:eastAsia="en-AU"/>
    </w:rPr>
  </w:style>
  <w:style w:type="paragraph" w:styleId="TableofFigures">
    <w:name w:val="table of figures"/>
    <w:basedOn w:val="Normal"/>
    <w:next w:val="Normal"/>
    <w:uiPriority w:val="99"/>
    <w:rsid w:val="004A5ABB"/>
    <w:pPr>
      <w:spacing w:before="0" w:after="0"/>
      <w:ind w:left="1134" w:hanging="1134"/>
    </w:pPr>
    <w:rPr>
      <w:rFonts w:eastAsia="Times New Roman" w:cs="Calibri"/>
      <w:kern w:val="16"/>
      <w:szCs w:val="20"/>
      <w:lang w:eastAsia="en-AU"/>
    </w:rPr>
  </w:style>
  <w:style w:type="paragraph" w:customStyle="1" w:styleId="Comment2">
    <w:name w:val="Comment 2"/>
    <w:basedOn w:val="Normal"/>
    <w:qFormat/>
    <w:rsid w:val="004A5AB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ind w:left="1134"/>
    </w:pPr>
    <w:rPr>
      <w:rFonts w:ascii="Calibri" w:eastAsia="Times New Roman" w:hAnsi="Calibri" w:cs="Arial"/>
      <w:kern w:val="16"/>
      <w:lang w:eastAsia="en-AU"/>
    </w:rPr>
  </w:style>
  <w:style w:type="paragraph" w:customStyle="1" w:styleId="Comment1">
    <w:name w:val="Comment 1"/>
    <w:basedOn w:val="Normal"/>
    <w:next w:val="Comment2"/>
    <w:qFormat/>
    <w:rsid w:val="004A5AB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4A5ABB"/>
    <w:pPr>
      <w:numPr>
        <w:numId w:val="10"/>
      </w:numPr>
      <w:tabs>
        <w:tab w:val="clear" w:pos="1134"/>
      </w:tabs>
      <w:spacing w:before="120"/>
      <w:ind w:left="1418" w:hanging="284"/>
    </w:pPr>
  </w:style>
  <w:style w:type="paragraph" w:customStyle="1" w:styleId="Instructions1">
    <w:name w:val="Instructions 1"/>
    <w:basedOn w:val="Normal"/>
    <w:qFormat/>
    <w:rsid w:val="004A5AB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pPr>
    <w:rPr>
      <w:rFonts w:ascii="Calibri" w:eastAsia="Times New Roman" w:hAnsi="Calibri" w:cs="Calibri"/>
      <w:color w:val="FF0000"/>
      <w:kern w:val="16"/>
      <w:lang w:eastAsia="en-AU"/>
    </w:rPr>
  </w:style>
  <w:style w:type="paragraph" w:customStyle="1" w:styleId="Instructions2">
    <w:name w:val="Instructions 2"/>
    <w:basedOn w:val="Normal"/>
    <w:qFormat/>
    <w:rsid w:val="004A5ABB"/>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4A5ABB"/>
    <w:pPr>
      <w:tabs>
        <w:tab w:val="right" w:leader="dot" w:pos="9356"/>
      </w:tabs>
    </w:pPr>
    <w:rPr>
      <w:rFonts w:eastAsia="Times New Roman"/>
      <w:b/>
      <w:kern w:val="16"/>
      <w:sz w:val="20"/>
      <w:szCs w:val="24"/>
      <w:lang w:eastAsia="en-AU"/>
    </w:rPr>
  </w:style>
  <w:style w:type="paragraph" w:customStyle="1" w:styleId="Contentslist2">
    <w:name w:val="Contents list 2"/>
    <w:basedOn w:val="Contentslist1"/>
    <w:qFormat/>
    <w:rsid w:val="004A5ABB"/>
    <w:pPr>
      <w:spacing w:before="0" w:after="0"/>
    </w:pPr>
    <w:rPr>
      <w:b w:val="0"/>
    </w:rPr>
  </w:style>
  <w:style w:type="paragraph" w:customStyle="1" w:styleId="TableParagraph">
    <w:name w:val="Table Paragraph"/>
    <w:basedOn w:val="Normal"/>
    <w:uiPriority w:val="1"/>
    <w:qFormat/>
    <w:rsid w:val="004A5ABB"/>
    <w:pPr>
      <w:widowControl w:val="0"/>
      <w:spacing w:before="0" w:after="0"/>
    </w:pPr>
    <w:rPr>
      <w:rFonts w:ascii="Calibri" w:eastAsia="Calibri" w:hAnsi="Calibri"/>
      <w:lang w:val="en-US"/>
    </w:rPr>
  </w:style>
  <w:style w:type="paragraph" w:customStyle="1" w:styleId="Default">
    <w:name w:val="Default"/>
    <w:rsid w:val="004A5ABB"/>
    <w:pPr>
      <w:autoSpaceDE w:val="0"/>
      <w:autoSpaceDN w:val="0"/>
      <w:adjustRightInd w:val="0"/>
      <w:spacing w:after="0" w:line="240" w:lineRule="auto"/>
    </w:pPr>
    <w:rPr>
      <w:rFonts w:ascii="Symbol" w:eastAsia="Times New Roman" w:hAnsi="Symbol" w:cs="Symbol"/>
      <w:color w:val="000000"/>
      <w:sz w:val="24"/>
      <w:szCs w:val="24"/>
      <w:lang w:eastAsia="en-AU"/>
    </w:rPr>
  </w:style>
  <w:style w:type="paragraph" w:customStyle="1" w:styleId="CM49">
    <w:name w:val="CM49"/>
    <w:basedOn w:val="Default"/>
    <w:next w:val="Default"/>
    <w:uiPriority w:val="99"/>
    <w:rsid w:val="004A5ABB"/>
    <w:rPr>
      <w:rFonts w:cs="Times New Roman"/>
      <w:color w:val="auto"/>
    </w:rPr>
  </w:style>
  <w:style w:type="paragraph" w:customStyle="1" w:styleId="CM50">
    <w:name w:val="CM50"/>
    <w:basedOn w:val="Default"/>
    <w:next w:val="Default"/>
    <w:uiPriority w:val="99"/>
    <w:rsid w:val="004A5ABB"/>
    <w:rPr>
      <w:rFonts w:cs="Times New Roman"/>
      <w:color w:val="auto"/>
    </w:rPr>
  </w:style>
  <w:style w:type="character" w:customStyle="1" w:styleId="apple-converted-space">
    <w:name w:val="apple-converted-space"/>
    <w:basedOn w:val="DefaultParagraphFont"/>
    <w:rsid w:val="0084544D"/>
  </w:style>
  <w:style w:type="character" w:styleId="Emphasis">
    <w:name w:val="Emphasis"/>
    <w:basedOn w:val="DefaultParagraphFont"/>
    <w:uiPriority w:val="20"/>
    <w:qFormat/>
    <w:rsid w:val="0084544D"/>
    <w:rPr>
      <w:i/>
      <w:iCs/>
    </w:rPr>
  </w:style>
  <w:style w:type="table" w:customStyle="1" w:styleId="TableTGAblue1">
    <w:name w:val="Table TGA blue1"/>
    <w:basedOn w:val="TableNormal"/>
    <w:uiPriority w:val="99"/>
    <w:qFormat/>
    <w:rsid w:val="000334F6"/>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iPriority="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98005E"/>
    <w:pPr>
      <w:spacing w:before="120" w:after="120" w:line="240" w:lineRule="auto"/>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5"/>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5"/>
      </w:numPr>
      <w:tabs>
        <w:tab w:val="num" w:pos="1134"/>
      </w:tabs>
      <w:adjustRightInd w:val="0"/>
      <w:snapToGrid w:val="0"/>
      <w:spacing w:line="220" w:lineRule="atLeast"/>
      <w:ind w:left="1134"/>
      <w:outlineLvl w:val="3"/>
    </w:pPr>
    <w:rPr>
      <w:rFonts w:eastAsia="MS Mincho"/>
      <w:b/>
      <w:bCs/>
      <w:szCs w:val="21"/>
      <w:lang w:eastAsia="ja-JP"/>
    </w:rPr>
  </w:style>
  <w:style w:type="paragraph" w:styleId="Heading5">
    <w:name w:val="heading 5"/>
    <w:basedOn w:val="Normal"/>
    <w:next w:val="Normal"/>
    <w:link w:val="Heading5Char"/>
    <w:qFormat/>
    <w:rsid w:val="00906445"/>
    <w:pPr>
      <w:keepNext/>
      <w:keepLines/>
      <w:numPr>
        <w:ilvl w:val="3"/>
        <w:numId w:val="5"/>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qFormat/>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qFormat/>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qFormat/>
    <w:rsid w:val="004A5ABB"/>
    <w:pPr>
      <w:keepNext/>
      <w:spacing w:before="0"/>
      <w:outlineLvl w:val="7"/>
    </w:pPr>
    <w:rPr>
      <w:rFonts w:ascii="Arial" w:eastAsia="Times New Roman" w:hAnsi="Arial"/>
      <w:b/>
      <w:i/>
      <w:iCs/>
      <w:kern w:val="16"/>
      <w:szCs w:val="24"/>
      <w:lang w:eastAsia="en-AU"/>
    </w:rPr>
  </w:style>
  <w:style w:type="paragraph" w:styleId="Heading9">
    <w:name w:val="heading 9"/>
    <w:basedOn w:val="Normal"/>
    <w:next w:val="Normal"/>
    <w:link w:val="Heading9Char"/>
    <w:qFormat/>
    <w:rsid w:val="004A5ABB"/>
    <w:pPr>
      <w:keepNext/>
      <w:spacing w:before="0"/>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pPr>
    <w:rPr>
      <w:rFonts w:ascii="Arial" w:hAnsi="Arial"/>
      <w:noProof/>
      <w:sz w:val="14"/>
      <w:lang w:eastAsia="en-AU"/>
    </w:rPr>
  </w:style>
  <w:style w:type="paragraph" w:customStyle="1" w:styleId="AxisTitle">
    <w:name w:val="Axis Title"/>
    <w:basedOn w:val="Normal"/>
    <w:rsid w:val="00F3148D"/>
    <w:pPr>
      <w:spacing w:after="0"/>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006A09"/>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006A09"/>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2C25F1"/>
    <w:pPr>
      <w:keepNext/>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rsid w:val="003B4D60"/>
    <w:pPr>
      <w:tabs>
        <w:tab w:val="center" w:pos="4513"/>
        <w:tab w:val="right" w:pos="9026"/>
      </w:tabs>
      <w:spacing w:before="0" w:after="0"/>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1204C7"/>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006A09"/>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006A09"/>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006A09"/>
    <w:pPr>
      <w:framePr w:hSpace="180" w:wrap="around" w:vAnchor="page" w:hAnchor="text" w:y="3316"/>
      <w:spacing w:after="480" w:line="240" w:lineRule="auto"/>
      <w:contextualSpacing/>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006A09"/>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nhideWhenUsed/>
    <w:rsid w:val="001C657B"/>
    <w:rPr>
      <w:sz w:val="16"/>
      <w:szCs w:val="16"/>
    </w:rPr>
  </w:style>
  <w:style w:type="paragraph" w:styleId="CommentText">
    <w:name w:val="annotation text"/>
    <w:basedOn w:val="Normal"/>
    <w:link w:val="CommentTextChar"/>
    <w:unhideWhenUsed/>
    <w:rsid w:val="001C657B"/>
    <w:rPr>
      <w:sz w:val="20"/>
      <w:szCs w:val="20"/>
    </w:rPr>
  </w:style>
  <w:style w:type="character" w:customStyle="1" w:styleId="CommentTextChar">
    <w:name w:val="Comment Text Char"/>
    <w:basedOn w:val="DefaultParagraphFont"/>
    <w:link w:val="CommentText"/>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nhideWhenUsed/>
    <w:rsid w:val="001C657B"/>
    <w:rPr>
      <w:b/>
      <w:bCs/>
    </w:rPr>
  </w:style>
  <w:style w:type="character" w:customStyle="1" w:styleId="CommentSubjectChar">
    <w:name w:val="Comment Subject Char"/>
    <w:basedOn w:val="CommentTextChar"/>
    <w:link w:val="CommentSubject"/>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7C4C84"/>
    <w:pPr>
      <w:numPr>
        <w:numId w:val="6"/>
      </w:numPr>
      <w:spacing w:after="0"/>
    </w:pPr>
    <w:rPr>
      <w:rFonts w:eastAsia="Times New Roman"/>
      <w:kern w:val="24"/>
      <w:szCs w:val="24"/>
      <w:lang w:eastAsia="en-AU"/>
    </w:rPr>
  </w:style>
  <w:style w:type="paragraph" w:customStyle="1" w:styleId="Bullet2">
    <w:name w:val="Bullet 2"/>
    <w:basedOn w:val="Bullet1"/>
    <w:rsid w:val="007C4C84"/>
    <w:pPr>
      <w:numPr>
        <w:numId w:val="7"/>
      </w:numPr>
    </w:pPr>
  </w:style>
  <w:style w:type="paragraph" w:styleId="ListParagraph">
    <w:name w:val="List Paragraph"/>
    <w:basedOn w:val="Normal"/>
    <w:uiPriority w:val="34"/>
    <w:rsid w:val="00DE078C"/>
    <w:pPr>
      <w:ind w:left="720"/>
      <w:contextualSpacing/>
    </w:pPr>
  </w:style>
  <w:style w:type="character" w:customStyle="1" w:styleId="Heading8Char">
    <w:name w:val="Heading 8 Char"/>
    <w:basedOn w:val="DefaultParagraphFont"/>
    <w:link w:val="Heading8"/>
    <w:rsid w:val="004A5ABB"/>
    <w:rPr>
      <w:rFonts w:ascii="Arial" w:eastAsia="Times New Roman" w:hAnsi="Arial" w:cs="Times New Roman"/>
      <w:b/>
      <w:i/>
      <w:iCs/>
      <w:kern w:val="16"/>
      <w:szCs w:val="24"/>
      <w:lang w:eastAsia="en-AU"/>
    </w:rPr>
  </w:style>
  <w:style w:type="character" w:customStyle="1" w:styleId="Heading9Char">
    <w:name w:val="Heading 9 Char"/>
    <w:basedOn w:val="DefaultParagraphFont"/>
    <w:link w:val="Heading9"/>
    <w:rsid w:val="004A5ABB"/>
    <w:rPr>
      <w:rFonts w:ascii="Arial" w:eastAsia="Times New Roman" w:hAnsi="Arial" w:cs="Arial"/>
      <w:kern w:val="16"/>
      <w:u w:val="single"/>
      <w:lang w:eastAsia="en-AU"/>
    </w:rPr>
  </w:style>
  <w:style w:type="paragraph" w:customStyle="1" w:styleId="Heading0inTOC">
    <w:name w:val="Heading 0 (in TOC)"/>
    <w:basedOn w:val="Heading1"/>
    <w:next w:val="Normal"/>
    <w:rsid w:val="004A5ABB"/>
    <w:pPr>
      <w:keepLines w:val="0"/>
      <w:numPr>
        <w:numId w:val="0"/>
      </w:numPr>
      <w:adjustRightInd/>
      <w:snapToGrid/>
      <w:spacing w:before="0" w:after="120"/>
    </w:pPr>
    <w:rPr>
      <w:rFonts w:ascii="Arial" w:hAnsi="Arial" w:cs="Times New Roman"/>
      <w:bCs w:val="0"/>
      <w:kern w:val="16"/>
      <w:sz w:val="28"/>
      <w:szCs w:val="24"/>
      <w:lang w:eastAsia="en-AU"/>
    </w:rPr>
  </w:style>
  <w:style w:type="character" w:styleId="PageNumber">
    <w:name w:val="page number"/>
    <w:rsid w:val="004A5ABB"/>
    <w:rPr>
      <w:sz w:val="20"/>
    </w:rPr>
  </w:style>
  <w:style w:type="paragraph" w:customStyle="1" w:styleId="TableBullet">
    <w:name w:val="Table Bullet"/>
    <w:basedOn w:val="Normal"/>
    <w:rsid w:val="004A5ABB"/>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 w:val="20"/>
      <w:szCs w:val="24"/>
      <w:lang w:eastAsia="en-AU"/>
    </w:rPr>
  </w:style>
  <w:style w:type="paragraph" w:styleId="TOC4">
    <w:name w:val="toc 4"/>
    <w:basedOn w:val="Normal"/>
    <w:next w:val="Normal"/>
    <w:uiPriority w:val="39"/>
    <w:rsid w:val="004A5ABB"/>
    <w:pPr>
      <w:tabs>
        <w:tab w:val="left" w:pos="1247"/>
        <w:tab w:val="right" w:leader="dot" w:pos="9356"/>
      </w:tabs>
      <w:spacing w:before="0" w:after="0"/>
      <w:ind w:left="1247" w:hanging="907"/>
    </w:pPr>
    <w:rPr>
      <w:rFonts w:eastAsia="Times New Roman"/>
      <w:kern w:val="16"/>
      <w:sz w:val="20"/>
      <w:szCs w:val="24"/>
      <w:lang w:eastAsia="en-AU"/>
    </w:rPr>
  </w:style>
  <w:style w:type="paragraph" w:styleId="TOC5">
    <w:name w:val="toc 5"/>
    <w:basedOn w:val="Normal"/>
    <w:next w:val="Normal"/>
    <w:uiPriority w:val="39"/>
    <w:rsid w:val="004A5ABB"/>
    <w:pPr>
      <w:spacing w:before="0" w:after="0"/>
      <w:ind w:left="454"/>
    </w:pPr>
    <w:rPr>
      <w:rFonts w:eastAsia="Times New Roman"/>
      <w:kern w:val="16"/>
      <w:sz w:val="20"/>
      <w:szCs w:val="24"/>
      <w:lang w:eastAsia="en-AU"/>
    </w:rPr>
  </w:style>
  <w:style w:type="paragraph" w:styleId="TOC6">
    <w:name w:val="toc 6"/>
    <w:basedOn w:val="Normal"/>
    <w:next w:val="Normal"/>
    <w:uiPriority w:val="39"/>
    <w:rsid w:val="004A5ABB"/>
    <w:pPr>
      <w:spacing w:before="0" w:after="0"/>
      <w:ind w:left="567"/>
    </w:pPr>
    <w:rPr>
      <w:rFonts w:eastAsia="Times New Roman"/>
      <w:kern w:val="16"/>
      <w:sz w:val="20"/>
      <w:szCs w:val="24"/>
      <w:lang w:eastAsia="en-AU"/>
    </w:rPr>
  </w:style>
  <w:style w:type="paragraph" w:styleId="TOC7">
    <w:name w:val="toc 7"/>
    <w:basedOn w:val="Normal"/>
    <w:next w:val="Normal"/>
    <w:uiPriority w:val="39"/>
    <w:rsid w:val="004A5ABB"/>
    <w:pPr>
      <w:spacing w:before="0" w:after="0"/>
      <w:ind w:left="680"/>
    </w:pPr>
    <w:rPr>
      <w:rFonts w:eastAsia="Times New Roman"/>
      <w:kern w:val="16"/>
      <w:sz w:val="20"/>
      <w:szCs w:val="24"/>
      <w:lang w:eastAsia="en-AU"/>
    </w:rPr>
  </w:style>
  <w:style w:type="paragraph" w:styleId="TOC8">
    <w:name w:val="toc 8"/>
    <w:basedOn w:val="Normal"/>
    <w:next w:val="Normal"/>
    <w:uiPriority w:val="39"/>
    <w:rsid w:val="004A5ABB"/>
    <w:pPr>
      <w:spacing w:before="0" w:after="0"/>
      <w:ind w:left="907"/>
    </w:pPr>
    <w:rPr>
      <w:rFonts w:eastAsia="Times New Roman"/>
      <w:kern w:val="16"/>
      <w:sz w:val="20"/>
      <w:szCs w:val="24"/>
      <w:lang w:eastAsia="en-AU"/>
    </w:rPr>
  </w:style>
  <w:style w:type="paragraph" w:styleId="TOC9">
    <w:name w:val="toc 9"/>
    <w:basedOn w:val="Normal"/>
    <w:next w:val="Normal"/>
    <w:uiPriority w:val="39"/>
    <w:rsid w:val="004A5ABB"/>
    <w:pPr>
      <w:spacing w:before="0" w:after="0"/>
      <w:ind w:left="1134"/>
    </w:pPr>
    <w:rPr>
      <w:rFonts w:eastAsia="Times New Roman"/>
      <w:kern w:val="16"/>
      <w:sz w:val="20"/>
      <w:szCs w:val="24"/>
      <w:lang w:eastAsia="en-AU"/>
    </w:rPr>
  </w:style>
  <w:style w:type="paragraph" w:styleId="EndnoteText">
    <w:name w:val="endnote text"/>
    <w:basedOn w:val="Normal"/>
    <w:link w:val="EndnoteTextChar"/>
    <w:semiHidden/>
    <w:rsid w:val="004A5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4A5ABB"/>
    <w:rPr>
      <w:rFonts w:ascii="Cambria" w:eastAsia="Times New Roman" w:hAnsi="Cambria" w:cs="Times New Roman"/>
      <w:kern w:val="16"/>
      <w:sz w:val="20"/>
      <w:szCs w:val="20"/>
      <w:lang w:eastAsia="en-AU"/>
    </w:rPr>
  </w:style>
  <w:style w:type="character" w:styleId="EndnoteReference">
    <w:name w:val="endnote reference"/>
    <w:semiHidden/>
    <w:rsid w:val="004A5ABB"/>
    <w:rPr>
      <w:dstrike w:val="0"/>
      <w:vertAlign w:val="baseline"/>
    </w:rPr>
  </w:style>
  <w:style w:type="paragraph" w:styleId="FootnoteText">
    <w:name w:val="footnote text"/>
    <w:basedOn w:val="Normal"/>
    <w:link w:val="FootnoteTextChar"/>
    <w:semiHidden/>
    <w:rsid w:val="004A5AB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 w:val="20"/>
      <w:szCs w:val="20"/>
      <w:lang w:eastAsia="en-AU"/>
    </w:rPr>
  </w:style>
  <w:style w:type="character" w:customStyle="1" w:styleId="FootnoteTextChar">
    <w:name w:val="Footnote Text Char"/>
    <w:basedOn w:val="DefaultParagraphFont"/>
    <w:link w:val="FootnoteText"/>
    <w:semiHidden/>
    <w:rsid w:val="004A5ABB"/>
    <w:rPr>
      <w:rFonts w:ascii="Cambria" w:eastAsia="Times New Roman" w:hAnsi="Cambria" w:cs="Times New Roman"/>
      <w:kern w:val="16"/>
      <w:sz w:val="20"/>
      <w:szCs w:val="20"/>
      <w:lang w:eastAsia="en-AU"/>
    </w:rPr>
  </w:style>
  <w:style w:type="character" w:styleId="FootnoteReference">
    <w:name w:val="footnote reference"/>
    <w:semiHidden/>
    <w:rsid w:val="004A5ABB"/>
    <w:rPr>
      <w:vertAlign w:val="superscript"/>
    </w:rPr>
  </w:style>
  <w:style w:type="paragraph" w:customStyle="1" w:styleId="Abbreviations">
    <w:name w:val="Abbreviations"/>
    <w:basedOn w:val="Normal"/>
    <w:rsid w:val="004A5ABB"/>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pPr>
    <w:rPr>
      <w:rFonts w:eastAsia="Times New Roman"/>
      <w:kern w:val="16"/>
      <w:szCs w:val="24"/>
      <w:lang w:eastAsia="en-AU"/>
    </w:rPr>
  </w:style>
  <w:style w:type="paragraph" w:styleId="TableofFigures">
    <w:name w:val="table of figures"/>
    <w:basedOn w:val="Normal"/>
    <w:next w:val="Normal"/>
    <w:uiPriority w:val="99"/>
    <w:rsid w:val="004A5ABB"/>
    <w:pPr>
      <w:spacing w:before="0" w:after="0"/>
      <w:ind w:left="1134" w:hanging="1134"/>
    </w:pPr>
    <w:rPr>
      <w:rFonts w:eastAsia="Times New Roman" w:cs="Calibri"/>
      <w:kern w:val="16"/>
      <w:szCs w:val="20"/>
      <w:lang w:eastAsia="en-AU"/>
    </w:rPr>
  </w:style>
  <w:style w:type="paragraph" w:customStyle="1" w:styleId="Comment2">
    <w:name w:val="Comment 2"/>
    <w:basedOn w:val="Normal"/>
    <w:qFormat/>
    <w:rsid w:val="004A5AB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ind w:left="1134"/>
    </w:pPr>
    <w:rPr>
      <w:rFonts w:ascii="Calibri" w:eastAsia="Times New Roman" w:hAnsi="Calibri" w:cs="Arial"/>
      <w:kern w:val="16"/>
      <w:lang w:eastAsia="en-AU"/>
    </w:rPr>
  </w:style>
  <w:style w:type="paragraph" w:customStyle="1" w:styleId="Comment1">
    <w:name w:val="Comment 1"/>
    <w:basedOn w:val="Normal"/>
    <w:next w:val="Comment2"/>
    <w:qFormat/>
    <w:rsid w:val="004A5ABB"/>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4A5ABB"/>
    <w:pPr>
      <w:numPr>
        <w:numId w:val="10"/>
      </w:numPr>
      <w:tabs>
        <w:tab w:val="clear" w:pos="1134"/>
      </w:tabs>
      <w:spacing w:before="120"/>
      <w:ind w:left="1418" w:hanging="284"/>
    </w:pPr>
  </w:style>
  <w:style w:type="paragraph" w:customStyle="1" w:styleId="Instructions1">
    <w:name w:val="Instructions 1"/>
    <w:basedOn w:val="Normal"/>
    <w:qFormat/>
    <w:rsid w:val="004A5ABB"/>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pPr>
    <w:rPr>
      <w:rFonts w:ascii="Calibri" w:eastAsia="Times New Roman" w:hAnsi="Calibri" w:cs="Calibri"/>
      <w:color w:val="FF0000"/>
      <w:kern w:val="16"/>
      <w:lang w:eastAsia="en-AU"/>
    </w:rPr>
  </w:style>
  <w:style w:type="paragraph" w:customStyle="1" w:styleId="Instructions2">
    <w:name w:val="Instructions 2"/>
    <w:basedOn w:val="Normal"/>
    <w:qFormat/>
    <w:rsid w:val="004A5ABB"/>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ind w:left="170" w:hanging="170"/>
    </w:pPr>
    <w:rPr>
      <w:rFonts w:ascii="Calibri" w:eastAsia="Times New Roman" w:hAnsi="Calibri" w:cs="Calibri"/>
      <w:color w:val="FF0000"/>
      <w:kern w:val="16"/>
      <w:lang w:eastAsia="en-AU"/>
    </w:rPr>
  </w:style>
  <w:style w:type="paragraph" w:customStyle="1" w:styleId="Contentslist1">
    <w:name w:val="Contents list 1"/>
    <w:basedOn w:val="Normal"/>
    <w:qFormat/>
    <w:rsid w:val="004A5ABB"/>
    <w:pPr>
      <w:tabs>
        <w:tab w:val="right" w:leader="dot" w:pos="9356"/>
      </w:tabs>
    </w:pPr>
    <w:rPr>
      <w:rFonts w:eastAsia="Times New Roman"/>
      <w:b/>
      <w:kern w:val="16"/>
      <w:sz w:val="20"/>
      <w:szCs w:val="24"/>
      <w:lang w:eastAsia="en-AU"/>
    </w:rPr>
  </w:style>
  <w:style w:type="paragraph" w:customStyle="1" w:styleId="Contentslist2">
    <w:name w:val="Contents list 2"/>
    <w:basedOn w:val="Contentslist1"/>
    <w:qFormat/>
    <w:rsid w:val="004A5ABB"/>
    <w:pPr>
      <w:spacing w:before="0" w:after="0"/>
    </w:pPr>
    <w:rPr>
      <w:b w:val="0"/>
    </w:rPr>
  </w:style>
  <w:style w:type="paragraph" w:customStyle="1" w:styleId="TableParagraph">
    <w:name w:val="Table Paragraph"/>
    <w:basedOn w:val="Normal"/>
    <w:uiPriority w:val="1"/>
    <w:qFormat/>
    <w:rsid w:val="004A5ABB"/>
    <w:pPr>
      <w:widowControl w:val="0"/>
      <w:spacing w:before="0" w:after="0"/>
    </w:pPr>
    <w:rPr>
      <w:rFonts w:ascii="Calibri" w:eastAsia="Calibri" w:hAnsi="Calibri"/>
      <w:lang w:val="en-US"/>
    </w:rPr>
  </w:style>
  <w:style w:type="paragraph" w:customStyle="1" w:styleId="Default">
    <w:name w:val="Default"/>
    <w:rsid w:val="004A5ABB"/>
    <w:pPr>
      <w:autoSpaceDE w:val="0"/>
      <w:autoSpaceDN w:val="0"/>
      <w:adjustRightInd w:val="0"/>
      <w:spacing w:after="0" w:line="240" w:lineRule="auto"/>
    </w:pPr>
    <w:rPr>
      <w:rFonts w:ascii="Symbol" w:eastAsia="Times New Roman" w:hAnsi="Symbol" w:cs="Symbol"/>
      <w:color w:val="000000"/>
      <w:sz w:val="24"/>
      <w:szCs w:val="24"/>
      <w:lang w:eastAsia="en-AU"/>
    </w:rPr>
  </w:style>
  <w:style w:type="paragraph" w:customStyle="1" w:styleId="CM49">
    <w:name w:val="CM49"/>
    <w:basedOn w:val="Default"/>
    <w:next w:val="Default"/>
    <w:uiPriority w:val="99"/>
    <w:rsid w:val="004A5ABB"/>
    <w:rPr>
      <w:rFonts w:cs="Times New Roman"/>
      <w:color w:val="auto"/>
    </w:rPr>
  </w:style>
  <w:style w:type="paragraph" w:customStyle="1" w:styleId="CM50">
    <w:name w:val="CM50"/>
    <w:basedOn w:val="Default"/>
    <w:next w:val="Default"/>
    <w:uiPriority w:val="99"/>
    <w:rsid w:val="004A5ABB"/>
    <w:rPr>
      <w:rFonts w:cs="Times New Roman"/>
      <w:color w:val="auto"/>
    </w:rPr>
  </w:style>
  <w:style w:type="character" w:customStyle="1" w:styleId="apple-converted-space">
    <w:name w:val="apple-converted-space"/>
    <w:basedOn w:val="DefaultParagraphFont"/>
    <w:rsid w:val="0084544D"/>
  </w:style>
  <w:style w:type="character" w:styleId="Emphasis">
    <w:name w:val="Emphasis"/>
    <w:basedOn w:val="DefaultParagraphFont"/>
    <w:uiPriority w:val="20"/>
    <w:qFormat/>
    <w:rsid w:val="0084544D"/>
    <w:rPr>
      <w:i/>
      <w:iCs/>
    </w:rPr>
  </w:style>
  <w:style w:type="table" w:customStyle="1" w:styleId="TableTGAblue1">
    <w:name w:val="Table TGA blue1"/>
    <w:basedOn w:val="TableNormal"/>
    <w:uiPriority w:val="99"/>
    <w:qFormat/>
    <w:rsid w:val="000334F6"/>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361392">
      <w:bodyDiv w:val="1"/>
      <w:marLeft w:val="0"/>
      <w:marRight w:val="0"/>
      <w:marTop w:val="0"/>
      <w:marBottom w:val="0"/>
      <w:divBdr>
        <w:top w:val="none" w:sz="0" w:space="0" w:color="auto"/>
        <w:left w:val="none" w:sz="0" w:space="0" w:color="auto"/>
        <w:bottom w:val="none" w:sz="0" w:space="0" w:color="auto"/>
        <w:right w:val="none" w:sz="0" w:space="0" w:color="auto"/>
      </w:divBdr>
    </w:div>
    <w:div w:id="310331650">
      <w:bodyDiv w:val="1"/>
      <w:marLeft w:val="0"/>
      <w:marRight w:val="0"/>
      <w:marTop w:val="0"/>
      <w:marBottom w:val="0"/>
      <w:divBdr>
        <w:top w:val="none" w:sz="0" w:space="0" w:color="auto"/>
        <w:left w:val="none" w:sz="0" w:space="0" w:color="auto"/>
        <w:bottom w:val="none" w:sz="0" w:space="0" w:color="auto"/>
        <w:right w:val="none" w:sz="0" w:space="0" w:color="auto"/>
      </w:divBdr>
    </w:div>
    <w:div w:id="1567302313">
      <w:bodyDiv w:val="1"/>
      <w:marLeft w:val="0"/>
      <w:marRight w:val="0"/>
      <w:marTop w:val="0"/>
      <w:marBottom w:val="0"/>
      <w:divBdr>
        <w:top w:val="none" w:sz="0" w:space="0" w:color="auto"/>
        <w:left w:val="none" w:sz="0" w:space="0" w:color="auto"/>
        <w:bottom w:val="none" w:sz="0" w:space="0" w:color="auto"/>
        <w:right w:val="none" w:sz="0" w:space="0" w:color="auto"/>
      </w:divBdr>
    </w:div>
    <w:div w:id="2037268342">
      <w:bodyDiv w:val="1"/>
      <w:marLeft w:val="0"/>
      <w:marRight w:val="0"/>
      <w:marTop w:val="0"/>
      <w:marBottom w:val="0"/>
      <w:divBdr>
        <w:top w:val="none" w:sz="0" w:space="0" w:color="auto"/>
        <w:left w:val="none" w:sz="0" w:space="0" w:color="auto"/>
        <w:bottom w:val="none" w:sz="0" w:space="0" w:color="auto"/>
        <w:right w:val="none" w:sz="0" w:space="0" w:color="auto"/>
      </w:divBdr>
    </w:div>
    <w:div w:id="2042393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tga.gov.au/product-information-pi" TargetMode="External"/><Relationship Id="rId18" Type="http://schemas.openxmlformats.org/officeDocument/2006/relationships/image" Target="media/image3.emf"/><Relationship Id="rId26" Type="http://schemas.openxmlformats.org/officeDocument/2006/relationships/image" Target="media/image11.emf"/><Relationship Id="rId39" Type="http://schemas.openxmlformats.org/officeDocument/2006/relationships/image" Target="media/image24.png"/><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image" Target="media/image27.emf"/><Relationship Id="rId47" Type="http://schemas.openxmlformats.org/officeDocument/2006/relationships/hyperlink" Target="mailto:info@tga.gov.au" TargetMode="External"/><Relationship Id="rId50" Type="http://schemas.openxmlformats.org/officeDocument/2006/relationships/header" Target="header7.xml"/><Relationship Id="rId55"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yperlink" Target="https://www.tga.gov.au" TargetMode="External"/><Relationship Id="rId17" Type="http://schemas.openxmlformats.org/officeDocument/2006/relationships/header" Target="header2.xml"/><Relationship Id="rId25" Type="http://schemas.openxmlformats.org/officeDocument/2006/relationships/image" Target="media/image10.emf"/><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5.emf"/><Relationship Id="rId29" Type="http://schemas.openxmlformats.org/officeDocument/2006/relationships/image" Target="media/image14.emf"/><Relationship Id="rId41" Type="http://schemas.openxmlformats.org/officeDocument/2006/relationships/image" Target="media/image26.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png"/><Relationship Id="rId45" Type="http://schemas.openxmlformats.org/officeDocument/2006/relationships/header" Target="header5.xml"/><Relationship Id="rId53"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8.emf"/><Relationship Id="rId28" Type="http://schemas.openxmlformats.org/officeDocument/2006/relationships/image" Target="media/image13.emf"/><Relationship Id="rId36" Type="http://schemas.openxmlformats.org/officeDocument/2006/relationships/image" Target="media/image21.png"/><Relationship Id="rId49"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image" Target="media/image4.emf"/><Relationship Id="rId31" Type="http://schemas.openxmlformats.org/officeDocument/2006/relationships/image" Target="media/image16.emf"/><Relationship Id="rId44" Type="http://schemas.openxmlformats.org/officeDocument/2006/relationships/header" Target="header4.xml"/><Relationship Id="rId52"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tga.copyright@tga.gov.au" TargetMode="External"/><Relationship Id="rId22" Type="http://schemas.openxmlformats.org/officeDocument/2006/relationships/image" Target="media/image7.png"/><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png"/><Relationship Id="rId43" Type="http://schemas.openxmlformats.org/officeDocument/2006/relationships/header" Target="header3.xml"/><Relationship Id="rId48" Type="http://schemas.openxmlformats.org/officeDocument/2006/relationships/hyperlink" Target="https://www.tga.gov.au" TargetMode="External"/><Relationship Id="rId8" Type="http://schemas.openxmlformats.org/officeDocument/2006/relationships/settings" Target="settings.xml"/><Relationship Id="rId51" Type="http://schemas.openxmlformats.org/officeDocument/2006/relationships/footer" Target="footer3.xml"/><Relationship Id="rId3" Type="http://schemas.openxmlformats.org/officeDocument/2006/relationships/customXml" Target="../customXml/item3.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llmj\AppData\Local\Hewlett-Packard\HP%20TRIM\TEMP\HPTRIM.4520\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CFE7666F1FA943905FE33D7020EBDD" ma:contentTypeVersion="13" ma:contentTypeDescription="Create a new document." ma:contentTypeScope="" ma:versionID="a87e8b8e98790edd3ea1aed0723e2c02">
  <xsd:schema xmlns:xsd="http://www.w3.org/2001/XMLSchema" xmlns:xs="http://www.w3.org/2001/XMLSchema" xmlns:p="http://schemas.microsoft.com/office/2006/metadata/properties" xmlns:ns1="http://schemas.microsoft.com/sharepoint/v3" xmlns:ns2="24200344-64fd-4091-bb8e-0755f9d3a30a" targetNamespace="http://schemas.microsoft.com/office/2006/metadata/properties" ma:root="true" ma:fieldsID="213177dbf783a60f2a864c7931588218" ns1:_="" ns2:_="">
    <xsd:import namespace="http://schemas.microsoft.com/sharepoint/v3"/>
    <xsd:import namespace="24200344-64fd-4091-bb8e-0755f9d3a30a"/>
    <xsd:element name="properties">
      <xsd:complexType>
        <xsd:sequence>
          <xsd:element name="documentManagement">
            <xsd:complexType>
              <xsd:all>
                <xsd:element ref="ns1:_dlc_ExpireDateSaved" minOccurs="0"/>
                <xsd:element ref="ns1:_dlc_ExpireDate" minOccurs="0"/>
                <xsd:element ref="ns1:_dlc_Exempt" minOccurs="0"/>
                <xsd:element ref="ns2:TaxKeywordTaxHTField" minOccurs="0"/>
                <xsd:element ref="ns2:TaxCatchAll" minOccurs="0"/>
                <xsd:element ref="ns1:_vti_ItemDeclaredRecor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8" nillable="true" ma:displayName="Original Expiration Date" ma:hidden="true" ma:internalName="_dlc_ExpireDateSaved" ma:readOnly="true">
      <xsd:simpleType>
        <xsd:restriction base="dms:DateTime"/>
      </xsd:simpleType>
    </xsd:element>
    <xsd:element name="_dlc_ExpireDate" ma:index="9" nillable="true" ma:displayName="Expiration Date" ma:description="" ma:hidden="true" ma:indexed="true" ma:internalName="_dlc_ExpireDate" ma:readOnly="true">
      <xsd:simpleType>
        <xsd:restriction base="dms:DateTime"/>
      </xsd:simpleType>
    </xsd:element>
    <xsd:element name="_dlc_Exempt" ma:index="10" nillable="true" ma:displayName="Exempt from Policy" ma:hidden="true" ma:internalName="_dlc_Exempt" ma:readOnly="true">
      <xsd:simpleType>
        <xsd:restriction base="dms:Unknown"/>
      </xsd:simpleType>
    </xsd:element>
    <xsd:element name="_vti_ItemDeclaredRecord" ma:index="14"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24200344-64fd-4091-bb8e-0755f9d3a30a" elementFormDefault="qualified">
    <xsd:import namespace="http://schemas.microsoft.com/office/2006/documentManagement/types"/>
    <xsd:import namespace="http://schemas.microsoft.com/office/infopath/2007/PartnerControls"/>
    <xsd:element name="TaxKeywordTaxHTField" ma:index="1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axCatchAll" ma:index="13" nillable="true" ma:displayName="Taxonomy Catch All Column" ma:hidden="true" ma:list="{203e55ca-91de-42bf-a014-a239ce91ea43}" ma:internalName="TaxCatchAll" ma:showField="CatchAllData" ma:web="24200344-64fd-4091-bb8e-0755f9d3a3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24200344-64fd-4091-bb8e-0755f9d3a30a">
      <Terms xmlns="http://schemas.microsoft.com/office/infopath/2007/PartnerControls">
        <TermInfo xmlns="http://schemas.microsoft.com/office/infopath/2007/PartnerControls">
          <TermName xmlns="http://schemas.microsoft.com/office/infopath/2007/PartnerControls">AusPARs</TermName>
          <TermId xmlns="http://schemas.microsoft.com/office/infopath/2007/PartnerControls">11111111-1111-1111-1111-111111111111</TermId>
        </TermInfo>
      </Terms>
    </TaxKeywordTaxHTField>
    <TaxCatchAll xmlns="24200344-64fd-4091-bb8e-0755f9d3a30a"/>
    <_dlc_ExpireDateSaved xmlns="http://schemas.microsoft.com/sharepoint/v3" xsi:nil="true"/>
    <_dlc_ExpireDate xmlns="http://schemas.microsoft.com/sharepoint/v3">2019-06-23T21:30:06+00:00</_dlc_Expire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60CB99-BF96-467B-AA03-7C5F64577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00344-64fd-4091-bb8e-0755f9d3a3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C7D349-F5AC-48D3-B339-31B912416CB1}">
  <ds:schemaRefs>
    <ds:schemaRef ds:uri="http://purl.org/dc/dcmitype/"/>
    <ds:schemaRef ds:uri="http://purl.org/dc/terms/"/>
    <ds:schemaRef ds:uri="http://schemas.microsoft.com/sharepoint/v3"/>
    <ds:schemaRef ds:uri="http://schemas.microsoft.com/office/2006/documentManagement/types"/>
    <ds:schemaRef ds:uri="http://purl.org/dc/elements/1.1/"/>
    <ds:schemaRef ds:uri="http://www.w3.org/XML/1998/namespace"/>
    <ds:schemaRef ds:uri="24200344-64fd-4091-bb8e-0755f9d3a30a"/>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FF5AEF4-0877-44BC-A7DC-352BB9FFFC3F}">
  <ds:schemaRefs>
    <ds:schemaRef ds:uri="http://schemas.microsoft.com/sharepoint/v3/contenttype/forms"/>
  </ds:schemaRefs>
</ds:datastoreItem>
</file>

<file path=customXml/itemProps4.xml><?xml version="1.0" encoding="utf-8"?>
<ds:datastoreItem xmlns:ds="http://schemas.openxmlformats.org/officeDocument/2006/customXml" ds:itemID="{08F1BA76-DE81-4968-B1A2-DAFED4216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59</TotalTime>
  <Pages>59</Pages>
  <Words>22418</Words>
  <Characters>117700</Characters>
  <Application>Microsoft Office Word</Application>
  <DocSecurity>0</DocSecurity>
  <Lines>2354</Lines>
  <Paragraphs>1273</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tocilizumab (rch)</vt:lpstr>
    </vt:vector>
  </TitlesOfParts>
  <Company>TGA</Company>
  <LinksUpToDate>false</LinksUpToDate>
  <CharactersWithSpaces>138845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tocilizumab (rch)</dc:title>
  <dc:subject>prescription medicines</dc:subject>
  <dc:creator>Therapeutic Goods Administration</dc:creator>
  <cp:keywords>AusPARs</cp:keywords>
  <cp:lastModifiedBy>Sheppard, Fran</cp:lastModifiedBy>
  <cp:revision>36</cp:revision>
  <cp:lastPrinted>2015-09-22T23:53:00Z</cp:lastPrinted>
  <dcterms:created xsi:type="dcterms:W3CDTF">2016-09-29T00:44:00Z</dcterms:created>
  <dcterms:modified xsi:type="dcterms:W3CDTF">2016-10-13T04:35:00Z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0x010100B3CFE7666F1FA943905FE33D7020EBDD</vt:lpwstr>
  </property>
  <property fmtid="{D5CDD505-2E9C-101B-9397-08002B2CF9AE}" pid="3" name="TaxKeyword">
    <vt:lpwstr/>
  </property>
  <property fmtid="{D5CDD505-2E9C-101B-9397-08002B2CF9AE}" pid="4" name="ItemRetentionFormula">
    <vt:lpwstr>&lt;formula id="Roche.Common.Coremap.ExpirationFormula" /&gt;</vt:lpwstr>
  </property>
  <property fmtid="{D5CDD505-2E9C-101B-9397-08002B2CF9AE}" pid="5" name="_dlc_policyId">
    <vt:lpwstr>/personal/abeyh/Documents</vt:lpwstr>
  </property>
</Properties>
</file>