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29BE8" w14:textId="282F2AB7" w:rsidR="00835476" w:rsidRPr="00BE78D8" w:rsidRDefault="00835476" w:rsidP="00835476">
      <w:pPr>
        <w:spacing w:after="240" w:line="276" w:lineRule="auto"/>
        <w:jc w:val="center"/>
        <w:rPr>
          <w:b/>
          <w:szCs w:val="24"/>
        </w:rPr>
      </w:pPr>
      <w:r w:rsidRPr="00BE78D8">
        <w:rPr>
          <w:b/>
          <w:szCs w:val="24"/>
        </w:rPr>
        <w:t>PRODUCT INFORMATION</w:t>
      </w:r>
    </w:p>
    <w:p w14:paraId="65116793" w14:textId="7CE13911" w:rsidR="008E69AD" w:rsidRDefault="001522D8" w:rsidP="00870C34">
      <w:pPr>
        <w:spacing w:line="276" w:lineRule="auto"/>
        <w:jc w:val="center"/>
        <w:rPr>
          <w:b/>
          <w:szCs w:val="24"/>
        </w:rPr>
      </w:pPr>
      <w:r>
        <w:rPr>
          <w:b/>
          <w:szCs w:val="24"/>
        </w:rPr>
        <w:t>JINARC</w:t>
      </w:r>
      <w:r w:rsidR="00F24E0A">
        <w:rPr>
          <w:b/>
          <w:szCs w:val="24"/>
          <w:vertAlign w:val="superscript"/>
        </w:rPr>
        <w:t>®</w:t>
      </w:r>
      <w:r w:rsidR="00231FEE" w:rsidRPr="00BE78D8">
        <w:rPr>
          <w:b/>
          <w:szCs w:val="24"/>
        </w:rPr>
        <w:t xml:space="preserve"> </w:t>
      </w:r>
    </w:p>
    <w:p w14:paraId="4C53E2C8" w14:textId="67BF53F5" w:rsidR="00835476" w:rsidRPr="00ED15CD" w:rsidRDefault="00694DEF" w:rsidP="00F7554D">
      <w:pPr>
        <w:spacing w:line="276" w:lineRule="auto"/>
        <w:jc w:val="center"/>
        <w:rPr>
          <w:b/>
        </w:rPr>
      </w:pPr>
      <w:proofErr w:type="gramStart"/>
      <w:r>
        <w:rPr>
          <w:b/>
          <w:szCs w:val="24"/>
        </w:rPr>
        <w:t>tolvaptan</w:t>
      </w:r>
      <w:proofErr w:type="gramEnd"/>
      <w:r>
        <w:rPr>
          <w:b/>
          <w:szCs w:val="24"/>
        </w:rPr>
        <w:t xml:space="preserve"> tablets</w:t>
      </w:r>
    </w:p>
    <w:p w14:paraId="381E90E8" w14:textId="5B3C9956" w:rsidR="003A0D45" w:rsidRPr="00BE78D8" w:rsidRDefault="003A0D45" w:rsidP="00EF2644">
      <w:pPr>
        <w:spacing w:line="276" w:lineRule="auto"/>
        <w:rPr>
          <w:b/>
          <w:color w:val="auto"/>
          <w:szCs w:val="24"/>
        </w:rPr>
      </w:pPr>
      <w:r w:rsidRPr="00FA5A49">
        <w:rPr>
          <w:noProof/>
          <w:szCs w:val="24"/>
          <w:lang w:val="en-AU" w:eastAsia="en-AU"/>
        </w:rPr>
        <mc:AlternateContent>
          <mc:Choice Requires="wps">
            <w:drawing>
              <wp:anchor distT="45720" distB="45720" distL="114300" distR="114300" simplePos="0" relativeHeight="251659264" behindDoc="0" locked="0" layoutInCell="1" allowOverlap="1" wp14:anchorId="3ED36F14" wp14:editId="50592F40">
                <wp:simplePos x="0" y="0"/>
                <wp:positionH relativeFrom="margin">
                  <wp:posOffset>0</wp:posOffset>
                </wp:positionH>
                <wp:positionV relativeFrom="paragraph">
                  <wp:posOffset>245110</wp:posOffset>
                </wp:positionV>
                <wp:extent cx="5705475" cy="140462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chemeClr val="tx1"/>
                          </a:solidFill>
                          <a:miter lim="800000"/>
                          <a:headEnd/>
                          <a:tailEnd/>
                        </a:ln>
                      </wps:spPr>
                      <wps:txbx>
                        <w:txbxContent>
                          <w:p w14:paraId="42E4B690" w14:textId="5425E88C" w:rsidR="00E85675" w:rsidRDefault="00E85675" w:rsidP="003A0D45">
                            <w:r w:rsidRPr="00FA5A49">
                              <w:t>Tolvaptan has been associated with idiosyncratic elevations of blood alanine and aspartate aminotransferases (ALT and AST)</w:t>
                            </w:r>
                            <w:r>
                              <w:t>, rarely associated</w:t>
                            </w:r>
                            <w:r w:rsidRPr="00FA5A49">
                              <w:t xml:space="preserve"> with concomitant elevations in bilirubin-total (BT).</w:t>
                            </w:r>
                            <w:r>
                              <w:t xml:space="preserve"> To help mitigate the risk of liver injury, blood testing for hepatic transaminases is required prior to initiation of JINARC, then continually monthly for 18 months, then every 3 months thereafter during treatment with JINARC. (See PRECAUTIONS.)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9.3pt;width:449.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" strokecolor="black [3213]">
                <v:textbox style="mso-fit-shape-to-text:t">
                  <w:txbxContent>
                    <w:p w14:paraId="42E4B690" w14:textId="5425E88C" w:rsidR="00E85675" w:rsidRDefault="00E85675" w:rsidP="003A0D45">
                      <w:r w:rsidRPr="00FA5A49">
                        <w:t>Tolvaptan has been associated with idiosyncratic elevations of blood alanine and aspartate aminotransferases (ALT and AST)</w:t>
                      </w:r>
                      <w:r>
                        <w:t>, rarely associated</w:t>
                      </w:r>
                      <w:r w:rsidRPr="00FA5A49">
                        <w:t xml:space="preserve"> with concomitant elevations in bilirubin-total (BT).</w:t>
                      </w:r>
                      <w:r>
                        <w:t xml:space="preserve"> To help mitigate the risk of liver injury, blood testing for hepatic transaminases is required prior to initiation of JINARC, then continually monthly for 18 months, then every 3 months thereafter during treatment with JINARC. (See PRECAUTIONS.)</w:t>
                      </w:r>
                    </w:p>
                  </w:txbxContent>
                </v:textbox>
                <w10:wrap type="square" anchorx="margin"/>
              </v:shape>
            </w:pict>
          </mc:Fallback>
        </mc:AlternateContent>
      </w:r>
    </w:p>
    <w:p w14:paraId="492FE1C8" w14:textId="644EA50B" w:rsidR="00835476" w:rsidRPr="00BE78D8" w:rsidRDefault="00835476">
      <w:pPr>
        <w:rPr>
          <w:szCs w:val="24"/>
        </w:rPr>
      </w:pPr>
    </w:p>
    <w:p w14:paraId="4CF5884D" w14:textId="3708CB8C" w:rsidR="00835476" w:rsidRPr="00057091" w:rsidRDefault="00FA2988" w:rsidP="00835476">
      <w:pPr>
        <w:spacing w:after="240" w:line="276" w:lineRule="auto"/>
        <w:jc w:val="both"/>
        <w:rPr>
          <w:b/>
          <w:caps/>
          <w:szCs w:val="24"/>
        </w:rPr>
      </w:pPr>
      <w:r w:rsidRPr="00057091">
        <w:rPr>
          <w:b/>
          <w:caps/>
          <w:szCs w:val="24"/>
        </w:rPr>
        <w:t>Name of the MEDICINE</w:t>
      </w:r>
    </w:p>
    <w:p w14:paraId="027AD93A" w14:textId="77777777" w:rsidR="00835476" w:rsidRPr="00057091" w:rsidRDefault="00FA2988">
      <w:pPr>
        <w:rPr>
          <w:rFonts w:eastAsiaTheme="minorHAnsi"/>
          <w:color w:val="auto"/>
          <w:szCs w:val="24"/>
          <w:lang w:val="en-US" w:eastAsia="en-US"/>
        </w:rPr>
      </w:pPr>
      <w:r w:rsidRPr="00057091">
        <w:rPr>
          <w:rFonts w:eastAsiaTheme="minorHAnsi"/>
          <w:color w:val="auto"/>
          <w:szCs w:val="24"/>
          <w:lang w:val="en-US" w:eastAsia="en-US"/>
        </w:rPr>
        <w:t>Tolvaptan</w:t>
      </w:r>
    </w:p>
    <w:p w14:paraId="5C99E1F6" w14:textId="62A88079" w:rsidR="0020202A" w:rsidRPr="00ED15CD" w:rsidRDefault="0020202A">
      <w:pPr>
        <w:rPr>
          <w:rFonts w:eastAsiaTheme="minorHAnsi"/>
          <w:color w:val="auto"/>
          <w:u w:val="single"/>
          <w:lang w:val="en-US"/>
        </w:rPr>
      </w:pPr>
    </w:p>
    <w:p w14:paraId="167E72DC" w14:textId="621DE7F4" w:rsidR="0020202A" w:rsidRPr="00057091" w:rsidRDefault="00FA2988" w:rsidP="0020202A">
      <w:pPr>
        <w:autoSpaceDE w:val="0"/>
        <w:autoSpaceDN w:val="0"/>
        <w:adjustRightInd w:val="0"/>
        <w:rPr>
          <w:rFonts w:eastAsiaTheme="minorHAnsi"/>
          <w:color w:val="auto"/>
          <w:szCs w:val="24"/>
          <w:lang w:val="en-US" w:eastAsia="en-US"/>
        </w:rPr>
      </w:pPr>
      <w:r w:rsidRPr="00057091">
        <w:rPr>
          <w:rFonts w:eastAsiaTheme="minorHAnsi"/>
          <w:color w:val="auto"/>
          <w:szCs w:val="24"/>
          <w:lang w:val="en-US" w:eastAsia="en-US"/>
        </w:rPr>
        <w:t>Tolvaptan is a vasopressin V</w:t>
      </w:r>
      <w:r w:rsidRPr="00057091">
        <w:rPr>
          <w:rFonts w:eastAsiaTheme="minorHAnsi"/>
          <w:color w:val="auto"/>
          <w:szCs w:val="24"/>
          <w:vertAlign w:val="subscript"/>
          <w:lang w:val="en-US" w:eastAsia="en-US"/>
        </w:rPr>
        <w:t>2</w:t>
      </w:r>
      <w:r w:rsidRPr="00057091">
        <w:rPr>
          <w:rFonts w:eastAsiaTheme="minorHAnsi"/>
          <w:color w:val="auto"/>
          <w:szCs w:val="24"/>
          <w:lang w:val="en-US" w:eastAsia="en-US"/>
        </w:rPr>
        <w:t xml:space="preserve"> </w:t>
      </w:r>
      <w:r w:rsidR="004D40F5">
        <w:rPr>
          <w:rFonts w:eastAsiaTheme="minorHAnsi"/>
          <w:color w:val="auto"/>
          <w:szCs w:val="24"/>
          <w:lang w:val="en-US" w:eastAsia="en-US"/>
        </w:rPr>
        <w:t xml:space="preserve">receptor </w:t>
      </w:r>
      <w:r w:rsidRPr="00057091">
        <w:rPr>
          <w:rFonts w:eastAsiaTheme="minorHAnsi"/>
          <w:color w:val="auto"/>
          <w:szCs w:val="24"/>
          <w:lang w:val="en-US" w:eastAsia="en-US"/>
        </w:rPr>
        <w:t>antagonist.</w:t>
      </w:r>
    </w:p>
    <w:p w14:paraId="0C092942" w14:textId="77777777" w:rsidR="001C5038" w:rsidRPr="00362E44" w:rsidRDefault="001C5038" w:rsidP="0020202A">
      <w:pPr>
        <w:autoSpaceDE w:val="0"/>
        <w:autoSpaceDN w:val="0"/>
        <w:adjustRightInd w:val="0"/>
        <w:rPr>
          <w:rFonts w:eastAsiaTheme="minorHAnsi"/>
          <w:color w:val="auto"/>
          <w:szCs w:val="24"/>
          <w:highlight w:val="lightGray"/>
          <w:lang w:val="en-US" w:eastAsia="en-US"/>
        </w:rPr>
      </w:pPr>
    </w:p>
    <w:p w14:paraId="56807974" w14:textId="77777777" w:rsidR="0020202A" w:rsidRPr="00057091" w:rsidRDefault="00FA2988" w:rsidP="00694DEF">
      <w:pPr>
        <w:widowControl w:val="0"/>
        <w:autoSpaceDE w:val="0"/>
        <w:autoSpaceDN w:val="0"/>
        <w:adjustRightInd w:val="0"/>
        <w:rPr>
          <w:rFonts w:eastAsiaTheme="minorHAnsi"/>
          <w:color w:val="auto"/>
          <w:szCs w:val="24"/>
          <w:lang w:val="en-US" w:eastAsia="en-US"/>
        </w:rPr>
      </w:pPr>
      <w:r w:rsidRPr="00057091">
        <w:rPr>
          <w:rFonts w:eastAsiaTheme="minorHAnsi"/>
          <w:color w:val="auto"/>
          <w:szCs w:val="24"/>
          <w:lang w:val="en-US" w:eastAsia="en-US"/>
        </w:rPr>
        <w:t xml:space="preserve">Chemical Name: </w:t>
      </w:r>
      <w:r w:rsidR="00057091" w:rsidRPr="00283A5F">
        <w:rPr>
          <w:rFonts w:eastAsiaTheme="minorEastAsia"/>
          <w:lang w:eastAsia="ja-JP"/>
        </w:rPr>
        <w:t>(±)-4'-[(7-chloro-2</w:t>
      </w:r>
      <w:proofErr w:type="gramStart"/>
      <w:r w:rsidR="00057091" w:rsidRPr="00283A5F">
        <w:rPr>
          <w:rFonts w:eastAsiaTheme="minorEastAsia"/>
          <w:lang w:eastAsia="ja-JP"/>
        </w:rPr>
        <w:t>,3,4,5</w:t>
      </w:r>
      <w:proofErr w:type="gramEnd"/>
      <w:r w:rsidR="00057091" w:rsidRPr="00283A5F">
        <w:rPr>
          <w:rFonts w:eastAsiaTheme="minorEastAsia"/>
          <w:lang w:eastAsia="ja-JP"/>
        </w:rPr>
        <w:t>-tetrahydro-5-hydroxy-1H-1-benzazepin-1-yl) carbonyl]-o-</w:t>
      </w:r>
      <w:proofErr w:type="spellStart"/>
      <w:r w:rsidR="00057091" w:rsidRPr="00283A5F">
        <w:rPr>
          <w:rFonts w:eastAsiaTheme="minorEastAsia"/>
          <w:lang w:eastAsia="ja-JP"/>
        </w:rPr>
        <w:t>tolu</w:t>
      </w:r>
      <w:proofErr w:type="spellEnd"/>
      <w:r w:rsidR="00057091" w:rsidRPr="00283A5F">
        <w:rPr>
          <w:rFonts w:eastAsiaTheme="minorEastAsia"/>
          <w:lang w:eastAsia="ja-JP"/>
        </w:rPr>
        <w:t>-m-</w:t>
      </w:r>
      <w:proofErr w:type="spellStart"/>
      <w:r w:rsidR="00057091" w:rsidRPr="00283A5F">
        <w:rPr>
          <w:rFonts w:eastAsiaTheme="minorEastAsia"/>
          <w:lang w:eastAsia="ja-JP"/>
        </w:rPr>
        <w:t>toluidide</w:t>
      </w:r>
      <w:proofErr w:type="spellEnd"/>
    </w:p>
    <w:p w14:paraId="19C044FD" w14:textId="77777777" w:rsidR="00694DEF" w:rsidRPr="00057091" w:rsidRDefault="00694DEF" w:rsidP="0020202A">
      <w:pPr>
        <w:rPr>
          <w:szCs w:val="24"/>
        </w:rPr>
      </w:pPr>
    </w:p>
    <w:p w14:paraId="00235C54" w14:textId="77777777" w:rsidR="0020202A" w:rsidRPr="00ED15CD" w:rsidRDefault="00FA2988" w:rsidP="0020202A">
      <w:pPr>
        <w:rPr>
          <w:vertAlign w:val="subscript"/>
        </w:rPr>
      </w:pPr>
      <w:r w:rsidRPr="00057091">
        <w:rPr>
          <w:szCs w:val="24"/>
        </w:rPr>
        <w:t xml:space="preserve">The empirical formula of </w:t>
      </w:r>
      <w:r w:rsidR="00231FEE" w:rsidRPr="00057091">
        <w:rPr>
          <w:szCs w:val="24"/>
        </w:rPr>
        <w:t>tolvaptan</w:t>
      </w:r>
      <w:r w:rsidRPr="004365A7">
        <w:rPr>
          <w:szCs w:val="24"/>
        </w:rPr>
        <w:t xml:space="preserve"> is C</w:t>
      </w:r>
      <w:r w:rsidRPr="004365A7">
        <w:rPr>
          <w:szCs w:val="24"/>
          <w:vertAlign w:val="subscript"/>
        </w:rPr>
        <w:t>26</w:t>
      </w:r>
      <w:r w:rsidRPr="004365A7">
        <w:rPr>
          <w:szCs w:val="24"/>
        </w:rPr>
        <w:t>H</w:t>
      </w:r>
      <w:r w:rsidRPr="004365A7">
        <w:rPr>
          <w:szCs w:val="24"/>
          <w:vertAlign w:val="subscript"/>
        </w:rPr>
        <w:t>25</w:t>
      </w:r>
      <w:r w:rsidRPr="004365A7">
        <w:rPr>
          <w:szCs w:val="24"/>
        </w:rPr>
        <w:t>ClN</w:t>
      </w:r>
      <w:r w:rsidRPr="004365A7">
        <w:rPr>
          <w:szCs w:val="24"/>
          <w:vertAlign w:val="subscript"/>
        </w:rPr>
        <w:t>2</w:t>
      </w:r>
      <w:r w:rsidRPr="004365A7">
        <w:rPr>
          <w:szCs w:val="24"/>
        </w:rPr>
        <w:t>O</w:t>
      </w:r>
      <w:r w:rsidRPr="004365A7">
        <w:rPr>
          <w:szCs w:val="24"/>
          <w:vertAlign w:val="subscript"/>
        </w:rPr>
        <w:t>3</w:t>
      </w:r>
    </w:p>
    <w:p w14:paraId="4DE015BE" w14:textId="5C974265" w:rsidR="0051456C" w:rsidRPr="00057091" w:rsidRDefault="0051456C" w:rsidP="0020202A">
      <w:pPr>
        <w:rPr>
          <w:szCs w:val="24"/>
        </w:rPr>
      </w:pPr>
      <w:r w:rsidRPr="0051456C">
        <w:rPr>
          <w:szCs w:val="24"/>
        </w:rPr>
        <w:t xml:space="preserve">Molecular </w:t>
      </w:r>
      <w:r>
        <w:rPr>
          <w:szCs w:val="24"/>
        </w:rPr>
        <w:t>Weight: 448.94</w:t>
      </w:r>
    </w:p>
    <w:p w14:paraId="6799C1C1" w14:textId="77777777" w:rsidR="007C448B" w:rsidRPr="00057091" w:rsidRDefault="007C448B" w:rsidP="0020202A">
      <w:pPr>
        <w:rPr>
          <w:szCs w:val="24"/>
        </w:rPr>
      </w:pPr>
    </w:p>
    <w:p w14:paraId="10AAEEA5" w14:textId="77777777" w:rsidR="007C448B" w:rsidRPr="00057091" w:rsidRDefault="007C448B" w:rsidP="0020202A">
      <w:pPr>
        <w:rPr>
          <w:szCs w:val="24"/>
        </w:rPr>
      </w:pPr>
    </w:p>
    <w:p w14:paraId="0891F687" w14:textId="77777777" w:rsidR="00651E17" w:rsidRPr="00057091" w:rsidRDefault="00694DEF" w:rsidP="0020202A">
      <w:pPr>
        <w:rPr>
          <w:szCs w:val="24"/>
        </w:rPr>
      </w:pPr>
      <w:r w:rsidRPr="00057091">
        <w:rPr>
          <w:noProof/>
          <w:szCs w:val="24"/>
          <w:lang w:val="en-AU" w:eastAsia="en-AU"/>
        </w:rPr>
        <w:drawing>
          <wp:inline distT="0" distB="0" distL="0" distR="0" wp14:anchorId="20030068" wp14:editId="2E3369DA">
            <wp:extent cx="3799781" cy="140546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10" cy="1405700"/>
                    </a:xfrm>
                    <a:prstGeom prst="rect">
                      <a:avLst/>
                    </a:prstGeom>
                    <a:noFill/>
                    <a:ln>
                      <a:noFill/>
                    </a:ln>
                  </pic:spPr>
                </pic:pic>
              </a:graphicData>
            </a:graphic>
          </wp:inline>
        </w:drawing>
      </w:r>
    </w:p>
    <w:p w14:paraId="62AB5090" w14:textId="77777777" w:rsidR="003663AC" w:rsidRPr="00057091" w:rsidRDefault="003663AC" w:rsidP="0020202A">
      <w:pPr>
        <w:rPr>
          <w:szCs w:val="24"/>
        </w:rPr>
      </w:pPr>
    </w:p>
    <w:p w14:paraId="613E9501" w14:textId="77777777" w:rsidR="003663AC" w:rsidRPr="00057091" w:rsidRDefault="003663AC" w:rsidP="0020202A">
      <w:pPr>
        <w:rPr>
          <w:szCs w:val="24"/>
        </w:rPr>
      </w:pPr>
    </w:p>
    <w:p w14:paraId="38E72865" w14:textId="77777777" w:rsidR="00651E17" w:rsidRPr="00057091" w:rsidRDefault="00FA2988" w:rsidP="0020202A">
      <w:pPr>
        <w:rPr>
          <w:szCs w:val="24"/>
        </w:rPr>
      </w:pPr>
      <w:r w:rsidRPr="00057091">
        <w:rPr>
          <w:szCs w:val="24"/>
        </w:rPr>
        <w:t>CAS Registry Number for tolvaptan is 150683-30-0.</w:t>
      </w:r>
    </w:p>
    <w:p w14:paraId="17058D26" w14:textId="77777777" w:rsidR="00651E17" w:rsidRPr="00057091" w:rsidRDefault="00651E17" w:rsidP="0020202A">
      <w:pPr>
        <w:rPr>
          <w:szCs w:val="24"/>
        </w:rPr>
      </w:pPr>
    </w:p>
    <w:p w14:paraId="0F1B9516" w14:textId="77777777" w:rsidR="00651E17" w:rsidRPr="00ED15CD" w:rsidRDefault="00FA2988" w:rsidP="00651E17">
      <w:pPr>
        <w:autoSpaceDE w:val="0"/>
        <w:autoSpaceDN w:val="0"/>
        <w:adjustRightInd w:val="0"/>
        <w:rPr>
          <w:b/>
          <w:caps/>
        </w:rPr>
      </w:pPr>
      <w:r w:rsidRPr="00E85675">
        <w:rPr>
          <w:b/>
          <w:caps/>
        </w:rPr>
        <w:t>DESCRIPTION</w:t>
      </w:r>
    </w:p>
    <w:p w14:paraId="7450AED0" w14:textId="77777777" w:rsidR="00D67187" w:rsidRDefault="00D67187" w:rsidP="003E7AE3">
      <w:pPr>
        <w:pStyle w:val="NormalWeb"/>
        <w:spacing w:before="0" w:beforeAutospacing="0" w:after="0" w:afterAutospacing="0"/>
        <w:rPr>
          <w:rFonts w:ascii="Times New Roman" w:hAnsi="Times New Roman"/>
          <w:sz w:val="24"/>
          <w:szCs w:val="24"/>
        </w:rPr>
      </w:pPr>
    </w:p>
    <w:p w14:paraId="30331993" w14:textId="18D32B74" w:rsidR="002671D1" w:rsidRDefault="00FA2988" w:rsidP="003E7AE3">
      <w:pPr>
        <w:pStyle w:val="NormalWeb"/>
        <w:spacing w:before="0" w:beforeAutospacing="0" w:after="0" w:afterAutospacing="0"/>
        <w:rPr>
          <w:rFonts w:ascii="Times New Roman" w:hAnsi="Times New Roman"/>
          <w:sz w:val="24"/>
          <w:szCs w:val="24"/>
        </w:rPr>
      </w:pPr>
      <w:r w:rsidRPr="00362E44">
        <w:rPr>
          <w:rFonts w:ascii="Times New Roman" w:hAnsi="Times New Roman"/>
          <w:sz w:val="24"/>
          <w:szCs w:val="24"/>
        </w:rPr>
        <w:t>Tolvaptan is practically insoluble in water and the aqueous solubility of the drug substance is poor (~ 0.1 mg/250</w:t>
      </w:r>
      <w:r w:rsidR="00C972C2">
        <w:rPr>
          <w:rFonts w:ascii="Times New Roman" w:hAnsi="Times New Roman"/>
          <w:sz w:val="24"/>
          <w:szCs w:val="24"/>
        </w:rPr>
        <w:t xml:space="preserve"> </w:t>
      </w:r>
      <w:r w:rsidRPr="00362E44">
        <w:rPr>
          <w:rFonts w:ascii="Times New Roman" w:hAnsi="Times New Roman"/>
          <w:sz w:val="24"/>
          <w:szCs w:val="24"/>
        </w:rPr>
        <w:t xml:space="preserve">mL) across all pH ranges. It is slightly soluble in ethyl acetate, sparingly soluble in ethanol, soluble in methanol and freely soluble in benzyl alcohol. The </w:t>
      </w:r>
      <w:r w:rsidR="0049345E" w:rsidRPr="00362E44">
        <w:rPr>
          <w:rFonts w:ascii="Times New Roman" w:hAnsi="Times New Roman"/>
          <w:sz w:val="24"/>
          <w:szCs w:val="24"/>
        </w:rPr>
        <w:t>octanol: water</w:t>
      </w:r>
      <w:r w:rsidRPr="00362E44">
        <w:rPr>
          <w:rFonts w:ascii="Times New Roman" w:hAnsi="Times New Roman"/>
          <w:sz w:val="24"/>
          <w:szCs w:val="24"/>
        </w:rPr>
        <w:t xml:space="preserve"> partition coefficient was reported to be greater than 5000 at 25°C.</w:t>
      </w:r>
      <w:r w:rsidR="002671D1">
        <w:rPr>
          <w:rFonts w:ascii="Times New Roman" w:hAnsi="Times New Roman"/>
          <w:sz w:val="24"/>
          <w:szCs w:val="24"/>
        </w:rPr>
        <w:t xml:space="preserve"> </w:t>
      </w:r>
    </w:p>
    <w:p w14:paraId="0D4D94C3" w14:textId="77777777" w:rsidR="00D67187" w:rsidRDefault="00D67187" w:rsidP="00ED15CD">
      <w:pPr>
        <w:pStyle w:val="NormalWeb"/>
        <w:spacing w:before="0" w:beforeAutospacing="0" w:after="0" w:afterAutospacing="0"/>
        <w:rPr>
          <w:rFonts w:ascii="Times New Roman" w:hAnsi="Times New Roman"/>
          <w:sz w:val="24"/>
          <w:szCs w:val="24"/>
        </w:rPr>
      </w:pPr>
    </w:p>
    <w:p w14:paraId="3368F92A" w14:textId="47D7013A" w:rsidR="00E07AED" w:rsidRPr="00127734" w:rsidRDefault="001522D8" w:rsidP="00ED15CD">
      <w:pPr>
        <w:pStyle w:val="NormalWeb"/>
        <w:spacing w:before="0" w:beforeAutospacing="0" w:after="0" w:afterAutospacing="0"/>
      </w:pPr>
      <w:r>
        <w:rPr>
          <w:rFonts w:ascii="Times New Roman" w:hAnsi="Times New Roman"/>
          <w:sz w:val="24"/>
          <w:szCs w:val="24"/>
        </w:rPr>
        <w:lastRenderedPageBreak/>
        <w:t>JINARC</w:t>
      </w:r>
      <w:r w:rsidR="002671D1" w:rsidRPr="00057091">
        <w:rPr>
          <w:rFonts w:ascii="Times New Roman" w:hAnsi="Times New Roman"/>
          <w:sz w:val="24"/>
          <w:szCs w:val="24"/>
        </w:rPr>
        <w:t xml:space="preserve"> tablets for oral use contain 15 mg, 30 mg, 45 mg, 60 mg or 90 mg of tolvaptan. </w:t>
      </w:r>
      <w:r w:rsidR="00FA2988" w:rsidRPr="00057091">
        <w:rPr>
          <w:rFonts w:ascii="Times New Roman" w:hAnsi="Times New Roman"/>
          <w:sz w:val="24"/>
          <w:szCs w:val="24"/>
        </w:rPr>
        <w:t xml:space="preserve">Inactive ingredients include </w:t>
      </w:r>
      <w:r w:rsidR="00A958FF" w:rsidRPr="00057091">
        <w:rPr>
          <w:rFonts w:ascii="Times New Roman" w:eastAsiaTheme="minorEastAsia" w:hAnsi="Times New Roman" w:hint="eastAsia"/>
          <w:sz w:val="24"/>
          <w:szCs w:val="24"/>
          <w:lang w:eastAsia="ja-JP"/>
        </w:rPr>
        <w:t>maize sta</w:t>
      </w:r>
      <w:r w:rsidR="00283A5F" w:rsidRPr="00057091">
        <w:rPr>
          <w:rFonts w:ascii="Times New Roman" w:eastAsiaTheme="minorEastAsia" w:hAnsi="Times New Roman" w:hint="eastAsia"/>
          <w:sz w:val="24"/>
          <w:szCs w:val="24"/>
          <w:lang w:eastAsia="ja-JP"/>
        </w:rPr>
        <w:t>r</w:t>
      </w:r>
      <w:r w:rsidR="00A958FF" w:rsidRPr="00057091">
        <w:rPr>
          <w:rFonts w:ascii="Times New Roman" w:eastAsiaTheme="minorEastAsia" w:hAnsi="Times New Roman" w:hint="eastAsia"/>
          <w:sz w:val="24"/>
          <w:szCs w:val="24"/>
          <w:lang w:eastAsia="ja-JP"/>
        </w:rPr>
        <w:t>ch</w:t>
      </w:r>
      <w:r w:rsidR="00FA2988" w:rsidRPr="00057091">
        <w:rPr>
          <w:rFonts w:ascii="Times New Roman" w:hAnsi="Times New Roman"/>
          <w:sz w:val="24"/>
          <w:szCs w:val="24"/>
        </w:rPr>
        <w:t xml:space="preserve">, </w:t>
      </w:r>
      <w:proofErr w:type="spellStart"/>
      <w:r w:rsidR="00B053C2">
        <w:rPr>
          <w:rFonts w:ascii="Times New Roman" w:hAnsi="Times New Roman"/>
          <w:sz w:val="24"/>
          <w:szCs w:val="24"/>
        </w:rPr>
        <w:t>hyprolose</w:t>
      </w:r>
      <w:proofErr w:type="spellEnd"/>
      <w:r w:rsidR="00FA2988" w:rsidRPr="00057091">
        <w:rPr>
          <w:rFonts w:ascii="Times New Roman" w:hAnsi="Times New Roman"/>
          <w:sz w:val="24"/>
          <w:szCs w:val="24"/>
        </w:rPr>
        <w:t>, lactose</w:t>
      </w:r>
      <w:r w:rsidR="00A958FF" w:rsidRPr="00057091">
        <w:rPr>
          <w:rFonts w:ascii="Times New Roman" w:eastAsiaTheme="minorEastAsia" w:hAnsi="Times New Roman" w:hint="eastAsia"/>
          <w:sz w:val="24"/>
          <w:szCs w:val="24"/>
          <w:lang w:eastAsia="ja-JP"/>
        </w:rPr>
        <w:t xml:space="preserve"> monohydrate</w:t>
      </w:r>
      <w:r w:rsidR="00FA2988" w:rsidRPr="00057091">
        <w:rPr>
          <w:rFonts w:ascii="Times New Roman" w:hAnsi="Times New Roman"/>
          <w:sz w:val="24"/>
          <w:szCs w:val="24"/>
        </w:rPr>
        <w:t xml:space="preserve">, magnesium stearate, microcrystalline </w:t>
      </w:r>
      <w:r w:rsidR="00A958FF" w:rsidRPr="00057091">
        <w:rPr>
          <w:rFonts w:ascii="Times New Roman" w:hAnsi="Times New Roman"/>
          <w:sz w:val="24"/>
          <w:szCs w:val="24"/>
        </w:rPr>
        <w:t xml:space="preserve">cellulose </w:t>
      </w:r>
      <w:r w:rsidR="00FA2988" w:rsidRPr="00057091">
        <w:rPr>
          <w:rFonts w:ascii="Times New Roman" w:hAnsi="Times New Roman"/>
          <w:sz w:val="24"/>
          <w:szCs w:val="24"/>
        </w:rPr>
        <w:t>and indigo carmine aluminium lake as colorant.</w:t>
      </w:r>
      <w:r w:rsidR="002671D1">
        <w:rPr>
          <w:rFonts w:ascii="Times New Roman" w:hAnsi="Times New Roman"/>
          <w:sz w:val="24"/>
          <w:szCs w:val="24"/>
        </w:rPr>
        <w:t xml:space="preserve"> </w:t>
      </w:r>
    </w:p>
    <w:p w14:paraId="22ECAB2C" w14:textId="77777777" w:rsidR="00D67187" w:rsidRDefault="00D67187" w:rsidP="00E07AED">
      <w:pPr>
        <w:autoSpaceDE w:val="0"/>
        <w:autoSpaceDN w:val="0"/>
        <w:adjustRightInd w:val="0"/>
        <w:rPr>
          <w:rFonts w:eastAsiaTheme="minorHAnsi"/>
          <w:b/>
          <w:color w:val="auto"/>
          <w:szCs w:val="24"/>
          <w:lang w:val="en-US" w:eastAsia="en-US"/>
        </w:rPr>
      </w:pPr>
    </w:p>
    <w:p w14:paraId="6C6F84FB" w14:textId="77777777" w:rsidR="00D67187" w:rsidRDefault="00D67187" w:rsidP="00E07AED">
      <w:pPr>
        <w:autoSpaceDE w:val="0"/>
        <w:autoSpaceDN w:val="0"/>
        <w:adjustRightInd w:val="0"/>
        <w:rPr>
          <w:rFonts w:eastAsiaTheme="minorHAnsi"/>
          <w:b/>
          <w:color w:val="auto"/>
          <w:szCs w:val="24"/>
          <w:lang w:val="en-US" w:eastAsia="en-US"/>
        </w:rPr>
      </w:pPr>
    </w:p>
    <w:p w14:paraId="5D2B9526" w14:textId="77777777" w:rsidR="00E07AED" w:rsidRPr="00BE78D8" w:rsidRDefault="00E07AED" w:rsidP="00E07AED">
      <w:pPr>
        <w:autoSpaceDE w:val="0"/>
        <w:autoSpaceDN w:val="0"/>
        <w:adjustRightInd w:val="0"/>
        <w:rPr>
          <w:rFonts w:eastAsiaTheme="minorHAnsi"/>
          <w:b/>
          <w:color w:val="auto"/>
          <w:szCs w:val="24"/>
          <w:lang w:val="en-US" w:eastAsia="en-US"/>
        </w:rPr>
      </w:pPr>
      <w:r w:rsidRPr="00BE78D8">
        <w:rPr>
          <w:rFonts w:eastAsiaTheme="minorHAnsi"/>
          <w:b/>
          <w:color w:val="auto"/>
          <w:szCs w:val="24"/>
          <w:lang w:val="en-US" w:eastAsia="en-US"/>
        </w:rPr>
        <w:t>PHARMACOLOGY</w:t>
      </w:r>
    </w:p>
    <w:p w14:paraId="6C05CB49" w14:textId="77777777" w:rsidR="00E07AED" w:rsidRPr="00BE78D8" w:rsidRDefault="00E07AED" w:rsidP="00E07AED">
      <w:pPr>
        <w:autoSpaceDE w:val="0"/>
        <w:autoSpaceDN w:val="0"/>
        <w:adjustRightInd w:val="0"/>
        <w:rPr>
          <w:rFonts w:eastAsiaTheme="minorHAnsi"/>
          <w:b/>
          <w:color w:val="auto"/>
          <w:szCs w:val="24"/>
          <w:lang w:val="en-US" w:eastAsia="en-US"/>
        </w:rPr>
      </w:pPr>
    </w:p>
    <w:p w14:paraId="3554B2B8" w14:textId="77777777" w:rsidR="00E07AED" w:rsidRPr="00BE78D8" w:rsidRDefault="00E07AED" w:rsidP="00E07AED">
      <w:pPr>
        <w:autoSpaceDE w:val="0"/>
        <w:autoSpaceDN w:val="0"/>
        <w:adjustRightInd w:val="0"/>
        <w:rPr>
          <w:rFonts w:eastAsiaTheme="minorHAnsi"/>
          <w:b/>
          <w:color w:val="auto"/>
          <w:szCs w:val="24"/>
          <w:lang w:val="en-US" w:eastAsia="en-US"/>
        </w:rPr>
      </w:pPr>
      <w:r w:rsidRPr="00BE78D8">
        <w:rPr>
          <w:rFonts w:eastAsiaTheme="minorHAnsi"/>
          <w:b/>
          <w:color w:val="auto"/>
          <w:szCs w:val="24"/>
          <w:lang w:val="en-US" w:eastAsia="en-US"/>
        </w:rPr>
        <w:t>Pharmacodynamic Properties</w:t>
      </w:r>
    </w:p>
    <w:p w14:paraId="024C4B0F" w14:textId="77777777" w:rsidR="003C09B4" w:rsidRDefault="003C09B4" w:rsidP="00E07AED">
      <w:pPr>
        <w:autoSpaceDE w:val="0"/>
        <w:autoSpaceDN w:val="0"/>
        <w:adjustRightInd w:val="0"/>
        <w:rPr>
          <w:rFonts w:eastAsiaTheme="minorHAnsi"/>
          <w:color w:val="auto"/>
          <w:szCs w:val="24"/>
          <w:u w:val="single"/>
          <w:lang w:val="en-US" w:eastAsia="en-US"/>
        </w:rPr>
      </w:pPr>
    </w:p>
    <w:p w14:paraId="0D5918C9" w14:textId="77777777" w:rsidR="00E07AED" w:rsidRPr="00BE78D8" w:rsidRDefault="00E07AED" w:rsidP="00E07AED">
      <w:pPr>
        <w:autoSpaceDE w:val="0"/>
        <w:autoSpaceDN w:val="0"/>
        <w:adjustRightInd w:val="0"/>
        <w:rPr>
          <w:rFonts w:eastAsiaTheme="minorHAnsi"/>
          <w:color w:val="auto"/>
          <w:szCs w:val="24"/>
          <w:u w:val="single"/>
          <w:lang w:val="en-US" w:eastAsia="en-US"/>
        </w:rPr>
      </w:pPr>
      <w:r w:rsidRPr="00BE78D8">
        <w:rPr>
          <w:rFonts w:eastAsiaTheme="minorHAnsi"/>
          <w:color w:val="auto"/>
          <w:szCs w:val="24"/>
          <w:u w:val="single"/>
          <w:lang w:val="en-US" w:eastAsia="en-US"/>
        </w:rPr>
        <w:t>Mechanism of Action</w:t>
      </w:r>
    </w:p>
    <w:p w14:paraId="2E1885A0" w14:textId="77777777" w:rsidR="00E07AED" w:rsidRPr="00E83870" w:rsidRDefault="00694DEF" w:rsidP="00FE12B4">
      <w:pPr>
        <w:suppressLineNumbers/>
        <w:autoSpaceDE w:val="0"/>
        <w:autoSpaceDN w:val="0"/>
        <w:adjustRightInd w:val="0"/>
        <w:rPr>
          <w:szCs w:val="22"/>
        </w:rPr>
      </w:pPr>
      <w:r w:rsidRPr="00E83870">
        <w:rPr>
          <w:szCs w:val="22"/>
        </w:rPr>
        <w:t>Tolvaptan is a vasopressin antagonist that specifically blocks the binding of arginine vasopressin (AVP) at the V2 receptors of the distal portions of the nephron. Tolvaptan affinity for the human V2-receptor is 1.8 times that of native AVP.</w:t>
      </w:r>
    </w:p>
    <w:p w14:paraId="7DCB2436" w14:textId="77777777" w:rsidR="00367A23" w:rsidRPr="00E83870" w:rsidRDefault="00367A23" w:rsidP="00367A23">
      <w:pPr>
        <w:autoSpaceDE w:val="0"/>
        <w:autoSpaceDN w:val="0"/>
        <w:adjustRightInd w:val="0"/>
        <w:rPr>
          <w:rFonts w:eastAsiaTheme="minorHAnsi"/>
          <w:color w:val="auto"/>
          <w:szCs w:val="24"/>
          <w:lang w:val="en-US" w:eastAsia="en-US"/>
        </w:rPr>
      </w:pPr>
    </w:p>
    <w:p w14:paraId="75392AB1" w14:textId="77777777" w:rsidR="00367A23" w:rsidRPr="00E83870" w:rsidRDefault="00FA2988" w:rsidP="00367A23">
      <w:pPr>
        <w:autoSpaceDE w:val="0"/>
        <w:autoSpaceDN w:val="0"/>
        <w:adjustRightInd w:val="0"/>
        <w:rPr>
          <w:rFonts w:eastAsiaTheme="minorHAnsi"/>
          <w:color w:val="auto"/>
          <w:szCs w:val="24"/>
          <w:u w:val="single"/>
          <w:lang w:val="en-US" w:eastAsia="en-US"/>
        </w:rPr>
      </w:pPr>
      <w:r w:rsidRPr="00362E44">
        <w:rPr>
          <w:rFonts w:eastAsiaTheme="minorHAnsi"/>
          <w:color w:val="auto"/>
          <w:szCs w:val="24"/>
          <w:u w:val="single"/>
          <w:lang w:val="en-US" w:eastAsia="en-US"/>
        </w:rPr>
        <w:t>Pharmacodynamic effects</w:t>
      </w:r>
    </w:p>
    <w:p w14:paraId="2D27CAE7" w14:textId="223C7663" w:rsidR="00FE12B4" w:rsidRDefault="00FA2988" w:rsidP="00FE12B4">
      <w:pPr>
        <w:suppressLineNumbers/>
        <w:autoSpaceDE w:val="0"/>
        <w:autoSpaceDN w:val="0"/>
        <w:adjustRightInd w:val="0"/>
        <w:rPr>
          <w:szCs w:val="22"/>
        </w:rPr>
      </w:pPr>
      <w:r w:rsidRPr="00362E44">
        <w:rPr>
          <w:szCs w:val="22"/>
        </w:rPr>
        <w:t xml:space="preserve">The pharmacodynamic effects of tolvaptan have been determined in healthy subjects and subjects with </w:t>
      </w:r>
      <w:r w:rsidR="00FF03CB" w:rsidRPr="000971B3">
        <w:rPr>
          <w:noProof/>
          <w:szCs w:val="22"/>
        </w:rPr>
        <w:t xml:space="preserve">autosomal dominant polycystic kidney disease </w:t>
      </w:r>
      <w:r w:rsidR="00FF03CB">
        <w:rPr>
          <w:noProof/>
          <w:szCs w:val="22"/>
        </w:rPr>
        <w:t>(</w:t>
      </w:r>
      <w:r w:rsidRPr="00362E44">
        <w:rPr>
          <w:szCs w:val="22"/>
        </w:rPr>
        <w:t>ADPKD</w:t>
      </w:r>
      <w:r w:rsidR="00FF03CB">
        <w:rPr>
          <w:szCs w:val="22"/>
        </w:rPr>
        <w:t>)</w:t>
      </w:r>
      <w:r w:rsidRPr="00362E44">
        <w:rPr>
          <w:szCs w:val="22"/>
        </w:rPr>
        <w:t xml:space="preserve"> across </w:t>
      </w:r>
      <w:r w:rsidR="00FF03CB">
        <w:rPr>
          <w:szCs w:val="22"/>
        </w:rPr>
        <w:t>chronic kidney disease (</w:t>
      </w:r>
      <w:r w:rsidRPr="00362E44">
        <w:rPr>
          <w:szCs w:val="22"/>
        </w:rPr>
        <w:t>CKD</w:t>
      </w:r>
      <w:r w:rsidR="00FF03CB">
        <w:rPr>
          <w:szCs w:val="22"/>
        </w:rPr>
        <w:t>)</w:t>
      </w:r>
      <w:r w:rsidRPr="00362E44">
        <w:rPr>
          <w:szCs w:val="22"/>
        </w:rPr>
        <w:t xml:space="preserve"> stages 1 to 4.  Effects on free water clearance and urine volume are evident across all CKD stages with smaller absolute effects observed at later stages, consistent with the declining number of fully functioning nephrons.  Acute reductions in mean total kidney volume were also observed following 3 weeks of therapy in all CKD stages, ranging from -4.6% for CKD stage 1 to -1.9% for CKD stage 4.</w:t>
      </w:r>
    </w:p>
    <w:p w14:paraId="12318973" w14:textId="77777777" w:rsidR="001C12B3" w:rsidRPr="00ED15CD" w:rsidRDefault="001C12B3" w:rsidP="00ED15CD">
      <w:pPr>
        <w:suppressLineNumbers/>
        <w:autoSpaceDE w:val="0"/>
        <w:autoSpaceDN w:val="0"/>
        <w:adjustRightInd w:val="0"/>
      </w:pPr>
    </w:p>
    <w:p w14:paraId="45A45B03" w14:textId="35A9E949" w:rsidR="001C12B3" w:rsidRPr="001C12B3" w:rsidRDefault="001C12B3" w:rsidP="001C12B3">
      <w:pPr>
        <w:suppressLineNumbers/>
        <w:autoSpaceDE w:val="0"/>
        <w:autoSpaceDN w:val="0"/>
        <w:adjustRightInd w:val="0"/>
        <w:rPr>
          <w:szCs w:val="22"/>
        </w:rPr>
      </w:pPr>
      <w:r w:rsidRPr="001C12B3">
        <w:rPr>
          <w:szCs w:val="22"/>
        </w:rPr>
        <w:t xml:space="preserve">With the recommended split-dose regimens in patients with autosomal dominant polycystic kidney disease (ADPKD), tolvaptan inhibits vasopressin from binding to the V2-receptor in the kidney for the entire day, as indicated by increased urine output and decreased urine osmolality to below 300 </w:t>
      </w:r>
      <w:proofErr w:type="spellStart"/>
      <w:r w:rsidRPr="001C12B3">
        <w:rPr>
          <w:szCs w:val="22"/>
        </w:rPr>
        <w:t>mOsm</w:t>
      </w:r>
      <w:proofErr w:type="spellEnd"/>
      <w:r w:rsidRPr="001C12B3">
        <w:rPr>
          <w:szCs w:val="22"/>
        </w:rPr>
        <w:t xml:space="preserve">/kg. Higher doses, e.g., 90+30 mg/day, reduced urine osmolality to below 300 </w:t>
      </w:r>
      <w:proofErr w:type="spellStart"/>
      <w:r w:rsidRPr="001C12B3">
        <w:rPr>
          <w:szCs w:val="22"/>
        </w:rPr>
        <w:t>mOsm</w:t>
      </w:r>
      <w:proofErr w:type="spellEnd"/>
      <w:r w:rsidRPr="001C12B3">
        <w:rPr>
          <w:szCs w:val="22"/>
        </w:rPr>
        <w:t>/kg in a greater proportion of patients than the lower doses.</w:t>
      </w:r>
    </w:p>
    <w:p w14:paraId="3E93022B" w14:textId="77777777" w:rsidR="001C12B3" w:rsidRDefault="001C12B3" w:rsidP="001C12B3">
      <w:pPr>
        <w:suppressLineNumbers/>
        <w:autoSpaceDE w:val="0"/>
        <w:autoSpaceDN w:val="0"/>
        <w:adjustRightInd w:val="0"/>
        <w:rPr>
          <w:szCs w:val="22"/>
        </w:rPr>
      </w:pPr>
    </w:p>
    <w:p w14:paraId="4D44648C" w14:textId="5267543C" w:rsidR="001C12B3" w:rsidRPr="001C12B3" w:rsidRDefault="001C12B3" w:rsidP="001C12B3">
      <w:pPr>
        <w:suppressLineNumbers/>
        <w:autoSpaceDE w:val="0"/>
        <w:autoSpaceDN w:val="0"/>
        <w:adjustRightInd w:val="0"/>
        <w:rPr>
          <w:szCs w:val="22"/>
        </w:rPr>
      </w:pPr>
      <w:r w:rsidRPr="001C12B3">
        <w:rPr>
          <w:szCs w:val="22"/>
        </w:rPr>
        <w:t>In healthy subjects or patients with CKD Stage 1 to 4 receiving a single dose of tolvaptan, the onset of the aquaretic effects occurs within 1 to 2 hours post-dose</w:t>
      </w:r>
      <w:r w:rsidR="00784409">
        <w:rPr>
          <w:szCs w:val="22"/>
        </w:rPr>
        <w:t xml:space="preserve"> and peaks </w:t>
      </w:r>
      <w:r w:rsidRPr="001C12B3">
        <w:rPr>
          <w:szCs w:val="22"/>
        </w:rPr>
        <w:t>between 4 and 8 hours post-dose. Higher doses of tolvaptan do not increase the peak effect in urine excretion rate but sustain the effect for a longer period of time. The offset of tolvaptan action is rapid with urine excretion rate returning to baseline within 24 hours following a 90 mg dose.</w:t>
      </w:r>
    </w:p>
    <w:p w14:paraId="28C6FE92" w14:textId="77777777" w:rsidR="001C12B3" w:rsidRDefault="001C12B3" w:rsidP="001C12B3">
      <w:pPr>
        <w:suppressLineNumbers/>
        <w:autoSpaceDE w:val="0"/>
        <w:autoSpaceDN w:val="0"/>
        <w:adjustRightInd w:val="0"/>
        <w:rPr>
          <w:szCs w:val="22"/>
        </w:rPr>
      </w:pPr>
    </w:p>
    <w:p w14:paraId="7B7C509F" w14:textId="636482CB" w:rsidR="001C12B3" w:rsidRPr="00E83870" w:rsidRDefault="001C12B3" w:rsidP="001C12B3">
      <w:pPr>
        <w:suppressLineNumbers/>
        <w:autoSpaceDE w:val="0"/>
        <w:autoSpaceDN w:val="0"/>
        <w:adjustRightInd w:val="0"/>
        <w:rPr>
          <w:szCs w:val="22"/>
        </w:rPr>
      </w:pPr>
      <w:r w:rsidRPr="001C12B3">
        <w:rPr>
          <w:szCs w:val="22"/>
        </w:rPr>
        <w:t xml:space="preserve">Increases in daily urine output in response to tolvaptan treatment are positively correlated with baseline renal function. Following a 90+30 mg split-dose regimen in patients with CKD Stage 1 or 2, the change in mean daily urine volume was about 4 L for a mean total daily volume of about 7 L. In Stage 4 patients, the mean change in daily urine volume was about 2 L for a total daily urine volume of about 5 L. </w:t>
      </w:r>
    </w:p>
    <w:p w14:paraId="6A9FCA78" w14:textId="77777777" w:rsidR="00367A23" w:rsidRPr="00E83870" w:rsidRDefault="00367A23" w:rsidP="00367A23">
      <w:pPr>
        <w:autoSpaceDE w:val="0"/>
        <w:autoSpaceDN w:val="0"/>
        <w:adjustRightInd w:val="0"/>
        <w:rPr>
          <w:rFonts w:eastAsiaTheme="minorHAnsi"/>
          <w:color w:val="auto"/>
          <w:szCs w:val="24"/>
          <w:lang w:val="en-US" w:eastAsia="en-US"/>
        </w:rPr>
      </w:pPr>
    </w:p>
    <w:p w14:paraId="0F275389" w14:textId="77777777" w:rsidR="00367A23" w:rsidRPr="00E83870" w:rsidRDefault="00FA2988" w:rsidP="00367A23">
      <w:pPr>
        <w:autoSpaceDE w:val="0"/>
        <w:autoSpaceDN w:val="0"/>
        <w:adjustRightInd w:val="0"/>
        <w:rPr>
          <w:rFonts w:eastAsiaTheme="minorHAnsi"/>
          <w:b/>
          <w:color w:val="auto"/>
          <w:szCs w:val="24"/>
          <w:lang w:val="en-US" w:eastAsia="en-US"/>
        </w:rPr>
      </w:pPr>
      <w:r w:rsidRPr="00362E44">
        <w:rPr>
          <w:rFonts w:eastAsiaTheme="minorHAnsi"/>
          <w:b/>
          <w:color w:val="auto"/>
          <w:szCs w:val="24"/>
          <w:lang w:val="en-US" w:eastAsia="en-US"/>
        </w:rPr>
        <w:t>Pharmacokinetics</w:t>
      </w:r>
    </w:p>
    <w:p w14:paraId="72BC5E7F" w14:textId="77777777" w:rsidR="00367A23" w:rsidRPr="00E83870" w:rsidRDefault="00367A23" w:rsidP="00367A23">
      <w:pPr>
        <w:autoSpaceDE w:val="0"/>
        <w:autoSpaceDN w:val="0"/>
        <w:adjustRightInd w:val="0"/>
        <w:rPr>
          <w:rFonts w:eastAsiaTheme="minorHAnsi"/>
          <w:b/>
          <w:color w:val="auto"/>
          <w:szCs w:val="24"/>
          <w:lang w:val="en-US" w:eastAsia="en-US"/>
        </w:rPr>
      </w:pPr>
    </w:p>
    <w:p w14:paraId="3F822306" w14:textId="77777777" w:rsidR="00AE3B35" w:rsidRPr="00E83870" w:rsidRDefault="00FA2988" w:rsidP="00AE3B35">
      <w:pPr>
        <w:numPr>
          <w:ilvl w:val="12"/>
          <w:numId w:val="0"/>
        </w:numPr>
        <w:ind w:right="-2"/>
        <w:rPr>
          <w:iCs/>
          <w:szCs w:val="22"/>
          <w:u w:val="single"/>
        </w:rPr>
      </w:pPr>
      <w:r w:rsidRPr="00362E44">
        <w:rPr>
          <w:iCs/>
          <w:szCs w:val="22"/>
          <w:u w:val="single"/>
        </w:rPr>
        <w:t>Absorption and distribution</w:t>
      </w:r>
    </w:p>
    <w:p w14:paraId="7E8684CD" w14:textId="77777777" w:rsidR="00AE3B35" w:rsidRPr="00E83870" w:rsidRDefault="00FA2988" w:rsidP="00AE3B35">
      <w:pPr>
        <w:numPr>
          <w:ilvl w:val="12"/>
          <w:numId w:val="0"/>
        </w:numPr>
        <w:ind w:right="-2"/>
        <w:rPr>
          <w:iCs/>
          <w:szCs w:val="22"/>
        </w:rPr>
      </w:pPr>
      <w:r w:rsidRPr="00362E44">
        <w:rPr>
          <w:iCs/>
          <w:szCs w:val="22"/>
        </w:rPr>
        <w:t xml:space="preserve">After oral administration, tolvaptan is rapidly absorbed with peak plasma concentrations occurring about 2 hours after dosing. The absolute bioavailability of tolvaptan is about 56%. </w:t>
      </w:r>
    </w:p>
    <w:p w14:paraId="09A1B4B2" w14:textId="1E56E357" w:rsidR="00AE3B35" w:rsidRDefault="00FA2988" w:rsidP="00AE3B35">
      <w:pPr>
        <w:numPr>
          <w:ilvl w:val="12"/>
          <w:numId w:val="0"/>
        </w:numPr>
        <w:ind w:right="-2"/>
        <w:rPr>
          <w:iCs/>
          <w:szCs w:val="22"/>
        </w:rPr>
      </w:pPr>
      <w:r w:rsidRPr="00362E44">
        <w:rPr>
          <w:iCs/>
          <w:szCs w:val="22"/>
        </w:rPr>
        <w:t>Co-administration of tolvaptan with a high-fat meal increased peak concentrations of tolvaptan up to 2</w:t>
      </w:r>
      <w:r w:rsidRPr="00362E44">
        <w:rPr>
          <w:iCs/>
          <w:szCs w:val="22"/>
        </w:rPr>
        <w:noBreakHyphen/>
        <w:t xml:space="preserve">fold but left AUC unchanged. Even though the clinical relevance of this finding is not known, to minimise the unnecessary risk of increasing the maximal exposure </w:t>
      </w:r>
      <w:r w:rsidRPr="00362E44">
        <w:rPr>
          <w:iCs/>
          <w:szCs w:val="22"/>
        </w:rPr>
        <w:lastRenderedPageBreak/>
        <w:t>the morning dose should be taken under fasted conditions (</w:t>
      </w:r>
      <w:r w:rsidR="008E69AD">
        <w:rPr>
          <w:iCs/>
          <w:szCs w:val="22"/>
        </w:rPr>
        <w:t>s</w:t>
      </w:r>
      <w:r w:rsidR="008E69AD" w:rsidRPr="00362E44">
        <w:rPr>
          <w:iCs/>
          <w:szCs w:val="22"/>
        </w:rPr>
        <w:t xml:space="preserve">ee </w:t>
      </w:r>
      <w:r w:rsidRPr="00362E44">
        <w:rPr>
          <w:iCs/>
          <w:szCs w:val="22"/>
        </w:rPr>
        <w:t>DOSAGE AND ADMINISTRATION).</w:t>
      </w:r>
    </w:p>
    <w:p w14:paraId="04967156" w14:textId="77777777" w:rsidR="00FF03CB" w:rsidRPr="00E83870" w:rsidRDefault="00FF03CB" w:rsidP="00AE3B35">
      <w:pPr>
        <w:numPr>
          <w:ilvl w:val="12"/>
          <w:numId w:val="0"/>
        </w:numPr>
        <w:ind w:right="-2"/>
        <w:rPr>
          <w:iCs/>
          <w:szCs w:val="22"/>
        </w:rPr>
      </w:pPr>
    </w:p>
    <w:p w14:paraId="1B9DCCD6" w14:textId="77777777" w:rsidR="00AE3B35" w:rsidRPr="00E83870" w:rsidRDefault="00FA2988" w:rsidP="00AE3B35">
      <w:pPr>
        <w:numPr>
          <w:ilvl w:val="12"/>
          <w:numId w:val="0"/>
        </w:numPr>
        <w:ind w:right="-2"/>
        <w:rPr>
          <w:iCs/>
          <w:szCs w:val="22"/>
        </w:rPr>
      </w:pPr>
      <w:r w:rsidRPr="00362E44">
        <w:rPr>
          <w:iCs/>
          <w:szCs w:val="22"/>
        </w:rPr>
        <w:t xml:space="preserve">Following single oral doses of </w:t>
      </w:r>
      <w:r w:rsidR="00AE3B35" w:rsidRPr="00E83870">
        <w:rPr>
          <w:szCs w:val="22"/>
        </w:rPr>
        <w:sym w:font="Symbol" w:char="F0B3"/>
      </w:r>
      <w:r w:rsidR="00AE3B35" w:rsidRPr="00E83870">
        <w:rPr>
          <w:iCs/>
          <w:szCs w:val="22"/>
        </w:rPr>
        <w:t xml:space="preserve"> 300 mg, peak plasma concentrations appear to plateau, possibly due to saturation of absorption. </w:t>
      </w:r>
      <w:r w:rsidRPr="00362E44">
        <w:rPr>
          <w:iCs/>
          <w:szCs w:val="22"/>
        </w:rPr>
        <w:t>Tolvaptan binds reversibly (98%) to plasma proteins.</w:t>
      </w:r>
    </w:p>
    <w:p w14:paraId="0FC7DBC0" w14:textId="77777777" w:rsidR="00AE3B35" w:rsidRPr="00E83870" w:rsidRDefault="00AE3B35" w:rsidP="00AE3B35">
      <w:pPr>
        <w:numPr>
          <w:ilvl w:val="12"/>
          <w:numId w:val="0"/>
        </w:numPr>
        <w:ind w:right="-2"/>
        <w:rPr>
          <w:iCs/>
          <w:szCs w:val="22"/>
        </w:rPr>
      </w:pPr>
    </w:p>
    <w:p w14:paraId="01461C76" w14:textId="77777777" w:rsidR="00AE3B35" w:rsidRPr="00E83870" w:rsidRDefault="00FA2988" w:rsidP="00AE3B35">
      <w:pPr>
        <w:numPr>
          <w:ilvl w:val="12"/>
          <w:numId w:val="0"/>
        </w:numPr>
        <w:ind w:right="-2"/>
        <w:rPr>
          <w:iCs/>
          <w:szCs w:val="22"/>
          <w:u w:val="single"/>
        </w:rPr>
      </w:pPr>
      <w:r w:rsidRPr="00362E44">
        <w:rPr>
          <w:iCs/>
          <w:szCs w:val="22"/>
          <w:u w:val="single"/>
        </w:rPr>
        <w:t>Metabolism and elimination</w:t>
      </w:r>
    </w:p>
    <w:p w14:paraId="79BE87D2" w14:textId="77777777" w:rsidR="00AE3B35" w:rsidRPr="00E83870" w:rsidRDefault="00FA2988" w:rsidP="00AE3B35">
      <w:pPr>
        <w:numPr>
          <w:ilvl w:val="12"/>
          <w:numId w:val="0"/>
        </w:numPr>
        <w:ind w:right="-2"/>
        <w:rPr>
          <w:iCs/>
          <w:szCs w:val="22"/>
        </w:rPr>
      </w:pPr>
      <w:r w:rsidRPr="00362E44">
        <w:rPr>
          <w:iCs/>
          <w:szCs w:val="22"/>
        </w:rPr>
        <w:t>Tolvaptan is extensively metaboli</w:t>
      </w:r>
      <w:r w:rsidRPr="00362E44">
        <w:rPr>
          <w:szCs w:val="22"/>
        </w:rPr>
        <w:t>s</w:t>
      </w:r>
      <w:r w:rsidRPr="00362E44">
        <w:rPr>
          <w:iCs/>
          <w:szCs w:val="22"/>
        </w:rPr>
        <w:t>ed in the liver almost exclusively by CYP3A. Tolvaptan is a weak CYP3A4 substrate and does not appear to have any inhibitory activity.</w:t>
      </w:r>
    </w:p>
    <w:p w14:paraId="1D6D82E5" w14:textId="065C4F36" w:rsidR="00AE3B35" w:rsidRPr="00E83870" w:rsidRDefault="00FA2988" w:rsidP="00AE3B35">
      <w:pPr>
        <w:numPr>
          <w:ilvl w:val="12"/>
          <w:numId w:val="0"/>
        </w:numPr>
        <w:ind w:right="-2"/>
        <w:rPr>
          <w:iCs/>
          <w:szCs w:val="22"/>
        </w:rPr>
      </w:pPr>
      <w:r w:rsidRPr="00362E44">
        <w:rPr>
          <w:iCs/>
          <w:szCs w:val="22"/>
        </w:rPr>
        <w:t>In vitro studies indicated that tolvaptan has no inhibitory activity for CYP3A. Fourteen metabolites have been identified in plasma, urine and f</w:t>
      </w:r>
      <w:r w:rsidR="00F364F6">
        <w:rPr>
          <w:iCs/>
          <w:szCs w:val="22"/>
        </w:rPr>
        <w:t>a</w:t>
      </w:r>
      <w:r w:rsidRPr="00362E44">
        <w:rPr>
          <w:iCs/>
          <w:szCs w:val="22"/>
        </w:rPr>
        <w:t xml:space="preserve">eces; all but one were also metabolised by CYP3A. Only the </w:t>
      </w:r>
      <w:proofErr w:type="spellStart"/>
      <w:r w:rsidRPr="00362E44">
        <w:rPr>
          <w:iCs/>
          <w:szCs w:val="22"/>
        </w:rPr>
        <w:t>oxobutyric</w:t>
      </w:r>
      <w:proofErr w:type="spellEnd"/>
      <w:r w:rsidRPr="00362E44">
        <w:rPr>
          <w:iCs/>
          <w:szCs w:val="22"/>
        </w:rPr>
        <w:t xml:space="preserve"> acid metabolite is present at greater than 10% of total plasma radioactivity; all others are present at lower concentrations than tolvaptan. </w:t>
      </w:r>
    </w:p>
    <w:p w14:paraId="0D435719" w14:textId="77777777" w:rsidR="00AE3B35" w:rsidRPr="00E83870" w:rsidRDefault="00FA2988" w:rsidP="00AE3B35">
      <w:pPr>
        <w:numPr>
          <w:ilvl w:val="12"/>
          <w:numId w:val="0"/>
        </w:numPr>
        <w:ind w:right="-2"/>
        <w:rPr>
          <w:iCs/>
          <w:szCs w:val="22"/>
        </w:rPr>
      </w:pPr>
      <w:r w:rsidRPr="00362E44">
        <w:rPr>
          <w:iCs/>
          <w:szCs w:val="22"/>
        </w:rPr>
        <w:t>Tolvaptan metabolites have little to no contribution to the pharmacological effect of tolvaptan; all metabolites have no or weak antagonist activity for human V2 receptors when compared with tolvaptan. The terminal elimination half-life is about 8 hours and steady-state concentrations of tolvaptan are obtained after the first dose.</w:t>
      </w:r>
    </w:p>
    <w:p w14:paraId="6B710DA1" w14:textId="77777777" w:rsidR="00127734" w:rsidRPr="00E83870" w:rsidRDefault="00127734" w:rsidP="00AE3B35">
      <w:pPr>
        <w:numPr>
          <w:ilvl w:val="12"/>
          <w:numId w:val="0"/>
        </w:numPr>
        <w:ind w:right="-2"/>
        <w:rPr>
          <w:iCs/>
          <w:szCs w:val="22"/>
        </w:rPr>
      </w:pPr>
    </w:p>
    <w:p w14:paraId="6B24D87D" w14:textId="77777777" w:rsidR="00AE3B35" w:rsidRPr="00E83870" w:rsidRDefault="00FA2988" w:rsidP="00AE3B35">
      <w:pPr>
        <w:numPr>
          <w:ilvl w:val="12"/>
          <w:numId w:val="0"/>
        </w:numPr>
        <w:ind w:right="-2"/>
        <w:rPr>
          <w:iCs/>
          <w:szCs w:val="22"/>
        </w:rPr>
      </w:pPr>
      <w:r w:rsidRPr="00362E44">
        <w:rPr>
          <w:iCs/>
          <w:szCs w:val="22"/>
        </w:rPr>
        <w:t xml:space="preserve">Less than 1% of intact active substance is excreted unchanged in the urine. Radio labelled tolvaptan experiments showed that 40% of the radioactivity was recovered in the urine and 59% was recovered in the faeces, where unchanged tolvaptan accounted for 32% of radioactivity. Tolvaptan is only a minor component in plasma (3%). </w:t>
      </w:r>
    </w:p>
    <w:p w14:paraId="7F922F1D" w14:textId="77777777" w:rsidR="00AE3B35" w:rsidRPr="00E83870" w:rsidRDefault="00AE3B35" w:rsidP="00AE3B35">
      <w:pPr>
        <w:numPr>
          <w:ilvl w:val="12"/>
          <w:numId w:val="0"/>
        </w:numPr>
        <w:ind w:right="-2"/>
        <w:rPr>
          <w:iCs/>
          <w:szCs w:val="22"/>
        </w:rPr>
      </w:pPr>
    </w:p>
    <w:p w14:paraId="2626678B" w14:textId="77777777" w:rsidR="00AE3B35" w:rsidRPr="00E83870" w:rsidRDefault="00FA2988" w:rsidP="00AE3B35">
      <w:pPr>
        <w:numPr>
          <w:ilvl w:val="12"/>
          <w:numId w:val="0"/>
        </w:numPr>
        <w:ind w:right="-2"/>
        <w:rPr>
          <w:iCs/>
          <w:szCs w:val="22"/>
          <w:u w:val="single"/>
        </w:rPr>
      </w:pPr>
      <w:r w:rsidRPr="00362E44">
        <w:rPr>
          <w:iCs/>
          <w:szCs w:val="22"/>
          <w:u w:val="single"/>
        </w:rPr>
        <w:t>Linearity</w:t>
      </w:r>
    </w:p>
    <w:p w14:paraId="2A5F0AA7" w14:textId="77777777" w:rsidR="00AE3B35" w:rsidRPr="00E83870" w:rsidRDefault="00FA2988" w:rsidP="00AE3B35">
      <w:pPr>
        <w:numPr>
          <w:ilvl w:val="12"/>
          <w:numId w:val="0"/>
        </w:numPr>
        <w:ind w:right="-2"/>
        <w:rPr>
          <w:iCs/>
          <w:szCs w:val="22"/>
        </w:rPr>
      </w:pPr>
      <w:r w:rsidRPr="00362E44">
        <w:rPr>
          <w:iCs/>
          <w:szCs w:val="22"/>
        </w:rPr>
        <w:t xml:space="preserve">Following single oral doses, </w:t>
      </w:r>
      <w:proofErr w:type="spellStart"/>
      <w:r w:rsidRPr="00362E44">
        <w:rPr>
          <w:iCs/>
          <w:szCs w:val="22"/>
        </w:rPr>
        <w:t>C</w:t>
      </w:r>
      <w:r w:rsidRPr="00362E44">
        <w:rPr>
          <w:iCs/>
          <w:szCs w:val="22"/>
          <w:vertAlign w:val="subscript"/>
        </w:rPr>
        <w:t>max</w:t>
      </w:r>
      <w:proofErr w:type="spellEnd"/>
      <w:r w:rsidRPr="00362E44">
        <w:rPr>
          <w:iCs/>
          <w:szCs w:val="22"/>
        </w:rPr>
        <w:t xml:space="preserve"> values show less than dose proportional increases from 30 to 240 mg and then a plateau at doses from 240 to 480 mg, AUC increases linearly.</w:t>
      </w:r>
    </w:p>
    <w:p w14:paraId="1B286344" w14:textId="1E576C7D" w:rsidR="00AE3B35" w:rsidRPr="00E83870" w:rsidRDefault="00FA2988" w:rsidP="00AE3B35">
      <w:pPr>
        <w:numPr>
          <w:ilvl w:val="12"/>
          <w:numId w:val="0"/>
        </w:numPr>
        <w:ind w:right="-2"/>
        <w:rPr>
          <w:iCs/>
          <w:szCs w:val="22"/>
        </w:rPr>
      </w:pPr>
      <w:r w:rsidRPr="00362E44">
        <w:rPr>
          <w:iCs/>
          <w:szCs w:val="22"/>
        </w:rPr>
        <w:t>Following multiple once daily dosing of 300 mg, tolvaptan exposure was only increased 6.4</w:t>
      </w:r>
      <w:r w:rsidRPr="00362E44">
        <w:rPr>
          <w:iCs/>
          <w:szCs w:val="22"/>
        </w:rPr>
        <w:noBreakHyphen/>
        <w:t xml:space="preserve">fold when compared to a 30 mg dose. </w:t>
      </w:r>
      <w:r w:rsidR="008A7158">
        <w:rPr>
          <w:iCs/>
          <w:szCs w:val="22"/>
        </w:rPr>
        <w:t xml:space="preserve">Based on calculations from 4 different studies in </w:t>
      </w:r>
      <w:r w:rsidRPr="00362E44">
        <w:rPr>
          <w:iCs/>
          <w:szCs w:val="22"/>
        </w:rPr>
        <w:t xml:space="preserve">split-dose regimens of 30, 60 and 120 mg/day in ADPKD patients, tolvaptan exposure (AUC) increases </w:t>
      </w:r>
      <w:r w:rsidR="008A7158">
        <w:rPr>
          <w:iCs/>
          <w:szCs w:val="22"/>
        </w:rPr>
        <w:t xml:space="preserve">approximately </w:t>
      </w:r>
      <w:r w:rsidRPr="00362E44">
        <w:rPr>
          <w:iCs/>
          <w:szCs w:val="22"/>
        </w:rPr>
        <w:t>linearly.</w:t>
      </w:r>
    </w:p>
    <w:p w14:paraId="7774DCD3" w14:textId="77777777" w:rsidR="00AE3B35" w:rsidRPr="00E83870" w:rsidRDefault="00AE3B35" w:rsidP="00AE3B35">
      <w:pPr>
        <w:numPr>
          <w:ilvl w:val="12"/>
          <w:numId w:val="0"/>
        </w:numPr>
        <w:ind w:right="-2"/>
        <w:rPr>
          <w:iCs/>
          <w:szCs w:val="22"/>
        </w:rPr>
      </w:pPr>
    </w:p>
    <w:p w14:paraId="59488289" w14:textId="77777777" w:rsidR="00AE3B35" w:rsidRPr="00E83870" w:rsidRDefault="00FA2988" w:rsidP="00AE3B35">
      <w:pPr>
        <w:numPr>
          <w:ilvl w:val="12"/>
          <w:numId w:val="0"/>
        </w:numPr>
        <w:ind w:right="-2"/>
        <w:rPr>
          <w:iCs/>
          <w:szCs w:val="22"/>
          <w:u w:val="single"/>
        </w:rPr>
      </w:pPr>
      <w:r w:rsidRPr="00362E44">
        <w:rPr>
          <w:iCs/>
          <w:szCs w:val="22"/>
          <w:u w:val="single"/>
        </w:rPr>
        <w:t>Pharmacokinetics in special populations</w:t>
      </w:r>
    </w:p>
    <w:p w14:paraId="4DC4B396" w14:textId="77777777" w:rsidR="0090368D" w:rsidRPr="00E83870" w:rsidRDefault="0090368D" w:rsidP="00AE3B35">
      <w:pPr>
        <w:numPr>
          <w:ilvl w:val="12"/>
          <w:numId w:val="0"/>
        </w:numPr>
        <w:ind w:right="-2"/>
        <w:rPr>
          <w:iCs/>
          <w:szCs w:val="22"/>
          <w:u w:val="single"/>
        </w:rPr>
      </w:pPr>
    </w:p>
    <w:p w14:paraId="0E2A57F6" w14:textId="77777777" w:rsidR="0090368D" w:rsidRPr="008763F2" w:rsidRDefault="00FA2988" w:rsidP="00AE3B35">
      <w:pPr>
        <w:numPr>
          <w:ilvl w:val="12"/>
          <w:numId w:val="0"/>
        </w:numPr>
        <w:ind w:right="-2"/>
        <w:rPr>
          <w:i/>
        </w:rPr>
      </w:pPr>
      <w:r w:rsidRPr="00E85675">
        <w:rPr>
          <w:i/>
        </w:rPr>
        <w:t>Elderly</w:t>
      </w:r>
    </w:p>
    <w:p w14:paraId="097D4360" w14:textId="77777777" w:rsidR="00AE3B35" w:rsidRPr="00E83870" w:rsidRDefault="00FA2988" w:rsidP="00AE3B35">
      <w:pPr>
        <w:numPr>
          <w:ilvl w:val="12"/>
          <w:numId w:val="0"/>
        </w:numPr>
        <w:ind w:right="-2"/>
        <w:rPr>
          <w:iCs/>
          <w:szCs w:val="22"/>
        </w:rPr>
      </w:pPr>
      <w:r w:rsidRPr="00362E44">
        <w:rPr>
          <w:iCs/>
          <w:szCs w:val="22"/>
        </w:rPr>
        <w:t>Clearance of tolvaptan is not significantly affected by age.</w:t>
      </w:r>
    </w:p>
    <w:p w14:paraId="258E6689" w14:textId="77777777" w:rsidR="0090368D" w:rsidRPr="00E83870" w:rsidRDefault="0090368D" w:rsidP="00AE3B35">
      <w:pPr>
        <w:numPr>
          <w:ilvl w:val="12"/>
          <w:numId w:val="0"/>
        </w:numPr>
        <w:ind w:right="-2"/>
        <w:rPr>
          <w:iCs/>
          <w:szCs w:val="22"/>
        </w:rPr>
      </w:pPr>
    </w:p>
    <w:p w14:paraId="63005322" w14:textId="77777777" w:rsidR="0090368D" w:rsidRPr="00E85675" w:rsidRDefault="00FA2988" w:rsidP="00AE3B35">
      <w:pPr>
        <w:numPr>
          <w:ilvl w:val="12"/>
          <w:numId w:val="0"/>
        </w:numPr>
        <w:ind w:right="-2"/>
        <w:rPr>
          <w:i/>
        </w:rPr>
      </w:pPr>
      <w:r w:rsidRPr="00E85675">
        <w:rPr>
          <w:i/>
        </w:rPr>
        <w:t>Hepatic Dysfunction</w:t>
      </w:r>
    </w:p>
    <w:p w14:paraId="1E82367D" w14:textId="11E3116A" w:rsidR="00AE3B35" w:rsidRPr="00E83870" w:rsidRDefault="00FA2988" w:rsidP="00AE3B35">
      <w:pPr>
        <w:numPr>
          <w:ilvl w:val="12"/>
          <w:numId w:val="0"/>
        </w:numPr>
        <w:ind w:right="-2"/>
        <w:rPr>
          <w:iCs/>
          <w:szCs w:val="22"/>
        </w:rPr>
      </w:pPr>
      <w:r w:rsidRPr="00362E44">
        <w:rPr>
          <w:iCs/>
          <w:szCs w:val="22"/>
        </w:rPr>
        <w:t>The effect of mildly or moderately impaired hepatic function (Child-Pugh classes A and B) on the pharmacokinetics of tolvaptan was investigated in 87 patients with liver disease of various origins.</w:t>
      </w:r>
      <w:r w:rsidRPr="00362E44">
        <w:rPr>
          <w:szCs w:val="22"/>
        </w:rPr>
        <w:t xml:space="preserve"> </w:t>
      </w:r>
      <w:r w:rsidR="008A7158">
        <w:rPr>
          <w:szCs w:val="22"/>
        </w:rPr>
        <w:t>For single doses of 10-60</w:t>
      </w:r>
      <w:r w:rsidR="008E69AD">
        <w:rPr>
          <w:szCs w:val="22"/>
        </w:rPr>
        <w:t xml:space="preserve"> </w:t>
      </w:r>
      <w:r w:rsidR="008A7158">
        <w:rPr>
          <w:szCs w:val="22"/>
        </w:rPr>
        <w:t xml:space="preserve">mg, </w:t>
      </w:r>
      <w:proofErr w:type="spellStart"/>
      <w:r w:rsidR="008A7158">
        <w:rPr>
          <w:szCs w:val="22"/>
        </w:rPr>
        <w:t>C</w:t>
      </w:r>
      <w:r w:rsidR="008A7158" w:rsidRPr="009C62AA">
        <w:rPr>
          <w:szCs w:val="22"/>
          <w:vertAlign w:val="subscript"/>
        </w:rPr>
        <w:t>max</w:t>
      </w:r>
      <w:proofErr w:type="spellEnd"/>
      <w:r w:rsidR="008A7158">
        <w:rPr>
          <w:szCs w:val="22"/>
        </w:rPr>
        <w:t xml:space="preserve"> and AUC</w:t>
      </w:r>
      <w:r w:rsidR="008A7158" w:rsidRPr="009C62AA">
        <w:rPr>
          <w:szCs w:val="22"/>
          <w:vertAlign w:val="subscript"/>
        </w:rPr>
        <w:t>∞</w:t>
      </w:r>
      <w:r w:rsidR="008A7158">
        <w:rPr>
          <w:szCs w:val="22"/>
        </w:rPr>
        <w:t xml:space="preserve"> increase linearly with dose. Although mean </w:t>
      </w:r>
      <w:proofErr w:type="spellStart"/>
      <w:r w:rsidR="008A7158">
        <w:rPr>
          <w:szCs w:val="22"/>
        </w:rPr>
        <w:t>C</w:t>
      </w:r>
      <w:r w:rsidR="008A7158" w:rsidRPr="009C62AA">
        <w:rPr>
          <w:szCs w:val="22"/>
          <w:vertAlign w:val="subscript"/>
        </w:rPr>
        <w:t>max</w:t>
      </w:r>
      <w:proofErr w:type="spellEnd"/>
      <w:r w:rsidR="008A7158">
        <w:rPr>
          <w:szCs w:val="22"/>
        </w:rPr>
        <w:t xml:space="preserve"> values for 30 and 60 mg doses do not appear to be much higher compared to healthy subjects, 1.07 – to 1.65-fold, AUC values are 1.56- to 2.75-fold higher.</w:t>
      </w:r>
      <w:r w:rsidR="005F47B5">
        <w:rPr>
          <w:szCs w:val="22"/>
        </w:rPr>
        <w:t xml:space="preserve"> Following multiple dosing (QD, 13 days) tolvaptan concentrations also appear to accumulate 1.7- to 1.6-fold. Clearance following a single dose is about half that of healthy subjects and following multiple dosing is about a third that of healthy subjects.</w:t>
      </w:r>
      <w:r w:rsidR="00F364F6">
        <w:rPr>
          <w:szCs w:val="22"/>
        </w:rPr>
        <w:t xml:space="preserve"> </w:t>
      </w:r>
      <w:r w:rsidRPr="00362E44">
        <w:rPr>
          <w:iCs/>
          <w:szCs w:val="22"/>
        </w:rPr>
        <w:t>Very limited information is available in patients with severe hepatic impairment (Child-Pugh class C).</w:t>
      </w:r>
    </w:p>
    <w:p w14:paraId="04712BE9" w14:textId="77777777" w:rsidR="00127734" w:rsidRPr="00E83870" w:rsidRDefault="00127734" w:rsidP="00AE3B35">
      <w:pPr>
        <w:numPr>
          <w:ilvl w:val="12"/>
          <w:numId w:val="0"/>
        </w:numPr>
        <w:ind w:right="-2"/>
        <w:rPr>
          <w:iCs/>
          <w:szCs w:val="22"/>
        </w:rPr>
      </w:pPr>
    </w:p>
    <w:p w14:paraId="04AE3C9A" w14:textId="77777777" w:rsidR="00AE3B35" w:rsidRPr="00E83870" w:rsidRDefault="00FA2988" w:rsidP="00AE3B35">
      <w:pPr>
        <w:numPr>
          <w:ilvl w:val="12"/>
          <w:numId w:val="0"/>
        </w:numPr>
        <w:ind w:right="-2"/>
        <w:rPr>
          <w:iCs/>
          <w:szCs w:val="22"/>
        </w:rPr>
      </w:pPr>
      <w:r w:rsidRPr="00362E44">
        <w:rPr>
          <w:iCs/>
          <w:szCs w:val="22"/>
        </w:rPr>
        <w:lastRenderedPageBreak/>
        <w:t>In a population pharmacokinetic analysis in patients with hepatic oedema, AUC of tolvaptan in severely (Child-Pugh class C) and mildly or moderately (Child-Pugh classes A and B) hepatic impaired patients were 3.1 and 2.3 times higher than that in healthy subjects.</w:t>
      </w:r>
    </w:p>
    <w:p w14:paraId="2B5780D7" w14:textId="77777777" w:rsidR="00AE3B35" w:rsidRPr="00E83870" w:rsidRDefault="00AE3B35" w:rsidP="00AE3B35">
      <w:pPr>
        <w:numPr>
          <w:ilvl w:val="12"/>
          <w:numId w:val="0"/>
        </w:numPr>
        <w:ind w:right="-2"/>
        <w:rPr>
          <w:iCs/>
          <w:szCs w:val="22"/>
        </w:rPr>
      </w:pPr>
    </w:p>
    <w:p w14:paraId="56F687FA" w14:textId="77777777" w:rsidR="0090368D" w:rsidRPr="00E85675" w:rsidRDefault="00FA2988" w:rsidP="00AE3B35">
      <w:pPr>
        <w:numPr>
          <w:ilvl w:val="12"/>
          <w:numId w:val="0"/>
        </w:numPr>
        <w:ind w:right="-2"/>
        <w:rPr>
          <w:i/>
        </w:rPr>
      </w:pPr>
      <w:r w:rsidRPr="00E85675">
        <w:rPr>
          <w:i/>
        </w:rPr>
        <w:t>Renal Dysfunction</w:t>
      </w:r>
    </w:p>
    <w:p w14:paraId="4ACB73C9" w14:textId="42069B3C" w:rsidR="00AE3B35" w:rsidRPr="00E83870" w:rsidRDefault="00FA2988" w:rsidP="00AE3B35">
      <w:pPr>
        <w:numPr>
          <w:ilvl w:val="12"/>
          <w:numId w:val="0"/>
        </w:numPr>
        <w:ind w:right="-2"/>
        <w:rPr>
          <w:iCs/>
          <w:szCs w:val="22"/>
        </w:rPr>
      </w:pPr>
      <w:r w:rsidRPr="00362E44">
        <w:rPr>
          <w:iCs/>
          <w:szCs w:val="22"/>
        </w:rPr>
        <w:t xml:space="preserve">In a population pharmacokinetic analysis for patients with ADPKD, tolvaptan concentrations were increased, compared to healthy subjects, as renal function decreased below </w:t>
      </w:r>
      <w:proofErr w:type="spellStart"/>
      <w:r w:rsidRPr="00362E44">
        <w:rPr>
          <w:iCs/>
          <w:szCs w:val="22"/>
        </w:rPr>
        <w:t>eGFR</w:t>
      </w:r>
      <w:proofErr w:type="spellEnd"/>
      <w:r w:rsidRPr="00362E44">
        <w:rPr>
          <w:iCs/>
          <w:szCs w:val="22"/>
        </w:rPr>
        <w:t xml:space="preserve"> of 60 mL/min/1.73</w:t>
      </w:r>
      <w:r w:rsidR="008763F2">
        <w:rPr>
          <w:iCs/>
          <w:szCs w:val="22"/>
        </w:rPr>
        <w:t xml:space="preserve"> </w:t>
      </w:r>
      <w:r w:rsidRPr="00362E44">
        <w:rPr>
          <w:iCs/>
          <w:szCs w:val="22"/>
        </w:rPr>
        <w:t>m</w:t>
      </w:r>
      <w:r w:rsidRPr="00362E44">
        <w:rPr>
          <w:iCs/>
          <w:szCs w:val="22"/>
          <w:vertAlign w:val="superscript"/>
        </w:rPr>
        <w:t>2</w:t>
      </w:r>
      <w:r w:rsidRPr="00362E44">
        <w:rPr>
          <w:iCs/>
          <w:szCs w:val="22"/>
        </w:rPr>
        <w:t xml:space="preserve">. An </w:t>
      </w:r>
      <w:proofErr w:type="spellStart"/>
      <w:r w:rsidRPr="00362E44">
        <w:rPr>
          <w:iCs/>
          <w:szCs w:val="22"/>
        </w:rPr>
        <w:t>eGFR</w:t>
      </w:r>
      <w:r w:rsidRPr="00362E44">
        <w:rPr>
          <w:iCs/>
          <w:szCs w:val="22"/>
          <w:vertAlign w:val="subscript"/>
        </w:rPr>
        <w:t>CKD</w:t>
      </w:r>
      <w:proofErr w:type="spellEnd"/>
      <w:r w:rsidRPr="00362E44">
        <w:rPr>
          <w:iCs/>
          <w:szCs w:val="22"/>
          <w:vertAlign w:val="subscript"/>
        </w:rPr>
        <w:t>-EPI</w:t>
      </w:r>
      <w:r w:rsidRPr="00362E44">
        <w:rPr>
          <w:iCs/>
          <w:szCs w:val="22"/>
        </w:rPr>
        <w:t xml:space="preserve"> decrease from 72.2 to 9.79 (mL/min/1.73 m</w:t>
      </w:r>
      <w:r w:rsidRPr="00362E44">
        <w:rPr>
          <w:iCs/>
          <w:szCs w:val="22"/>
          <w:vertAlign w:val="superscript"/>
        </w:rPr>
        <w:t>2</w:t>
      </w:r>
      <w:r w:rsidRPr="00362E44">
        <w:rPr>
          <w:iCs/>
          <w:szCs w:val="22"/>
        </w:rPr>
        <w:t>) was associated with a 32% reduction in total body clearance.</w:t>
      </w:r>
    </w:p>
    <w:p w14:paraId="7A25CA6C" w14:textId="77777777" w:rsidR="00145B50" w:rsidRPr="00E83870" w:rsidRDefault="00145B50" w:rsidP="00145B50">
      <w:pPr>
        <w:autoSpaceDE w:val="0"/>
        <w:autoSpaceDN w:val="0"/>
        <w:adjustRightInd w:val="0"/>
        <w:rPr>
          <w:rFonts w:eastAsiaTheme="minorHAnsi"/>
          <w:color w:val="auto"/>
          <w:szCs w:val="24"/>
          <w:lang w:val="en-US" w:eastAsia="en-US"/>
        </w:rPr>
      </w:pPr>
    </w:p>
    <w:p w14:paraId="16D37A5D" w14:textId="77777777" w:rsidR="00D30DAD" w:rsidRPr="00E83870" w:rsidRDefault="00FA2988" w:rsidP="00145B50">
      <w:pPr>
        <w:autoSpaceDE w:val="0"/>
        <w:autoSpaceDN w:val="0"/>
        <w:adjustRightInd w:val="0"/>
        <w:rPr>
          <w:rFonts w:eastAsiaTheme="minorHAnsi"/>
          <w:b/>
          <w:color w:val="auto"/>
          <w:szCs w:val="24"/>
          <w:lang w:val="en-US" w:eastAsia="en-US"/>
        </w:rPr>
      </w:pPr>
      <w:r w:rsidRPr="00362E44">
        <w:rPr>
          <w:rFonts w:eastAsiaTheme="minorHAnsi"/>
          <w:b/>
          <w:color w:val="auto"/>
          <w:szCs w:val="24"/>
          <w:lang w:val="en-US" w:eastAsia="en-US"/>
        </w:rPr>
        <w:t>CLINICAL TRIALS</w:t>
      </w:r>
    </w:p>
    <w:p w14:paraId="4A09EF44" w14:textId="77777777" w:rsidR="00D30DAD" w:rsidRPr="00E83870" w:rsidRDefault="00D30DAD" w:rsidP="00145B50">
      <w:pPr>
        <w:autoSpaceDE w:val="0"/>
        <w:autoSpaceDN w:val="0"/>
        <w:adjustRightInd w:val="0"/>
        <w:rPr>
          <w:rFonts w:eastAsiaTheme="minorHAnsi"/>
          <w:b/>
          <w:color w:val="auto"/>
          <w:szCs w:val="24"/>
          <w:lang w:val="en-US" w:eastAsia="en-US"/>
        </w:rPr>
      </w:pPr>
    </w:p>
    <w:p w14:paraId="7A2CE75B" w14:textId="77777777" w:rsidR="00F73D3C" w:rsidRPr="00362E44" w:rsidRDefault="00FA2988" w:rsidP="00F73D3C">
      <w:pPr>
        <w:suppressLineNumbers/>
        <w:autoSpaceDE w:val="0"/>
        <w:autoSpaceDN w:val="0"/>
        <w:adjustRightInd w:val="0"/>
        <w:rPr>
          <w:szCs w:val="24"/>
        </w:rPr>
      </w:pPr>
      <w:r w:rsidRPr="00362E44">
        <w:rPr>
          <w:szCs w:val="24"/>
        </w:rPr>
        <w:t>The primary focus of the clinical program for development of tolvaptan tablets for the treatment of ADPKD is a single pivotal, multinational, phase 3, randomised, placebo controlled trial in which the long-term safety and efficacy of oral split dose tolvaptan regimens (titrated between 60 mg/day and 120 mg/day) were compared with placebo in 1,445 adult subjects with ADPKD. In total, 14 clinical trials involving tolvaptan have been completed worldwide in support of the ADPKD indication, including 8 trials in the US, 1 in the Netherlands, 3 in Japan, 1 in Korea, and the multinational phase 3 pivotal trial.</w:t>
      </w:r>
    </w:p>
    <w:p w14:paraId="27B47E3A" w14:textId="77777777" w:rsidR="00F73D3C" w:rsidRPr="00362E44" w:rsidRDefault="00F73D3C" w:rsidP="00FE12B4">
      <w:pPr>
        <w:widowControl w:val="0"/>
        <w:autoSpaceDE w:val="0"/>
        <w:autoSpaceDN w:val="0"/>
        <w:adjustRightInd w:val="0"/>
        <w:rPr>
          <w:rFonts w:eastAsiaTheme="minorHAnsi"/>
          <w:color w:val="auto"/>
          <w:szCs w:val="24"/>
          <w:lang w:val="en-US" w:eastAsia="en-US"/>
        </w:rPr>
      </w:pPr>
    </w:p>
    <w:p w14:paraId="525B4DC3" w14:textId="77777777" w:rsidR="00FE12B4" w:rsidRPr="00362E44" w:rsidRDefault="00FA2988" w:rsidP="00FE12B4">
      <w:pPr>
        <w:widowControl w:val="0"/>
        <w:autoSpaceDE w:val="0"/>
        <w:autoSpaceDN w:val="0"/>
        <w:adjustRightInd w:val="0"/>
        <w:rPr>
          <w:rFonts w:eastAsiaTheme="minorHAnsi"/>
          <w:color w:val="auto"/>
          <w:szCs w:val="24"/>
          <w:lang w:val="en-US" w:eastAsia="en-US"/>
        </w:rPr>
      </w:pPr>
      <w:r w:rsidRPr="00362E44">
        <w:rPr>
          <w:rFonts w:eastAsiaTheme="minorHAnsi"/>
          <w:color w:val="auto"/>
          <w:szCs w:val="24"/>
          <w:lang w:val="en-US" w:eastAsia="en-US"/>
        </w:rPr>
        <w:t>In the pivotal double-blind, 36-month, placebo-controlled, multi-center trial (TEMPO</w:t>
      </w:r>
    </w:p>
    <w:p w14:paraId="13C311C0" w14:textId="77777777" w:rsidR="00FE12B4" w:rsidRPr="00362E44" w:rsidRDefault="00FA2988" w:rsidP="00FE12B4">
      <w:pPr>
        <w:widowControl w:val="0"/>
        <w:autoSpaceDE w:val="0"/>
        <w:autoSpaceDN w:val="0"/>
        <w:adjustRightInd w:val="0"/>
        <w:rPr>
          <w:rFonts w:eastAsiaTheme="minorHAnsi"/>
          <w:color w:val="auto"/>
          <w:szCs w:val="24"/>
          <w:lang w:val="en-US" w:eastAsia="en-US"/>
        </w:rPr>
      </w:pPr>
      <w:r w:rsidRPr="00362E44">
        <w:rPr>
          <w:rFonts w:eastAsiaTheme="minorHAnsi"/>
          <w:color w:val="auto"/>
          <w:szCs w:val="24"/>
          <w:lang w:val="en-US" w:eastAsia="en-US"/>
        </w:rPr>
        <w:t>3:4), a total of 1444 adult patients (age 18-50 years) with early, rapidly-progressing</w:t>
      </w:r>
    </w:p>
    <w:p w14:paraId="3D8CB968" w14:textId="533B78B1" w:rsidR="0064422E" w:rsidRPr="00362E44" w:rsidRDefault="00FA2988" w:rsidP="00422006">
      <w:pPr>
        <w:widowControl w:val="0"/>
        <w:autoSpaceDE w:val="0"/>
        <w:autoSpaceDN w:val="0"/>
        <w:adjustRightInd w:val="0"/>
        <w:rPr>
          <w:rFonts w:eastAsiaTheme="minorHAnsi"/>
          <w:color w:val="auto"/>
          <w:szCs w:val="24"/>
          <w:lang w:val="en-US" w:eastAsia="en-US"/>
        </w:rPr>
      </w:pPr>
      <w:r w:rsidRPr="00362E44">
        <w:rPr>
          <w:rFonts w:eastAsiaTheme="minorHAnsi"/>
          <w:color w:val="auto"/>
          <w:szCs w:val="24"/>
          <w:lang w:val="en-US" w:eastAsia="en-US"/>
        </w:rPr>
        <w:t xml:space="preserve">ADPKD (meeting modified Ravine criteria, total kidney volume (TKV) </w:t>
      </w:r>
      <w:r w:rsidRPr="00362E44">
        <w:rPr>
          <w:rFonts w:ascii="¿≈'[ˇ" w:eastAsiaTheme="minorHAnsi" w:hAnsi="¿≈'[ˇ" w:cs="¿≈'[ˇ"/>
          <w:color w:val="auto"/>
          <w:szCs w:val="24"/>
          <w:lang w:val="en-US" w:eastAsia="en-US"/>
        </w:rPr>
        <w:t>≥</w:t>
      </w:r>
      <w:r w:rsidRPr="00362E44">
        <w:rPr>
          <w:rFonts w:eastAsiaTheme="minorHAnsi"/>
          <w:color w:val="auto"/>
          <w:szCs w:val="24"/>
          <w:lang w:val="en-US" w:eastAsia="en-US"/>
        </w:rPr>
        <w:t xml:space="preserve">750 cc, estimated creatinine clearance </w:t>
      </w:r>
      <w:r w:rsidRPr="00362E44">
        <w:rPr>
          <w:rFonts w:ascii="¿≈'[ˇ" w:eastAsiaTheme="minorHAnsi" w:hAnsi="¿≈'[ˇ" w:cs="¿≈'[ˇ"/>
          <w:color w:val="auto"/>
          <w:szCs w:val="24"/>
          <w:lang w:val="en-US" w:eastAsia="en-US"/>
        </w:rPr>
        <w:t>≥</w:t>
      </w:r>
      <w:r w:rsidRPr="00362E44">
        <w:rPr>
          <w:rFonts w:eastAsiaTheme="minorHAnsi"/>
          <w:color w:val="auto"/>
          <w:szCs w:val="24"/>
          <w:lang w:val="en-US" w:eastAsia="en-US"/>
        </w:rPr>
        <w:t xml:space="preserve">60 mL/min) were randomized 2:1 to treatment with tolvaptan or placebo, respectively. A total of 1444 patients were treated for up to 3 years, then followed for 14-42 days after treatment withdrawal. Randomization was stratified based on several predictors of more rapid progression, namely baseline hypertension status, kidney volume and renal function. Other known predictors of risk of rapid progression, not used in the stratification, include a family history of ADPKD with early </w:t>
      </w:r>
      <w:r w:rsidR="008C6BF9">
        <w:rPr>
          <w:rFonts w:eastAsiaTheme="minorHAnsi"/>
          <w:color w:val="auto"/>
          <w:szCs w:val="24"/>
          <w:lang w:val="en-US" w:eastAsia="en-US"/>
        </w:rPr>
        <w:t>end-stage renal disease (</w:t>
      </w:r>
      <w:r w:rsidRPr="00362E44">
        <w:rPr>
          <w:rFonts w:eastAsiaTheme="minorHAnsi"/>
          <w:color w:val="auto"/>
          <w:szCs w:val="24"/>
          <w:lang w:val="en-US" w:eastAsia="en-US"/>
        </w:rPr>
        <w:t>ESRD</w:t>
      </w:r>
      <w:r w:rsidR="008C6BF9">
        <w:rPr>
          <w:rFonts w:eastAsiaTheme="minorHAnsi"/>
          <w:color w:val="auto"/>
          <w:szCs w:val="24"/>
          <w:lang w:val="en-US" w:eastAsia="en-US"/>
        </w:rPr>
        <w:t>)</w:t>
      </w:r>
      <w:r w:rsidRPr="00362E44">
        <w:rPr>
          <w:rFonts w:eastAsiaTheme="minorHAnsi"/>
          <w:color w:val="auto"/>
          <w:szCs w:val="24"/>
          <w:lang w:val="en-US" w:eastAsia="en-US"/>
        </w:rPr>
        <w:t xml:space="preserve"> or high bilateral cyst number. All patients remained on standard concomitant medications. Concomitant use of potent cytochrome P450 CYP 3A4 inhibitors was avoided. Investigational drug was up-titrated from a daily, oral split dose of 45 mg on waking plus 15 mg 9 hours later (45 mg/15 mg) weekly, as tolerated to 60 mg/30 mg then 90 mg/30 mg. Patients were to maintain the highest tolerated dose for 3 years, but could interrupt, decrease and/or increase as clinical circumstances warranted within the range of titrated doses. All patients were encouraged to drink adequate water to avoid thirst or dehydration and at night before retiring. Patients were evaluated at screening, baseline, during weekly titration steps and at intervals of at least 4 months for outcome, laboratory and safety assessments. At baseline and yearly visits, MRI-TKV and pharmacokinetic assessments were also performed. Patients who completed the study terminated treatment at 3 years, and were followed for a further period of 2-6 weeks to assess off-drug effects.</w:t>
      </w:r>
    </w:p>
    <w:p w14:paraId="5AB1AFA2" w14:textId="77777777" w:rsidR="00422006" w:rsidRPr="00362E44" w:rsidRDefault="00422006" w:rsidP="00FE12B4">
      <w:pPr>
        <w:widowControl w:val="0"/>
        <w:autoSpaceDE w:val="0"/>
        <w:autoSpaceDN w:val="0"/>
        <w:adjustRightInd w:val="0"/>
        <w:rPr>
          <w:rFonts w:eastAsiaTheme="minorHAnsi"/>
          <w:color w:val="auto"/>
          <w:szCs w:val="24"/>
          <w:lang w:val="en-US" w:eastAsia="en-US"/>
        </w:rPr>
      </w:pPr>
    </w:p>
    <w:p w14:paraId="6DABC66C" w14:textId="77777777" w:rsidR="00FE12B4" w:rsidRPr="00362E44" w:rsidRDefault="00FA2988" w:rsidP="00FE12B4">
      <w:pPr>
        <w:widowControl w:val="0"/>
        <w:autoSpaceDE w:val="0"/>
        <w:autoSpaceDN w:val="0"/>
        <w:adjustRightInd w:val="0"/>
        <w:rPr>
          <w:rFonts w:eastAsiaTheme="minorHAnsi"/>
          <w:color w:val="auto"/>
          <w:szCs w:val="24"/>
          <w:lang w:val="en-US" w:eastAsia="en-US"/>
        </w:rPr>
      </w:pPr>
      <w:r w:rsidRPr="00362E44">
        <w:rPr>
          <w:rFonts w:eastAsiaTheme="minorHAnsi"/>
          <w:color w:val="auto"/>
          <w:szCs w:val="24"/>
          <w:lang w:val="en-US" w:eastAsia="en-US"/>
        </w:rPr>
        <w:t>Tolvaptan (N=961) and placebo (N=484) groups were well matched and representative of</w:t>
      </w:r>
    </w:p>
    <w:p w14:paraId="71E7FEA3" w14:textId="77777777" w:rsidR="00FE12B4" w:rsidRPr="00362E44" w:rsidRDefault="00FA2988" w:rsidP="00FE12B4">
      <w:pPr>
        <w:widowControl w:val="0"/>
        <w:autoSpaceDE w:val="0"/>
        <w:autoSpaceDN w:val="0"/>
        <w:adjustRightInd w:val="0"/>
        <w:rPr>
          <w:rFonts w:eastAsiaTheme="minorHAnsi"/>
          <w:color w:val="auto"/>
          <w:szCs w:val="24"/>
          <w:lang w:val="en-US" w:eastAsia="en-US"/>
        </w:rPr>
      </w:pPr>
      <w:proofErr w:type="gramStart"/>
      <w:r w:rsidRPr="00362E44">
        <w:rPr>
          <w:rFonts w:eastAsiaTheme="minorHAnsi"/>
          <w:color w:val="auto"/>
          <w:szCs w:val="24"/>
          <w:lang w:val="en-US" w:eastAsia="en-US"/>
        </w:rPr>
        <w:t>regional</w:t>
      </w:r>
      <w:proofErr w:type="gramEnd"/>
      <w:r w:rsidRPr="00362E44">
        <w:rPr>
          <w:rFonts w:eastAsiaTheme="minorHAnsi"/>
          <w:color w:val="auto"/>
          <w:szCs w:val="24"/>
          <w:lang w:val="en-US" w:eastAsia="en-US"/>
        </w:rPr>
        <w:t xml:space="preserve"> populations with an average age of 39 years, with 52% being male, 84% Caucasian, 13% Asian and 3% other races. At baseline 79% had hypertension, average estimated glomerular filtration rate (</w:t>
      </w:r>
      <w:proofErr w:type="spellStart"/>
      <w:r w:rsidRPr="00362E44">
        <w:rPr>
          <w:rFonts w:eastAsiaTheme="minorHAnsi"/>
          <w:color w:val="auto"/>
          <w:szCs w:val="24"/>
          <w:lang w:val="en-US" w:eastAsia="en-US"/>
        </w:rPr>
        <w:t>eGFR</w:t>
      </w:r>
      <w:proofErr w:type="spellEnd"/>
      <w:r w:rsidRPr="00362E44">
        <w:rPr>
          <w:rFonts w:eastAsiaTheme="minorHAnsi"/>
          <w:color w:val="auto"/>
          <w:szCs w:val="24"/>
          <w:lang w:val="en-US" w:eastAsia="en-US"/>
        </w:rPr>
        <w:t xml:space="preserve">) was 82 mL/min/1.73 m2 (CKD-EPI) and mean TKV was 1692 cc (height adjusted 972 cc/m). Using CKD-EPI </w:t>
      </w:r>
      <w:proofErr w:type="spellStart"/>
      <w:r w:rsidRPr="00362E44">
        <w:rPr>
          <w:rFonts w:eastAsiaTheme="minorHAnsi"/>
          <w:color w:val="auto"/>
          <w:szCs w:val="24"/>
          <w:lang w:val="en-US" w:eastAsia="en-US"/>
        </w:rPr>
        <w:t>eGFR</w:t>
      </w:r>
      <w:proofErr w:type="spellEnd"/>
      <w:r w:rsidRPr="00362E44">
        <w:rPr>
          <w:rFonts w:eastAsiaTheme="minorHAnsi"/>
          <w:color w:val="auto"/>
          <w:szCs w:val="24"/>
          <w:lang w:val="en-US" w:eastAsia="en-US"/>
        </w:rPr>
        <w:t xml:space="preserve">, </w:t>
      </w:r>
      <w:proofErr w:type="spellStart"/>
      <w:r w:rsidRPr="00362E44">
        <w:rPr>
          <w:rFonts w:eastAsiaTheme="minorHAnsi"/>
          <w:color w:val="auto"/>
          <w:szCs w:val="24"/>
          <w:lang w:val="en-US" w:eastAsia="en-US"/>
        </w:rPr>
        <w:t>tolvaptan</w:t>
      </w:r>
      <w:proofErr w:type="spellEnd"/>
      <w:r w:rsidRPr="00362E44">
        <w:rPr>
          <w:rFonts w:eastAsiaTheme="minorHAnsi"/>
          <w:color w:val="auto"/>
          <w:szCs w:val="24"/>
          <w:lang w:val="en-US" w:eastAsia="en-US"/>
        </w:rPr>
        <w:t xml:space="preserve"> and placebo patients were distributed across Kidney Disease Outcomes Quality Initiative chronic kidney disease (KDOQI-CKD) stages 1 (34% and 36%), 2 (49% and 46%) and 3 (17% and 17%), </w:t>
      </w:r>
      <w:r w:rsidRPr="00362E44">
        <w:rPr>
          <w:rFonts w:eastAsiaTheme="minorHAnsi"/>
          <w:color w:val="auto"/>
          <w:szCs w:val="24"/>
          <w:lang w:val="en-US" w:eastAsia="en-US"/>
        </w:rPr>
        <w:lastRenderedPageBreak/>
        <w:t xml:space="preserve">respectively. Within the study population receiving placebo, stratification factors successfully predicted more rapid progression in those who had larger kidneys, lower </w:t>
      </w:r>
      <w:proofErr w:type="spellStart"/>
      <w:r w:rsidRPr="00362E44">
        <w:rPr>
          <w:rFonts w:eastAsiaTheme="minorHAnsi"/>
          <w:color w:val="auto"/>
          <w:szCs w:val="24"/>
          <w:lang w:val="en-US" w:eastAsia="en-US"/>
        </w:rPr>
        <w:t>eGFR</w:t>
      </w:r>
      <w:proofErr w:type="spellEnd"/>
      <w:r w:rsidRPr="00362E44">
        <w:rPr>
          <w:rFonts w:eastAsiaTheme="minorHAnsi"/>
          <w:color w:val="auto"/>
          <w:szCs w:val="24"/>
          <w:lang w:val="en-US" w:eastAsia="en-US"/>
        </w:rPr>
        <w:t>, or hypertension at baseline. No anti-hypertensive medications were being taken by 23% of patients; in the remaining 77% of patients, 71% were taking agents acting on the renin-angiotensin system, 20% calcium channel blockers and, 18% beta blockers. Analgesics were used in 10% of patients for unspecified indications while an additional 5% of patients used these for kidney pain. Dietary restrictions for sodium, protein or caffeine were prescribed in 31%, 17% and 34% of patients, respectively.</w:t>
      </w:r>
    </w:p>
    <w:p w14:paraId="6C20B883" w14:textId="77777777" w:rsidR="00422006" w:rsidRPr="00362E44" w:rsidRDefault="00422006" w:rsidP="00FE12B4">
      <w:pPr>
        <w:widowControl w:val="0"/>
        <w:autoSpaceDE w:val="0"/>
        <w:autoSpaceDN w:val="0"/>
        <w:adjustRightInd w:val="0"/>
        <w:rPr>
          <w:rFonts w:eastAsiaTheme="minorHAnsi"/>
          <w:color w:val="auto"/>
          <w:szCs w:val="24"/>
          <w:lang w:val="en-US" w:eastAsia="en-US"/>
        </w:rPr>
      </w:pPr>
    </w:p>
    <w:p w14:paraId="3E5358D3" w14:textId="77777777" w:rsidR="00FE12B4" w:rsidRPr="00362E44" w:rsidRDefault="00FA2988" w:rsidP="00FE12B4">
      <w:pPr>
        <w:widowControl w:val="0"/>
        <w:autoSpaceDE w:val="0"/>
        <w:autoSpaceDN w:val="0"/>
        <w:adjustRightInd w:val="0"/>
        <w:rPr>
          <w:rFonts w:eastAsiaTheme="minorHAnsi"/>
          <w:color w:val="auto"/>
          <w:szCs w:val="24"/>
          <w:lang w:val="en-US" w:eastAsia="en-US"/>
        </w:rPr>
      </w:pPr>
      <w:r w:rsidRPr="00362E44">
        <w:rPr>
          <w:rFonts w:eastAsiaTheme="minorHAnsi"/>
          <w:color w:val="auto"/>
          <w:szCs w:val="24"/>
          <w:lang w:val="en-US" w:eastAsia="en-US"/>
        </w:rPr>
        <w:t>The primary endpoint (TKV slope) was the intergroup difference for rate of change of</w:t>
      </w:r>
    </w:p>
    <w:p w14:paraId="1E836B66" w14:textId="77777777" w:rsidR="00FE12B4" w:rsidRPr="00362E44" w:rsidRDefault="00FA2988" w:rsidP="00FE12B4">
      <w:pPr>
        <w:widowControl w:val="0"/>
        <w:autoSpaceDE w:val="0"/>
        <w:autoSpaceDN w:val="0"/>
        <w:adjustRightInd w:val="0"/>
        <w:rPr>
          <w:rFonts w:eastAsiaTheme="minorHAnsi"/>
          <w:color w:val="auto"/>
          <w:szCs w:val="24"/>
          <w:lang w:val="en-US" w:eastAsia="en-US"/>
        </w:rPr>
      </w:pPr>
      <w:r w:rsidRPr="00362E44">
        <w:rPr>
          <w:rFonts w:eastAsiaTheme="minorHAnsi"/>
          <w:color w:val="auto"/>
          <w:szCs w:val="24"/>
          <w:lang w:val="en-US" w:eastAsia="en-US"/>
        </w:rPr>
        <w:t>TKV normalized as a percentage. TKV increased in the tolvaptan group at a rate of 2.80% per year (95% confidence interval [CI], 2.5% to 3.1%) compared with 5.51% per year</w:t>
      </w:r>
    </w:p>
    <w:p w14:paraId="32BBEC3E" w14:textId="77777777" w:rsidR="00FE12B4" w:rsidRPr="00362E44" w:rsidRDefault="00FA2988" w:rsidP="00FE12B4">
      <w:pPr>
        <w:widowControl w:val="0"/>
        <w:autoSpaceDE w:val="0"/>
        <w:autoSpaceDN w:val="0"/>
        <w:adjustRightInd w:val="0"/>
        <w:rPr>
          <w:rFonts w:eastAsiaTheme="minorHAnsi"/>
          <w:color w:val="auto"/>
          <w:szCs w:val="24"/>
          <w:lang w:val="en-US" w:eastAsia="en-US"/>
        </w:rPr>
      </w:pPr>
      <w:r w:rsidRPr="00362E44">
        <w:rPr>
          <w:rFonts w:eastAsiaTheme="minorHAnsi"/>
          <w:color w:val="auto"/>
          <w:szCs w:val="24"/>
          <w:lang w:val="en-US" w:eastAsia="en-US"/>
        </w:rPr>
        <w:t>(95% CI, 5.1% to 6.0%) for placebo representing a 49.2% reduction in growth rate averaged over 3 years (p&lt;0.0001).</w:t>
      </w:r>
    </w:p>
    <w:p w14:paraId="6E62C53C" w14:textId="77777777" w:rsidR="00422006" w:rsidRPr="00362E44" w:rsidRDefault="00422006" w:rsidP="00FE12B4">
      <w:pPr>
        <w:widowControl w:val="0"/>
        <w:autoSpaceDE w:val="0"/>
        <w:autoSpaceDN w:val="0"/>
        <w:adjustRightInd w:val="0"/>
        <w:rPr>
          <w:rFonts w:eastAsiaTheme="minorHAnsi"/>
          <w:color w:val="auto"/>
          <w:szCs w:val="24"/>
          <w:lang w:val="en-US" w:eastAsia="en-US"/>
        </w:rPr>
      </w:pPr>
    </w:p>
    <w:p w14:paraId="5E359045" w14:textId="12D83495" w:rsidR="00422006" w:rsidRPr="00362E44" w:rsidRDefault="00FA2988" w:rsidP="00FE12B4">
      <w:pPr>
        <w:widowControl w:val="0"/>
        <w:autoSpaceDE w:val="0"/>
        <w:autoSpaceDN w:val="0"/>
        <w:adjustRightInd w:val="0"/>
        <w:rPr>
          <w:rFonts w:eastAsiaTheme="minorHAnsi"/>
          <w:color w:val="auto"/>
          <w:szCs w:val="24"/>
          <w:lang w:val="en-US" w:eastAsia="en-US"/>
        </w:rPr>
      </w:pPr>
      <w:r w:rsidRPr="00362E44">
        <w:rPr>
          <w:rFonts w:eastAsiaTheme="minorHAnsi"/>
          <w:color w:val="auto"/>
          <w:szCs w:val="24"/>
          <w:lang w:val="en-US" w:eastAsia="en-US"/>
        </w:rPr>
        <w:t>Pre-specified secondary end-points were tested sequentially. The key secondary composite endpoint (ADPKD progression) was time to multiple clinical progression events of: 1</w:t>
      </w:r>
      <w:r w:rsidR="00A3466F" w:rsidRPr="00362E44">
        <w:rPr>
          <w:rFonts w:eastAsiaTheme="minorHAnsi"/>
          <w:color w:val="auto"/>
          <w:szCs w:val="24"/>
          <w:lang w:val="en-US" w:eastAsia="en-US"/>
        </w:rPr>
        <w:t>)</w:t>
      </w:r>
      <w:r w:rsidR="00A3466F">
        <w:rPr>
          <w:rFonts w:eastAsiaTheme="minorHAnsi"/>
          <w:color w:val="auto"/>
          <w:szCs w:val="24"/>
          <w:lang w:val="en-US" w:eastAsia="en-US"/>
        </w:rPr>
        <w:t> </w:t>
      </w:r>
      <w:r w:rsidRPr="00362E44">
        <w:rPr>
          <w:rFonts w:eastAsiaTheme="minorHAnsi"/>
          <w:color w:val="auto"/>
          <w:szCs w:val="24"/>
          <w:lang w:val="en-US" w:eastAsia="en-US"/>
        </w:rPr>
        <w:t>worsening kidney function (defined as a persistent [reproduced over at least 2 weeks] 25% reduction in reciprocal serum creatinine during treatment (from end of titration to last on-drug visit); 2) medically significant kidney pain (defined as requiring prescribed leave, last-resort analgesics, narcotic and anti-nociceptive, radiologic or surgical interventions); 3</w:t>
      </w:r>
      <w:r w:rsidR="00A3466F" w:rsidRPr="00362E44">
        <w:rPr>
          <w:rFonts w:eastAsiaTheme="minorHAnsi"/>
          <w:color w:val="auto"/>
          <w:szCs w:val="24"/>
          <w:lang w:val="en-US" w:eastAsia="en-US"/>
        </w:rPr>
        <w:t>)</w:t>
      </w:r>
      <w:r w:rsidR="00A3466F">
        <w:rPr>
          <w:rFonts w:eastAsiaTheme="minorHAnsi"/>
          <w:color w:val="auto"/>
          <w:szCs w:val="24"/>
          <w:lang w:val="en-US" w:eastAsia="en-US"/>
        </w:rPr>
        <w:t> </w:t>
      </w:r>
      <w:r w:rsidRPr="00362E44">
        <w:rPr>
          <w:rFonts w:eastAsiaTheme="minorHAnsi"/>
          <w:color w:val="auto"/>
          <w:szCs w:val="24"/>
          <w:lang w:val="en-US" w:eastAsia="en-US"/>
        </w:rPr>
        <w:t xml:space="preserve">worsening hypertension (defined as a persistent increase in blood pressure category or an increased anti-hypertensive prescription); 4) worsening albuminuria (defined as a persistent [reproduced at 2 of 3 successive assessments] increase in albumin/creatinine ratio category). </w:t>
      </w:r>
    </w:p>
    <w:p w14:paraId="47ECA279" w14:textId="77777777" w:rsidR="00422006" w:rsidRPr="00362E44" w:rsidRDefault="00422006" w:rsidP="00FE12B4">
      <w:pPr>
        <w:widowControl w:val="0"/>
        <w:autoSpaceDE w:val="0"/>
        <w:autoSpaceDN w:val="0"/>
        <w:adjustRightInd w:val="0"/>
        <w:rPr>
          <w:rFonts w:eastAsiaTheme="minorHAnsi"/>
          <w:color w:val="auto"/>
          <w:szCs w:val="24"/>
          <w:lang w:val="en-US" w:eastAsia="en-US"/>
        </w:rPr>
      </w:pPr>
    </w:p>
    <w:p w14:paraId="5C21DC04" w14:textId="77777777" w:rsidR="00FE12B4" w:rsidRPr="00362E44" w:rsidRDefault="00FA2988" w:rsidP="00FE12B4">
      <w:pPr>
        <w:widowControl w:val="0"/>
        <w:autoSpaceDE w:val="0"/>
        <w:autoSpaceDN w:val="0"/>
        <w:adjustRightInd w:val="0"/>
        <w:rPr>
          <w:rFonts w:eastAsiaTheme="minorHAnsi"/>
          <w:color w:val="auto"/>
          <w:szCs w:val="24"/>
          <w:lang w:val="en-US" w:eastAsia="en-US"/>
        </w:rPr>
      </w:pPr>
      <w:r w:rsidRPr="00362E44">
        <w:rPr>
          <w:rFonts w:eastAsiaTheme="minorHAnsi"/>
          <w:color w:val="auto"/>
          <w:szCs w:val="24"/>
          <w:lang w:val="en-US" w:eastAsia="en-US"/>
        </w:rPr>
        <w:t>The relative rate of ADPKD-related events was decreased by 13.5% in tolvaptan-treated patients, (44 vs. 50 events; hazard ratio, 0.87; 95% CI, 0.78 to 0.97; p=0.0095).</w:t>
      </w:r>
    </w:p>
    <w:p w14:paraId="1A025A0D" w14:textId="77777777" w:rsidR="00422006" w:rsidRPr="00362E44" w:rsidRDefault="00422006" w:rsidP="00FE12B4">
      <w:pPr>
        <w:widowControl w:val="0"/>
        <w:autoSpaceDE w:val="0"/>
        <w:autoSpaceDN w:val="0"/>
        <w:adjustRightInd w:val="0"/>
        <w:rPr>
          <w:rFonts w:eastAsiaTheme="minorHAnsi"/>
          <w:color w:val="auto"/>
          <w:szCs w:val="24"/>
          <w:lang w:val="en-US" w:eastAsia="en-US"/>
        </w:rPr>
      </w:pPr>
    </w:p>
    <w:p w14:paraId="67455AF8" w14:textId="77777777" w:rsidR="00FE12B4" w:rsidRPr="00362E44" w:rsidRDefault="00FA2988" w:rsidP="00422006">
      <w:pPr>
        <w:widowControl w:val="0"/>
        <w:autoSpaceDE w:val="0"/>
        <w:autoSpaceDN w:val="0"/>
        <w:adjustRightInd w:val="0"/>
        <w:rPr>
          <w:rFonts w:eastAsiaTheme="minorHAnsi"/>
          <w:color w:val="auto"/>
          <w:szCs w:val="24"/>
          <w:lang w:val="en-US" w:eastAsia="en-US"/>
        </w:rPr>
      </w:pPr>
      <w:r w:rsidRPr="00362E44">
        <w:rPr>
          <w:rFonts w:eastAsiaTheme="minorHAnsi"/>
          <w:color w:val="auto"/>
          <w:szCs w:val="24"/>
          <w:lang w:val="en-US" w:eastAsia="en-US"/>
        </w:rPr>
        <w:t>The result of the key secondary composite endpoint is primarily attributed to effects on worsening kidney function and medically significant kidney pain. The renal function events were 61.4% less likely for tolvaptan compared with placebo (2 events per 100 person-years of follow-up in the tolvaptan group vs. 5 in the placebo group; hazard ratio, 0.39; 95% CI, 0.26 to 0.57; nominal p &lt;0.0001, Figure 4), while renal pain events were 35.8% less likely in tolvaptan-treated patients (5 events per 100 person-years of follow-up in the tolvaptan group vs. 7 in the placebo group; hazard ratio, 0.64; 95% CI, 0.47 to 0.89; nominal p=0.007, Figure 1). In contrast, there was no effect of tolvaptan on either progression of hypertension or albuminuria.</w:t>
      </w:r>
    </w:p>
    <w:p w14:paraId="6ABFC969" w14:textId="77777777" w:rsidR="00FE12B4" w:rsidRDefault="00FE12B4" w:rsidP="00FE12B4">
      <w:pPr>
        <w:autoSpaceDE w:val="0"/>
        <w:autoSpaceDN w:val="0"/>
        <w:adjustRightInd w:val="0"/>
        <w:rPr>
          <w:rFonts w:eastAsiaTheme="minorHAnsi"/>
          <w:color w:val="auto"/>
          <w:szCs w:val="24"/>
          <w:lang w:val="en-US" w:eastAsia="en-US"/>
        </w:rPr>
      </w:pPr>
    </w:p>
    <w:p w14:paraId="5A9EC1DF" w14:textId="77777777" w:rsidR="00FE12B4" w:rsidRPr="00362E44" w:rsidRDefault="00FA2988" w:rsidP="00A03A22">
      <w:pPr>
        <w:pageBreakBefore/>
        <w:autoSpaceDE w:val="0"/>
        <w:autoSpaceDN w:val="0"/>
        <w:adjustRightInd w:val="0"/>
        <w:rPr>
          <w:rFonts w:eastAsiaTheme="minorHAnsi"/>
          <w:b/>
          <w:color w:val="auto"/>
          <w:szCs w:val="24"/>
          <w:lang w:val="en-US" w:eastAsia="en-US"/>
        </w:rPr>
      </w:pPr>
      <w:r w:rsidRPr="00362E44">
        <w:rPr>
          <w:rFonts w:eastAsiaTheme="minorHAnsi"/>
          <w:b/>
          <w:color w:val="auto"/>
          <w:szCs w:val="24"/>
          <w:lang w:val="en-US" w:eastAsia="en-US"/>
        </w:rPr>
        <w:lastRenderedPageBreak/>
        <w:t>Figure 1</w:t>
      </w:r>
      <w:r w:rsidR="00FE12B4" w:rsidRPr="00362E44">
        <w:rPr>
          <w:rFonts w:eastAsiaTheme="minorHAnsi"/>
          <w:b/>
          <w:color w:val="auto"/>
          <w:szCs w:val="24"/>
          <w:lang w:val="en-US" w:eastAsia="en-US"/>
        </w:rPr>
        <w:t>: cumulative Hazard Function for Time to Multiple Events of Worsening Kidney Function and Kidney Pain</w:t>
      </w:r>
    </w:p>
    <w:p w14:paraId="1780641A" w14:textId="77777777" w:rsidR="00FE12B4" w:rsidRDefault="00FE12B4" w:rsidP="00FE12B4">
      <w:pPr>
        <w:autoSpaceDE w:val="0"/>
        <w:autoSpaceDN w:val="0"/>
        <w:adjustRightInd w:val="0"/>
        <w:rPr>
          <w:rFonts w:eastAsiaTheme="minorHAnsi"/>
          <w:color w:val="auto"/>
          <w:szCs w:val="24"/>
          <w:lang w:val="en-US" w:eastAsia="en-US"/>
        </w:rPr>
      </w:pPr>
    </w:p>
    <w:p w14:paraId="338CF5FD" w14:textId="77777777" w:rsidR="00FE12B4" w:rsidRDefault="00FE12B4" w:rsidP="00FE12B4">
      <w:pPr>
        <w:autoSpaceDE w:val="0"/>
        <w:autoSpaceDN w:val="0"/>
        <w:adjustRightInd w:val="0"/>
        <w:rPr>
          <w:rFonts w:eastAsiaTheme="minorHAnsi"/>
          <w:color w:val="auto"/>
          <w:szCs w:val="24"/>
          <w:lang w:val="en-US" w:eastAsia="en-US"/>
        </w:rPr>
      </w:pPr>
      <w:r>
        <w:rPr>
          <w:rFonts w:eastAsiaTheme="minorHAnsi"/>
          <w:noProof/>
          <w:color w:val="auto"/>
          <w:szCs w:val="24"/>
          <w:lang w:val="en-AU" w:eastAsia="en-AU"/>
        </w:rPr>
        <w:drawing>
          <wp:inline distT="0" distB="0" distL="0" distR="0" wp14:anchorId="0570A265" wp14:editId="4D12BA22">
            <wp:extent cx="5731510" cy="418720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187207"/>
                    </a:xfrm>
                    <a:prstGeom prst="rect">
                      <a:avLst/>
                    </a:prstGeom>
                    <a:noFill/>
                    <a:ln>
                      <a:noFill/>
                    </a:ln>
                  </pic:spPr>
                </pic:pic>
              </a:graphicData>
            </a:graphic>
          </wp:inline>
        </w:drawing>
      </w:r>
    </w:p>
    <w:p w14:paraId="41C5BBC2" w14:textId="5F3D744A" w:rsidR="00FE12B4" w:rsidRPr="000971B3" w:rsidRDefault="00FA2988" w:rsidP="00FE12B4">
      <w:pPr>
        <w:widowControl w:val="0"/>
        <w:autoSpaceDE w:val="0"/>
        <w:autoSpaceDN w:val="0"/>
        <w:adjustRightInd w:val="0"/>
        <w:rPr>
          <w:rFonts w:eastAsiaTheme="minorHAnsi"/>
          <w:color w:val="auto"/>
          <w:szCs w:val="24"/>
          <w:lang w:val="en-US" w:eastAsia="en-US"/>
        </w:rPr>
      </w:pPr>
      <w:r w:rsidRPr="000971B3">
        <w:rPr>
          <w:rFonts w:eastAsiaTheme="minorHAnsi"/>
          <w:color w:val="auto"/>
          <w:szCs w:val="24"/>
          <w:lang w:val="en-US" w:eastAsia="en-US"/>
        </w:rPr>
        <w:t>The next sequentially ordered secondary endpoint of slope of kidney function decline was assessed as change in estimated glomerular filtration rate (</w:t>
      </w:r>
      <w:proofErr w:type="spellStart"/>
      <w:r w:rsidRPr="000971B3">
        <w:rPr>
          <w:rFonts w:eastAsiaTheme="minorHAnsi"/>
          <w:color w:val="auto"/>
          <w:szCs w:val="24"/>
          <w:lang w:val="en-US" w:eastAsia="en-US"/>
        </w:rPr>
        <w:t>eGFR</w:t>
      </w:r>
      <w:proofErr w:type="spellEnd"/>
      <w:r w:rsidRPr="000971B3">
        <w:rPr>
          <w:rFonts w:eastAsiaTheme="minorHAnsi"/>
          <w:color w:val="auto"/>
          <w:szCs w:val="24"/>
          <w:lang w:val="en-US" w:eastAsia="en-US"/>
        </w:rPr>
        <w:t>-CKD EPI) during treatment (from end of titration to last on-drug visit). The tolvaptan-treated patients had a 26.4% reduction in the rate of renal function decline compared with placebo (-2.7 versus - 3.7 (mL/min/1.73</w:t>
      </w:r>
      <w:r w:rsidR="00514078">
        <w:rPr>
          <w:rFonts w:eastAsiaTheme="minorHAnsi"/>
          <w:color w:val="auto"/>
          <w:szCs w:val="24"/>
          <w:lang w:val="en-US" w:eastAsia="en-US"/>
        </w:rPr>
        <w:t xml:space="preserve"> </w:t>
      </w:r>
      <w:r w:rsidRPr="000971B3">
        <w:rPr>
          <w:rFonts w:eastAsiaTheme="minorHAnsi"/>
          <w:color w:val="auto"/>
          <w:szCs w:val="24"/>
          <w:lang w:val="en-US" w:eastAsia="en-US"/>
        </w:rPr>
        <w:t xml:space="preserve">m2), p &lt;0.0001, Figure 2). Figure 2 represents slope of renal function for tolvaptan (solid) and placebo (dashed) change from end of titration baseline (i.e., end of Week 3). Box plots derived from </w:t>
      </w:r>
      <w:r w:rsidR="008C6BF9">
        <w:rPr>
          <w:rFonts w:eastAsiaTheme="minorHAnsi"/>
          <w:color w:val="auto"/>
          <w:szCs w:val="24"/>
          <w:lang w:val="en-US" w:eastAsia="en-US"/>
        </w:rPr>
        <w:t>mixed effect model repeat measurement (</w:t>
      </w:r>
      <w:r w:rsidRPr="000971B3">
        <w:rPr>
          <w:rFonts w:eastAsiaTheme="minorHAnsi"/>
          <w:color w:val="auto"/>
          <w:szCs w:val="24"/>
          <w:lang w:val="en-US" w:eastAsia="en-US"/>
        </w:rPr>
        <w:t>MMRM</w:t>
      </w:r>
      <w:r w:rsidR="008C6BF9">
        <w:rPr>
          <w:rFonts w:eastAsiaTheme="minorHAnsi"/>
          <w:color w:val="auto"/>
          <w:szCs w:val="24"/>
          <w:lang w:val="en-US" w:eastAsia="en-US"/>
        </w:rPr>
        <w:t>)</w:t>
      </w:r>
      <w:r w:rsidRPr="000971B3">
        <w:rPr>
          <w:rFonts w:eastAsiaTheme="minorHAnsi"/>
          <w:color w:val="auto"/>
          <w:szCs w:val="24"/>
          <w:lang w:val="en-US" w:eastAsia="en-US"/>
        </w:rPr>
        <w:t xml:space="preserve"> analyses to each indicated 12-month visit with</w:t>
      </w:r>
    </w:p>
    <w:p w14:paraId="59C0DAF1" w14:textId="77777777" w:rsidR="00FE12B4" w:rsidRPr="000971B3" w:rsidRDefault="00FA2988" w:rsidP="00422006">
      <w:pPr>
        <w:widowControl w:val="0"/>
        <w:autoSpaceDE w:val="0"/>
        <w:autoSpaceDN w:val="0"/>
        <w:adjustRightInd w:val="0"/>
        <w:rPr>
          <w:rFonts w:eastAsiaTheme="minorHAnsi"/>
          <w:color w:val="auto"/>
          <w:szCs w:val="24"/>
          <w:lang w:val="en-US" w:eastAsia="en-US"/>
        </w:rPr>
      </w:pPr>
      <w:r w:rsidRPr="000971B3">
        <w:rPr>
          <w:rFonts w:eastAsiaTheme="minorHAnsi"/>
          <w:color w:val="auto"/>
          <w:szCs w:val="24"/>
          <w:lang w:val="en-US" w:eastAsia="en-US"/>
        </w:rPr>
        <w:t>5th, 25th, mean, 75th and 95th percentiles of change from end of titration for tolvaptan (grey) and placebo (white) groups.</w:t>
      </w:r>
    </w:p>
    <w:p w14:paraId="569C24BE" w14:textId="77777777" w:rsidR="00FE12B4" w:rsidRDefault="00FE12B4" w:rsidP="00FE12B4">
      <w:pPr>
        <w:autoSpaceDE w:val="0"/>
        <w:autoSpaceDN w:val="0"/>
        <w:adjustRightInd w:val="0"/>
        <w:rPr>
          <w:rFonts w:eastAsiaTheme="minorHAnsi"/>
          <w:color w:val="auto"/>
          <w:szCs w:val="24"/>
          <w:lang w:val="en-US" w:eastAsia="en-US"/>
        </w:rPr>
      </w:pPr>
    </w:p>
    <w:p w14:paraId="1C79E887" w14:textId="57CACF9C" w:rsidR="003C09B4" w:rsidRPr="000971B3" w:rsidRDefault="003C09B4" w:rsidP="00FE12B4">
      <w:pPr>
        <w:autoSpaceDE w:val="0"/>
        <w:autoSpaceDN w:val="0"/>
        <w:adjustRightInd w:val="0"/>
        <w:rPr>
          <w:rFonts w:eastAsiaTheme="minorHAnsi"/>
          <w:color w:val="auto"/>
          <w:szCs w:val="24"/>
          <w:lang w:val="en-US" w:eastAsia="en-US"/>
        </w:rPr>
      </w:pPr>
    </w:p>
    <w:p w14:paraId="3F3A7B05" w14:textId="77777777" w:rsidR="00FE12B4" w:rsidRPr="000971B3" w:rsidRDefault="00FA2988" w:rsidP="00F36329">
      <w:pPr>
        <w:keepNext/>
        <w:autoSpaceDE w:val="0"/>
        <w:autoSpaceDN w:val="0"/>
        <w:adjustRightInd w:val="0"/>
        <w:rPr>
          <w:rFonts w:eastAsiaTheme="minorHAnsi"/>
          <w:b/>
          <w:color w:val="auto"/>
          <w:szCs w:val="24"/>
          <w:lang w:val="en-US" w:eastAsia="en-US"/>
        </w:rPr>
      </w:pPr>
      <w:r w:rsidRPr="000971B3">
        <w:rPr>
          <w:rFonts w:eastAsiaTheme="minorHAnsi"/>
          <w:b/>
          <w:color w:val="auto"/>
          <w:szCs w:val="24"/>
          <w:lang w:val="en-US" w:eastAsia="en-US"/>
        </w:rPr>
        <w:lastRenderedPageBreak/>
        <w:t>Figure 2</w:t>
      </w:r>
      <w:r w:rsidR="00FE12B4" w:rsidRPr="000971B3">
        <w:rPr>
          <w:rFonts w:eastAsiaTheme="minorHAnsi"/>
          <w:b/>
          <w:color w:val="auto"/>
          <w:szCs w:val="24"/>
          <w:lang w:val="en-US" w:eastAsia="en-US"/>
        </w:rPr>
        <w:t>: Change in Renal Function (</w:t>
      </w:r>
      <w:proofErr w:type="spellStart"/>
      <w:r w:rsidR="00FE12B4" w:rsidRPr="000971B3">
        <w:rPr>
          <w:rFonts w:eastAsiaTheme="minorHAnsi"/>
          <w:b/>
          <w:color w:val="auto"/>
          <w:szCs w:val="24"/>
          <w:lang w:val="en-US" w:eastAsia="en-US"/>
        </w:rPr>
        <w:t>eGFR</w:t>
      </w:r>
      <w:proofErr w:type="spellEnd"/>
      <w:r w:rsidR="00FE12B4" w:rsidRPr="000971B3">
        <w:rPr>
          <w:rFonts w:eastAsiaTheme="minorHAnsi"/>
          <w:b/>
          <w:color w:val="auto"/>
          <w:szCs w:val="24"/>
          <w:lang w:val="en-US" w:eastAsia="en-US"/>
        </w:rPr>
        <w:t xml:space="preserve"> CKD-EPI)</w:t>
      </w:r>
    </w:p>
    <w:p w14:paraId="418E3B2B" w14:textId="77777777" w:rsidR="00FE12B4" w:rsidRDefault="00FE12B4" w:rsidP="00F36329">
      <w:pPr>
        <w:keepNext/>
        <w:autoSpaceDE w:val="0"/>
        <w:autoSpaceDN w:val="0"/>
        <w:adjustRightInd w:val="0"/>
        <w:rPr>
          <w:rFonts w:eastAsiaTheme="minorHAnsi"/>
          <w:color w:val="auto"/>
          <w:szCs w:val="24"/>
          <w:lang w:val="en-US" w:eastAsia="en-US"/>
        </w:rPr>
      </w:pPr>
    </w:p>
    <w:p w14:paraId="0880BDFC" w14:textId="77777777" w:rsidR="00FE12B4" w:rsidRDefault="00FE12B4" w:rsidP="00F36329">
      <w:pPr>
        <w:pStyle w:val="ListParagraph"/>
        <w:keepNext/>
        <w:kinsoku w:val="0"/>
        <w:overflowPunct w:val="0"/>
        <w:spacing w:line="6550" w:lineRule="exact"/>
        <w:ind w:left="114"/>
        <w:rPr>
          <w:position w:val="-131"/>
          <w:sz w:val="20"/>
          <w:szCs w:val="20"/>
        </w:rPr>
      </w:pPr>
      <w:r>
        <w:rPr>
          <w:noProof/>
          <w:position w:val="-131"/>
          <w:sz w:val="20"/>
          <w:szCs w:val="20"/>
          <w:lang w:val="en-AU" w:eastAsia="en-AU"/>
        </w:rPr>
        <w:drawing>
          <wp:inline distT="0" distB="0" distL="0" distR="0" wp14:anchorId="627B8217" wp14:editId="373AA118">
            <wp:extent cx="5520055" cy="41573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0055" cy="4157345"/>
                    </a:xfrm>
                    <a:prstGeom prst="rect">
                      <a:avLst/>
                    </a:prstGeom>
                    <a:noFill/>
                    <a:ln>
                      <a:noFill/>
                    </a:ln>
                  </pic:spPr>
                </pic:pic>
              </a:graphicData>
            </a:graphic>
          </wp:inline>
        </w:drawing>
      </w:r>
    </w:p>
    <w:p w14:paraId="4E052C76" w14:textId="77777777" w:rsidR="00FE12B4" w:rsidRDefault="00FE12B4" w:rsidP="00FE12B4">
      <w:pPr>
        <w:autoSpaceDE w:val="0"/>
        <w:autoSpaceDN w:val="0"/>
        <w:adjustRightInd w:val="0"/>
        <w:rPr>
          <w:rFonts w:eastAsia="TimesNewRoman,Bold"/>
          <w:color w:val="auto"/>
          <w:szCs w:val="24"/>
          <w:lang w:val="en-US" w:eastAsia="en-US"/>
        </w:rPr>
      </w:pPr>
    </w:p>
    <w:p w14:paraId="37878262" w14:textId="77777777" w:rsidR="00FE12B4" w:rsidRPr="000971B3" w:rsidRDefault="00FA2988" w:rsidP="00FE12B4">
      <w:pPr>
        <w:widowControl w:val="0"/>
        <w:autoSpaceDE w:val="0"/>
        <w:autoSpaceDN w:val="0"/>
        <w:adjustRightInd w:val="0"/>
        <w:rPr>
          <w:rFonts w:eastAsiaTheme="minorHAnsi"/>
          <w:color w:val="auto"/>
          <w:szCs w:val="24"/>
          <w:lang w:val="en-US" w:eastAsia="en-US"/>
        </w:rPr>
      </w:pPr>
      <w:r w:rsidRPr="000971B3">
        <w:rPr>
          <w:rFonts w:eastAsiaTheme="minorHAnsi"/>
          <w:color w:val="auto"/>
          <w:szCs w:val="24"/>
          <w:lang w:val="en-US" w:eastAsia="en-US"/>
        </w:rPr>
        <w:t xml:space="preserve">Subgroup analysis of all endpoints above (change in TKV, key composite [including time to worsening of kidney function and time to medically significant kidney pain] and change in slope of decline in renal function) demonstrated consistent efficacy (directional) in all pre-specified subgroups, including those stratified by age, gender, race, geographical location, baseline hypertension, baseline </w:t>
      </w:r>
      <w:proofErr w:type="spellStart"/>
      <w:r w:rsidRPr="000971B3">
        <w:rPr>
          <w:rFonts w:eastAsiaTheme="minorHAnsi"/>
          <w:color w:val="auto"/>
          <w:szCs w:val="24"/>
          <w:lang w:val="en-US" w:eastAsia="en-US"/>
        </w:rPr>
        <w:t>eGFR</w:t>
      </w:r>
      <w:proofErr w:type="spellEnd"/>
      <w:r w:rsidRPr="000971B3">
        <w:rPr>
          <w:rFonts w:eastAsiaTheme="minorHAnsi"/>
          <w:color w:val="auto"/>
          <w:szCs w:val="24"/>
          <w:lang w:val="en-US" w:eastAsia="en-US"/>
        </w:rPr>
        <w:t xml:space="preserve"> and baseline TKV.</w:t>
      </w:r>
    </w:p>
    <w:p w14:paraId="64A1C96F" w14:textId="77777777" w:rsidR="00592827" w:rsidRPr="000971B3" w:rsidRDefault="00592827" w:rsidP="00FE12B4">
      <w:pPr>
        <w:widowControl w:val="0"/>
        <w:autoSpaceDE w:val="0"/>
        <w:autoSpaceDN w:val="0"/>
        <w:adjustRightInd w:val="0"/>
        <w:rPr>
          <w:rFonts w:eastAsiaTheme="minorHAnsi"/>
          <w:color w:val="auto"/>
          <w:szCs w:val="24"/>
          <w:lang w:val="en-US" w:eastAsia="en-US"/>
        </w:rPr>
      </w:pPr>
    </w:p>
    <w:p w14:paraId="2DB98D61" w14:textId="53A33072" w:rsidR="00592827" w:rsidRPr="000971B3" w:rsidRDefault="00592827" w:rsidP="00592827">
      <w:pPr>
        <w:suppressLineNumbers/>
        <w:autoSpaceDE w:val="0"/>
        <w:autoSpaceDN w:val="0"/>
        <w:adjustRightInd w:val="0"/>
        <w:rPr>
          <w:szCs w:val="24"/>
        </w:rPr>
      </w:pPr>
      <w:r w:rsidRPr="000971B3">
        <w:rPr>
          <w:szCs w:val="24"/>
        </w:rPr>
        <w:t xml:space="preserve">Patients were not genotyped to separate into ADPKD type 1 and 2 and it is not known whether </w:t>
      </w:r>
      <w:r w:rsidR="001522D8">
        <w:rPr>
          <w:szCs w:val="24"/>
        </w:rPr>
        <w:t>JINARC</w:t>
      </w:r>
      <w:r w:rsidRPr="000971B3">
        <w:rPr>
          <w:szCs w:val="24"/>
        </w:rPr>
        <w:t xml:space="preserve"> has comparable efficacy in these subgroups</w:t>
      </w:r>
      <w:r w:rsidR="00FA2988" w:rsidRPr="000971B3">
        <w:rPr>
          <w:szCs w:val="24"/>
        </w:rPr>
        <w:t>.</w:t>
      </w:r>
    </w:p>
    <w:p w14:paraId="427184DA" w14:textId="77777777" w:rsidR="00422006" w:rsidRPr="000971B3" w:rsidRDefault="00422006" w:rsidP="00FE12B4">
      <w:pPr>
        <w:widowControl w:val="0"/>
        <w:autoSpaceDE w:val="0"/>
        <w:autoSpaceDN w:val="0"/>
        <w:adjustRightInd w:val="0"/>
        <w:rPr>
          <w:rFonts w:eastAsiaTheme="minorHAnsi"/>
          <w:color w:val="auto"/>
          <w:szCs w:val="24"/>
          <w:lang w:val="en-US" w:eastAsia="en-US"/>
        </w:rPr>
      </w:pPr>
    </w:p>
    <w:p w14:paraId="18026508" w14:textId="5BF872AC" w:rsidR="00FE12B4" w:rsidRPr="000971B3" w:rsidRDefault="00FA2988" w:rsidP="00FE12B4">
      <w:pPr>
        <w:widowControl w:val="0"/>
        <w:autoSpaceDE w:val="0"/>
        <w:autoSpaceDN w:val="0"/>
        <w:adjustRightInd w:val="0"/>
        <w:rPr>
          <w:rFonts w:eastAsiaTheme="minorHAnsi"/>
          <w:color w:val="auto"/>
          <w:szCs w:val="24"/>
          <w:lang w:val="en-US" w:eastAsia="en-US"/>
        </w:rPr>
      </w:pPr>
      <w:r w:rsidRPr="000971B3">
        <w:rPr>
          <w:rFonts w:eastAsiaTheme="minorHAnsi"/>
          <w:color w:val="auto"/>
          <w:szCs w:val="24"/>
          <w:lang w:val="en-US" w:eastAsia="en-US"/>
        </w:rPr>
        <w:t xml:space="preserve">In a long-term, open-label, multi-center dose ranging trial (TEMPO 2:4) in 46 adult patients (age 18-50 years) with ADPKD (meeting modified Ravine criteria and an estimated GFR </w:t>
      </w:r>
      <w:r w:rsidRPr="000971B3">
        <w:rPr>
          <w:rFonts w:ascii="¿≈'[ˇ" w:eastAsiaTheme="minorHAnsi" w:hAnsi="¿≈'[ˇ" w:cs="¿≈'[ˇ"/>
          <w:color w:val="auto"/>
          <w:szCs w:val="24"/>
          <w:lang w:val="en-US" w:eastAsia="en-US"/>
        </w:rPr>
        <w:t>≥</w:t>
      </w:r>
      <w:r w:rsidRPr="000971B3">
        <w:rPr>
          <w:rFonts w:eastAsiaTheme="minorHAnsi"/>
          <w:color w:val="auto"/>
          <w:szCs w:val="24"/>
          <w:lang w:val="en-US" w:eastAsia="en-US"/>
        </w:rPr>
        <w:t>30 mL/min)</w:t>
      </w:r>
      <w:r w:rsidR="00514078">
        <w:rPr>
          <w:rFonts w:eastAsiaTheme="minorHAnsi"/>
          <w:color w:val="auto"/>
          <w:szCs w:val="24"/>
          <w:lang w:val="en-US" w:eastAsia="en-US"/>
        </w:rPr>
        <w:t xml:space="preserve"> p</w:t>
      </w:r>
      <w:r w:rsidRPr="000971B3">
        <w:rPr>
          <w:rFonts w:eastAsiaTheme="minorHAnsi"/>
          <w:color w:val="auto"/>
          <w:szCs w:val="24"/>
          <w:lang w:val="en-US" w:eastAsia="en-US"/>
        </w:rPr>
        <w:t xml:space="preserve">atients were titrated in weekly intervals for the first 4 weeks among split doses of 30 mg/15 mg (down-titration to 15 mg/15 mg allowed for tolerability) to 90 mg/30 mg, then maintained at their maximal tolerated dose (MTD) through Month 2 (Titration Period). Following a determination of final long-term dosing regimens based on objective criteria (trough spot urine osmolality &lt;300 </w:t>
      </w:r>
      <w:proofErr w:type="spellStart"/>
      <w:r w:rsidRPr="000971B3">
        <w:rPr>
          <w:rFonts w:eastAsiaTheme="minorHAnsi"/>
          <w:color w:val="auto"/>
          <w:szCs w:val="24"/>
          <w:lang w:val="en-US" w:eastAsia="en-US"/>
        </w:rPr>
        <w:t>mOsm</w:t>
      </w:r>
      <w:proofErr w:type="spellEnd"/>
      <w:r w:rsidRPr="000971B3">
        <w:rPr>
          <w:rFonts w:eastAsiaTheme="minorHAnsi"/>
          <w:color w:val="auto"/>
          <w:szCs w:val="24"/>
          <w:lang w:val="en-US" w:eastAsia="en-US"/>
        </w:rPr>
        <w:t>/kg, median tolerability) using data from the Titration Period, patients were randomly allocated to a fixed high dose regimen (60 mg/30 mg) and fixed low dose regimen (45 mg/15 mg) for up to Month 36 (Fixed-dose Period). All patients discontinued treatment at the end of this phase of the trial and after a period of 4-6 months had an option to enter an Extension Period of treatment for an additional 12 months</w:t>
      </w:r>
      <w:r w:rsidR="00FE12B4" w:rsidRPr="000971B3">
        <w:rPr>
          <w:rFonts w:eastAsiaTheme="minorHAnsi"/>
          <w:color w:val="auto"/>
          <w:szCs w:val="24"/>
          <w:lang w:val="en-US" w:eastAsia="en-US"/>
        </w:rPr>
        <w:t>.</w:t>
      </w:r>
    </w:p>
    <w:p w14:paraId="2EEAA279" w14:textId="77777777" w:rsidR="00422006" w:rsidRPr="000971B3" w:rsidRDefault="00422006" w:rsidP="00FE12B4">
      <w:pPr>
        <w:widowControl w:val="0"/>
        <w:autoSpaceDE w:val="0"/>
        <w:autoSpaceDN w:val="0"/>
        <w:adjustRightInd w:val="0"/>
        <w:rPr>
          <w:rFonts w:eastAsiaTheme="minorHAnsi"/>
          <w:color w:val="auto"/>
          <w:szCs w:val="24"/>
          <w:lang w:val="en-US" w:eastAsia="en-US"/>
        </w:rPr>
      </w:pPr>
    </w:p>
    <w:p w14:paraId="7A67C921" w14:textId="77777777" w:rsidR="00FE12B4" w:rsidRPr="000971B3" w:rsidRDefault="00FA2988" w:rsidP="00FE12B4">
      <w:pPr>
        <w:widowControl w:val="0"/>
        <w:autoSpaceDE w:val="0"/>
        <w:autoSpaceDN w:val="0"/>
        <w:adjustRightInd w:val="0"/>
        <w:rPr>
          <w:rFonts w:eastAsiaTheme="minorHAnsi"/>
          <w:color w:val="auto"/>
          <w:szCs w:val="24"/>
          <w:lang w:val="en-US" w:eastAsia="en-US"/>
        </w:rPr>
      </w:pPr>
      <w:r w:rsidRPr="000971B3">
        <w:rPr>
          <w:rFonts w:eastAsiaTheme="minorHAnsi"/>
          <w:color w:val="auto"/>
          <w:szCs w:val="24"/>
          <w:lang w:val="en-US" w:eastAsia="en-US"/>
        </w:rPr>
        <w:t>All 46 of the patients who entered the Titration Period were treated in the Fixed-dose</w:t>
      </w:r>
    </w:p>
    <w:p w14:paraId="7A9BFAA2" w14:textId="77777777" w:rsidR="00FE12B4" w:rsidRPr="000971B3" w:rsidRDefault="00FA2988" w:rsidP="00FE12B4">
      <w:pPr>
        <w:widowControl w:val="0"/>
        <w:autoSpaceDE w:val="0"/>
        <w:autoSpaceDN w:val="0"/>
        <w:adjustRightInd w:val="0"/>
        <w:rPr>
          <w:rFonts w:eastAsiaTheme="minorHAnsi"/>
          <w:color w:val="auto"/>
          <w:szCs w:val="24"/>
          <w:lang w:val="en-US" w:eastAsia="en-US"/>
        </w:rPr>
      </w:pPr>
      <w:r w:rsidRPr="000971B3">
        <w:rPr>
          <w:rFonts w:eastAsiaTheme="minorHAnsi"/>
          <w:color w:val="auto"/>
          <w:szCs w:val="24"/>
          <w:lang w:val="en-US" w:eastAsia="en-US"/>
        </w:rPr>
        <w:lastRenderedPageBreak/>
        <w:t>Period, including 22 patients in the tolvaptan 45 mg/15 mg group and 24 patients in the</w:t>
      </w:r>
    </w:p>
    <w:p w14:paraId="68D17030" w14:textId="08BE66B0" w:rsidR="00FE12B4" w:rsidRPr="000971B3" w:rsidRDefault="00FA2988" w:rsidP="00FA5A49">
      <w:pPr>
        <w:widowControl w:val="0"/>
        <w:autoSpaceDE w:val="0"/>
        <w:autoSpaceDN w:val="0"/>
        <w:adjustRightInd w:val="0"/>
        <w:rPr>
          <w:rFonts w:eastAsiaTheme="minorHAnsi"/>
          <w:color w:val="auto"/>
          <w:szCs w:val="24"/>
          <w:lang w:val="en-US" w:eastAsia="en-US"/>
        </w:rPr>
      </w:pPr>
      <w:proofErr w:type="gramStart"/>
      <w:r w:rsidRPr="000971B3">
        <w:rPr>
          <w:rFonts w:eastAsiaTheme="minorHAnsi"/>
          <w:color w:val="auto"/>
          <w:szCs w:val="24"/>
          <w:lang w:val="en-US" w:eastAsia="en-US"/>
        </w:rPr>
        <w:t>tolvaptan</w:t>
      </w:r>
      <w:proofErr w:type="gramEnd"/>
      <w:r w:rsidRPr="000971B3">
        <w:rPr>
          <w:rFonts w:eastAsiaTheme="minorHAnsi"/>
          <w:color w:val="auto"/>
          <w:szCs w:val="24"/>
          <w:lang w:val="en-US" w:eastAsia="en-US"/>
        </w:rPr>
        <w:t xml:space="preserve"> 60 mg/30 mg group. Over the course of 36 to 48 months of open-label tolvaptan treatment, 39/46 patients (84.8%) completed the 36-month portion of the trial and 35/35 patients (100%) completed the 12-month Extension. At Month 36, TKV increased from baseline in both groups, with a higher mean (SD) percent increase seen in the tolvaptan 45 mg/15 mg group (9.86% [11.81%]) compared with the tolvaptan 60 mg/30 mg group</w:t>
      </w:r>
      <w:r w:rsidR="00FA5A49">
        <w:rPr>
          <w:rFonts w:eastAsiaTheme="minorHAnsi"/>
          <w:color w:val="auto"/>
          <w:szCs w:val="24"/>
          <w:lang w:val="en-US" w:eastAsia="en-US"/>
        </w:rPr>
        <w:t xml:space="preserve"> </w:t>
      </w:r>
      <w:r w:rsidRPr="000971B3">
        <w:rPr>
          <w:rFonts w:eastAsiaTheme="minorHAnsi"/>
          <w:color w:val="auto"/>
          <w:szCs w:val="24"/>
          <w:lang w:val="en-US" w:eastAsia="en-US"/>
        </w:rPr>
        <w:t xml:space="preserve">5.06% [9.77%]; nominal p =0.0553). The mean (SD) annual rate of change from </w:t>
      </w:r>
      <w:proofErr w:type="spellStart"/>
      <w:r w:rsidRPr="000971B3">
        <w:rPr>
          <w:rFonts w:eastAsiaTheme="minorHAnsi"/>
          <w:color w:val="auto"/>
          <w:szCs w:val="24"/>
          <w:lang w:val="en-US" w:eastAsia="en-US"/>
        </w:rPr>
        <w:t>predose</w:t>
      </w:r>
      <w:proofErr w:type="spellEnd"/>
      <w:r w:rsidR="00FA5A49">
        <w:rPr>
          <w:rFonts w:eastAsiaTheme="minorHAnsi"/>
          <w:color w:val="auto"/>
          <w:szCs w:val="24"/>
          <w:lang w:val="en-US" w:eastAsia="en-US"/>
        </w:rPr>
        <w:t xml:space="preserve"> </w:t>
      </w:r>
      <w:r w:rsidRPr="000971B3">
        <w:rPr>
          <w:rFonts w:eastAsiaTheme="minorHAnsi"/>
          <w:color w:val="auto"/>
          <w:szCs w:val="24"/>
          <w:lang w:val="en-US" w:eastAsia="en-US"/>
        </w:rPr>
        <w:t xml:space="preserve">baseline in </w:t>
      </w:r>
      <w:proofErr w:type="spellStart"/>
      <w:r w:rsidRPr="000971B3">
        <w:rPr>
          <w:rFonts w:eastAsiaTheme="minorHAnsi"/>
          <w:color w:val="auto"/>
          <w:szCs w:val="24"/>
          <w:lang w:val="en-US" w:eastAsia="en-US"/>
        </w:rPr>
        <w:t>eCrCLCG</w:t>
      </w:r>
      <w:proofErr w:type="spellEnd"/>
      <w:r w:rsidRPr="000971B3">
        <w:rPr>
          <w:rFonts w:eastAsiaTheme="minorHAnsi"/>
          <w:color w:val="auto"/>
          <w:szCs w:val="24"/>
          <w:lang w:val="en-US" w:eastAsia="en-US"/>
        </w:rPr>
        <w:t xml:space="preserve"> was </w:t>
      </w:r>
      <w:r w:rsidRPr="000971B3">
        <w:rPr>
          <w:rFonts w:ascii="¿≈'[ˇ" w:eastAsiaTheme="minorHAnsi" w:hAnsi="¿≈'[ˇ" w:cs="¿≈'[ˇ"/>
          <w:color w:val="auto"/>
          <w:szCs w:val="24"/>
          <w:lang w:val="en-US" w:eastAsia="en-US"/>
        </w:rPr>
        <w:t>−</w:t>
      </w:r>
      <w:r w:rsidRPr="000971B3">
        <w:rPr>
          <w:rFonts w:eastAsiaTheme="minorHAnsi"/>
          <w:color w:val="auto"/>
          <w:szCs w:val="24"/>
          <w:lang w:val="en-US" w:eastAsia="en-US"/>
        </w:rPr>
        <w:t>2.17 (14.45) mL/min/year in the tolvaptan 45 mg/15 mg group</w:t>
      </w:r>
      <w:r w:rsidR="00FA5A49">
        <w:rPr>
          <w:rFonts w:eastAsiaTheme="minorHAnsi"/>
          <w:color w:val="auto"/>
          <w:szCs w:val="24"/>
          <w:lang w:val="en-US" w:eastAsia="en-US"/>
        </w:rPr>
        <w:t xml:space="preserve"> </w:t>
      </w:r>
      <w:r w:rsidRPr="000971B3">
        <w:rPr>
          <w:rFonts w:eastAsiaTheme="minorHAnsi"/>
          <w:color w:val="auto"/>
          <w:szCs w:val="24"/>
          <w:lang w:val="en-US" w:eastAsia="en-US"/>
        </w:rPr>
        <w:t xml:space="preserve">and </w:t>
      </w:r>
      <w:r w:rsidRPr="000971B3">
        <w:rPr>
          <w:rFonts w:ascii="¿≈'[ˇ" w:eastAsiaTheme="minorHAnsi" w:hAnsi="¿≈'[ˇ" w:cs="¿≈'[ˇ"/>
          <w:color w:val="auto"/>
          <w:szCs w:val="24"/>
          <w:lang w:val="en-US" w:eastAsia="en-US"/>
        </w:rPr>
        <w:t>−</w:t>
      </w:r>
      <w:r w:rsidRPr="000971B3">
        <w:rPr>
          <w:rFonts w:eastAsiaTheme="minorHAnsi"/>
          <w:color w:val="auto"/>
          <w:szCs w:val="24"/>
          <w:lang w:val="en-US" w:eastAsia="en-US"/>
        </w:rPr>
        <w:t>0.450 (4.86) mL/min/year in the tolvaptan 60 mg/30 mg group. Upon withdrawal</w:t>
      </w:r>
      <w:r w:rsidR="00FA5A49">
        <w:rPr>
          <w:rFonts w:eastAsiaTheme="minorHAnsi"/>
          <w:color w:val="auto"/>
          <w:szCs w:val="24"/>
          <w:lang w:val="en-US" w:eastAsia="en-US"/>
        </w:rPr>
        <w:t xml:space="preserve"> </w:t>
      </w:r>
      <w:r w:rsidRPr="000971B3">
        <w:rPr>
          <w:rFonts w:eastAsiaTheme="minorHAnsi"/>
          <w:color w:val="auto"/>
          <w:szCs w:val="24"/>
          <w:lang w:val="en-US" w:eastAsia="en-US"/>
        </w:rPr>
        <w:t>from treatment, TKV increased at higher rates than while on treatment. Upon resumption</w:t>
      </w:r>
      <w:r w:rsidR="00FA5A49">
        <w:rPr>
          <w:rFonts w:eastAsiaTheme="minorHAnsi"/>
          <w:color w:val="auto"/>
          <w:szCs w:val="24"/>
          <w:lang w:val="en-US" w:eastAsia="en-US"/>
        </w:rPr>
        <w:t xml:space="preserve"> </w:t>
      </w:r>
      <w:r w:rsidRPr="000971B3">
        <w:rPr>
          <w:rFonts w:eastAsiaTheme="minorHAnsi"/>
          <w:color w:val="auto"/>
          <w:szCs w:val="24"/>
          <w:lang w:val="en-US" w:eastAsia="en-US"/>
        </w:rPr>
        <w:t>of treatment, in the extension phase rates of TKV growth again slowed (Figure 3). These</w:t>
      </w:r>
      <w:r w:rsidR="00FA5A49">
        <w:rPr>
          <w:rFonts w:eastAsiaTheme="minorHAnsi"/>
          <w:color w:val="auto"/>
          <w:szCs w:val="24"/>
          <w:lang w:val="en-US" w:eastAsia="en-US"/>
        </w:rPr>
        <w:t xml:space="preserve"> </w:t>
      </w:r>
      <w:r w:rsidRPr="000971B3">
        <w:rPr>
          <w:rFonts w:eastAsiaTheme="minorHAnsi"/>
          <w:color w:val="auto"/>
          <w:szCs w:val="24"/>
          <w:lang w:val="en-US" w:eastAsia="en-US"/>
        </w:rPr>
        <w:t>results support that patients treated with higher doses of tolvaptan have a greater treatment</w:t>
      </w:r>
      <w:r w:rsidR="00FA5A49">
        <w:rPr>
          <w:rFonts w:eastAsiaTheme="minorHAnsi"/>
          <w:color w:val="auto"/>
          <w:szCs w:val="24"/>
          <w:lang w:val="en-US" w:eastAsia="en-US"/>
        </w:rPr>
        <w:t xml:space="preserve"> </w:t>
      </w:r>
      <w:r w:rsidRPr="000971B3">
        <w:rPr>
          <w:rFonts w:eastAsiaTheme="minorHAnsi"/>
          <w:color w:val="auto"/>
          <w:szCs w:val="24"/>
          <w:lang w:val="en-US" w:eastAsia="en-US"/>
        </w:rPr>
        <w:t>effect and that continued treatment is required to maintain benefits and provided support</w:t>
      </w:r>
      <w:r w:rsidR="00FA5A49">
        <w:rPr>
          <w:rFonts w:eastAsiaTheme="minorHAnsi"/>
          <w:color w:val="auto"/>
          <w:szCs w:val="24"/>
          <w:lang w:val="en-US" w:eastAsia="en-US"/>
        </w:rPr>
        <w:t xml:space="preserve"> </w:t>
      </w:r>
      <w:r w:rsidRPr="000971B3">
        <w:rPr>
          <w:rFonts w:eastAsiaTheme="minorHAnsi"/>
          <w:color w:val="auto"/>
          <w:szCs w:val="24"/>
          <w:lang w:val="en-US" w:eastAsia="en-US"/>
        </w:rPr>
        <w:t>for the dosing recommendations in the pivotal trial discussed above.</w:t>
      </w:r>
    </w:p>
    <w:p w14:paraId="45C9E17D" w14:textId="5D05CF7C" w:rsidR="00FE12B4" w:rsidRPr="000971B3" w:rsidRDefault="00FE12B4" w:rsidP="00FE12B4">
      <w:pPr>
        <w:autoSpaceDE w:val="0"/>
        <w:autoSpaceDN w:val="0"/>
        <w:adjustRightInd w:val="0"/>
        <w:rPr>
          <w:rFonts w:eastAsiaTheme="minorHAnsi"/>
          <w:color w:val="auto"/>
          <w:szCs w:val="24"/>
          <w:lang w:val="en-US" w:eastAsia="en-US"/>
        </w:rPr>
      </w:pPr>
    </w:p>
    <w:p w14:paraId="6CDC6282" w14:textId="77777777" w:rsidR="00FE12B4" w:rsidRPr="00861D16" w:rsidRDefault="00FA2988" w:rsidP="00FE12B4">
      <w:pPr>
        <w:autoSpaceDE w:val="0"/>
        <w:autoSpaceDN w:val="0"/>
        <w:adjustRightInd w:val="0"/>
        <w:rPr>
          <w:rFonts w:eastAsiaTheme="minorHAnsi"/>
          <w:b/>
          <w:color w:val="auto"/>
          <w:szCs w:val="24"/>
          <w:lang w:val="en-US" w:eastAsia="en-US"/>
        </w:rPr>
      </w:pPr>
      <w:r w:rsidRPr="000971B3">
        <w:rPr>
          <w:rFonts w:eastAsiaTheme="minorHAnsi"/>
          <w:b/>
          <w:color w:val="auto"/>
          <w:szCs w:val="24"/>
          <w:lang w:val="en-US" w:eastAsia="en-US"/>
        </w:rPr>
        <w:t>Figure 3</w:t>
      </w:r>
      <w:r w:rsidR="00422006" w:rsidRPr="000971B3">
        <w:rPr>
          <w:rFonts w:eastAsiaTheme="minorHAnsi"/>
          <w:b/>
          <w:color w:val="auto"/>
          <w:szCs w:val="24"/>
          <w:lang w:val="en-US" w:eastAsia="en-US"/>
        </w:rPr>
        <w:t>: Change from Baseline in Total Kidney Volume by assigned dose-regimen in</w:t>
      </w:r>
      <w:r w:rsidR="00422006" w:rsidRPr="00861D16">
        <w:rPr>
          <w:rFonts w:eastAsiaTheme="minorHAnsi"/>
          <w:b/>
          <w:color w:val="auto"/>
          <w:szCs w:val="24"/>
          <w:lang w:val="en-US" w:eastAsia="en-US"/>
        </w:rPr>
        <w:t xml:space="preserve"> patients in TEMPO 2:4</w:t>
      </w:r>
    </w:p>
    <w:p w14:paraId="5DBBF6DB" w14:textId="77777777" w:rsidR="00422006" w:rsidRDefault="00422006" w:rsidP="00FE12B4">
      <w:pPr>
        <w:autoSpaceDE w:val="0"/>
        <w:autoSpaceDN w:val="0"/>
        <w:adjustRightInd w:val="0"/>
        <w:rPr>
          <w:rFonts w:eastAsiaTheme="minorHAnsi"/>
          <w:color w:val="auto"/>
          <w:szCs w:val="24"/>
          <w:lang w:val="en-US" w:eastAsia="en-US"/>
        </w:rPr>
      </w:pPr>
    </w:p>
    <w:p w14:paraId="0EFA237A" w14:textId="77777777" w:rsidR="00422006" w:rsidRDefault="00422006" w:rsidP="00FE12B4">
      <w:pPr>
        <w:autoSpaceDE w:val="0"/>
        <w:autoSpaceDN w:val="0"/>
        <w:adjustRightInd w:val="0"/>
        <w:rPr>
          <w:rFonts w:eastAsia="TimesNewRoman,Bold"/>
          <w:color w:val="auto"/>
          <w:szCs w:val="24"/>
          <w:lang w:val="en-US" w:eastAsia="en-US"/>
        </w:rPr>
      </w:pPr>
      <w:r>
        <w:rPr>
          <w:rFonts w:eastAsia="TimesNewRoman,Bold"/>
          <w:noProof/>
          <w:color w:val="auto"/>
          <w:szCs w:val="24"/>
          <w:lang w:val="en-AU" w:eastAsia="en-AU"/>
        </w:rPr>
        <w:drawing>
          <wp:inline distT="0" distB="0" distL="0" distR="0" wp14:anchorId="5F42EF68" wp14:editId="25E752E2">
            <wp:extent cx="5731510" cy="299613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996138"/>
                    </a:xfrm>
                    <a:prstGeom prst="rect">
                      <a:avLst/>
                    </a:prstGeom>
                    <a:noFill/>
                    <a:ln>
                      <a:noFill/>
                    </a:ln>
                  </pic:spPr>
                </pic:pic>
              </a:graphicData>
            </a:graphic>
          </wp:inline>
        </w:drawing>
      </w:r>
    </w:p>
    <w:p w14:paraId="2D2FB2B9" w14:textId="6554163C" w:rsidR="00141177" w:rsidRPr="00E83870" w:rsidRDefault="00141177" w:rsidP="00141177">
      <w:pPr>
        <w:suppressLineNumbers/>
        <w:autoSpaceDE w:val="0"/>
        <w:autoSpaceDN w:val="0"/>
        <w:adjustRightInd w:val="0"/>
        <w:rPr>
          <w:szCs w:val="22"/>
        </w:rPr>
      </w:pPr>
      <w:r w:rsidRPr="00E83870">
        <w:rPr>
          <w:szCs w:val="22"/>
        </w:rPr>
        <w:t xml:space="preserve">Data are not currently available to show whether long-term therapy with </w:t>
      </w:r>
      <w:r w:rsidR="001522D8">
        <w:rPr>
          <w:szCs w:val="22"/>
        </w:rPr>
        <w:t>JINARC</w:t>
      </w:r>
      <w:r w:rsidRPr="00E83870">
        <w:rPr>
          <w:szCs w:val="22"/>
        </w:rPr>
        <w:t xml:space="preserve"> continues to slow the rate of renal function decline and affect clinical outcomes of ADPKD, including delay in the onset of end-stage renal disease.</w:t>
      </w:r>
    </w:p>
    <w:p w14:paraId="7B362127" w14:textId="77777777" w:rsidR="00141177" w:rsidRPr="00E83870" w:rsidRDefault="00141177" w:rsidP="00FE12B4">
      <w:pPr>
        <w:autoSpaceDE w:val="0"/>
        <w:autoSpaceDN w:val="0"/>
        <w:adjustRightInd w:val="0"/>
        <w:rPr>
          <w:rFonts w:eastAsia="TimesNewRoman,Bold"/>
          <w:color w:val="auto"/>
          <w:szCs w:val="24"/>
          <w:lang w:val="en-US" w:eastAsia="en-US"/>
        </w:rPr>
      </w:pPr>
    </w:p>
    <w:p w14:paraId="66A2C961" w14:textId="77777777" w:rsidR="0064422E" w:rsidRPr="00E83870" w:rsidRDefault="00FA2988" w:rsidP="00C07E1F">
      <w:pPr>
        <w:autoSpaceDE w:val="0"/>
        <w:autoSpaceDN w:val="0"/>
        <w:adjustRightInd w:val="0"/>
        <w:rPr>
          <w:rFonts w:eastAsiaTheme="minorHAnsi"/>
          <w:b/>
          <w:color w:val="auto"/>
          <w:szCs w:val="24"/>
          <w:lang w:val="en-US" w:eastAsia="en-US"/>
        </w:rPr>
      </w:pPr>
      <w:r w:rsidRPr="000971B3">
        <w:rPr>
          <w:rFonts w:eastAsiaTheme="minorHAnsi"/>
          <w:b/>
          <w:color w:val="auto"/>
          <w:szCs w:val="24"/>
          <w:lang w:val="en-US" w:eastAsia="en-US"/>
        </w:rPr>
        <w:t>INDICATIONS</w:t>
      </w:r>
    </w:p>
    <w:p w14:paraId="0E1483F4" w14:textId="77777777" w:rsidR="0064422E" w:rsidRPr="00E83870" w:rsidRDefault="0064422E" w:rsidP="00C07E1F">
      <w:pPr>
        <w:autoSpaceDE w:val="0"/>
        <w:autoSpaceDN w:val="0"/>
        <w:adjustRightInd w:val="0"/>
        <w:rPr>
          <w:rFonts w:eastAsiaTheme="minorHAnsi"/>
          <w:b/>
          <w:color w:val="auto"/>
          <w:szCs w:val="24"/>
          <w:lang w:val="en-US" w:eastAsia="en-US"/>
        </w:rPr>
      </w:pPr>
    </w:p>
    <w:p w14:paraId="4416E8D4" w14:textId="03DDE522" w:rsidR="00FE12B4" w:rsidRPr="00E83870" w:rsidRDefault="001522D8" w:rsidP="00FE12B4">
      <w:pPr>
        <w:outlineLvl w:val="0"/>
        <w:rPr>
          <w:noProof/>
          <w:szCs w:val="22"/>
        </w:rPr>
      </w:pPr>
      <w:r>
        <w:rPr>
          <w:noProof/>
          <w:szCs w:val="22"/>
        </w:rPr>
        <w:t>JINARC</w:t>
      </w:r>
      <w:r w:rsidR="00FA2988" w:rsidRPr="000971B3">
        <w:rPr>
          <w:noProof/>
          <w:szCs w:val="22"/>
        </w:rPr>
        <w:t xml:space="preserve"> is indicated to slow the progression of cyst development and renal insufficiency of autosomal dominant polycystic kidney disease (ADPKD) in adults with</w:t>
      </w:r>
      <w:r w:rsidR="001C12B3">
        <w:rPr>
          <w:noProof/>
          <w:szCs w:val="22"/>
        </w:rPr>
        <w:t xml:space="preserve"> chronic kidney disease</w:t>
      </w:r>
      <w:r w:rsidR="00FA2988" w:rsidRPr="000971B3">
        <w:rPr>
          <w:noProof/>
          <w:szCs w:val="22"/>
        </w:rPr>
        <w:t xml:space="preserve"> </w:t>
      </w:r>
      <w:r w:rsidR="001C12B3">
        <w:rPr>
          <w:noProof/>
          <w:szCs w:val="22"/>
        </w:rPr>
        <w:t>(</w:t>
      </w:r>
      <w:r w:rsidR="00FA2988" w:rsidRPr="000971B3">
        <w:rPr>
          <w:noProof/>
          <w:szCs w:val="22"/>
        </w:rPr>
        <w:t>CKD</w:t>
      </w:r>
      <w:r w:rsidR="001C12B3">
        <w:rPr>
          <w:noProof/>
          <w:szCs w:val="22"/>
        </w:rPr>
        <w:t>)</w:t>
      </w:r>
      <w:r w:rsidR="002F2E2D">
        <w:rPr>
          <w:noProof/>
          <w:szCs w:val="22"/>
        </w:rPr>
        <w:t xml:space="preserve"> </w:t>
      </w:r>
      <w:r w:rsidR="00FA2988" w:rsidRPr="000971B3">
        <w:rPr>
          <w:noProof/>
          <w:szCs w:val="22"/>
        </w:rPr>
        <w:t>stage 1 to 3 at initiation of treatment with evidence of rapidly progressing disease (see PHARMACOLOGY).</w:t>
      </w:r>
    </w:p>
    <w:p w14:paraId="0AE1B98A" w14:textId="77777777" w:rsidR="00D67187" w:rsidRPr="00E83870" w:rsidRDefault="00D67187" w:rsidP="0064422E">
      <w:pPr>
        <w:autoSpaceDE w:val="0"/>
        <w:autoSpaceDN w:val="0"/>
        <w:adjustRightInd w:val="0"/>
        <w:rPr>
          <w:rFonts w:eastAsiaTheme="minorHAnsi"/>
          <w:color w:val="auto"/>
          <w:szCs w:val="24"/>
          <w:lang w:val="en-US" w:eastAsia="en-US"/>
        </w:rPr>
      </w:pPr>
    </w:p>
    <w:p w14:paraId="11436F6C" w14:textId="77777777" w:rsidR="0064422E" w:rsidRPr="00E83870" w:rsidRDefault="00FA2988" w:rsidP="00A03A22">
      <w:pPr>
        <w:pageBreakBefore/>
        <w:autoSpaceDE w:val="0"/>
        <w:autoSpaceDN w:val="0"/>
        <w:adjustRightInd w:val="0"/>
        <w:rPr>
          <w:rFonts w:eastAsiaTheme="minorHAnsi"/>
          <w:b/>
          <w:color w:val="auto"/>
          <w:szCs w:val="24"/>
          <w:lang w:val="en-US" w:eastAsia="en-US"/>
        </w:rPr>
      </w:pPr>
      <w:r w:rsidRPr="000971B3">
        <w:rPr>
          <w:rFonts w:eastAsiaTheme="minorHAnsi"/>
          <w:b/>
          <w:color w:val="auto"/>
          <w:szCs w:val="24"/>
          <w:lang w:val="en-US" w:eastAsia="en-US"/>
        </w:rPr>
        <w:lastRenderedPageBreak/>
        <w:t>CONTRAINDICATIONS</w:t>
      </w:r>
    </w:p>
    <w:p w14:paraId="6316484A" w14:textId="77777777" w:rsidR="0064422E" w:rsidRPr="00E83870" w:rsidRDefault="0064422E" w:rsidP="0064422E">
      <w:pPr>
        <w:autoSpaceDE w:val="0"/>
        <w:autoSpaceDN w:val="0"/>
        <w:adjustRightInd w:val="0"/>
        <w:rPr>
          <w:rFonts w:eastAsiaTheme="minorHAnsi"/>
          <w:b/>
          <w:color w:val="auto"/>
          <w:szCs w:val="24"/>
          <w:lang w:val="en-US" w:eastAsia="en-US"/>
        </w:rPr>
      </w:pPr>
    </w:p>
    <w:p w14:paraId="68E038B7" w14:textId="77777777" w:rsidR="00FE12B4" w:rsidRPr="00E83870" w:rsidRDefault="00FA2988" w:rsidP="00FE12B4">
      <w:pPr>
        <w:numPr>
          <w:ilvl w:val="0"/>
          <w:numId w:val="5"/>
        </w:numPr>
        <w:rPr>
          <w:szCs w:val="22"/>
        </w:rPr>
      </w:pPr>
      <w:r w:rsidRPr="000971B3">
        <w:rPr>
          <w:szCs w:val="22"/>
        </w:rPr>
        <w:t>Hypersensitivity to the active substance or to any of the excipients listed in DESCRIPTION</w:t>
      </w:r>
    </w:p>
    <w:p w14:paraId="7CECABA7" w14:textId="77777777" w:rsidR="00FE12B4" w:rsidRPr="00E83870" w:rsidRDefault="00FA2988" w:rsidP="00FE12B4">
      <w:pPr>
        <w:numPr>
          <w:ilvl w:val="0"/>
          <w:numId w:val="5"/>
        </w:numPr>
        <w:tabs>
          <w:tab w:val="clear" w:pos="567"/>
        </w:tabs>
        <w:rPr>
          <w:szCs w:val="22"/>
        </w:rPr>
      </w:pPr>
      <w:r w:rsidRPr="000971B3">
        <w:rPr>
          <w:szCs w:val="22"/>
        </w:rPr>
        <w:t>Elevated liver enzymes and/or signs or symptoms of liver injury prior to initiation of treatment that meet the requirements for permanent discontinuation of tolvaptan (see PRECAUTIONS)</w:t>
      </w:r>
    </w:p>
    <w:p w14:paraId="1E822A71" w14:textId="77777777" w:rsidR="00FE12B4" w:rsidRDefault="00FA2988" w:rsidP="00FE12B4">
      <w:pPr>
        <w:numPr>
          <w:ilvl w:val="0"/>
          <w:numId w:val="5"/>
        </w:numPr>
        <w:rPr>
          <w:szCs w:val="22"/>
        </w:rPr>
      </w:pPr>
      <w:r w:rsidRPr="000971B3">
        <w:rPr>
          <w:szCs w:val="22"/>
        </w:rPr>
        <w:t>Volume depletion</w:t>
      </w:r>
    </w:p>
    <w:p w14:paraId="3923C2F6" w14:textId="2BFB382D" w:rsidR="00D327CA" w:rsidRPr="00E83870" w:rsidRDefault="00D327CA" w:rsidP="00FE12B4">
      <w:pPr>
        <w:numPr>
          <w:ilvl w:val="0"/>
          <w:numId w:val="5"/>
        </w:numPr>
        <w:rPr>
          <w:szCs w:val="22"/>
        </w:rPr>
      </w:pPr>
      <w:r>
        <w:rPr>
          <w:szCs w:val="22"/>
        </w:rPr>
        <w:t>Anuria</w:t>
      </w:r>
    </w:p>
    <w:p w14:paraId="02A305CC" w14:textId="72AC061E" w:rsidR="00FE12B4" w:rsidRPr="00E83870" w:rsidRDefault="00302147" w:rsidP="00FE12B4">
      <w:pPr>
        <w:numPr>
          <w:ilvl w:val="0"/>
          <w:numId w:val="5"/>
        </w:numPr>
        <w:rPr>
          <w:szCs w:val="22"/>
        </w:rPr>
      </w:pPr>
      <w:r w:rsidRPr="000971B3">
        <w:rPr>
          <w:szCs w:val="22"/>
        </w:rPr>
        <w:t>Hypernatremia</w:t>
      </w:r>
    </w:p>
    <w:p w14:paraId="4322274B" w14:textId="77777777" w:rsidR="00FE12B4" w:rsidRPr="00E83870" w:rsidRDefault="00FA2988" w:rsidP="00FE12B4">
      <w:pPr>
        <w:numPr>
          <w:ilvl w:val="0"/>
          <w:numId w:val="5"/>
        </w:numPr>
        <w:rPr>
          <w:szCs w:val="22"/>
        </w:rPr>
      </w:pPr>
      <w:r w:rsidRPr="000971B3">
        <w:rPr>
          <w:szCs w:val="22"/>
        </w:rPr>
        <w:t>Patients who cannot perceive or respond to thirst</w:t>
      </w:r>
    </w:p>
    <w:p w14:paraId="104A4D54" w14:textId="77777777" w:rsidR="00FE12B4" w:rsidRPr="00E83870" w:rsidRDefault="00FA2988" w:rsidP="00FE12B4">
      <w:pPr>
        <w:numPr>
          <w:ilvl w:val="0"/>
          <w:numId w:val="5"/>
        </w:numPr>
        <w:rPr>
          <w:szCs w:val="22"/>
        </w:rPr>
      </w:pPr>
      <w:r w:rsidRPr="000971B3">
        <w:rPr>
          <w:szCs w:val="22"/>
        </w:rPr>
        <w:t>Pregnancy (see PRECAUTIONS, Pregnancy)</w:t>
      </w:r>
    </w:p>
    <w:p w14:paraId="0D855B46" w14:textId="77777777" w:rsidR="00FE12B4" w:rsidRPr="00E83870" w:rsidRDefault="00FA2988" w:rsidP="00FE12B4">
      <w:pPr>
        <w:numPr>
          <w:ilvl w:val="0"/>
          <w:numId w:val="5"/>
        </w:numPr>
        <w:rPr>
          <w:szCs w:val="22"/>
        </w:rPr>
      </w:pPr>
      <w:r w:rsidRPr="000971B3">
        <w:rPr>
          <w:szCs w:val="22"/>
        </w:rPr>
        <w:t>Breastfeeding (see PRECA</w:t>
      </w:r>
      <w:r w:rsidR="003B4C04">
        <w:rPr>
          <w:szCs w:val="22"/>
        </w:rPr>
        <w:t>U</w:t>
      </w:r>
      <w:r w:rsidRPr="000971B3">
        <w:rPr>
          <w:szCs w:val="22"/>
        </w:rPr>
        <w:t>TIONS, Lactation)</w:t>
      </w:r>
    </w:p>
    <w:p w14:paraId="1097999C" w14:textId="77777777" w:rsidR="00D67187" w:rsidRPr="00E83870" w:rsidRDefault="00D67187" w:rsidP="0064422E">
      <w:pPr>
        <w:autoSpaceDE w:val="0"/>
        <w:autoSpaceDN w:val="0"/>
        <w:adjustRightInd w:val="0"/>
        <w:rPr>
          <w:rFonts w:eastAsiaTheme="minorHAnsi"/>
          <w:b/>
          <w:color w:val="auto"/>
          <w:szCs w:val="24"/>
          <w:lang w:val="en-US" w:eastAsia="en-US"/>
        </w:rPr>
      </w:pPr>
    </w:p>
    <w:p w14:paraId="588BB0E1" w14:textId="77777777" w:rsidR="0064422E" w:rsidRPr="00E83870" w:rsidRDefault="00FA2988" w:rsidP="0064422E">
      <w:pPr>
        <w:autoSpaceDE w:val="0"/>
        <w:autoSpaceDN w:val="0"/>
        <w:adjustRightInd w:val="0"/>
        <w:rPr>
          <w:rFonts w:eastAsiaTheme="minorHAnsi"/>
          <w:b/>
          <w:color w:val="auto"/>
          <w:szCs w:val="24"/>
          <w:lang w:val="en-US" w:eastAsia="en-US"/>
        </w:rPr>
      </w:pPr>
      <w:r w:rsidRPr="000971B3">
        <w:rPr>
          <w:rFonts w:eastAsiaTheme="minorHAnsi"/>
          <w:b/>
          <w:color w:val="auto"/>
          <w:szCs w:val="24"/>
          <w:lang w:val="en-US" w:eastAsia="en-US"/>
        </w:rPr>
        <w:t>PRECAUTIONS</w:t>
      </w:r>
    </w:p>
    <w:p w14:paraId="020D7C43" w14:textId="77777777" w:rsidR="00242234" w:rsidRPr="00E83870" w:rsidRDefault="00242234" w:rsidP="0064422E">
      <w:pPr>
        <w:autoSpaceDE w:val="0"/>
        <w:autoSpaceDN w:val="0"/>
        <w:adjustRightInd w:val="0"/>
        <w:rPr>
          <w:rFonts w:eastAsiaTheme="minorHAnsi"/>
          <w:b/>
          <w:color w:val="auto"/>
          <w:szCs w:val="24"/>
          <w:lang w:val="en-US" w:eastAsia="en-US"/>
        </w:rPr>
      </w:pPr>
    </w:p>
    <w:p w14:paraId="02A3D5C6" w14:textId="2ED35F58" w:rsidR="00FE12B4" w:rsidRPr="00E83870" w:rsidRDefault="00FA2988" w:rsidP="00FE12B4">
      <w:pPr>
        <w:suppressLineNumbers/>
        <w:rPr>
          <w:noProof/>
          <w:szCs w:val="22"/>
          <w:u w:val="single"/>
        </w:rPr>
      </w:pPr>
      <w:r w:rsidRPr="000971B3">
        <w:rPr>
          <w:noProof/>
          <w:szCs w:val="22"/>
          <w:u w:val="single"/>
        </w:rPr>
        <w:t>Idiosyncratic hepatic toxicity</w:t>
      </w:r>
    </w:p>
    <w:p w14:paraId="624CCB58" w14:textId="77777777" w:rsidR="00FE12B4" w:rsidRDefault="00FA2988" w:rsidP="00FE12B4">
      <w:pPr>
        <w:suppressLineNumbers/>
        <w:rPr>
          <w:noProof/>
          <w:szCs w:val="22"/>
        </w:rPr>
      </w:pPr>
      <w:r w:rsidRPr="000971B3">
        <w:rPr>
          <w:noProof/>
          <w:szCs w:val="22"/>
        </w:rPr>
        <w:t>Tolvaptan has been associated with idiosyncratic elevations of blood alanine and aspartate aminotransferases (ALT and AST) with infrequent cases of concomitant elevations in bilirubin-total (BT).</w:t>
      </w:r>
    </w:p>
    <w:p w14:paraId="7A46518B" w14:textId="77777777" w:rsidR="00FF03CB" w:rsidRPr="00E83870" w:rsidRDefault="00FF03CB" w:rsidP="00FE12B4">
      <w:pPr>
        <w:suppressLineNumbers/>
        <w:rPr>
          <w:noProof/>
          <w:szCs w:val="22"/>
        </w:rPr>
      </w:pPr>
    </w:p>
    <w:p w14:paraId="3721D493" w14:textId="77777777" w:rsidR="00FE12B4" w:rsidRPr="00E83870" w:rsidRDefault="00FA2988" w:rsidP="00FE12B4">
      <w:pPr>
        <w:suppressLineNumbers/>
        <w:rPr>
          <w:noProof/>
          <w:szCs w:val="22"/>
        </w:rPr>
      </w:pPr>
      <w:r w:rsidRPr="000971B3">
        <w:rPr>
          <w:noProof/>
          <w:szCs w:val="22"/>
        </w:rPr>
        <w:t>In a double-blind, placebo-controlled trial in patients with ADPKD, elevation (&gt;3 x upper limit of normal [ULN]) of ALT was observed in 4.4% (42/958) of patients on tolvaptan and 1.0% (5/484) of patients on placebo, while elevation (&gt;3xULN) of AST was observed in 3.1% (30/958) of patients on tolvaptan and 0.8% (4/484) patients on placebo. Two (2/957, 0.2%) of these tolvaptan treated-patients, as well as a third patient from an extension open label trial, exhibited increases in hepatic enzymes (&gt;3xULN) with concomitant elevations in BT (&gt;2xULN). The period of onset of hepatocellular injury (by ALT elevations &gt;3xULN) was within 3 to 14 months after initiating treatment and these increases were reversible, with ALT returning to &lt;3xULN within 1 to 4 months. While these concomitant elevations were reversible with prompt discontinuation of tolvaptan, they represent a potential for significant liver injury. Similar changes with other medicinal products have been associated with the potential to cause irreversible and potentially life-threatening liver injury.</w:t>
      </w:r>
    </w:p>
    <w:p w14:paraId="27E4E192" w14:textId="77777777" w:rsidR="00FE12B4" w:rsidRPr="00E83870" w:rsidRDefault="00FE12B4" w:rsidP="00FE12B4">
      <w:pPr>
        <w:suppressLineNumbers/>
        <w:rPr>
          <w:noProof/>
          <w:szCs w:val="22"/>
        </w:rPr>
      </w:pPr>
    </w:p>
    <w:p w14:paraId="12AE7389" w14:textId="77777777" w:rsidR="00FE12B4" w:rsidRPr="00E83870" w:rsidRDefault="00FA2988" w:rsidP="00FE12B4">
      <w:pPr>
        <w:suppressLineNumbers/>
        <w:rPr>
          <w:b/>
          <w:noProof/>
          <w:szCs w:val="22"/>
        </w:rPr>
      </w:pPr>
      <w:r w:rsidRPr="000971B3">
        <w:rPr>
          <w:b/>
          <w:noProof/>
          <w:szCs w:val="22"/>
        </w:rPr>
        <w:t>Prescribing physicians must comply fully with the safety measures required below.</w:t>
      </w:r>
    </w:p>
    <w:p w14:paraId="293CCBE1" w14:textId="1879BE14" w:rsidR="00FE12B4" w:rsidRPr="00E83870" w:rsidRDefault="00FA2988" w:rsidP="00FE12B4">
      <w:pPr>
        <w:suppressLineNumbers/>
        <w:pBdr>
          <w:top w:val="single" w:sz="4" w:space="1" w:color="auto"/>
          <w:left w:val="single" w:sz="4" w:space="4" w:color="auto"/>
          <w:bottom w:val="single" w:sz="4" w:space="1" w:color="auto"/>
          <w:right w:val="single" w:sz="4" w:space="4" w:color="auto"/>
        </w:pBdr>
        <w:rPr>
          <w:noProof/>
          <w:szCs w:val="22"/>
        </w:rPr>
      </w:pPr>
      <w:r w:rsidRPr="000971B3">
        <w:rPr>
          <w:noProof/>
          <w:szCs w:val="22"/>
        </w:rPr>
        <w:t xml:space="preserve">To mitigate the risk of significant and/or irreversible liver injury, blood testing for hepatic transaminases and bilirubin is required prior to initiation of </w:t>
      </w:r>
      <w:r w:rsidR="001522D8">
        <w:rPr>
          <w:noProof/>
          <w:szCs w:val="22"/>
        </w:rPr>
        <w:t>JINARC</w:t>
      </w:r>
      <w:r w:rsidRPr="000971B3">
        <w:rPr>
          <w:noProof/>
          <w:szCs w:val="22"/>
        </w:rPr>
        <w:t>, continuing monthly for 18 months and at regular 3</w:t>
      </w:r>
      <w:r w:rsidRPr="000971B3">
        <w:rPr>
          <w:noProof/>
          <w:szCs w:val="22"/>
        </w:rPr>
        <w:noBreakHyphen/>
        <w:t>monthly intervals thereafter. Concurrent monitoring for symptoms that may indicate liver injury (such as fatigue, anorexia, nausea, right upper abdominal discomfort, vomiting, fever, rash, pruritus, dark urine or jaundice) is recommended.</w:t>
      </w:r>
    </w:p>
    <w:p w14:paraId="1C662F3D" w14:textId="77777777" w:rsidR="00FE12B4" w:rsidRPr="00E83870" w:rsidRDefault="00FE12B4" w:rsidP="00FE12B4">
      <w:pPr>
        <w:suppressLineNumbers/>
        <w:pBdr>
          <w:top w:val="single" w:sz="4" w:space="1" w:color="auto"/>
          <w:left w:val="single" w:sz="4" w:space="4" w:color="auto"/>
          <w:bottom w:val="single" w:sz="4" w:space="1" w:color="auto"/>
          <w:right w:val="single" w:sz="4" w:space="4" w:color="auto"/>
        </w:pBdr>
        <w:rPr>
          <w:noProof/>
          <w:szCs w:val="22"/>
        </w:rPr>
      </w:pPr>
    </w:p>
    <w:p w14:paraId="172EE8FE" w14:textId="77777777" w:rsidR="00FE12B4" w:rsidRDefault="00FA2988" w:rsidP="00FE12B4">
      <w:pPr>
        <w:suppressLineNumbers/>
        <w:pBdr>
          <w:top w:val="single" w:sz="4" w:space="1" w:color="auto"/>
          <w:left w:val="single" w:sz="4" w:space="4" w:color="auto"/>
          <w:bottom w:val="single" w:sz="4" w:space="1" w:color="auto"/>
          <w:right w:val="single" w:sz="4" w:space="4" w:color="auto"/>
        </w:pBdr>
        <w:rPr>
          <w:noProof/>
          <w:szCs w:val="22"/>
        </w:rPr>
      </w:pPr>
      <w:r w:rsidRPr="000971B3">
        <w:rPr>
          <w:noProof/>
          <w:szCs w:val="22"/>
        </w:rPr>
        <w:t xml:space="preserve">If a patient shows abnormal ALT, AST or BT levels prior to initiation of treatment which fulfil the criteria for permanent dicontinuation (see below) the use of tolvaptan is contraindicated (see </w:t>
      </w:r>
      <w:r w:rsidR="003B4C04">
        <w:rPr>
          <w:noProof/>
          <w:szCs w:val="22"/>
        </w:rPr>
        <w:t>CONTRAINDICATIONS</w:t>
      </w:r>
      <w:r w:rsidRPr="000971B3">
        <w:rPr>
          <w:noProof/>
          <w:szCs w:val="22"/>
        </w:rPr>
        <w:t>). In case of abnormal baseline levels below the limits for permanent discontinuation treatment can only be initiated if the potential benefits of treatment outweigh the potential risks and liver function testing must continue at increased time frequency. The advice of a hepatologist is recommended.</w:t>
      </w:r>
    </w:p>
    <w:p w14:paraId="5A982366" w14:textId="77777777" w:rsidR="00FF03CB" w:rsidRPr="00E83870" w:rsidRDefault="00FF03CB" w:rsidP="00FE12B4">
      <w:pPr>
        <w:suppressLineNumbers/>
        <w:pBdr>
          <w:top w:val="single" w:sz="4" w:space="1" w:color="auto"/>
          <w:left w:val="single" w:sz="4" w:space="4" w:color="auto"/>
          <w:bottom w:val="single" w:sz="4" w:space="1" w:color="auto"/>
          <w:right w:val="single" w:sz="4" w:space="4" w:color="auto"/>
        </w:pBdr>
        <w:rPr>
          <w:noProof/>
          <w:szCs w:val="22"/>
        </w:rPr>
      </w:pPr>
    </w:p>
    <w:p w14:paraId="7DAD03BA" w14:textId="117DBAD8" w:rsidR="00FE12B4" w:rsidRPr="00E83870" w:rsidRDefault="00FA2988" w:rsidP="00FE12B4">
      <w:pPr>
        <w:suppressLineNumbers/>
        <w:pBdr>
          <w:top w:val="single" w:sz="4" w:space="1" w:color="auto"/>
          <w:left w:val="single" w:sz="4" w:space="4" w:color="auto"/>
          <w:bottom w:val="single" w:sz="4" w:space="1" w:color="auto"/>
          <w:right w:val="single" w:sz="4" w:space="4" w:color="auto"/>
        </w:pBdr>
        <w:rPr>
          <w:noProof/>
          <w:szCs w:val="22"/>
        </w:rPr>
      </w:pPr>
      <w:r w:rsidRPr="000971B3">
        <w:rPr>
          <w:noProof/>
          <w:szCs w:val="22"/>
        </w:rPr>
        <w:lastRenderedPageBreak/>
        <w:t xml:space="preserve">During the first 18 months of treatment, </w:t>
      </w:r>
      <w:r w:rsidR="001522D8">
        <w:rPr>
          <w:noProof/>
          <w:szCs w:val="22"/>
        </w:rPr>
        <w:t>JINARC</w:t>
      </w:r>
      <w:r w:rsidRPr="000971B3">
        <w:rPr>
          <w:noProof/>
          <w:szCs w:val="22"/>
        </w:rPr>
        <w:t xml:space="preserve"> can only be supplied to patients whose physician has determined that liver function supports continued therapy.</w:t>
      </w:r>
    </w:p>
    <w:p w14:paraId="71750442" w14:textId="77777777" w:rsidR="00FE12B4" w:rsidRPr="00E83870" w:rsidRDefault="00FE12B4" w:rsidP="00FE12B4">
      <w:pPr>
        <w:suppressLineNumbers/>
        <w:pBdr>
          <w:top w:val="single" w:sz="4" w:space="1" w:color="auto"/>
          <w:left w:val="single" w:sz="4" w:space="4" w:color="auto"/>
          <w:bottom w:val="single" w:sz="4" w:space="1" w:color="auto"/>
          <w:right w:val="single" w:sz="4" w:space="4" w:color="auto"/>
        </w:pBdr>
        <w:rPr>
          <w:noProof/>
          <w:szCs w:val="22"/>
        </w:rPr>
      </w:pPr>
    </w:p>
    <w:p w14:paraId="31314466" w14:textId="7E6474FD" w:rsidR="00FE12B4" w:rsidRPr="00E83870" w:rsidRDefault="00FA2988" w:rsidP="00FE12B4">
      <w:pPr>
        <w:suppressLineNumbers/>
        <w:pBdr>
          <w:top w:val="single" w:sz="4" w:space="1" w:color="auto"/>
          <w:left w:val="single" w:sz="4" w:space="4" w:color="auto"/>
          <w:bottom w:val="single" w:sz="4" w:space="1" w:color="auto"/>
          <w:right w:val="single" w:sz="4" w:space="4" w:color="auto"/>
        </w:pBdr>
        <w:rPr>
          <w:noProof/>
          <w:szCs w:val="22"/>
        </w:rPr>
      </w:pPr>
      <w:r w:rsidRPr="000971B3">
        <w:rPr>
          <w:noProof/>
          <w:szCs w:val="22"/>
        </w:rPr>
        <w:t xml:space="preserve">At the onset of symptoms or signs consistent with hepatic injury or if abnormal ALT or AST increases are detected during treatment, </w:t>
      </w:r>
      <w:r w:rsidR="001522D8">
        <w:rPr>
          <w:noProof/>
          <w:szCs w:val="22"/>
        </w:rPr>
        <w:t>JINARC</w:t>
      </w:r>
      <w:r w:rsidRPr="000971B3">
        <w:rPr>
          <w:noProof/>
          <w:szCs w:val="22"/>
        </w:rPr>
        <w:t xml:space="preserve"> administration must be interrupted and repeat tests including ALT, AST, BT and alkaline phosphatase (AP) must be obtained as soon as possible (ideally within 48-72 hours). Testing must continue at increased time frequency until symptoms/signs/laboratory abnormalities stabilise or resolve, at which point </w:t>
      </w:r>
      <w:r w:rsidR="001522D8">
        <w:rPr>
          <w:noProof/>
          <w:szCs w:val="22"/>
        </w:rPr>
        <w:t>JINARC</w:t>
      </w:r>
      <w:r w:rsidRPr="000971B3">
        <w:rPr>
          <w:noProof/>
          <w:szCs w:val="22"/>
        </w:rPr>
        <w:t xml:space="preserve"> may be reinitiated.</w:t>
      </w:r>
    </w:p>
    <w:p w14:paraId="4A19D099" w14:textId="77777777" w:rsidR="00FE12B4" w:rsidRPr="00E83870" w:rsidRDefault="00FE12B4" w:rsidP="00FE12B4">
      <w:pPr>
        <w:suppressLineNumbers/>
        <w:pBdr>
          <w:top w:val="single" w:sz="4" w:space="1" w:color="auto"/>
          <w:left w:val="single" w:sz="4" w:space="4" w:color="auto"/>
          <w:bottom w:val="single" w:sz="4" w:space="1" w:color="auto"/>
          <w:right w:val="single" w:sz="4" w:space="4" w:color="auto"/>
        </w:pBdr>
        <w:rPr>
          <w:noProof/>
          <w:szCs w:val="22"/>
        </w:rPr>
      </w:pPr>
    </w:p>
    <w:p w14:paraId="5B646BBA" w14:textId="6EE90CFC" w:rsidR="00FE12B4" w:rsidRPr="00E83870" w:rsidRDefault="00FA2988" w:rsidP="00FE12B4">
      <w:pPr>
        <w:suppressLineNumbers/>
        <w:pBdr>
          <w:top w:val="single" w:sz="4" w:space="1" w:color="auto"/>
          <w:left w:val="single" w:sz="4" w:space="4" w:color="auto"/>
          <w:bottom w:val="single" w:sz="4" w:space="1" w:color="auto"/>
          <w:right w:val="single" w:sz="4" w:space="4" w:color="auto"/>
        </w:pBdr>
        <w:rPr>
          <w:noProof/>
          <w:szCs w:val="22"/>
        </w:rPr>
      </w:pPr>
      <w:r w:rsidRPr="000971B3">
        <w:rPr>
          <w:noProof/>
          <w:szCs w:val="22"/>
        </w:rPr>
        <w:t xml:space="preserve">If ALT and AST levels remain below 3-times the upper limit of normal (ULN), </w:t>
      </w:r>
      <w:r w:rsidR="001522D8">
        <w:rPr>
          <w:noProof/>
          <w:szCs w:val="22"/>
        </w:rPr>
        <w:t>JINARC</w:t>
      </w:r>
      <w:r w:rsidRPr="000971B3">
        <w:rPr>
          <w:noProof/>
          <w:szCs w:val="22"/>
        </w:rPr>
        <w:t xml:space="preserve"> therapy may be cautiously continued, with frequent monitoring at the same or lower doses, as transaminase levels appear to stabilise during continued therapy in some patients.</w:t>
      </w:r>
    </w:p>
    <w:p w14:paraId="368598DC" w14:textId="77777777" w:rsidR="00FE12B4" w:rsidRPr="00E83870" w:rsidRDefault="00FE12B4" w:rsidP="00FE12B4">
      <w:pPr>
        <w:suppressLineNumbers/>
        <w:pBdr>
          <w:top w:val="single" w:sz="4" w:space="1" w:color="auto"/>
          <w:left w:val="single" w:sz="4" w:space="4" w:color="auto"/>
          <w:bottom w:val="single" w:sz="4" w:space="1" w:color="auto"/>
          <w:right w:val="single" w:sz="4" w:space="4" w:color="auto"/>
        </w:pBdr>
        <w:rPr>
          <w:noProof/>
          <w:szCs w:val="22"/>
        </w:rPr>
      </w:pPr>
    </w:p>
    <w:p w14:paraId="3E46050A" w14:textId="7DA42225" w:rsidR="00FE12B4" w:rsidRPr="00E83870" w:rsidRDefault="00FA2988" w:rsidP="00FE12B4">
      <w:pPr>
        <w:suppressLineNumbers/>
        <w:pBdr>
          <w:top w:val="single" w:sz="4" w:space="1" w:color="auto"/>
          <w:left w:val="single" w:sz="4" w:space="4" w:color="auto"/>
          <w:bottom w:val="single" w:sz="4" w:space="1" w:color="auto"/>
          <w:right w:val="single" w:sz="4" w:space="4" w:color="auto"/>
        </w:pBdr>
        <w:rPr>
          <w:noProof/>
          <w:szCs w:val="22"/>
        </w:rPr>
      </w:pPr>
      <w:r w:rsidRPr="000971B3">
        <w:rPr>
          <w:noProof/>
          <w:szCs w:val="22"/>
        </w:rPr>
        <w:t xml:space="preserve">Current clinical practice suggests that </w:t>
      </w:r>
      <w:r w:rsidR="001522D8">
        <w:rPr>
          <w:noProof/>
          <w:szCs w:val="22"/>
        </w:rPr>
        <w:t>JINARC</w:t>
      </w:r>
      <w:r w:rsidRPr="000971B3">
        <w:rPr>
          <w:noProof/>
          <w:szCs w:val="22"/>
        </w:rPr>
        <w:t xml:space="preserve"> therapy is to be interrupted upon confirmation of sustained or increasing transaminase levels and permanently discontinued if significant increases and/or clinical symptoms of hepatic injury persist. </w:t>
      </w:r>
    </w:p>
    <w:p w14:paraId="1F3C37A9" w14:textId="77777777" w:rsidR="00FE12B4" w:rsidRPr="00E83870" w:rsidRDefault="00FE12B4" w:rsidP="00FE12B4">
      <w:pPr>
        <w:suppressLineNumbers/>
        <w:pBdr>
          <w:top w:val="single" w:sz="4" w:space="1" w:color="auto"/>
          <w:left w:val="single" w:sz="4" w:space="4" w:color="auto"/>
          <w:bottom w:val="single" w:sz="4" w:space="1" w:color="auto"/>
          <w:right w:val="single" w:sz="4" w:space="4" w:color="auto"/>
        </w:pBdr>
        <w:rPr>
          <w:noProof/>
          <w:szCs w:val="22"/>
        </w:rPr>
      </w:pPr>
    </w:p>
    <w:p w14:paraId="64301EDE" w14:textId="77777777" w:rsidR="00FE12B4" w:rsidRPr="00E83870" w:rsidRDefault="00FA2988" w:rsidP="00FE12B4">
      <w:pPr>
        <w:suppressLineNumbers/>
        <w:pBdr>
          <w:top w:val="single" w:sz="4" w:space="1" w:color="auto"/>
          <w:left w:val="single" w:sz="4" w:space="4" w:color="auto"/>
          <w:bottom w:val="single" w:sz="4" w:space="1" w:color="auto"/>
          <w:right w:val="single" w:sz="4" w:space="4" w:color="auto"/>
        </w:pBdr>
        <w:rPr>
          <w:noProof/>
          <w:szCs w:val="22"/>
        </w:rPr>
      </w:pPr>
      <w:r w:rsidRPr="000971B3">
        <w:rPr>
          <w:noProof/>
          <w:szCs w:val="22"/>
        </w:rPr>
        <w:t>Recommended guidelines for permanent discontinuation include:</w:t>
      </w:r>
    </w:p>
    <w:p w14:paraId="251D07A3" w14:textId="77777777" w:rsidR="00FE12B4" w:rsidRPr="00E83870" w:rsidRDefault="00FA2988" w:rsidP="00FE12B4">
      <w:pPr>
        <w:numPr>
          <w:ilvl w:val="0"/>
          <w:numId w:val="4"/>
        </w:numPr>
        <w:suppressLineNumbers/>
        <w:pBdr>
          <w:top w:val="single" w:sz="4" w:space="1" w:color="auto"/>
          <w:left w:val="single" w:sz="4" w:space="4" w:color="auto"/>
          <w:bottom w:val="single" w:sz="4" w:space="1" w:color="auto"/>
          <w:right w:val="single" w:sz="4" w:space="4" w:color="auto"/>
        </w:pBdr>
        <w:spacing w:line="260" w:lineRule="exact"/>
        <w:rPr>
          <w:noProof/>
          <w:szCs w:val="22"/>
        </w:rPr>
      </w:pPr>
      <w:r w:rsidRPr="000971B3">
        <w:rPr>
          <w:noProof/>
          <w:szCs w:val="22"/>
        </w:rPr>
        <w:t>ALT or AST &gt;8-times ULN</w:t>
      </w:r>
    </w:p>
    <w:p w14:paraId="65BABBA6" w14:textId="77777777" w:rsidR="00FE12B4" w:rsidRPr="00E83870" w:rsidRDefault="00FA2988" w:rsidP="00FE12B4">
      <w:pPr>
        <w:numPr>
          <w:ilvl w:val="0"/>
          <w:numId w:val="4"/>
        </w:numPr>
        <w:suppressLineNumbers/>
        <w:pBdr>
          <w:top w:val="single" w:sz="4" w:space="1" w:color="auto"/>
          <w:left w:val="single" w:sz="4" w:space="4" w:color="auto"/>
          <w:bottom w:val="single" w:sz="4" w:space="1" w:color="auto"/>
          <w:right w:val="single" w:sz="4" w:space="4" w:color="auto"/>
        </w:pBdr>
        <w:spacing w:line="260" w:lineRule="exact"/>
        <w:rPr>
          <w:noProof/>
          <w:szCs w:val="22"/>
        </w:rPr>
      </w:pPr>
      <w:r w:rsidRPr="000971B3">
        <w:rPr>
          <w:noProof/>
          <w:szCs w:val="22"/>
        </w:rPr>
        <w:t>ALT or AST &gt;5-times ULN for more than 2 weeks</w:t>
      </w:r>
    </w:p>
    <w:p w14:paraId="47BDBB6D" w14:textId="77777777" w:rsidR="00FE12B4" w:rsidRPr="00E83870" w:rsidRDefault="00FA2988" w:rsidP="00FE12B4">
      <w:pPr>
        <w:numPr>
          <w:ilvl w:val="0"/>
          <w:numId w:val="4"/>
        </w:numPr>
        <w:suppressLineNumbers/>
        <w:pBdr>
          <w:top w:val="single" w:sz="4" w:space="1" w:color="auto"/>
          <w:left w:val="single" w:sz="4" w:space="4" w:color="auto"/>
          <w:bottom w:val="single" w:sz="4" w:space="1" w:color="auto"/>
          <w:right w:val="single" w:sz="4" w:space="4" w:color="auto"/>
        </w:pBdr>
        <w:spacing w:line="260" w:lineRule="exact"/>
        <w:rPr>
          <w:noProof/>
          <w:szCs w:val="22"/>
        </w:rPr>
      </w:pPr>
      <w:r w:rsidRPr="000971B3">
        <w:rPr>
          <w:noProof/>
          <w:szCs w:val="22"/>
        </w:rPr>
        <w:t>ALT or AST &gt;3-times ULN and (BT &gt;2-times ULN or International Normalized Ratio [INR] &gt;1.5)</w:t>
      </w:r>
    </w:p>
    <w:p w14:paraId="54CC228F" w14:textId="77777777" w:rsidR="00FE12B4" w:rsidRPr="00E83870" w:rsidRDefault="00FA2988" w:rsidP="00FE12B4">
      <w:pPr>
        <w:numPr>
          <w:ilvl w:val="0"/>
          <w:numId w:val="4"/>
        </w:numPr>
        <w:suppressLineNumbers/>
        <w:pBdr>
          <w:top w:val="single" w:sz="4" w:space="1" w:color="auto"/>
          <w:left w:val="single" w:sz="4" w:space="4" w:color="auto"/>
          <w:bottom w:val="single" w:sz="4" w:space="1" w:color="auto"/>
          <w:right w:val="single" w:sz="4" w:space="4" w:color="auto"/>
        </w:pBdr>
        <w:spacing w:line="260" w:lineRule="exact"/>
        <w:rPr>
          <w:noProof/>
          <w:szCs w:val="22"/>
        </w:rPr>
      </w:pPr>
      <w:r w:rsidRPr="000971B3">
        <w:rPr>
          <w:noProof/>
          <w:szCs w:val="22"/>
        </w:rPr>
        <w:t>ALT or AST &gt;3-times ULN with persistent symptoms of hepatic injury noted above.</w:t>
      </w:r>
    </w:p>
    <w:p w14:paraId="3656993F" w14:textId="77777777" w:rsidR="00FE12B4" w:rsidRPr="00E83870" w:rsidRDefault="00FE12B4" w:rsidP="00FE12B4">
      <w:pPr>
        <w:suppressLineNumbers/>
        <w:rPr>
          <w:noProof/>
          <w:szCs w:val="22"/>
        </w:rPr>
      </w:pPr>
    </w:p>
    <w:p w14:paraId="3341E2CD" w14:textId="77777777" w:rsidR="00FE12B4" w:rsidRPr="00E83870" w:rsidRDefault="00FA2988" w:rsidP="00FE12B4">
      <w:pPr>
        <w:suppressLineNumbers/>
        <w:rPr>
          <w:noProof/>
          <w:szCs w:val="22"/>
          <w:u w:val="single"/>
        </w:rPr>
      </w:pPr>
      <w:r w:rsidRPr="000971B3">
        <w:rPr>
          <w:noProof/>
          <w:szCs w:val="22"/>
          <w:u w:val="single"/>
        </w:rPr>
        <w:t>Access to water</w:t>
      </w:r>
    </w:p>
    <w:p w14:paraId="01A68EF2" w14:textId="77777777" w:rsidR="00FE12B4" w:rsidRDefault="00FA2988" w:rsidP="00FE12B4">
      <w:pPr>
        <w:suppressLineNumbers/>
        <w:rPr>
          <w:noProof/>
          <w:szCs w:val="22"/>
        </w:rPr>
      </w:pPr>
      <w:r w:rsidRPr="000971B3">
        <w:rPr>
          <w:noProof/>
          <w:szCs w:val="22"/>
        </w:rPr>
        <w:t xml:space="preserve">Tolvaptan may cause adverse reactions related to water loss such as thirst, </w:t>
      </w:r>
      <w:r w:rsidRPr="000971B3">
        <w:rPr>
          <w:szCs w:val="22"/>
        </w:rPr>
        <w:t xml:space="preserve">polyuria, </w:t>
      </w:r>
      <w:proofErr w:type="spellStart"/>
      <w:r w:rsidRPr="000971B3">
        <w:rPr>
          <w:szCs w:val="22"/>
        </w:rPr>
        <w:t>nocturia</w:t>
      </w:r>
      <w:proofErr w:type="spellEnd"/>
      <w:r w:rsidRPr="000971B3">
        <w:rPr>
          <w:szCs w:val="22"/>
        </w:rPr>
        <w:t xml:space="preserve">, and </w:t>
      </w:r>
      <w:proofErr w:type="spellStart"/>
      <w:r w:rsidRPr="000971B3">
        <w:rPr>
          <w:szCs w:val="22"/>
        </w:rPr>
        <w:t>pollakiuria</w:t>
      </w:r>
      <w:proofErr w:type="spellEnd"/>
      <w:r w:rsidRPr="000971B3">
        <w:rPr>
          <w:szCs w:val="22"/>
        </w:rPr>
        <w:t xml:space="preserve"> </w:t>
      </w:r>
      <w:r w:rsidRPr="000971B3">
        <w:rPr>
          <w:noProof/>
          <w:szCs w:val="22"/>
        </w:rPr>
        <w:t xml:space="preserve">(see </w:t>
      </w:r>
      <w:r w:rsidR="00554CD1">
        <w:rPr>
          <w:noProof/>
          <w:szCs w:val="22"/>
        </w:rPr>
        <w:t>ADVERSE EFFECTS</w:t>
      </w:r>
      <w:r w:rsidRPr="000971B3">
        <w:rPr>
          <w:noProof/>
          <w:szCs w:val="22"/>
        </w:rPr>
        <w:t>). Therefore, patients must have access to water (or other aqueous fluids) and be able to drink sufficient amounts of these fluids (see DOSAGE AND ADMINISTRATION).</w:t>
      </w:r>
      <w:r w:rsidRPr="000971B3">
        <w:t xml:space="preserve"> </w:t>
      </w:r>
      <w:r w:rsidRPr="000971B3">
        <w:rPr>
          <w:noProof/>
          <w:szCs w:val="22"/>
        </w:rPr>
        <w:t>Patients have to be instructed to drink water or other aqueous fluids at the first sign of thirst in order to avoid excessive thirst or dehydration.</w:t>
      </w:r>
    </w:p>
    <w:p w14:paraId="1992EF8D" w14:textId="77777777" w:rsidR="00FF03CB" w:rsidRPr="00E83870" w:rsidRDefault="00FF03CB" w:rsidP="00FE12B4">
      <w:pPr>
        <w:suppressLineNumbers/>
        <w:rPr>
          <w:noProof/>
          <w:szCs w:val="22"/>
        </w:rPr>
      </w:pPr>
    </w:p>
    <w:p w14:paraId="6DC67D6D" w14:textId="77777777" w:rsidR="00FE12B4" w:rsidRPr="00E83870" w:rsidRDefault="00FA2988" w:rsidP="00FE12B4">
      <w:pPr>
        <w:suppressLineNumbers/>
        <w:rPr>
          <w:noProof/>
          <w:szCs w:val="22"/>
        </w:rPr>
      </w:pPr>
      <w:r w:rsidRPr="000971B3">
        <w:rPr>
          <w:noProof/>
          <w:szCs w:val="22"/>
        </w:rPr>
        <w:t>Additionally, patients have to drink 1-2 glasses of fluid before bedtime regardless of perceived thirst and replenish fluids overnight with each episode of nocturia.</w:t>
      </w:r>
    </w:p>
    <w:p w14:paraId="72C6C28B" w14:textId="77777777" w:rsidR="00FE12B4" w:rsidRPr="00E83870" w:rsidRDefault="00FE12B4" w:rsidP="00FE12B4">
      <w:pPr>
        <w:suppressLineNumbers/>
        <w:rPr>
          <w:noProof/>
          <w:szCs w:val="22"/>
        </w:rPr>
      </w:pPr>
    </w:p>
    <w:p w14:paraId="4E22554B" w14:textId="77777777" w:rsidR="00FE12B4" w:rsidRPr="00E83870" w:rsidRDefault="00FA2988" w:rsidP="00FE12B4">
      <w:pPr>
        <w:outlineLvl w:val="0"/>
        <w:rPr>
          <w:szCs w:val="22"/>
          <w:u w:val="single"/>
        </w:rPr>
      </w:pPr>
      <w:r w:rsidRPr="000971B3">
        <w:rPr>
          <w:szCs w:val="22"/>
          <w:u w:val="single"/>
        </w:rPr>
        <w:t>Dehydration</w:t>
      </w:r>
    </w:p>
    <w:p w14:paraId="162EEF65" w14:textId="2AE7DB49" w:rsidR="00FE12B4" w:rsidRDefault="00FA2988" w:rsidP="00FE12B4">
      <w:pPr>
        <w:outlineLvl w:val="0"/>
        <w:rPr>
          <w:szCs w:val="22"/>
        </w:rPr>
      </w:pPr>
      <w:r w:rsidRPr="000971B3">
        <w:rPr>
          <w:szCs w:val="22"/>
        </w:rPr>
        <w:t>Volume status must be monitored in patients taking tolvaptan because treatment with tolvaptan may result in severe dehydration which constitutes a risk factor for renal dysfunction. If dehydration becomes evident, take appropriate action which may include the need to interrupt or reduce the dose of tolvaptan and increase fluid intake. Special care must be taken in patients having diseases that impair appropriate fluid intake or who are at an increased risk of water loss e.g. in case of vomiting or diarrhoea.</w:t>
      </w:r>
      <w:r w:rsidR="00650218">
        <w:rPr>
          <w:szCs w:val="22"/>
        </w:rPr>
        <w:t xml:space="preserve"> In such circumstances patients should be advised to cease tolvaptan treatment and seek urgent medical assistance.</w:t>
      </w:r>
    </w:p>
    <w:p w14:paraId="5E3AE117" w14:textId="77777777" w:rsidR="001C12B3" w:rsidRDefault="001C12B3" w:rsidP="00FE12B4">
      <w:pPr>
        <w:outlineLvl w:val="0"/>
        <w:rPr>
          <w:szCs w:val="22"/>
        </w:rPr>
      </w:pPr>
    </w:p>
    <w:p w14:paraId="13DA1BDB" w14:textId="1E2BE372" w:rsidR="001C12B3" w:rsidRPr="00E83870" w:rsidRDefault="005C7BAD" w:rsidP="00FE12B4">
      <w:pPr>
        <w:outlineLvl w:val="0"/>
        <w:rPr>
          <w:szCs w:val="22"/>
        </w:rPr>
      </w:pPr>
      <w:r>
        <w:rPr>
          <w:szCs w:val="22"/>
        </w:rPr>
        <w:t>Patients exposed to prolong</w:t>
      </w:r>
      <w:r w:rsidR="00C03E1D">
        <w:rPr>
          <w:szCs w:val="22"/>
        </w:rPr>
        <w:t>ed</w:t>
      </w:r>
      <w:r>
        <w:rPr>
          <w:szCs w:val="22"/>
        </w:rPr>
        <w:t xml:space="preserve"> heat, humidity, exercise and </w:t>
      </w:r>
      <w:proofErr w:type="spellStart"/>
      <w:r>
        <w:rPr>
          <w:szCs w:val="22"/>
        </w:rPr>
        <w:t>intercurrent</w:t>
      </w:r>
      <w:proofErr w:type="spellEnd"/>
      <w:r>
        <w:rPr>
          <w:szCs w:val="22"/>
        </w:rPr>
        <w:t xml:space="preserve"> illness will be at greater risk of dehydration.</w:t>
      </w:r>
    </w:p>
    <w:p w14:paraId="21A2C4AB" w14:textId="77777777" w:rsidR="00FE12B4" w:rsidRPr="00E83870" w:rsidRDefault="00FE12B4" w:rsidP="00FE12B4">
      <w:pPr>
        <w:suppressLineNumbers/>
        <w:rPr>
          <w:noProof/>
          <w:szCs w:val="22"/>
        </w:rPr>
      </w:pPr>
    </w:p>
    <w:p w14:paraId="6E863866" w14:textId="77777777" w:rsidR="00A03A22" w:rsidRDefault="00A03A22" w:rsidP="00FE12B4">
      <w:pPr>
        <w:suppressLineNumbers/>
        <w:rPr>
          <w:noProof/>
          <w:szCs w:val="22"/>
          <w:u w:val="single"/>
        </w:rPr>
      </w:pPr>
    </w:p>
    <w:p w14:paraId="2E2E8FA6" w14:textId="77777777" w:rsidR="00A03A22" w:rsidRDefault="00A03A22" w:rsidP="00FE12B4">
      <w:pPr>
        <w:suppressLineNumbers/>
        <w:rPr>
          <w:noProof/>
          <w:szCs w:val="22"/>
          <w:u w:val="single"/>
        </w:rPr>
      </w:pPr>
    </w:p>
    <w:p w14:paraId="7C5F98D4" w14:textId="77777777" w:rsidR="00FE12B4" w:rsidRPr="00E83870" w:rsidRDefault="00FA2988" w:rsidP="00FE12B4">
      <w:pPr>
        <w:suppressLineNumbers/>
        <w:rPr>
          <w:noProof/>
          <w:szCs w:val="22"/>
          <w:u w:val="single"/>
        </w:rPr>
      </w:pPr>
      <w:bookmarkStart w:id="0" w:name="_GoBack"/>
      <w:bookmarkEnd w:id="0"/>
      <w:r w:rsidRPr="000971B3">
        <w:rPr>
          <w:noProof/>
          <w:szCs w:val="22"/>
          <w:u w:val="single"/>
        </w:rPr>
        <w:lastRenderedPageBreak/>
        <w:t>Urinary outflow obstruction</w:t>
      </w:r>
    </w:p>
    <w:p w14:paraId="7A76EC81" w14:textId="77777777" w:rsidR="00FE12B4" w:rsidRPr="00E83870" w:rsidRDefault="00FA2988" w:rsidP="00FE12B4">
      <w:pPr>
        <w:suppressLineNumbers/>
        <w:rPr>
          <w:noProof/>
          <w:szCs w:val="22"/>
        </w:rPr>
      </w:pPr>
      <w:r w:rsidRPr="000971B3">
        <w:rPr>
          <w:noProof/>
          <w:szCs w:val="22"/>
        </w:rPr>
        <w:t>Urinary output must be secured. Patients with partial obstruction of urinary outflow, for example patients with prostatic hypertrophy or impairment of micturition, have an increased risk of developing acute retention.</w:t>
      </w:r>
    </w:p>
    <w:p w14:paraId="3F5C1BDB" w14:textId="77777777" w:rsidR="00FE12B4" w:rsidRPr="00E83870" w:rsidRDefault="00FE12B4" w:rsidP="00FE12B4">
      <w:pPr>
        <w:suppressLineNumbers/>
        <w:rPr>
          <w:noProof/>
          <w:szCs w:val="22"/>
        </w:rPr>
      </w:pPr>
    </w:p>
    <w:p w14:paraId="4BA5784D" w14:textId="77777777" w:rsidR="00FE12B4" w:rsidRPr="00E83870" w:rsidRDefault="00FA2988" w:rsidP="00FE12B4">
      <w:pPr>
        <w:suppressLineNumbers/>
        <w:rPr>
          <w:noProof/>
          <w:szCs w:val="22"/>
          <w:u w:val="single"/>
        </w:rPr>
      </w:pPr>
      <w:r w:rsidRPr="000971B3">
        <w:rPr>
          <w:noProof/>
          <w:szCs w:val="22"/>
          <w:u w:val="single"/>
        </w:rPr>
        <w:t>Fluid and electrolyte balance</w:t>
      </w:r>
    </w:p>
    <w:p w14:paraId="2604F059" w14:textId="77777777" w:rsidR="00FE12B4" w:rsidRPr="00E83870" w:rsidRDefault="00FA2988" w:rsidP="00FE12B4">
      <w:pPr>
        <w:suppressLineNumbers/>
        <w:rPr>
          <w:noProof/>
          <w:szCs w:val="22"/>
        </w:rPr>
      </w:pPr>
      <w:r w:rsidRPr="000971B3">
        <w:rPr>
          <w:noProof/>
          <w:szCs w:val="22"/>
        </w:rPr>
        <w:t xml:space="preserve">Fluid and electrolyte status must be monitored in all patients. Administration of tolvaptan induces copious aquaresis and may cause dehydration and increases in serum sodium (see ADVERSE EFFECTS) and is contraindicated in hypernatraemic patients (see CONTRAINDICATIONS). Therefore, serum creatinine, electrolytes and symptoms of electrolyte imbalances (e.g. dizziness, fainting, palpitations, confusion, weakness, gait instability, hyper-reflexia, seizures, coma) have to be assessed prior to and after starting tolvaptan to monitor for dehydration. </w:t>
      </w:r>
    </w:p>
    <w:p w14:paraId="26856006" w14:textId="77777777" w:rsidR="00FE12B4" w:rsidRPr="00E83870" w:rsidRDefault="00FE12B4" w:rsidP="00FE12B4">
      <w:pPr>
        <w:suppressLineNumbers/>
        <w:rPr>
          <w:noProof/>
          <w:szCs w:val="22"/>
        </w:rPr>
      </w:pPr>
    </w:p>
    <w:p w14:paraId="65C189EA" w14:textId="77777777" w:rsidR="00FE12B4" w:rsidRPr="00E83870" w:rsidRDefault="00FA2988" w:rsidP="00FE12B4">
      <w:pPr>
        <w:suppressLineNumbers/>
        <w:rPr>
          <w:noProof/>
          <w:szCs w:val="22"/>
        </w:rPr>
      </w:pPr>
      <w:r w:rsidRPr="000971B3">
        <w:rPr>
          <w:noProof/>
          <w:szCs w:val="22"/>
        </w:rPr>
        <w:t>During long-term treatment electrolytes have to be monitored at least every three months.</w:t>
      </w:r>
    </w:p>
    <w:p w14:paraId="4CD4B7A4" w14:textId="77777777" w:rsidR="00FE12B4" w:rsidRPr="00E83870" w:rsidRDefault="00FE12B4" w:rsidP="00FE12B4">
      <w:pPr>
        <w:suppressLineNumbers/>
        <w:rPr>
          <w:noProof/>
          <w:szCs w:val="22"/>
        </w:rPr>
      </w:pPr>
    </w:p>
    <w:p w14:paraId="784FD3A5" w14:textId="1CBED65C" w:rsidR="003C09B4" w:rsidRPr="00E83870" w:rsidRDefault="00FA2988" w:rsidP="00FE12B4">
      <w:pPr>
        <w:suppressLineNumbers/>
        <w:rPr>
          <w:noProof/>
          <w:szCs w:val="22"/>
          <w:u w:val="single"/>
        </w:rPr>
      </w:pPr>
      <w:bookmarkStart w:id="1" w:name="OLE_LINK5"/>
      <w:r w:rsidRPr="000971B3">
        <w:rPr>
          <w:noProof/>
          <w:szCs w:val="22"/>
          <w:u w:val="single"/>
        </w:rPr>
        <w:t>Serum sodium abnormalities</w:t>
      </w:r>
    </w:p>
    <w:p w14:paraId="6B27D7E1" w14:textId="77777777" w:rsidR="00FE12B4" w:rsidRDefault="00FA2988" w:rsidP="00FE12B4">
      <w:pPr>
        <w:suppressLineNumbers/>
        <w:rPr>
          <w:noProof/>
          <w:szCs w:val="22"/>
        </w:rPr>
      </w:pPr>
      <w:r w:rsidRPr="000971B3">
        <w:rPr>
          <w:noProof/>
          <w:szCs w:val="22"/>
        </w:rPr>
        <w:t>Pretreatment sodium abnormalities (hyponatraemia or hypernatraemia) must be corrected prior to initiation with tolvaptan therapy.</w:t>
      </w:r>
    </w:p>
    <w:p w14:paraId="275D8AC9" w14:textId="77777777" w:rsidR="00B5274C" w:rsidRDefault="00B5274C" w:rsidP="00FE12B4">
      <w:pPr>
        <w:suppressLineNumbers/>
        <w:rPr>
          <w:noProof/>
          <w:szCs w:val="22"/>
        </w:rPr>
      </w:pPr>
    </w:p>
    <w:p w14:paraId="4AA21577" w14:textId="471E5BE8" w:rsidR="00B5274C" w:rsidRPr="00EF2644" w:rsidRDefault="00B5274C" w:rsidP="00FE12B4">
      <w:pPr>
        <w:suppressLineNumbers/>
        <w:rPr>
          <w:noProof/>
          <w:szCs w:val="22"/>
          <w:u w:val="single"/>
        </w:rPr>
      </w:pPr>
      <w:r w:rsidRPr="00EF2644">
        <w:rPr>
          <w:noProof/>
          <w:szCs w:val="22"/>
          <w:u w:val="single"/>
        </w:rPr>
        <w:t>Hyperkalemia</w:t>
      </w:r>
    </w:p>
    <w:p w14:paraId="7291C7EC" w14:textId="3E565144" w:rsidR="00FE12B4" w:rsidRDefault="00B5274C" w:rsidP="00FE12B4">
      <w:pPr>
        <w:suppressLineNumbers/>
        <w:rPr>
          <w:noProof/>
          <w:szCs w:val="22"/>
        </w:rPr>
      </w:pPr>
      <w:r>
        <w:rPr>
          <w:noProof/>
          <w:szCs w:val="22"/>
        </w:rPr>
        <w:t>Treatment with tolv</w:t>
      </w:r>
      <w:r w:rsidR="00D228A3">
        <w:rPr>
          <w:noProof/>
          <w:szCs w:val="22"/>
        </w:rPr>
        <w:t>a</w:t>
      </w:r>
      <w:r>
        <w:rPr>
          <w:noProof/>
          <w:szCs w:val="22"/>
        </w:rPr>
        <w:t>ptan is associated with an acute reduction of the extracellular fluid volume which could results in increased serum potassium. Serum potassium levels should be monitored carefully after initiation of tolvaptan, especially in those who are receiving drugs known to increase serum potassium levels.</w:t>
      </w:r>
    </w:p>
    <w:p w14:paraId="72B8BFC6" w14:textId="77777777" w:rsidR="00B5274C" w:rsidRPr="00E83870" w:rsidRDefault="00B5274C" w:rsidP="00FE12B4">
      <w:pPr>
        <w:suppressLineNumbers/>
        <w:rPr>
          <w:noProof/>
          <w:szCs w:val="22"/>
        </w:rPr>
      </w:pPr>
    </w:p>
    <w:p w14:paraId="5DAFAC3B" w14:textId="77777777" w:rsidR="00FE12B4" w:rsidRPr="00E83870" w:rsidRDefault="00FA2988" w:rsidP="00FE12B4">
      <w:pPr>
        <w:outlineLvl w:val="0"/>
        <w:rPr>
          <w:szCs w:val="22"/>
          <w:u w:val="single"/>
        </w:rPr>
      </w:pPr>
      <w:r w:rsidRPr="000971B3">
        <w:rPr>
          <w:szCs w:val="22"/>
          <w:u w:val="single"/>
        </w:rPr>
        <w:t>Anaphylaxis</w:t>
      </w:r>
    </w:p>
    <w:p w14:paraId="376F4B3F" w14:textId="77777777" w:rsidR="00FE12B4" w:rsidRPr="00E83870" w:rsidRDefault="00FA2988" w:rsidP="00FE12B4">
      <w:pPr>
        <w:outlineLvl w:val="0"/>
        <w:rPr>
          <w:szCs w:val="22"/>
        </w:rPr>
      </w:pPr>
      <w:r w:rsidRPr="000971B3">
        <w:rPr>
          <w:szCs w:val="22"/>
        </w:rPr>
        <w:t>In post-marketing experience, anaphylaxis (including anaphylactic shock and rash generalised) has been reported very rarely following administration of tolvaptan. This type of reaction occurred after the first administration of tolvaptan. If an anaphylactic reaction or other serious allergic reactions occur, administration of tolvaptan must be discontinued immediately and appropriate therapy initiated. Since hypersensitivity is a contraindication (see CONTRAINDICATIONS) treatment must never be restarted after an anaphylactic reaction or other serious allergic reactions.</w:t>
      </w:r>
    </w:p>
    <w:p w14:paraId="43A6745F" w14:textId="77777777" w:rsidR="00FE12B4" w:rsidRPr="00E83870" w:rsidRDefault="00FE12B4" w:rsidP="00FE12B4">
      <w:pPr>
        <w:suppressLineNumbers/>
        <w:rPr>
          <w:noProof/>
          <w:szCs w:val="22"/>
        </w:rPr>
      </w:pPr>
    </w:p>
    <w:bookmarkEnd w:id="1"/>
    <w:p w14:paraId="63CB3B19" w14:textId="77777777" w:rsidR="00FE12B4" w:rsidRPr="00E83870" w:rsidRDefault="00FA2988" w:rsidP="00FE12B4">
      <w:pPr>
        <w:suppressLineNumbers/>
        <w:rPr>
          <w:noProof/>
          <w:szCs w:val="22"/>
          <w:u w:val="single"/>
        </w:rPr>
      </w:pPr>
      <w:r w:rsidRPr="000971B3">
        <w:rPr>
          <w:noProof/>
          <w:szCs w:val="22"/>
          <w:u w:val="single"/>
        </w:rPr>
        <w:t>Lactose</w:t>
      </w:r>
    </w:p>
    <w:p w14:paraId="06A71F14" w14:textId="60325712" w:rsidR="00FE12B4" w:rsidRPr="00E83870" w:rsidRDefault="001522D8" w:rsidP="00FE12B4">
      <w:pPr>
        <w:suppressLineNumbers/>
        <w:rPr>
          <w:noProof/>
          <w:szCs w:val="22"/>
        </w:rPr>
      </w:pPr>
      <w:r>
        <w:rPr>
          <w:noProof/>
          <w:szCs w:val="22"/>
        </w:rPr>
        <w:t>JINARC</w:t>
      </w:r>
      <w:r w:rsidR="00FA2988" w:rsidRPr="000971B3">
        <w:rPr>
          <w:noProof/>
          <w:szCs w:val="22"/>
        </w:rPr>
        <w:t xml:space="preserve"> contains lactose as an excipient. Patients with rare hereditary problems of galactose intolerance, the Lapp lactase deficiency or glucose-galactose malabsorption should not take this medicine.</w:t>
      </w:r>
    </w:p>
    <w:p w14:paraId="545FF272" w14:textId="77777777" w:rsidR="00FE12B4" w:rsidRPr="00E83870" w:rsidRDefault="00FE12B4" w:rsidP="00FE12B4">
      <w:pPr>
        <w:suppressLineNumbers/>
        <w:rPr>
          <w:noProof/>
          <w:szCs w:val="22"/>
        </w:rPr>
      </w:pPr>
    </w:p>
    <w:p w14:paraId="7FE4D162" w14:textId="77777777" w:rsidR="00FE12B4" w:rsidRPr="00E83870" w:rsidRDefault="00FA2988" w:rsidP="00FE12B4">
      <w:pPr>
        <w:suppressLineNumbers/>
        <w:rPr>
          <w:noProof/>
          <w:szCs w:val="22"/>
          <w:u w:val="single"/>
        </w:rPr>
      </w:pPr>
      <w:r w:rsidRPr="000971B3">
        <w:rPr>
          <w:noProof/>
          <w:szCs w:val="22"/>
          <w:u w:val="single"/>
        </w:rPr>
        <w:t xml:space="preserve">Diabetes mellitus </w:t>
      </w:r>
    </w:p>
    <w:p w14:paraId="084191DE" w14:textId="77777777" w:rsidR="00FE12B4" w:rsidRDefault="00FA2988" w:rsidP="00FE12B4">
      <w:pPr>
        <w:suppressLineNumbers/>
        <w:rPr>
          <w:noProof/>
          <w:szCs w:val="22"/>
        </w:rPr>
      </w:pPr>
      <w:r w:rsidRPr="000971B3">
        <w:rPr>
          <w:noProof/>
          <w:szCs w:val="22"/>
        </w:rPr>
        <w:t xml:space="preserve">Diabetic patients with an elevated glucose concentration (e.g. in excess of 300 mg/dl) may present with pseudohyponatraemia. This condition must be excluded prior and during treatment with tolvaptan. </w:t>
      </w:r>
    </w:p>
    <w:p w14:paraId="3E31909E" w14:textId="77777777" w:rsidR="00FF03CB" w:rsidRPr="00E83870" w:rsidRDefault="00FF03CB" w:rsidP="00FE12B4">
      <w:pPr>
        <w:suppressLineNumbers/>
        <w:rPr>
          <w:noProof/>
          <w:szCs w:val="22"/>
        </w:rPr>
      </w:pPr>
    </w:p>
    <w:p w14:paraId="5685AF77" w14:textId="77777777" w:rsidR="00FE12B4" w:rsidRPr="00E83870" w:rsidRDefault="00FA2988" w:rsidP="00FE12B4">
      <w:pPr>
        <w:suppressLineNumbers/>
        <w:rPr>
          <w:noProof/>
          <w:szCs w:val="22"/>
        </w:rPr>
      </w:pPr>
      <w:r w:rsidRPr="000971B3">
        <w:rPr>
          <w:noProof/>
          <w:szCs w:val="22"/>
        </w:rPr>
        <w:t>Tolvaptan may cause hyperglycaemia (see ADVERSE EFFECTS). Therefore, diabetic patients treated with tolvaptan must be managed cautiously. In particular this applies to patients with inadequately controlled type II diabetes.</w:t>
      </w:r>
    </w:p>
    <w:p w14:paraId="61A93C73" w14:textId="77777777" w:rsidR="00FE12B4" w:rsidRPr="00E83870" w:rsidRDefault="00FE12B4" w:rsidP="00FE12B4">
      <w:pPr>
        <w:suppressLineNumbers/>
        <w:rPr>
          <w:noProof/>
          <w:szCs w:val="22"/>
        </w:rPr>
      </w:pPr>
    </w:p>
    <w:p w14:paraId="3480E7E9" w14:textId="77777777" w:rsidR="00FE12B4" w:rsidRPr="00E83870" w:rsidRDefault="00FA2988" w:rsidP="00FE12B4">
      <w:pPr>
        <w:suppressLineNumbers/>
        <w:rPr>
          <w:noProof/>
          <w:szCs w:val="22"/>
          <w:u w:val="single"/>
        </w:rPr>
      </w:pPr>
      <w:r w:rsidRPr="000971B3">
        <w:rPr>
          <w:noProof/>
          <w:szCs w:val="22"/>
          <w:u w:val="single"/>
        </w:rPr>
        <w:lastRenderedPageBreak/>
        <w:t>Uric acid increases</w:t>
      </w:r>
    </w:p>
    <w:p w14:paraId="504DB135" w14:textId="06432A9B" w:rsidR="00FE12B4" w:rsidRPr="00E83870" w:rsidRDefault="00FA2988" w:rsidP="00FE12B4">
      <w:pPr>
        <w:suppressLineNumbers/>
        <w:rPr>
          <w:noProof/>
          <w:szCs w:val="22"/>
        </w:rPr>
      </w:pPr>
      <w:r w:rsidRPr="000971B3">
        <w:rPr>
          <w:noProof/>
          <w:szCs w:val="22"/>
        </w:rPr>
        <w:t>Decreased uric acid clearance by the kidney is a known effect of tolvaptan. In a double</w:t>
      </w:r>
      <w:r w:rsidRPr="000971B3">
        <w:rPr>
          <w:noProof/>
          <w:szCs w:val="22"/>
        </w:rPr>
        <w:noBreakHyphen/>
        <w:t>blind, placebo</w:t>
      </w:r>
      <w:r w:rsidRPr="000971B3">
        <w:rPr>
          <w:noProof/>
          <w:szCs w:val="22"/>
        </w:rPr>
        <w:noBreakHyphen/>
        <w:t>controlled trial of patients with ADPKD, potentially clinically significant increased uric acid (greater than 10 mg/dL) was reported at a higher rate in tolvaptan-patients (6.2%) compared to placebo</w:t>
      </w:r>
      <w:r w:rsidRPr="000971B3">
        <w:rPr>
          <w:noProof/>
          <w:szCs w:val="22"/>
        </w:rPr>
        <w:noBreakHyphen/>
        <w:t>treated patients (1.7%). Adverse reactions of gout were reported more frequently in tolvaptan</w:t>
      </w:r>
      <w:r w:rsidRPr="000971B3">
        <w:rPr>
          <w:noProof/>
          <w:szCs w:val="22"/>
        </w:rPr>
        <w:noBreakHyphen/>
        <w:t>treated patients (28/961, 2.9%) than in patients receiving placebo (7/483, 1.4%). In addition, increased use of allopurinol and other medicinal products used to manage gout were observed in the double</w:t>
      </w:r>
      <w:r w:rsidRPr="000971B3">
        <w:rPr>
          <w:noProof/>
          <w:szCs w:val="22"/>
        </w:rPr>
        <w:noBreakHyphen/>
        <w:t>blind, placebo-controlled trial. Effects on serum uric acid are attributable to the reversible renal hemodynamic changes that occur in response to tolvaptan effects on urine osmolality and may be clinically relevant. However, events of increased uric acid and/or gout were not serious and did not cause discontinuation of therapy in the double</w:t>
      </w:r>
      <w:r w:rsidRPr="000971B3">
        <w:rPr>
          <w:noProof/>
          <w:szCs w:val="22"/>
        </w:rPr>
        <w:noBreakHyphen/>
        <w:t>blind, placebo</w:t>
      </w:r>
      <w:r w:rsidRPr="000971B3">
        <w:rPr>
          <w:noProof/>
          <w:szCs w:val="22"/>
        </w:rPr>
        <w:noBreakHyphen/>
        <w:t xml:space="preserve">controlled trial. Uric acid concentrations are to be evaluated prior to initiation of </w:t>
      </w:r>
      <w:r w:rsidR="001522D8">
        <w:rPr>
          <w:noProof/>
          <w:szCs w:val="22"/>
        </w:rPr>
        <w:t>JINARC</w:t>
      </w:r>
      <w:r w:rsidRPr="000971B3">
        <w:rPr>
          <w:noProof/>
          <w:szCs w:val="22"/>
        </w:rPr>
        <w:t xml:space="preserve"> therapy, and as indicated during treatment based on symptoms.</w:t>
      </w:r>
    </w:p>
    <w:p w14:paraId="4F9416BE" w14:textId="77777777" w:rsidR="00FE12B4" w:rsidRPr="00E83870" w:rsidRDefault="00FE12B4" w:rsidP="00FE12B4">
      <w:pPr>
        <w:suppressLineNumbers/>
        <w:rPr>
          <w:noProof/>
          <w:szCs w:val="22"/>
        </w:rPr>
      </w:pPr>
    </w:p>
    <w:p w14:paraId="7F3964B7" w14:textId="77777777" w:rsidR="00FE12B4" w:rsidRPr="00E83870" w:rsidRDefault="00FA2988" w:rsidP="00FE12B4">
      <w:pPr>
        <w:suppressLineNumbers/>
        <w:rPr>
          <w:noProof/>
          <w:szCs w:val="22"/>
          <w:u w:val="single"/>
        </w:rPr>
      </w:pPr>
      <w:r w:rsidRPr="000971B3">
        <w:rPr>
          <w:noProof/>
          <w:szCs w:val="22"/>
          <w:u w:val="single"/>
        </w:rPr>
        <w:t>Effect of tolvaptan on glomerular filtration rate (GFR)</w:t>
      </w:r>
    </w:p>
    <w:p w14:paraId="57D9BDAF" w14:textId="77777777" w:rsidR="00FE12B4" w:rsidRDefault="00FA2988" w:rsidP="00FE12B4">
      <w:pPr>
        <w:suppressLineNumbers/>
        <w:rPr>
          <w:noProof/>
          <w:szCs w:val="22"/>
        </w:rPr>
      </w:pPr>
      <w:r w:rsidRPr="000971B3">
        <w:rPr>
          <w:noProof/>
          <w:szCs w:val="22"/>
        </w:rPr>
        <w:t>A reversible reduction in GFR has been observed in ADPKD trials at the initiation of tolvaptan treatment.</w:t>
      </w:r>
    </w:p>
    <w:p w14:paraId="35BFED66" w14:textId="77777777" w:rsidR="00F364F6" w:rsidRDefault="00F364F6" w:rsidP="00FE12B4">
      <w:pPr>
        <w:suppressLineNumbers/>
        <w:rPr>
          <w:noProof/>
          <w:szCs w:val="22"/>
        </w:rPr>
      </w:pPr>
    </w:p>
    <w:p w14:paraId="13D6F91C" w14:textId="77777777" w:rsidR="00333D64" w:rsidRPr="00E83870" w:rsidRDefault="00333D64" w:rsidP="00333D64">
      <w:pPr>
        <w:suppressLineNumbers/>
        <w:rPr>
          <w:noProof/>
          <w:szCs w:val="22"/>
          <w:u w:val="single"/>
        </w:rPr>
      </w:pPr>
      <w:r w:rsidRPr="000971B3">
        <w:rPr>
          <w:noProof/>
          <w:szCs w:val="22"/>
          <w:u w:val="single"/>
        </w:rPr>
        <w:t>Fertility</w:t>
      </w:r>
    </w:p>
    <w:p w14:paraId="03529F11" w14:textId="16C020CA" w:rsidR="00333D64" w:rsidRDefault="00333D64" w:rsidP="00333D64">
      <w:pPr>
        <w:suppressLineNumbers/>
        <w:rPr>
          <w:noProof/>
          <w:szCs w:val="22"/>
        </w:rPr>
      </w:pPr>
      <w:r>
        <w:rPr>
          <w:noProof/>
          <w:szCs w:val="22"/>
        </w:rPr>
        <w:t>Fertility was unaffected in male and females rats given tolvaptan at oral doses up to 1000 mg/kg/day (yielding 1.9-times in males and 5.1-times in females the AUC in patients at the maximum recommended human dose [MRHD] of 120 mg per day). However, oestrus cycles were altered in rats at oral doses ≥ 300 mg/kg/day (3.8-times the clinical AUC at the MRHD).</w:t>
      </w:r>
    </w:p>
    <w:p w14:paraId="6EC1988C" w14:textId="77777777" w:rsidR="00333D64" w:rsidRDefault="00333D64" w:rsidP="00333D64">
      <w:pPr>
        <w:suppressLineNumbers/>
        <w:rPr>
          <w:noProof/>
          <w:szCs w:val="22"/>
        </w:rPr>
      </w:pPr>
    </w:p>
    <w:p w14:paraId="22BAF185" w14:textId="14062940" w:rsidR="00F373EA" w:rsidRPr="00E83870" w:rsidRDefault="00F373EA" w:rsidP="00333D64">
      <w:pPr>
        <w:suppressLineNumbers/>
        <w:rPr>
          <w:noProof/>
          <w:szCs w:val="22"/>
          <w:u w:val="single"/>
        </w:rPr>
      </w:pPr>
      <w:r>
        <w:rPr>
          <w:noProof/>
          <w:szCs w:val="22"/>
          <w:u w:val="single"/>
        </w:rPr>
        <w:t xml:space="preserve">Use in </w:t>
      </w:r>
      <w:r w:rsidRPr="000971B3">
        <w:rPr>
          <w:noProof/>
          <w:szCs w:val="22"/>
          <w:u w:val="single"/>
        </w:rPr>
        <w:t>Pregnancy (Category D)</w:t>
      </w:r>
    </w:p>
    <w:p w14:paraId="3E21A101" w14:textId="77777777" w:rsidR="00F41A76" w:rsidRDefault="00F41A76" w:rsidP="00F41A76">
      <w:pPr>
        <w:suppressLineNumbers/>
        <w:rPr>
          <w:noProof/>
          <w:szCs w:val="22"/>
        </w:rPr>
      </w:pPr>
      <w:r>
        <w:rPr>
          <w:noProof/>
          <w:szCs w:val="22"/>
        </w:rPr>
        <w:t>Tolvaptan and/or it’s metabolites were shown to cross the placent in rats and rabbits.</w:t>
      </w:r>
    </w:p>
    <w:p w14:paraId="2B2A7D47" w14:textId="77777777" w:rsidR="00F41A76" w:rsidRDefault="00F41A76" w:rsidP="00F41A76">
      <w:pPr>
        <w:suppressLineNumbers/>
        <w:rPr>
          <w:noProof/>
          <w:szCs w:val="22"/>
        </w:rPr>
      </w:pPr>
    </w:p>
    <w:p w14:paraId="1814E570" w14:textId="0D29C6E6" w:rsidR="00F41A76" w:rsidRDefault="00F41A76" w:rsidP="00F41A76">
      <w:pPr>
        <w:suppressLineNumbers/>
        <w:rPr>
          <w:noProof/>
          <w:szCs w:val="22"/>
        </w:rPr>
      </w:pPr>
      <w:r>
        <w:rPr>
          <w:noProof/>
          <w:szCs w:val="22"/>
        </w:rPr>
        <w:t>In rats treated with tolvaptan during organogenesis reduced fetal weights and delayed fetal ossification occurred at an oral dose of 1000mg/kg/day (yielding 17-times the clinical AUC at the MR</w:t>
      </w:r>
      <w:r w:rsidR="00333D64">
        <w:rPr>
          <w:noProof/>
          <w:szCs w:val="22"/>
        </w:rPr>
        <w:t>H</w:t>
      </w:r>
      <w:r>
        <w:rPr>
          <w:noProof/>
          <w:szCs w:val="22"/>
        </w:rPr>
        <w:t xml:space="preserve">D). </w:t>
      </w:r>
    </w:p>
    <w:p w14:paraId="74B2A897" w14:textId="77777777" w:rsidR="00F41A76" w:rsidRDefault="00F41A76" w:rsidP="00F41A76">
      <w:pPr>
        <w:suppressLineNumbers/>
        <w:rPr>
          <w:noProof/>
          <w:szCs w:val="22"/>
        </w:rPr>
      </w:pPr>
    </w:p>
    <w:p w14:paraId="04FA9DD3" w14:textId="77777777" w:rsidR="00F41A76" w:rsidRDefault="00F41A76" w:rsidP="00F41A76">
      <w:pPr>
        <w:suppressLineNumbers/>
        <w:rPr>
          <w:noProof/>
          <w:szCs w:val="22"/>
        </w:rPr>
      </w:pPr>
      <w:r w:rsidRPr="00645717">
        <w:rPr>
          <w:noProof/>
          <w:szCs w:val="22"/>
        </w:rPr>
        <w:t>Teratogenicity was noted in rabbits given 1000 mg/kg/day (7.5 times the exposure from the 120 mg/day human dose on an AUC basis).</w:t>
      </w:r>
      <w:r>
        <w:rPr>
          <w:noProof/>
          <w:szCs w:val="22"/>
        </w:rPr>
        <w:t xml:space="preserve"> The effects were increased rates of emryo-fetal death, fetal microphthalmia, open eyelids, cleft palate, brachymelia and skeletal malformations. These adverse effects on embryofetal development were observed in conjuction with maternal toxicity (reduced maternal body weight gain and food consumption) although a direct effect of the drug cannot be excluded.</w:t>
      </w:r>
    </w:p>
    <w:p w14:paraId="1D854999" w14:textId="77777777" w:rsidR="00F41A76" w:rsidRDefault="00F41A76" w:rsidP="00F41A76">
      <w:pPr>
        <w:suppressLineNumbers/>
        <w:rPr>
          <w:noProof/>
          <w:szCs w:val="22"/>
        </w:rPr>
      </w:pPr>
    </w:p>
    <w:p w14:paraId="1D6530ED" w14:textId="77777777" w:rsidR="00F41A76" w:rsidRDefault="00F41A76" w:rsidP="00F41A76">
      <w:pPr>
        <w:suppressLineNumbers/>
        <w:rPr>
          <w:noProof/>
          <w:szCs w:val="22"/>
        </w:rPr>
      </w:pPr>
      <w:r w:rsidRPr="00645717">
        <w:rPr>
          <w:noProof/>
          <w:szCs w:val="22"/>
        </w:rPr>
        <w:t>No teratogenic effects were seen in rabbits at 300 mg/kg/day (about 1.25 to 2.65 times the exposure in humans at the 120 mg/day dose, based on AUC).</w:t>
      </w:r>
      <w:r>
        <w:rPr>
          <w:noProof/>
          <w:szCs w:val="22"/>
        </w:rPr>
        <w:t xml:space="preserve"> However, increasing the dose from 300 mg/kg/day to 1000 mg/kg/day increased abortions from 1/17 to 5/18 animals.</w:t>
      </w:r>
    </w:p>
    <w:p w14:paraId="78D0317D" w14:textId="20D3DE56" w:rsidR="00F373EA" w:rsidRPr="00E83870" w:rsidRDefault="00F373EA" w:rsidP="00F373EA">
      <w:pPr>
        <w:rPr>
          <w:szCs w:val="22"/>
        </w:rPr>
      </w:pPr>
      <w:r w:rsidRPr="000971B3">
        <w:rPr>
          <w:noProof/>
          <w:szCs w:val="22"/>
        </w:rPr>
        <w:t>There are no adequate data from the use of tolvaptan in pregnant women. The potential risk for humans is unknown.</w:t>
      </w:r>
    </w:p>
    <w:p w14:paraId="66076EC3" w14:textId="77777777" w:rsidR="00F373EA" w:rsidRPr="00E83870" w:rsidRDefault="00F373EA" w:rsidP="00F373EA">
      <w:pPr>
        <w:suppressLineNumbers/>
        <w:rPr>
          <w:noProof/>
          <w:szCs w:val="22"/>
        </w:rPr>
      </w:pPr>
    </w:p>
    <w:p w14:paraId="46310D79" w14:textId="7B054136" w:rsidR="00F373EA" w:rsidRPr="00E83870" w:rsidRDefault="00F373EA" w:rsidP="00F373EA">
      <w:pPr>
        <w:suppressLineNumbers/>
        <w:rPr>
          <w:noProof/>
          <w:szCs w:val="22"/>
        </w:rPr>
      </w:pPr>
      <w:r w:rsidRPr="000971B3">
        <w:rPr>
          <w:noProof/>
          <w:szCs w:val="22"/>
        </w:rPr>
        <w:t>Women of childbearing potential must use adequate contraceptive measures during Jinarc use. Jinarc must not be used during pregnancy (</w:t>
      </w:r>
      <w:r w:rsidR="00333D64">
        <w:rPr>
          <w:noProof/>
          <w:szCs w:val="22"/>
        </w:rPr>
        <w:t>s</w:t>
      </w:r>
      <w:r w:rsidRPr="000971B3">
        <w:rPr>
          <w:noProof/>
          <w:szCs w:val="22"/>
        </w:rPr>
        <w:t>ee CONTRAINDICATIONS)</w:t>
      </w:r>
    </w:p>
    <w:p w14:paraId="62DEC49B" w14:textId="77777777" w:rsidR="00F373EA" w:rsidRPr="00E83870" w:rsidRDefault="00F373EA" w:rsidP="00F373EA">
      <w:pPr>
        <w:suppressLineNumbers/>
        <w:rPr>
          <w:noProof/>
          <w:szCs w:val="22"/>
        </w:rPr>
      </w:pPr>
    </w:p>
    <w:p w14:paraId="17294C7F" w14:textId="71E0768E" w:rsidR="00F373EA" w:rsidRPr="00E83870" w:rsidRDefault="00F41A76" w:rsidP="00F373EA">
      <w:pPr>
        <w:keepNext/>
        <w:suppressLineNumbers/>
        <w:rPr>
          <w:noProof/>
          <w:szCs w:val="22"/>
          <w:u w:val="single"/>
        </w:rPr>
      </w:pPr>
      <w:r>
        <w:rPr>
          <w:noProof/>
          <w:szCs w:val="22"/>
          <w:u w:val="single"/>
        </w:rPr>
        <w:lastRenderedPageBreak/>
        <w:t>Use in</w:t>
      </w:r>
      <w:r w:rsidR="00921DF9">
        <w:rPr>
          <w:noProof/>
          <w:szCs w:val="22"/>
          <w:u w:val="single"/>
        </w:rPr>
        <w:t xml:space="preserve"> </w:t>
      </w:r>
      <w:r w:rsidR="00F373EA" w:rsidRPr="000971B3">
        <w:rPr>
          <w:noProof/>
          <w:szCs w:val="22"/>
          <w:u w:val="single"/>
        </w:rPr>
        <w:t>Lactation</w:t>
      </w:r>
    </w:p>
    <w:p w14:paraId="266863FA" w14:textId="77777777" w:rsidR="00F373EA" w:rsidRDefault="00F373EA" w:rsidP="00F373EA">
      <w:pPr>
        <w:keepNext/>
        <w:suppressLineNumbers/>
        <w:rPr>
          <w:noProof/>
          <w:szCs w:val="22"/>
        </w:rPr>
      </w:pPr>
      <w:r w:rsidRPr="000971B3">
        <w:rPr>
          <w:noProof/>
          <w:szCs w:val="22"/>
        </w:rPr>
        <w:t xml:space="preserve">It is unknown whether tolvaptan is excreted in human breast milk. Studies in rats have shown excretion of tolvaptan in milk. </w:t>
      </w:r>
    </w:p>
    <w:p w14:paraId="09A94A2C" w14:textId="77777777" w:rsidR="00333D64" w:rsidRDefault="00333D64" w:rsidP="00F373EA">
      <w:pPr>
        <w:keepNext/>
        <w:suppressLineNumbers/>
        <w:rPr>
          <w:noProof/>
          <w:szCs w:val="22"/>
        </w:rPr>
      </w:pPr>
    </w:p>
    <w:p w14:paraId="0DD03E5F" w14:textId="77777777" w:rsidR="00F373EA" w:rsidRPr="00E83870" w:rsidRDefault="00F373EA" w:rsidP="00F373EA">
      <w:pPr>
        <w:suppressLineNumbers/>
        <w:rPr>
          <w:noProof/>
          <w:szCs w:val="22"/>
        </w:rPr>
      </w:pPr>
      <w:r w:rsidRPr="000971B3">
        <w:rPr>
          <w:noProof/>
          <w:szCs w:val="22"/>
        </w:rPr>
        <w:t>The potential risk for humans is unknown. Jinarc is contraindicated during breastfeeding (see CONTRAINDICATIONS).</w:t>
      </w:r>
    </w:p>
    <w:p w14:paraId="08F5801B" w14:textId="77777777" w:rsidR="00F373EA" w:rsidRPr="00E83870" w:rsidRDefault="00F373EA" w:rsidP="00F373EA">
      <w:pPr>
        <w:suppressLineNumbers/>
        <w:rPr>
          <w:noProof/>
          <w:szCs w:val="22"/>
        </w:rPr>
      </w:pPr>
    </w:p>
    <w:p w14:paraId="0AF8455F" w14:textId="5376FCF6" w:rsidR="00422E38" w:rsidRPr="00EF2644" w:rsidRDefault="00422E38" w:rsidP="00397607">
      <w:pPr>
        <w:autoSpaceDE w:val="0"/>
        <w:autoSpaceDN w:val="0"/>
        <w:adjustRightInd w:val="0"/>
        <w:rPr>
          <w:szCs w:val="22"/>
          <w:u w:val="single"/>
        </w:rPr>
      </w:pPr>
      <w:r w:rsidRPr="00EF2644">
        <w:rPr>
          <w:szCs w:val="22"/>
          <w:u w:val="single"/>
        </w:rPr>
        <w:t>Genotoxicity</w:t>
      </w:r>
    </w:p>
    <w:p w14:paraId="4CFDE5F2" w14:textId="14E4BF71" w:rsidR="00422E38" w:rsidRDefault="00422E38" w:rsidP="00397607">
      <w:pPr>
        <w:autoSpaceDE w:val="0"/>
        <w:autoSpaceDN w:val="0"/>
        <w:adjustRightInd w:val="0"/>
        <w:rPr>
          <w:szCs w:val="22"/>
        </w:rPr>
      </w:pPr>
      <w:r>
        <w:rPr>
          <w:szCs w:val="22"/>
        </w:rPr>
        <w:t>Tolv</w:t>
      </w:r>
      <w:r w:rsidR="00F364F6">
        <w:rPr>
          <w:szCs w:val="22"/>
        </w:rPr>
        <w:t>a</w:t>
      </w:r>
      <w:r>
        <w:rPr>
          <w:szCs w:val="22"/>
        </w:rPr>
        <w:t>ptan tested negative for genotoxicity in in vitro (bacterial reverse mutation assay, mammalian forward mutation assay and chromosomal aberration test in Chinese hamster lung fibroblast cells) and in vivo (rats micronucleus assay) test systems.</w:t>
      </w:r>
    </w:p>
    <w:p w14:paraId="712554D0" w14:textId="77777777" w:rsidR="00422E38" w:rsidRDefault="00422E38" w:rsidP="00397607">
      <w:pPr>
        <w:autoSpaceDE w:val="0"/>
        <w:autoSpaceDN w:val="0"/>
        <w:adjustRightInd w:val="0"/>
        <w:rPr>
          <w:szCs w:val="22"/>
        </w:rPr>
      </w:pPr>
    </w:p>
    <w:p w14:paraId="4033A0A1" w14:textId="5ADC93B8" w:rsidR="00422E38" w:rsidRPr="00EF2644" w:rsidRDefault="00422E38" w:rsidP="00132A26">
      <w:pPr>
        <w:keepNext/>
        <w:autoSpaceDE w:val="0"/>
        <w:autoSpaceDN w:val="0"/>
        <w:adjustRightInd w:val="0"/>
        <w:rPr>
          <w:szCs w:val="22"/>
          <w:u w:val="single"/>
        </w:rPr>
      </w:pPr>
      <w:r w:rsidRPr="00EF2644">
        <w:rPr>
          <w:szCs w:val="22"/>
          <w:u w:val="single"/>
        </w:rPr>
        <w:t>Carcinogenicity</w:t>
      </w:r>
    </w:p>
    <w:p w14:paraId="5B1BEB5C" w14:textId="16D34382" w:rsidR="00422E38" w:rsidRDefault="00422E38" w:rsidP="00132A26">
      <w:pPr>
        <w:keepNext/>
        <w:autoSpaceDE w:val="0"/>
        <w:autoSpaceDN w:val="0"/>
        <w:adjustRightInd w:val="0"/>
        <w:rPr>
          <w:rFonts w:eastAsiaTheme="minorHAnsi"/>
          <w:color w:val="auto"/>
          <w:szCs w:val="24"/>
          <w:lang w:val="en-US" w:eastAsia="en-US"/>
        </w:rPr>
      </w:pPr>
      <w:r>
        <w:rPr>
          <w:rFonts w:eastAsiaTheme="minorHAnsi"/>
          <w:color w:val="auto"/>
          <w:szCs w:val="24"/>
          <w:lang w:val="en-US" w:eastAsia="en-US"/>
        </w:rPr>
        <w:t xml:space="preserve">Up to two years of oral administration of tolvaptan to male and female rats at doses up to 1000 mg/kg/day (yielding 1.3- and 3.4-times respectively, the AUC for tolvaptan in patients at the MRHD), to male mice at doses up to 60 mg/kg/day (relative exposure, 0.3) and to female mice at doses up to 100 mg/kg/day (relative exposure, 0.4) did not increase the incidence of </w:t>
      </w:r>
      <w:proofErr w:type="spellStart"/>
      <w:r>
        <w:rPr>
          <w:rFonts w:eastAsiaTheme="minorHAnsi"/>
          <w:color w:val="auto"/>
          <w:szCs w:val="24"/>
          <w:lang w:val="en-US" w:eastAsia="en-US"/>
        </w:rPr>
        <w:t>tumours</w:t>
      </w:r>
      <w:proofErr w:type="spellEnd"/>
      <w:r>
        <w:rPr>
          <w:rFonts w:eastAsiaTheme="minorHAnsi"/>
          <w:color w:val="auto"/>
          <w:szCs w:val="24"/>
          <w:lang w:val="en-US" w:eastAsia="en-US"/>
        </w:rPr>
        <w:t xml:space="preserve">. The predictive value of these studies is limited by the inability to obtain </w:t>
      </w:r>
      <w:r w:rsidR="00B93AE3">
        <w:rPr>
          <w:rFonts w:eastAsiaTheme="minorHAnsi"/>
          <w:color w:val="auto"/>
          <w:szCs w:val="24"/>
          <w:lang w:val="en-US" w:eastAsia="en-US"/>
        </w:rPr>
        <w:t>high multiples of clinical exposure to tolvaptan. However, negative findings in genotoxicity assays and the absence of pre-neoplastic lesions observed in these and other studies lend support to tolvaptan being unlikely to pose a particular carcinogenic risk in patients.</w:t>
      </w:r>
    </w:p>
    <w:p w14:paraId="1EBA8E0C" w14:textId="77777777" w:rsidR="00FF03CB" w:rsidRPr="00EF2644" w:rsidRDefault="00FF03CB" w:rsidP="00397607">
      <w:pPr>
        <w:autoSpaceDE w:val="0"/>
        <w:autoSpaceDN w:val="0"/>
        <w:adjustRightInd w:val="0"/>
        <w:rPr>
          <w:rFonts w:eastAsiaTheme="minorHAnsi"/>
          <w:color w:val="auto"/>
          <w:szCs w:val="24"/>
          <w:lang w:val="en-US" w:eastAsia="en-US"/>
        </w:rPr>
      </w:pPr>
    </w:p>
    <w:p w14:paraId="05A15D86" w14:textId="77777777" w:rsidR="00242234" w:rsidRPr="00670E4D" w:rsidRDefault="00FA2988" w:rsidP="00242234">
      <w:pPr>
        <w:ind w:left="567" w:hanging="567"/>
        <w:outlineLvl w:val="0"/>
        <w:rPr>
          <w:noProof/>
          <w:szCs w:val="22"/>
          <w:u w:val="single"/>
        </w:rPr>
      </w:pPr>
      <w:r w:rsidRPr="00670E4D">
        <w:rPr>
          <w:noProof/>
          <w:szCs w:val="22"/>
          <w:u w:val="single"/>
        </w:rPr>
        <w:t>Effects on ability to drive and use machines</w:t>
      </w:r>
    </w:p>
    <w:p w14:paraId="1A8D98CD" w14:textId="1FEBA90B" w:rsidR="00242234" w:rsidRPr="00E83870" w:rsidRDefault="001522D8" w:rsidP="00242234">
      <w:pPr>
        <w:suppressLineNumbers/>
        <w:rPr>
          <w:noProof/>
          <w:szCs w:val="22"/>
        </w:rPr>
      </w:pPr>
      <w:r>
        <w:rPr>
          <w:noProof/>
          <w:szCs w:val="22"/>
        </w:rPr>
        <w:t>JINARC</w:t>
      </w:r>
      <w:r w:rsidR="00FA2988" w:rsidRPr="000971B3">
        <w:rPr>
          <w:noProof/>
          <w:szCs w:val="22"/>
        </w:rPr>
        <w:t xml:space="preserve"> has minor influence on the ability to drive or use machines. However, when driving vehicles or using machines it has to be taken into account that occasionally dizziness, asthenia or fatigue may occur.</w:t>
      </w:r>
    </w:p>
    <w:p w14:paraId="380C3E21" w14:textId="77777777" w:rsidR="00FE12B4" w:rsidRPr="00E83870" w:rsidRDefault="00FE12B4" w:rsidP="00FE12B4">
      <w:pPr>
        <w:suppressLineNumbers/>
        <w:rPr>
          <w:noProof/>
          <w:szCs w:val="22"/>
        </w:rPr>
      </w:pPr>
    </w:p>
    <w:p w14:paraId="48B84610" w14:textId="77777777" w:rsidR="00FE12B4" w:rsidRPr="00E83870" w:rsidRDefault="00FA2988" w:rsidP="00FE12B4">
      <w:pPr>
        <w:autoSpaceDE w:val="0"/>
        <w:autoSpaceDN w:val="0"/>
        <w:adjustRightInd w:val="0"/>
        <w:rPr>
          <w:rFonts w:eastAsia="TimesNewRoman,Bold"/>
          <w:b/>
          <w:color w:val="auto"/>
          <w:szCs w:val="24"/>
          <w:lang w:val="en-US" w:eastAsia="en-US"/>
        </w:rPr>
      </w:pPr>
      <w:r w:rsidRPr="000971B3">
        <w:rPr>
          <w:rFonts w:eastAsia="TimesNewRoman,Bold"/>
          <w:b/>
          <w:color w:val="auto"/>
          <w:szCs w:val="24"/>
          <w:lang w:val="en-US" w:eastAsia="en-US"/>
        </w:rPr>
        <w:t>INTERACTIONS WITH OTHER MEDICINES</w:t>
      </w:r>
    </w:p>
    <w:p w14:paraId="6064B7FD" w14:textId="77777777" w:rsidR="00FE12B4" w:rsidRPr="00E83870" w:rsidRDefault="00FE12B4" w:rsidP="00FE12B4">
      <w:pPr>
        <w:suppressLineNumbers/>
        <w:rPr>
          <w:noProof/>
          <w:szCs w:val="22"/>
        </w:rPr>
      </w:pPr>
    </w:p>
    <w:p w14:paraId="12F35F7F" w14:textId="77777777" w:rsidR="00FE12B4" w:rsidRPr="00E83870" w:rsidRDefault="00FA2988" w:rsidP="00FE12B4">
      <w:pPr>
        <w:suppressLineNumbers/>
        <w:rPr>
          <w:noProof/>
          <w:szCs w:val="22"/>
          <w:u w:val="single"/>
        </w:rPr>
      </w:pPr>
      <w:r w:rsidRPr="000971B3">
        <w:rPr>
          <w:noProof/>
          <w:szCs w:val="22"/>
          <w:u w:val="single"/>
        </w:rPr>
        <w:t>Effect of other medicinal products on the pharmacokinetics of tolvaptan</w:t>
      </w:r>
    </w:p>
    <w:p w14:paraId="1DA344E9" w14:textId="77777777" w:rsidR="00FE12B4" w:rsidRPr="00E83870" w:rsidRDefault="00FE12B4" w:rsidP="00FE12B4">
      <w:pPr>
        <w:suppressLineNumbers/>
        <w:rPr>
          <w:noProof/>
          <w:szCs w:val="22"/>
        </w:rPr>
      </w:pPr>
    </w:p>
    <w:p w14:paraId="1B9753D9" w14:textId="77777777" w:rsidR="00FE12B4" w:rsidRPr="00E83870" w:rsidRDefault="00FA2988" w:rsidP="00FE12B4">
      <w:pPr>
        <w:suppressLineNumbers/>
        <w:rPr>
          <w:i/>
          <w:noProof/>
          <w:szCs w:val="22"/>
        </w:rPr>
      </w:pPr>
      <w:r w:rsidRPr="000971B3">
        <w:rPr>
          <w:i/>
          <w:noProof/>
          <w:szCs w:val="22"/>
        </w:rPr>
        <w:t>CYP3A inhibitors</w:t>
      </w:r>
    </w:p>
    <w:p w14:paraId="17785DF6" w14:textId="1CF3C509" w:rsidR="00FE12B4" w:rsidRPr="00E83870" w:rsidRDefault="00FA2988" w:rsidP="00FE12B4">
      <w:pPr>
        <w:suppressLineNumbers/>
        <w:rPr>
          <w:noProof/>
          <w:szCs w:val="22"/>
        </w:rPr>
      </w:pPr>
      <w:r w:rsidRPr="000971B3">
        <w:rPr>
          <w:noProof/>
          <w:szCs w:val="22"/>
        </w:rPr>
        <w:t>Concomitant use of medicinal products that are moderate (e.g. amprenavir, aprepitant, atazanavir, ciprofloxacin, crizotinib, darunavir/ritonavir, diltiazem, erythromycin, fluconazole, fosamprenavir, imatinib, verapamil)  or strong (e.g. itraconazole, ketoconazole, ritonavir, clarithromycin</w:t>
      </w:r>
      <w:r w:rsidR="001470A8">
        <w:rPr>
          <w:noProof/>
          <w:szCs w:val="22"/>
        </w:rPr>
        <w:t>, saquinavir</w:t>
      </w:r>
      <w:r w:rsidRPr="000971B3">
        <w:rPr>
          <w:noProof/>
          <w:szCs w:val="22"/>
        </w:rPr>
        <w:t>) CYP3A inhibitors  increase tolvaptan exposure. Co</w:t>
      </w:r>
      <w:r w:rsidRPr="000971B3">
        <w:rPr>
          <w:noProof/>
          <w:szCs w:val="22"/>
        </w:rPr>
        <w:noBreakHyphen/>
        <w:t>administration of tolvaptan and ketoconazole resulted in a 440% increase in area under time</w:t>
      </w:r>
      <w:r w:rsidRPr="000971B3">
        <w:rPr>
          <w:noProof/>
          <w:szCs w:val="22"/>
        </w:rPr>
        <w:noBreakHyphen/>
        <w:t>concentration curve (AUC) and 248% increase in maximum observed plasma concentration (C</w:t>
      </w:r>
      <w:r w:rsidRPr="000971B3">
        <w:rPr>
          <w:noProof/>
          <w:szCs w:val="22"/>
          <w:vertAlign w:val="subscript"/>
        </w:rPr>
        <w:t>max</w:t>
      </w:r>
      <w:r w:rsidRPr="000971B3">
        <w:rPr>
          <w:noProof/>
          <w:szCs w:val="22"/>
        </w:rPr>
        <w:t xml:space="preserve">) for tolvaptan. </w:t>
      </w:r>
    </w:p>
    <w:p w14:paraId="7FB96DB2" w14:textId="77777777" w:rsidR="00861D16" w:rsidRPr="00E83870" w:rsidRDefault="00861D16" w:rsidP="00FE12B4">
      <w:pPr>
        <w:suppressLineNumbers/>
        <w:rPr>
          <w:noProof/>
          <w:szCs w:val="22"/>
        </w:rPr>
      </w:pPr>
    </w:p>
    <w:p w14:paraId="07B242DF" w14:textId="4999DCE5" w:rsidR="00FE12B4" w:rsidRPr="00E83870" w:rsidRDefault="00FA2988" w:rsidP="00FE12B4">
      <w:pPr>
        <w:suppressLineNumbers/>
        <w:rPr>
          <w:noProof/>
          <w:szCs w:val="22"/>
        </w:rPr>
      </w:pPr>
      <w:r w:rsidRPr="000971B3">
        <w:rPr>
          <w:noProof/>
          <w:szCs w:val="22"/>
        </w:rPr>
        <w:t>Co</w:t>
      </w:r>
      <w:r w:rsidRPr="000971B3">
        <w:rPr>
          <w:noProof/>
          <w:szCs w:val="22"/>
        </w:rPr>
        <w:noBreakHyphen/>
        <w:t xml:space="preserve">administration of tolvaptan with </w:t>
      </w:r>
      <w:r w:rsidR="00017A5E">
        <w:rPr>
          <w:noProof/>
          <w:szCs w:val="22"/>
        </w:rPr>
        <w:t xml:space="preserve">240mL </w:t>
      </w:r>
      <w:r w:rsidRPr="000971B3">
        <w:rPr>
          <w:noProof/>
          <w:szCs w:val="22"/>
        </w:rPr>
        <w:t>grapefruit juice, a moderate to strong CYP3A inhibitor, produced a doubling of peak tolvaptan concentrations (C</w:t>
      </w:r>
      <w:r w:rsidRPr="000971B3">
        <w:rPr>
          <w:noProof/>
          <w:szCs w:val="22"/>
          <w:vertAlign w:val="subscript"/>
        </w:rPr>
        <w:t>max</w:t>
      </w:r>
      <w:r w:rsidRPr="000971B3">
        <w:rPr>
          <w:noProof/>
          <w:szCs w:val="22"/>
        </w:rPr>
        <w:t>).</w:t>
      </w:r>
    </w:p>
    <w:p w14:paraId="5CBC2C91" w14:textId="77777777" w:rsidR="00861D16" w:rsidRPr="00E83870" w:rsidRDefault="00861D16" w:rsidP="00FE12B4">
      <w:pPr>
        <w:suppressLineNumbers/>
        <w:rPr>
          <w:noProof/>
          <w:szCs w:val="22"/>
        </w:rPr>
      </w:pPr>
    </w:p>
    <w:p w14:paraId="3A06A26C" w14:textId="77777777" w:rsidR="00FE12B4" w:rsidRPr="00E83870" w:rsidRDefault="00FA2988" w:rsidP="00FE12B4">
      <w:pPr>
        <w:suppressLineNumbers/>
        <w:rPr>
          <w:noProof/>
          <w:szCs w:val="22"/>
        </w:rPr>
      </w:pPr>
      <w:r w:rsidRPr="000971B3">
        <w:rPr>
          <w:noProof/>
          <w:szCs w:val="22"/>
        </w:rPr>
        <w:t>Dose reduction of tolvaptan is recommended for patients while taking moderate or strong CYP3A inhibitors (see DOSAGE AND ADMINISTRATION). Patients taking moderate or strong CYP3A inhibitors must be managed cautiously, in particular if the inhibitors are taken more frequently than once a day.</w:t>
      </w:r>
    </w:p>
    <w:p w14:paraId="2B91EAB8" w14:textId="77777777" w:rsidR="00FE12B4" w:rsidRPr="00E83870" w:rsidRDefault="00FE12B4" w:rsidP="00FE12B4">
      <w:pPr>
        <w:suppressLineNumbers/>
        <w:rPr>
          <w:noProof/>
          <w:szCs w:val="22"/>
        </w:rPr>
      </w:pPr>
    </w:p>
    <w:p w14:paraId="17E65463" w14:textId="77777777" w:rsidR="00FE12B4" w:rsidRPr="00E83870" w:rsidRDefault="00FA2988" w:rsidP="00FE12B4">
      <w:pPr>
        <w:suppressLineNumbers/>
        <w:rPr>
          <w:i/>
          <w:noProof/>
          <w:szCs w:val="22"/>
        </w:rPr>
      </w:pPr>
      <w:r w:rsidRPr="000971B3">
        <w:rPr>
          <w:i/>
          <w:noProof/>
          <w:szCs w:val="22"/>
        </w:rPr>
        <w:lastRenderedPageBreak/>
        <w:t>CYP3A inducers</w:t>
      </w:r>
    </w:p>
    <w:p w14:paraId="7A400EA3" w14:textId="77777777" w:rsidR="00FE12B4" w:rsidRDefault="00FA2988" w:rsidP="00FE12B4">
      <w:pPr>
        <w:suppressLineNumbers/>
        <w:rPr>
          <w:noProof/>
          <w:szCs w:val="22"/>
        </w:rPr>
      </w:pPr>
      <w:r w:rsidRPr="000971B3">
        <w:rPr>
          <w:noProof/>
          <w:szCs w:val="22"/>
        </w:rPr>
        <w:t>Concomitant use of medicinal products that are potent CYP3A inducers (e.g. rifampicin) will decrease tolvaptan exposure and efficacy.</w:t>
      </w:r>
      <w:r w:rsidRPr="000971B3">
        <w:rPr>
          <w:szCs w:val="22"/>
        </w:rPr>
        <w:t xml:space="preserve"> Co-administration of tolvaptan with rifampicin reduces </w:t>
      </w:r>
      <w:proofErr w:type="spellStart"/>
      <w:r w:rsidRPr="000971B3">
        <w:rPr>
          <w:szCs w:val="22"/>
        </w:rPr>
        <w:t>C</w:t>
      </w:r>
      <w:r w:rsidRPr="000971B3">
        <w:rPr>
          <w:szCs w:val="22"/>
          <w:vertAlign w:val="subscript"/>
        </w:rPr>
        <w:t>max</w:t>
      </w:r>
      <w:proofErr w:type="spellEnd"/>
      <w:r w:rsidRPr="000971B3">
        <w:rPr>
          <w:szCs w:val="22"/>
        </w:rPr>
        <w:t xml:space="preserve"> and AUC for tolvaptan by about</w:t>
      </w:r>
      <w:r w:rsidR="00497093">
        <w:rPr>
          <w:sz w:val="23"/>
          <w:szCs w:val="23"/>
        </w:rPr>
        <w:t xml:space="preserve"> 85%</w:t>
      </w:r>
      <w:r w:rsidRPr="000971B3">
        <w:rPr>
          <w:noProof/>
          <w:szCs w:val="22"/>
        </w:rPr>
        <w:t>. Therefore, concomitant administration of tolvaptan with potent CYP3A inducers (e.g. rifampicin, rifabutin, rifapentin, phenytoin, carbamazepine, and St. John’s Wort) is to be avoided.</w:t>
      </w:r>
    </w:p>
    <w:p w14:paraId="49003D8E" w14:textId="77777777" w:rsidR="009A4C33" w:rsidRDefault="009A4C33" w:rsidP="00FE12B4">
      <w:pPr>
        <w:suppressLineNumbers/>
        <w:rPr>
          <w:noProof/>
          <w:szCs w:val="22"/>
        </w:rPr>
      </w:pPr>
    </w:p>
    <w:p w14:paraId="6E1003DB" w14:textId="77777777" w:rsidR="009A4C33" w:rsidRPr="00132A26" w:rsidRDefault="009A4C33" w:rsidP="009A4C33">
      <w:pPr>
        <w:suppressLineNumbers/>
        <w:rPr>
          <w:i/>
          <w:noProof/>
          <w:szCs w:val="22"/>
        </w:rPr>
      </w:pPr>
      <w:r w:rsidRPr="00132A26">
        <w:rPr>
          <w:i/>
          <w:noProof/>
          <w:szCs w:val="22"/>
        </w:rPr>
        <w:t>P-gp Inhibitors</w:t>
      </w:r>
    </w:p>
    <w:p w14:paraId="29464E3F" w14:textId="1F465CC0" w:rsidR="009A4C33" w:rsidRPr="00E83870" w:rsidRDefault="009A4C33" w:rsidP="009A4C33">
      <w:pPr>
        <w:suppressLineNumbers/>
        <w:rPr>
          <w:noProof/>
          <w:szCs w:val="22"/>
        </w:rPr>
      </w:pPr>
      <w:r>
        <w:rPr>
          <w:noProof/>
          <w:szCs w:val="22"/>
        </w:rPr>
        <w:t>Reduction in the dose of tolvaptan</w:t>
      </w:r>
      <w:r w:rsidRPr="009A4C33">
        <w:rPr>
          <w:noProof/>
          <w:szCs w:val="22"/>
        </w:rPr>
        <w:t xml:space="preserve"> may be required in patients concomitantly treated with P-glycoprotein (P-gp) inhibitors, such as cyclosporine and quinidine, based on clinical response (</w:t>
      </w:r>
      <w:r w:rsidR="00685083">
        <w:rPr>
          <w:noProof/>
          <w:szCs w:val="22"/>
        </w:rPr>
        <w:t>see DOSAGE AND ADMINISTRATION</w:t>
      </w:r>
      <w:r w:rsidRPr="009A4C33">
        <w:rPr>
          <w:noProof/>
          <w:szCs w:val="22"/>
        </w:rPr>
        <w:t xml:space="preserve">). If P-gp inhibitors also act as strong CYP 3A inhibitors (e.g., ketoconazole, clarithromycin, ritonavir, saquinavir), substantial dose reduction of </w:t>
      </w:r>
      <w:r>
        <w:rPr>
          <w:noProof/>
          <w:szCs w:val="22"/>
        </w:rPr>
        <w:t xml:space="preserve">tolvaptan </w:t>
      </w:r>
      <w:r w:rsidRPr="009A4C33">
        <w:rPr>
          <w:noProof/>
          <w:szCs w:val="22"/>
        </w:rPr>
        <w:t>is required</w:t>
      </w:r>
      <w:r w:rsidR="00685083">
        <w:rPr>
          <w:noProof/>
          <w:szCs w:val="22"/>
        </w:rPr>
        <w:t xml:space="preserve"> (see DOSAGE AND ADMINISTRATION</w:t>
      </w:r>
      <w:r w:rsidRPr="009A4C33">
        <w:rPr>
          <w:noProof/>
          <w:szCs w:val="22"/>
        </w:rPr>
        <w:t>).</w:t>
      </w:r>
    </w:p>
    <w:p w14:paraId="067E77A8" w14:textId="77777777" w:rsidR="00FE12B4" w:rsidRPr="00E83870" w:rsidRDefault="00FE12B4" w:rsidP="00FE12B4">
      <w:pPr>
        <w:suppressLineNumbers/>
        <w:rPr>
          <w:noProof/>
          <w:szCs w:val="22"/>
        </w:rPr>
      </w:pPr>
    </w:p>
    <w:p w14:paraId="3CC125FF" w14:textId="77777777" w:rsidR="00FE12B4" w:rsidRPr="00E83870" w:rsidRDefault="00FA2988" w:rsidP="00FE12B4">
      <w:pPr>
        <w:suppressLineNumbers/>
        <w:rPr>
          <w:i/>
          <w:noProof/>
          <w:szCs w:val="22"/>
        </w:rPr>
      </w:pPr>
      <w:r w:rsidRPr="000971B3">
        <w:rPr>
          <w:i/>
          <w:noProof/>
          <w:szCs w:val="22"/>
        </w:rPr>
        <w:t>Co-administration with medicinal products that increase serum sodium concentration</w:t>
      </w:r>
    </w:p>
    <w:p w14:paraId="58DB89CB" w14:textId="77777777" w:rsidR="00FE12B4" w:rsidRPr="00E83870" w:rsidRDefault="00FA2988" w:rsidP="00FE12B4">
      <w:pPr>
        <w:suppressLineNumbers/>
        <w:rPr>
          <w:noProof/>
          <w:szCs w:val="22"/>
        </w:rPr>
      </w:pPr>
      <w:r w:rsidRPr="000971B3">
        <w:rPr>
          <w:noProof/>
          <w:szCs w:val="22"/>
        </w:rPr>
        <w:t>There is no experience from controlled clinical trials with concomitant use of tolvaptan and hypertonic saline, oral sodium formulations, and medicinal products that increase serum sodium concentration. Medicinal products with high sodium content such as effervescent analgesic preparations and certain sodium containing treatments for dyspepsia may also increase serum sodium concentration. Concomitant use of tolvaptan with medicinal products that increase serum sodium concentration may result in a higher risk for developing hypernatraemia (see PRECAUTIONS) and is therefore not recommended.</w:t>
      </w:r>
    </w:p>
    <w:p w14:paraId="794208A2" w14:textId="77777777" w:rsidR="00FE12B4" w:rsidRPr="00E83870" w:rsidRDefault="00FE12B4" w:rsidP="00FE12B4">
      <w:pPr>
        <w:suppressLineNumbers/>
        <w:rPr>
          <w:noProof/>
          <w:szCs w:val="22"/>
        </w:rPr>
      </w:pPr>
    </w:p>
    <w:p w14:paraId="75523186" w14:textId="77777777" w:rsidR="00FE12B4" w:rsidRPr="00E83870" w:rsidRDefault="00FA2988" w:rsidP="00FE12B4">
      <w:pPr>
        <w:suppressLineNumbers/>
        <w:rPr>
          <w:i/>
          <w:noProof/>
          <w:szCs w:val="22"/>
        </w:rPr>
      </w:pPr>
      <w:r w:rsidRPr="000971B3">
        <w:rPr>
          <w:i/>
          <w:noProof/>
          <w:szCs w:val="22"/>
        </w:rPr>
        <w:t>Diuretics</w:t>
      </w:r>
    </w:p>
    <w:p w14:paraId="6D42D97D" w14:textId="77777777" w:rsidR="00FE12B4" w:rsidRPr="00E83870" w:rsidRDefault="00FA2988" w:rsidP="00FE12B4">
      <w:pPr>
        <w:suppressLineNumbers/>
        <w:rPr>
          <w:noProof/>
          <w:szCs w:val="22"/>
        </w:rPr>
      </w:pPr>
      <w:r w:rsidRPr="000971B3">
        <w:rPr>
          <w:szCs w:val="22"/>
        </w:rPr>
        <w:t>Tolvaptan has not been extensively studied in ADPKD in combination with diuretics. While there does not appear to be a synergistic or additive effect of concomitant use of tolvaptan with loop and thiazide diuretics, each class of agent has the potential to lead to severe dehydration, which constitutes a risk factor for renal dysfunction. If dehydration or renal dysfunction becomes evident, appropriate action must be taken which may include the need to interrupt or reduce doses of tolvaptan and/or diuretics and increased fluid intake. Other potential causes of renal dysfunction or dehydration must be evaluated and addressed.</w:t>
      </w:r>
    </w:p>
    <w:p w14:paraId="389E7B55" w14:textId="77777777" w:rsidR="00FE12B4" w:rsidRPr="00E83870" w:rsidRDefault="00FE12B4" w:rsidP="00FE12B4">
      <w:pPr>
        <w:suppressLineNumbers/>
        <w:rPr>
          <w:noProof/>
          <w:szCs w:val="22"/>
        </w:rPr>
      </w:pPr>
    </w:p>
    <w:p w14:paraId="32EE4D83" w14:textId="77777777" w:rsidR="00FE12B4" w:rsidRPr="00E83870" w:rsidRDefault="00FA2988" w:rsidP="00FE12B4">
      <w:pPr>
        <w:suppressLineNumbers/>
        <w:rPr>
          <w:noProof/>
          <w:szCs w:val="22"/>
          <w:u w:val="single"/>
        </w:rPr>
      </w:pPr>
      <w:r w:rsidRPr="000971B3">
        <w:rPr>
          <w:noProof/>
          <w:szCs w:val="22"/>
          <w:u w:val="single"/>
        </w:rPr>
        <w:t>Effect of tolvaptan on the pharmacokinetics of other products</w:t>
      </w:r>
    </w:p>
    <w:p w14:paraId="7B206810" w14:textId="77777777" w:rsidR="00FE12B4" w:rsidRPr="00E83870" w:rsidRDefault="00FE12B4" w:rsidP="00FE12B4">
      <w:pPr>
        <w:suppressLineNumbers/>
        <w:rPr>
          <w:noProof/>
          <w:szCs w:val="22"/>
        </w:rPr>
      </w:pPr>
    </w:p>
    <w:p w14:paraId="254526F9" w14:textId="77777777" w:rsidR="00FE12B4" w:rsidRPr="00E83870" w:rsidRDefault="00FA2988" w:rsidP="00FE12B4">
      <w:pPr>
        <w:suppressLineNumbers/>
        <w:rPr>
          <w:i/>
          <w:noProof/>
          <w:szCs w:val="22"/>
        </w:rPr>
      </w:pPr>
      <w:r w:rsidRPr="000971B3">
        <w:rPr>
          <w:i/>
          <w:noProof/>
          <w:szCs w:val="22"/>
        </w:rPr>
        <w:t>CYP3A substrates</w:t>
      </w:r>
    </w:p>
    <w:p w14:paraId="68F4ED5B" w14:textId="77777777" w:rsidR="00FE12B4" w:rsidRPr="00E83870" w:rsidRDefault="00FA2988" w:rsidP="00FE12B4">
      <w:pPr>
        <w:suppressLineNumbers/>
        <w:rPr>
          <w:noProof/>
          <w:szCs w:val="22"/>
        </w:rPr>
      </w:pPr>
      <w:r w:rsidRPr="000971B3">
        <w:rPr>
          <w:noProof/>
          <w:szCs w:val="22"/>
        </w:rPr>
        <w:t>In healthy subjects, tolvaptan, a CYP3A substrate, had no effect on the plasma concentrations of some other CYP3A substrates (e.g. warfarin or amiodarone). Tolvaptan increased plasma levels of lovastatin by 1.3- to 1.5-fold. Even though this increase has no clinical relevance, it indicates tolvaptan can potentially increase exposure to CYP3A4 substrates.</w:t>
      </w:r>
    </w:p>
    <w:p w14:paraId="1742A02A" w14:textId="77777777" w:rsidR="00FE12B4" w:rsidRPr="00E83870" w:rsidRDefault="00FE12B4" w:rsidP="00FE12B4">
      <w:pPr>
        <w:suppressLineNumbers/>
        <w:rPr>
          <w:noProof/>
          <w:szCs w:val="22"/>
        </w:rPr>
      </w:pPr>
    </w:p>
    <w:p w14:paraId="72073882" w14:textId="77777777" w:rsidR="00FE12B4" w:rsidRPr="00E83870" w:rsidRDefault="00FA2988" w:rsidP="00FE12B4">
      <w:pPr>
        <w:suppressLineNumbers/>
        <w:rPr>
          <w:i/>
          <w:noProof/>
          <w:szCs w:val="22"/>
        </w:rPr>
      </w:pPr>
      <w:r w:rsidRPr="000971B3">
        <w:rPr>
          <w:i/>
          <w:noProof/>
          <w:szCs w:val="22"/>
        </w:rPr>
        <w:t>Transporter substrates</w:t>
      </w:r>
    </w:p>
    <w:p w14:paraId="1A0FB77C" w14:textId="77777777" w:rsidR="00FE12B4" w:rsidRPr="00E83870" w:rsidRDefault="00FA2988" w:rsidP="00FE12B4">
      <w:pPr>
        <w:suppressLineNumbers/>
        <w:rPr>
          <w:noProof/>
          <w:szCs w:val="22"/>
        </w:rPr>
      </w:pPr>
      <w:r w:rsidRPr="000971B3">
        <w:rPr>
          <w:noProof/>
          <w:szCs w:val="22"/>
        </w:rPr>
        <w:t>In vitro studies indicate that tolvaptan is a substrate and competitive inhibitor of P-glycoprotein (P</w:t>
      </w:r>
      <w:r w:rsidRPr="000971B3">
        <w:rPr>
          <w:noProof/>
          <w:szCs w:val="22"/>
        </w:rPr>
        <w:noBreakHyphen/>
        <w:t xml:space="preserve">gp). In vitro studies indicate that tolvaptan or its oxobutyric metabolite may have the potential to inhibit OATP1B1, OATP1B3, OAT3, BCRP and OCT1 transporters. </w:t>
      </w:r>
    </w:p>
    <w:p w14:paraId="67FEC505" w14:textId="77777777" w:rsidR="00FE12B4" w:rsidRPr="00E83870" w:rsidRDefault="00FE12B4" w:rsidP="00FE12B4">
      <w:pPr>
        <w:suppressLineNumbers/>
        <w:rPr>
          <w:noProof/>
          <w:szCs w:val="22"/>
        </w:rPr>
      </w:pPr>
    </w:p>
    <w:p w14:paraId="33D93AC4" w14:textId="77777777" w:rsidR="00FE12B4" w:rsidRPr="00E83870" w:rsidRDefault="00FA2988" w:rsidP="00FE12B4">
      <w:pPr>
        <w:suppressLineNumbers/>
        <w:rPr>
          <w:noProof/>
          <w:szCs w:val="22"/>
        </w:rPr>
      </w:pPr>
      <w:r w:rsidRPr="000971B3">
        <w:rPr>
          <w:noProof/>
          <w:szCs w:val="22"/>
        </w:rPr>
        <w:t>Steady state digoxin concentrations were increased (1.3-fold in maximum observed plasma concentration [C</w:t>
      </w:r>
      <w:r w:rsidRPr="000971B3">
        <w:rPr>
          <w:noProof/>
          <w:szCs w:val="22"/>
          <w:vertAlign w:val="subscript"/>
        </w:rPr>
        <w:t>max</w:t>
      </w:r>
      <w:r w:rsidRPr="000971B3">
        <w:rPr>
          <w:noProof/>
          <w:szCs w:val="22"/>
        </w:rPr>
        <w:t>] and 1.2-fold in area under the plasma concentration-time curve over the dosing interval [AUC</w:t>
      </w:r>
      <w:r w:rsidRPr="000971B3">
        <w:rPr>
          <w:noProof/>
          <w:szCs w:val="22"/>
          <w:vertAlign w:val="subscript"/>
        </w:rPr>
        <w:t>τ</w:t>
      </w:r>
      <w:r w:rsidRPr="000971B3">
        <w:rPr>
          <w:noProof/>
          <w:szCs w:val="22"/>
        </w:rPr>
        <w:t xml:space="preserve">]) when co administered with multiple once daily 60 mg doses of tolvaptan. Patients receiving digoxin or other narrow therapeutic P-gp substrates (e.g. </w:t>
      </w:r>
      <w:r w:rsidRPr="000971B3">
        <w:rPr>
          <w:noProof/>
          <w:szCs w:val="22"/>
        </w:rPr>
        <w:lastRenderedPageBreak/>
        <w:t xml:space="preserve">dabigatran) must therefore be </w:t>
      </w:r>
      <w:r w:rsidRPr="000971B3">
        <w:rPr>
          <w:szCs w:val="22"/>
        </w:rPr>
        <w:t>managed cautiously</w:t>
      </w:r>
      <w:r w:rsidRPr="000971B3">
        <w:rPr>
          <w:noProof/>
          <w:szCs w:val="22"/>
        </w:rPr>
        <w:t xml:space="preserve"> and evaluated for excessive effects when treated with tolvaptan.</w:t>
      </w:r>
    </w:p>
    <w:p w14:paraId="2FB044E6" w14:textId="77777777" w:rsidR="00FE12B4" w:rsidRPr="00E83870" w:rsidRDefault="00FE12B4" w:rsidP="00FE12B4">
      <w:pPr>
        <w:suppressLineNumbers/>
        <w:rPr>
          <w:noProof/>
          <w:szCs w:val="22"/>
        </w:rPr>
      </w:pPr>
    </w:p>
    <w:p w14:paraId="18500147" w14:textId="77777777" w:rsidR="00FE12B4" w:rsidRPr="00E83870" w:rsidRDefault="00FA2988" w:rsidP="00FE12B4">
      <w:pPr>
        <w:suppressLineNumbers/>
        <w:rPr>
          <w:noProof/>
          <w:szCs w:val="22"/>
        </w:rPr>
      </w:pPr>
      <w:r w:rsidRPr="000971B3">
        <w:rPr>
          <w:noProof/>
          <w:szCs w:val="22"/>
        </w:rPr>
        <w:t>Statins commonly used in the tolvaptan phase 3 pivotal trial (e.g. rosuvastatin and pitavastatin) are OATP1B1 or OATP1B3 substrates, however no difference in AE profile was observed during the phase 3 pivotal trial for tolvaptan in ADPKD.</w:t>
      </w:r>
    </w:p>
    <w:p w14:paraId="504DAC7A" w14:textId="77777777" w:rsidR="00FE12B4" w:rsidRPr="00E83870" w:rsidRDefault="00FE12B4" w:rsidP="00FE12B4">
      <w:pPr>
        <w:suppressLineNumbers/>
        <w:rPr>
          <w:szCs w:val="22"/>
        </w:rPr>
      </w:pPr>
    </w:p>
    <w:p w14:paraId="4EDE9A30" w14:textId="77777777" w:rsidR="00FE12B4" w:rsidRPr="00E83870" w:rsidRDefault="00FA2988" w:rsidP="00FE12B4">
      <w:pPr>
        <w:suppressLineNumbers/>
        <w:rPr>
          <w:szCs w:val="22"/>
        </w:rPr>
      </w:pPr>
      <w:r w:rsidRPr="000971B3">
        <w:rPr>
          <w:szCs w:val="22"/>
        </w:rPr>
        <w:t xml:space="preserve">If </w:t>
      </w:r>
      <w:r w:rsidRPr="000971B3">
        <w:rPr>
          <w:noProof/>
          <w:szCs w:val="22"/>
        </w:rPr>
        <w:t xml:space="preserve">OATP1B1 and OATP1B3 substrates (e.g. statins such as rosuvastatin and pitavastatin), </w:t>
      </w:r>
      <w:r w:rsidRPr="000971B3">
        <w:rPr>
          <w:szCs w:val="22"/>
        </w:rPr>
        <w:t>OAT3 substrates (e.g. methotrexate, ciprofloxacin), BCRP substrates (e.g. sulfasalazine) or OCT1 substrates (e.g. metformin) are co-administered with tolvaptan, patients must be managed cautiously and evaluated for excessive effects of these medications.</w:t>
      </w:r>
    </w:p>
    <w:p w14:paraId="4CCE036C" w14:textId="77777777" w:rsidR="00FE12B4" w:rsidRPr="00E83870" w:rsidRDefault="00FE12B4" w:rsidP="00FE12B4">
      <w:pPr>
        <w:suppressLineNumbers/>
        <w:rPr>
          <w:szCs w:val="22"/>
        </w:rPr>
      </w:pPr>
    </w:p>
    <w:p w14:paraId="166613DD" w14:textId="77777777" w:rsidR="00FE12B4" w:rsidRPr="00E83870" w:rsidRDefault="00FA2988" w:rsidP="00333D64">
      <w:pPr>
        <w:keepNext/>
        <w:suppressLineNumbers/>
        <w:rPr>
          <w:i/>
          <w:noProof/>
          <w:szCs w:val="22"/>
        </w:rPr>
      </w:pPr>
      <w:r w:rsidRPr="000971B3">
        <w:rPr>
          <w:i/>
          <w:noProof/>
          <w:szCs w:val="22"/>
        </w:rPr>
        <w:t>Diuretics or non-diuretic anti-hypertensive drug(s)</w:t>
      </w:r>
    </w:p>
    <w:p w14:paraId="6514BFA7" w14:textId="77777777" w:rsidR="00FE12B4" w:rsidRPr="00E83870" w:rsidRDefault="00FA2988" w:rsidP="00333D64">
      <w:pPr>
        <w:keepNext/>
        <w:suppressLineNumbers/>
        <w:rPr>
          <w:noProof/>
          <w:szCs w:val="22"/>
        </w:rPr>
      </w:pPr>
      <w:r w:rsidRPr="000971B3">
        <w:rPr>
          <w:noProof/>
          <w:szCs w:val="22"/>
        </w:rPr>
        <w:t>Standing blood pressure was not routinely measured in ADPKD trials, therefore a risk of orthostatic/postural hypotension due to a pharmacodynamic interaction with tolvaptan cannot be excluded.</w:t>
      </w:r>
    </w:p>
    <w:p w14:paraId="6809569D" w14:textId="77777777" w:rsidR="00FE12B4" w:rsidRPr="00E83870" w:rsidRDefault="00FE12B4" w:rsidP="00FE12B4">
      <w:pPr>
        <w:suppressLineNumbers/>
        <w:rPr>
          <w:noProof/>
          <w:szCs w:val="22"/>
        </w:rPr>
      </w:pPr>
    </w:p>
    <w:p w14:paraId="494CA2EC" w14:textId="77777777" w:rsidR="00FE12B4" w:rsidRPr="00E83870" w:rsidRDefault="00FA2988" w:rsidP="00FE12B4">
      <w:pPr>
        <w:suppressLineNumbers/>
        <w:rPr>
          <w:i/>
          <w:noProof/>
          <w:szCs w:val="22"/>
        </w:rPr>
      </w:pPr>
      <w:r w:rsidRPr="000971B3">
        <w:rPr>
          <w:i/>
          <w:noProof/>
          <w:szCs w:val="22"/>
        </w:rPr>
        <w:t>Co-administration with vasopressin analogues</w:t>
      </w:r>
    </w:p>
    <w:p w14:paraId="1C130211" w14:textId="2EC0BF73" w:rsidR="00FE12B4" w:rsidRPr="00E83870" w:rsidRDefault="00FA2988" w:rsidP="00FE12B4">
      <w:pPr>
        <w:suppressLineNumbers/>
        <w:rPr>
          <w:noProof/>
          <w:szCs w:val="22"/>
        </w:rPr>
      </w:pPr>
      <w:r w:rsidRPr="000971B3">
        <w:rPr>
          <w:noProof/>
          <w:szCs w:val="22"/>
        </w:rPr>
        <w:t xml:space="preserve">In addition to its renal aquaretic effect, tolvaptan is capable of blocking vascular vasopressin V2 receptors involved in the release of coagulation factors (e.g. von Willebrand factor) from endothelial cells. Therefore, the effect of vasopressin analogues such as desmopressin may be attenuated in patients using such analogues to prevent or control bleeding when co-administered with tolvaptan. It is not recommended to administer </w:t>
      </w:r>
      <w:r w:rsidR="001522D8">
        <w:rPr>
          <w:noProof/>
          <w:szCs w:val="22"/>
        </w:rPr>
        <w:t>JINARC</w:t>
      </w:r>
      <w:r w:rsidR="002B042C">
        <w:rPr>
          <w:noProof/>
          <w:szCs w:val="22"/>
        </w:rPr>
        <w:t xml:space="preserve"> </w:t>
      </w:r>
      <w:r w:rsidRPr="000971B3">
        <w:rPr>
          <w:noProof/>
          <w:szCs w:val="22"/>
        </w:rPr>
        <w:t>with vasopressin analogues.</w:t>
      </w:r>
    </w:p>
    <w:p w14:paraId="204300D9" w14:textId="77777777" w:rsidR="00FE12B4" w:rsidRPr="00E83870" w:rsidRDefault="00FE12B4" w:rsidP="00FE12B4">
      <w:pPr>
        <w:suppressLineNumbers/>
        <w:rPr>
          <w:noProof/>
          <w:szCs w:val="22"/>
        </w:rPr>
      </w:pPr>
    </w:p>
    <w:p w14:paraId="458440ED" w14:textId="77777777" w:rsidR="00FE12B4" w:rsidRPr="00E83870" w:rsidRDefault="00FA2988" w:rsidP="00FE12B4">
      <w:pPr>
        <w:suppressLineNumbers/>
        <w:rPr>
          <w:i/>
          <w:noProof/>
          <w:szCs w:val="22"/>
        </w:rPr>
      </w:pPr>
      <w:r w:rsidRPr="000971B3">
        <w:rPr>
          <w:i/>
          <w:noProof/>
          <w:szCs w:val="22"/>
        </w:rPr>
        <w:t>Smoking and alcohol</w:t>
      </w:r>
    </w:p>
    <w:p w14:paraId="7DBB917F" w14:textId="77777777" w:rsidR="00FE12B4" w:rsidRPr="00E83870" w:rsidRDefault="00FA2988" w:rsidP="00FE12B4">
      <w:pPr>
        <w:suppressLineNumbers/>
        <w:rPr>
          <w:noProof/>
          <w:szCs w:val="22"/>
        </w:rPr>
      </w:pPr>
      <w:r w:rsidRPr="000971B3">
        <w:rPr>
          <w:noProof/>
          <w:szCs w:val="22"/>
        </w:rPr>
        <w:t>Data related to smoking or alcohol history in ADPKD trials are too limited to determine possible interactions of smoking or alcohol with efficacy and safety of ADPKD treatment with tolvaptan.</w:t>
      </w:r>
    </w:p>
    <w:p w14:paraId="1FC9A754" w14:textId="77777777" w:rsidR="00FE12B4" w:rsidRPr="00E83870" w:rsidRDefault="00FE12B4" w:rsidP="00FE12B4">
      <w:pPr>
        <w:suppressLineNumbers/>
        <w:rPr>
          <w:noProof/>
          <w:szCs w:val="22"/>
        </w:rPr>
      </w:pPr>
    </w:p>
    <w:p w14:paraId="278ECFA1" w14:textId="77777777" w:rsidR="00026C88" w:rsidRPr="00E83870" w:rsidRDefault="00FA2988" w:rsidP="00026C88">
      <w:pPr>
        <w:spacing w:after="240" w:line="276" w:lineRule="auto"/>
        <w:ind w:right="-1017"/>
        <w:jc w:val="both"/>
        <w:rPr>
          <w:b/>
          <w:szCs w:val="24"/>
        </w:rPr>
      </w:pPr>
      <w:r w:rsidRPr="000971B3">
        <w:rPr>
          <w:b/>
          <w:szCs w:val="24"/>
        </w:rPr>
        <w:t>ADVERSE EFFECTS</w:t>
      </w:r>
    </w:p>
    <w:p w14:paraId="2CC02862" w14:textId="77777777" w:rsidR="00FE12B4" w:rsidRPr="00E83870" w:rsidRDefault="00FA2988" w:rsidP="00FE12B4">
      <w:pPr>
        <w:rPr>
          <w:i/>
          <w:szCs w:val="22"/>
        </w:rPr>
      </w:pPr>
      <w:r w:rsidRPr="000971B3">
        <w:rPr>
          <w:szCs w:val="22"/>
          <w:u w:val="single"/>
        </w:rPr>
        <w:t>Summary of the safety profile</w:t>
      </w:r>
    </w:p>
    <w:p w14:paraId="62DA09B9" w14:textId="77777777" w:rsidR="00FE12B4" w:rsidRPr="00E83870" w:rsidRDefault="00FA2988" w:rsidP="00FE12B4">
      <w:pPr>
        <w:rPr>
          <w:szCs w:val="22"/>
        </w:rPr>
      </w:pPr>
      <w:r w:rsidRPr="000971B3">
        <w:rPr>
          <w:szCs w:val="22"/>
        </w:rPr>
        <w:t xml:space="preserve">The pharmacodynamically predictable and most commonly reported adverse reactions are thirst, polyuria, </w:t>
      </w:r>
      <w:proofErr w:type="spellStart"/>
      <w:r w:rsidRPr="000971B3">
        <w:rPr>
          <w:szCs w:val="22"/>
        </w:rPr>
        <w:t>nocturia</w:t>
      </w:r>
      <w:proofErr w:type="spellEnd"/>
      <w:r w:rsidRPr="000971B3">
        <w:rPr>
          <w:szCs w:val="22"/>
        </w:rPr>
        <w:t xml:space="preserve">, and </w:t>
      </w:r>
      <w:proofErr w:type="spellStart"/>
      <w:r w:rsidRPr="000971B3">
        <w:rPr>
          <w:szCs w:val="22"/>
        </w:rPr>
        <w:t>pollakiuria</w:t>
      </w:r>
      <w:proofErr w:type="spellEnd"/>
      <w:r w:rsidRPr="000971B3">
        <w:rPr>
          <w:szCs w:val="22"/>
        </w:rPr>
        <w:t xml:space="preserve"> occurring in approximately 55%, 38%, 29% and 23% of patients, respectively. Furthermore, tolvaptan has been associated with idiosyncratic elevations of blood alanine and aspartate aminotransferases (ALT and AST) with infrequent cases of concomitant elevations in bilirubin-total (BT).</w:t>
      </w:r>
    </w:p>
    <w:p w14:paraId="61B3DB0B" w14:textId="77777777" w:rsidR="00FE12B4" w:rsidRPr="00E83870" w:rsidRDefault="00FE12B4" w:rsidP="00FE12B4">
      <w:pPr>
        <w:ind w:left="567" w:hanging="567"/>
        <w:rPr>
          <w:b/>
          <w:szCs w:val="22"/>
        </w:rPr>
      </w:pPr>
    </w:p>
    <w:p w14:paraId="4BE710DC" w14:textId="77777777" w:rsidR="00FE12B4" w:rsidRPr="00E83870" w:rsidRDefault="00FA2988" w:rsidP="00FE12B4">
      <w:pPr>
        <w:rPr>
          <w:i/>
          <w:szCs w:val="22"/>
        </w:rPr>
      </w:pPr>
      <w:r w:rsidRPr="000971B3">
        <w:rPr>
          <w:szCs w:val="22"/>
          <w:u w:val="single"/>
        </w:rPr>
        <w:t>Tabulated list of adverse reactions</w:t>
      </w:r>
    </w:p>
    <w:p w14:paraId="2A366AD9" w14:textId="337D57F3" w:rsidR="00C972C2" w:rsidRDefault="00FA2988" w:rsidP="00FE12B4">
      <w:pPr>
        <w:rPr>
          <w:szCs w:val="22"/>
        </w:rPr>
      </w:pPr>
      <w:r w:rsidRPr="000971B3">
        <w:rPr>
          <w:szCs w:val="22"/>
        </w:rPr>
        <w:t>The adverse reaction profile of tolvaptan in the ADPKD indication is based on a clinical trial database of 1444 treated patients (961 patients treated with tolvaptan, 483 treated with placebo) and is consistent with the pharmacology of the active substance. Adverse reactions associated with tolvaptan obtained from ADPKD clinical studies are tabulated below.</w:t>
      </w:r>
      <w:r w:rsidR="00883647">
        <w:rPr>
          <w:szCs w:val="22"/>
        </w:rPr>
        <w:t xml:space="preserve"> </w:t>
      </w:r>
    </w:p>
    <w:p w14:paraId="11F472B7" w14:textId="6AA3CF74" w:rsidR="00F41A76" w:rsidRDefault="00F41A76" w:rsidP="00FE12B4">
      <w:pPr>
        <w:rPr>
          <w:szCs w:val="22"/>
        </w:rPr>
      </w:pPr>
    </w:p>
    <w:tbl>
      <w:tblPr>
        <w:tblW w:w="8856"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8"/>
        <w:gridCol w:w="1680"/>
        <w:gridCol w:w="1560"/>
        <w:gridCol w:w="1548"/>
      </w:tblGrid>
      <w:tr w:rsidR="00C972C2" w:rsidRPr="00C64788" w14:paraId="05153243" w14:textId="77777777" w:rsidTr="00C972C2">
        <w:trPr>
          <w:trHeight w:hRule="exact" w:val="979"/>
        </w:trPr>
        <w:tc>
          <w:tcPr>
            <w:tcW w:w="8856" w:type="dxa"/>
            <w:gridSpan w:val="4"/>
          </w:tcPr>
          <w:p w14:paraId="2FEF296E" w14:textId="77777777" w:rsidR="00C972C2" w:rsidRPr="00C64788" w:rsidRDefault="00C972C2" w:rsidP="00C972C2">
            <w:pPr>
              <w:widowControl w:val="0"/>
              <w:autoSpaceDE w:val="0"/>
              <w:autoSpaceDN w:val="0"/>
              <w:spacing w:before="6" w:line="247" w:lineRule="auto"/>
              <w:ind w:left="2263" w:right="149" w:hanging="2160"/>
              <w:rPr>
                <w:b/>
                <w:color w:val="auto"/>
                <w:szCs w:val="22"/>
                <w:lang w:val="en-US" w:eastAsia="en-US"/>
              </w:rPr>
            </w:pPr>
            <w:r w:rsidRPr="00C64788">
              <w:rPr>
                <w:b/>
                <w:color w:val="auto"/>
                <w:szCs w:val="22"/>
                <w:lang w:val="en-US" w:eastAsia="en-US"/>
              </w:rPr>
              <w:t xml:space="preserve">Table 1. Incidence of Treatment-emergent Adverse Events in at Least 2% of Subjects in Any Group in Trial 156-04-251 by </w:t>
            </w:r>
            <w:proofErr w:type="spellStart"/>
            <w:r w:rsidRPr="00C64788">
              <w:rPr>
                <w:b/>
                <w:color w:val="auto"/>
                <w:szCs w:val="22"/>
                <w:lang w:val="en-US" w:eastAsia="en-US"/>
              </w:rPr>
              <w:t>MedDRA</w:t>
            </w:r>
            <w:proofErr w:type="spellEnd"/>
            <w:r w:rsidRPr="00C64788">
              <w:rPr>
                <w:b/>
                <w:color w:val="auto"/>
                <w:szCs w:val="22"/>
                <w:lang w:val="en-US" w:eastAsia="en-US"/>
              </w:rPr>
              <w:t xml:space="preserve"> System Organ Class and Preferred Term</w:t>
            </w:r>
          </w:p>
        </w:tc>
      </w:tr>
      <w:tr w:rsidR="00C972C2" w:rsidRPr="00C64788" w14:paraId="20584211" w14:textId="77777777" w:rsidTr="00C972C2">
        <w:trPr>
          <w:trHeight w:hRule="exact" w:val="708"/>
        </w:trPr>
        <w:tc>
          <w:tcPr>
            <w:tcW w:w="4068" w:type="dxa"/>
          </w:tcPr>
          <w:p w14:paraId="1935EAE4" w14:textId="77777777" w:rsidR="00C972C2" w:rsidRPr="00C64788" w:rsidRDefault="00C972C2" w:rsidP="00C972C2">
            <w:pPr>
              <w:widowControl w:val="0"/>
              <w:autoSpaceDE w:val="0"/>
              <w:autoSpaceDN w:val="0"/>
              <w:spacing w:before="5"/>
              <w:rPr>
                <w:color w:val="auto"/>
                <w:sz w:val="20"/>
                <w:szCs w:val="22"/>
                <w:lang w:val="en-US" w:eastAsia="en-US"/>
              </w:rPr>
            </w:pPr>
          </w:p>
          <w:p w14:paraId="4480E94C" w14:textId="77777777" w:rsidR="00C972C2" w:rsidRPr="00C64788" w:rsidRDefault="00C972C2" w:rsidP="00C972C2">
            <w:pPr>
              <w:widowControl w:val="0"/>
              <w:autoSpaceDE w:val="0"/>
              <w:autoSpaceDN w:val="0"/>
              <w:spacing w:line="242" w:lineRule="auto"/>
              <w:ind w:left="254" w:right="1421" w:hanging="152"/>
              <w:rPr>
                <w:b/>
                <w:color w:val="auto"/>
                <w:sz w:val="20"/>
                <w:szCs w:val="22"/>
                <w:lang w:val="en-US" w:eastAsia="en-US"/>
              </w:rPr>
            </w:pPr>
            <w:r w:rsidRPr="00C64788">
              <w:rPr>
                <w:b/>
                <w:color w:val="auto"/>
                <w:sz w:val="20"/>
                <w:szCs w:val="22"/>
                <w:lang w:val="en-US" w:eastAsia="en-US"/>
              </w:rPr>
              <w:t>System Organ Class Preferred Term</w:t>
            </w:r>
          </w:p>
        </w:tc>
        <w:tc>
          <w:tcPr>
            <w:tcW w:w="1680" w:type="dxa"/>
          </w:tcPr>
          <w:p w14:paraId="2082D27E" w14:textId="77777777" w:rsidR="00C972C2" w:rsidRPr="00C64788" w:rsidRDefault="00C972C2" w:rsidP="00C972C2">
            <w:pPr>
              <w:widowControl w:val="0"/>
              <w:autoSpaceDE w:val="0"/>
              <w:autoSpaceDN w:val="0"/>
              <w:spacing w:before="3" w:line="242" w:lineRule="auto"/>
              <w:ind w:left="398" w:right="396"/>
              <w:jc w:val="center"/>
              <w:rPr>
                <w:b/>
                <w:color w:val="auto"/>
                <w:sz w:val="20"/>
                <w:szCs w:val="22"/>
                <w:lang w:val="en-US" w:eastAsia="en-US"/>
              </w:rPr>
            </w:pPr>
            <w:r w:rsidRPr="00C64788">
              <w:rPr>
                <w:b/>
                <w:color w:val="auto"/>
                <w:w w:val="95"/>
                <w:sz w:val="20"/>
                <w:szCs w:val="22"/>
                <w:lang w:val="en-US" w:eastAsia="en-US"/>
              </w:rPr>
              <w:t xml:space="preserve">Tolvaptan </w:t>
            </w:r>
            <w:r w:rsidRPr="00C64788">
              <w:rPr>
                <w:b/>
                <w:color w:val="auto"/>
                <w:sz w:val="20"/>
                <w:szCs w:val="22"/>
                <w:lang w:val="en-US" w:eastAsia="en-US"/>
              </w:rPr>
              <w:t>(N = 961) n (%)</w:t>
            </w:r>
          </w:p>
        </w:tc>
        <w:tc>
          <w:tcPr>
            <w:tcW w:w="1560" w:type="dxa"/>
          </w:tcPr>
          <w:p w14:paraId="55D1E2FF" w14:textId="77777777" w:rsidR="00C972C2" w:rsidRPr="00C64788" w:rsidRDefault="00C972C2" w:rsidP="00C972C2">
            <w:pPr>
              <w:widowControl w:val="0"/>
              <w:autoSpaceDE w:val="0"/>
              <w:autoSpaceDN w:val="0"/>
              <w:spacing w:before="3" w:line="242" w:lineRule="auto"/>
              <w:ind w:left="376" w:right="376" w:firstLine="1"/>
              <w:jc w:val="center"/>
              <w:rPr>
                <w:b/>
                <w:color w:val="auto"/>
                <w:sz w:val="20"/>
                <w:szCs w:val="22"/>
                <w:lang w:val="en-US" w:eastAsia="en-US"/>
              </w:rPr>
            </w:pPr>
            <w:r w:rsidRPr="00C64788">
              <w:rPr>
                <w:b/>
                <w:color w:val="auto"/>
                <w:sz w:val="20"/>
                <w:szCs w:val="22"/>
                <w:lang w:val="en-US" w:eastAsia="en-US"/>
              </w:rPr>
              <w:t>Placebo (N = 483) n (%)</w:t>
            </w:r>
          </w:p>
        </w:tc>
        <w:tc>
          <w:tcPr>
            <w:tcW w:w="1548" w:type="dxa"/>
          </w:tcPr>
          <w:p w14:paraId="6FFE2574" w14:textId="77777777" w:rsidR="00C972C2" w:rsidRPr="00C64788" w:rsidRDefault="00C972C2" w:rsidP="00C972C2">
            <w:pPr>
              <w:widowControl w:val="0"/>
              <w:autoSpaceDE w:val="0"/>
              <w:autoSpaceDN w:val="0"/>
              <w:spacing w:before="3" w:line="242" w:lineRule="auto"/>
              <w:ind w:left="321" w:right="319" w:firstLine="218"/>
              <w:rPr>
                <w:b/>
                <w:color w:val="auto"/>
                <w:sz w:val="20"/>
                <w:szCs w:val="22"/>
                <w:lang w:val="en-US" w:eastAsia="en-US"/>
              </w:rPr>
            </w:pPr>
            <w:r w:rsidRPr="00C64788">
              <w:rPr>
                <w:b/>
                <w:color w:val="auto"/>
                <w:sz w:val="20"/>
                <w:szCs w:val="22"/>
                <w:lang w:val="en-US" w:eastAsia="en-US"/>
              </w:rPr>
              <w:t>Total (N = 1444)</w:t>
            </w:r>
          </w:p>
          <w:p w14:paraId="03EFC4A9" w14:textId="77777777" w:rsidR="00C972C2" w:rsidRPr="00C64788" w:rsidRDefault="00C972C2" w:rsidP="00C972C2">
            <w:pPr>
              <w:widowControl w:val="0"/>
              <w:autoSpaceDE w:val="0"/>
              <w:autoSpaceDN w:val="0"/>
              <w:ind w:left="501" w:right="502"/>
              <w:jc w:val="center"/>
              <w:rPr>
                <w:b/>
                <w:color w:val="auto"/>
                <w:sz w:val="20"/>
                <w:szCs w:val="22"/>
                <w:lang w:val="en-US" w:eastAsia="en-US"/>
              </w:rPr>
            </w:pPr>
            <w:proofErr w:type="gramStart"/>
            <w:r w:rsidRPr="00C64788">
              <w:rPr>
                <w:b/>
                <w:color w:val="auto"/>
                <w:sz w:val="20"/>
                <w:szCs w:val="22"/>
                <w:lang w:val="en-US" w:eastAsia="en-US"/>
              </w:rPr>
              <w:t>n</w:t>
            </w:r>
            <w:proofErr w:type="gramEnd"/>
            <w:r w:rsidRPr="00C64788">
              <w:rPr>
                <w:b/>
                <w:color w:val="auto"/>
                <w:sz w:val="20"/>
                <w:szCs w:val="22"/>
                <w:lang w:val="en-US" w:eastAsia="en-US"/>
              </w:rPr>
              <w:t xml:space="preserve"> (%)</w:t>
            </w:r>
          </w:p>
        </w:tc>
      </w:tr>
      <w:tr w:rsidR="00C972C2" w:rsidRPr="00C64788" w14:paraId="5177C8C0" w14:textId="77777777" w:rsidTr="00C972C2">
        <w:trPr>
          <w:trHeight w:hRule="exact" w:val="338"/>
        </w:trPr>
        <w:tc>
          <w:tcPr>
            <w:tcW w:w="4068" w:type="dxa"/>
          </w:tcPr>
          <w:p w14:paraId="74EB4244" w14:textId="77777777" w:rsidR="00C972C2" w:rsidRPr="00C64788" w:rsidRDefault="00C972C2" w:rsidP="00C972C2">
            <w:pPr>
              <w:widowControl w:val="0"/>
              <w:autoSpaceDE w:val="0"/>
              <w:autoSpaceDN w:val="0"/>
              <w:spacing w:line="306" w:lineRule="exact"/>
              <w:ind w:left="103"/>
              <w:rPr>
                <w:color w:val="auto"/>
                <w:sz w:val="18"/>
                <w:szCs w:val="22"/>
                <w:lang w:val="en-US" w:eastAsia="en-US"/>
              </w:rPr>
            </w:pPr>
            <w:r w:rsidRPr="00C64788">
              <w:rPr>
                <w:color w:val="auto"/>
                <w:sz w:val="20"/>
                <w:szCs w:val="22"/>
                <w:lang w:val="en-US" w:eastAsia="en-US"/>
              </w:rPr>
              <w:t xml:space="preserve">Total subjects with </w:t>
            </w:r>
            <w:r w:rsidRPr="00C64788">
              <w:rPr>
                <w:rFonts w:ascii="Symbol" w:hAnsi="Symbol"/>
                <w:color w:val="auto"/>
                <w:sz w:val="20"/>
                <w:szCs w:val="22"/>
                <w:lang w:val="en-US" w:eastAsia="en-US"/>
              </w:rPr>
              <w:t></w:t>
            </w:r>
            <w:r w:rsidRPr="00C64788">
              <w:rPr>
                <w:color w:val="auto"/>
                <w:sz w:val="20"/>
                <w:szCs w:val="22"/>
                <w:lang w:val="en-US" w:eastAsia="en-US"/>
              </w:rPr>
              <w:t xml:space="preserve"> 1 TEAE</w:t>
            </w:r>
            <w:r w:rsidRPr="00C64788">
              <w:rPr>
                <w:color w:val="auto"/>
                <w:position w:val="13"/>
                <w:sz w:val="18"/>
                <w:szCs w:val="22"/>
                <w:lang w:val="en-US" w:eastAsia="en-US"/>
              </w:rPr>
              <w:t>a</w:t>
            </w:r>
          </w:p>
        </w:tc>
        <w:tc>
          <w:tcPr>
            <w:tcW w:w="1680" w:type="dxa"/>
          </w:tcPr>
          <w:p w14:paraId="005A1E79" w14:textId="77777777" w:rsidR="00C972C2" w:rsidRPr="00C64788" w:rsidRDefault="00C972C2" w:rsidP="00C972C2">
            <w:pPr>
              <w:widowControl w:val="0"/>
              <w:autoSpaceDE w:val="0"/>
              <w:autoSpaceDN w:val="0"/>
              <w:spacing w:before="94"/>
              <w:ind w:left="397" w:right="397"/>
              <w:jc w:val="center"/>
              <w:rPr>
                <w:color w:val="auto"/>
                <w:sz w:val="20"/>
                <w:szCs w:val="22"/>
                <w:lang w:val="en-US" w:eastAsia="en-US"/>
              </w:rPr>
            </w:pPr>
            <w:r w:rsidRPr="00C64788">
              <w:rPr>
                <w:color w:val="auto"/>
                <w:sz w:val="20"/>
                <w:szCs w:val="22"/>
                <w:lang w:val="en-US" w:eastAsia="en-US"/>
              </w:rPr>
              <w:t>941 (97.9)</w:t>
            </w:r>
          </w:p>
        </w:tc>
        <w:tc>
          <w:tcPr>
            <w:tcW w:w="1560" w:type="dxa"/>
          </w:tcPr>
          <w:p w14:paraId="1C4FAD80" w14:textId="77777777" w:rsidR="00C972C2" w:rsidRPr="00C64788" w:rsidRDefault="00C972C2" w:rsidP="00C972C2">
            <w:pPr>
              <w:widowControl w:val="0"/>
              <w:autoSpaceDE w:val="0"/>
              <w:autoSpaceDN w:val="0"/>
              <w:spacing w:before="94"/>
              <w:ind w:left="338" w:right="338"/>
              <w:jc w:val="center"/>
              <w:rPr>
                <w:color w:val="auto"/>
                <w:sz w:val="20"/>
                <w:szCs w:val="22"/>
                <w:lang w:val="en-US" w:eastAsia="en-US"/>
              </w:rPr>
            </w:pPr>
            <w:r w:rsidRPr="00C64788">
              <w:rPr>
                <w:color w:val="auto"/>
                <w:sz w:val="20"/>
                <w:szCs w:val="22"/>
                <w:lang w:val="en-US" w:eastAsia="en-US"/>
              </w:rPr>
              <w:t>469 (97.1)</w:t>
            </w:r>
          </w:p>
        </w:tc>
        <w:tc>
          <w:tcPr>
            <w:tcW w:w="1548" w:type="dxa"/>
          </w:tcPr>
          <w:p w14:paraId="37BFBB0E" w14:textId="77777777" w:rsidR="00C972C2" w:rsidRPr="00C64788" w:rsidRDefault="00C972C2" w:rsidP="00C972C2">
            <w:pPr>
              <w:widowControl w:val="0"/>
              <w:autoSpaceDE w:val="0"/>
              <w:autoSpaceDN w:val="0"/>
              <w:spacing w:before="94"/>
              <w:ind w:left="297"/>
              <w:rPr>
                <w:color w:val="auto"/>
                <w:sz w:val="20"/>
                <w:szCs w:val="22"/>
                <w:lang w:val="en-US" w:eastAsia="en-US"/>
              </w:rPr>
            </w:pPr>
            <w:r w:rsidRPr="00C64788">
              <w:rPr>
                <w:color w:val="auto"/>
                <w:sz w:val="20"/>
                <w:szCs w:val="22"/>
                <w:lang w:val="en-US" w:eastAsia="en-US"/>
              </w:rPr>
              <w:t>1410 (97.6)</w:t>
            </w:r>
          </w:p>
        </w:tc>
      </w:tr>
      <w:tr w:rsidR="00C972C2" w:rsidRPr="00C64788" w14:paraId="4328EDB1" w14:textId="77777777" w:rsidTr="00C972C2">
        <w:trPr>
          <w:trHeight w:hRule="exact" w:val="245"/>
        </w:trPr>
        <w:tc>
          <w:tcPr>
            <w:tcW w:w="8856" w:type="dxa"/>
            <w:gridSpan w:val="4"/>
          </w:tcPr>
          <w:p w14:paraId="7B5D3E38" w14:textId="77777777" w:rsidR="00C972C2" w:rsidRPr="00C64788" w:rsidRDefault="00C972C2" w:rsidP="00C972C2">
            <w:pPr>
              <w:widowControl w:val="0"/>
              <w:autoSpaceDE w:val="0"/>
              <w:autoSpaceDN w:val="0"/>
              <w:ind w:left="103"/>
              <w:rPr>
                <w:color w:val="auto"/>
                <w:sz w:val="20"/>
                <w:szCs w:val="22"/>
                <w:lang w:val="en-US" w:eastAsia="en-US"/>
              </w:rPr>
            </w:pPr>
            <w:r w:rsidRPr="00C64788">
              <w:rPr>
                <w:color w:val="auto"/>
                <w:sz w:val="20"/>
                <w:szCs w:val="22"/>
                <w:lang w:val="en-US" w:eastAsia="en-US"/>
              </w:rPr>
              <w:t>Blood and lymphatic system disorders</w:t>
            </w:r>
          </w:p>
        </w:tc>
      </w:tr>
      <w:tr w:rsidR="00C972C2" w:rsidRPr="00C64788" w14:paraId="750BBA33" w14:textId="77777777" w:rsidTr="00C972C2">
        <w:trPr>
          <w:trHeight w:hRule="exact" w:val="245"/>
        </w:trPr>
        <w:tc>
          <w:tcPr>
            <w:tcW w:w="4068" w:type="dxa"/>
          </w:tcPr>
          <w:p w14:paraId="1433892D" w14:textId="77777777" w:rsidR="00C972C2" w:rsidRPr="00C64788" w:rsidRDefault="00C972C2" w:rsidP="00C972C2">
            <w:pPr>
              <w:widowControl w:val="0"/>
              <w:autoSpaceDE w:val="0"/>
              <w:autoSpaceDN w:val="0"/>
              <w:ind w:left="254"/>
              <w:rPr>
                <w:color w:val="auto"/>
                <w:sz w:val="20"/>
                <w:szCs w:val="22"/>
                <w:lang w:val="en-US" w:eastAsia="en-US"/>
              </w:rPr>
            </w:pPr>
            <w:proofErr w:type="spellStart"/>
            <w:r w:rsidRPr="00C64788">
              <w:rPr>
                <w:color w:val="auto"/>
                <w:sz w:val="20"/>
                <w:szCs w:val="22"/>
                <w:lang w:val="en-US" w:eastAsia="en-US"/>
              </w:rPr>
              <w:t>Anaemia</w:t>
            </w:r>
            <w:proofErr w:type="spellEnd"/>
          </w:p>
        </w:tc>
        <w:tc>
          <w:tcPr>
            <w:tcW w:w="1680" w:type="dxa"/>
          </w:tcPr>
          <w:p w14:paraId="18225014"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27 (2.8)</w:t>
            </w:r>
          </w:p>
        </w:tc>
        <w:tc>
          <w:tcPr>
            <w:tcW w:w="1560" w:type="dxa"/>
          </w:tcPr>
          <w:p w14:paraId="7766C2BD"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24 (5.0)</w:t>
            </w:r>
          </w:p>
        </w:tc>
        <w:tc>
          <w:tcPr>
            <w:tcW w:w="1548" w:type="dxa"/>
          </w:tcPr>
          <w:p w14:paraId="3C49C4B2" w14:textId="77777777" w:rsidR="00C972C2" w:rsidRPr="00C64788" w:rsidRDefault="00C972C2" w:rsidP="00C972C2">
            <w:pPr>
              <w:widowControl w:val="0"/>
              <w:autoSpaceDE w:val="0"/>
              <w:autoSpaceDN w:val="0"/>
              <w:ind w:left="448"/>
              <w:rPr>
                <w:color w:val="auto"/>
                <w:sz w:val="20"/>
                <w:szCs w:val="22"/>
                <w:lang w:val="en-US" w:eastAsia="en-US"/>
              </w:rPr>
            </w:pPr>
            <w:r w:rsidRPr="00C64788">
              <w:rPr>
                <w:color w:val="auto"/>
                <w:sz w:val="20"/>
                <w:szCs w:val="22"/>
                <w:lang w:val="en-US" w:eastAsia="en-US"/>
              </w:rPr>
              <w:t>51 (3.5)</w:t>
            </w:r>
          </w:p>
        </w:tc>
      </w:tr>
      <w:tr w:rsidR="00C972C2" w:rsidRPr="00C64788" w14:paraId="56E091BF" w14:textId="77777777" w:rsidTr="00C972C2">
        <w:trPr>
          <w:trHeight w:hRule="exact" w:val="245"/>
        </w:trPr>
        <w:tc>
          <w:tcPr>
            <w:tcW w:w="8856" w:type="dxa"/>
            <w:gridSpan w:val="4"/>
          </w:tcPr>
          <w:p w14:paraId="5DF3390D" w14:textId="77777777" w:rsidR="00C972C2" w:rsidRPr="00C64788" w:rsidRDefault="00C972C2" w:rsidP="00C972C2">
            <w:pPr>
              <w:widowControl w:val="0"/>
              <w:autoSpaceDE w:val="0"/>
              <w:autoSpaceDN w:val="0"/>
              <w:ind w:left="103"/>
              <w:rPr>
                <w:color w:val="auto"/>
                <w:sz w:val="20"/>
                <w:szCs w:val="22"/>
                <w:lang w:val="en-US" w:eastAsia="en-US"/>
              </w:rPr>
            </w:pPr>
            <w:r w:rsidRPr="00C64788">
              <w:rPr>
                <w:color w:val="auto"/>
                <w:sz w:val="20"/>
                <w:szCs w:val="22"/>
                <w:lang w:val="en-US" w:eastAsia="en-US"/>
              </w:rPr>
              <w:t>Cardiac disorders</w:t>
            </w:r>
          </w:p>
        </w:tc>
      </w:tr>
      <w:tr w:rsidR="00C972C2" w:rsidRPr="00C64788" w14:paraId="62AA0247" w14:textId="77777777" w:rsidTr="00C972C2">
        <w:trPr>
          <w:trHeight w:hRule="exact" w:val="242"/>
        </w:trPr>
        <w:tc>
          <w:tcPr>
            <w:tcW w:w="4068" w:type="dxa"/>
          </w:tcPr>
          <w:p w14:paraId="0044270E" w14:textId="77777777" w:rsidR="00C972C2" w:rsidRPr="00C64788" w:rsidRDefault="00C972C2" w:rsidP="00C972C2">
            <w:pPr>
              <w:widowControl w:val="0"/>
              <w:autoSpaceDE w:val="0"/>
              <w:autoSpaceDN w:val="0"/>
              <w:spacing w:before="3"/>
              <w:ind w:left="254"/>
              <w:rPr>
                <w:b/>
                <w:color w:val="auto"/>
                <w:sz w:val="20"/>
                <w:szCs w:val="22"/>
                <w:lang w:val="en-US" w:eastAsia="en-US"/>
              </w:rPr>
            </w:pPr>
            <w:r w:rsidRPr="00C64788">
              <w:rPr>
                <w:b/>
                <w:color w:val="auto"/>
                <w:sz w:val="20"/>
                <w:szCs w:val="22"/>
                <w:lang w:val="en-US" w:eastAsia="en-US"/>
              </w:rPr>
              <w:t>Palpitations</w:t>
            </w:r>
          </w:p>
        </w:tc>
        <w:tc>
          <w:tcPr>
            <w:tcW w:w="1680" w:type="dxa"/>
          </w:tcPr>
          <w:p w14:paraId="519AEF52" w14:textId="77777777" w:rsidR="00C972C2" w:rsidRPr="00C64788" w:rsidRDefault="00C972C2" w:rsidP="00C972C2">
            <w:pPr>
              <w:widowControl w:val="0"/>
              <w:autoSpaceDE w:val="0"/>
              <w:autoSpaceDN w:val="0"/>
              <w:spacing w:before="3"/>
              <w:ind w:left="397" w:right="397"/>
              <w:jc w:val="center"/>
              <w:rPr>
                <w:b/>
                <w:color w:val="auto"/>
                <w:sz w:val="20"/>
                <w:szCs w:val="22"/>
                <w:lang w:val="en-US" w:eastAsia="en-US"/>
              </w:rPr>
            </w:pPr>
            <w:r w:rsidRPr="00C64788">
              <w:rPr>
                <w:b/>
                <w:color w:val="auto"/>
                <w:sz w:val="20"/>
                <w:szCs w:val="22"/>
                <w:lang w:val="en-US" w:eastAsia="en-US"/>
              </w:rPr>
              <w:t>34 (3.5)</w:t>
            </w:r>
          </w:p>
        </w:tc>
        <w:tc>
          <w:tcPr>
            <w:tcW w:w="1560" w:type="dxa"/>
          </w:tcPr>
          <w:p w14:paraId="3FDBEF36" w14:textId="77777777" w:rsidR="00C972C2" w:rsidRPr="00C64788" w:rsidRDefault="00C972C2" w:rsidP="00C972C2">
            <w:pPr>
              <w:widowControl w:val="0"/>
              <w:autoSpaceDE w:val="0"/>
              <w:autoSpaceDN w:val="0"/>
              <w:spacing w:before="3"/>
              <w:ind w:left="338" w:right="338"/>
              <w:jc w:val="center"/>
              <w:rPr>
                <w:b/>
                <w:color w:val="auto"/>
                <w:sz w:val="20"/>
                <w:szCs w:val="22"/>
                <w:lang w:val="en-US" w:eastAsia="en-US"/>
              </w:rPr>
            </w:pPr>
            <w:r w:rsidRPr="00C64788">
              <w:rPr>
                <w:b/>
                <w:color w:val="auto"/>
                <w:sz w:val="20"/>
                <w:szCs w:val="22"/>
                <w:lang w:val="en-US" w:eastAsia="en-US"/>
              </w:rPr>
              <w:t>6 (1.2)</w:t>
            </w:r>
          </w:p>
        </w:tc>
        <w:tc>
          <w:tcPr>
            <w:tcW w:w="1548" w:type="dxa"/>
          </w:tcPr>
          <w:p w14:paraId="7374CB59" w14:textId="77777777" w:rsidR="00C972C2" w:rsidRPr="00C64788" w:rsidRDefault="00C972C2" w:rsidP="00C972C2">
            <w:pPr>
              <w:widowControl w:val="0"/>
              <w:autoSpaceDE w:val="0"/>
              <w:autoSpaceDN w:val="0"/>
              <w:spacing w:before="3"/>
              <w:ind w:left="448"/>
              <w:rPr>
                <w:b/>
                <w:color w:val="auto"/>
                <w:sz w:val="20"/>
                <w:szCs w:val="22"/>
                <w:lang w:val="en-US" w:eastAsia="en-US"/>
              </w:rPr>
            </w:pPr>
            <w:r w:rsidRPr="00C64788">
              <w:rPr>
                <w:b/>
                <w:color w:val="auto"/>
                <w:sz w:val="20"/>
                <w:szCs w:val="22"/>
                <w:lang w:val="en-US" w:eastAsia="en-US"/>
              </w:rPr>
              <w:t>40 (2.8)</w:t>
            </w:r>
          </w:p>
        </w:tc>
      </w:tr>
      <w:tr w:rsidR="00C972C2" w:rsidRPr="00C64788" w14:paraId="68D20C47" w14:textId="77777777" w:rsidTr="00C972C2">
        <w:trPr>
          <w:trHeight w:hRule="exact" w:val="245"/>
        </w:trPr>
        <w:tc>
          <w:tcPr>
            <w:tcW w:w="8856" w:type="dxa"/>
            <w:gridSpan w:val="4"/>
          </w:tcPr>
          <w:p w14:paraId="2F263BD4" w14:textId="77777777" w:rsidR="00C972C2" w:rsidRPr="00C64788" w:rsidRDefault="00C972C2" w:rsidP="00C972C2">
            <w:pPr>
              <w:widowControl w:val="0"/>
              <w:autoSpaceDE w:val="0"/>
              <w:autoSpaceDN w:val="0"/>
              <w:ind w:left="103"/>
              <w:rPr>
                <w:color w:val="auto"/>
                <w:sz w:val="20"/>
                <w:szCs w:val="22"/>
                <w:lang w:val="en-US" w:eastAsia="en-US"/>
              </w:rPr>
            </w:pPr>
            <w:r w:rsidRPr="00C64788">
              <w:rPr>
                <w:color w:val="auto"/>
                <w:sz w:val="20"/>
                <w:szCs w:val="22"/>
                <w:lang w:val="en-US" w:eastAsia="en-US"/>
              </w:rPr>
              <w:t>Ear and labyrinth disorders</w:t>
            </w:r>
          </w:p>
        </w:tc>
      </w:tr>
      <w:tr w:rsidR="00C972C2" w:rsidRPr="00C64788" w14:paraId="3F761FB7" w14:textId="77777777" w:rsidTr="00C972C2">
        <w:trPr>
          <w:trHeight w:hRule="exact" w:val="245"/>
        </w:trPr>
        <w:tc>
          <w:tcPr>
            <w:tcW w:w="4068" w:type="dxa"/>
          </w:tcPr>
          <w:p w14:paraId="5D2DFEF2"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Vertigo</w:t>
            </w:r>
          </w:p>
        </w:tc>
        <w:tc>
          <w:tcPr>
            <w:tcW w:w="1680" w:type="dxa"/>
          </w:tcPr>
          <w:p w14:paraId="489A6D1E"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24 (2.5)</w:t>
            </w:r>
          </w:p>
        </w:tc>
        <w:tc>
          <w:tcPr>
            <w:tcW w:w="1560" w:type="dxa"/>
          </w:tcPr>
          <w:p w14:paraId="6759049E"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18 (3.7)</w:t>
            </w:r>
          </w:p>
        </w:tc>
        <w:tc>
          <w:tcPr>
            <w:tcW w:w="1548" w:type="dxa"/>
          </w:tcPr>
          <w:p w14:paraId="5D1310BE" w14:textId="77777777" w:rsidR="00C972C2" w:rsidRPr="00C64788" w:rsidRDefault="00C972C2" w:rsidP="00C972C2">
            <w:pPr>
              <w:widowControl w:val="0"/>
              <w:autoSpaceDE w:val="0"/>
              <w:autoSpaceDN w:val="0"/>
              <w:ind w:left="448"/>
              <w:rPr>
                <w:color w:val="auto"/>
                <w:sz w:val="20"/>
                <w:szCs w:val="22"/>
                <w:lang w:val="en-US" w:eastAsia="en-US"/>
              </w:rPr>
            </w:pPr>
            <w:r w:rsidRPr="00C64788">
              <w:rPr>
                <w:color w:val="auto"/>
                <w:sz w:val="20"/>
                <w:szCs w:val="22"/>
                <w:lang w:val="en-US" w:eastAsia="en-US"/>
              </w:rPr>
              <w:t>42 (2.9)</w:t>
            </w:r>
          </w:p>
        </w:tc>
      </w:tr>
      <w:tr w:rsidR="00C972C2" w:rsidRPr="00C64788" w14:paraId="1DA8B5FD" w14:textId="77777777" w:rsidTr="00C972C2">
        <w:trPr>
          <w:trHeight w:hRule="exact" w:val="245"/>
        </w:trPr>
        <w:tc>
          <w:tcPr>
            <w:tcW w:w="8856" w:type="dxa"/>
            <w:gridSpan w:val="4"/>
          </w:tcPr>
          <w:p w14:paraId="31AB8F64" w14:textId="77777777" w:rsidR="00C972C2" w:rsidRPr="00C64788" w:rsidRDefault="00C972C2" w:rsidP="00C972C2">
            <w:pPr>
              <w:widowControl w:val="0"/>
              <w:autoSpaceDE w:val="0"/>
              <w:autoSpaceDN w:val="0"/>
              <w:ind w:left="103"/>
              <w:rPr>
                <w:color w:val="auto"/>
                <w:sz w:val="20"/>
                <w:szCs w:val="22"/>
                <w:lang w:val="en-US" w:eastAsia="en-US"/>
              </w:rPr>
            </w:pPr>
            <w:r w:rsidRPr="00C64788">
              <w:rPr>
                <w:color w:val="auto"/>
                <w:sz w:val="20"/>
                <w:szCs w:val="22"/>
                <w:lang w:val="en-US" w:eastAsia="en-US"/>
              </w:rPr>
              <w:t>Gastrointestinal disorders</w:t>
            </w:r>
          </w:p>
        </w:tc>
      </w:tr>
      <w:tr w:rsidR="00C972C2" w:rsidRPr="00C64788" w14:paraId="749747A7" w14:textId="77777777" w:rsidTr="00C972C2">
        <w:trPr>
          <w:trHeight w:hRule="exact" w:val="245"/>
        </w:trPr>
        <w:tc>
          <w:tcPr>
            <w:tcW w:w="4068" w:type="dxa"/>
          </w:tcPr>
          <w:p w14:paraId="6C5A6966"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Abdominal Discomfort</w:t>
            </w:r>
          </w:p>
        </w:tc>
        <w:tc>
          <w:tcPr>
            <w:tcW w:w="1680" w:type="dxa"/>
          </w:tcPr>
          <w:p w14:paraId="638A5AA0"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29 (3.0)</w:t>
            </w:r>
          </w:p>
        </w:tc>
        <w:tc>
          <w:tcPr>
            <w:tcW w:w="1560" w:type="dxa"/>
          </w:tcPr>
          <w:p w14:paraId="4DC38D9B"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10 (2.1)</w:t>
            </w:r>
          </w:p>
        </w:tc>
        <w:tc>
          <w:tcPr>
            <w:tcW w:w="1548" w:type="dxa"/>
          </w:tcPr>
          <w:p w14:paraId="621C5936" w14:textId="77777777" w:rsidR="00C972C2" w:rsidRPr="00C64788" w:rsidRDefault="00C972C2" w:rsidP="00C972C2">
            <w:pPr>
              <w:widowControl w:val="0"/>
              <w:autoSpaceDE w:val="0"/>
              <w:autoSpaceDN w:val="0"/>
              <w:ind w:left="448"/>
              <w:rPr>
                <w:color w:val="auto"/>
                <w:sz w:val="20"/>
                <w:szCs w:val="22"/>
                <w:lang w:val="en-US" w:eastAsia="en-US"/>
              </w:rPr>
            </w:pPr>
            <w:r w:rsidRPr="00C64788">
              <w:rPr>
                <w:color w:val="auto"/>
                <w:sz w:val="20"/>
                <w:szCs w:val="22"/>
                <w:lang w:val="en-US" w:eastAsia="en-US"/>
              </w:rPr>
              <w:t>39 (2.7)</w:t>
            </w:r>
          </w:p>
        </w:tc>
      </w:tr>
      <w:tr w:rsidR="00C972C2" w:rsidRPr="00C64788" w14:paraId="0AA8EA3C" w14:textId="77777777" w:rsidTr="00C972C2">
        <w:trPr>
          <w:trHeight w:hRule="exact" w:val="245"/>
        </w:trPr>
        <w:tc>
          <w:tcPr>
            <w:tcW w:w="4068" w:type="dxa"/>
          </w:tcPr>
          <w:p w14:paraId="6AA4C61B"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Abdominal Distension</w:t>
            </w:r>
          </w:p>
        </w:tc>
        <w:tc>
          <w:tcPr>
            <w:tcW w:w="1680" w:type="dxa"/>
          </w:tcPr>
          <w:p w14:paraId="4E50DE23"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47 (4.9)</w:t>
            </w:r>
          </w:p>
        </w:tc>
        <w:tc>
          <w:tcPr>
            <w:tcW w:w="1560" w:type="dxa"/>
          </w:tcPr>
          <w:p w14:paraId="0F66C6E0"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16 (3.3)</w:t>
            </w:r>
          </w:p>
        </w:tc>
        <w:tc>
          <w:tcPr>
            <w:tcW w:w="1548" w:type="dxa"/>
          </w:tcPr>
          <w:p w14:paraId="74E830E6" w14:textId="77777777" w:rsidR="00C972C2" w:rsidRPr="00C64788" w:rsidRDefault="00C972C2" w:rsidP="00C972C2">
            <w:pPr>
              <w:widowControl w:val="0"/>
              <w:autoSpaceDE w:val="0"/>
              <w:autoSpaceDN w:val="0"/>
              <w:ind w:left="448"/>
              <w:rPr>
                <w:color w:val="auto"/>
                <w:sz w:val="20"/>
                <w:szCs w:val="22"/>
                <w:lang w:val="en-US" w:eastAsia="en-US"/>
              </w:rPr>
            </w:pPr>
            <w:r w:rsidRPr="00C64788">
              <w:rPr>
                <w:color w:val="auto"/>
                <w:sz w:val="20"/>
                <w:szCs w:val="22"/>
                <w:lang w:val="en-US" w:eastAsia="en-US"/>
              </w:rPr>
              <w:t>63 (4.4)</w:t>
            </w:r>
          </w:p>
        </w:tc>
      </w:tr>
      <w:tr w:rsidR="00C972C2" w:rsidRPr="00C64788" w14:paraId="62F79B84" w14:textId="77777777" w:rsidTr="00C972C2">
        <w:trPr>
          <w:trHeight w:hRule="exact" w:val="245"/>
        </w:trPr>
        <w:tc>
          <w:tcPr>
            <w:tcW w:w="4068" w:type="dxa"/>
          </w:tcPr>
          <w:p w14:paraId="0D2EAAE2"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Abdominal Pain</w:t>
            </w:r>
          </w:p>
        </w:tc>
        <w:tc>
          <w:tcPr>
            <w:tcW w:w="1680" w:type="dxa"/>
          </w:tcPr>
          <w:p w14:paraId="525E6496"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62 (6.5)</w:t>
            </w:r>
          </w:p>
        </w:tc>
        <w:tc>
          <w:tcPr>
            <w:tcW w:w="1560" w:type="dxa"/>
          </w:tcPr>
          <w:p w14:paraId="0A45A916"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32 (6.6)</w:t>
            </w:r>
          </w:p>
        </w:tc>
        <w:tc>
          <w:tcPr>
            <w:tcW w:w="1548" w:type="dxa"/>
          </w:tcPr>
          <w:p w14:paraId="2D745542" w14:textId="77777777" w:rsidR="00C972C2" w:rsidRPr="00C64788" w:rsidRDefault="00C972C2" w:rsidP="00C972C2">
            <w:pPr>
              <w:widowControl w:val="0"/>
              <w:autoSpaceDE w:val="0"/>
              <w:autoSpaceDN w:val="0"/>
              <w:ind w:left="448"/>
              <w:rPr>
                <w:color w:val="auto"/>
                <w:sz w:val="20"/>
                <w:szCs w:val="22"/>
                <w:lang w:val="en-US" w:eastAsia="en-US"/>
              </w:rPr>
            </w:pPr>
            <w:r w:rsidRPr="00C64788">
              <w:rPr>
                <w:color w:val="auto"/>
                <w:sz w:val="20"/>
                <w:szCs w:val="22"/>
                <w:lang w:val="en-US" w:eastAsia="en-US"/>
              </w:rPr>
              <w:t>94 (6.5)</w:t>
            </w:r>
          </w:p>
        </w:tc>
      </w:tr>
      <w:tr w:rsidR="00C972C2" w:rsidRPr="00C64788" w14:paraId="66B5F89C" w14:textId="77777777" w:rsidTr="00C972C2">
        <w:trPr>
          <w:trHeight w:hRule="exact" w:val="245"/>
        </w:trPr>
        <w:tc>
          <w:tcPr>
            <w:tcW w:w="4068" w:type="dxa"/>
          </w:tcPr>
          <w:p w14:paraId="50160F4A"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Abdominal Pain Upper</w:t>
            </w:r>
          </w:p>
        </w:tc>
        <w:tc>
          <w:tcPr>
            <w:tcW w:w="1680" w:type="dxa"/>
          </w:tcPr>
          <w:p w14:paraId="795558C7"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63 (6.6)</w:t>
            </w:r>
          </w:p>
        </w:tc>
        <w:tc>
          <w:tcPr>
            <w:tcW w:w="1560" w:type="dxa"/>
          </w:tcPr>
          <w:p w14:paraId="5A3BD4C2"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42 (8.7)</w:t>
            </w:r>
          </w:p>
        </w:tc>
        <w:tc>
          <w:tcPr>
            <w:tcW w:w="1548" w:type="dxa"/>
          </w:tcPr>
          <w:p w14:paraId="445E0A17" w14:textId="77777777" w:rsidR="00C972C2" w:rsidRPr="00C64788" w:rsidRDefault="00C972C2" w:rsidP="00C972C2">
            <w:pPr>
              <w:widowControl w:val="0"/>
              <w:autoSpaceDE w:val="0"/>
              <w:autoSpaceDN w:val="0"/>
              <w:ind w:left="398"/>
              <w:rPr>
                <w:color w:val="auto"/>
                <w:sz w:val="20"/>
                <w:szCs w:val="22"/>
                <w:lang w:val="en-US" w:eastAsia="en-US"/>
              </w:rPr>
            </w:pPr>
            <w:r w:rsidRPr="00C64788">
              <w:rPr>
                <w:color w:val="auto"/>
                <w:sz w:val="20"/>
                <w:szCs w:val="22"/>
                <w:lang w:val="en-US" w:eastAsia="en-US"/>
              </w:rPr>
              <w:t>105 (7.3)</w:t>
            </w:r>
          </w:p>
        </w:tc>
      </w:tr>
      <w:tr w:rsidR="00C972C2" w:rsidRPr="00C64788" w14:paraId="76388570" w14:textId="77777777" w:rsidTr="00C972C2">
        <w:trPr>
          <w:trHeight w:hRule="exact" w:val="242"/>
        </w:trPr>
        <w:tc>
          <w:tcPr>
            <w:tcW w:w="4068" w:type="dxa"/>
          </w:tcPr>
          <w:p w14:paraId="6E0F53DB" w14:textId="77777777" w:rsidR="00C972C2" w:rsidRPr="00C64788" w:rsidRDefault="00C972C2" w:rsidP="00C972C2">
            <w:pPr>
              <w:widowControl w:val="0"/>
              <w:autoSpaceDE w:val="0"/>
              <w:autoSpaceDN w:val="0"/>
              <w:spacing w:before="3"/>
              <w:ind w:left="254"/>
              <w:rPr>
                <w:b/>
                <w:color w:val="auto"/>
                <w:sz w:val="20"/>
                <w:szCs w:val="22"/>
                <w:lang w:val="en-US" w:eastAsia="en-US"/>
              </w:rPr>
            </w:pPr>
            <w:r w:rsidRPr="00C64788">
              <w:rPr>
                <w:b/>
                <w:color w:val="auto"/>
                <w:sz w:val="20"/>
                <w:szCs w:val="22"/>
                <w:lang w:val="en-US" w:eastAsia="en-US"/>
              </w:rPr>
              <w:t>Constipation</w:t>
            </w:r>
          </w:p>
        </w:tc>
        <w:tc>
          <w:tcPr>
            <w:tcW w:w="1680" w:type="dxa"/>
          </w:tcPr>
          <w:p w14:paraId="5D10FAEF" w14:textId="77777777" w:rsidR="00C972C2" w:rsidRPr="00C64788" w:rsidRDefault="00C972C2" w:rsidP="00C972C2">
            <w:pPr>
              <w:widowControl w:val="0"/>
              <w:autoSpaceDE w:val="0"/>
              <w:autoSpaceDN w:val="0"/>
              <w:spacing w:before="3"/>
              <w:ind w:left="397" w:right="397"/>
              <w:jc w:val="center"/>
              <w:rPr>
                <w:b/>
                <w:color w:val="auto"/>
                <w:sz w:val="20"/>
                <w:szCs w:val="22"/>
                <w:lang w:val="en-US" w:eastAsia="en-US"/>
              </w:rPr>
            </w:pPr>
            <w:r w:rsidRPr="00C64788">
              <w:rPr>
                <w:b/>
                <w:color w:val="auto"/>
                <w:sz w:val="20"/>
                <w:szCs w:val="22"/>
                <w:lang w:val="en-US" w:eastAsia="en-US"/>
              </w:rPr>
              <w:t>81 (8.4)</w:t>
            </w:r>
          </w:p>
        </w:tc>
        <w:tc>
          <w:tcPr>
            <w:tcW w:w="1560" w:type="dxa"/>
          </w:tcPr>
          <w:p w14:paraId="6F777EC2" w14:textId="77777777" w:rsidR="00C972C2" w:rsidRPr="00C64788" w:rsidRDefault="00C972C2" w:rsidP="00C972C2">
            <w:pPr>
              <w:widowControl w:val="0"/>
              <w:autoSpaceDE w:val="0"/>
              <w:autoSpaceDN w:val="0"/>
              <w:spacing w:before="3"/>
              <w:ind w:left="338" w:right="338"/>
              <w:jc w:val="center"/>
              <w:rPr>
                <w:b/>
                <w:color w:val="auto"/>
                <w:sz w:val="20"/>
                <w:szCs w:val="22"/>
                <w:lang w:val="en-US" w:eastAsia="en-US"/>
              </w:rPr>
            </w:pPr>
            <w:r w:rsidRPr="00C64788">
              <w:rPr>
                <w:b/>
                <w:color w:val="auto"/>
                <w:sz w:val="20"/>
                <w:szCs w:val="22"/>
                <w:lang w:val="en-US" w:eastAsia="en-US"/>
              </w:rPr>
              <w:t>12 (2.5)</w:t>
            </w:r>
          </w:p>
        </w:tc>
        <w:tc>
          <w:tcPr>
            <w:tcW w:w="1548" w:type="dxa"/>
          </w:tcPr>
          <w:p w14:paraId="5646D3CF" w14:textId="77777777" w:rsidR="00C972C2" w:rsidRPr="00C64788" w:rsidRDefault="00C972C2" w:rsidP="00C972C2">
            <w:pPr>
              <w:widowControl w:val="0"/>
              <w:autoSpaceDE w:val="0"/>
              <w:autoSpaceDN w:val="0"/>
              <w:spacing w:before="3"/>
              <w:ind w:left="448"/>
              <w:rPr>
                <w:b/>
                <w:color w:val="auto"/>
                <w:sz w:val="20"/>
                <w:szCs w:val="22"/>
                <w:lang w:val="en-US" w:eastAsia="en-US"/>
              </w:rPr>
            </w:pPr>
            <w:r w:rsidRPr="00C64788">
              <w:rPr>
                <w:b/>
                <w:color w:val="auto"/>
                <w:sz w:val="20"/>
                <w:szCs w:val="22"/>
                <w:lang w:val="en-US" w:eastAsia="en-US"/>
              </w:rPr>
              <w:t>93 (6.4)</w:t>
            </w:r>
          </w:p>
        </w:tc>
      </w:tr>
      <w:tr w:rsidR="00C972C2" w:rsidRPr="00C64788" w14:paraId="2898574F" w14:textId="77777777" w:rsidTr="00C972C2">
        <w:trPr>
          <w:trHeight w:hRule="exact" w:val="245"/>
        </w:trPr>
        <w:tc>
          <w:tcPr>
            <w:tcW w:w="4068" w:type="dxa"/>
          </w:tcPr>
          <w:p w14:paraId="71640056"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Diarrhoea</w:t>
            </w:r>
          </w:p>
        </w:tc>
        <w:tc>
          <w:tcPr>
            <w:tcW w:w="1680" w:type="dxa"/>
          </w:tcPr>
          <w:p w14:paraId="246DDDC1"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128 (13.3)</w:t>
            </w:r>
          </w:p>
        </w:tc>
        <w:tc>
          <w:tcPr>
            <w:tcW w:w="1560" w:type="dxa"/>
          </w:tcPr>
          <w:p w14:paraId="25E0E7FE"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53 (11.0)</w:t>
            </w:r>
          </w:p>
        </w:tc>
        <w:tc>
          <w:tcPr>
            <w:tcW w:w="1548" w:type="dxa"/>
          </w:tcPr>
          <w:p w14:paraId="4030BB90" w14:textId="77777777" w:rsidR="00C972C2" w:rsidRPr="00C64788" w:rsidRDefault="00C972C2" w:rsidP="00C972C2">
            <w:pPr>
              <w:widowControl w:val="0"/>
              <w:autoSpaceDE w:val="0"/>
              <w:autoSpaceDN w:val="0"/>
              <w:ind w:left="347"/>
              <w:rPr>
                <w:color w:val="auto"/>
                <w:sz w:val="20"/>
                <w:szCs w:val="22"/>
                <w:lang w:val="en-US" w:eastAsia="en-US"/>
              </w:rPr>
            </w:pPr>
            <w:r w:rsidRPr="00C64788">
              <w:rPr>
                <w:color w:val="auto"/>
                <w:sz w:val="20"/>
                <w:szCs w:val="22"/>
                <w:lang w:val="en-US" w:eastAsia="en-US"/>
              </w:rPr>
              <w:t>181 (12.5)</w:t>
            </w:r>
          </w:p>
        </w:tc>
      </w:tr>
      <w:tr w:rsidR="00C972C2" w:rsidRPr="00C64788" w14:paraId="6D72DD4C" w14:textId="77777777" w:rsidTr="00C972C2">
        <w:trPr>
          <w:trHeight w:hRule="exact" w:val="245"/>
        </w:trPr>
        <w:tc>
          <w:tcPr>
            <w:tcW w:w="4068" w:type="dxa"/>
          </w:tcPr>
          <w:p w14:paraId="775A3CED"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Dry Mouth</w:t>
            </w:r>
          </w:p>
        </w:tc>
        <w:tc>
          <w:tcPr>
            <w:tcW w:w="1680" w:type="dxa"/>
          </w:tcPr>
          <w:p w14:paraId="5BE03806"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154 (16.0)</w:t>
            </w:r>
          </w:p>
        </w:tc>
        <w:tc>
          <w:tcPr>
            <w:tcW w:w="1560" w:type="dxa"/>
          </w:tcPr>
          <w:p w14:paraId="43D2159F"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60 (12.4)</w:t>
            </w:r>
          </w:p>
        </w:tc>
        <w:tc>
          <w:tcPr>
            <w:tcW w:w="1548" w:type="dxa"/>
          </w:tcPr>
          <w:p w14:paraId="6D944DA0" w14:textId="77777777" w:rsidR="00C972C2" w:rsidRPr="00C64788" w:rsidRDefault="00C972C2" w:rsidP="00C972C2">
            <w:pPr>
              <w:widowControl w:val="0"/>
              <w:autoSpaceDE w:val="0"/>
              <w:autoSpaceDN w:val="0"/>
              <w:ind w:left="347"/>
              <w:rPr>
                <w:color w:val="auto"/>
                <w:sz w:val="20"/>
                <w:szCs w:val="22"/>
                <w:lang w:val="en-US" w:eastAsia="en-US"/>
              </w:rPr>
            </w:pPr>
            <w:r w:rsidRPr="00C64788">
              <w:rPr>
                <w:color w:val="auto"/>
                <w:sz w:val="20"/>
                <w:szCs w:val="22"/>
                <w:lang w:val="en-US" w:eastAsia="en-US"/>
              </w:rPr>
              <w:t>214 (14.8)</w:t>
            </w:r>
          </w:p>
        </w:tc>
      </w:tr>
      <w:tr w:rsidR="00C972C2" w:rsidRPr="00C64788" w14:paraId="370D3AD9" w14:textId="77777777" w:rsidTr="00C972C2">
        <w:trPr>
          <w:trHeight w:hRule="exact" w:val="242"/>
        </w:trPr>
        <w:tc>
          <w:tcPr>
            <w:tcW w:w="4068" w:type="dxa"/>
          </w:tcPr>
          <w:p w14:paraId="6AA09548" w14:textId="77777777" w:rsidR="00C972C2" w:rsidRPr="00C64788" w:rsidRDefault="00C972C2" w:rsidP="00C972C2">
            <w:pPr>
              <w:widowControl w:val="0"/>
              <w:autoSpaceDE w:val="0"/>
              <w:autoSpaceDN w:val="0"/>
              <w:spacing w:before="3"/>
              <w:ind w:left="254"/>
              <w:rPr>
                <w:b/>
                <w:color w:val="auto"/>
                <w:sz w:val="20"/>
                <w:szCs w:val="22"/>
                <w:lang w:val="en-US" w:eastAsia="en-US"/>
              </w:rPr>
            </w:pPr>
            <w:r w:rsidRPr="00C64788">
              <w:rPr>
                <w:b/>
                <w:color w:val="auto"/>
                <w:sz w:val="20"/>
                <w:szCs w:val="22"/>
                <w:lang w:val="en-US" w:eastAsia="en-US"/>
              </w:rPr>
              <w:t>Dyspepsia</w:t>
            </w:r>
          </w:p>
        </w:tc>
        <w:tc>
          <w:tcPr>
            <w:tcW w:w="1680" w:type="dxa"/>
          </w:tcPr>
          <w:p w14:paraId="2D8BE1EB" w14:textId="77777777" w:rsidR="00C972C2" w:rsidRPr="00C64788" w:rsidRDefault="00C972C2" w:rsidP="00C972C2">
            <w:pPr>
              <w:widowControl w:val="0"/>
              <w:autoSpaceDE w:val="0"/>
              <w:autoSpaceDN w:val="0"/>
              <w:spacing w:before="3"/>
              <w:ind w:left="397" w:right="397"/>
              <w:jc w:val="center"/>
              <w:rPr>
                <w:b/>
                <w:color w:val="auto"/>
                <w:sz w:val="20"/>
                <w:szCs w:val="22"/>
                <w:lang w:val="en-US" w:eastAsia="en-US"/>
              </w:rPr>
            </w:pPr>
            <w:r w:rsidRPr="00C64788">
              <w:rPr>
                <w:b/>
                <w:color w:val="auto"/>
                <w:sz w:val="20"/>
                <w:szCs w:val="22"/>
                <w:lang w:val="en-US" w:eastAsia="en-US"/>
              </w:rPr>
              <w:t>76 (7.9)</w:t>
            </w:r>
          </w:p>
        </w:tc>
        <w:tc>
          <w:tcPr>
            <w:tcW w:w="1560" w:type="dxa"/>
          </w:tcPr>
          <w:p w14:paraId="6A66CA63" w14:textId="77777777" w:rsidR="00C972C2" w:rsidRPr="00C64788" w:rsidRDefault="00C972C2" w:rsidP="00C972C2">
            <w:pPr>
              <w:widowControl w:val="0"/>
              <w:autoSpaceDE w:val="0"/>
              <w:autoSpaceDN w:val="0"/>
              <w:spacing w:before="3"/>
              <w:ind w:left="338" w:right="338"/>
              <w:jc w:val="center"/>
              <w:rPr>
                <w:b/>
                <w:color w:val="auto"/>
                <w:sz w:val="20"/>
                <w:szCs w:val="22"/>
                <w:lang w:val="en-US" w:eastAsia="en-US"/>
              </w:rPr>
            </w:pPr>
            <w:r w:rsidRPr="00C64788">
              <w:rPr>
                <w:b/>
                <w:color w:val="auto"/>
                <w:sz w:val="20"/>
                <w:szCs w:val="22"/>
                <w:lang w:val="en-US" w:eastAsia="en-US"/>
              </w:rPr>
              <w:t>16 (3.3)</w:t>
            </w:r>
          </w:p>
        </w:tc>
        <w:tc>
          <w:tcPr>
            <w:tcW w:w="1548" w:type="dxa"/>
          </w:tcPr>
          <w:p w14:paraId="046F25E3" w14:textId="77777777" w:rsidR="00C972C2" w:rsidRPr="00C64788" w:rsidRDefault="00C972C2" w:rsidP="00C972C2">
            <w:pPr>
              <w:widowControl w:val="0"/>
              <w:autoSpaceDE w:val="0"/>
              <w:autoSpaceDN w:val="0"/>
              <w:spacing w:before="3"/>
              <w:ind w:left="448"/>
              <w:rPr>
                <w:b/>
                <w:color w:val="auto"/>
                <w:sz w:val="20"/>
                <w:szCs w:val="22"/>
                <w:lang w:val="en-US" w:eastAsia="en-US"/>
              </w:rPr>
            </w:pPr>
            <w:r w:rsidRPr="00C64788">
              <w:rPr>
                <w:b/>
                <w:color w:val="auto"/>
                <w:sz w:val="20"/>
                <w:szCs w:val="22"/>
                <w:lang w:val="en-US" w:eastAsia="en-US"/>
              </w:rPr>
              <w:t>92 (6.4)</w:t>
            </w:r>
          </w:p>
        </w:tc>
      </w:tr>
      <w:tr w:rsidR="00C972C2" w:rsidRPr="00C64788" w14:paraId="1AE52EA1" w14:textId="77777777" w:rsidTr="00C972C2">
        <w:trPr>
          <w:trHeight w:hRule="exact" w:val="245"/>
        </w:trPr>
        <w:tc>
          <w:tcPr>
            <w:tcW w:w="4068" w:type="dxa"/>
          </w:tcPr>
          <w:p w14:paraId="11977851" w14:textId="295A8E9A" w:rsidR="00C972C2" w:rsidRPr="00C64788" w:rsidRDefault="00C972C2" w:rsidP="00333D64">
            <w:pPr>
              <w:widowControl w:val="0"/>
              <w:autoSpaceDE w:val="0"/>
              <w:autoSpaceDN w:val="0"/>
              <w:ind w:left="254"/>
              <w:rPr>
                <w:color w:val="auto"/>
                <w:sz w:val="20"/>
                <w:szCs w:val="22"/>
                <w:lang w:val="en-US" w:eastAsia="en-US"/>
              </w:rPr>
            </w:pPr>
            <w:r w:rsidRPr="00C64788">
              <w:rPr>
                <w:color w:val="auto"/>
                <w:sz w:val="20"/>
                <w:szCs w:val="22"/>
                <w:lang w:val="en-US" w:eastAsia="en-US"/>
              </w:rPr>
              <w:t>Gastroesophageal Reflux Disease</w:t>
            </w:r>
          </w:p>
        </w:tc>
        <w:tc>
          <w:tcPr>
            <w:tcW w:w="1680" w:type="dxa"/>
          </w:tcPr>
          <w:p w14:paraId="7AEF7AF6"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43 (4.5)</w:t>
            </w:r>
          </w:p>
        </w:tc>
        <w:tc>
          <w:tcPr>
            <w:tcW w:w="1560" w:type="dxa"/>
          </w:tcPr>
          <w:p w14:paraId="504D30C5"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16 (3.3)</w:t>
            </w:r>
          </w:p>
        </w:tc>
        <w:tc>
          <w:tcPr>
            <w:tcW w:w="1548" w:type="dxa"/>
          </w:tcPr>
          <w:p w14:paraId="3C54C3B8" w14:textId="77777777" w:rsidR="00C972C2" w:rsidRPr="00C64788" w:rsidRDefault="00C972C2" w:rsidP="00C972C2">
            <w:pPr>
              <w:widowControl w:val="0"/>
              <w:autoSpaceDE w:val="0"/>
              <w:autoSpaceDN w:val="0"/>
              <w:ind w:left="448"/>
              <w:rPr>
                <w:color w:val="auto"/>
                <w:sz w:val="20"/>
                <w:szCs w:val="22"/>
                <w:lang w:val="en-US" w:eastAsia="en-US"/>
              </w:rPr>
            </w:pPr>
            <w:r w:rsidRPr="00C64788">
              <w:rPr>
                <w:color w:val="auto"/>
                <w:sz w:val="20"/>
                <w:szCs w:val="22"/>
                <w:lang w:val="en-US" w:eastAsia="en-US"/>
              </w:rPr>
              <w:t>59 (4.1)</w:t>
            </w:r>
          </w:p>
        </w:tc>
      </w:tr>
      <w:tr w:rsidR="00C972C2" w:rsidRPr="00C64788" w14:paraId="1902B14F" w14:textId="77777777" w:rsidTr="00C972C2">
        <w:trPr>
          <w:trHeight w:hRule="exact" w:val="245"/>
        </w:trPr>
        <w:tc>
          <w:tcPr>
            <w:tcW w:w="4068" w:type="dxa"/>
          </w:tcPr>
          <w:p w14:paraId="653AA696"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Nausea</w:t>
            </w:r>
          </w:p>
        </w:tc>
        <w:tc>
          <w:tcPr>
            <w:tcW w:w="1680" w:type="dxa"/>
          </w:tcPr>
          <w:p w14:paraId="1615A901"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98 (10.2)</w:t>
            </w:r>
          </w:p>
        </w:tc>
        <w:tc>
          <w:tcPr>
            <w:tcW w:w="1560" w:type="dxa"/>
          </w:tcPr>
          <w:p w14:paraId="58013D0A"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57 (11.8)</w:t>
            </w:r>
          </w:p>
        </w:tc>
        <w:tc>
          <w:tcPr>
            <w:tcW w:w="1548" w:type="dxa"/>
          </w:tcPr>
          <w:p w14:paraId="428F92E2" w14:textId="77777777" w:rsidR="00C972C2" w:rsidRPr="00C64788" w:rsidRDefault="00C972C2" w:rsidP="00C972C2">
            <w:pPr>
              <w:widowControl w:val="0"/>
              <w:autoSpaceDE w:val="0"/>
              <w:autoSpaceDN w:val="0"/>
              <w:ind w:left="348"/>
              <w:rPr>
                <w:color w:val="auto"/>
                <w:sz w:val="20"/>
                <w:szCs w:val="22"/>
                <w:lang w:val="en-US" w:eastAsia="en-US"/>
              </w:rPr>
            </w:pPr>
            <w:r w:rsidRPr="00C64788">
              <w:rPr>
                <w:color w:val="auto"/>
                <w:sz w:val="20"/>
                <w:szCs w:val="22"/>
                <w:lang w:val="en-US" w:eastAsia="en-US"/>
              </w:rPr>
              <w:t>155 (10.7)</w:t>
            </w:r>
          </w:p>
        </w:tc>
      </w:tr>
      <w:tr w:rsidR="00C972C2" w:rsidRPr="00C64788" w14:paraId="457677E3" w14:textId="77777777" w:rsidTr="00C972C2">
        <w:trPr>
          <w:trHeight w:hRule="exact" w:val="245"/>
        </w:trPr>
        <w:tc>
          <w:tcPr>
            <w:tcW w:w="4068" w:type="dxa"/>
          </w:tcPr>
          <w:p w14:paraId="1758E8F0"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Toothache</w:t>
            </w:r>
          </w:p>
        </w:tc>
        <w:tc>
          <w:tcPr>
            <w:tcW w:w="1680" w:type="dxa"/>
          </w:tcPr>
          <w:p w14:paraId="48ECEC5E"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10 (1.0)</w:t>
            </w:r>
          </w:p>
        </w:tc>
        <w:tc>
          <w:tcPr>
            <w:tcW w:w="1560" w:type="dxa"/>
          </w:tcPr>
          <w:p w14:paraId="4434C04B"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12 (2.5)</w:t>
            </w:r>
          </w:p>
        </w:tc>
        <w:tc>
          <w:tcPr>
            <w:tcW w:w="1548" w:type="dxa"/>
          </w:tcPr>
          <w:p w14:paraId="36C1D789" w14:textId="77777777" w:rsidR="00C972C2" w:rsidRPr="00C64788" w:rsidRDefault="00C972C2" w:rsidP="00C972C2">
            <w:pPr>
              <w:widowControl w:val="0"/>
              <w:autoSpaceDE w:val="0"/>
              <w:autoSpaceDN w:val="0"/>
              <w:ind w:left="448"/>
              <w:rPr>
                <w:color w:val="auto"/>
                <w:sz w:val="20"/>
                <w:szCs w:val="22"/>
                <w:lang w:val="en-US" w:eastAsia="en-US"/>
              </w:rPr>
            </w:pPr>
            <w:r w:rsidRPr="00C64788">
              <w:rPr>
                <w:color w:val="auto"/>
                <w:sz w:val="20"/>
                <w:szCs w:val="22"/>
                <w:lang w:val="en-US" w:eastAsia="en-US"/>
              </w:rPr>
              <w:t>22 (1.5)</w:t>
            </w:r>
          </w:p>
        </w:tc>
      </w:tr>
      <w:tr w:rsidR="00C972C2" w:rsidRPr="00C64788" w14:paraId="08FA3E41" w14:textId="77777777" w:rsidTr="00C972C2">
        <w:trPr>
          <w:trHeight w:hRule="exact" w:val="245"/>
        </w:trPr>
        <w:tc>
          <w:tcPr>
            <w:tcW w:w="4068" w:type="dxa"/>
          </w:tcPr>
          <w:p w14:paraId="6CE2267D"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Umbilical Hernia</w:t>
            </w:r>
          </w:p>
        </w:tc>
        <w:tc>
          <w:tcPr>
            <w:tcW w:w="1680" w:type="dxa"/>
          </w:tcPr>
          <w:p w14:paraId="3AEB803F"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21 (2.2)</w:t>
            </w:r>
          </w:p>
        </w:tc>
        <w:tc>
          <w:tcPr>
            <w:tcW w:w="1560" w:type="dxa"/>
          </w:tcPr>
          <w:p w14:paraId="77A3CE05"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7 (1.4)</w:t>
            </w:r>
          </w:p>
        </w:tc>
        <w:tc>
          <w:tcPr>
            <w:tcW w:w="1548" w:type="dxa"/>
          </w:tcPr>
          <w:p w14:paraId="62238D8D" w14:textId="77777777" w:rsidR="00C972C2" w:rsidRPr="00C64788" w:rsidRDefault="00C972C2" w:rsidP="00C972C2">
            <w:pPr>
              <w:widowControl w:val="0"/>
              <w:autoSpaceDE w:val="0"/>
              <w:autoSpaceDN w:val="0"/>
              <w:ind w:left="448"/>
              <w:rPr>
                <w:color w:val="auto"/>
                <w:sz w:val="20"/>
                <w:szCs w:val="22"/>
                <w:lang w:val="en-US" w:eastAsia="en-US"/>
              </w:rPr>
            </w:pPr>
            <w:r w:rsidRPr="00C64788">
              <w:rPr>
                <w:color w:val="auto"/>
                <w:sz w:val="20"/>
                <w:szCs w:val="22"/>
                <w:lang w:val="en-US" w:eastAsia="en-US"/>
              </w:rPr>
              <w:t>28 (1.9)</w:t>
            </w:r>
          </w:p>
        </w:tc>
      </w:tr>
      <w:tr w:rsidR="00C972C2" w:rsidRPr="00C64788" w14:paraId="57DFEB64" w14:textId="77777777" w:rsidTr="00C972C2">
        <w:trPr>
          <w:trHeight w:hRule="exact" w:val="245"/>
        </w:trPr>
        <w:tc>
          <w:tcPr>
            <w:tcW w:w="4068" w:type="dxa"/>
          </w:tcPr>
          <w:p w14:paraId="033309E6"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Vomiting</w:t>
            </w:r>
          </w:p>
        </w:tc>
        <w:tc>
          <w:tcPr>
            <w:tcW w:w="1680" w:type="dxa"/>
          </w:tcPr>
          <w:p w14:paraId="580F7E91"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79 (8.2)</w:t>
            </w:r>
          </w:p>
        </w:tc>
        <w:tc>
          <w:tcPr>
            <w:tcW w:w="1560" w:type="dxa"/>
          </w:tcPr>
          <w:p w14:paraId="65775B7D"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40 (8.3)</w:t>
            </w:r>
          </w:p>
        </w:tc>
        <w:tc>
          <w:tcPr>
            <w:tcW w:w="1548" w:type="dxa"/>
          </w:tcPr>
          <w:p w14:paraId="2EFDC0F3" w14:textId="77777777" w:rsidR="00C972C2" w:rsidRPr="00C64788" w:rsidRDefault="00C972C2" w:rsidP="00C972C2">
            <w:pPr>
              <w:widowControl w:val="0"/>
              <w:autoSpaceDE w:val="0"/>
              <w:autoSpaceDN w:val="0"/>
              <w:ind w:left="398"/>
              <w:rPr>
                <w:color w:val="auto"/>
                <w:sz w:val="20"/>
                <w:szCs w:val="22"/>
                <w:lang w:val="en-US" w:eastAsia="en-US"/>
              </w:rPr>
            </w:pPr>
            <w:r w:rsidRPr="00C64788">
              <w:rPr>
                <w:color w:val="auto"/>
                <w:sz w:val="20"/>
                <w:szCs w:val="22"/>
                <w:lang w:val="en-US" w:eastAsia="en-US"/>
              </w:rPr>
              <w:t>119 (8.2)</w:t>
            </w:r>
          </w:p>
        </w:tc>
      </w:tr>
      <w:tr w:rsidR="00C972C2" w:rsidRPr="00C64788" w14:paraId="395F6E83" w14:textId="77777777" w:rsidTr="00C972C2">
        <w:trPr>
          <w:trHeight w:hRule="exact" w:val="245"/>
        </w:trPr>
        <w:tc>
          <w:tcPr>
            <w:tcW w:w="8856" w:type="dxa"/>
            <w:gridSpan w:val="4"/>
          </w:tcPr>
          <w:p w14:paraId="44562F3F" w14:textId="77777777" w:rsidR="00C972C2" w:rsidRPr="00C64788" w:rsidRDefault="00C972C2" w:rsidP="00C972C2">
            <w:pPr>
              <w:widowControl w:val="0"/>
              <w:autoSpaceDE w:val="0"/>
              <w:autoSpaceDN w:val="0"/>
              <w:ind w:left="103"/>
              <w:rPr>
                <w:color w:val="auto"/>
                <w:sz w:val="20"/>
                <w:szCs w:val="22"/>
                <w:lang w:val="en-US" w:eastAsia="en-US"/>
              </w:rPr>
            </w:pPr>
            <w:r w:rsidRPr="00C64788">
              <w:rPr>
                <w:color w:val="auto"/>
                <w:sz w:val="20"/>
                <w:szCs w:val="22"/>
                <w:lang w:val="en-US" w:eastAsia="en-US"/>
              </w:rPr>
              <w:t>General disorders and administration site conditions</w:t>
            </w:r>
          </w:p>
        </w:tc>
      </w:tr>
      <w:tr w:rsidR="00C972C2" w:rsidRPr="00C64788" w14:paraId="4B60DD3E" w14:textId="77777777" w:rsidTr="00C972C2">
        <w:trPr>
          <w:trHeight w:hRule="exact" w:val="245"/>
        </w:trPr>
        <w:tc>
          <w:tcPr>
            <w:tcW w:w="4068" w:type="dxa"/>
          </w:tcPr>
          <w:p w14:paraId="1D1F5D47"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Asthenia</w:t>
            </w:r>
          </w:p>
        </w:tc>
        <w:tc>
          <w:tcPr>
            <w:tcW w:w="1680" w:type="dxa"/>
          </w:tcPr>
          <w:p w14:paraId="574A1D6C"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57 (5.9)</w:t>
            </w:r>
          </w:p>
        </w:tc>
        <w:tc>
          <w:tcPr>
            <w:tcW w:w="1560" w:type="dxa"/>
          </w:tcPr>
          <w:p w14:paraId="51578DA7"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27 (5.6)</w:t>
            </w:r>
          </w:p>
        </w:tc>
        <w:tc>
          <w:tcPr>
            <w:tcW w:w="1548" w:type="dxa"/>
          </w:tcPr>
          <w:p w14:paraId="26E21C35" w14:textId="77777777" w:rsidR="00C972C2" w:rsidRPr="00C64788" w:rsidRDefault="00C972C2" w:rsidP="00C972C2">
            <w:pPr>
              <w:widowControl w:val="0"/>
              <w:autoSpaceDE w:val="0"/>
              <w:autoSpaceDN w:val="0"/>
              <w:ind w:left="448"/>
              <w:rPr>
                <w:color w:val="auto"/>
                <w:sz w:val="20"/>
                <w:szCs w:val="22"/>
                <w:lang w:val="en-US" w:eastAsia="en-US"/>
              </w:rPr>
            </w:pPr>
            <w:r w:rsidRPr="00C64788">
              <w:rPr>
                <w:color w:val="auto"/>
                <w:sz w:val="20"/>
                <w:szCs w:val="22"/>
                <w:lang w:val="en-US" w:eastAsia="en-US"/>
              </w:rPr>
              <w:t>84 (5.8)</w:t>
            </w:r>
          </w:p>
        </w:tc>
      </w:tr>
      <w:tr w:rsidR="00C972C2" w:rsidRPr="00C64788" w14:paraId="54162B80" w14:textId="77777777" w:rsidTr="00C972C2">
        <w:trPr>
          <w:trHeight w:hRule="exact" w:val="245"/>
        </w:trPr>
        <w:tc>
          <w:tcPr>
            <w:tcW w:w="4068" w:type="dxa"/>
          </w:tcPr>
          <w:p w14:paraId="5E147202"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Chest Pain</w:t>
            </w:r>
          </w:p>
        </w:tc>
        <w:tc>
          <w:tcPr>
            <w:tcW w:w="1680" w:type="dxa"/>
          </w:tcPr>
          <w:p w14:paraId="51669270"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42 (4.4)</w:t>
            </w:r>
          </w:p>
        </w:tc>
        <w:tc>
          <w:tcPr>
            <w:tcW w:w="1560" w:type="dxa"/>
          </w:tcPr>
          <w:p w14:paraId="670CB91D"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12 (2.5)</w:t>
            </w:r>
          </w:p>
        </w:tc>
        <w:tc>
          <w:tcPr>
            <w:tcW w:w="1548" w:type="dxa"/>
          </w:tcPr>
          <w:p w14:paraId="6E2672FC" w14:textId="77777777" w:rsidR="00C972C2" w:rsidRPr="00C64788" w:rsidRDefault="00C972C2" w:rsidP="00C972C2">
            <w:pPr>
              <w:widowControl w:val="0"/>
              <w:autoSpaceDE w:val="0"/>
              <w:autoSpaceDN w:val="0"/>
              <w:ind w:left="448"/>
              <w:rPr>
                <w:color w:val="auto"/>
                <w:sz w:val="20"/>
                <w:szCs w:val="22"/>
                <w:lang w:val="en-US" w:eastAsia="en-US"/>
              </w:rPr>
            </w:pPr>
            <w:r w:rsidRPr="00C64788">
              <w:rPr>
                <w:color w:val="auto"/>
                <w:sz w:val="20"/>
                <w:szCs w:val="22"/>
                <w:lang w:val="en-US" w:eastAsia="en-US"/>
              </w:rPr>
              <w:t>54 (3.7)</w:t>
            </w:r>
          </w:p>
        </w:tc>
      </w:tr>
      <w:tr w:rsidR="00C972C2" w:rsidRPr="00C64788" w14:paraId="62A24FEE" w14:textId="77777777" w:rsidTr="00C972C2">
        <w:trPr>
          <w:trHeight w:hRule="exact" w:val="245"/>
        </w:trPr>
        <w:tc>
          <w:tcPr>
            <w:tcW w:w="4068" w:type="dxa"/>
          </w:tcPr>
          <w:p w14:paraId="718FB460"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Fatigue</w:t>
            </w:r>
          </w:p>
        </w:tc>
        <w:tc>
          <w:tcPr>
            <w:tcW w:w="1680" w:type="dxa"/>
          </w:tcPr>
          <w:p w14:paraId="3107AFC7"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131 (13.6)</w:t>
            </w:r>
          </w:p>
        </w:tc>
        <w:tc>
          <w:tcPr>
            <w:tcW w:w="1560" w:type="dxa"/>
          </w:tcPr>
          <w:p w14:paraId="0EEF2429"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47 (9.7)</w:t>
            </w:r>
          </w:p>
        </w:tc>
        <w:tc>
          <w:tcPr>
            <w:tcW w:w="1548" w:type="dxa"/>
          </w:tcPr>
          <w:p w14:paraId="074AFB96" w14:textId="77777777" w:rsidR="00C972C2" w:rsidRPr="00C64788" w:rsidRDefault="00C972C2" w:rsidP="00C972C2">
            <w:pPr>
              <w:widowControl w:val="0"/>
              <w:autoSpaceDE w:val="0"/>
              <w:autoSpaceDN w:val="0"/>
              <w:ind w:left="348"/>
              <w:rPr>
                <w:color w:val="auto"/>
                <w:sz w:val="20"/>
                <w:szCs w:val="22"/>
                <w:lang w:val="en-US" w:eastAsia="en-US"/>
              </w:rPr>
            </w:pPr>
            <w:r w:rsidRPr="00C64788">
              <w:rPr>
                <w:color w:val="auto"/>
                <w:sz w:val="20"/>
                <w:szCs w:val="22"/>
                <w:lang w:val="en-US" w:eastAsia="en-US"/>
              </w:rPr>
              <w:t>178 (12.3)</w:t>
            </w:r>
          </w:p>
        </w:tc>
      </w:tr>
      <w:tr w:rsidR="00C972C2" w:rsidRPr="00C64788" w14:paraId="5D00ACE0" w14:textId="77777777" w:rsidTr="00C972C2">
        <w:trPr>
          <w:trHeight w:hRule="exact" w:val="245"/>
        </w:trPr>
        <w:tc>
          <w:tcPr>
            <w:tcW w:w="4068" w:type="dxa"/>
          </w:tcPr>
          <w:p w14:paraId="07E13E46"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Malaise</w:t>
            </w:r>
          </w:p>
        </w:tc>
        <w:tc>
          <w:tcPr>
            <w:tcW w:w="1680" w:type="dxa"/>
          </w:tcPr>
          <w:p w14:paraId="671EAA9D"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24 (2.5)</w:t>
            </w:r>
          </w:p>
        </w:tc>
        <w:tc>
          <w:tcPr>
            <w:tcW w:w="1560" w:type="dxa"/>
          </w:tcPr>
          <w:p w14:paraId="1E84492A"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10 (2.1)</w:t>
            </w:r>
          </w:p>
        </w:tc>
        <w:tc>
          <w:tcPr>
            <w:tcW w:w="1548" w:type="dxa"/>
          </w:tcPr>
          <w:p w14:paraId="53F79AF6" w14:textId="77777777" w:rsidR="00C972C2" w:rsidRPr="00C64788" w:rsidRDefault="00C972C2" w:rsidP="00C972C2">
            <w:pPr>
              <w:widowControl w:val="0"/>
              <w:autoSpaceDE w:val="0"/>
              <w:autoSpaceDN w:val="0"/>
              <w:ind w:left="448"/>
              <w:rPr>
                <w:color w:val="auto"/>
                <w:sz w:val="20"/>
                <w:szCs w:val="22"/>
                <w:lang w:val="en-US" w:eastAsia="en-US"/>
              </w:rPr>
            </w:pPr>
            <w:r w:rsidRPr="00C64788">
              <w:rPr>
                <w:color w:val="auto"/>
                <w:sz w:val="20"/>
                <w:szCs w:val="22"/>
                <w:lang w:val="en-US" w:eastAsia="en-US"/>
              </w:rPr>
              <w:t>34 (2.4)</w:t>
            </w:r>
          </w:p>
        </w:tc>
      </w:tr>
      <w:tr w:rsidR="00C972C2" w:rsidRPr="00C64788" w14:paraId="22612945" w14:textId="77777777" w:rsidTr="00C972C2">
        <w:trPr>
          <w:trHeight w:hRule="exact" w:val="240"/>
        </w:trPr>
        <w:tc>
          <w:tcPr>
            <w:tcW w:w="4068" w:type="dxa"/>
            <w:tcBorders>
              <w:bottom w:val="nil"/>
            </w:tcBorders>
          </w:tcPr>
          <w:p w14:paraId="7DF50196" w14:textId="77777777" w:rsidR="00C972C2" w:rsidRPr="00C64788" w:rsidRDefault="00C972C2" w:rsidP="00C972C2">
            <w:pPr>
              <w:widowControl w:val="0"/>
              <w:autoSpaceDE w:val="0"/>
              <w:autoSpaceDN w:val="0"/>
              <w:ind w:left="254"/>
              <w:rPr>
                <w:color w:val="auto"/>
                <w:sz w:val="20"/>
                <w:szCs w:val="22"/>
                <w:lang w:val="en-US" w:eastAsia="en-US"/>
              </w:rPr>
            </w:pPr>
            <w:proofErr w:type="spellStart"/>
            <w:r w:rsidRPr="00C64788">
              <w:rPr>
                <w:color w:val="auto"/>
                <w:sz w:val="20"/>
                <w:szCs w:val="22"/>
                <w:lang w:val="en-US" w:eastAsia="en-US"/>
              </w:rPr>
              <w:t>Oedema</w:t>
            </w:r>
            <w:proofErr w:type="spellEnd"/>
            <w:r w:rsidRPr="00C64788">
              <w:rPr>
                <w:color w:val="auto"/>
                <w:sz w:val="20"/>
                <w:szCs w:val="22"/>
                <w:lang w:val="en-US" w:eastAsia="en-US"/>
              </w:rPr>
              <w:t xml:space="preserve"> Peripheral</w:t>
            </w:r>
          </w:p>
        </w:tc>
        <w:tc>
          <w:tcPr>
            <w:tcW w:w="1680" w:type="dxa"/>
            <w:tcBorders>
              <w:bottom w:val="nil"/>
            </w:tcBorders>
          </w:tcPr>
          <w:p w14:paraId="3B4ACD21"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81 (8.4)</w:t>
            </w:r>
          </w:p>
        </w:tc>
        <w:tc>
          <w:tcPr>
            <w:tcW w:w="1560" w:type="dxa"/>
            <w:tcBorders>
              <w:bottom w:val="nil"/>
            </w:tcBorders>
          </w:tcPr>
          <w:p w14:paraId="3FAC4BB9"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46 (9.5)</w:t>
            </w:r>
          </w:p>
        </w:tc>
        <w:tc>
          <w:tcPr>
            <w:tcW w:w="1548" w:type="dxa"/>
            <w:tcBorders>
              <w:bottom w:val="nil"/>
            </w:tcBorders>
          </w:tcPr>
          <w:p w14:paraId="4FE1BECA" w14:textId="77777777" w:rsidR="00C972C2" w:rsidRPr="00C64788" w:rsidRDefault="00C972C2" w:rsidP="00C972C2">
            <w:pPr>
              <w:widowControl w:val="0"/>
              <w:autoSpaceDE w:val="0"/>
              <w:autoSpaceDN w:val="0"/>
              <w:ind w:left="398"/>
              <w:rPr>
                <w:color w:val="auto"/>
                <w:sz w:val="20"/>
                <w:szCs w:val="22"/>
                <w:lang w:val="en-US" w:eastAsia="en-US"/>
              </w:rPr>
            </w:pPr>
            <w:r w:rsidRPr="00C64788">
              <w:rPr>
                <w:color w:val="auto"/>
                <w:sz w:val="20"/>
                <w:szCs w:val="22"/>
                <w:lang w:val="en-US" w:eastAsia="en-US"/>
              </w:rPr>
              <w:t>127 (8.8)</w:t>
            </w:r>
          </w:p>
        </w:tc>
      </w:tr>
      <w:tr w:rsidR="00C972C2" w:rsidRPr="00C64788" w14:paraId="13F163CD" w14:textId="77777777" w:rsidTr="00C972C2">
        <w:trPr>
          <w:trHeight w:hRule="exact" w:val="245"/>
        </w:trPr>
        <w:tc>
          <w:tcPr>
            <w:tcW w:w="4068" w:type="dxa"/>
          </w:tcPr>
          <w:p w14:paraId="04790666"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Pyrexia</w:t>
            </w:r>
          </w:p>
        </w:tc>
        <w:tc>
          <w:tcPr>
            <w:tcW w:w="1680" w:type="dxa"/>
          </w:tcPr>
          <w:p w14:paraId="31F731BA"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45 (4.7)</w:t>
            </w:r>
          </w:p>
        </w:tc>
        <w:tc>
          <w:tcPr>
            <w:tcW w:w="1560" w:type="dxa"/>
          </w:tcPr>
          <w:p w14:paraId="733B68A9"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42 (8.7)</w:t>
            </w:r>
          </w:p>
        </w:tc>
        <w:tc>
          <w:tcPr>
            <w:tcW w:w="1548" w:type="dxa"/>
          </w:tcPr>
          <w:p w14:paraId="492B0F29"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87 (6.0)</w:t>
            </w:r>
          </w:p>
        </w:tc>
      </w:tr>
      <w:tr w:rsidR="00C972C2" w:rsidRPr="00C64788" w14:paraId="12E3B375" w14:textId="77777777" w:rsidTr="00C972C2">
        <w:trPr>
          <w:trHeight w:hRule="exact" w:val="242"/>
        </w:trPr>
        <w:tc>
          <w:tcPr>
            <w:tcW w:w="4068" w:type="dxa"/>
          </w:tcPr>
          <w:p w14:paraId="2E8E6306" w14:textId="77777777" w:rsidR="00C972C2" w:rsidRPr="00C64788" w:rsidRDefault="00C972C2" w:rsidP="00C972C2">
            <w:pPr>
              <w:widowControl w:val="0"/>
              <w:autoSpaceDE w:val="0"/>
              <w:autoSpaceDN w:val="0"/>
              <w:spacing w:before="3"/>
              <w:ind w:left="254"/>
              <w:rPr>
                <w:b/>
                <w:color w:val="auto"/>
                <w:sz w:val="20"/>
                <w:szCs w:val="22"/>
                <w:lang w:val="en-US" w:eastAsia="en-US"/>
              </w:rPr>
            </w:pPr>
            <w:r w:rsidRPr="00C64788">
              <w:rPr>
                <w:b/>
                <w:color w:val="auto"/>
                <w:sz w:val="20"/>
                <w:szCs w:val="22"/>
                <w:lang w:val="en-US" w:eastAsia="en-US"/>
              </w:rPr>
              <w:t>Thirst</w:t>
            </w:r>
          </w:p>
        </w:tc>
        <w:tc>
          <w:tcPr>
            <w:tcW w:w="1680" w:type="dxa"/>
          </w:tcPr>
          <w:p w14:paraId="2779B5D2" w14:textId="77777777" w:rsidR="00C972C2" w:rsidRPr="00C64788" w:rsidRDefault="00C972C2" w:rsidP="00C972C2">
            <w:pPr>
              <w:widowControl w:val="0"/>
              <w:autoSpaceDE w:val="0"/>
              <w:autoSpaceDN w:val="0"/>
              <w:spacing w:before="3"/>
              <w:ind w:left="397" w:right="397"/>
              <w:jc w:val="center"/>
              <w:rPr>
                <w:b/>
                <w:color w:val="auto"/>
                <w:sz w:val="20"/>
                <w:szCs w:val="22"/>
                <w:lang w:val="en-US" w:eastAsia="en-US"/>
              </w:rPr>
            </w:pPr>
            <w:r w:rsidRPr="00C64788">
              <w:rPr>
                <w:b/>
                <w:color w:val="auto"/>
                <w:sz w:val="20"/>
                <w:szCs w:val="22"/>
                <w:lang w:val="en-US" w:eastAsia="en-US"/>
              </w:rPr>
              <w:t>531 (55.3)</w:t>
            </w:r>
          </w:p>
        </w:tc>
        <w:tc>
          <w:tcPr>
            <w:tcW w:w="1560" w:type="dxa"/>
          </w:tcPr>
          <w:p w14:paraId="03410E90" w14:textId="77777777" w:rsidR="00C972C2" w:rsidRPr="00C64788" w:rsidRDefault="00C972C2" w:rsidP="00C972C2">
            <w:pPr>
              <w:widowControl w:val="0"/>
              <w:autoSpaceDE w:val="0"/>
              <w:autoSpaceDN w:val="0"/>
              <w:spacing w:before="3"/>
              <w:ind w:left="338" w:right="338"/>
              <w:jc w:val="center"/>
              <w:rPr>
                <w:b/>
                <w:color w:val="auto"/>
                <w:sz w:val="20"/>
                <w:szCs w:val="22"/>
                <w:lang w:val="en-US" w:eastAsia="en-US"/>
              </w:rPr>
            </w:pPr>
            <w:r w:rsidRPr="00C64788">
              <w:rPr>
                <w:b/>
                <w:color w:val="auto"/>
                <w:sz w:val="20"/>
                <w:szCs w:val="22"/>
                <w:lang w:val="en-US" w:eastAsia="en-US"/>
              </w:rPr>
              <w:t>99 (20.5)</w:t>
            </w:r>
          </w:p>
        </w:tc>
        <w:tc>
          <w:tcPr>
            <w:tcW w:w="1548" w:type="dxa"/>
          </w:tcPr>
          <w:p w14:paraId="71D8528C" w14:textId="77777777" w:rsidR="00C972C2" w:rsidRPr="00C64788" w:rsidRDefault="00C972C2" w:rsidP="00C972C2">
            <w:pPr>
              <w:widowControl w:val="0"/>
              <w:autoSpaceDE w:val="0"/>
              <w:autoSpaceDN w:val="0"/>
              <w:spacing w:before="3"/>
              <w:ind w:right="348"/>
              <w:jc w:val="right"/>
              <w:rPr>
                <w:b/>
                <w:color w:val="auto"/>
                <w:sz w:val="20"/>
                <w:szCs w:val="22"/>
                <w:lang w:val="en-US" w:eastAsia="en-US"/>
              </w:rPr>
            </w:pPr>
            <w:r w:rsidRPr="00C64788">
              <w:rPr>
                <w:b/>
                <w:color w:val="auto"/>
                <w:sz w:val="20"/>
                <w:szCs w:val="22"/>
                <w:lang w:val="en-US" w:eastAsia="en-US"/>
              </w:rPr>
              <w:t>630 (43.6)</w:t>
            </w:r>
          </w:p>
        </w:tc>
      </w:tr>
      <w:tr w:rsidR="00C972C2" w:rsidRPr="00C64788" w14:paraId="72E93A4C" w14:textId="77777777" w:rsidTr="00C972C2">
        <w:trPr>
          <w:trHeight w:hRule="exact" w:val="245"/>
        </w:trPr>
        <w:tc>
          <w:tcPr>
            <w:tcW w:w="8856" w:type="dxa"/>
            <w:gridSpan w:val="4"/>
          </w:tcPr>
          <w:p w14:paraId="44685DF4" w14:textId="77777777" w:rsidR="00C972C2" w:rsidRPr="00C64788" w:rsidRDefault="00C972C2" w:rsidP="00C972C2">
            <w:pPr>
              <w:widowControl w:val="0"/>
              <w:autoSpaceDE w:val="0"/>
              <w:autoSpaceDN w:val="0"/>
              <w:ind w:left="103"/>
              <w:rPr>
                <w:color w:val="auto"/>
                <w:sz w:val="20"/>
                <w:szCs w:val="22"/>
                <w:lang w:val="en-US" w:eastAsia="en-US"/>
              </w:rPr>
            </w:pPr>
            <w:r w:rsidRPr="00C64788">
              <w:rPr>
                <w:color w:val="auto"/>
                <w:sz w:val="20"/>
                <w:szCs w:val="22"/>
                <w:lang w:val="en-US" w:eastAsia="en-US"/>
              </w:rPr>
              <w:t>Hepatobiliary disorders</w:t>
            </w:r>
          </w:p>
        </w:tc>
      </w:tr>
      <w:tr w:rsidR="00C972C2" w:rsidRPr="00C64788" w14:paraId="67957474" w14:textId="77777777" w:rsidTr="00C972C2">
        <w:trPr>
          <w:trHeight w:hRule="exact" w:val="245"/>
        </w:trPr>
        <w:tc>
          <w:tcPr>
            <w:tcW w:w="4068" w:type="dxa"/>
          </w:tcPr>
          <w:p w14:paraId="786E5B95"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Hepatic Cyst</w:t>
            </w:r>
          </w:p>
        </w:tc>
        <w:tc>
          <w:tcPr>
            <w:tcW w:w="1680" w:type="dxa"/>
          </w:tcPr>
          <w:p w14:paraId="3CBC6B93"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13 (1.4)</w:t>
            </w:r>
          </w:p>
        </w:tc>
        <w:tc>
          <w:tcPr>
            <w:tcW w:w="1560" w:type="dxa"/>
          </w:tcPr>
          <w:p w14:paraId="2377B767"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10 (2.1)</w:t>
            </w:r>
          </w:p>
        </w:tc>
        <w:tc>
          <w:tcPr>
            <w:tcW w:w="1548" w:type="dxa"/>
          </w:tcPr>
          <w:p w14:paraId="42C3AB75"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23 (1.6)</w:t>
            </w:r>
          </w:p>
        </w:tc>
      </w:tr>
      <w:tr w:rsidR="00C972C2" w:rsidRPr="00C64788" w14:paraId="2C0DEDC6" w14:textId="77777777" w:rsidTr="00C972C2">
        <w:trPr>
          <w:trHeight w:hRule="exact" w:val="245"/>
        </w:trPr>
        <w:tc>
          <w:tcPr>
            <w:tcW w:w="8856" w:type="dxa"/>
            <w:gridSpan w:val="4"/>
          </w:tcPr>
          <w:p w14:paraId="6BA174E2" w14:textId="77777777" w:rsidR="00C972C2" w:rsidRPr="00C64788" w:rsidRDefault="00C972C2" w:rsidP="00C972C2">
            <w:pPr>
              <w:widowControl w:val="0"/>
              <w:autoSpaceDE w:val="0"/>
              <w:autoSpaceDN w:val="0"/>
              <w:ind w:left="103"/>
              <w:rPr>
                <w:color w:val="auto"/>
                <w:sz w:val="20"/>
                <w:szCs w:val="22"/>
                <w:lang w:val="en-US" w:eastAsia="en-US"/>
              </w:rPr>
            </w:pPr>
            <w:r w:rsidRPr="00C64788">
              <w:rPr>
                <w:color w:val="auto"/>
                <w:sz w:val="20"/>
                <w:szCs w:val="22"/>
                <w:lang w:val="en-US" w:eastAsia="en-US"/>
              </w:rPr>
              <w:t>Immune system disorders</w:t>
            </w:r>
          </w:p>
        </w:tc>
      </w:tr>
      <w:tr w:rsidR="00C972C2" w:rsidRPr="00C64788" w14:paraId="58397A17" w14:textId="77777777" w:rsidTr="00C972C2">
        <w:trPr>
          <w:trHeight w:hRule="exact" w:val="245"/>
        </w:trPr>
        <w:tc>
          <w:tcPr>
            <w:tcW w:w="4068" w:type="dxa"/>
          </w:tcPr>
          <w:p w14:paraId="2D679F85"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Seasonal Allergy</w:t>
            </w:r>
          </w:p>
        </w:tc>
        <w:tc>
          <w:tcPr>
            <w:tcW w:w="1680" w:type="dxa"/>
          </w:tcPr>
          <w:p w14:paraId="7B5F7BF1"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26 (2.7)</w:t>
            </w:r>
          </w:p>
        </w:tc>
        <w:tc>
          <w:tcPr>
            <w:tcW w:w="1560" w:type="dxa"/>
          </w:tcPr>
          <w:p w14:paraId="1922C975"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10 (2.1)</w:t>
            </w:r>
          </w:p>
        </w:tc>
        <w:tc>
          <w:tcPr>
            <w:tcW w:w="1548" w:type="dxa"/>
          </w:tcPr>
          <w:p w14:paraId="66975F8C"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36 (2.5)</w:t>
            </w:r>
          </w:p>
        </w:tc>
      </w:tr>
      <w:tr w:rsidR="00C972C2" w:rsidRPr="00C64788" w14:paraId="16666B3C" w14:textId="77777777" w:rsidTr="00C972C2">
        <w:trPr>
          <w:trHeight w:hRule="exact" w:val="245"/>
        </w:trPr>
        <w:tc>
          <w:tcPr>
            <w:tcW w:w="8856" w:type="dxa"/>
            <w:gridSpan w:val="4"/>
          </w:tcPr>
          <w:p w14:paraId="300DA457" w14:textId="77777777" w:rsidR="00C972C2" w:rsidRPr="00C64788" w:rsidRDefault="00C972C2" w:rsidP="00C972C2">
            <w:pPr>
              <w:widowControl w:val="0"/>
              <w:autoSpaceDE w:val="0"/>
              <w:autoSpaceDN w:val="0"/>
              <w:ind w:left="103"/>
              <w:rPr>
                <w:color w:val="auto"/>
                <w:sz w:val="20"/>
                <w:szCs w:val="22"/>
                <w:lang w:val="en-US" w:eastAsia="en-US"/>
              </w:rPr>
            </w:pPr>
            <w:r w:rsidRPr="00C64788">
              <w:rPr>
                <w:color w:val="auto"/>
                <w:sz w:val="20"/>
                <w:szCs w:val="22"/>
                <w:lang w:val="en-US" w:eastAsia="en-US"/>
              </w:rPr>
              <w:t>Infections and infestations</w:t>
            </w:r>
          </w:p>
        </w:tc>
      </w:tr>
      <w:tr w:rsidR="00C972C2" w:rsidRPr="00C64788" w14:paraId="3EDC7B93" w14:textId="77777777" w:rsidTr="00C972C2">
        <w:trPr>
          <w:trHeight w:hRule="exact" w:val="245"/>
        </w:trPr>
        <w:tc>
          <w:tcPr>
            <w:tcW w:w="4068" w:type="dxa"/>
          </w:tcPr>
          <w:p w14:paraId="722C972A"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Bronchitis</w:t>
            </w:r>
          </w:p>
        </w:tc>
        <w:tc>
          <w:tcPr>
            <w:tcW w:w="1680" w:type="dxa"/>
          </w:tcPr>
          <w:p w14:paraId="33B01334"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58 (6.0)</w:t>
            </w:r>
          </w:p>
        </w:tc>
        <w:tc>
          <w:tcPr>
            <w:tcW w:w="1560" w:type="dxa"/>
          </w:tcPr>
          <w:p w14:paraId="04DD8FEE"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33 (6.8)</w:t>
            </w:r>
          </w:p>
        </w:tc>
        <w:tc>
          <w:tcPr>
            <w:tcW w:w="1548" w:type="dxa"/>
          </w:tcPr>
          <w:p w14:paraId="42E74F5D"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91 (6.3)</w:t>
            </w:r>
          </w:p>
        </w:tc>
      </w:tr>
      <w:tr w:rsidR="00C972C2" w:rsidRPr="00C64788" w14:paraId="5A292C70" w14:textId="77777777" w:rsidTr="00C972C2">
        <w:trPr>
          <w:trHeight w:hRule="exact" w:val="245"/>
        </w:trPr>
        <w:tc>
          <w:tcPr>
            <w:tcW w:w="4068" w:type="dxa"/>
          </w:tcPr>
          <w:p w14:paraId="2B7D999C"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Cystitis</w:t>
            </w:r>
          </w:p>
        </w:tc>
        <w:tc>
          <w:tcPr>
            <w:tcW w:w="1680" w:type="dxa"/>
          </w:tcPr>
          <w:p w14:paraId="0C7ABC08"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11 (1.1)</w:t>
            </w:r>
          </w:p>
        </w:tc>
        <w:tc>
          <w:tcPr>
            <w:tcW w:w="1560" w:type="dxa"/>
          </w:tcPr>
          <w:p w14:paraId="5B8C47E3"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12 (2.5)</w:t>
            </w:r>
          </w:p>
        </w:tc>
        <w:tc>
          <w:tcPr>
            <w:tcW w:w="1548" w:type="dxa"/>
          </w:tcPr>
          <w:p w14:paraId="2FAEA628"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23 (1.6)</w:t>
            </w:r>
          </w:p>
        </w:tc>
      </w:tr>
      <w:tr w:rsidR="00C972C2" w:rsidRPr="00C64788" w14:paraId="061C3E29" w14:textId="77777777" w:rsidTr="00C972C2">
        <w:trPr>
          <w:trHeight w:hRule="exact" w:val="245"/>
        </w:trPr>
        <w:tc>
          <w:tcPr>
            <w:tcW w:w="4068" w:type="dxa"/>
          </w:tcPr>
          <w:p w14:paraId="789AB1B4"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Ear Infection</w:t>
            </w:r>
          </w:p>
        </w:tc>
        <w:tc>
          <w:tcPr>
            <w:tcW w:w="1680" w:type="dxa"/>
          </w:tcPr>
          <w:p w14:paraId="61A0519B"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22 (2.3)</w:t>
            </w:r>
          </w:p>
        </w:tc>
        <w:tc>
          <w:tcPr>
            <w:tcW w:w="1560" w:type="dxa"/>
          </w:tcPr>
          <w:p w14:paraId="5E679407"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7 (1.4)</w:t>
            </w:r>
          </w:p>
        </w:tc>
        <w:tc>
          <w:tcPr>
            <w:tcW w:w="1548" w:type="dxa"/>
          </w:tcPr>
          <w:p w14:paraId="46A6BFE3"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29 (2.0)</w:t>
            </w:r>
          </w:p>
        </w:tc>
      </w:tr>
      <w:tr w:rsidR="00C972C2" w:rsidRPr="00C64788" w14:paraId="15B6B839" w14:textId="77777777" w:rsidTr="00C972C2">
        <w:trPr>
          <w:trHeight w:hRule="exact" w:val="245"/>
        </w:trPr>
        <w:tc>
          <w:tcPr>
            <w:tcW w:w="4068" w:type="dxa"/>
          </w:tcPr>
          <w:p w14:paraId="04896472"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Gastroenteritis</w:t>
            </w:r>
          </w:p>
        </w:tc>
        <w:tc>
          <w:tcPr>
            <w:tcW w:w="1680" w:type="dxa"/>
          </w:tcPr>
          <w:p w14:paraId="25DF09B6"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54 (5.6)</w:t>
            </w:r>
          </w:p>
        </w:tc>
        <w:tc>
          <w:tcPr>
            <w:tcW w:w="1560" w:type="dxa"/>
          </w:tcPr>
          <w:p w14:paraId="7884499B"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21 (4.3)</w:t>
            </w:r>
          </w:p>
        </w:tc>
        <w:tc>
          <w:tcPr>
            <w:tcW w:w="1548" w:type="dxa"/>
          </w:tcPr>
          <w:p w14:paraId="0608ABE2"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75 (5.2)</w:t>
            </w:r>
          </w:p>
        </w:tc>
      </w:tr>
      <w:tr w:rsidR="00C972C2" w:rsidRPr="00C64788" w14:paraId="1280C67B" w14:textId="77777777" w:rsidTr="00C972C2">
        <w:trPr>
          <w:trHeight w:hRule="exact" w:val="245"/>
        </w:trPr>
        <w:tc>
          <w:tcPr>
            <w:tcW w:w="4068" w:type="dxa"/>
          </w:tcPr>
          <w:p w14:paraId="1DC62240"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Gastroenteritis Viral</w:t>
            </w:r>
          </w:p>
        </w:tc>
        <w:tc>
          <w:tcPr>
            <w:tcW w:w="1680" w:type="dxa"/>
          </w:tcPr>
          <w:p w14:paraId="551CA5EC"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20 (2.1)</w:t>
            </w:r>
          </w:p>
        </w:tc>
        <w:tc>
          <w:tcPr>
            <w:tcW w:w="1560" w:type="dxa"/>
          </w:tcPr>
          <w:p w14:paraId="4716432C"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6 (1.2)</w:t>
            </w:r>
          </w:p>
        </w:tc>
        <w:tc>
          <w:tcPr>
            <w:tcW w:w="1548" w:type="dxa"/>
          </w:tcPr>
          <w:p w14:paraId="3C1BD32A"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26 (1.8)</w:t>
            </w:r>
          </w:p>
        </w:tc>
      </w:tr>
      <w:tr w:rsidR="00C972C2" w:rsidRPr="00C64788" w14:paraId="4D107DF2" w14:textId="77777777" w:rsidTr="00C972C2">
        <w:trPr>
          <w:trHeight w:hRule="exact" w:val="245"/>
        </w:trPr>
        <w:tc>
          <w:tcPr>
            <w:tcW w:w="4068" w:type="dxa"/>
          </w:tcPr>
          <w:p w14:paraId="714B1673"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Influenza</w:t>
            </w:r>
          </w:p>
        </w:tc>
        <w:tc>
          <w:tcPr>
            <w:tcW w:w="1680" w:type="dxa"/>
          </w:tcPr>
          <w:p w14:paraId="68A93BB3"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75 (7.8)</w:t>
            </w:r>
          </w:p>
        </w:tc>
        <w:tc>
          <w:tcPr>
            <w:tcW w:w="1560" w:type="dxa"/>
          </w:tcPr>
          <w:p w14:paraId="3F644108"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38 (7.9)</w:t>
            </w:r>
          </w:p>
        </w:tc>
        <w:tc>
          <w:tcPr>
            <w:tcW w:w="1548" w:type="dxa"/>
          </w:tcPr>
          <w:p w14:paraId="041FA52E" w14:textId="77777777" w:rsidR="00C972C2" w:rsidRPr="00C64788" w:rsidRDefault="00C972C2" w:rsidP="00C972C2">
            <w:pPr>
              <w:widowControl w:val="0"/>
              <w:autoSpaceDE w:val="0"/>
              <w:autoSpaceDN w:val="0"/>
              <w:ind w:right="398"/>
              <w:jc w:val="right"/>
              <w:rPr>
                <w:color w:val="auto"/>
                <w:sz w:val="20"/>
                <w:szCs w:val="22"/>
                <w:lang w:val="en-US" w:eastAsia="en-US"/>
              </w:rPr>
            </w:pPr>
            <w:r w:rsidRPr="00C64788">
              <w:rPr>
                <w:color w:val="auto"/>
                <w:sz w:val="20"/>
                <w:szCs w:val="22"/>
                <w:lang w:val="en-US" w:eastAsia="en-US"/>
              </w:rPr>
              <w:t>113 (7.8)</w:t>
            </w:r>
          </w:p>
        </w:tc>
      </w:tr>
      <w:tr w:rsidR="00C972C2" w:rsidRPr="00C64788" w14:paraId="5D1F0279" w14:textId="77777777" w:rsidTr="00C972C2">
        <w:trPr>
          <w:trHeight w:hRule="exact" w:val="245"/>
        </w:trPr>
        <w:tc>
          <w:tcPr>
            <w:tcW w:w="4068" w:type="dxa"/>
          </w:tcPr>
          <w:p w14:paraId="0CBC9B83"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Nasopharyngitis</w:t>
            </w:r>
          </w:p>
        </w:tc>
        <w:tc>
          <w:tcPr>
            <w:tcW w:w="1680" w:type="dxa"/>
          </w:tcPr>
          <w:p w14:paraId="3AA6A7F6"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211 (22.0)</w:t>
            </w:r>
          </w:p>
        </w:tc>
        <w:tc>
          <w:tcPr>
            <w:tcW w:w="1560" w:type="dxa"/>
          </w:tcPr>
          <w:p w14:paraId="26866B20"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111 (23.0)</w:t>
            </w:r>
          </w:p>
        </w:tc>
        <w:tc>
          <w:tcPr>
            <w:tcW w:w="1548" w:type="dxa"/>
          </w:tcPr>
          <w:p w14:paraId="0DC86D8A" w14:textId="77777777" w:rsidR="00C972C2" w:rsidRPr="00C64788" w:rsidRDefault="00C972C2" w:rsidP="00C972C2">
            <w:pPr>
              <w:widowControl w:val="0"/>
              <w:autoSpaceDE w:val="0"/>
              <w:autoSpaceDN w:val="0"/>
              <w:ind w:right="349"/>
              <w:jc w:val="right"/>
              <w:rPr>
                <w:color w:val="auto"/>
                <w:sz w:val="20"/>
                <w:szCs w:val="22"/>
                <w:lang w:val="en-US" w:eastAsia="en-US"/>
              </w:rPr>
            </w:pPr>
            <w:r w:rsidRPr="00C64788">
              <w:rPr>
                <w:color w:val="auto"/>
                <w:sz w:val="20"/>
                <w:szCs w:val="22"/>
                <w:lang w:val="en-US" w:eastAsia="en-US"/>
              </w:rPr>
              <w:t>322 (22.3)</w:t>
            </w:r>
          </w:p>
        </w:tc>
      </w:tr>
      <w:tr w:rsidR="00C972C2" w:rsidRPr="00C64788" w14:paraId="770DF89A" w14:textId="77777777" w:rsidTr="00C972C2">
        <w:trPr>
          <w:trHeight w:hRule="exact" w:val="245"/>
        </w:trPr>
        <w:tc>
          <w:tcPr>
            <w:tcW w:w="4068" w:type="dxa"/>
          </w:tcPr>
          <w:p w14:paraId="09AED6C5"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Pharyngitis</w:t>
            </w:r>
          </w:p>
        </w:tc>
        <w:tc>
          <w:tcPr>
            <w:tcW w:w="1680" w:type="dxa"/>
          </w:tcPr>
          <w:p w14:paraId="1371EBE2"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16 (1.7)</w:t>
            </w:r>
          </w:p>
        </w:tc>
        <w:tc>
          <w:tcPr>
            <w:tcW w:w="1560" w:type="dxa"/>
          </w:tcPr>
          <w:p w14:paraId="1472E5F1"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16 (3.3)</w:t>
            </w:r>
          </w:p>
        </w:tc>
        <w:tc>
          <w:tcPr>
            <w:tcW w:w="1548" w:type="dxa"/>
          </w:tcPr>
          <w:p w14:paraId="16EC01CE"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32 (2.2)</w:t>
            </w:r>
          </w:p>
        </w:tc>
      </w:tr>
      <w:tr w:rsidR="00C972C2" w:rsidRPr="00C64788" w14:paraId="4FC8B4C3" w14:textId="77777777" w:rsidTr="00C972C2">
        <w:trPr>
          <w:trHeight w:hRule="exact" w:val="245"/>
        </w:trPr>
        <w:tc>
          <w:tcPr>
            <w:tcW w:w="4068" w:type="dxa"/>
          </w:tcPr>
          <w:p w14:paraId="6E0711B2"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Renal Cyst Infection</w:t>
            </w:r>
          </w:p>
        </w:tc>
        <w:tc>
          <w:tcPr>
            <w:tcW w:w="1680" w:type="dxa"/>
          </w:tcPr>
          <w:p w14:paraId="203ECD48"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9 (0.9)</w:t>
            </w:r>
          </w:p>
        </w:tc>
        <w:tc>
          <w:tcPr>
            <w:tcW w:w="1560" w:type="dxa"/>
          </w:tcPr>
          <w:p w14:paraId="24560120"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13 (2.7)</w:t>
            </w:r>
          </w:p>
        </w:tc>
        <w:tc>
          <w:tcPr>
            <w:tcW w:w="1548" w:type="dxa"/>
          </w:tcPr>
          <w:p w14:paraId="1275E46C"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22 (1.5)</w:t>
            </w:r>
          </w:p>
        </w:tc>
      </w:tr>
      <w:tr w:rsidR="00C972C2" w:rsidRPr="00C64788" w14:paraId="2BABF801" w14:textId="77777777" w:rsidTr="00C972C2">
        <w:trPr>
          <w:trHeight w:hRule="exact" w:val="245"/>
        </w:trPr>
        <w:tc>
          <w:tcPr>
            <w:tcW w:w="4068" w:type="dxa"/>
          </w:tcPr>
          <w:p w14:paraId="61CB7926"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Rhinitis</w:t>
            </w:r>
          </w:p>
        </w:tc>
        <w:tc>
          <w:tcPr>
            <w:tcW w:w="1680" w:type="dxa"/>
          </w:tcPr>
          <w:p w14:paraId="55F39E9D"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14 (1.5)</w:t>
            </w:r>
          </w:p>
        </w:tc>
        <w:tc>
          <w:tcPr>
            <w:tcW w:w="1560" w:type="dxa"/>
          </w:tcPr>
          <w:p w14:paraId="7E18D7E1"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11 (2.3)</w:t>
            </w:r>
          </w:p>
        </w:tc>
        <w:tc>
          <w:tcPr>
            <w:tcW w:w="1548" w:type="dxa"/>
          </w:tcPr>
          <w:p w14:paraId="1A1ED3B1"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25 (1.7)</w:t>
            </w:r>
          </w:p>
        </w:tc>
      </w:tr>
      <w:tr w:rsidR="00C972C2" w:rsidRPr="00C64788" w14:paraId="6CEAA01F" w14:textId="77777777" w:rsidTr="00C972C2">
        <w:trPr>
          <w:trHeight w:hRule="exact" w:val="245"/>
        </w:trPr>
        <w:tc>
          <w:tcPr>
            <w:tcW w:w="4068" w:type="dxa"/>
          </w:tcPr>
          <w:p w14:paraId="7F561BDF"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Sinusitis</w:t>
            </w:r>
          </w:p>
        </w:tc>
        <w:tc>
          <w:tcPr>
            <w:tcW w:w="1680" w:type="dxa"/>
          </w:tcPr>
          <w:p w14:paraId="25782E3A"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53 (5.5)</w:t>
            </w:r>
          </w:p>
        </w:tc>
        <w:tc>
          <w:tcPr>
            <w:tcW w:w="1560" w:type="dxa"/>
          </w:tcPr>
          <w:p w14:paraId="0E92366C"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23 (4.8)</w:t>
            </w:r>
          </w:p>
        </w:tc>
        <w:tc>
          <w:tcPr>
            <w:tcW w:w="1548" w:type="dxa"/>
          </w:tcPr>
          <w:p w14:paraId="1A3E8E6D"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76 (5.3)</w:t>
            </w:r>
          </w:p>
        </w:tc>
      </w:tr>
      <w:tr w:rsidR="00C972C2" w:rsidRPr="00C64788" w14:paraId="68EFFED2" w14:textId="77777777" w:rsidTr="00C972C2">
        <w:trPr>
          <w:trHeight w:hRule="exact" w:val="245"/>
        </w:trPr>
        <w:tc>
          <w:tcPr>
            <w:tcW w:w="4068" w:type="dxa"/>
          </w:tcPr>
          <w:p w14:paraId="000DABC5"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Upper Respiratory Tract Infection</w:t>
            </w:r>
          </w:p>
        </w:tc>
        <w:tc>
          <w:tcPr>
            <w:tcW w:w="1680" w:type="dxa"/>
          </w:tcPr>
          <w:p w14:paraId="27834443"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82 (8.5)</w:t>
            </w:r>
          </w:p>
        </w:tc>
        <w:tc>
          <w:tcPr>
            <w:tcW w:w="1560" w:type="dxa"/>
          </w:tcPr>
          <w:p w14:paraId="71DE91CF"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42 (8.7)</w:t>
            </w:r>
          </w:p>
        </w:tc>
        <w:tc>
          <w:tcPr>
            <w:tcW w:w="1548" w:type="dxa"/>
          </w:tcPr>
          <w:p w14:paraId="028CA704" w14:textId="77777777" w:rsidR="00C972C2" w:rsidRPr="00C64788" w:rsidRDefault="00C972C2" w:rsidP="00C972C2">
            <w:pPr>
              <w:widowControl w:val="0"/>
              <w:autoSpaceDE w:val="0"/>
              <w:autoSpaceDN w:val="0"/>
              <w:ind w:right="399"/>
              <w:jc w:val="right"/>
              <w:rPr>
                <w:color w:val="auto"/>
                <w:sz w:val="20"/>
                <w:szCs w:val="22"/>
                <w:lang w:val="en-US" w:eastAsia="en-US"/>
              </w:rPr>
            </w:pPr>
            <w:r w:rsidRPr="00C64788">
              <w:rPr>
                <w:color w:val="auto"/>
                <w:sz w:val="20"/>
                <w:szCs w:val="22"/>
                <w:lang w:val="en-US" w:eastAsia="en-US"/>
              </w:rPr>
              <w:t>124 (8.6)</w:t>
            </w:r>
          </w:p>
        </w:tc>
      </w:tr>
      <w:tr w:rsidR="00C972C2" w:rsidRPr="00C64788" w14:paraId="289F7DFC" w14:textId="77777777" w:rsidTr="00C972C2">
        <w:trPr>
          <w:trHeight w:hRule="exact" w:val="245"/>
        </w:trPr>
        <w:tc>
          <w:tcPr>
            <w:tcW w:w="4068" w:type="dxa"/>
          </w:tcPr>
          <w:p w14:paraId="5A0FAB3C"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Urinary Tract Infection</w:t>
            </w:r>
          </w:p>
        </w:tc>
        <w:tc>
          <w:tcPr>
            <w:tcW w:w="1680" w:type="dxa"/>
          </w:tcPr>
          <w:p w14:paraId="262911B0"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81 (8.4)</w:t>
            </w:r>
          </w:p>
        </w:tc>
        <w:tc>
          <w:tcPr>
            <w:tcW w:w="1560" w:type="dxa"/>
          </w:tcPr>
          <w:p w14:paraId="10984E34"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61 (12.6)</w:t>
            </w:r>
          </w:p>
        </w:tc>
        <w:tc>
          <w:tcPr>
            <w:tcW w:w="1548" w:type="dxa"/>
          </w:tcPr>
          <w:p w14:paraId="3DFCDC62" w14:textId="77777777" w:rsidR="00C972C2" w:rsidRPr="00C64788" w:rsidRDefault="00C972C2" w:rsidP="00C972C2">
            <w:pPr>
              <w:widowControl w:val="0"/>
              <w:autoSpaceDE w:val="0"/>
              <w:autoSpaceDN w:val="0"/>
              <w:ind w:right="398"/>
              <w:jc w:val="right"/>
              <w:rPr>
                <w:color w:val="auto"/>
                <w:sz w:val="20"/>
                <w:szCs w:val="22"/>
                <w:lang w:val="en-US" w:eastAsia="en-US"/>
              </w:rPr>
            </w:pPr>
            <w:r w:rsidRPr="00C64788">
              <w:rPr>
                <w:color w:val="auto"/>
                <w:sz w:val="20"/>
                <w:szCs w:val="22"/>
                <w:lang w:val="en-US" w:eastAsia="en-US"/>
              </w:rPr>
              <w:t>142 (9.8)</w:t>
            </w:r>
          </w:p>
        </w:tc>
      </w:tr>
      <w:tr w:rsidR="00C972C2" w:rsidRPr="00C64788" w14:paraId="549275F4" w14:textId="77777777" w:rsidTr="00C972C2">
        <w:trPr>
          <w:trHeight w:hRule="exact" w:val="245"/>
        </w:trPr>
        <w:tc>
          <w:tcPr>
            <w:tcW w:w="4068" w:type="dxa"/>
          </w:tcPr>
          <w:p w14:paraId="09B0F2FC"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Viral Infection</w:t>
            </w:r>
          </w:p>
        </w:tc>
        <w:tc>
          <w:tcPr>
            <w:tcW w:w="1680" w:type="dxa"/>
          </w:tcPr>
          <w:p w14:paraId="64665721"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21 (2.2)</w:t>
            </w:r>
          </w:p>
        </w:tc>
        <w:tc>
          <w:tcPr>
            <w:tcW w:w="1560" w:type="dxa"/>
          </w:tcPr>
          <w:p w14:paraId="452985EC"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13 (2.7)</w:t>
            </w:r>
          </w:p>
        </w:tc>
        <w:tc>
          <w:tcPr>
            <w:tcW w:w="1548" w:type="dxa"/>
          </w:tcPr>
          <w:p w14:paraId="65038F04"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34 (2.4)</w:t>
            </w:r>
          </w:p>
        </w:tc>
      </w:tr>
      <w:tr w:rsidR="00C972C2" w:rsidRPr="00C64788" w14:paraId="22BDAFE9" w14:textId="77777777" w:rsidTr="00C972C2">
        <w:trPr>
          <w:trHeight w:hRule="exact" w:val="245"/>
        </w:trPr>
        <w:tc>
          <w:tcPr>
            <w:tcW w:w="8856" w:type="dxa"/>
            <w:gridSpan w:val="4"/>
          </w:tcPr>
          <w:p w14:paraId="11C3E1E4" w14:textId="77777777" w:rsidR="00C972C2" w:rsidRPr="00C64788" w:rsidRDefault="00C972C2" w:rsidP="00C972C2">
            <w:pPr>
              <w:widowControl w:val="0"/>
              <w:autoSpaceDE w:val="0"/>
              <w:autoSpaceDN w:val="0"/>
              <w:ind w:left="103"/>
              <w:rPr>
                <w:color w:val="auto"/>
                <w:sz w:val="20"/>
                <w:szCs w:val="22"/>
                <w:lang w:val="en-US" w:eastAsia="en-US"/>
              </w:rPr>
            </w:pPr>
            <w:r w:rsidRPr="00C64788">
              <w:rPr>
                <w:color w:val="auto"/>
                <w:sz w:val="20"/>
                <w:szCs w:val="22"/>
                <w:lang w:val="en-US" w:eastAsia="en-US"/>
              </w:rPr>
              <w:t>Injury, poisoning and procedural complications</w:t>
            </w:r>
          </w:p>
        </w:tc>
      </w:tr>
      <w:tr w:rsidR="00C972C2" w:rsidRPr="00C64788" w14:paraId="67D2C35B" w14:textId="77777777" w:rsidTr="00C972C2">
        <w:trPr>
          <w:trHeight w:hRule="exact" w:val="245"/>
        </w:trPr>
        <w:tc>
          <w:tcPr>
            <w:tcW w:w="4068" w:type="dxa"/>
          </w:tcPr>
          <w:p w14:paraId="62124D71"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Ligament Sprain</w:t>
            </w:r>
          </w:p>
        </w:tc>
        <w:tc>
          <w:tcPr>
            <w:tcW w:w="1680" w:type="dxa"/>
          </w:tcPr>
          <w:p w14:paraId="7331D30C"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14 (1.5)</w:t>
            </w:r>
          </w:p>
        </w:tc>
        <w:tc>
          <w:tcPr>
            <w:tcW w:w="1560" w:type="dxa"/>
          </w:tcPr>
          <w:p w14:paraId="597A5BE2"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11 (2.3)</w:t>
            </w:r>
          </w:p>
        </w:tc>
        <w:tc>
          <w:tcPr>
            <w:tcW w:w="1548" w:type="dxa"/>
          </w:tcPr>
          <w:p w14:paraId="4623D5ED"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25 (1.7)</w:t>
            </w:r>
          </w:p>
        </w:tc>
      </w:tr>
      <w:tr w:rsidR="00C972C2" w:rsidRPr="00C64788" w14:paraId="008E0EDD" w14:textId="77777777" w:rsidTr="00C972C2">
        <w:trPr>
          <w:trHeight w:hRule="exact" w:val="245"/>
        </w:trPr>
        <w:tc>
          <w:tcPr>
            <w:tcW w:w="8856" w:type="dxa"/>
            <w:gridSpan w:val="4"/>
          </w:tcPr>
          <w:p w14:paraId="1B9D673B" w14:textId="77777777" w:rsidR="00C972C2" w:rsidRPr="00C64788" w:rsidRDefault="00C972C2" w:rsidP="00C972C2">
            <w:pPr>
              <w:widowControl w:val="0"/>
              <w:autoSpaceDE w:val="0"/>
              <w:autoSpaceDN w:val="0"/>
              <w:ind w:left="103"/>
              <w:rPr>
                <w:color w:val="auto"/>
                <w:sz w:val="20"/>
                <w:szCs w:val="22"/>
                <w:lang w:val="en-US" w:eastAsia="en-US"/>
              </w:rPr>
            </w:pPr>
            <w:r w:rsidRPr="00C64788">
              <w:rPr>
                <w:color w:val="auto"/>
                <w:sz w:val="20"/>
                <w:szCs w:val="22"/>
                <w:lang w:val="en-US" w:eastAsia="en-US"/>
              </w:rPr>
              <w:t>Investigations</w:t>
            </w:r>
          </w:p>
        </w:tc>
      </w:tr>
      <w:tr w:rsidR="00C972C2" w:rsidRPr="00C64788" w14:paraId="03D80AD5" w14:textId="77777777" w:rsidTr="00C972C2">
        <w:trPr>
          <w:trHeight w:hRule="exact" w:val="245"/>
        </w:trPr>
        <w:tc>
          <w:tcPr>
            <w:tcW w:w="4068" w:type="dxa"/>
          </w:tcPr>
          <w:p w14:paraId="64DCF240"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Alanine Aminotransferase Increased</w:t>
            </w:r>
          </w:p>
        </w:tc>
        <w:tc>
          <w:tcPr>
            <w:tcW w:w="1680" w:type="dxa"/>
          </w:tcPr>
          <w:p w14:paraId="0B466369"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39 (4.1)</w:t>
            </w:r>
          </w:p>
        </w:tc>
        <w:tc>
          <w:tcPr>
            <w:tcW w:w="1560" w:type="dxa"/>
          </w:tcPr>
          <w:p w14:paraId="26607023"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17 (3.5)</w:t>
            </w:r>
          </w:p>
        </w:tc>
        <w:tc>
          <w:tcPr>
            <w:tcW w:w="1548" w:type="dxa"/>
          </w:tcPr>
          <w:p w14:paraId="5CBAC302"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56 (3.9)</w:t>
            </w:r>
          </w:p>
        </w:tc>
      </w:tr>
      <w:tr w:rsidR="00C972C2" w:rsidRPr="00C64788" w14:paraId="42CA72AF" w14:textId="77777777" w:rsidTr="00C972C2">
        <w:trPr>
          <w:trHeight w:hRule="exact" w:val="245"/>
        </w:trPr>
        <w:tc>
          <w:tcPr>
            <w:tcW w:w="4068" w:type="dxa"/>
          </w:tcPr>
          <w:p w14:paraId="12243E76"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lastRenderedPageBreak/>
              <w:t>Aspartate Aminotransferase Increased</w:t>
            </w:r>
          </w:p>
        </w:tc>
        <w:tc>
          <w:tcPr>
            <w:tcW w:w="1680" w:type="dxa"/>
          </w:tcPr>
          <w:p w14:paraId="137CE75F"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36 (3.7)</w:t>
            </w:r>
          </w:p>
        </w:tc>
        <w:tc>
          <w:tcPr>
            <w:tcW w:w="1560" w:type="dxa"/>
          </w:tcPr>
          <w:p w14:paraId="39C4EB53"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16 (3.3)</w:t>
            </w:r>
          </w:p>
        </w:tc>
        <w:tc>
          <w:tcPr>
            <w:tcW w:w="1548" w:type="dxa"/>
          </w:tcPr>
          <w:p w14:paraId="52849163"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52 (3.6)</w:t>
            </w:r>
          </w:p>
        </w:tc>
      </w:tr>
      <w:tr w:rsidR="00C972C2" w:rsidRPr="00C64788" w14:paraId="33C9E24A" w14:textId="77777777" w:rsidTr="00C972C2">
        <w:trPr>
          <w:trHeight w:hRule="exact" w:val="245"/>
        </w:trPr>
        <w:tc>
          <w:tcPr>
            <w:tcW w:w="4068" w:type="dxa"/>
          </w:tcPr>
          <w:p w14:paraId="6B9E76BE"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Blood Creatinine Increased</w:t>
            </w:r>
          </w:p>
        </w:tc>
        <w:tc>
          <w:tcPr>
            <w:tcW w:w="1680" w:type="dxa"/>
          </w:tcPr>
          <w:p w14:paraId="393E48B1"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135 (14.0)</w:t>
            </w:r>
          </w:p>
        </w:tc>
        <w:tc>
          <w:tcPr>
            <w:tcW w:w="1560" w:type="dxa"/>
          </w:tcPr>
          <w:p w14:paraId="257776E9"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71 (14.7)</w:t>
            </w:r>
          </w:p>
        </w:tc>
        <w:tc>
          <w:tcPr>
            <w:tcW w:w="1548" w:type="dxa"/>
          </w:tcPr>
          <w:p w14:paraId="73197C7E" w14:textId="77777777" w:rsidR="00C972C2" w:rsidRPr="00C64788" w:rsidRDefault="00C972C2" w:rsidP="00C972C2">
            <w:pPr>
              <w:widowControl w:val="0"/>
              <w:autoSpaceDE w:val="0"/>
              <w:autoSpaceDN w:val="0"/>
              <w:ind w:right="348"/>
              <w:jc w:val="right"/>
              <w:rPr>
                <w:color w:val="auto"/>
                <w:sz w:val="20"/>
                <w:szCs w:val="22"/>
                <w:lang w:val="en-US" w:eastAsia="en-US"/>
              </w:rPr>
            </w:pPr>
            <w:r w:rsidRPr="00C64788">
              <w:rPr>
                <w:color w:val="auto"/>
                <w:sz w:val="20"/>
                <w:szCs w:val="22"/>
                <w:lang w:val="en-US" w:eastAsia="en-US"/>
              </w:rPr>
              <w:t>206 (14.3)</w:t>
            </w:r>
          </w:p>
        </w:tc>
      </w:tr>
      <w:tr w:rsidR="00C972C2" w:rsidRPr="00C64788" w14:paraId="3C4CEF6A" w14:textId="77777777" w:rsidTr="00C972C2">
        <w:trPr>
          <w:trHeight w:hRule="exact" w:val="245"/>
        </w:trPr>
        <w:tc>
          <w:tcPr>
            <w:tcW w:w="4068" w:type="dxa"/>
          </w:tcPr>
          <w:p w14:paraId="62FAF5BD"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Blood Urea Increased</w:t>
            </w:r>
          </w:p>
        </w:tc>
        <w:tc>
          <w:tcPr>
            <w:tcW w:w="1680" w:type="dxa"/>
          </w:tcPr>
          <w:p w14:paraId="50B25117"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10 (1.0)</w:t>
            </w:r>
          </w:p>
        </w:tc>
        <w:tc>
          <w:tcPr>
            <w:tcW w:w="1560" w:type="dxa"/>
          </w:tcPr>
          <w:p w14:paraId="63DDBBBD"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12 (2.5)</w:t>
            </w:r>
          </w:p>
        </w:tc>
        <w:tc>
          <w:tcPr>
            <w:tcW w:w="1548" w:type="dxa"/>
          </w:tcPr>
          <w:p w14:paraId="4C784070"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22 (1.5)</w:t>
            </w:r>
          </w:p>
        </w:tc>
      </w:tr>
      <w:tr w:rsidR="00C972C2" w:rsidRPr="00C64788" w14:paraId="78A22DC8" w14:textId="77777777" w:rsidTr="00C972C2">
        <w:trPr>
          <w:trHeight w:hRule="exact" w:val="242"/>
        </w:trPr>
        <w:tc>
          <w:tcPr>
            <w:tcW w:w="4068" w:type="dxa"/>
          </w:tcPr>
          <w:p w14:paraId="6E899078" w14:textId="77777777" w:rsidR="00C972C2" w:rsidRPr="00C64788" w:rsidRDefault="00C972C2" w:rsidP="00C972C2">
            <w:pPr>
              <w:widowControl w:val="0"/>
              <w:autoSpaceDE w:val="0"/>
              <w:autoSpaceDN w:val="0"/>
              <w:spacing w:before="3"/>
              <w:ind w:left="254"/>
              <w:rPr>
                <w:b/>
                <w:color w:val="auto"/>
                <w:sz w:val="20"/>
                <w:szCs w:val="22"/>
                <w:lang w:val="en-US" w:eastAsia="en-US"/>
              </w:rPr>
            </w:pPr>
            <w:r w:rsidRPr="00C64788">
              <w:rPr>
                <w:b/>
                <w:color w:val="auto"/>
                <w:sz w:val="20"/>
                <w:szCs w:val="22"/>
                <w:lang w:val="en-US" w:eastAsia="en-US"/>
              </w:rPr>
              <w:t>Blood Uric Acid Increased</w:t>
            </w:r>
          </w:p>
        </w:tc>
        <w:tc>
          <w:tcPr>
            <w:tcW w:w="1680" w:type="dxa"/>
          </w:tcPr>
          <w:p w14:paraId="2E783911" w14:textId="77777777" w:rsidR="00C972C2" w:rsidRPr="00C64788" w:rsidRDefault="00C972C2" w:rsidP="00C972C2">
            <w:pPr>
              <w:widowControl w:val="0"/>
              <w:autoSpaceDE w:val="0"/>
              <w:autoSpaceDN w:val="0"/>
              <w:spacing w:before="3"/>
              <w:ind w:left="397" w:right="397"/>
              <w:jc w:val="center"/>
              <w:rPr>
                <w:b/>
                <w:color w:val="auto"/>
                <w:sz w:val="20"/>
                <w:szCs w:val="22"/>
                <w:lang w:val="en-US" w:eastAsia="en-US"/>
              </w:rPr>
            </w:pPr>
            <w:r w:rsidRPr="00C64788">
              <w:rPr>
                <w:b/>
                <w:color w:val="auto"/>
                <w:sz w:val="20"/>
                <w:szCs w:val="22"/>
                <w:lang w:val="en-US" w:eastAsia="en-US"/>
              </w:rPr>
              <w:t>24 (2.5)</w:t>
            </w:r>
          </w:p>
        </w:tc>
        <w:tc>
          <w:tcPr>
            <w:tcW w:w="1560" w:type="dxa"/>
          </w:tcPr>
          <w:p w14:paraId="55320330" w14:textId="77777777" w:rsidR="00C972C2" w:rsidRPr="00C64788" w:rsidRDefault="00C972C2" w:rsidP="00C972C2">
            <w:pPr>
              <w:widowControl w:val="0"/>
              <w:autoSpaceDE w:val="0"/>
              <w:autoSpaceDN w:val="0"/>
              <w:spacing w:before="3"/>
              <w:ind w:left="338" w:right="338"/>
              <w:jc w:val="center"/>
              <w:rPr>
                <w:b/>
                <w:color w:val="auto"/>
                <w:sz w:val="20"/>
                <w:szCs w:val="22"/>
                <w:lang w:val="en-US" w:eastAsia="en-US"/>
              </w:rPr>
            </w:pPr>
            <w:r w:rsidRPr="00C64788">
              <w:rPr>
                <w:b/>
                <w:color w:val="auto"/>
                <w:sz w:val="20"/>
                <w:szCs w:val="22"/>
                <w:lang w:val="en-US" w:eastAsia="en-US"/>
              </w:rPr>
              <w:t>6 (1.2)</w:t>
            </w:r>
          </w:p>
        </w:tc>
        <w:tc>
          <w:tcPr>
            <w:tcW w:w="1548" w:type="dxa"/>
          </w:tcPr>
          <w:p w14:paraId="7AB1233F" w14:textId="77777777" w:rsidR="00C972C2" w:rsidRPr="00C64788" w:rsidRDefault="00C972C2" w:rsidP="00C972C2">
            <w:pPr>
              <w:widowControl w:val="0"/>
              <w:autoSpaceDE w:val="0"/>
              <w:autoSpaceDN w:val="0"/>
              <w:spacing w:before="3"/>
              <w:ind w:right="449"/>
              <w:jc w:val="right"/>
              <w:rPr>
                <w:b/>
                <w:color w:val="auto"/>
                <w:sz w:val="20"/>
                <w:szCs w:val="22"/>
                <w:lang w:val="en-US" w:eastAsia="en-US"/>
              </w:rPr>
            </w:pPr>
            <w:r w:rsidRPr="00C64788">
              <w:rPr>
                <w:b/>
                <w:color w:val="auto"/>
                <w:sz w:val="20"/>
                <w:szCs w:val="22"/>
                <w:lang w:val="en-US" w:eastAsia="en-US"/>
              </w:rPr>
              <w:t>30 (2.1)</w:t>
            </w:r>
          </w:p>
        </w:tc>
      </w:tr>
      <w:tr w:rsidR="00C972C2" w:rsidRPr="00C64788" w14:paraId="418EC6F9" w14:textId="77777777" w:rsidTr="00C972C2">
        <w:trPr>
          <w:trHeight w:hRule="exact" w:val="245"/>
        </w:trPr>
        <w:tc>
          <w:tcPr>
            <w:tcW w:w="4068" w:type="dxa"/>
          </w:tcPr>
          <w:p w14:paraId="00C34247"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Gamma-</w:t>
            </w:r>
            <w:proofErr w:type="spellStart"/>
            <w:r w:rsidRPr="00C64788">
              <w:rPr>
                <w:color w:val="auto"/>
                <w:sz w:val="20"/>
                <w:szCs w:val="22"/>
                <w:lang w:val="en-US" w:eastAsia="en-US"/>
              </w:rPr>
              <w:t>glutamyl</w:t>
            </w:r>
            <w:proofErr w:type="spellEnd"/>
            <w:r w:rsidRPr="00C64788">
              <w:rPr>
                <w:color w:val="auto"/>
                <w:sz w:val="20"/>
                <w:szCs w:val="22"/>
                <w:lang w:val="en-US" w:eastAsia="en-US"/>
              </w:rPr>
              <w:t xml:space="preserve"> Transferase Increased</w:t>
            </w:r>
          </w:p>
        </w:tc>
        <w:tc>
          <w:tcPr>
            <w:tcW w:w="1680" w:type="dxa"/>
          </w:tcPr>
          <w:p w14:paraId="5DD25191"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23 (2.4)</w:t>
            </w:r>
          </w:p>
        </w:tc>
        <w:tc>
          <w:tcPr>
            <w:tcW w:w="1560" w:type="dxa"/>
          </w:tcPr>
          <w:p w14:paraId="68901538"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11 (2.3)</w:t>
            </w:r>
          </w:p>
        </w:tc>
        <w:tc>
          <w:tcPr>
            <w:tcW w:w="1548" w:type="dxa"/>
          </w:tcPr>
          <w:p w14:paraId="7A8B0013"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34 (2.4)</w:t>
            </w:r>
          </w:p>
        </w:tc>
      </w:tr>
      <w:tr w:rsidR="00C972C2" w:rsidRPr="00C64788" w14:paraId="775A5F02" w14:textId="77777777" w:rsidTr="00C972C2">
        <w:trPr>
          <w:trHeight w:hRule="exact" w:val="245"/>
        </w:trPr>
        <w:tc>
          <w:tcPr>
            <w:tcW w:w="4068" w:type="dxa"/>
          </w:tcPr>
          <w:p w14:paraId="1D7411DB"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Weight Decreased</w:t>
            </w:r>
          </w:p>
        </w:tc>
        <w:tc>
          <w:tcPr>
            <w:tcW w:w="1680" w:type="dxa"/>
          </w:tcPr>
          <w:p w14:paraId="08DDB868"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46 (4.8)</w:t>
            </w:r>
          </w:p>
        </w:tc>
        <w:tc>
          <w:tcPr>
            <w:tcW w:w="1560" w:type="dxa"/>
          </w:tcPr>
          <w:p w14:paraId="3CF829F3"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16 (3.3)</w:t>
            </w:r>
          </w:p>
        </w:tc>
        <w:tc>
          <w:tcPr>
            <w:tcW w:w="1548" w:type="dxa"/>
          </w:tcPr>
          <w:p w14:paraId="176E23A6"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62 (4.3)</w:t>
            </w:r>
          </w:p>
        </w:tc>
      </w:tr>
      <w:tr w:rsidR="00C972C2" w:rsidRPr="00C64788" w14:paraId="22A8A0E7" w14:textId="77777777" w:rsidTr="00C972C2">
        <w:trPr>
          <w:trHeight w:hRule="exact" w:val="245"/>
        </w:trPr>
        <w:tc>
          <w:tcPr>
            <w:tcW w:w="4068" w:type="dxa"/>
          </w:tcPr>
          <w:p w14:paraId="60FBC969"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Weight Increased</w:t>
            </w:r>
          </w:p>
        </w:tc>
        <w:tc>
          <w:tcPr>
            <w:tcW w:w="1680" w:type="dxa"/>
          </w:tcPr>
          <w:p w14:paraId="366A9A63"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46 (4.8)</w:t>
            </w:r>
          </w:p>
        </w:tc>
        <w:tc>
          <w:tcPr>
            <w:tcW w:w="1560" w:type="dxa"/>
          </w:tcPr>
          <w:p w14:paraId="32B18841"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19 (3.9)</w:t>
            </w:r>
          </w:p>
        </w:tc>
        <w:tc>
          <w:tcPr>
            <w:tcW w:w="1548" w:type="dxa"/>
          </w:tcPr>
          <w:p w14:paraId="5FC4F99B"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65 (4.5)</w:t>
            </w:r>
          </w:p>
        </w:tc>
      </w:tr>
      <w:tr w:rsidR="00C972C2" w:rsidRPr="00C64788" w14:paraId="17F4690E" w14:textId="77777777" w:rsidTr="00C972C2">
        <w:trPr>
          <w:trHeight w:hRule="exact" w:val="245"/>
        </w:trPr>
        <w:tc>
          <w:tcPr>
            <w:tcW w:w="8856" w:type="dxa"/>
            <w:gridSpan w:val="4"/>
          </w:tcPr>
          <w:p w14:paraId="3A317F7B" w14:textId="77777777" w:rsidR="00C972C2" w:rsidRPr="00C64788" w:rsidRDefault="00C972C2" w:rsidP="00C972C2">
            <w:pPr>
              <w:widowControl w:val="0"/>
              <w:autoSpaceDE w:val="0"/>
              <w:autoSpaceDN w:val="0"/>
              <w:ind w:left="103"/>
              <w:rPr>
                <w:color w:val="auto"/>
                <w:sz w:val="20"/>
                <w:szCs w:val="22"/>
                <w:lang w:val="en-US" w:eastAsia="en-US"/>
              </w:rPr>
            </w:pPr>
            <w:r w:rsidRPr="00C64788">
              <w:rPr>
                <w:color w:val="auto"/>
                <w:sz w:val="20"/>
                <w:szCs w:val="22"/>
                <w:lang w:val="en-US" w:eastAsia="en-US"/>
              </w:rPr>
              <w:t>Metabolism and nutrition disorders</w:t>
            </w:r>
          </w:p>
        </w:tc>
      </w:tr>
      <w:tr w:rsidR="00C972C2" w:rsidRPr="00C64788" w14:paraId="4F7F4825" w14:textId="77777777" w:rsidTr="00C972C2">
        <w:trPr>
          <w:trHeight w:hRule="exact" w:val="242"/>
        </w:trPr>
        <w:tc>
          <w:tcPr>
            <w:tcW w:w="4068" w:type="dxa"/>
          </w:tcPr>
          <w:p w14:paraId="166EE99F" w14:textId="77777777" w:rsidR="00C972C2" w:rsidRPr="00C64788" w:rsidRDefault="00C972C2" w:rsidP="00C972C2">
            <w:pPr>
              <w:widowControl w:val="0"/>
              <w:autoSpaceDE w:val="0"/>
              <w:autoSpaceDN w:val="0"/>
              <w:spacing w:before="3"/>
              <w:ind w:left="254"/>
              <w:rPr>
                <w:b/>
                <w:color w:val="auto"/>
                <w:sz w:val="20"/>
                <w:szCs w:val="22"/>
                <w:lang w:val="en-US" w:eastAsia="en-US"/>
              </w:rPr>
            </w:pPr>
            <w:r w:rsidRPr="00C64788">
              <w:rPr>
                <w:b/>
                <w:color w:val="auto"/>
                <w:sz w:val="20"/>
                <w:szCs w:val="22"/>
                <w:lang w:val="en-US" w:eastAsia="en-US"/>
              </w:rPr>
              <w:t>Decreased Appetite</w:t>
            </w:r>
          </w:p>
        </w:tc>
        <w:tc>
          <w:tcPr>
            <w:tcW w:w="1680" w:type="dxa"/>
          </w:tcPr>
          <w:p w14:paraId="380540B2" w14:textId="77777777" w:rsidR="00C972C2" w:rsidRPr="00C64788" w:rsidRDefault="00C972C2" w:rsidP="00C972C2">
            <w:pPr>
              <w:widowControl w:val="0"/>
              <w:autoSpaceDE w:val="0"/>
              <w:autoSpaceDN w:val="0"/>
              <w:spacing w:before="3"/>
              <w:ind w:left="397" w:right="397"/>
              <w:jc w:val="center"/>
              <w:rPr>
                <w:b/>
                <w:color w:val="auto"/>
                <w:sz w:val="20"/>
                <w:szCs w:val="22"/>
                <w:lang w:val="en-US" w:eastAsia="en-US"/>
              </w:rPr>
            </w:pPr>
            <w:r w:rsidRPr="00C64788">
              <w:rPr>
                <w:b/>
                <w:color w:val="auto"/>
                <w:sz w:val="20"/>
                <w:szCs w:val="22"/>
                <w:lang w:val="en-US" w:eastAsia="en-US"/>
              </w:rPr>
              <w:t>69 (7.2)</w:t>
            </w:r>
          </w:p>
        </w:tc>
        <w:tc>
          <w:tcPr>
            <w:tcW w:w="1560" w:type="dxa"/>
          </w:tcPr>
          <w:p w14:paraId="3C8FAE87" w14:textId="77777777" w:rsidR="00C972C2" w:rsidRPr="00C64788" w:rsidRDefault="00C972C2" w:rsidP="00C972C2">
            <w:pPr>
              <w:widowControl w:val="0"/>
              <w:autoSpaceDE w:val="0"/>
              <w:autoSpaceDN w:val="0"/>
              <w:spacing w:before="3"/>
              <w:ind w:left="338" w:right="338"/>
              <w:jc w:val="center"/>
              <w:rPr>
                <w:b/>
                <w:color w:val="auto"/>
                <w:sz w:val="20"/>
                <w:szCs w:val="22"/>
                <w:lang w:val="en-US" w:eastAsia="en-US"/>
              </w:rPr>
            </w:pPr>
            <w:r w:rsidRPr="00C64788">
              <w:rPr>
                <w:b/>
                <w:color w:val="auto"/>
                <w:sz w:val="20"/>
                <w:szCs w:val="22"/>
                <w:lang w:val="en-US" w:eastAsia="en-US"/>
              </w:rPr>
              <w:t>5 (1.0)</w:t>
            </w:r>
          </w:p>
        </w:tc>
        <w:tc>
          <w:tcPr>
            <w:tcW w:w="1548" w:type="dxa"/>
          </w:tcPr>
          <w:p w14:paraId="6F273DEB" w14:textId="77777777" w:rsidR="00C972C2" w:rsidRPr="00C64788" w:rsidRDefault="00C972C2" w:rsidP="00C972C2">
            <w:pPr>
              <w:widowControl w:val="0"/>
              <w:autoSpaceDE w:val="0"/>
              <w:autoSpaceDN w:val="0"/>
              <w:spacing w:before="3"/>
              <w:ind w:right="449"/>
              <w:jc w:val="right"/>
              <w:rPr>
                <w:b/>
                <w:color w:val="auto"/>
                <w:sz w:val="20"/>
                <w:szCs w:val="22"/>
                <w:lang w:val="en-US" w:eastAsia="en-US"/>
              </w:rPr>
            </w:pPr>
            <w:r w:rsidRPr="00C64788">
              <w:rPr>
                <w:b/>
                <w:color w:val="auto"/>
                <w:sz w:val="20"/>
                <w:szCs w:val="22"/>
                <w:lang w:val="en-US" w:eastAsia="en-US"/>
              </w:rPr>
              <w:t>74 (5.1)</w:t>
            </w:r>
          </w:p>
        </w:tc>
      </w:tr>
      <w:tr w:rsidR="00C972C2" w:rsidRPr="00C64788" w14:paraId="4C85F4F7" w14:textId="77777777" w:rsidTr="00C972C2">
        <w:trPr>
          <w:trHeight w:hRule="exact" w:val="245"/>
        </w:trPr>
        <w:tc>
          <w:tcPr>
            <w:tcW w:w="4068" w:type="dxa"/>
          </w:tcPr>
          <w:p w14:paraId="60FFA34F"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Dehydration</w:t>
            </w:r>
          </w:p>
        </w:tc>
        <w:tc>
          <w:tcPr>
            <w:tcW w:w="1680" w:type="dxa"/>
          </w:tcPr>
          <w:p w14:paraId="4A28EECE"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18 (1.9)</w:t>
            </w:r>
          </w:p>
        </w:tc>
        <w:tc>
          <w:tcPr>
            <w:tcW w:w="1560" w:type="dxa"/>
          </w:tcPr>
          <w:p w14:paraId="1F5E3E43"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11 (2.3)</w:t>
            </w:r>
          </w:p>
        </w:tc>
        <w:tc>
          <w:tcPr>
            <w:tcW w:w="1548" w:type="dxa"/>
          </w:tcPr>
          <w:p w14:paraId="7D87599E"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29 (2.0)</w:t>
            </w:r>
          </w:p>
        </w:tc>
      </w:tr>
      <w:tr w:rsidR="00C972C2" w:rsidRPr="00C64788" w14:paraId="0BEEBC20" w14:textId="77777777" w:rsidTr="00C972C2">
        <w:trPr>
          <w:trHeight w:hRule="exact" w:val="242"/>
        </w:trPr>
        <w:tc>
          <w:tcPr>
            <w:tcW w:w="4068" w:type="dxa"/>
          </w:tcPr>
          <w:p w14:paraId="4A13773B" w14:textId="77777777" w:rsidR="00C972C2" w:rsidRPr="00C64788" w:rsidRDefault="00C972C2" w:rsidP="00C972C2">
            <w:pPr>
              <w:widowControl w:val="0"/>
              <w:autoSpaceDE w:val="0"/>
              <w:autoSpaceDN w:val="0"/>
              <w:spacing w:before="3"/>
              <w:ind w:left="254"/>
              <w:rPr>
                <w:b/>
                <w:color w:val="auto"/>
                <w:sz w:val="20"/>
                <w:szCs w:val="22"/>
                <w:lang w:val="en-US" w:eastAsia="en-US"/>
              </w:rPr>
            </w:pPr>
            <w:r w:rsidRPr="00C64788">
              <w:rPr>
                <w:b/>
                <w:color w:val="auto"/>
                <w:sz w:val="20"/>
                <w:szCs w:val="22"/>
                <w:lang w:val="en-US" w:eastAsia="en-US"/>
              </w:rPr>
              <w:t>Gout</w:t>
            </w:r>
          </w:p>
        </w:tc>
        <w:tc>
          <w:tcPr>
            <w:tcW w:w="1680" w:type="dxa"/>
          </w:tcPr>
          <w:p w14:paraId="67D1E18E" w14:textId="77777777" w:rsidR="00C972C2" w:rsidRPr="00C64788" w:rsidRDefault="00C972C2" w:rsidP="00C972C2">
            <w:pPr>
              <w:widowControl w:val="0"/>
              <w:autoSpaceDE w:val="0"/>
              <w:autoSpaceDN w:val="0"/>
              <w:spacing w:before="3"/>
              <w:ind w:left="397" w:right="397"/>
              <w:jc w:val="center"/>
              <w:rPr>
                <w:b/>
                <w:color w:val="auto"/>
                <w:sz w:val="20"/>
                <w:szCs w:val="22"/>
                <w:lang w:val="en-US" w:eastAsia="en-US"/>
              </w:rPr>
            </w:pPr>
            <w:r w:rsidRPr="00C64788">
              <w:rPr>
                <w:b/>
                <w:color w:val="auto"/>
                <w:sz w:val="20"/>
                <w:szCs w:val="22"/>
                <w:lang w:val="en-US" w:eastAsia="en-US"/>
              </w:rPr>
              <w:t>28 (2.9)</w:t>
            </w:r>
          </w:p>
        </w:tc>
        <w:tc>
          <w:tcPr>
            <w:tcW w:w="1560" w:type="dxa"/>
          </w:tcPr>
          <w:p w14:paraId="79C6FD98" w14:textId="77777777" w:rsidR="00C972C2" w:rsidRPr="00C64788" w:rsidRDefault="00C972C2" w:rsidP="00C972C2">
            <w:pPr>
              <w:widowControl w:val="0"/>
              <w:autoSpaceDE w:val="0"/>
              <w:autoSpaceDN w:val="0"/>
              <w:spacing w:before="3"/>
              <w:ind w:left="338" w:right="338"/>
              <w:jc w:val="center"/>
              <w:rPr>
                <w:b/>
                <w:color w:val="auto"/>
                <w:sz w:val="20"/>
                <w:szCs w:val="22"/>
                <w:lang w:val="en-US" w:eastAsia="en-US"/>
              </w:rPr>
            </w:pPr>
            <w:r w:rsidRPr="00C64788">
              <w:rPr>
                <w:b/>
                <w:color w:val="auto"/>
                <w:sz w:val="20"/>
                <w:szCs w:val="22"/>
                <w:lang w:val="en-US" w:eastAsia="en-US"/>
              </w:rPr>
              <w:t>7 (1.4)</w:t>
            </w:r>
          </w:p>
        </w:tc>
        <w:tc>
          <w:tcPr>
            <w:tcW w:w="1548" w:type="dxa"/>
          </w:tcPr>
          <w:p w14:paraId="61FB9778" w14:textId="77777777" w:rsidR="00C972C2" w:rsidRPr="00C64788" w:rsidRDefault="00C972C2" w:rsidP="00C972C2">
            <w:pPr>
              <w:widowControl w:val="0"/>
              <w:autoSpaceDE w:val="0"/>
              <w:autoSpaceDN w:val="0"/>
              <w:spacing w:before="3"/>
              <w:ind w:right="449"/>
              <w:jc w:val="right"/>
              <w:rPr>
                <w:b/>
                <w:color w:val="auto"/>
                <w:sz w:val="20"/>
                <w:szCs w:val="22"/>
                <w:lang w:val="en-US" w:eastAsia="en-US"/>
              </w:rPr>
            </w:pPr>
            <w:r w:rsidRPr="00C64788">
              <w:rPr>
                <w:b/>
                <w:color w:val="auto"/>
                <w:sz w:val="20"/>
                <w:szCs w:val="22"/>
                <w:lang w:val="en-US" w:eastAsia="en-US"/>
              </w:rPr>
              <w:t>35 (2.4)</w:t>
            </w:r>
          </w:p>
        </w:tc>
      </w:tr>
      <w:tr w:rsidR="00C972C2" w:rsidRPr="00C64788" w14:paraId="6BA9952B" w14:textId="77777777" w:rsidTr="00C972C2">
        <w:trPr>
          <w:trHeight w:hRule="exact" w:val="245"/>
        </w:trPr>
        <w:tc>
          <w:tcPr>
            <w:tcW w:w="4068" w:type="dxa"/>
          </w:tcPr>
          <w:p w14:paraId="60B3CFD2" w14:textId="77777777" w:rsidR="00C972C2" w:rsidRPr="00C64788" w:rsidRDefault="00C972C2" w:rsidP="00C972C2">
            <w:pPr>
              <w:widowControl w:val="0"/>
              <w:autoSpaceDE w:val="0"/>
              <w:autoSpaceDN w:val="0"/>
              <w:ind w:left="254"/>
              <w:rPr>
                <w:color w:val="auto"/>
                <w:sz w:val="20"/>
                <w:szCs w:val="22"/>
                <w:lang w:val="en-US" w:eastAsia="en-US"/>
              </w:rPr>
            </w:pPr>
            <w:proofErr w:type="spellStart"/>
            <w:r w:rsidRPr="00C64788">
              <w:rPr>
                <w:color w:val="auto"/>
                <w:sz w:val="20"/>
                <w:szCs w:val="22"/>
                <w:lang w:val="en-US" w:eastAsia="en-US"/>
              </w:rPr>
              <w:t>Hypercholesterolaemia</w:t>
            </w:r>
            <w:proofErr w:type="spellEnd"/>
          </w:p>
        </w:tc>
        <w:tc>
          <w:tcPr>
            <w:tcW w:w="1680" w:type="dxa"/>
          </w:tcPr>
          <w:p w14:paraId="6D388DF8"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26 (2.7)</w:t>
            </w:r>
          </w:p>
        </w:tc>
        <w:tc>
          <w:tcPr>
            <w:tcW w:w="1560" w:type="dxa"/>
          </w:tcPr>
          <w:p w14:paraId="2DAB4567"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12 (2.5)</w:t>
            </w:r>
          </w:p>
        </w:tc>
        <w:tc>
          <w:tcPr>
            <w:tcW w:w="1548" w:type="dxa"/>
          </w:tcPr>
          <w:p w14:paraId="1E923FE2"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38 (2.6)</w:t>
            </w:r>
          </w:p>
        </w:tc>
      </w:tr>
      <w:tr w:rsidR="00C972C2" w:rsidRPr="00C64788" w14:paraId="54819299" w14:textId="77777777" w:rsidTr="00C972C2">
        <w:trPr>
          <w:trHeight w:hRule="exact" w:val="245"/>
        </w:trPr>
        <w:tc>
          <w:tcPr>
            <w:tcW w:w="4068" w:type="dxa"/>
          </w:tcPr>
          <w:p w14:paraId="63CC8B2E" w14:textId="77777777" w:rsidR="00C972C2" w:rsidRPr="00C64788" w:rsidRDefault="00C972C2" w:rsidP="00C972C2">
            <w:pPr>
              <w:widowControl w:val="0"/>
              <w:autoSpaceDE w:val="0"/>
              <w:autoSpaceDN w:val="0"/>
              <w:ind w:left="254"/>
              <w:rPr>
                <w:color w:val="auto"/>
                <w:sz w:val="20"/>
                <w:szCs w:val="22"/>
                <w:lang w:val="en-US" w:eastAsia="en-US"/>
              </w:rPr>
            </w:pPr>
            <w:proofErr w:type="spellStart"/>
            <w:r w:rsidRPr="00C64788">
              <w:rPr>
                <w:color w:val="auto"/>
                <w:sz w:val="20"/>
                <w:szCs w:val="22"/>
                <w:lang w:val="en-US" w:eastAsia="en-US"/>
              </w:rPr>
              <w:t>Hyperglycaemia</w:t>
            </w:r>
            <w:proofErr w:type="spellEnd"/>
          </w:p>
        </w:tc>
        <w:tc>
          <w:tcPr>
            <w:tcW w:w="1680" w:type="dxa"/>
          </w:tcPr>
          <w:p w14:paraId="39044797"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6 (0.6)</w:t>
            </w:r>
          </w:p>
        </w:tc>
        <w:tc>
          <w:tcPr>
            <w:tcW w:w="1560" w:type="dxa"/>
          </w:tcPr>
          <w:p w14:paraId="743B4A90"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10 (2.1)</w:t>
            </w:r>
          </w:p>
        </w:tc>
        <w:tc>
          <w:tcPr>
            <w:tcW w:w="1548" w:type="dxa"/>
          </w:tcPr>
          <w:p w14:paraId="21A866EF"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16 (1.1)</w:t>
            </w:r>
          </w:p>
        </w:tc>
      </w:tr>
      <w:tr w:rsidR="00C972C2" w:rsidRPr="00C64788" w14:paraId="5FAFFDFD" w14:textId="77777777" w:rsidTr="00C972C2">
        <w:trPr>
          <w:trHeight w:hRule="exact" w:val="242"/>
        </w:trPr>
        <w:tc>
          <w:tcPr>
            <w:tcW w:w="4068" w:type="dxa"/>
          </w:tcPr>
          <w:p w14:paraId="09E1E521" w14:textId="77777777" w:rsidR="00C972C2" w:rsidRPr="00C64788" w:rsidRDefault="00C972C2" w:rsidP="00C972C2">
            <w:pPr>
              <w:widowControl w:val="0"/>
              <w:autoSpaceDE w:val="0"/>
              <w:autoSpaceDN w:val="0"/>
              <w:spacing w:before="3"/>
              <w:ind w:left="254"/>
              <w:rPr>
                <w:b/>
                <w:color w:val="auto"/>
                <w:sz w:val="20"/>
                <w:szCs w:val="22"/>
                <w:lang w:val="en-US" w:eastAsia="en-US"/>
              </w:rPr>
            </w:pPr>
            <w:proofErr w:type="spellStart"/>
            <w:r w:rsidRPr="00C64788">
              <w:rPr>
                <w:b/>
                <w:color w:val="auto"/>
                <w:sz w:val="20"/>
                <w:szCs w:val="22"/>
                <w:lang w:val="en-US" w:eastAsia="en-US"/>
              </w:rPr>
              <w:t>Hypernatraemia</w:t>
            </w:r>
            <w:proofErr w:type="spellEnd"/>
          </w:p>
        </w:tc>
        <w:tc>
          <w:tcPr>
            <w:tcW w:w="1680" w:type="dxa"/>
          </w:tcPr>
          <w:p w14:paraId="3A1FEBE5" w14:textId="77777777" w:rsidR="00C972C2" w:rsidRPr="00C64788" w:rsidRDefault="00C972C2" w:rsidP="00C972C2">
            <w:pPr>
              <w:widowControl w:val="0"/>
              <w:autoSpaceDE w:val="0"/>
              <w:autoSpaceDN w:val="0"/>
              <w:spacing w:before="3"/>
              <w:ind w:left="397" w:right="397"/>
              <w:jc w:val="center"/>
              <w:rPr>
                <w:b/>
                <w:color w:val="auto"/>
                <w:sz w:val="20"/>
                <w:szCs w:val="22"/>
                <w:lang w:val="en-US" w:eastAsia="en-US"/>
              </w:rPr>
            </w:pPr>
            <w:r w:rsidRPr="00C64788">
              <w:rPr>
                <w:b/>
                <w:color w:val="auto"/>
                <w:sz w:val="20"/>
                <w:szCs w:val="22"/>
                <w:lang w:val="en-US" w:eastAsia="en-US"/>
              </w:rPr>
              <w:t>27 (2.8)</w:t>
            </w:r>
          </w:p>
        </w:tc>
        <w:tc>
          <w:tcPr>
            <w:tcW w:w="1560" w:type="dxa"/>
          </w:tcPr>
          <w:p w14:paraId="75A97FEA" w14:textId="77777777" w:rsidR="00C972C2" w:rsidRPr="00C64788" w:rsidRDefault="00C972C2" w:rsidP="00C972C2">
            <w:pPr>
              <w:widowControl w:val="0"/>
              <w:autoSpaceDE w:val="0"/>
              <w:autoSpaceDN w:val="0"/>
              <w:spacing w:before="3"/>
              <w:ind w:left="338" w:right="338"/>
              <w:jc w:val="center"/>
              <w:rPr>
                <w:b/>
                <w:color w:val="auto"/>
                <w:sz w:val="20"/>
                <w:szCs w:val="22"/>
                <w:lang w:val="en-US" w:eastAsia="en-US"/>
              </w:rPr>
            </w:pPr>
            <w:r w:rsidRPr="00C64788">
              <w:rPr>
                <w:b/>
                <w:color w:val="auto"/>
                <w:sz w:val="20"/>
                <w:szCs w:val="22"/>
                <w:lang w:val="en-US" w:eastAsia="en-US"/>
              </w:rPr>
              <w:t>5 (1.0)</w:t>
            </w:r>
          </w:p>
        </w:tc>
        <w:tc>
          <w:tcPr>
            <w:tcW w:w="1548" w:type="dxa"/>
          </w:tcPr>
          <w:p w14:paraId="029D180B" w14:textId="77777777" w:rsidR="00C972C2" w:rsidRPr="00C64788" w:rsidRDefault="00C972C2" w:rsidP="00C972C2">
            <w:pPr>
              <w:widowControl w:val="0"/>
              <w:autoSpaceDE w:val="0"/>
              <w:autoSpaceDN w:val="0"/>
              <w:spacing w:before="3"/>
              <w:ind w:right="449"/>
              <w:jc w:val="right"/>
              <w:rPr>
                <w:b/>
                <w:color w:val="auto"/>
                <w:sz w:val="20"/>
                <w:szCs w:val="22"/>
                <w:lang w:val="en-US" w:eastAsia="en-US"/>
              </w:rPr>
            </w:pPr>
            <w:r w:rsidRPr="00C64788">
              <w:rPr>
                <w:b/>
                <w:color w:val="auto"/>
                <w:sz w:val="20"/>
                <w:szCs w:val="22"/>
                <w:lang w:val="en-US" w:eastAsia="en-US"/>
              </w:rPr>
              <w:t>32 (2.2)</w:t>
            </w:r>
          </w:p>
        </w:tc>
      </w:tr>
      <w:tr w:rsidR="00C972C2" w:rsidRPr="00C64788" w14:paraId="461738C0" w14:textId="77777777" w:rsidTr="00C972C2">
        <w:trPr>
          <w:trHeight w:hRule="exact" w:val="242"/>
        </w:trPr>
        <w:tc>
          <w:tcPr>
            <w:tcW w:w="4068" w:type="dxa"/>
          </w:tcPr>
          <w:p w14:paraId="7DAFC241" w14:textId="77777777" w:rsidR="00C972C2" w:rsidRPr="00C64788" w:rsidRDefault="00C972C2" w:rsidP="00C972C2">
            <w:pPr>
              <w:widowControl w:val="0"/>
              <w:autoSpaceDE w:val="0"/>
              <w:autoSpaceDN w:val="0"/>
              <w:spacing w:before="3"/>
              <w:ind w:left="254"/>
              <w:rPr>
                <w:b/>
                <w:color w:val="auto"/>
                <w:sz w:val="20"/>
                <w:szCs w:val="22"/>
                <w:lang w:val="en-US" w:eastAsia="en-US"/>
              </w:rPr>
            </w:pPr>
            <w:proofErr w:type="spellStart"/>
            <w:r w:rsidRPr="00C64788">
              <w:rPr>
                <w:b/>
                <w:color w:val="auto"/>
                <w:sz w:val="20"/>
                <w:szCs w:val="22"/>
                <w:lang w:val="en-US" w:eastAsia="en-US"/>
              </w:rPr>
              <w:t>Hyperuricaemia</w:t>
            </w:r>
            <w:proofErr w:type="spellEnd"/>
          </w:p>
        </w:tc>
        <w:tc>
          <w:tcPr>
            <w:tcW w:w="1680" w:type="dxa"/>
          </w:tcPr>
          <w:p w14:paraId="5ABC254F" w14:textId="77777777" w:rsidR="00C972C2" w:rsidRPr="00C64788" w:rsidRDefault="00C972C2" w:rsidP="00C972C2">
            <w:pPr>
              <w:widowControl w:val="0"/>
              <w:autoSpaceDE w:val="0"/>
              <w:autoSpaceDN w:val="0"/>
              <w:spacing w:before="3"/>
              <w:ind w:left="397" w:right="397"/>
              <w:jc w:val="center"/>
              <w:rPr>
                <w:b/>
                <w:color w:val="auto"/>
                <w:sz w:val="20"/>
                <w:szCs w:val="22"/>
                <w:lang w:val="en-US" w:eastAsia="en-US"/>
              </w:rPr>
            </w:pPr>
            <w:r w:rsidRPr="00C64788">
              <w:rPr>
                <w:b/>
                <w:color w:val="auto"/>
                <w:sz w:val="20"/>
                <w:szCs w:val="22"/>
                <w:lang w:val="en-US" w:eastAsia="en-US"/>
              </w:rPr>
              <w:t>37 (3.9)</w:t>
            </w:r>
          </w:p>
        </w:tc>
        <w:tc>
          <w:tcPr>
            <w:tcW w:w="1560" w:type="dxa"/>
          </w:tcPr>
          <w:p w14:paraId="7EF01E8A" w14:textId="77777777" w:rsidR="00C972C2" w:rsidRPr="00C64788" w:rsidRDefault="00C972C2" w:rsidP="00C972C2">
            <w:pPr>
              <w:widowControl w:val="0"/>
              <w:autoSpaceDE w:val="0"/>
              <w:autoSpaceDN w:val="0"/>
              <w:spacing w:before="3"/>
              <w:ind w:left="338" w:right="338"/>
              <w:jc w:val="center"/>
              <w:rPr>
                <w:b/>
                <w:color w:val="auto"/>
                <w:sz w:val="20"/>
                <w:szCs w:val="22"/>
                <w:lang w:val="en-US" w:eastAsia="en-US"/>
              </w:rPr>
            </w:pPr>
            <w:r w:rsidRPr="00C64788">
              <w:rPr>
                <w:b/>
                <w:color w:val="auto"/>
                <w:sz w:val="20"/>
                <w:szCs w:val="22"/>
                <w:lang w:val="en-US" w:eastAsia="en-US"/>
              </w:rPr>
              <w:t>9 (1.9)</w:t>
            </w:r>
          </w:p>
        </w:tc>
        <w:tc>
          <w:tcPr>
            <w:tcW w:w="1548" w:type="dxa"/>
          </w:tcPr>
          <w:p w14:paraId="5CD081FA" w14:textId="77777777" w:rsidR="00C972C2" w:rsidRPr="00C64788" w:rsidRDefault="00C972C2" w:rsidP="00C972C2">
            <w:pPr>
              <w:widowControl w:val="0"/>
              <w:autoSpaceDE w:val="0"/>
              <w:autoSpaceDN w:val="0"/>
              <w:spacing w:before="3"/>
              <w:ind w:right="449"/>
              <w:jc w:val="right"/>
              <w:rPr>
                <w:b/>
                <w:color w:val="auto"/>
                <w:sz w:val="20"/>
                <w:szCs w:val="22"/>
                <w:lang w:val="en-US" w:eastAsia="en-US"/>
              </w:rPr>
            </w:pPr>
            <w:r w:rsidRPr="00C64788">
              <w:rPr>
                <w:b/>
                <w:color w:val="auto"/>
                <w:sz w:val="20"/>
                <w:szCs w:val="22"/>
                <w:lang w:val="en-US" w:eastAsia="en-US"/>
              </w:rPr>
              <w:t>46 (3.2)</w:t>
            </w:r>
          </w:p>
        </w:tc>
      </w:tr>
      <w:tr w:rsidR="00C972C2" w:rsidRPr="00C64788" w14:paraId="1356049E" w14:textId="77777777" w:rsidTr="00C972C2">
        <w:trPr>
          <w:trHeight w:hRule="exact" w:val="242"/>
        </w:trPr>
        <w:tc>
          <w:tcPr>
            <w:tcW w:w="4068" w:type="dxa"/>
          </w:tcPr>
          <w:p w14:paraId="03E8EAEE" w14:textId="77777777" w:rsidR="00C972C2" w:rsidRPr="00C64788" w:rsidRDefault="00C972C2" w:rsidP="00C972C2">
            <w:pPr>
              <w:widowControl w:val="0"/>
              <w:autoSpaceDE w:val="0"/>
              <w:autoSpaceDN w:val="0"/>
              <w:spacing w:before="3"/>
              <w:ind w:left="254"/>
              <w:rPr>
                <w:b/>
                <w:color w:val="auto"/>
                <w:sz w:val="20"/>
                <w:szCs w:val="22"/>
                <w:lang w:val="en-US" w:eastAsia="en-US"/>
              </w:rPr>
            </w:pPr>
            <w:r w:rsidRPr="00C64788">
              <w:rPr>
                <w:b/>
                <w:color w:val="auto"/>
                <w:sz w:val="20"/>
                <w:szCs w:val="22"/>
                <w:lang w:val="en-US" w:eastAsia="en-US"/>
              </w:rPr>
              <w:t>Polydipsia</w:t>
            </w:r>
          </w:p>
        </w:tc>
        <w:tc>
          <w:tcPr>
            <w:tcW w:w="1680" w:type="dxa"/>
          </w:tcPr>
          <w:p w14:paraId="19896363" w14:textId="77777777" w:rsidR="00C972C2" w:rsidRPr="00C64788" w:rsidRDefault="00C972C2" w:rsidP="00C972C2">
            <w:pPr>
              <w:widowControl w:val="0"/>
              <w:autoSpaceDE w:val="0"/>
              <w:autoSpaceDN w:val="0"/>
              <w:spacing w:before="3"/>
              <w:ind w:left="397" w:right="397"/>
              <w:jc w:val="center"/>
              <w:rPr>
                <w:b/>
                <w:color w:val="auto"/>
                <w:sz w:val="20"/>
                <w:szCs w:val="22"/>
                <w:lang w:val="en-US" w:eastAsia="en-US"/>
              </w:rPr>
            </w:pPr>
            <w:r w:rsidRPr="00C64788">
              <w:rPr>
                <w:b/>
                <w:color w:val="auto"/>
                <w:sz w:val="20"/>
                <w:szCs w:val="22"/>
                <w:lang w:val="en-US" w:eastAsia="en-US"/>
              </w:rPr>
              <w:t>100 (10.4)</w:t>
            </w:r>
          </w:p>
        </w:tc>
        <w:tc>
          <w:tcPr>
            <w:tcW w:w="1560" w:type="dxa"/>
          </w:tcPr>
          <w:p w14:paraId="46B685E9" w14:textId="77777777" w:rsidR="00C972C2" w:rsidRPr="00C64788" w:rsidRDefault="00C972C2" w:rsidP="00C972C2">
            <w:pPr>
              <w:widowControl w:val="0"/>
              <w:autoSpaceDE w:val="0"/>
              <w:autoSpaceDN w:val="0"/>
              <w:spacing w:before="3"/>
              <w:ind w:left="338" w:right="338"/>
              <w:jc w:val="center"/>
              <w:rPr>
                <w:b/>
                <w:color w:val="auto"/>
                <w:sz w:val="20"/>
                <w:szCs w:val="22"/>
                <w:lang w:val="en-US" w:eastAsia="en-US"/>
              </w:rPr>
            </w:pPr>
            <w:r w:rsidRPr="00C64788">
              <w:rPr>
                <w:b/>
                <w:color w:val="auto"/>
                <w:sz w:val="20"/>
                <w:szCs w:val="22"/>
                <w:lang w:val="en-US" w:eastAsia="en-US"/>
              </w:rPr>
              <w:t>17 (3.5)</w:t>
            </w:r>
          </w:p>
        </w:tc>
        <w:tc>
          <w:tcPr>
            <w:tcW w:w="1548" w:type="dxa"/>
          </w:tcPr>
          <w:p w14:paraId="633C1748" w14:textId="77777777" w:rsidR="00C972C2" w:rsidRPr="00C64788" w:rsidRDefault="00C972C2" w:rsidP="00C972C2">
            <w:pPr>
              <w:widowControl w:val="0"/>
              <w:autoSpaceDE w:val="0"/>
              <w:autoSpaceDN w:val="0"/>
              <w:spacing w:before="3"/>
              <w:ind w:right="398"/>
              <w:jc w:val="right"/>
              <w:rPr>
                <w:b/>
                <w:color w:val="auto"/>
                <w:sz w:val="20"/>
                <w:szCs w:val="22"/>
                <w:lang w:val="en-US" w:eastAsia="en-US"/>
              </w:rPr>
            </w:pPr>
            <w:r w:rsidRPr="00C64788">
              <w:rPr>
                <w:b/>
                <w:color w:val="auto"/>
                <w:sz w:val="20"/>
                <w:szCs w:val="22"/>
                <w:lang w:val="en-US" w:eastAsia="en-US"/>
              </w:rPr>
              <w:t>117 (8.1)</w:t>
            </w:r>
          </w:p>
        </w:tc>
      </w:tr>
      <w:tr w:rsidR="00C972C2" w:rsidRPr="00C64788" w14:paraId="0B7E0BE4" w14:textId="77777777" w:rsidTr="00C972C2">
        <w:trPr>
          <w:trHeight w:hRule="exact" w:val="245"/>
        </w:trPr>
        <w:tc>
          <w:tcPr>
            <w:tcW w:w="8856" w:type="dxa"/>
            <w:gridSpan w:val="4"/>
          </w:tcPr>
          <w:p w14:paraId="65FBE49B" w14:textId="77777777" w:rsidR="00C972C2" w:rsidRPr="00C64788" w:rsidRDefault="00C972C2" w:rsidP="00C972C2">
            <w:pPr>
              <w:widowControl w:val="0"/>
              <w:autoSpaceDE w:val="0"/>
              <w:autoSpaceDN w:val="0"/>
              <w:ind w:left="103"/>
              <w:rPr>
                <w:color w:val="auto"/>
                <w:sz w:val="20"/>
                <w:szCs w:val="22"/>
                <w:lang w:val="en-US" w:eastAsia="en-US"/>
              </w:rPr>
            </w:pPr>
            <w:r w:rsidRPr="00C64788">
              <w:rPr>
                <w:color w:val="auto"/>
                <w:sz w:val="20"/>
                <w:szCs w:val="22"/>
                <w:lang w:val="en-US" w:eastAsia="en-US"/>
              </w:rPr>
              <w:t>Musculoskeletal and connective tissue disorders</w:t>
            </w:r>
          </w:p>
        </w:tc>
      </w:tr>
      <w:tr w:rsidR="00C972C2" w:rsidRPr="00C64788" w14:paraId="2A534657" w14:textId="77777777" w:rsidTr="00C972C2">
        <w:trPr>
          <w:trHeight w:hRule="exact" w:val="245"/>
        </w:trPr>
        <w:tc>
          <w:tcPr>
            <w:tcW w:w="4068" w:type="dxa"/>
          </w:tcPr>
          <w:p w14:paraId="7D9AEDC9"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Arthralgia</w:t>
            </w:r>
          </w:p>
        </w:tc>
        <w:tc>
          <w:tcPr>
            <w:tcW w:w="1680" w:type="dxa"/>
          </w:tcPr>
          <w:p w14:paraId="3BA12E8F"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69 (7.2)</w:t>
            </w:r>
          </w:p>
        </w:tc>
        <w:tc>
          <w:tcPr>
            <w:tcW w:w="1560" w:type="dxa"/>
          </w:tcPr>
          <w:p w14:paraId="3183E537"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28 (5.8)</w:t>
            </w:r>
          </w:p>
        </w:tc>
        <w:tc>
          <w:tcPr>
            <w:tcW w:w="1548" w:type="dxa"/>
          </w:tcPr>
          <w:p w14:paraId="2BFD2A7A"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97 (6.7)</w:t>
            </w:r>
          </w:p>
        </w:tc>
      </w:tr>
      <w:tr w:rsidR="00C972C2" w:rsidRPr="00C64788" w14:paraId="37FFC633" w14:textId="77777777" w:rsidTr="00C972C2">
        <w:trPr>
          <w:trHeight w:hRule="exact" w:val="245"/>
        </w:trPr>
        <w:tc>
          <w:tcPr>
            <w:tcW w:w="4068" w:type="dxa"/>
          </w:tcPr>
          <w:p w14:paraId="57BE3E09"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Back Pain</w:t>
            </w:r>
          </w:p>
        </w:tc>
        <w:tc>
          <w:tcPr>
            <w:tcW w:w="1680" w:type="dxa"/>
          </w:tcPr>
          <w:p w14:paraId="385ED595"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133 (13.8)</w:t>
            </w:r>
          </w:p>
        </w:tc>
        <w:tc>
          <w:tcPr>
            <w:tcW w:w="1560" w:type="dxa"/>
          </w:tcPr>
          <w:p w14:paraId="293487B4"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88 (18.2)</w:t>
            </w:r>
          </w:p>
        </w:tc>
        <w:tc>
          <w:tcPr>
            <w:tcW w:w="1548" w:type="dxa"/>
          </w:tcPr>
          <w:p w14:paraId="5F46BE4F" w14:textId="77777777" w:rsidR="00C972C2" w:rsidRPr="00C64788" w:rsidRDefault="00C972C2" w:rsidP="00C972C2">
            <w:pPr>
              <w:widowControl w:val="0"/>
              <w:autoSpaceDE w:val="0"/>
              <w:autoSpaceDN w:val="0"/>
              <w:ind w:right="349"/>
              <w:jc w:val="right"/>
              <w:rPr>
                <w:color w:val="auto"/>
                <w:sz w:val="20"/>
                <w:szCs w:val="22"/>
                <w:lang w:val="en-US" w:eastAsia="en-US"/>
              </w:rPr>
            </w:pPr>
            <w:r w:rsidRPr="00C64788">
              <w:rPr>
                <w:color w:val="auto"/>
                <w:sz w:val="20"/>
                <w:szCs w:val="22"/>
                <w:lang w:val="en-US" w:eastAsia="en-US"/>
              </w:rPr>
              <w:t>221 (15.3)</w:t>
            </w:r>
          </w:p>
        </w:tc>
      </w:tr>
      <w:tr w:rsidR="00C972C2" w:rsidRPr="00C64788" w14:paraId="366E0136" w14:textId="77777777" w:rsidTr="00C972C2">
        <w:trPr>
          <w:trHeight w:hRule="exact" w:val="245"/>
        </w:trPr>
        <w:tc>
          <w:tcPr>
            <w:tcW w:w="4068" w:type="dxa"/>
          </w:tcPr>
          <w:p w14:paraId="6A6362C6"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Flank Pain</w:t>
            </w:r>
          </w:p>
        </w:tc>
        <w:tc>
          <w:tcPr>
            <w:tcW w:w="1680" w:type="dxa"/>
          </w:tcPr>
          <w:p w14:paraId="01D13461"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11 (1.1)</w:t>
            </w:r>
          </w:p>
        </w:tc>
        <w:tc>
          <w:tcPr>
            <w:tcW w:w="1560" w:type="dxa"/>
          </w:tcPr>
          <w:p w14:paraId="51D316AC"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10 (2.1)</w:t>
            </w:r>
          </w:p>
        </w:tc>
        <w:tc>
          <w:tcPr>
            <w:tcW w:w="1548" w:type="dxa"/>
          </w:tcPr>
          <w:p w14:paraId="2A19AF7C"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21 (1.5)</w:t>
            </w:r>
          </w:p>
        </w:tc>
      </w:tr>
      <w:tr w:rsidR="00C972C2" w:rsidRPr="00C64788" w14:paraId="6A480E26" w14:textId="77777777" w:rsidTr="00C972C2">
        <w:trPr>
          <w:trHeight w:hRule="exact" w:val="250"/>
        </w:trPr>
        <w:tc>
          <w:tcPr>
            <w:tcW w:w="4068" w:type="dxa"/>
            <w:tcBorders>
              <w:bottom w:val="nil"/>
            </w:tcBorders>
          </w:tcPr>
          <w:p w14:paraId="3531544D"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Muscle Spasms</w:t>
            </w:r>
          </w:p>
        </w:tc>
        <w:tc>
          <w:tcPr>
            <w:tcW w:w="1680" w:type="dxa"/>
            <w:tcBorders>
              <w:bottom w:val="nil"/>
            </w:tcBorders>
          </w:tcPr>
          <w:p w14:paraId="407BE617"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35 (3.6)</w:t>
            </w:r>
          </w:p>
        </w:tc>
        <w:tc>
          <w:tcPr>
            <w:tcW w:w="1560" w:type="dxa"/>
            <w:tcBorders>
              <w:bottom w:val="nil"/>
            </w:tcBorders>
          </w:tcPr>
          <w:p w14:paraId="6C36CB35"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17 (3.5)</w:t>
            </w:r>
          </w:p>
        </w:tc>
        <w:tc>
          <w:tcPr>
            <w:tcW w:w="1548" w:type="dxa"/>
            <w:tcBorders>
              <w:bottom w:val="nil"/>
            </w:tcBorders>
          </w:tcPr>
          <w:p w14:paraId="0D1E9BB4"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52 (3.6)</w:t>
            </w:r>
          </w:p>
        </w:tc>
      </w:tr>
      <w:tr w:rsidR="00C972C2" w:rsidRPr="00C64788" w14:paraId="2F52EEB3" w14:textId="77777777" w:rsidTr="00C972C2">
        <w:trPr>
          <w:trHeight w:hRule="exact" w:val="245"/>
        </w:trPr>
        <w:tc>
          <w:tcPr>
            <w:tcW w:w="4068" w:type="dxa"/>
          </w:tcPr>
          <w:p w14:paraId="6953A5C3"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Musculoskeletal Pain</w:t>
            </w:r>
          </w:p>
        </w:tc>
        <w:tc>
          <w:tcPr>
            <w:tcW w:w="1680" w:type="dxa"/>
          </w:tcPr>
          <w:p w14:paraId="490B2180"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37 (3.9)</w:t>
            </w:r>
          </w:p>
        </w:tc>
        <w:tc>
          <w:tcPr>
            <w:tcW w:w="1560" w:type="dxa"/>
          </w:tcPr>
          <w:p w14:paraId="4B110869"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17 (3.5)</w:t>
            </w:r>
          </w:p>
        </w:tc>
        <w:tc>
          <w:tcPr>
            <w:tcW w:w="1548" w:type="dxa"/>
          </w:tcPr>
          <w:p w14:paraId="677C86F9"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54 (3.7)</w:t>
            </w:r>
          </w:p>
        </w:tc>
      </w:tr>
      <w:tr w:rsidR="00C972C2" w:rsidRPr="00C64788" w14:paraId="62FE2863" w14:textId="77777777" w:rsidTr="00C972C2">
        <w:trPr>
          <w:trHeight w:hRule="exact" w:val="245"/>
        </w:trPr>
        <w:tc>
          <w:tcPr>
            <w:tcW w:w="4068" w:type="dxa"/>
          </w:tcPr>
          <w:p w14:paraId="1B9C269E"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Myalgia</w:t>
            </w:r>
          </w:p>
        </w:tc>
        <w:tc>
          <w:tcPr>
            <w:tcW w:w="1680" w:type="dxa"/>
          </w:tcPr>
          <w:p w14:paraId="508229DA"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50 (5.2)</w:t>
            </w:r>
          </w:p>
        </w:tc>
        <w:tc>
          <w:tcPr>
            <w:tcW w:w="1560" w:type="dxa"/>
          </w:tcPr>
          <w:p w14:paraId="2C8C81B7"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16 (3.3)</w:t>
            </w:r>
          </w:p>
        </w:tc>
        <w:tc>
          <w:tcPr>
            <w:tcW w:w="1548" w:type="dxa"/>
          </w:tcPr>
          <w:p w14:paraId="25590414"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66 (4.6)</w:t>
            </w:r>
          </w:p>
        </w:tc>
      </w:tr>
      <w:tr w:rsidR="00C972C2" w:rsidRPr="00C64788" w14:paraId="73071AEB" w14:textId="77777777" w:rsidTr="00C972C2">
        <w:trPr>
          <w:trHeight w:hRule="exact" w:val="245"/>
        </w:trPr>
        <w:tc>
          <w:tcPr>
            <w:tcW w:w="4068" w:type="dxa"/>
          </w:tcPr>
          <w:p w14:paraId="4B6055DA"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Neck Pain</w:t>
            </w:r>
          </w:p>
        </w:tc>
        <w:tc>
          <w:tcPr>
            <w:tcW w:w="1680" w:type="dxa"/>
          </w:tcPr>
          <w:p w14:paraId="49CA57A6"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25 (2.6)</w:t>
            </w:r>
          </w:p>
        </w:tc>
        <w:tc>
          <w:tcPr>
            <w:tcW w:w="1560" w:type="dxa"/>
          </w:tcPr>
          <w:p w14:paraId="729151C5"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12 (2.5)</w:t>
            </w:r>
          </w:p>
        </w:tc>
        <w:tc>
          <w:tcPr>
            <w:tcW w:w="1548" w:type="dxa"/>
          </w:tcPr>
          <w:p w14:paraId="4BFAE3EF"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37 (2.6)</w:t>
            </w:r>
          </w:p>
        </w:tc>
      </w:tr>
      <w:tr w:rsidR="00C972C2" w:rsidRPr="00C64788" w14:paraId="1D8DDBB3" w14:textId="77777777" w:rsidTr="00C972C2">
        <w:trPr>
          <w:trHeight w:hRule="exact" w:val="245"/>
        </w:trPr>
        <w:tc>
          <w:tcPr>
            <w:tcW w:w="4068" w:type="dxa"/>
          </w:tcPr>
          <w:p w14:paraId="72A09411"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Pain In Extremity</w:t>
            </w:r>
          </w:p>
        </w:tc>
        <w:tc>
          <w:tcPr>
            <w:tcW w:w="1680" w:type="dxa"/>
          </w:tcPr>
          <w:p w14:paraId="155D4332"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42 (4.4)</w:t>
            </w:r>
          </w:p>
        </w:tc>
        <w:tc>
          <w:tcPr>
            <w:tcW w:w="1560" w:type="dxa"/>
          </w:tcPr>
          <w:p w14:paraId="35E781BF"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27 (5.6)</w:t>
            </w:r>
          </w:p>
        </w:tc>
        <w:tc>
          <w:tcPr>
            <w:tcW w:w="1548" w:type="dxa"/>
          </w:tcPr>
          <w:p w14:paraId="0D695927"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69 (4.8)</w:t>
            </w:r>
          </w:p>
        </w:tc>
      </w:tr>
      <w:tr w:rsidR="00C972C2" w:rsidRPr="00C64788" w14:paraId="5576D9EF" w14:textId="77777777" w:rsidTr="00C972C2">
        <w:trPr>
          <w:trHeight w:hRule="exact" w:val="245"/>
        </w:trPr>
        <w:tc>
          <w:tcPr>
            <w:tcW w:w="4068" w:type="dxa"/>
          </w:tcPr>
          <w:p w14:paraId="66323426"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Tendonitis</w:t>
            </w:r>
          </w:p>
        </w:tc>
        <w:tc>
          <w:tcPr>
            <w:tcW w:w="1680" w:type="dxa"/>
          </w:tcPr>
          <w:p w14:paraId="2F0772A4"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16 (1.7)</w:t>
            </w:r>
          </w:p>
        </w:tc>
        <w:tc>
          <w:tcPr>
            <w:tcW w:w="1560" w:type="dxa"/>
          </w:tcPr>
          <w:p w14:paraId="4BC5D971"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10 (2.1)</w:t>
            </w:r>
          </w:p>
        </w:tc>
        <w:tc>
          <w:tcPr>
            <w:tcW w:w="1548" w:type="dxa"/>
          </w:tcPr>
          <w:p w14:paraId="0033920E"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26 (1.8)</w:t>
            </w:r>
          </w:p>
        </w:tc>
      </w:tr>
      <w:tr w:rsidR="00C972C2" w:rsidRPr="00C64788" w14:paraId="745BFF66" w14:textId="77777777" w:rsidTr="00C972C2">
        <w:trPr>
          <w:trHeight w:hRule="exact" w:val="245"/>
        </w:trPr>
        <w:tc>
          <w:tcPr>
            <w:tcW w:w="8856" w:type="dxa"/>
            <w:gridSpan w:val="4"/>
          </w:tcPr>
          <w:p w14:paraId="4B937E2A" w14:textId="77777777" w:rsidR="00C972C2" w:rsidRPr="00C64788" w:rsidRDefault="00C972C2" w:rsidP="00C972C2">
            <w:pPr>
              <w:widowControl w:val="0"/>
              <w:autoSpaceDE w:val="0"/>
              <w:autoSpaceDN w:val="0"/>
              <w:ind w:left="103"/>
              <w:rPr>
                <w:color w:val="auto"/>
                <w:sz w:val="20"/>
                <w:szCs w:val="22"/>
                <w:lang w:val="en-US" w:eastAsia="en-US"/>
              </w:rPr>
            </w:pPr>
            <w:r w:rsidRPr="00C64788">
              <w:rPr>
                <w:color w:val="auto"/>
                <w:sz w:val="20"/>
                <w:szCs w:val="22"/>
                <w:lang w:val="en-US" w:eastAsia="en-US"/>
              </w:rPr>
              <w:t>Nervous system disorders</w:t>
            </w:r>
          </w:p>
        </w:tc>
      </w:tr>
      <w:tr w:rsidR="00C972C2" w:rsidRPr="00C64788" w14:paraId="62A61AFF" w14:textId="77777777" w:rsidTr="00C972C2">
        <w:trPr>
          <w:trHeight w:hRule="exact" w:val="245"/>
        </w:trPr>
        <w:tc>
          <w:tcPr>
            <w:tcW w:w="4068" w:type="dxa"/>
          </w:tcPr>
          <w:p w14:paraId="0861ECB6"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Dizziness</w:t>
            </w:r>
          </w:p>
        </w:tc>
        <w:tc>
          <w:tcPr>
            <w:tcW w:w="1680" w:type="dxa"/>
          </w:tcPr>
          <w:p w14:paraId="2FC2B0F3"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109 (11.3)</w:t>
            </w:r>
          </w:p>
        </w:tc>
        <w:tc>
          <w:tcPr>
            <w:tcW w:w="1560" w:type="dxa"/>
          </w:tcPr>
          <w:p w14:paraId="5B0B21E8"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42 (8.7)</w:t>
            </w:r>
          </w:p>
        </w:tc>
        <w:tc>
          <w:tcPr>
            <w:tcW w:w="1548" w:type="dxa"/>
          </w:tcPr>
          <w:p w14:paraId="5520B3FF" w14:textId="77777777" w:rsidR="00C972C2" w:rsidRPr="00C64788" w:rsidRDefault="00C972C2" w:rsidP="00C972C2">
            <w:pPr>
              <w:widowControl w:val="0"/>
              <w:autoSpaceDE w:val="0"/>
              <w:autoSpaceDN w:val="0"/>
              <w:ind w:right="348"/>
              <w:jc w:val="right"/>
              <w:rPr>
                <w:color w:val="auto"/>
                <w:sz w:val="20"/>
                <w:szCs w:val="22"/>
                <w:lang w:val="en-US" w:eastAsia="en-US"/>
              </w:rPr>
            </w:pPr>
            <w:r w:rsidRPr="00C64788">
              <w:rPr>
                <w:color w:val="auto"/>
                <w:sz w:val="20"/>
                <w:szCs w:val="22"/>
                <w:lang w:val="en-US" w:eastAsia="en-US"/>
              </w:rPr>
              <w:t>151 (10.5)</w:t>
            </w:r>
          </w:p>
        </w:tc>
      </w:tr>
      <w:tr w:rsidR="00C972C2" w:rsidRPr="00C64788" w14:paraId="640F918D" w14:textId="77777777" w:rsidTr="00C972C2">
        <w:trPr>
          <w:trHeight w:hRule="exact" w:val="245"/>
        </w:trPr>
        <w:tc>
          <w:tcPr>
            <w:tcW w:w="4068" w:type="dxa"/>
          </w:tcPr>
          <w:p w14:paraId="19668EEB" w14:textId="77777777" w:rsidR="00C972C2" w:rsidRPr="00C64788" w:rsidRDefault="00C972C2" w:rsidP="00C972C2">
            <w:pPr>
              <w:widowControl w:val="0"/>
              <w:autoSpaceDE w:val="0"/>
              <w:autoSpaceDN w:val="0"/>
              <w:ind w:left="254"/>
              <w:rPr>
                <w:color w:val="auto"/>
                <w:sz w:val="20"/>
                <w:szCs w:val="22"/>
                <w:lang w:val="en-US" w:eastAsia="en-US"/>
              </w:rPr>
            </w:pPr>
            <w:proofErr w:type="spellStart"/>
            <w:r w:rsidRPr="00C64788">
              <w:rPr>
                <w:color w:val="auto"/>
                <w:sz w:val="20"/>
                <w:szCs w:val="22"/>
                <w:lang w:val="en-US" w:eastAsia="en-US"/>
              </w:rPr>
              <w:t>Dysgeusia</w:t>
            </w:r>
            <w:proofErr w:type="spellEnd"/>
          </w:p>
        </w:tc>
        <w:tc>
          <w:tcPr>
            <w:tcW w:w="1680" w:type="dxa"/>
          </w:tcPr>
          <w:p w14:paraId="0E857E87"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21 (2.2)</w:t>
            </w:r>
          </w:p>
        </w:tc>
        <w:tc>
          <w:tcPr>
            <w:tcW w:w="1560" w:type="dxa"/>
          </w:tcPr>
          <w:p w14:paraId="3253BA84"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7 (1.4)</w:t>
            </w:r>
          </w:p>
        </w:tc>
        <w:tc>
          <w:tcPr>
            <w:tcW w:w="1548" w:type="dxa"/>
          </w:tcPr>
          <w:p w14:paraId="512719A4"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28 (1.9)</w:t>
            </w:r>
          </w:p>
        </w:tc>
      </w:tr>
      <w:tr w:rsidR="00C972C2" w:rsidRPr="00C64788" w14:paraId="53E9112A" w14:textId="77777777" w:rsidTr="00C972C2">
        <w:trPr>
          <w:trHeight w:hRule="exact" w:val="245"/>
        </w:trPr>
        <w:tc>
          <w:tcPr>
            <w:tcW w:w="4068" w:type="dxa"/>
          </w:tcPr>
          <w:p w14:paraId="444FBA6B"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Headache</w:t>
            </w:r>
          </w:p>
        </w:tc>
        <w:tc>
          <w:tcPr>
            <w:tcW w:w="1680" w:type="dxa"/>
          </w:tcPr>
          <w:p w14:paraId="41AF7FCD"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241 (25.1)</w:t>
            </w:r>
          </w:p>
        </w:tc>
        <w:tc>
          <w:tcPr>
            <w:tcW w:w="1560" w:type="dxa"/>
          </w:tcPr>
          <w:p w14:paraId="04C6A8A7"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121 (25.1)</w:t>
            </w:r>
          </w:p>
        </w:tc>
        <w:tc>
          <w:tcPr>
            <w:tcW w:w="1548" w:type="dxa"/>
          </w:tcPr>
          <w:p w14:paraId="5440C597" w14:textId="77777777" w:rsidR="00C972C2" w:rsidRPr="00C64788" w:rsidRDefault="00C972C2" w:rsidP="00C972C2">
            <w:pPr>
              <w:widowControl w:val="0"/>
              <w:autoSpaceDE w:val="0"/>
              <w:autoSpaceDN w:val="0"/>
              <w:ind w:right="349"/>
              <w:jc w:val="right"/>
              <w:rPr>
                <w:color w:val="auto"/>
                <w:sz w:val="20"/>
                <w:szCs w:val="22"/>
                <w:lang w:val="en-US" w:eastAsia="en-US"/>
              </w:rPr>
            </w:pPr>
            <w:r w:rsidRPr="00C64788">
              <w:rPr>
                <w:color w:val="auto"/>
                <w:sz w:val="20"/>
                <w:szCs w:val="22"/>
                <w:lang w:val="en-US" w:eastAsia="en-US"/>
              </w:rPr>
              <w:t>362 (25.1)</w:t>
            </w:r>
          </w:p>
        </w:tc>
      </w:tr>
      <w:tr w:rsidR="00C972C2" w:rsidRPr="00C64788" w14:paraId="7ADA74E8" w14:textId="77777777" w:rsidTr="00C972C2">
        <w:trPr>
          <w:trHeight w:hRule="exact" w:val="245"/>
        </w:trPr>
        <w:tc>
          <w:tcPr>
            <w:tcW w:w="4068" w:type="dxa"/>
          </w:tcPr>
          <w:p w14:paraId="2F4453E5" w14:textId="77777777" w:rsidR="00C972C2" w:rsidRPr="00C64788" w:rsidRDefault="00C972C2" w:rsidP="00C972C2">
            <w:pPr>
              <w:widowControl w:val="0"/>
              <w:autoSpaceDE w:val="0"/>
              <w:autoSpaceDN w:val="0"/>
              <w:ind w:left="254"/>
              <w:rPr>
                <w:color w:val="auto"/>
                <w:sz w:val="20"/>
                <w:szCs w:val="22"/>
                <w:lang w:val="en-US" w:eastAsia="en-US"/>
              </w:rPr>
            </w:pPr>
            <w:proofErr w:type="spellStart"/>
            <w:r w:rsidRPr="00C64788">
              <w:rPr>
                <w:color w:val="auto"/>
                <w:sz w:val="20"/>
                <w:szCs w:val="22"/>
                <w:lang w:val="en-US" w:eastAsia="en-US"/>
              </w:rPr>
              <w:t>Hypoaesthesia</w:t>
            </w:r>
            <w:proofErr w:type="spellEnd"/>
          </w:p>
        </w:tc>
        <w:tc>
          <w:tcPr>
            <w:tcW w:w="1680" w:type="dxa"/>
          </w:tcPr>
          <w:p w14:paraId="6B5357A6"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15 (1.6)</w:t>
            </w:r>
          </w:p>
        </w:tc>
        <w:tc>
          <w:tcPr>
            <w:tcW w:w="1560" w:type="dxa"/>
          </w:tcPr>
          <w:p w14:paraId="775664E0"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12 (2.5)</w:t>
            </w:r>
          </w:p>
        </w:tc>
        <w:tc>
          <w:tcPr>
            <w:tcW w:w="1548" w:type="dxa"/>
          </w:tcPr>
          <w:p w14:paraId="4868E308"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27 (1.9)</w:t>
            </w:r>
          </w:p>
        </w:tc>
      </w:tr>
      <w:tr w:rsidR="00C972C2" w:rsidRPr="00C64788" w14:paraId="1E22716E" w14:textId="77777777" w:rsidTr="00C972C2">
        <w:trPr>
          <w:trHeight w:hRule="exact" w:val="245"/>
        </w:trPr>
        <w:tc>
          <w:tcPr>
            <w:tcW w:w="4068" w:type="dxa"/>
          </w:tcPr>
          <w:p w14:paraId="29C3E1AB"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Migraine</w:t>
            </w:r>
          </w:p>
        </w:tc>
        <w:tc>
          <w:tcPr>
            <w:tcW w:w="1680" w:type="dxa"/>
          </w:tcPr>
          <w:p w14:paraId="5AB51A7C"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22 (2.3)</w:t>
            </w:r>
          </w:p>
        </w:tc>
        <w:tc>
          <w:tcPr>
            <w:tcW w:w="1560" w:type="dxa"/>
          </w:tcPr>
          <w:p w14:paraId="70C5FE2E"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10 (2.1)</w:t>
            </w:r>
          </w:p>
        </w:tc>
        <w:tc>
          <w:tcPr>
            <w:tcW w:w="1548" w:type="dxa"/>
          </w:tcPr>
          <w:p w14:paraId="76B52391"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32 (2.2)</w:t>
            </w:r>
          </w:p>
        </w:tc>
      </w:tr>
      <w:tr w:rsidR="00C972C2" w:rsidRPr="00C64788" w14:paraId="6B09E43C" w14:textId="77777777" w:rsidTr="00C972C2">
        <w:trPr>
          <w:trHeight w:hRule="exact" w:val="245"/>
        </w:trPr>
        <w:tc>
          <w:tcPr>
            <w:tcW w:w="4068" w:type="dxa"/>
          </w:tcPr>
          <w:p w14:paraId="2A665743" w14:textId="77777777" w:rsidR="00C972C2" w:rsidRPr="00C64788" w:rsidRDefault="00C972C2" w:rsidP="00C972C2">
            <w:pPr>
              <w:widowControl w:val="0"/>
              <w:autoSpaceDE w:val="0"/>
              <w:autoSpaceDN w:val="0"/>
              <w:ind w:left="254"/>
              <w:rPr>
                <w:color w:val="auto"/>
                <w:sz w:val="20"/>
                <w:szCs w:val="22"/>
                <w:lang w:val="en-US" w:eastAsia="en-US"/>
              </w:rPr>
            </w:pPr>
            <w:proofErr w:type="spellStart"/>
            <w:r w:rsidRPr="00C64788">
              <w:rPr>
                <w:color w:val="auto"/>
                <w:sz w:val="20"/>
                <w:szCs w:val="22"/>
                <w:lang w:val="en-US" w:eastAsia="en-US"/>
              </w:rPr>
              <w:t>Paraesthesia</w:t>
            </w:r>
            <w:proofErr w:type="spellEnd"/>
          </w:p>
        </w:tc>
        <w:tc>
          <w:tcPr>
            <w:tcW w:w="1680" w:type="dxa"/>
          </w:tcPr>
          <w:p w14:paraId="332E7810"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19 (2.0)</w:t>
            </w:r>
          </w:p>
        </w:tc>
        <w:tc>
          <w:tcPr>
            <w:tcW w:w="1560" w:type="dxa"/>
          </w:tcPr>
          <w:p w14:paraId="18C0C5AC"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13 (2.7)</w:t>
            </w:r>
          </w:p>
        </w:tc>
        <w:tc>
          <w:tcPr>
            <w:tcW w:w="1548" w:type="dxa"/>
          </w:tcPr>
          <w:p w14:paraId="366C1261"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32 (2.2)</w:t>
            </w:r>
          </w:p>
        </w:tc>
      </w:tr>
      <w:tr w:rsidR="00C972C2" w:rsidRPr="00C64788" w14:paraId="261EA67B" w14:textId="77777777" w:rsidTr="00C972C2">
        <w:trPr>
          <w:trHeight w:hRule="exact" w:val="245"/>
        </w:trPr>
        <w:tc>
          <w:tcPr>
            <w:tcW w:w="8856" w:type="dxa"/>
            <w:gridSpan w:val="4"/>
          </w:tcPr>
          <w:p w14:paraId="7585B932" w14:textId="77777777" w:rsidR="00C972C2" w:rsidRPr="00C64788" w:rsidRDefault="00C972C2" w:rsidP="00C972C2">
            <w:pPr>
              <w:widowControl w:val="0"/>
              <w:autoSpaceDE w:val="0"/>
              <w:autoSpaceDN w:val="0"/>
              <w:ind w:left="103"/>
              <w:rPr>
                <w:color w:val="auto"/>
                <w:sz w:val="20"/>
                <w:szCs w:val="22"/>
                <w:lang w:val="en-US" w:eastAsia="en-US"/>
              </w:rPr>
            </w:pPr>
            <w:r w:rsidRPr="00C64788">
              <w:rPr>
                <w:color w:val="auto"/>
                <w:sz w:val="20"/>
                <w:szCs w:val="22"/>
                <w:lang w:val="en-US" w:eastAsia="en-US"/>
              </w:rPr>
              <w:t>Psychiatric disorders</w:t>
            </w:r>
          </w:p>
        </w:tc>
      </w:tr>
      <w:tr w:rsidR="00C972C2" w:rsidRPr="00C64788" w14:paraId="5F0A1683" w14:textId="77777777" w:rsidTr="00C972C2">
        <w:trPr>
          <w:trHeight w:hRule="exact" w:val="245"/>
        </w:trPr>
        <w:tc>
          <w:tcPr>
            <w:tcW w:w="4068" w:type="dxa"/>
          </w:tcPr>
          <w:p w14:paraId="00E58525"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Anxiety</w:t>
            </w:r>
          </w:p>
        </w:tc>
        <w:tc>
          <w:tcPr>
            <w:tcW w:w="1680" w:type="dxa"/>
          </w:tcPr>
          <w:p w14:paraId="0031825C"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30 (3.1)</w:t>
            </w:r>
          </w:p>
        </w:tc>
        <w:tc>
          <w:tcPr>
            <w:tcW w:w="1560" w:type="dxa"/>
          </w:tcPr>
          <w:p w14:paraId="0662B375"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8 (1.7)</w:t>
            </w:r>
          </w:p>
        </w:tc>
        <w:tc>
          <w:tcPr>
            <w:tcW w:w="1548" w:type="dxa"/>
          </w:tcPr>
          <w:p w14:paraId="138B38AE"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38 (2.6)</w:t>
            </w:r>
          </w:p>
        </w:tc>
      </w:tr>
      <w:tr w:rsidR="00C972C2" w:rsidRPr="00C64788" w14:paraId="3B69B65E" w14:textId="77777777" w:rsidTr="00C972C2">
        <w:trPr>
          <w:trHeight w:hRule="exact" w:val="245"/>
        </w:trPr>
        <w:tc>
          <w:tcPr>
            <w:tcW w:w="4068" w:type="dxa"/>
          </w:tcPr>
          <w:p w14:paraId="210E97B9"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Depression</w:t>
            </w:r>
          </w:p>
        </w:tc>
        <w:tc>
          <w:tcPr>
            <w:tcW w:w="1680" w:type="dxa"/>
          </w:tcPr>
          <w:p w14:paraId="47DF4655"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42 (4.4)</w:t>
            </w:r>
          </w:p>
        </w:tc>
        <w:tc>
          <w:tcPr>
            <w:tcW w:w="1560" w:type="dxa"/>
          </w:tcPr>
          <w:p w14:paraId="5B9A1893"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21 (4.3)</w:t>
            </w:r>
          </w:p>
        </w:tc>
        <w:tc>
          <w:tcPr>
            <w:tcW w:w="1548" w:type="dxa"/>
          </w:tcPr>
          <w:p w14:paraId="41AD963F"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63 (4.4)</w:t>
            </w:r>
          </w:p>
        </w:tc>
      </w:tr>
      <w:tr w:rsidR="00C972C2" w:rsidRPr="00C64788" w14:paraId="6C4438FE" w14:textId="77777777" w:rsidTr="00C972C2">
        <w:trPr>
          <w:trHeight w:hRule="exact" w:val="245"/>
        </w:trPr>
        <w:tc>
          <w:tcPr>
            <w:tcW w:w="4068" w:type="dxa"/>
          </w:tcPr>
          <w:p w14:paraId="618618ED"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Insomnia</w:t>
            </w:r>
          </w:p>
        </w:tc>
        <w:tc>
          <w:tcPr>
            <w:tcW w:w="1680" w:type="dxa"/>
          </w:tcPr>
          <w:p w14:paraId="707721B3"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55 (5.7)</w:t>
            </w:r>
          </w:p>
        </w:tc>
        <w:tc>
          <w:tcPr>
            <w:tcW w:w="1560" w:type="dxa"/>
          </w:tcPr>
          <w:p w14:paraId="2554B58F"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21 (4.3)</w:t>
            </w:r>
          </w:p>
        </w:tc>
        <w:tc>
          <w:tcPr>
            <w:tcW w:w="1548" w:type="dxa"/>
          </w:tcPr>
          <w:p w14:paraId="3DC5E739"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76 (5.3)</w:t>
            </w:r>
          </w:p>
        </w:tc>
      </w:tr>
      <w:tr w:rsidR="00C972C2" w:rsidRPr="00C64788" w14:paraId="433C0EFA" w14:textId="77777777" w:rsidTr="00C972C2">
        <w:trPr>
          <w:trHeight w:hRule="exact" w:val="245"/>
        </w:trPr>
        <w:tc>
          <w:tcPr>
            <w:tcW w:w="4068" w:type="dxa"/>
          </w:tcPr>
          <w:p w14:paraId="104B4676"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Stress</w:t>
            </w:r>
          </w:p>
        </w:tc>
        <w:tc>
          <w:tcPr>
            <w:tcW w:w="1680" w:type="dxa"/>
          </w:tcPr>
          <w:p w14:paraId="32DADCC8"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9 (0.9)</w:t>
            </w:r>
          </w:p>
        </w:tc>
        <w:tc>
          <w:tcPr>
            <w:tcW w:w="1560" w:type="dxa"/>
          </w:tcPr>
          <w:p w14:paraId="1154BC2D"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10 (2.1)</w:t>
            </w:r>
          </w:p>
        </w:tc>
        <w:tc>
          <w:tcPr>
            <w:tcW w:w="1548" w:type="dxa"/>
          </w:tcPr>
          <w:p w14:paraId="7AC3C3D0"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19 (1.3)</w:t>
            </w:r>
          </w:p>
        </w:tc>
      </w:tr>
      <w:tr w:rsidR="00C972C2" w:rsidRPr="00C64788" w14:paraId="091498B0" w14:textId="77777777" w:rsidTr="00C972C2">
        <w:trPr>
          <w:trHeight w:hRule="exact" w:val="245"/>
        </w:trPr>
        <w:tc>
          <w:tcPr>
            <w:tcW w:w="8856" w:type="dxa"/>
            <w:gridSpan w:val="4"/>
          </w:tcPr>
          <w:p w14:paraId="721775F1" w14:textId="77777777" w:rsidR="00C972C2" w:rsidRPr="00C64788" w:rsidRDefault="00C972C2" w:rsidP="00C972C2">
            <w:pPr>
              <w:widowControl w:val="0"/>
              <w:autoSpaceDE w:val="0"/>
              <w:autoSpaceDN w:val="0"/>
              <w:ind w:left="103"/>
              <w:rPr>
                <w:color w:val="auto"/>
                <w:sz w:val="20"/>
                <w:szCs w:val="22"/>
                <w:lang w:val="en-US" w:eastAsia="en-US"/>
              </w:rPr>
            </w:pPr>
            <w:r w:rsidRPr="00C64788">
              <w:rPr>
                <w:color w:val="auto"/>
                <w:sz w:val="20"/>
                <w:szCs w:val="22"/>
                <w:lang w:val="en-US" w:eastAsia="en-US"/>
              </w:rPr>
              <w:t>Renal and urinary disorders</w:t>
            </w:r>
          </w:p>
        </w:tc>
      </w:tr>
      <w:tr w:rsidR="00C972C2" w:rsidRPr="00C64788" w14:paraId="53AA17C8" w14:textId="77777777" w:rsidTr="00C972C2">
        <w:trPr>
          <w:trHeight w:hRule="exact" w:val="245"/>
        </w:trPr>
        <w:tc>
          <w:tcPr>
            <w:tcW w:w="4068" w:type="dxa"/>
          </w:tcPr>
          <w:p w14:paraId="76324E68" w14:textId="77777777" w:rsidR="00C972C2" w:rsidRPr="00C64788" w:rsidRDefault="00C972C2" w:rsidP="00C972C2">
            <w:pPr>
              <w:widowControl w:val="0"/>
              <w:autoSpaceDE w:val="0"/>
              <w:autoSpaceDN w:val="0"/>
              <w:ind w:left="254"/>
              <w:rPr>
                <w:color w:val="auto"/>
                <w:sz w:val="20"/>
                <w:szCs w:val="22"/>
                <w:lang w:val="en-US" w:eastAsia="en-US"/>
              </w:rPr>
            </w:pPr>
            <w:proofErr w:type="spellStart"/>
            <w:r w:rsidRPr="00C64788">
              <w:rPr>
                <w:color w:val="auto"/>
                <w:sz w:val="20"/>
                <w:szCs w:val="22"/>
                <w:lang w:val="en-US" w:eastAsia="en-US"/>
              </w:rPr>
              <w:t>Haematuria</w:t>
            </w:r>
            <w:proofErr w:type="spellEnd"/>
          </w:p>
        </w:tc>
        <w:tc>
          <w:tcPr>
            <w:tcW w:w="1680" w:type="dxa"/>
          </w:tcPr>
          <w:p w14:paraId="02F6EE03"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75 (7.8)</w:t>
            </w:r>
          </w:p>
        </w:tc>
        <w:tc>
          <w:tcPr>
            <w:tcW w:w="1560" w:type="dxa"/>
          </w:tcPr>
          <w:p w14:paraId="561590E0"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68 (14.1)</w:t>
            </w:r>
          </w:p>
        </w:tc>
        <w:tc>
          <w:tcPr>
            <w:tcW w:w="1548" w:type="dxa"/>
          </w:tcPr>
          <w:p w14:paraId="1463CC87" w14:textId="77777777" w:rsidR="00C972C2" w:rsidRPr="00C64788" w:rsidRDefault="00C972C2" w:rsidP="00C972C2">
            <w:pPr>
              <w:widowControl w:val="0"/>
              <w:autoSpaceDE w:val="0"/>
              <w:autoSpaceDN w:val="0"/>
              <w:ind w:right="398"/>
              <w:jc w:val="right"/>
              <w:rPr>
                <w:color w:val="auto"/>
                <w:sz w:val="20"/>
                <w:szCs w:val="22"/>
                <w:lang w:val="en-US" w:eastAsia="en-US"/>
              </w:rPr>
            </w:pPr>
            <w:r w:rsidRPr="00C64788">
              <w:rPr>
                <w:color w:val="auto"/>
                <w:sz w:val="20"/>
                <w:szCs w:val="22"/>
                <w:lang w:val="en-US" w:eastAsia="en-US"/>
              </w:rPr>
              <w:t>143 (9.9)</w:t>
            </w:r>
          </w:p>
        </w:tc>
      </w:tr>
      <w:tr w:rsidR="00C972C2" w:rsidRPr="00C64788" w14:paraId="2B9BA094" w14:textId="77777777" w:rsidTr="00C972C2">
        <w:trPr>
          <w:trHeight w:hRule="exact" w:val="245"/>
        </w:trPr>
        <w:tc>
          <w:tcPr>
            <w:tcW w:w="4068" w:type="dxa"/>
          </w:tcPr>
          <w:p w14:paraId="3F5F2B19"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Nephrolithiasis</w:t>
            </w:r>
          </w:p>
        </w:tc>
        <w:tc>
          <w:tcPr>
            <w:tcW w:w="1680" w:type="dxa"/>
          </w:tcPr>
          <w:p w14:paraId="410536F2"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15 (1.6)</w:t>
            </w:r>
          </w:p>
        </w:tc>
        <w:tc>
          <w:tcPr>
            <w:tcW w:w="1560" w:type="dxa"/>
          </w:tcPr>
          <w:p w14:paraId="0019CC17"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14 (2.9)</w:t>
            </w:r>
          </w:p>
        </w:tc>
        <w:tc>
          <w:tcPr>
            <w:tcW w:w="1548" w:type="dxa"/>
          </w:tcPr>
          <w:p w14:paraId="78B75097"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29 (2.0)</w:t>
            </w:r>
          </w:p>
        </w:tc>
      </w:tr>
      <w:tr w:rsidR="00C972C2" w:rsidRPr="00C64788" w14:paraId="3ED05927" w14:textId="77777777" w:rsidTr="00C972C2">
        <w:trPr>
          <w:trHeight w:hRule="exact" w:val="242"/>
        </w:trPr>
        <w:tc>
          <w:tcPr>
            <w:tcW w:w="4068" w:type="dxa"/>
          </w:tcPr>
          <w:p w14:paraId="0C6C084A" w14:textId="77777777" w:rsidR="00C972C2" w:rsidRPr="00C64788" w:rsidRDefault="00C972C2" w:rsidP="00C972C2">
            <w:pPr>
              <w:widowControl w:val="0"/>
              <w:autoSpaceDE w:val="0"/>
              <w:autoSpaceDN w:val="0"/>
              <w:spacing w:before="3"/>
              <w:ind w:left="254"/>
              <w:rPr>
                <w:b/>
                <w:color w:val="auto"/>
                <w:sz w:val="20"/>
                <w:szCs w:val="22"/>
                <w:lang w:val="en-US" w:eastAsia="en-US"/>
              </w:rPr>
            </w:pPr>
            <w:r w:rsidRPr="00C64788">
              <w:rPr>
                <w:b/>
                <w:color w:val="auto"/>
                <w:sz w:val="20"/>
                <w:szCs w:val="22"/>
                <w:lang w:val="en-US" w:eastAsia="en-US"/>
              </w:rPr>
              <w:t>Nocturia</w:t>
            </w:r>
          </w:p>
        </w:tc>
        <w:tc>
          <w:tcPr>
            <w:tcW w:w="1680" w:type="dxa"/>
          </w:tcPr>
          <w:p w14:paraId="2786AD0A" w14:textId="77777777" w:rsidR="00C972C2" w:rsidRPr="00C64788" w:rsidRDefault="00C972C2" w:rsidP="00C972C2">
            <w:pPr>
              <w:widowControl w:val="0"/>
              <w:autoSpaceDE w:val="0"/>
              <w:autoSpaceDN w:val="0"/>
              <w:spacing w:before="3"/>
              <w:ind w:left="397" w:right="397"/>
              <w:jc w:val="center"/>
              <w:rPr>
                <w:b/>
                <w:color w:val="auto"/>
                <w:sz w:val="20"/>
                <w:szCs w:val="22"/>
                <w:lang w:val="en-US" w:eastAsia="en-US"/>
              </w:rPr>
            </w:pPr>
            <w:r w:rsidRPr="00C64788">
              <w:rPr>
                <w:b/>
                <w:color w:val="auto"/>
                <w:sz w:val="20"/>
                <w:szCs w:val="22"/>
                <w:lang w:val="en-US" w:eastAsia="en-US"/>
              </w:rPr>
              <w:t>280 (29.1)</w:t>
            </w:r>
          </w:p>
        </w:tc>
        <w:tc>
          <w:tcPr>
            <w:tcW w:w="1560" w:type="dxa"/>
          </w:tcPr>
          <w:p w14:paraId="74A92E46" w14:textId="77777777" w:rsidR="00C972C2" w:rsidRPr="00C64788" w:rsidRDefault="00C972C2" w:rsidP="00C972C2">
            <w:pPr>
              <w:widowControl w:val="0"/>
              <w:autoSpaceDE w:val="0"/>
              <w:autoSpaceDN w:val="0"/>
              <w:spacing w:before="3"/>
              <w:ind w:left="338" w:right="338"/>
              <w:jc w:val="center"/>
              <w:rPr>
                <w:b/>
                <w:color w:val="auto"/>
                <w:sz w:val="20"/>
                <w:szCs w:val="22"/>
                <w:lang w:val="en-US" w:eastAsia="en-US"/>
              </w:rPr>
            </w:pPr>
            <w:r w:rsidRPr="00C64788">
              <w:rPr>
                <w:b/>
                <w:color w:val="auto"/>
                <w:sz w:val="20"/>
                <w:szCs w:val="22"/>
                <w:lang w:val="en-US" w:eastAsia="en-US"/>
              </w:rPr>
              <w:t>63 (13.0)</w:t>
            </w:r>
          </w:p>
        </w:tc>
        <w:tc>
          <w:tcPr>
            <w:tcW w:w="1548" w:type="dxa"/>
          </w:tcPr>
          <w:p w14:paraId="196124E0" w14:textId="77777777" w:rsidR="00C972C2" w:rsidRPr="00C64788" w:rsidRDefault="00C972C2" w:rsidP="00C972C2">
            <w:pPr>
              <w:widowControl w:val="0"/>
              <w:autoSpaceDE w:val="0"/>
              <w:autoSpaceDN w:val="0"/>
              <w:spacing w:before="3"/>
              <w:ind w:right="348"/>
              <w:jc w:val="right"/>
              <w:rPr>
                <w:b/>
                <w:color w:val="auto"/>
                <w:sz w:val="20"/>
                <w:szCs w:val="22"/>
                <w:lang w:val="en-US" w:eastAsia="en-US"/>
              </w:rPr>
            </w:pPr>
            <w:r w:rsidRPr="00C64788">
              <w:rPr>
                <w:b/>
                <w:color w:val="auto"/>
                <w:sz w:val="20"/>
                <w:szCs w:val="22"/>
                <w:lang w:val="en-US" w:eastAsia="en-US"/>
              </w:rPr>
              <w:t>343 (23.8)</w:t>
            </w:r>
          </w:p>
        </w:tc>
      </w:tr>
      <w:tr w:rsidR="00C972C2" w:rsidRPr="00C64788" w14:paraId="65435A73" w14:textId="77777777" w:rsidTr="00C972C2">
        <w:trPr>
          <w:trHeight w:hRule="exact" w:val="242"/>
        </w:trPr>
        <w:tc>
          <w:tcPr>
            <w:tcW w:w="4068" w:type="dxa"/>
          </w:tcPr>
          <w:p w14:paraId="59F8F459" w14:textId="77777777" w:rsidR="00C972C2" w:rsidRPr="00C64788" w:rsidRDefault="00C972C2" w:rsidP="00C972C2">
            <w:pPr>
              <w:widowControl w:val="0"/>
              <w:autoSpaceDE w:val="0"/>
              <w:autoSpaceDN w:val="0"/>
              <w:spacing w:before="3"/>
              <w:ind w:left="254"/>
              <w:rPr>
                <w:b/>
                <w:color w:val="auto"/>
                <w:sz w:val="20"/>
                <w:szCs w:val="22"/>
                <w:lang w:val="en-US" w:eastAsia="en-US"/>
              </w:rPr>
            </w:pPr>
            <w:proofErr w:type="spellStart"/>
            <w:r w:rsidRPr="00C64788">
              <w:rPr>
                <w:b/>
                <w:color w:val="auto"/>
                <w:sz w:val="20"/>
                <w:szCs w:val="22"/>
                <w:lang w:val="en-US" w:eastAsia="en-US"/>
              </w:rPr>
              <w:t>Pollakiuria</w:t>
            </w:r>
            <w:proofErr w:type="spellEnd"/>
          </w:p>
        </w:tc>
        <w:tc>
          <w:tcPr>
            <w:tcW w:w="1680" w:type="dxa"/>
          </w:tcPr>
          <w:p w14:paraId="3EC2E99A" w14:textId="77777777" w:rsidR="00C972C2" w:rsidRPr="00C64788" w:rsidRDefault="00C972C2" w:rsidP="00C972C2">
            <w:pPr>
              <w:widowControl w:val="0"/>
              <w:autoSpaceDE w:val="0"/>
              <w:autoSpaceDN w:val="0"/>
              <w:spacing w:before="3"/>
              <w:ind w:left="397" w:right="397"/>
              <w:jc w:val="center"/>
              <w:rPr>
                <w:b/>
                <w:color w:val="auto"/>
                <w:sz w:val="20"/>
                <w:szCs w:val="22"/>
                <w:lang w:val="en-US" w:eastAsia="en-US"/>
              </w:rPr>
            </w:pPr>
            <w:r w:rsidRPr="00C64788">
              <w:rPr>
                <w:b/>
                <w:color w:val="auto"/>
                <w:sz w:val="20"/>
                <w:szCs w:val="22"/>
                <w:lang w:val="en-US" w:eastAsia="en-US"/>
              </w:rPr>
              <w:t>223 (23.2)</w:t>
            </w:r>
          </w:p>
        </w:tc>
        <w:tc>
          <w:tcPr>
            <w:tcW w:w="1560" w:type="dxa"/>
          </w:tcPr>
          <w:p w14:paraId="568888AB" w14:textId="77777777" w:rsidR="00C972C2" w:rsidRPr="00C64788" w:rsidRDefault="00C972C2" w:rsidP="00C972C2">
            <w:pPr>
              <w:widowControl w:val="0"/>
              <w:autoSpaceDE w:val="0"/>
              <w:autoSpaceDN w:val="0"/>
              <w:spacing w:before="3"/>
              <w:ind w:left="338" w:right="338"/>
              <w:jc w:val="center"/>
              <w:rPr>
                <w:b/>
                <w:color w:val="auto"/>
                <w:sz w:val="20"/>
                <w:szCs w:val="22"/>
                <w:lang w:val="en-US" w:eastAsia="en-US"/>
              </w:rPr>
            </w:pPr>
            <w:r w:rsidRPr="00C64788">
              <w:rPr>
                <w:b/>
                <w:color w:val="auto"/>
                <w:sz w:val="20"/>
                <w:szCs w:val="22"/>
                <w:lang w:val="en-US" w:eastAsia="en-US"/>
              </w:rPr>
              <w:t>26 (5.4)</w:t>
            </w:r>
          </w:p>
        </w:tc>
        <w:tc>
          <w:tcPr>
            <w:tcW w:w="1548" w:type="dxa"/>
          </w:tcPr>
          <w:p w14:paraId="4EEFEC26" w14:textId="77777777" w:rsidR="00C972C2" w:rsidRPr="00C64788" w:rsidRDefault="00C972C2" w:rsidP="00C972C2">
            <w:pPr>
              <w:widowControl w:val="0"/>
              <w:autoSpaceDE w:val="0"/>
              <w:autoSpaceDN w:val="0"/>
              <w:spacing w:before="3"/>
              <w:ind w:right="348"/>
              <w:jc w:val="right"/>
              <w:rPr>
                <w:b/>
                <w:color w:val="auto"/>
                <w:sz w:val="20"/>
                <w:szCs w:val="22"/>
                <w:lang w:val="en-US" w:eastAsia="en-US"/>
              </w:rPr>
            </w:pPr>
            <w:r w:rsidRPr="00C64788">
              <w:rPr>
                <w:b/>
                <w:color w:val="auto"/>
                <w:sz w:val="20"/>
                <w:szCs w:val="22"/>
                <w:lang w:val="en-US" w:eastAsia="en-US"/>
              </w:rPr>
              <w:t>249 (17.2)</w:t>
            </w:r>
          </w:p>
        </w:tc>
      </w:tr>
      <w:tr w:rsidR="00C972C2" w:rsidRPr="00C64788" w14:paraId="18AC0E47" w14:textId="77777777" w:rsidTr="00C972C2">
        <w:trPr>
          <w:trHeight w:hRule="exact" w:val="242"/>
        </w:trPr>
        <w:tc>
          <w:tcPr>
            <w:tcW w:w="4068" w:type="dxa"/>
          </w:tcPr>
          <w:p w14:paraId="63F1D627" w14:textId="77777777" w:rsidR="00C972C2" w:rsidRPr="00C64788" w:rsidRDefault="00C972C2" w:rsidP="00C972C2">
            <w:pPr>
              <w:widowControl w:val="0"/>
              <w:autoSpaceDE w:val="0"/>
              <w:autoSpaceDN w:val="0"/>
              <w:spacing w:before="3"/>
              <w:ind w:left="254"/>
              <w:rPr>
                <w:b/>
                <w:color w:val="auto"/>
                <w:sz w:val="20"/>
                <w:szCs w:val="22"/>
                <w:lang w:val="en-US" w:eastAsia="en-US"/>
              </w:rPr>
            </w:pPr>
            <w:r w:rsidRPr="00C64788">
              <w:rPr>
                <w:b/>
                <w:color w:val="auto"/>
                <w:sz w:val="20"/>
                <w:szCs w:val="22"/>
                <w:lang w:val="en-US" w:eastAsia="en-US"/>
              </w:rPr>
              <w:t>Polyuria</w:t>
            </w:r>
          </w:p>
        </w:tc>
        <w:tc>
          <w:tcPr>
            <w:tcW w:w="1680" w:type="dxa"/>
          </w:tcPr>
          <w:p w14:paraId="4FB170FB" w14:textId="77777777" w:rsidR="00C972C2" w:rsidRPr="00C64788" w:rsidRDefault="00C972C2" w:rsidP="00C972C2">
            <w:pPr>
              <w:widowControl w:val="0"/>
              <w:autoSpaceDE w:val="0"/>
              <w:autoSpaceDN w:val="0"/>
              <w:spacing w:before="3"/>
              <w:ind w:left="397" w:right="397"/>
              <w:jc w:val="center"/>
              <w:rPr>
                <w:b/>
                <w:color w:val="auto"/>
                <w:sz w:val="20"/>
                <w:szCs w:val="22"/>
                <w:lang w:val="en-US" w:eastAsia="en-US"/>
              </w:rPr>
            </w:pPr>
            <w:r w:rsidRPr="00C64788">
              <w:rPr>
                <w:b/>
                <w:color w:val="auto"/>
                <w:sz w:val="20"/>
                <w:szCs w:val="22"/>
                <w:lang w:val="en-US" w:eastAsia="en-US"/>
              </w:rPr>
              <w:t>368 (38.3)</w:t>
            </w:r>
          </w:p>
        </w:tc>
        <w:tc>
          <w:tcPr>
            <w:tcW w:w="1560" w:type="dxa"/>
          </w:tcPr>
          <w:p w14:paraId="65482CB7" w14:textId="77777777" w:rsidR="00C972C2" w:rsidRPr="00C64788" w:rsidRDefault="00C972C2" w:rsidP="00C972C2">
            <w:pPr>
              <w:widowControl w:val="0"/>
              <w:autoSpaceDE w:val="0"/>
              <w:autoSpaceDN w:val="0"/>
              <w:spacing w:before="3"/>
              <w:ind w:left="338" w:right="338"/>
              <w:jc w:val="center"/>
              <w:rPr>
                <w:b/>
                <w:color w:val="auto"/>
                <w:sz w:val="20"/>
                <w:szCs w:val="22"/>
                <w:lang w:val="en-US" w:eastAsia="en-US"/>
              </w:rPr>
            </w:pPr>
            <w:r w:rsidRPr="00C64788">
              <w:rPr>
                <w:b/>
                <w:color w:val="auto"/>
                <w:sz w:val="20"/>
                <w:szCs w:val="22"/>
                <w:lang w:val="en-US" w:eastAsia="en-US"/>
              </w:rPr>
              <w:t>83 (17.2)</w:t>
            </w:r>
          </w:p>
        </w:tc>
        <w:tc>
          <w:tcPr>
            <w:tcW w:w="1548" w:type="dxa"/>
          </w:tcPr>
          <w:p w14:paraId="1CE85906" w14:textId="77777777" w:rsidR="00C972C2" w:rsidRPr="00C64788" w:rsidRDefault="00C972C2" w:rsidP="00C972C2">
            <w:pPr>
              <w:widowControl w:val="0"/>
              <w:autoSpaceDE w:val="0"/>
              <w:autoSpaceDN w:val="0"/>
              <w:spacing w:before="3"/>
              <w:ind w:right="348"/>
              <w:jc w:val="right"/>
              <w:rPr>
                <w:b/>
                <w:color w:val="auto"/>
                <w:sz w:val="20"/>
                <w:szCs w:val="22"/>
                <w:lang w:val="en-US" w:eastAsia="en-US"/>
              </w:rPr>
            </w:pPr>
            <w:r w:rsidRPr="00C64788">
              <w:rPr>
                <w:b/>
                <w:color w:val="auto"/>
                <w:sz w:val="20"/>
                <w:szCs w:val="22"/>
                <w:lang w:val="en-US" w:eastAsia="en-US"/>
              </w:rPr>
              <w:t>451 (31.2)</w:t>
            </w:r>
          </w:p>
        </w:tc>
      </w:tr>
      <w:tr w:rsidR="00C972C2" w:rsidRPr="00C64788" w14:paraId="2E8D910E" w14:textId="77777777" w:rsidTr="00C972C2">
        <w:trPr>
          <w:trHeight w:hRule="exact" w:val="245"/>
        </w:trPr>
        <w:tc>
          <w:tcPr>
            <w:tcW w:w="4068" w:type="dxa"/>
          </w:tcPr>
          <w:p w14:paraId="1BAC7E21"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Renal pain</w:t>
            </w:r>
          </w:p>
        </w:tc>
        <w:tc>
          <w:tcPr>
            <w:tcW w:w="1680" w:type="dxa"/>
          </w:tcPr>
          <w:p w14:paraId="436F84A4"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260 (27.1)</w:t>
            </w:r>
          </w:p>
        </w:tc>
        <w:tc>
          <w:tcPr>
            <w:tcW w:w="1560" w:type="dxa"/>
          </w:tcPr>
          <w:p w14:paraId="28405A73"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171 (35.4)</w:t>
            </w:r>
          </w:p>
        </w:tc>
        <w:tc>
          <w:tcPr>
            <w:tcW w:w="1548" w:type="dxa"/>
          </w:tcPr>
          <w:p w14:paraId="47DAC392" w14:textId="77777777" w:rsidR="00C972C2" w:rsidRPr="00C64788" w:rsidRDefault="00C972C2" w:rsidP="00C972C2">
            <w:pPr>
              <w:widowControl w:val="0"/>
              <w:autoSpaceDE w:val="0"/>
              <w:autoSpaceDN w:val="0"/>
              <w:ind w:right="349"/>
              <w:jc w:val="right"/>
              <w:rPr>
                <w:color w:val="auto"/>
                <w:sz w:val="20"/>
                <w:szCs w:val="22"/>
                <w:lang w:val="en-US" w:eastAsia="en-US"/>
              </w:rPr>
            </w:pPr>
            <w:r w:rsidRPr="00C64788">
              <w:rPr>
                <w:color w:val="auto"/>
                <w:sz w:val="20"/>
                <w:szCs w:val="22"/>
                <w:lang w:val="en-US" w:eastAsia="en-US"/>
              </w:rPr>
              <w:t>431 (29.8)</w:t>
            </w:r>
          </w:p>
        </w:tc>
      </w:tr>
      <w:tr w:rsidR="00C972C2" w:rsidRPr="00C64788" w14:paraId="6687A6BC" w14:textId="77777777" w:rsidTr="00C972C2">
        <w:trPr>
          <w:trHeight w:hRule="exact" w:val="245"/>
        </w:trPr>
        <w:tc>
          <w:tcPr>
            <w:tcW w:w="8856" w:type="dxa"/>
            <w:gridSpan w:val="4"/>
          </w:tcPr>
          <w:p w14:paraId="080297D6" w14:textId="77777777" w:rsidR="00C972C2" w:rsidRPr="00C64788" w:rsidRDefault="00C972C2" w:rsidP="00C972C2">
            <w:pPr>
              <w:widowControl w:val="0"/>
              <w:autoSpaceDE w:val="0"/>
              <w:autoSpaceDN w:val="0"/>
              <w:ind w:left="103"/>
              <w:rPr>
                <w:color w:val="auto"/>
                <w:sz w:val="20"/>
                <w:szCs w:val="22"/>
                <w:lang w:val="en-US" w:eastAsia="en-US"/>
              </w:rPr>
            </w:pPr>
            <w:r w:rsidRPr="00C64788">
              <w:rPr>
                <w:color w:val="auto"/>
                <w:sz w:val="20"/>
                <w:szCs w:val="22"/>
                <w:lang w:val="en-US" w:eastAsia="en-US"/>
              </w:rPr>
              <w:t>Respiratory, thoracic and mediastinal disorders</w:t>
            </w:r>
          </w:p>
        </w:tc>
      </w:tr>
      <w:tr w:rsidR="00C972C2" w:rsidRPr="00C64788" w14:paraId="1B6525B6" w14:textId="77777777" w:rsidTr="00C972C2">
        <w:trPr>
          <w:trHeight w:hRule="exact" w:val="245"/>
        </w:trPr>
        <w:tc>
          <w:tcPr>
            <w:tcW w:w="4068" w:type="dxa"/>
          </w:tcPr>
          <w:p w14:paraId="7D146AC3"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Cough</w:t>
            </w:r>
          </w:p>
        </w:tc>
        <w:tc>
          <w:tcPr>
            <w:tcW w:w="1680" w:type="dxa"/>
          </w:tcPr>
          <w:p w14:paraId="1350AD55"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77 (8.0)</w:t>
            </w:r>
          </w:p>
        </w:tc>
        <w:tc>
          <w:tcPr>
            <w:tcW w:w="1560" w:type="dxa"/>
          </w:tcPr>
          <w:p w14:paraId="19165E56"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38 (7.9)</w:t>
            </w:r>
          </w:p>
        </w:tc>
        <w:tc>
          <w:tcPr>
            <w:tcW w:w="1548" w:type="dxa"/>
          </w:tcPr>
          <w:p w14:paraId="0A2DD586" w14:textId="77777777" w:rsidR="00C972C2" w:rsidRPr="00C64788" w:rsidRDefault="00C972C2" w:rsidP="00C972C2">
            <w:pPr>
              <w:widowControl w:val="0"/>
              <w:autoSpaceDE w:val="0"/>
              <w:autoSpaceDN w:val="0"/>
              <w:ind w:right="398"/>
              <w:jc w:val="right"/>
              <w:rPr>
                <w:color w:val="auto"/>
                <w:sz w:val="20"/>
                <w:szCs w:val="22"/>
                <w:lang w:val="en-US" w:eastAsia="en-US"/>
              </w:rPr>
            </w:pPr>
            <w:r w:rsidRPr="00C64788">
              <w:rPr>
                <w:color w:val="auto"/>
                <w:sz w:val="20"/>
                <w:szCs w:val="22"/>
                <w:lang w:val="en-US" w:eastAsia="en-US"/>
              </w:rPr>
              <w:t>115 (8.0)</w:t>
            </w:r>
          </w:p>
        </w:tc>
      </w:tr>
      <w:tr w:rsidR="00C972C2" w:rsidRPr="00C64788" w14:paraId="230C6957" w14:textId="77777777" w:rsidTr="00C972C2">
        <w:trPr>
          <w:trHeight w:hRule="exact" w:val="245"/>
        </w:trPr>
        <w:tc>
          <w:tcPr>
            <w:tcW w:w="4068" w:type="dxa"/>
          </w:tcPr>
          <w:p w14:paraId="12647B28" w14:textId="77777777" w:rsidR="00C972C2" w:rsidRPr="00C64788" w:rsidRDefault="00C972C2" w:rsidP="00C972C2">
            <w:pPr>
              <w:widowControl w:val="0"/>
              <w:autoSpaceDE w:val="0"/>
              <w:autoSpaceDN w:val="0"/>
              <w:ind w:left="254"/>
              <w:rPr>
                <w:color w:val="auto"/>
                <w:sz w:val="20"/>
                <w:szCs w:val="22"/>
                <w:lang w:val="en-US" w:eastAsia="en-US"/>
              </w:rPr>
            </w:pPr>
            <w:proofErr w:type="spellStart"/>
            <w:r w:rsidRPr="00C64788">
              <w:rPr>
                <w:color w:val="auto"/>
                <w:sz w:val="20"/>
                <w:szCs w:val="22"/>
                <w:lang w:val="en-US" w:eastAsia="en-US"/>
              </w:rPr>
              <w:t>Dyspnoea</w:t>
            </w:r>
            <w:proofErr w:type="spellEnd"/>
          </w:p>
        </w:tc>
        <w:tc>
          <w:tcPr>
            <w:tcW w:w="1680" w:type="dxa"/>
          </w:tcPr>
          <w:p w14:paraId="33D55E50"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22 (2.3)</w:t>
            </w:r>
          </w:p>
        </w:tc>
        <w:tc>
          <w:tcPr>
            <w:tcW w:w="1560" w:type="dxa"/>
          </w:tcPr>
          <w:p w14:paraId="1B8FE00F"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6 (1.2)</w:t>
            </w:r>
          </w:p>
        </w:tc>
        <w:tc>
          <w:tcPr>
            <w:tcW w:w="1548" w:type="dxa"/>
          </w:tcPr>
          <w:p w14:paraId="79934D61"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28 (1.9)</w:t>
            </w:r>
          </w:p>
        </w:tc>
      </w:tr>
      <w:tr w:rsidR="00C972C2" w:rsidRPr="00C64788" w14:paraId="1BB825F6" w14:textId="77777777" w:rsidTr="00C972C2">
        <w:trPr>
          <w:trHeight w:hRule="exact" w:val="245"/>
        </w:trPr>
        <w:tc>
          <w:tcPr>
            <w:tcW w:w="4068" w:type="dxa"/>
          </w:tcPr>
          <w:p w14:paraId="2E32060C"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Oropharyngeal Pain</w:t>
            </w:r>
          </w:p>
        </w:tc>
        <w:tc>
          <w:tcPr>
            <w:tcW w:w="1680" w:type="dxa"/>
          </w:tcPr>
          <w:p w14:paraId="501ED339"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46 (4.8)</w:t>
            </w:r>
          </w:p>
        </w:tc>
        <w:tc>
          <w:tcPr>
            <w:tcW w:w="1560" w:type="dxa"/>
          </w:tcPr>
          <w:p w14:paraId="499A1BE1"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18 (3.7)</w:t>
            </w:r>
          </w:p>
        </w:tc>
        <w:tc>
          <w:tcPr>
            <w:tcW w:w="1548" w:type="dxa"/>
          </w:tcPr>
          <w:p w14:paraId="382C6F57"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64 (4.4)</w:t>
            </w:r>
          </w:p>
        </w:tc>
      </w:tr>
      <w:tr w:rsidR="00C972C2" w:rsidRPr="00C64788" w14:paraId="2E347670" w14:textId="77777777" w:rsidTr="00C972C2">
        <w:trPr>
          <w:trHeight w:hRule="exact" w:val="245"/>
        </w:trPr>
        <w:tc>
          <w:tcPr>
            <w:tcW w:w="8856" w:type="dxa"/>
            <w:gridSpan w:val="4"/>
          </w:tcPr>
          <w:p w14:paraId="0295218B" w14:textId="77777777" w:rsidR="00C972C2" w:rsidRPr="00C64788" w:rsidRDefault="00C972C2" w:rsidP="00C972C2">
            <w:pPr>
              <w:widowControl w:val="0"/>
              <w:autoSpaceDE w:val="0"/>
              <w:autoSpaceDN w:val="0"/>
              <w:ind w:left="103"/>
              <w:rPr>
                <w:color w:val="auto"/>
                <w:sz w:val="20"/>
                <w:szCs w:val="22"/>
                <w:lang w:val="en-US" w:eastAsia="en-US"/>
              </w:rPr>
            </w:pPr>
            <w:r w:rsidRPr="00C64788">
              <w:rPr>
                <w:color w:val="auto"/>
                <w:sz w:val="20"/>
                <w:szCs w:val="22"/>
                <w:lang w:val="en-US" w:eastAsia="en-US"/>
              </w:rPr>
              <w:t>Skin and subcutaneous tissue disorders</w:t>
            </w:r>
          </w:p>
        </w:tc>
      </w:tr>
      <w:tr w:rsidR="00C972C2" w:rsidRPr="00C64788" w14:paraId="66E565EC" w14:textId="77777777" w:rsidTr="00C972C2">
        <w:trPr>
          <w:trHeight w:hRule="exact" w:val="242"/>
        </w:trPr>
        <w:tc>
          <w:tcPr>
            <w:tcW w:w="4068" w:type="dxa"/>
          </w:tcPr>
          <w:p w14:paraId="2DB06F39" w14:textId="77777777" w:rsidR="00C972C2" w:rsidRPr="00C64788" w:rsidRDefault="00C972C2" w:rsidP="00C972C2">
            <w:pPr>
              <w:widowControl w:val="0"/>
              <w:autoSpaceDE w:val="0"/>
              <w:autoSpaceDN w:val="0"/>
              <w:spacing w:before="3"/>
              <w:ind w:left="254"/>
              <w:rPr>
                <w:b/>
                <w:color w:val="auto"/>
                <w:sz w:val="20"/>
                <w:szCs w:val="22"/>
                <w:lang w:val="en-US" w:eastAsia="en-US"/>
              </w:rPr>
            </w:pPr>
            <w:r w:rsidRPr="00C64788">
              <w:rPr>
                <w:b/>
                <w:color w:val="auto"/>
                <w:sz w:val="20"/>
                <w:szCs w:val="22"/>
                <w:lang w:val="en-US" w:eastAsia="en-US"/>
              </w:rPr>
              <w:t>Dry skin</w:t>
            </w:r>
          </w:p>
        </w:tc>
        <w:tc>
          <w:tcPr>
            <w:tcW w:w="1680" w:type="dxa"/>
          </w:tcPr>
          <w:p w14:paraId="64A7A197" w14:textId="77777777" w:rsidR="00C972C2" w:rsidRPr="00C64788" w:rsidRDefault="00C972C2" w:rsidP="00C972C2">
            <w:pPr>
              <w:widowControl w:val="0"/>
              <w:autoSpaceDE w:val="0"/>
              <w:autoSpaceDN w:val="0"/>
              <w:spacing w:before="3"/>
              <w:ind w:left="397" w:right="397"/>
              <w:jc w:val="center"/>
              <w:rPr>
                <w:b/>
                <w:color w:val="auto"/>
                <w:sz w:val="20"/>
                <w:szCs w:val="22"/>
                <w:lang w:val="en-US" w:eastAsia="en-US"/>
              </w:rPr>
            </w:pPr>
            <w:r w:rsidRPr="00C64788">
              <w:rPr>
                <w:b/>
                <w:color w:val="auto"/>
                <w:sz w:val="20"/>
                <w:szCs w:val="22"/>
                <w:lang w:val="en-US" w:eastAsia="en-US"/>
              </w:rPr>
              <w:t>47 (4.9)</w:t>
            </w:r>
          </w:p>
        </w:tc>
        <w:tc>
          <w:tcPr>
            <w:tcW w:w="1560" w:type="dxa"/>
          </w:tcPr>
          <w:p w14:paraId="0DEF0D6D" w14:textId="77777777" w:rsidR="00C972C2" w:rsidRPr="00C64788" w:rsidRDefault="00C972C2" w:rsidP="00C972C2">
            <w:pPr>
              <w:widowControl w:val="0"/>
              <w:autoSpaceDE w:val="0"/>
              <w:autoSpaceDN w:val="0"/>
              <w:spacing w:before="3"/>
              <w:ind w:left="338" w:right="338"/>
              <w:jc w:val="center"/>
              <w:rPr>
                <w:b/>
                <w:color w:val="auto"/>
                <w:sz w:val="20"/>
                <w:szCs w:val="22"/>
                <w:lang w:val="en-US" w:eastAsia="en-US"/>
              </w:rPr>
            </w:pPr>
            <w:r w:rsidRPr="00C64788">
              <w:rPr>
                <w:b/>
                <w:color w:val="auto"/>
                <w:sz w:val="20"/>
                <w:szCs w:val="22"/>
                <w:lang w:val="en-US" w:eastAsia="en-US"/>
              </w:rPr>
              <w:t>8 (1.7)</w:t>
            </w:r>
          </w:p>
        </w:tc>
        <w:tc>
          <w:tcPr>
            <w:tcW w:w="1548" w:type="dxa"/>
          </w:tcPr>
          <w:p w14:paraId="26E2D3D5" w14:textId="77777777" w:rsidR="00C972C2" w:rsidRPr="00C64788" w:rsidRDefault="00C972C2" w:rsidP="00C972C2">
            <w:pPr>
              <w:widowControl w:val="0"/>
              <w:autoSpaceDE w:val="0"/>
              <w:autoSpaceDN w:val="0"/>
              <w:spacing w:before="3"/>
              <w:ind w:right="449"/>
              <w:jc w:val="right"/>
              <w:rPr>
                <w:b/>
                <w:color w:val="auto"/>
                <w:sz w:val="20"/>
                <w:szCs w:val="22"/>
                <w:lang w:val="en-US" w:eastAsia="en-US"/>
              </w:rPr>
            </w:pPr>
            <w:r w:rsidRPr="00C64788">
              <w:rPr>
                <w:b/>
                <w:color w:val="auto"/>
                <w:sz w:val="20"/>
                <w:szCs w:val="22"/>
                <w:lang w:val="en-US" w:eastAsia="en-US"/>
              </w:rPr>
              <w:t>55 (3.8)</w:t>
            </w:r>
          </w:p>
        </w:tc>
      </w:tr>
      <w:tr w:rsidR="00C972C2" w:rsidRPr="00C64788" w14:paraId="1FBC50B6" w14:textId="77777777" w:rsidTr="00C972C2">
        <w:trPr>
          <w:trHeight w:hRule="exact" w:val="242"/>
        </w:trPr>
        <w:tc>
          <w:tcPr>
            <w:tcW w:w="4068" w:type="dxa"/>
          </w:tcPr>
          <w:p w14:paraId="0983FCE2" w14:textId="77777777" w:rsidR="00C972C2" w:rsidRPr="00C64788" w:rsidRDefault="00C972C2" w:rsidP="00C972C2">
            <w:pPr>
              <w:widowControl w:val="0"/>
              <w:autoSpaceDE w:val="0"/>
              <w:autoSpaceDN w:val="0"/>
              <w:spacing w:before="3"/>
              <w:ind w:left="254"/>
              <w:rPr>
                <w:b/>
                <w:color w:val="auto"/>
                <w:sz w:val="20"/>
                <w:szCs w:val="22"/>
                <w:lang w:val="en-US" w:eastAsia="en-US"/>
              </w:rPr>
            </w:pPr>
            <w:r w:rsidRPr="00C64788">
              <w:rPr>
                <w:b/>
                <w:color w:val="auto"/>
                <w:sz w:val="20"/>
                <w:szCs w:val="22"/>
                <w:lang w:val="en-US" w:eastAsia="en-US"/>
              </w:rPr>
              <w:t>Eczema</w:t>
            </w:r>
          </w:p>
        </w:tc>
        <w:tc>
          <w:tcPr>
            <w:tcW w:w="1680" w:type="dxa"/>
          </w:tcPr>
          <w:p w14:paraId="27891E07" w14:textId="77777777" w:rsidR="00C972C2" w:rsidRPr="00C64788" w:rsidRDefault="00C972C2" w:rsidP="00C972C2">
            <w:pPr>
              <w:widowControl w:val="0"/>
              <w:autoSpaceDE w:val="0"/>
              <w:autoSpaceDN w:val="0"/>
              <w:spacing w:before="3"/>
              <w:ind w:left="397" w:right="397"/>
              <w:jc w:val="center"/>
              <w:rPr>
                <w:b/>
                <w:color w:val="auto"/>
                <w:sz w:val="20"/>
                <w:szCs w:val="22"/>
                <w:lang w:val="en-US" w:eastAsia="en-US"/>
              </w:rPr>
            </w:pPr>
            <w:r w:rsidRPr="00C64788">
              <w:rPr>
                <w:b/>
                <w:color w:val="auto"/>
                <w:sz w:val="20"/>
                <w:szCs w:val="22"/>
                <w:lang w:val="en-US" w:eastAsia="en-US"/>
              </w:rPr>
              <w:t>19 (2.0)</w:t>
            </w:r>
          </w:p>
        </w:tc>
        <w:tc>
          <w:tcPr>
            <w:tcW w:w="1560" w:type="dxa"/>
          </w:tcPr>
          <w:p w14:paraId="5251C7A9" w14:textId="77777777" w:rsidR="00C972C2" w:rsidRPr="00C64788" w:rsidRDefault="00C972C2" w:rsidP="00C972C2">
            <w:pPr>
              <w:widowControl w:val="0"/>
              <w:autoSpaceDE w:val="0"/>
              <w:autoSpaceDN w:val="0"/>
              <w:spacing w:before="3"/>
              <w:ind w:left="338" w:right="338"/>
              <w:jc w:val="center"/>
              <w:rPr>
                <w:b/>
                <w:color w:val="auto"/>
                <w:sz w:val="20"/>
                <w:szCs w:val="22"/>
                <w:lang w:val="en-US" w:eastAsia="en-US"/>
              </w:rPr>
            </w:pPr>
            <w:r w:rsidRPr="00C64788">
              <w:rPr>
                <w:b/>
                <w:color w:val="auto"/>
                <w:sz w:val="20"/>
                <w:szCs w:val="22"/>
                <w:lang w:val="en-US" w:eastAsia="en-US"/>
              </w:rPr>
              <w:t>3 (0.6)</w:t>
            </w:r>
          </w:p>
        </w:tc>
        <w:tc>
          <w:tcPr>
            <w:tcW w:w="1548" w:type="dxa"/>
          </w:tcPr>
          <w:p w14:paraId="2665856C" w14:textId="77777777" w:rsidR="00C972C2" w:rsidRPr="00C64788" w:rsidRDefault="00C972C2" w:rsidP="00C972C2">
            <w:pPr>
              <w:widowControl w:val="0"/>
              <w:autoSpaceDE w:val="0"/>
              <w:autoSpaceDN w:val="0"/>
              <w:spacing w:before="3"/>
              <w:ind w:right="449"/>
              <w:jc w:val="right"/>
              <w:rPr>
                <w:b/>
                <w:color w:val="auto"/>
                <w:sz w:val="20"/>
                <w:szCs w:val="22"/>
                <w:lang w:val="en-US" w:eastAsia="en-US"/>
              </w:rPr>
            </w:pPr>
            <w:r w:rsidRPr="00C64788">
              <w:rPr>
                <w:b/>
                <w:color w:val="auto"/>
                <w:sz w:val="20"/>
                <w:szCs w:val="22"/>
                <w:lang w:val="en-US" w:eastAsia="en-US"/>
              </w:rPr>
              <w:t>22 (1.5)</w:t>
            </w:r>
          </w:p>
        </w:tc>
      </w:tr>
      <w:tr w:rsidR="00C972C2" w:rsidRPr="00C64788" w14:paraId="42DCA14A" w14:textId="77777777" w:rsidTr="00C972C2">
        <w:trPr>
          <w:trHeight w:hRule="exact" w:val="245"/>
        </w:trPr>
        <w:tc>
          <w:tcPr>
            <w:tcW w:w="4068" w:type="dxa"/>
          </w:tcPr>
          <w:p w14:paraId="16710CBE"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Pruritus</w:t>
            </w:r>
          </w:p>
        </w:tc>
        <w:tc>
          <w:tcPr>
            <w:tcW w:w="1680" w:type="dxa"/>
          </w:tcPr>
          <w:p w14:paraId="0A029876"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33 (3.4)</w:t>
            </w:r>
          </w:p>
        </w:tc>
        <w:tc>
          <w:tcPr>
            <w:tcW w:w="1560" w:type="dxa"/>
          </w:tcPr>
          <w:p w14:paraId="209FACA1"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13 (2.7)</w:t>
            </w:r>
          </w:p>
        </w:tc>
        <w:tc>
          <w:tcPr>
            <w:tcW w:w="1548" w:type="dxa"/>
          </w:tcPr>
          <w:p w14:paraId="28AE5416"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46 (3.2)</w:t>
            </w:r>
          </w:p>
        </w:tc>
      </w:tr>
      <w:tr w:rsidR="00C972C2" w:rsidRPr="00C64788" w14:paraId="1699E6DC" w14:textId="77777777" w:rsidTr="00C972C2">
        <w:trPr>
          <w:trHeight w:hRule="exact" w:val="242"/>
        </w:trPr>
        <w:tc>
          <w:tcPr>
            <w:tcW w:w="4068" w:type="dxa"/>
          </w:tcPr>
          <w:p w14:paraId="252470CC" w14:textId="77777777" w:rsidR="00C972C2" w:rsidRPr="00C64788" w:rsidRDefault="00C972C2" w:rsidP="00C972C2">
            <w:pPr>
              <w:widowControl w:val="0"/>
              <w:autoSpaceDE w:val="0"/>
              <w:autoSpaceDN w:val="0"/>
              <w:spacing w:before="3"/>
              <w:ind w:left="254"/>
              <w:rPr>
                <w:b/>
                <w:color w:val="auto"/>
                <w:sz w:val="20"/>
                <w:szCs w:val="22"/>
                <w:lang w:val="en-US" w:eastAsia="en-US"/>
              </w:rPr>
            </w:pPr>
            <w:r w:rsidRPr="00C64788">
              <w:rPr>
                <w:b/>
                <w:color w:val="auto"/>
                <w:sz w:val="20"/>
                <w:szCs w:val="22"/>
                <w:lang w:val="en-US" w:eastAsia="en-US"/>
              </w:rPr>
              <w:t>Rash</w:t>
            </w:r>
          </w:p>
        </w:tc>
        <w:tc>
          <w:tcPr>
            <w:tcW w:w="1680" w:type="dxa"/>
          </w:tcPr>
          <w:p w14:paraId="0207FE95" w14:textId="77777777" w:rsidR="00C972C2" w:rsidRPr="00C64788" w:rsidRDefault="00C972C2" w:rsidP="00C972C2">
            <w:pPr>
              <w:widowControl w:val="0"/>
              <w:autoSpaceDE w:val="0"/>
              <w:autoSpaceDN w:val="0"/>
              <w:spacing w:before="3"/>
              <w:ind w:left="397" w:right="397"/>
              <w:jc w:val="center"/>
              <w:rPr>
                <w:b/>
                <w:color w:val="auto"/>
                <w:sz w:val="20"/>
                <w:szCs w:val="22"/>
                <w:lang w:val="en-US" w:eastAsia="en-US"/>
              </w:rPr>
            </w:pPr>
            <w:r w:rsidRPr="00C64788">
              <w:rPr>
                <w:b/>
                <w:color w:val="auto"/>
                <w:sz w:val="20"/>
                <w:szCs w:val="22"/>
                <w:lang w:val="en-US" w:eastAsia="en-US"/>
              </w:rPr>
              <w:t>40 (4.2)</w:t>
            </w:r>
          </w:p>
        </w:tc>
        <w:tc>
          <w:tcPr>
            <w:tcW w:w="1560" w:type="dxa"/>
          </w:tcPr>
          <w:p w14:paraId="07BE3DA6" w14:textId="77777777" w:rsidR="00C972C2" w:rsidRPr="00C64788" w:rsidRDefault="00C972C2" w:rsidP="00C972C2">
            <w:pPr>
              <w:widowControl w:val="0"/>
              <w:autoSpaceDE w:val="0"/>
              <w:autoSpaceDN w:val="0"/>
              <w:spacing w:before="3"/>
              <w:ind w:left="338" w:right="338"/>
              <w:jc w:val="center"/>
              <w:rPr>
                <w:b/>
                <w:color w:val="auto"/>
                <w:sz w:val="20"/>
                <w:szCs w:val="22"/>
                <w:lang w:val="en-US" w:eastAsia="en-US"/>
              </w:rPr>
            </w:pPr>
            <w:r w:rsidRPr="00C64788">
              <w:rPr>
                <w:b/>
                <w:color w:val="auto"/>
                <w:sz w:val="20"/>
                <w:szCs w:val="22"/>
                <w:lang w:val="en-US" w:eastAsia="en-US"/>
              </w:rPr>
              <w:t>9 (1.9)</w:t>
            </w:r>
          </w:p>
        </w:tc>
        <w:tc>
          <w:tcPr>
            <w:tcW w:w="1548" w:type="dxa"/>
          </w:tcPr>
          <w:p w14:paraId="284FC088" w14:textId="77777777" w:rsidR="00C972C2" w:rsidRPr="00C64788" w:rsidRDefault="00C972C2" w:rsidP="00C972C2">
            <w:pPr>
              <w:widowControl w:val="0"/>
              <w:autoSpaceDE w:val="0"/>
              <w:autoSpaceDN w:val="0"/>
              <w:spacing w:before="3"/>
              <w:ind w:right="449"/>
              <w:jc w:val="right"/>
              <w:rPr>
                <w:b/>
                <w:color w:val="auto"/>
                <w:sz w:val="20"/>
                <w:szCs w:val="22"/>
                <w:lang w:val="en-US" w:eastAsia="en-US"/>
              </w:rPr>
            </w:pPr>
            <w:r w:rsidRPr="00C64788">
              <w:rPr>
                <w:b/>
                <w:color w:val="auto"/>
                <w:sz w:val="20"/>
                <w:szCs w:val="22"/>
                <w:lang w:val="en-US" w:eastAsia="en-US"/>
              </w:rPr>
              <w:t>49 (3.4)</w:t>
            </w:r>
          </w:p>
        </w:tc>
      </w:tr>
      <w:tr w:rsidR="00C972C2" w:rsidRPr="00C64788" w14:paraId="39A060D4" w14:textId="77777777" w:rsidTr="00C972C2">
        <w:trPr>
          <w:trHeight w:hRule="exact" w:val="245"/>
        </w:trPr>
        <w:tc>
          <w:tcPr>
            <w:tcW w:w="8856" w:type="dxa"/>
            <w:gridSpan w:val="4"/>
          </w:tcPr>
          <w:p w14:paraId="293A38C3" w14:textId="77777777" w:rsidR="00C972C2" w:rsidRPr="00C64788" w:rsidRDefault="00C972C2" w:rsidP="00C972C2">
            <w:pPr>
              <w:widowControl w:val="0"/>
              <w:autoSpaceDE w:val="0"/>
              <w:autoSpaceDN w:val="0"/>
              <w:ind w:left="103"/>
              <w:rPr>
                <w:color w:val="auto"/>
                <w:sz w:val="20"/>
                <w:szCs w:val="22"/>
                <w:lang w:val="en-US" w:eastAsia="en-US"/>
              </w:rPr>
            </w:pPr>
            <w:r w:rsidRPr="00C64788">
              <w:rPr>
                <w:color w:val="auto"/>
                <w:sz w:val="20"/>
                <w:szCs w:val="22"/>
                <w:lang w:val="en-US" w:eastAsia="en-US"/>
              </w:rPr>
              <w:t>Vascular disorders</w:t>
            </w:r>
          </w:p>
        </w:tc>
      </w:tr>
      <w:tr w:rsidR="00C972C2" w:rsidRPr="00C64788" w14:paraId="469949FF" w14:textId="77777777" w:rsidTr="00C972C2">
        <w:trPr>
          <w:trHeight w:hRule="exact" w:val="245"/>
        </w:trPr>
        <w:tc>
          <w:tcPr>
            <w:tcW w:w="4068" w:type="dxa"/>
          </w:tcPr>
          <w:p w14:paraId="58AF67E3"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lastRenderedPageBreak/>
              <w:t>Hypertension</w:t>
            </w:r>
          </w:p>
        </w:tc>
        <w:tc>
          <w:tcPr>
            <w:tcW w:w="1680" w:type="dxa"/>
          </w:tcPr>
          <w:p w14:paraId="5C3160E8"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310 (32.3)</w:t>
            </w:r>
          </w:p>
        </w:tc>
        <w:tc>
          <w:tcPr>
            <w:tcW w:w="1560" w:type="dxa"/>
          </w:tcPr>
          <w:p w14:paraId="6D5F7E45"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174 (36.0)</w:t>
            </w:r>
          </w:p>
        </w:tc>
        <w:tc>
          <w:tcPr>
            <w:tcW w:w="1548" w:type="dxa"/>
          </w:tcPr>
          <w:p w14:paraId="037BFCAE" w14:textId="77777777" w:rsidR="00C972C2" w:rsidRPr="00C64788" w:rsidRDefault="00C972C2" w:rsidP="00C972C2">
            <w:pPr>
              <w:widowControl w:val="0"/>
              <w:autoSpaceDE w:val="0"/>
              <w:autoSpaceDN w:val="0"/>
              <w:ind w:right="349"/>
              <w:jc w:val="right"/>
              <w:rPr>
                <w:color w:val="auto"/>
                <w:sz w:val="20"/>
                <w:szCs w:val="22"/>
                <w:lang w:val="en-US" w:eastAsia="en-US"/>
              </w:rPr>
            </w:pPr>
            <w:r w:rsidRPr="00C64788">
              <w:rPr>
                <w:color w:val="auto"/>
                <w:sz w:val="20"/>
                <w:szCs w:val="22"/>
                <w:lang w:val="en-US" w:eastAsia="en-US"/>
              </w:rPr>
              <w:t>484 (33.5)</w:t>
            </w:r>
          </w:p>
        </w:tc>
      </w:tr>
      <w:tr w:rsidR="00C972C2" w:rsidRPr="00C64788" w14:paraId="6AC2E917" w14:textId="77777777" w:rsidTr="00C972C2">
        <w:trPr>
          <w:trHeight w:hRule="exact" w:val="245"/>
        </w:trPr>
        <w:tc>
          <w:tcPr>
            <w:tcW w:w="4068" w:type="dxa"/>
          </w:tcPr>
          <w:p w14:paraId="01B88A9E" w14:textId="77777777" w:rsidR="00C972C2" w:rsidRPr="00C64788" w:rsidRDefault="00C972C2" w:rsidP="00C972C2">
            <w:pPr>
              <w:widowControl w:val="0"/>
              <w:autoSpaceDE w:val="0"/>
              <w:autoSpaceDN w:val="0"/>
              <w:ind w:left="254"/>
              <w:rPr>
                <w:color w:val="auto"/>
                <w:sz w:val="20"/>
                <w:szCs w:val="22"/>
                <w:lang w:val="en-US" w:eastAsia="en-US"/>
              </w:rPr>
            </w:pPr>
            <w:r w:rsidRPr="00C64788">
              <w:rPr>
                <w:color w:val="auto"/>
                <w:sz w:val="20"/>
                <w:szCs w:val="22"/>
                <w:lang w:val="en-US" w:eastAsia="en-US"/>
              </w:rPr>
              <w:t>Hypotension</w:t>
            </w:r>
          </w:p>
        </w:tc>
        <w:tc>
          <w:tcPr>
            <w:tcW w:w="1680" w:type="dxa"/>
          </w:tcPr>
          <w:p w14:paraId="1FAA6DBF" w14:textId="77777777" w:rsidR="00C972C2" w:rsidRPr="00C64788" w:rsidRDefault="00C972C2" w:rsidP="00C972C2">
            <w:pPr>
              <w:widowControl w:val="0"/>
              <w:autoSpaceDE w:val="0"/>
              <w:autoSpaceDN w:val="0"/>
              <w:ind w:left="397" w:right="397"/>
              <w:jc w:val="center"/>
              <w:rPr>
                <w:color w:val="auto"/>
                <w:sz w:val="20"/>
                <w:szCs w:val="22"/>
                <w:lang w:val="en-US" w:eastAsia="en-US"/>
              </w:rPr>
            </w:pPr>
            <w:r w:rsidRPr="00C64788">
              <w:rPr>
                <w:color w:val="auto"/>
                <w:sz w:val="20"/>
                <w:szCs w:val="22"/>
                <w:lang w:val="en-US" w:eastAsia="en-US"/>
              </w:rPr>
              <w:t>30 (3.1)</w:t>
            </w:r>
          </w:p>
        </w:tc>
        <w:tc>
          <w:tcPr>
            <w:tcW w:w="1560" w:type="dxa"/>
          </w:tcPr>
          <w:p w14:paraId="68410184" w14:textId="77777777" w:rsidR="00C972C2" w:rsidRPr="00C64788" w:rsidRDefault="00C972C2" w:rsidP="00C972C2">
            <w:pPr>
              <w:widowControl w:val="0"/>
              <w:autoSpaceDE w:val="0"/>
              <w:autoSpaceDN w:val="0"/>
              <w:ind w:left="338" w:right="338"/>
              <w:jc w:val="center"/>
              <w:rPr>
                <w:color w:val="auto"/>
                <w:sz w:val="20"/>
                <w:szCs w:val="22"/>
                <w:lang w:val="en-US" w:eastAsia="en-US"/>
              </w:rPr>
            </w:pPr>
            <w:r w:rsidRPr="00C64788">
              <w:rPr>
                <w:color w:val="auto"/>
                <w:sz w:val="20"/>
                <w:szCs w:val="22"/>
                <w:lang w:val="en-US" w:eastAsia="en-US"/>
              </w:rPr>
              <w:t>15 (3.1)</w:t>
            </w:r>
          </w:p>
        </w:tc>
        <w:tc>
          <w:tcPr>
            <w:tcW w:w="1548" w:type="dxa"/>
          </w:tcPr>
          <w:p w14:paraId="20E42096" w14:textId="77777777" w:rsidR="00C972C2" w:rsidRPr="00C64788" w:rsidRDefault="00C972C2" w:rsidP="00C972C2">
            <w:pPr>
              <w:widowControl w:val="0"/>
              <w:autoSpaceDE w:val="0"/>
              <w:autoSpaceDN w:val="0"/>
              <w:ind w:right="449"/>
              <w:jc w:val="right"/>
              <w:rPr>
                <w:color w:val="auto"/>
                <w:sz w:val="20"/>
                <w:szCs w:val="22"/>
                <w:lang w:val="en-US" w:eastAsia="en-US"/>
              </w:rPr>
            </w:pPr>
            <w:r w:rsidRPr="00C64788">
              <w:rPr>
                <w:color w:val="auto"/>
                <w:sz w:val="20"/>
                <w:szCs w:val="22"/>
                <w:lang w:val="en-US" w:eastAsia="en-US"/>
              </w:rPr>
              <w:t>45 (3.1)</w:t>
            </w:r>
          </w:p>
        </w:tc>
      </w:tr>
    </w:tbl>
    <w:p w14:paraId="6AC7A510" w14:textId="77777777" w:rsidR="00C972C2" w:rsidRPr="00C64788" w:rsidRDefault="00C972C2" w:rsidP="00C972C2">
      <w:pPr>
        <w:widowControl w:val="0"/>
        <w:autoSpaceDE w:val="0"/>
        <w:autoSpaceDN w:val="0"/>
        <w:spacing w:line="244" w:lineRule="auto"/>
        <w:ind w:left="655" w:right="462" w:hanging="216"/>
        <w:rPr>
          <w:color w:val="auto"/>
          <w:sz w:val="20"/>
          <w:lang w:val="en-US" w:eastAsia="en-US"/>
        </w:rPr>
      </w:pPr>
      <w:r w:rsidRPr="00C64788">
        <w:rPr>
          <w:color w:val="auto"/>
          <w:sz w:val="20"/>
          <w:lang w:val="en-US" w:eastAsia="en-US"/>
        </w:rPr>
        <w:t xml:space="preserve">Trial 156-04-251. IMP = investigational medicinal product; </w:t>
      </w:r>
      <w:proofErr w:type="spellStart"/>
      <w:r w:rsidRPr="00C64788">
        <w:rPr>
          <w:color w:val="auto"/>
          <w:sz w:val="20"/>
          <w:lang w:val="en-US" w:eastAsia="en-US"/>
        </w:rPr>
        <w:t>MedDRA</w:t>
      </w:r>
      <w:proofErr w:type="spellEnd"/>
      <w:r w:rsidRPr="00C64788">
        <w:rPr>
          <w:color w:val="auto"/>
          <w:sz w:val="20"/>
          <w:lang w:val="en-US" w:eastAsia="en-US"/>
        </w:rPr>
        <w:t xml:space="preserve"> = Medical Dictionary for Regulatory Activities; SOC = system organ class; TEAE = treatment-emergent adverse event.</w:t>
      </w:r>
    </w:p>
    <w:p w14:paraId="08143E5E" w14:textId="77777777" w:rsidR="00C972C2" w:rsidRPr="00C64788" w:rsidRDefault="00C972C2" w:rsidP="00C972C2">
      <w:pPr>
        <w:widowControl w:val="0"/>
        <w:autoSpaceDE w:val="0"/>
        <w:autoSpaceDN w:val="0"/>
        <w:spacing w:line="244" w:lineRule="auto"/>
        <w:ind w:left="655" w:right="462" w:hanging="216"/>
        <w:rPr>
          <w:color w:val="auto"/>
          <w:sz w:val="20"/>
          <w:lang w:val="en-US" w:eastAsia="en-US"/>
        </w:rPr>
      </w:pPr>
      <w:r w:rsidRPr="00C64788">
        <w:rPr>
          <w:color w:val="auto"/>
          <w:sz w:val="20"/>
          <w:lang w:val="en-US" w:eastAsia="en-US"/>
        </w:rPr>
        <w:t xml:space="preserve">Note: A TEAE is defined as an AE that occurred after start of IMP, or if the event was continuous from baseline and was serious; related to the IMP; or resulted in death, discontinuation, interruption, or reduction of IMP. Subjects are counted once, per term, for the most severe of multiple occurrences of a specific </w:t>
      </w:r>
      <w:proofErr w:type="spellStart"/>
      <w:r w:rsidRPr="00C64788">
        <w:rPr>
          <w:color w:val="auto"/>
          <w:sz w:val="20"/>
          <w:lang w:val="en-US" w:eastAsia="en-US"/>
        </w:rPr>
        <w:t>MedDRA</w:t>
      </w:r>
      <w:proofErr w:type="spellEnd"/>
      <w:r w:rsidRPr="00C64788">
        <w:rPr>
          <w:color w:val="auto"/>
          <w:sz w:val="20"/>
          <w:lang w:val="en-US" w:eastAsia="en-US"/>
        </w:rPr>
        <w:t xml:space="preserve"> Preferred Term. Adverse events are censored 7 days after IMP end date. Note: Bolded rows indicate individual TEAEs that were reported in the tolvaptan group at a percent incidence at least twice that of the placebo group.</w:t>
      </w:r>
    </w:p>
    <w:p w14:paraId="0BA950D4" w14:textId="77777777" w:rsidR="00C972C2" w:rsidRPr="00C64788" w:rsidRDefault="00C972C2" w:rsidP="00C972C2">
      <w:pPr>
        <w:widowControl w:val="0"/>
        <w:autoSpaceDE w:val="0"/>
        <w:autoSpaceDN w:val="0"/>
        <w:spacing w:line="123" w:lineRule="exact"/>
        <w:ind w:left="440"/>
        <w:rPr>
          <w:color w:val="auto"/>
          <w:sz w:val="18"/>
          <w:szCs w:val="22"/>
          <w:lang w:val="en-US" w:eastAsia="en-US"/>
        </w:rPr>
      </w:pPr>
      <w:proofErr w:type="gramStart"/>
      <w:r w:rsidRPr="00C64788">
        <w:rPr>
          <w:color w:val="auto"/>
          <w:sz w:val="18"/>
          <w:szCs w:val="22"/>
          <w:lang w:val="en-US" w:eastAsia="en-US"/>
        </w:rPr>
        <w:t>a</w:t>
      </w:r>
      <w:proofErr w:type="gramEnd"/>
    </w:p>
    <w:p w14:paraId="798E7CB9" w14:textId="77777777" w:rsidR="00C972C2" w:rsidRPr="00C64788" w:rsidRDefault="00C972C2" w:rsidP="00C972C2">
      <w:pPr>
        <w:widowControl w:val="0"/>
        <w:autoSpaceDE w:val="0"/>
        <w:autoSpaceDN w:val="0"/>
        <w:spacing w:line="182" w:lineRule="exact"/>
        <w:ind w:left="519"/>
        <w:rPr>
          <w:color w:val="auto"/>
          <w:sz w:val="20"/>
          <w:lang w:val="en-US" w:eastAsia="en-US"/>
        </w:rPr>
      </w:pPr>
      <w:r w:rsidRPr="00C64788">
        <w:rPr>
          <w:color w:val="auto"/>
          <w:sz w:val="20"/>
          <w:lang w:val="en-US" w:eastAsia="en-US"/>
        </w:rPr>
        <w:t>Subjects with TEAEs in multiple SOCs were counted only once toward the total.</w:t>
      </w:r>
    </w:p>
    <w:p w14:paraId="61C13381" w14:textId="632617BF" w:rsidR="00F41A76" w:rsidRDefault="00F41A76" w:rsidP="00F41A76">
      <w:pPr>
        <w:rPr>
          <w:szCs w:val="22"/>
        </w:rPr>
      </w:pPr>
    </w:p>
    <w:p w14:paraId="5C4D1B46" w14:textId="4769E6E2" w:rsidR="00FE12B4" w:rsidRPr="00E83870" w:rsidRDefault="00FA2988" w:rsidP="00333D64">
      <w:pPr>
        <w:keepNext/>
        <w:rPr>
          <w:i/>
          <w:szCs w:val="22"/>
        </w:rPr>
      </w:pPr>
      <w:r w:rsidRPr="000971B3">
        <w:rPr>
          <w:szCs w:val="22"/>
          <w:u w:val="single"/>
        </w:rPr>
        <w:t>Description of selected adverse reactions</w:t>
      </w:r>
    </w:p>
    <w:p w14:paraId="151C24A0" w14:textId="455DFF30" w:rsidR="00FE12B4" w:rsidRPr="00E83870" w:rsidRDefault="00FA2988" w:rsidP="00333D64">
      <w:pPr>
        <w:keepNext/>
        <w:suppressLineNumbers/>
        <w:rPr>
          <w:noProof/>
          <w:szCs w:val="22"/>
        </w:rPr>
      </w:pPr>
      <w:r w:rsidRPr="000971B3">
        <w:rPr>
          <w:noProof/>
          <w:szCs w:val="22"/>
        </w:rPr>
        <w:t xml:space="preserve">To mitigate the risk of significant or irreversible liver injury, blood testing for hepatic transaminases is required prior to initiation of </w:t>
      </w:r>
      <w:r w:rsidR="001522D8">
        <w:rPr>
          <w:noProof/>
          <w:szCs w:val="22"/>
        </w:rPr>
        <w:t>JINARC</w:t>
      </w:r>
      <w:r w:rsidRPr="000971B3">
        <w:rPr>
          <w:noProof/>
          <w:szCs w:val="22"/>
        </w:rPr>
        <w:t xml:space="preserve"> treatment, continuing monthly for 18 months and at regular 3</w:t>
      </w:r>
      <w:r w:rsidRPr="000971B3">
        <w:rPr>
          <w:noProof/>
          <w:szCs w:val="22"/>
        </w:rPr>
        <w:noBreakHyphen/>
        <w:t xml:space="preserve">monthly intervals thereafter (see </w:t>
      </w:r>
      <w:r w:rsidR="00D228A3" w:rsidRPr="000971B3">
        <w:rPr>
          <w:noProof/>
          <w:szCs w:val="22"/>
        </w:rPr>
        <w:t>PREC</w:t>
      </w:r>
      <w:r w:rsidR="00D228A3">
        <w:rPr>
          <w:noProof/>
          <w:szCs w:val="22"/>
        </w:rPr>
        <w:t>AU</w:t>
      </w:r>
      <w:r w:rsidR="00D228A3" w:rsidRPr="000971B3">
        <w:rPr>
          <w:noProof/>
          <w:szCs w:val="22"/>
        </w:rPr>
        <w:t>TIONS</w:t>
      </w:r>
      <w:r w:rsidRPr="000971B3">
        <w:rPr>
          <w:noProof/>
          <w:szCs w:val="22"/>
        </w:rPr>
        <w:t>).</w:t>
      </w:r>
    </w:p>
    <w:p w14:paraId="73B5B995" w14:textId="77777777" w:rsidR="00FE12B4" w:rsidRPr="00E83870" w:rsidRDefault="00FA2988" w:rsidP="00FE12B4">
      <w:pPr>
        <w:suppressLineNumbers/>
        <w:rPr>
          <w:noProof/>
          <w:szCs w:val="22"/>
        </w:rPr>
      </w:pPr>
      <w:r w:rsidRPr="000971B3">
        <w:rPr>
          <w:noProof/>
          <w:szCs w:val="22"/>
        </w:rPr>
        <w:t>The most frequent adverse reactions are related to water loss. It is therefore of greatest importance that patients have access to water and are able to drink sufficient amounts of fluids. The volume status of patients taking tolvaptan must be monitored to prevent dehydration (see PRECAUTIONS).</w:t>
      </w:r>
    </w:p>
    <w:p w14:paraId="1D9D7075" w14:textId="77777777" w:rsidR="00FE12B4" w:rsidRPr="00E83870" w:rsidRDefault="00FE12B4" w:rsidP="00FE12B4">
      <w:pPr>
        <w:suppressLineNumbers/>
        <w:rPr>
          <w:noProof/>
          <w:szCs w:val="22"/>
        </w:rPr>
      </w:pPr>
    </w:p>
    <w:p w14:paraId="3BEFFE90" w14:textId="77777777" w:rsidR="00FE12B4" w:rsidRPr="00E83870" w:rsidRDefault="00FA2988" w:rsidP="00FE12B4">
      <w:pPr>
        <w:suppressLineNumbers/>
        <w:rPr>
          <w:noProof/>
          <w:szCs w:val="22"/>
          <w:u w:val="single"/>
        </w:rPr>
      </w:pPr>
      <w:r w:rsidRPr="000971B3">
        <w:rPr>
          <w:noProof/>
          <w:szCs w:val="22"/>
          <w:u w:val="single"/>
        </w:rPr>
        <w:t>Post-Marketing</w:t>
      </w:r>
    </w:p>
    <w:p w14:paraId="0105ADC9" w14:textId="4213B339" w:rsidR="00FE12B4" w:rsidRDefault="00FA2988" w:rsidP="00FE12B4">
      <w:pPr>
        <w:suppressLineNumbers/>
        <w:rPr>
          <w:noProof/>
          <w:szCs w:val="22"/>
        </w:rPr>
      </w:pPr>
      <w:r w:rsidRPr="000971B3">
        <w:rPr>
          <w:noProof/>
          <w:szCs w:val="22"/>
        </w:rPr>
        <w:t>The following adverse reactions have been reported during post-marketing surveillance of tolvaptan</w:t>
      </w:r>
      <w:r w:rsidR="00A86E9C">
        <w:rPr>
          <w:noProof/>
          <w:szCs w:val="22"/>
        </w:rPr>
        <w:t>.The exact incidence of spontaneously reported adverse reactions is unknown:</w:t>
      </w:r>
    </w:p>
    <w:p w14:paraId="11B99D75" w14:textId="77777777" w:rsidR="00A86E9C" w:rsidRDefault="00A86E9C" w:rsidP="00FE12B4">
      <w:pPr>
        <w:suppressLineNumbers/>
        <w:rPr>
          <w:noProof/>
          <w:szCs w:val="22"/>
        </w:rPr>
      </w:pPr>
    </w:p>
    <w:p w14:paraId="07561137" w14:textId="2BE0DDF9" w:rsidR="00A86E9C" w:rsidRDefault="00A86E9C" w:rsidP="00870C34">
      <w:pPr>
        <w:pStyle w:val="ListParagraph"/>
        <w:numPr>
          <w:ilvl w:val="0"/>
          <w:numId w:val="6"/>
        </w:numPr>
        <w:suppressLineNumbers/>
        <w:rPr>
          <w:noProof/>
          <w:szCs w:val="22"/>
        </w:rPr>
      </w:pPr>
      <w:r>
        <w:rPr>
          <w:noProof/>
          <w:szCs w:val="22"/>
        </w:rPr>
        <w:t>Anaphylaxis</w:t>
      </w:r>
    </w:p>
    <w:p w14:paraId="57031246" w14:textId="4DDE7193" w:rsidR="00A86E9C" w:rsidRDefault="00A86E9C" w:rsidP="00870C34">
      <w:pPr>
        <w:pStyle w:val="ListParagraph"/>
        <w:numPr>
          <w:ilvl w:val="0"/>
          <w:numId w:val="6"/>
        </w:numPr>
        <w:suppressLineNumbers/>
        <w:rPr>
          <w:noProof/>
          <w:szCs w:val="22"/>
        </w:rPr>
      </w:pPr>
      <w:r>
        <w:rPr>
          <w:noProof/>
          <w:szCs w:val="22"/>
        </w:rPr>
        <w:t>Generalised rash</w:t>
      </w:r>
    </w:p>
    <w:p w14:paraId="3850C11A" w14:textId="73E1DCAD" w:rsidR="00A86E9C" w:rsidRPr="009273A4" w:rsidRDefault="00A86E9C" w:rsidP="00333D64">
      <w:pPr>
        <w:suppressLineNumbers/>
        <w:ind w:left="360"/>
        <w:rPr>
          <w:noProof/>
          <w:szCs w:val="22"/>
        </w:rPr>
      </w:pPr>
    </w:p>
    <w:p w14:paraId="51E8B8D5" w14:textId="77777777" w:rsidR="00FE12B4" w:rsidRPr="00333D64" w:rsidRDefault="00FE12B4" w:rsidP="00333D64">
      <w:pPr>
        <w:suppressLineNumbers/>
      </w:pPr>
    </w:p>
    <w:p w14:paraId="423766F1" w14:textId="77777777" w:rsidR="00026C88" w:rsidRPr="00333D64" w:rsidRDefault="00026C88" w:rsidP="00333D64">
      <w:pPr>
        <w:autoSpaceDE w:val="0"/>
        <w:autoSpaceDN w:val="0"/>
        <w:adjustRightInd w:val="0"/>
        <w:ind w:right="127"/>
        <w:rPr>
          <w:rFonts w:eastAsia="MS Mincho"/>
          <w:b/>
          <w:u w:val="single"/>
          <w:lang w:val="en-US"/>
        </w:rPr>
      </w:pPr>
    </w:p>
    <w:p w14:paraId="3D8228D4" w14:textId="77777777" w:rsidR="00946012" w:rsidRPr="00E83870" w:rsidRDefault="00FA2988" w:rsidP="00333D64">
      <w:pPr>
        <w:keepNext/>
        <w:autoSpaceDE w:val="0"/>
        <w:autoSpaceDN w:val="0"/>
        <w:adjustRightInd w:val="0"/>
        <w:rPr>
          <w:rFonts w:eastAsiaTheme="minorHAnsi"/>
          <w:b/>
          <w:color w:val="auto"/>
          <w:szCs w:val="24"/>
          <w:lang w:val="en-US" w:eastAsia="en-US"/>
        </w:rPr>
      </w:pPr>
      <w:r w:rsidRPr="000971B3">
        <w:rPr>
          <w:rFonts w:eastAsiaTheme="minorHAnsi"/>
          <w:b/>
          <w:color w:val="auto"/>
          <w:szCs w:val="24"/>
          <w:lang w:val="en-US" w:eastAsia="en-US"/>
        </w:rPr>
        <w:t>DOSAGE AND ADMINISTRATION</w:t>
      </w:r>
    </w:p>
    <w:p w14:paraId="45652CB3" w14:textId="77777777" w:rsidR="00FE12B4" w:rsidRPr="00E83870" w:rsidRDefault="00FE12B4" w:rsidP="00333D64">
      <w:pPr>
        <w:keepNext/>
        <w:suppressLineNumbers/>
        <w:rPr>
          <w:szCs w:val="22"/>
        </w:rPr>
      </w:pPr>
    </w:p>
    <w:p w14:paraId="5570A724" w14:textId="52E8C85E" w:rsidR="00FE12B4" w:rsidRPr="00E83870" w:rsidRDefault="002650AD" w:rsidP="00333D64">
      <w:pPr>
        <w:keepNext/>
        <w:suppressLineNumbers/>
        <w:rPr>
          <w:szCs w:val="22"/>
          <w:u w:val="single"/>
        </w:rPr>
      </w:pPr>
      <w:r>
        <w:rPr>
          <w:szCs w:val="22"/>
        </w:rPr>
        <w:t>JINARC</w:t>
      </w:r>
      <w:r w:rsidRPr="000971B3">
        <w:rPr>
          <w:szCs w:val="22"/>
        </w:rPr>
        <w:t xml:space="preserve"> </w:t>
      </w:r>
      <w:r w:rsidR="00FA2988" w:rsidRPr="000971B3">
        <w:rPr>
          <w:szCs w:val="22"/>
        </w:rPr>
        <w:t>treatment must be initiated and monitored under the supervision of physicians with expertise in managing ADPKD and a full understanding of the risks of tolvaptan therapy including hepatic toxicity and monitoring requirements (see PRECAUTIONS).</w:t>
      </w:r>
    </w:p>
    <w:p w14:paraId="5DC9014B" w14:textId="77777777" w:rsidR="00FE12B4" w:rsidRPr="00E83870" w:rsidRDefault="00FE12B4" w:rsidP="00FE12B4">
      <w:pPr>
        <w:suppressLineNumbers/>
        <w:rPr>
          <w:szCs w:val="22"/>
          <w:u w:val="single"/>
        </w:rPr>
      </w:pPr>
    </w:p>
    <w:p w14:paraId="034385B3" w14:textId="77777777" w:rsidR="00FE12B4" w:rsidRDefault="00FA2988" w:rsidP="00FE12B4">
      <w:pPr>
        <w:suppressLineNumbers/>
        <w:rPr>
          <w:szCs w:val="22"/>
          <w:u w:val="single"/>
        </w:rPr>
      </w:pPr>
      <w:r w:rsidRPr="000971B3">
        <w:rPr>
          <w:szCs w:val="22"/>
          <w:u w:val="single"/>
        </w:rPr>
        <w:t>Dosage</w:t>
      </w:r>
    </w:p>
    <w:p w14:paraId="5AF80B00" w14:textId="232FB090" w:rsidR="003C09B4" w:rsidRPr="00E83870" w:rsidRDefault="003C09B4" w:rsidP="00FE12B4">
      <w:pPr>
        <w:suppressLineNumbers/>
        <w:rPr>
          <w:szCs w:val="22"/>
          <w:u w:val="single"/>
        </w:rPr>
      </w:pPr>
    </w:p>
    <w:p w14:paraId="506CC346" w14:textId="2960C7BA" w:rsidR="00FE12B4" w:rsidRPr="00E83870" w:rsidRDefault="001522D8" w:rsidP="00FE12B4">
      <w:pPr>
        <w:suppressLineNumbers/>
        <w:autoSpaceDE w:val="0"/>
        <w:autoSpaceDN w:val="0"/>
        <w:adjustRightInd w:val="0"/>
        <w:rPr>
          <w:szCs w:val="22"/>
        </w:rPr>
      </w:pPr>
      <w:r>
        <w:rPr>
          <w:szCs w:val="22"/>
        </w:rPr>
        <w:t>JINARC</w:t>
      </w:r>
      <w:r w:rsidR="00FA2988" w:rsidRPr="000971B3">
        <w:rPr>
          <w:szCs w:val="22"/>
        </w:rPr>
        <w:t xml:space="preserve"> is to be administered twice daily in split dose regimens of 45 mg + 15 mg, 60 mg + 30 mg or 90 mg + 30 mg. The morning dose is to be taken at least 30 minutes before the morning meal. The second daily dose can be taken with or without food. According to these split dose regimens the total daily doses are 60, 90, or 120 mg. </w:t>
      </w:r>
    </w:p>
    <w:p w14:paraId="778C2474" w14:textId="77777777" w:rsidR="00FE12B4" w:rsidRPr="00E83870" w:rsidRDefault="00FE12B4" w:rsidP="00FE12B4">
      <w:pPr>
        <w:suppressLineNumbers/>
        <w:autoSpaceDE w:val="0"/>
        <w:autoSpaceDN w:val="0"/>
        <w:adjustRightInd w:val="0"/>
        <w:rPr>
          <w:szCs w:val="22"/>
        </w:rPr>
      </w:pPr>
    </w:p>
    <w:p w14:paraId="565F66AF" w14:textId="77777777" w:rsidR="00FE12B4" w:rsidRPr="00E83870" w:rsidRDefault="00FA2988" w:rsidP="00FE12B4">
      <w:pPr>
        <w:suppressLineNumbers/>
        <w:autoSpaceDE w:val="0"/>
        <w:autoSpaceDN w:val="0"/>
        <w:adjustRightInd w:val="0"/>
        <w:rPr>
          <w:i/>
          <w:szCs w:val="22"/>
        </w:rPr>
      </w:pPr>
      <w:r w:rsidRPr="000971B3">
        <w:rPr>
          <w:i/>
          <w:szCs w:val="22"/>
        </w:rPr>
        <w:t>Dose titration</w:t>
      </w:r>
    </w:p>
    <w:p w14:paraId="24F31AD2" w14:textId="77777777" w:rsidR="00FE12B4" w:rsidRPr="00E83870" w:rsidRDefault="00FA2988" w:rsidP="00FE12B4">
      <w:pPr>
        <w:suppressLineNumbers/>
        <w:autoSpaceDE w:val="0"/>
        <w:autoSpaceDN w:val="0"/>
        <w:adjustRightInd w:val="0"/>
        <w:rPr>
          <w:szCs w:val="22"/>
        </w:rPr>
      </w:pPr>
      <w:r w:rsidRPr="000971B3">
        <w:rPr>
          <w:szCs w:val="22"/>
        </w:rPr>
        <w:t xml:space="preserve">The initial dose is 60 mg tolvaptan per day as a split-dose regimen of 45 mg + 15 mg (45 mg taken upon waking and prior the morning meal and 15 mg taken 8 hours later). The initial dose is to be titrated upward to a split-dose regimen of 90 mg tolvaptan (60 mg + 30 mg) per day and then to a target split-dose regimen of 120 mg tolvaptan (90 mg + 30 mg) per day, if tolerated, with at least weekly intervals between titrations. Dose titration has to be performed cautiously to ensure that high doses are not poorly tolerated through overly rapid up-titration. </w:t>
      </w:r>
      <w:r w:rsidRPr="000971B3">
        <w:rPr>
          <w:szCs w:val="22"/>
        </w:rPr>
        <w:lastRenderedPageBreak/>
        <w:t>Patients may down-titrate to lower doses based on tolerability. Patients have to be maintained on the highest tolerable tolvaptan dose.</w:t>
      </w:r>
    </w:p>
    <w:p w14:paraId="1D58BC90" w14:textId="77777777" w:rsidR="00861D16" w:rsidRPr="00E83870" w:rsidRDefault="00861D16" w:rsidP="00FE12B4">
      <w:pPr>
        <w:suppressLineNumbers/>
        <w:autoSpaceDE w:val="0"/>
        <w:autoSpaceDN w:val="0"/>
        <w:adjustRightInd w:val="0"/>
        <w:rPr>
          <w:szCs w:val="22"/>
        </w:rPr>
      </w:pPr>
    </w:p>
    <w:p w14:paraId="46645438" w14:textId="34DFF728" w:rsidR="004D3699" w:rsidRDefault="006E1111" w:rsidP="00FE12B4">
      <w:pPr>
        <w:suppressLineNumbers/>
        <w:autoSpaceDE w:val="0"/>
        <w:autoSpaceDN w:val="0"/>
        <w:adjustRightInd w:val="0"/>
        <w:rPr>
          <w:szCs w:val="22"/>
        </w:rPr>
      </w:pPr>
      <w:r w:rsidRPr="006E1111">
        <w:rPr>
          <w:szCs w:val="22"/>
        </w:rPr>
        <w:t>The aim of dose titration is to block activity of vasopressin at the renal V</w:t>
      </w:r>
      <w:r w:rsidRPr="00333D64">
        <w:t>2</w:t>
      </w:r>
      <w:r w:rsidRPr="006E1111">
        <w:rPr>
          <w:szCs w:val="22"/>
        </w:rPr>
        <w:t xml:space="preserve"> receptor as completely and constantly as possible, while maintaining acceptable fluid balance, in order to achieve optimal effects on TKV progression or diminution of renal function decline.</w:t>
      </w:r>
      <w:r w:rsidR="0035464E">
        <w:rPr>
          <w:szCs w:val="22"/>
        </w:rPr>
        <w:t xml:space="preserve"> </w:t>
      </w:r>
      <w:r w:rsidR="00FA2988" w:rsidRPr="000971B3">
        <w:rPr>
          <w:szCs w:val="22"/>
        </w:rPr>
        <w:t xml:space="preserve">Measurements of urine osmolality are recommended to monitor the adequacy of vasopressin inhibition </w:t>
      </w:r>
      <w:r w:rsidR="0035464E" w:rsidRPr="006E1111">
        <w:rPr>
          <w:szCs w:val="22"/>
        </w:rPr>
        <w:t>and</w:t>
      </w:r>
      <w:r w:rsidR="0035464E">
        <w:rPr>
          <w:szCs w:val="22"/>
        </w:rPr>
        <w:t>,</w:t>
      </w:r>
      <w:r w:rsidR="0035464E" w:rsidRPr="006E1111">
        <w:rPr>
          <w:szCs w:val="22"/>
        </w:rPr>
        <w:t xml:space="preserve"> </w:t>
      </w:r>
      <w:r w:rsidR="0035464E">
        <w:rPr>
          <w:szCs w:val="22"/>
        </w:rPr>
        <w:t>i</w:t>
      </w:r>
      <w:r w:rsidR="0035464E" w:rsidRPr="006E1111">
        <w:rPr>
          <w:szCs w:val="22"/>
        </w:rPr>
        <w:t xml:space="preserve">f possible, an absolute urine osmolality of less than 300 </w:t>
      </w:r>
      <w:proofErr w:type="spellStart"/>
      <w:r w:rsidR="0035464E" w:rsidRPr="006E1111">
        <w:rPr>
          <w:szCs w:val="22"/>
        </w:rPr>
        <w:t>mOsm</w:t>
      </w:r>
      <w:proofErr w:type="spellEnd"/>
      <w:r w:rsidR="0035464E" w:rsidRPr="006E1111">
        <w:rPr>
          <w:szCs w:val="22"/>
        </w:rPr>
        <w:t xml:space="preserve">/kg should be maintained at all times (see </w:t>
      </w:r>
      <w:r w:rsidR="0035464E">
        <w:rPr>
          <w:szCs w:val="22"/>
        </w:rPr>
        <w:t>PHARMACOLOGY</w:t>
      </w:r>
      <w:r w:rsidR="0035464E" w:rsidRPr="006E1111">
        <w:rPr>
          <w:szCs w:val="22"/>
        </w:rPr>
        <w:t>).</w:t>
      </w:r>
    </w:p>
    <w:p w14:paraId="190076D2" w14:textId="77777777" w:rsidR="004D3699" w:rsidRDefault="004D3699" w:rsidP="00FE12B4">
      <w:pPr>
        <w:suppressLineNumbers/>
        <w:autoSpaceDE w:val="0"/>
        <w:autoSpaceDN w:val="0"/>
        <w:adjustRightInd w:val="0"/>
        <w:rPr>
          <w:szCs w:val="22"/>
        </w:rPr>
      </w:pPr>
    </w:p>
    <w:p w14:paraId="7046A4B8" w14:textId="18C969D7" w:rsidR="00FE12B4" w:rsidRPr="00E83870" w:rsidRDefault="00931CC9" w:rsidP="00FE12B4">
      <w:pPr>
        <w:suppressLineNumbers/>
        <w:autoSpaceDE w:val="0"/>
        <w:autoSpaceDN w:val="0"/>
        <w:adjustRightInd w:val="0"/>
        <w:rPr>
          <w:szCs w:val="22"/>
        </w:rPr>
      </w:pPr>
      <w:r>
        <w:rPr>
          <w:szCs w:val="22"/>
        </w:rPr>
        <w:t>Also,</w:t>
      </w:r>
      <w:r w:rsidR="00392F9E">
        <w:rPr>
          <w:szCs w:val="22"/>
        </w:rPr>
        <w:t xml:space="preserve"> </w:t>
      </w:r>
      <w:r w:rsidR="002C2597" w:rsidRPr="002C2597">
        <w:rPr>
          <w:szCs w:val="22"/>
        </w:rPr>
        <w:t>m</w:t>
      </w:r>
      <w:r w:rsidR="00FA2988" w:rsidRPr="000971B3">
        <w:rPr>
          <w:szCs w:val="22"/>
        </w:rPr>
        <w:t>onitoring of plasma osmolality or serum sodium (to calculate plasma osmola</w:t>
      </w:r>
      <w:r w:rsidR="005817FD">
        <w:rPr>
          <w:szCs w:val="22"/>
        </w:rPr>
        <w:t>l</w:t>
      </w:r>
      <w:r w:rsidR="00FA2988" w:rsidRPr="000971B3">
        <w:rPr>
          <w:szCs w:val="22"/>
        </w:rPr>
        <w:t>ity) and/or body weight should be considered to monitor the risk of dehydration secondary to the aquaretic effects of tolvaptan in case of patient’s insufficient water intake.</w:t>
      </w:r>
      <w:r w:rsidR="005817FD" w:rsidRPr="005817FD">
        <w:t xml:space="preserve"> </w:t>
      </w:r>
    </w:p>
    <w:p w14:paraId="612A20D3" w14:textId="77777777" w:rsidR="00FE12B4" w:rsidRPr="00E83870" w:rsidRDefault="00FE12B4" w:rsidP="00FE12B4">
      <w:pPr>
        <w:suppressLineNumbers/>
        <w:autoSpaceDE w:val="0"/>
        <w:autoSpaceDN w:val="0"/>
        <w:adjustRightInd w:val="0"/>
        <w:rPr>
          <w:szCs w:val="22"/>
        </w:rPr>
      </w:pPr>
    </w:p>
    <w:p w14:paraId="283A33C4" w14:textId="01EE1CCC" w:rsidR="00FE12B4" w:rsidRPr="00E83870" w:rsidRDefault="00FA2988" w:rsidP="00FE12B4">
      <w:pPr>
        <w:suppressLineNumbers/>
        <w:autoSpaceDE w:val="0"/>
        <w:autoSpaceDN w:val="0"/>
        <w:adjustRightInd w:val="0"/>
        <w:rPr>
          <w:szCs w:val="22"/>
        </w:rPr>
      </w:pPr>
      <w:r w:rsidRPr="000971B3">
        <w:rPr>
          <w:szCs w:val="22"/>
        </w:rPr>
        <w:t xml:space="preserve">The safety and efficacy of </w:t>
      </w:r>
      <w:r w:rsidR="001522D8">
        <w:rPr>
          <w:szCs w:val="22"/>
        </w:rPr>
        <w:t>JINARC</w:t>
      </w:r>
      <w:r w:rsidRPr="000971B3">
        <w:rPr>
          <w:szCs w:val="22"/>
        </w:rPr>
        <w:t xml:space="preserve"> in CKD stage 5 have not been adequately explored and therefore tolvaptan treatment should be discontinued if renal insufficiency progresses to CKD stage 5.</w:t>
      </w:r>
    </w:p>
    <w:p w14:paraId="5BE0BC5F" w14:textId="77777777" w:rsidR="00FE12B4" w:rsidRPr="00E83870" w:rsidRDefault="00FE12B4" w:rsidP="00FE12B4">
      <w:pPr>
        <w:rPr>
          <w:noProof/>
          <w:szCs w:val="22"/>
        </w:rPr>
      </w:pPr>
    </w:p>
    <w:p w14:paraId="57A75E01" w14:textId="1AFDFF0C" w:rsidR="00FE12B4" w:rsidRDefault="00FA2988" w:rsidP="00FE12B4">
      <w:r w:rsidRPr="000971B3">
        <w:rPr>
          <w:noProof/>
          <w:szCs w:val="22"/>
        </w:rPr>
        <w:t xml:space="preserve">Therapy must be interrupted if the ability to drink or the accessibility to water is limited (see </w:t>
      </w:r>
      <w:r w:rsidR="00A3466F" w:rsidRPr="000971B3">
        <w:rPr>
          <w:noProof/>
          <w:szCs w:val="22"/>
        </w:rPr>
        <w:t>PREC</w:t>
      </w:r>
      <w:r w:rsidR="00A3466F">
        <w:rPr>
          <w:noProof/>
          <w:szCs w:val="22"/>
        </w:rPr>
        <w:t>AU</w:t>
      </w:r>
      <w:r w:rsidR="00A3466F" w:rsidRPr="000971B3">
        <w:rPr>
          <w:noProof/>
          <w:szCs w:val="22"/>
        </w:rPr>
        <w:t>TIONS</w:t>
      </w:r>
      <w:r w:rsidRPr="000971B3">
        <w:rPr>
          <w:noProof/>
          <w:szCs w:val="22"/>
        </w:rPr>
        <w:t xml:space="preserve">). </w:t>
      </w:r>
      <w:r w:rsidRPr="000971B3">
        <w:t xml:space="preserve">Tolvaptan must not be taken with grapefruit juice (see </w:t>
      </w:r>
      <w:r w:rsidR="00A3466F" w:rsidRPr="000971B3">
        <w:t>PREC</w:t>
      </w:r>
      <w:r w:rsidR="00A3466F">
        <w:t>AU</w:t>
      </w:r>
      <w:r w:rsidR="00A3466F" w:rsidRPr="000971B3">
        <w:t>TIONS</w:t>
      </w:r>
      <w:r w:rsidRPr="000971B3">
        <w:t>, Interactions with other Medicines). Patients must be instructed to drink sufficient amounts of water or other aqueous fluids (see PRECAUTIONS).</w:t>
      </w:r>
    </w:p>
    <w:p w14:paraId="0FEBB794" w14:textId="77777777" w:rsidR="00017A5E" w:rsidRDefault="00017A5E" w:rsidP="00FE12B4"/>
    <w:p w14:paraId="7987C922" w14:textId="3A6A2354" w:rsidR="00017A5E" w:rsidRDefault="00017A5E" w:rsidP="00017A5E">
      <w:r>
        <w:t xml:space="preserve">At the onset of symptoms or signs consistent with hepatic injury or if abnormal ALT or AST increases are detected during treatment, </w:t>
      </w:r>
      <w:r w:rsidR="001522D8">
        <w:t>JINARC</w:t>
      </w:r>
      <w:r>
        <w:t xml:space="preserve"> administration must be interrupted and repeat tests including ALT, AST, BT and alkaline phosphatase (AP) must be obtained as soon as possible (ideally within 48-72 hours). Testing must continue at increased time frequency until symptoms/signs/laboratory abnormalities stabilise or resolve, at which point </w:t>
      </w:r>
      <w:r w:rsidR="001522D8">
        <w:t>JINARC</w:t>
      </w:r>
      <w:r>
        <w:t xml:space="preserve"> may be reinitiated.</w:t>
      </w:r>
    </w:p>
    <w:p w14:paraId="693C0BDE" w14:textId="77777777" w:rsidR="00017A5E" w:rsidRDefault="00017A5E" w:rsidP="00017A5E"/>
    <w:p w14:paraId="3FA040DB" w14:textId="1D2E1E91" w:rsidR="00017A5E" w:rsidRDefault="00017A5E" w:rsidP="00017A5E">
      <w:r>
        <w:t xml:space="preserve">If ALT and AST levels remain below 3-times the ULN, </w:t>
      </w:r>
      <w:r w:rsidR="001522D8">
        <w:t>JINARC</w:t>
      </w:r>
      <w:r>
        <w:t xml:space="preserve"> therapy may be cautiously continued, with frequent monitoring at the same or lower doses, as transaminase levels appear to stabilise during continued therapy in some patients.</w:t>
      </w:r>
    </w:p>
    <w:p w14:paraId="01E4D90B" w14:textId="77777777" w:rsidR="00017A5E" w:rsidRDefault="00017A5E" w:rsidP="00017A5E"/>
    <w:p w14:paraId="43673969" w14:textId="1063DCE3" w:rsidR="00017A5E" w:rsidRDefault="00017A5E" w:rsidP="00017A5E">
      <w:r>
        <w:t xml:space="preserve">Current clinical practice suggests that </w:t>
      </w:r>
      <w:r w:rsidR="001522D8">
        <w:t>JINARC</w:t>
      </w:r>
      <w:r>
        <w:t xml:space="preserve"> therapy is to be interrupted upon confirmation of sustained or increasing transaminase levels and permanently discontinued if significant increases and/or clinical symptoms of hepatic injury persist. </w:t>
      </w:r>
    </w:p>
    <w:p w14:paraId="6A1256BF" w14:textId="77777777" w:rsidR="00017A5E" w:rsidRDefault="00017A5E" w:rsidP="00017A5E"/>
    <w:p w14:paraId="5C96D9EB" w14:textId="77777777" w:rsidR="00017A5E" w:rsidRDefault="00017A5E" w:rsidP="00017A5E">
      <w:r>
        <w:t>Recommended guidelines for permanent discontinuation include:</w:t>
      </w:r>
    </w:p>
    <w:p w14:paraId="2232E1DE" w14:textId="77777777" w:rsidR="00017A5E" w:rsidRDefault="00017A5E" w:rsidP="00017A5E">
      <w:r>
        <w:t>•</w:t>
      </w:r>
      <w:r>
        <w:tab/>
        <w:t>ALT or AST &gt;8-times ULN</w:t>
      </w:r>
    </w:p>
    <w:p w14:paraId="150FBECB" w14:textId="77777777" w:rsidR="00017A5E" w:rsidRDefault="00017A5E" w:rsidP="00017A5E">
      <w:r>
        <w:t>•</w:t>
      </w:r>
      <w:r>
        <w:tab/>
        <w:t>ALT or AST &gt;5-times ULN for more than 2 weeks</w:t>
      </w:r>
    </w:p>
    <w:p w14:paraId="18172D9E" w14:textId="77777777" w:rsidR="00017A5E" w:rsidRDefault="00017A5E" w:rsidP="00017A5E">
      <w:r>
        <w:t>•</w:t>
      </w:r>
      <w:r>
        <w:tab/>
        <w:t>ALT or AST &gt;3-times ULN and (BT &gt;2-times ULN or International Normalized Ratio [INR] &gt;1.5)</w:t>
      </w:r>
    </w:p>
    <w:p w14:paraId="60EE5DE3" w14:textId="4C3DBEE5" w:rsidR="00017A5E" w:rsidRPr="00E83870" w:rsidRDefault="00017A5E" w:rsidP="00017A5E">
      <w:r>
        <w:t>•</w:t>
      </w:r>
      <w:r>
        <w:tab/>
        <w:t>ALT or AST &gt;3-times ULN with persistent symptoms of hepatic injury noted above.</w:t>
      </w:r>
    </w:p>
    <w:p w14:paraId="4ACE2FDE" w14:textId="77777777" w:rsidR="00FE12B4" w:rsidRPr="00E83870" w:rsidRDefault="00FE12B4" w:rsidP="00FE12B4">
      <w:pPr>
        <w:rPr>
          <w:szCs w:val="22"/>
        </w:rPr>
      </w:pPr>
    </w:p>
    <w:p w14:paraId="630F39E1" w14:textId="77777777" w:rsidR="00FE12B4" w:rsidRPr="00E83870" w:rsidRDefault="00FA2988" w:rsidP="00FE12B4">
      <w:pPr>
        <w:rPr>
          <w:i/>
          <w:szCs w:val="22"/>
        </w:rPr>
      </w:pPr>
      <w:r w:rsidRPr="000971B3">
        <w:rPr>
          <w:i/>
          <w:szCs w:val="22"/>
        </w:rPr>
        <w:t>Dose adjustment for patients taking strong CYP3A inhibitors</w:t>
      </w:r>
    </w:p>
    <w:p w14:paraId="5A2C4B99" w14:textId="77777777" w:rsidR="00FE12B4" w:rsidRPr="00E83870" w:rsidRDefault="00FA2988" w:rsidP="00FE12B4">
      <w:pPr>
        <w:rPr>
          <w:szCs w:val="22"/>
        </w:rPr>
      </w:pPr>
      <w:r w:rsidRPr="000971B3">
        <w:rPr>
          <w:szCs w:val="22"/>
        </w:rPr>
        <w:t>In patients taking strong CYP3A inhibitors (see PRECAUTIONS, Interactions with other medicinal products), tolvaptan doses have to be reduced as follows:</w:t>
      </w:r>
    </w:p>
    <w:p w14:paraId="705D04C5" w14:textId="77777777" w:rsidR="00FE12B4" w:rsidRPr="00E83870" w:rsidRDefault="00FE12B4" w:rsidP="00FE12B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828"/>
      </w:tblGrid>
      <w:tr w:rsidR="00FE12B4" w:rsidRPr="00E83870" w14:paraId="4777D740" w14:textId="77777777" w:rsidTr="00F36329">
        <w:tc>
          <w:tcPr>
            <w:tcW w:w="3510" w:type="dxa"/>
            <w:shd w:val="clear" w:color="auto" w:fill="auto"/>
          </w:tcPr>
          <w:p w14:paraId="3B8CF1C1" w14:textId="77777777" w:rsidR="00FE12B4" w:rsidRPr="000971B3" w:rsidRDefault="00FA2988" w:rsidP="00FE12B4">
            <w:r w:rsidRPr="000971B3">
              <w:rPr>
                <w:szCs w:val="22"/>
              </w:rPr>
              <w:lastRenderedPageBreak/>
              <w:t>Tolvaptan daily split-dose</w:t>
            </w:r>
          </w:p>
        </w:tc>
        <w:tc>
          <w:tcPr>
            <w:tcW w:w="3828" w:type="dxa"/>
            <w:shd w:val="clear" w:color="auto" w:fill="auto"/>
          </w:tcPr>
          <w:p w14:paraId="29233A14" w14:textId="77777777" w:rsidR="00FE12B4" w:rsidRPr="000971B3" w:rsidRDefault="00FA2988" w:rsidP="00FE12B4">
            <w:r w:rsidRPr="000971B3">
              <w:rPr>
                <w:szCs w:val="22"/>
              </w:rPr>
              <w:t>Reduced dose (once daily)</w:t>
            </w:r>
          </w:p>
        </w:tc>
      </w:tr>
      <w:tr w:rsidR="00FE12B4" w:rsidRPr="00E83870" w14:paraId="0C73E566" w14:textId="77777777" w:rsidTr="00F36329">
        <w:tc>
          <w:tcPr>
            <w:tcW w:w="3510" w:type="dxa"/>
            <w:shd w:val="clear" w:color="auto" w:fill="auto"/>
          </w:tcPr>
          <w:p w14:paraId="5B897EC0" w14:textId="297AD01A" w:rsidR="00FE12B4" w:rsidRPr="000971B3" w:rsidRDefault="00FA2988" w:rsidP="00FE12B4">
            <w:r w:rsidRPr="000971B3">
              <w:rPr>
                <w:szCs w:val="22"/>
              </w:rPr>
              <w:t>90</w:t>
            </w:r>
            <w:r w:rsidR="00A3466F">
              <w:rPr>
                <w:szCs w:val="22"/>
              </w:rPr>
              <w:t xml:space="preserve"> </w:t>
            </w:r>
            <w:r w:rsidRPr="000971B3">
              <w:rPr>
                <w:szCs w:val="22"/>
              </w:rPr>
              <w:t>+</w:t>
            </w:r>
            <w:r w:rsidR="00A3466F">
              <w:rPr>
                <w:szCs w:val="22"/>
              </w:rPr>
              <w:t xml:space="preserve"> </w:t>
            </w:r>
            <w:r w:rsidRPr="000971B3">
              <w:rPr>
                <w:szCs w:val="22"/>
              </w:rPr>
              <w:t>30 mg</w:t>
            </w:r>
          </w:p>
        </w:tc>
        <w:tc>
          <w:tcPr>
            <w:tcW w:w="3828" w:type="dxa"/>
            <w:shd w:val="clear" w:color="auto" w:fill="auto"/>
          </w:tcPr>
          <w:p w14:paraId="44D0770C" w14:textId="77777777" w:rsidR="00FE12B4" w:rsidRPr="000971B3" w:rsidRDefault="00FA2988" w:rsidP="00FE12B4">
            <w:r w:rsidRPr="000971B3">
              <w:rPr>
                <w:szCs w:val="22"/>
              </w:rPr>
              <w:t>30 mg</w:t>
            </w:r>
            <w:r w:rsidRPr="000971B3">
              <w:rPr>
                <w:szCs w:val="22"/>
              </w:rPr>
              <w:br/>
              <w:t>(further reduction to 15 mg if 30 mg are not well tolerated)</w:t>
            </w:r>
          </w:p>
        </w:tc>
      </w:tr>
      <w:tr w:rsidR="00FE12B4" w:rsidRPr="00E83870" w14:paraId="561B04F3" w14:textId="77777777" w:rsidTr="00F36329">
        <w:tc>
          <w:tcPr>
            <w:tcW w:w="3510" w:type="dxa"/>
            <w:shd w:val="clear" w:color="auto" w:fill="auto"/>
          </w:tcPr>
          <w:p w14:paraId="55342BF5" w14:textId="678E4C6F" w:rsidR="00FE12B4" w:rsidRPr="000971B3" w:rsidRDefault="00FA2988" w:rsidP="00FE12B4">
            <w:r w:rsidRPr="000971B3">
              <w:rPr>
                <w:szCs w:val="22"/>
              </w:rPr>
              <w:t>60</w:t>
            </w:r>
            <w:r w:rsidR="00A3466F">
              <w:rPr>
                <w:szCs w:val="22"/>
              </w:rPr>
              <w:t xml:space="preserve"> </w:t>
            </w:r>
            <w:r w:rsidRPr="000971B3">
              <w:rPr>
                <w:szCs w:val="22"/>
              </w:rPr>
              <w:t>+</w:t>
            </w:r>
            <w:r w:rsidR="00A3466F">
              <w:rPr>
                <w:szCs w:val="22"/>
              </w:rPr>
              <w:t xml:space="preserve"> </w:t>
            </w:r>
            <w:r w:rsidRPr="000971B3">
              <w:rPr>
                <w:szCs w:val="22"/>
              </w:rPr>
              <w:t>30 mg</w:t>
            </w:r>
          </w:p>
        </w:tc>
        <w:tc>
          <w:tcPr>
            <w:tcW w:w="3828" w:type="dxa"/>
            <w:shd w:val="clear" w:color="auto" w:fill="auto"/>
          </w:tcPr>
          <w:p w14:paraId="4D872ECB" w14:textId="77777777" w:rsidR="00FE12B4" w:rsidRPr="000971B3" w:rsidRDefault="00FA2988" w:rsidP="00FE12B4">
            <w:r w:rsidRPr="000971B3">
              <w:rPr>
                <w:szCs w:val="22"/>
              </w:rPr>
              <w:t>30 mg</w:t>
            </w:r>
            <w:r w:rsidRPr="000971B3">
              <w:rPr>
                <w:szCs w:val="22"/>
              </w:rPr>
              <w:br/>
              <w:t>(further reduction to 15 mg if 30 mg are not well tolerated)</w:t>
            </w:r>
          </w:p>
        </w:tc>
      </w:tr>
      <w:tr w:rsidR="00FE12B4" w:rsidRPr="00E83870" w14:paraId="1A267EE1" w14:textId="77777777" w:rsidTr="00F36329">
        <w:tc>
          <w:tcPr>
            <w:tcW w:w="3510" w:type="dxa"/>
            <w:shd w:val="clear" w:color="auto" w:fill="auto"/>
          </w:tcPr>
          <w:p w14:paraId="6599CAFF" w14:textId="59173A1B" w:rsidR="00FE12B4" w:rsidRPr="000971B3" w:rsidRDefault="00FA2988" w:rsidP="00FE12B4">
            <w:r w:rsidRPr="000971B3">
              <w:rPr>
                <w:szCs w:val="22"/>
              </w:rPr>
              <w:t>45</w:t>
            </w:r>
            <w:r w:rsidR="00A3466F">
              <w:rPr>
                <w:szCs w:val="22"/>
              </w:rPr>
              <w:t xml:space="preserve"> </w:t>
            </w:r>
            <w:r w:rsidRPr="000971B3">
              <w:rPr>
                <w:szCs w:val="22"/>
              </w:rPr>
              <w:t>+</w:t>
            </w:r>
            <w:r w:rsidR="00A3466F">
              <w:rPr>
                <w:szCs w:val="22"/>
              </w:rPr>
              <w:t xml:space="preserve"> </w:t>
            </w:r>
            <w:r w:rsidRPr="000971B3">
              <w:rPr>
                <w:szCs w:val="22"/>
              </w:rPr>
              <w:t>15 mg</w:t>
            </w:r>
          </w:p>
        </w:tc>
        <w:tc>
          <w:tcPr>
            <w:tcW w:w="3828" w:type="dxa"/>
            <w:shd w:val="clear" w:color="auto" w:fill="auto"/>
          </w:tcPr>
          <w:p w14:paraId="580D87FB" w14:textId="77777777" w:rsidR="00FE12B4" w:rsidRPr="000971B3" w:rsidRDefault="00FA2988" w:rsidP="00FE12B4">
            <w:r w:rsidRPr="000971B3">
              <w:rPr>
                <w:szCs w:val="22"/>
              </w:rPr>
              <w:t>15 mg</w:t>
            </w:r>
          </w:p>
        </w:tc>
      </w:tr>
    </w:tbl>
    <w:p w14:paraId="51DE3748" w14:textId="77777777" w:rsidR="00FE12B4" w:rsidRPr="00E83870" w:rsidRDefault="00FE12B4" w:rsidP="00FE12B4">
      <w:pPr>
        <w:rPr>
          <w:szCs w:val="22"/>
        </w:rPr>
      </w:pPr>
    </w:p>
    <w:p w14:paraId="54FBB22D" w14:textId="77777777" w:rsidR="00FE12B4" w:rsidRPr="00E83870" w:rsidRDefault="00FA2988" w:rsidP="00FE12B4">
      <w:pPr>
        <w:rPr>
          <w:szCs w:val="22"/>
        </w:rPr>
      </w:pPr>
      <w:r w:rsidRPr="000971B3">
        <w:rPr>
          <w:i/>
          <w:szCs w:val="22"/>
        </w:rPr>
        <w:t>Dose adjustment for patients taking moderate CYP3A inhibitors</w:t>
      </w:r>
    </w:p>
    <w:p w14:paraId="56EF4D33" w14:textId="77777777" w:rsidR="00FE12B4" w:rsidRPr="00E83870" w:rsidRDefault="00FA2988" w:rsidP="00FE12B4">
      <w:pPr>
        <w:rPr>
          <w:szCs w:val="22"/>
        </w:rPr>
      </w:pPr>
      <w:r w:rsidRPr="000971B3">
        <w:rPr>
          <w:szCs w:val="22"/>
        </w:rPr>
        <w:t>In patients taking moderate CYP3A inhibitors, tolvaptan doses have to be reduced as follows:</w:t>
      </w:r>
    </w:p>
    <w:p w14:paraId="35718A19" w14:textId="77777777" w:rsidR="00FE12B4" w:rsidRPr="00E83870" w:rsidRDefault="00FE12B4" w:rsidP="00FE12B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828"/>
      </w:tblGrid>
      <w:tr w:rsidR="00FE12B4" w:rsidRPr="00E83870" w14:paraId="09A65322" w14:textId="77777777" w:rsidTr="00F36329">
        <w:tc>
          <w:tcPr>
            <w:tcW w:w="3510" w:type="dxa"/>
            <w:shd w:val="clear" w:color="auto" w:fill="auto"/>
          </w:tcPr>
          <w:p w14:paraId="5FCBC27D" w14:textId="77777777" w:rsidR="00FE12B4" w:rsidRPr="000971B3" w:rsidRDefault="00FA2988" w:rsidP="00FE12B4">
            <w:r w:rsidRPr="000971B3">
              <w:rPr>
                <w:szCs w:val="22"/>
              </w:rPr>
              <w:t>Tolvaptan daily split-dose</w:t>
            </w:r>
          </w:p>
        </w:tc>
        <w:tc>
          <w:tcPr>
            <w:tcW w:w="3828" w:type="dxa"/>
            <w:shd w:val="clear" w:color="auto" w:fill="auto"/>
          </w:tcPr>
          <w:p w14:paraId="26F11459" w14:textId="77777777" w:rsidR="00FE12B4" w:rsidRPr="000971B3" w:rsidRDefault="00FA2988" w:rsidP="00FE12B4">
            <w:r w:rsidRPr="000971B3">
              <w:rPr>
                <w:szCs w:val="22"/>
              </w:rPr>
              <w:t>Reduced split-dose</w:t>
            </w:r>
          </w:p>
        </w:tc>
      </w:tr>
      <w:tr w:rsidR="00FE12B4" w:rsidRPr="00E83870" w14:paraId="32FDB70A" w14:textId="77777777" w:rsidTr="00F36329">
        <w:tc>
          <w:tcPr>
            <w:tcW w:w="3510" w:type="dxa"/>
            <w:shd w:val="clear" w:color="auto" w:fill="auto"/>
          </w:tcPr>
          <w:p w14:paraId="4CCFE6B0" w14:textId="6B1CFA58" w:rsidR="00FE12B4" w:rsidRPr="000971B3" w:rsidRDefault="00FA2988" w:rsidP="00FE12B4">
            <w:r w:rsidRPr="000971B3">
              <w:rPr>
                <w:szCs w:val="22"/>
              </w:rPr>
              <w:t>90</w:t>
            </w:r>
            <w:r w:rsidR="00A3466F">
              <w:rPr>
                <w:szCs w:val="22"/>
              </w:rPr>
              <w:t xml:space="preserve"> </w:t>
            </w:r>
            <w:r w:rsidRPr="000971B3">
              <w:rPr>
                <w:szCs w:val="22"/>
              </w:rPr>
              <w:t>+</w:t>
            </w:r>
            <w:r w:rsidR="00A3466F">
              <w:rPr>
                <w:szCs w:val="22"/>
              </w:rPr>
              <w:t xml:space="preserve"> </w:t>
            </w:r>
            <w:r w:rsidRPr="000971B3">
              <w:rPr>
                <w:szCs w:val="22"/>
              </w:rPr>
              <w:t>30 mg</w:t>
            </w:r>
          </w:p>
        </w:tc>
        <w:tc>
          <w:tcPr>
            <w:tcW w:w="3828" w:type="dxa"/>
            <w:shd w:val="clear" w:color="auto" w:fill="auto"/>
          </w:tcPr>
          <w:p w14:paraId="5ED1D5A3" w14:textId="51BCE852" w:rsidR="00FE12B4" w:rsidRPr="000971B3" w:rsidRDefault="00FA2988" w:rsidP="00FE12B4">
            <w:r w:rsidRPr="000971B3">
              <w:rPr>
                <w:szCs w:val="22"/>
              </w:rPr>
              <w:t>45</w:t>
            </w:r>
            <w:r w:rsidR="00A3466F">
              <w:rPr>
                <w:szCs w:val="22"/>
              </w:rPr>
              <w:t xml:space="preserve"> </w:t>
            </w:r>
            <w:r w:rsidRPr="000971B3">
              <w:rPr>
                <w:szCs w:val="22"/>
              </w:rPr>
              <w:t>+</w:t>
            </w:r>
            <w:r w:rsidR="00A3466F">
              <w:rPr>
                <w:szCs w:val="22"/>
              </w:rPr>
              <w:t xml:space="preserve"> </w:t>
            </w:r>
            <w:r w:rsidRPr="000971B3">
              <w:rPr>
                <w:szCs w:val="22"/>
              </w:rPr>
              <w:t>15 mg</w:t>
            </w:r>
          </w:p>
        </w:tc>
      </w:tr>
      <w:tr w:rsidR="00FE12B4" w:rsidRPr="00E83870" w14:paraId="3F951C6D" w14:textId="77777777" w:rsidTr="00F36329">
        <w:tc>
          <w:tcPr>
            <w:tcW w:w="3510" w:type="dxa"/>
            <w:shd w:val="clear" w:color="auto" w:fill="auto"/>
          </w:tcPr>
          <w:p w14:paraId="4A63D8E4" w14:textId="5729706C" w:rsidR="00FE12B4" w:rsidRPr="000971B3" w:rsidRDefault="00FA2988" w:rsidP="00FE12B4">
            <w:r w:rsidRPr="000971B3">
              <w:rPr>
                <w:szCs w:val="22"/>
              </w:rPr>
              <w:t>60</w:t>
            </w:r>
            <w:r w:rsidR="00A3466F">
              <w:rPr>
                <w:szCs w:val="22"/>
              </w:rPr>
              <w:t xml:space="preserve"> </w:t>
            </w:r>
            <w:r w:rsidRPr="000971B3">
              <w:rPr>
                <w:szCs w:val="22"/>
              </w:rPr>
              <w:t>+</w:t>
            </w:r>
            <w:r w:rsidR="00A3466F">
              <w:rPr>
                <w:szCs w:val="22"/>
              </w:rPr>
              <w:t xml:space="preserve"> </w:t>
            </w:r>
            <w:r w:rsidRPr="000971B3">
              <w:rPr>
                <w:szCs w:val="22"/>
              </w:rPr>
              <w:t>30 mg</w:t>
            </w:r>
          </w:p>
        </w:tc>
        <w:tc>
          <w:tcPr>
            <w:tcW w:w="3828" w:type="dxa"/>
            <w:shd w:val="clear" w:color="auto" w:fill="auto"/>
          </w:tcPr>
          <w:p w14:paraId="73848FFF" w14:textId="6BCAC8E2" w:rsidR="00FE12B4" w:rsidRPr="000971B3" w:rsidRDefault="00FA2988" w:rsidP="00FE12B4">
            <w:r w:rsidRPr="000971B3">
              <w:rPr>
                <w:szCs w:val="22"/>
              </w:rPr>
              <w:t>30</w:t>
            </w:r>
            <w:r w:rsidR="00A3466F">
              <w:rPr>
                <w:szCs w:val="22"/>
              </w:rPr>
              <w:t xml:space="preserve"> </w:t>
            </w:r>
            <w:r w:rsidRPr="000971B3">
              <w:rPr>
                <w:szCs w:val="22"/>
              </w:rPr>
              <w:t>+</w:t>
            </w:r>
            <w:r w:rsidR="00A3466F">
              <w:rPr>
                <w:szCs w:val="22"/>
              </w:rPr>
              <w:t xml:space="preserve"> </w:t>
            </w:r>
            <w:r w:rsidRPr="000971B3">
              <w:rPr>
                <w:szCs w:val="22"/>
              </w:rPr>
              <w:t>15 mg</w:t>
            </w:r>
          </w:p>
        </w:tc>
      </w:tr>
      <w:tr w:rsidR="00FE12B4" w:rsidRPr="00E83870" w14:paraId="5E9FF081" w14:textId="77777777" w:rsidTr="00F36329">
        <w:tc>
          <w:tcPr>
            <w:tcW w:w="3510" w:type="dxa"/>
            <w:shd w:val="clear" w:color="auto" w:fill="auto"/>
          </w:tcPr>
          <w:p w14:paraId="567065ED" w14:textId="5D896449" w:rsidR="00FE12B4" w:rsidRPr="000971B3" w:rsidRDefault="00FA2988" w:rsidP="00FE12B4">
            <w:r w:rsidRPr="000971B3">
              <w:rPr>
                <w:szCs w:val="22"/>
              </w:rPr>
              <w:t>45</w:t>
            </w:r>
            <w:r w:rsidR="00A3466F">
              <w:rPr>
                <w:szCs w:val="22"/>
              </w:rPr>
              <w:t xml:space="preserve"> </w:t>
            </w:r>
            <w:r w:rsidRPr="000971B3">
              <w:rPr>
                <w:szCs w:val="22"/>
              </w:rPr>
              <w:t>+</w:t>
            </w:r>
            <w:r w:rsidR="00A3466F">
              <w:rPr>
                <w:szCs w:val="22"/>
              </w:rPr>
              <w:t xml:space="preserve"> </w:t>
            </w:r>
            <w:r w:rsidRPr="000971B3">
              <w:rPr>
                <w:szCs w:val="22"/>
              </w:rPr>
              <w:t>15 mg</w:t>
            </w:r>
          </w:p>
        </w:tc>
        <w:tc>
          <w:tcPr>
            <w:tcW w:w="3828" w:type="dxa"/>
            <w:shd w:val="clear" w:color="auto" w:fill="auto"/>
          </w:tcPr>
          <w:p w14:paraId="31031741" w14:textId="7AD92ACB" w:rsidR="00FE12B4" w:rsidRPr="000971B3" w:rsidRDefault="00FA2988" w:rsidP="00FE12B4">
            <w:r w:rsidRPr="000971B3">
              <w:rPr>
                <w:szCs w:val="22"/>
              </w:rPr>
              <w:t>15</w:t>
            </w:r>
            <w:r w:rsidR="00A3466F">
              <w:rPr>
                <w:szCs w:val="22"/>
              </w:rPr>
              <w:t xml:space="preserve"> </w:t>
            </w:r>
            <w:r w:rsidRPr="000971B3">
              <w:rPr>
                <w:szCs w:val="22"/>
              </w:rPr>
              <w:t>+</w:t>
            </w:r>
            <w:r w:rsidR="00A3466F">
              <w:rPr>
                <w:szCs w:val="22"/>
              </w:rPr>
              <w:t xml:space="preserve"> </w:t>
            </w:r>
            <w:r w:rsidRPr="000971B3">
              <w:rPr>
                <w:szCs w:val="22"/>
              </w:rPr>
              <w:t>15 mg</w:t>
            </w:r>
          </w:p>
        </w:tc>
      </w:tr>
    </w:tbl>
    <w:p w14:paraId="38DA612D" w14:textId="77777777" w:rsidR="00FE12B4" w:rsidRPr="00E83870" w:rsidRDefault="00FE12B4" w:rsidP="00FE12B4">
      <w:pPr>
        <w:suppressLineNumbers/>
        <w:autoSpaceDE w:val="0"/>
        <w:autoSpaceDN w:val="0"/>
        <w:adjustRightInd w:val="0"/>
        <w:rPr>
          <w:szCs w:val="22"/>
        </w:rPr>
      </w:pPr>
    </w:p>
    <w:p w14:paraId="2CCECCCC" w14:textId="77777777" w:rsidR="00FE12B4" w:rsidRDefault="00FA2988" w:rsidP="00FE12B4">
      <w:pPr>
        <w:suppressLineNumbers/>
        <w:autoSpaceDE w:val="0"/>
        <w:autoSpaceDN w:val="0"/>
        <w:adjustRightInd w:val="0"/>
        <w:rPr>
          <w:szCs w:val="22"/>
        </w:rPr>
      </w:pPr>
      <w:r w:rsidRPr="000971B3">
        <w:rPr>
          <w:szCs w:val="22"/>
        </w:rPr>
        <w:t>Further reductions have to be considered if patients cannot tolerate the reduced tolvaptan doses.</w:t>
      </w:r>
    </w:p>
    <w:p w14:paraId="07F60DAB" w14:textId="77777777" w:rsidR="00DA37B3" w:rsidRDefault="00DA37B3" w:rsidP="00FE12B4">
      <w:pPr>
        <w:suppressLineNumbers/>
        <w:autoSpaceDE w:val="0"/>
        <w:autoSpaceDN w:val="0"/>
        <w:adjustRightInd w:val="0"/>
        <w:rPr>
          <w:szCs w:val="22"/>
        </w:rPr>
      </w:pPr>
    </w:p>
    <w:p w14:paraId="1F21D46A" w14:textId="7019CD45" w:rsidR="00DA37B3" w:rsidRPr="00DA37B3" w:rsidRDefault="00DA37B3" w:rsidP="00DA37B3">
      <w:pPr>
        <w:pStyle w:val="Default"/>
        <w:rPr>
          <w:rFonts w:eastAsiaTheme="minorEastAsia"/>
          <w:sz w:val="23"/>
          <w:szCs w:val="23"/>
          <w:lang w:val="en-US" w:eastAsia="en-US"/>
        </w:rPr>
      </w:pPr>
      <w:r>
        <w:rPr>
          <w:i/>
          <w:szCs w:val="22"/>
        </w:rPr>
        <w:t xml:space="preserve">Dosage adjustments for patients taking </w:t>
      </w:r>
      <w:r w:rsidRPr="00DA37B3">
        <w:rPr>
          <w:rFonts w:eastAsiaTheme="minorEastAsia"/>
          <w:i/>
          <w:iCs/>
          <w:sz w:val="23"/>
          <w:szCs w:val="23"/>
          <w:lang w:val="en-US" w:eastAsia="en-US"/>
        </w:rPr>
        <w:t xml:space="preserve">CYP 3A Inducers </w:t>
      </w:r>
    </w:p>
    <w:p w14:paraId="05770D46" w14:textId="302DDB44" w:rsidR="00DA37B3" w:rsidRPr="00132A26" w:rsidRDefault="00DA37B3" w:rsidP="00DA37B3">
      <w:pPr>
        <w:suppressLineNumbers/>
        <w:autoSpaceDE w:val="0"/>
        <w:autoSpaceDN w:val="0"/>
        <w:adjustRightInd w:val="0"/>
        <w:rPr>
          <w:i/>
          <w:szCs w:val="22"/>
        </w:rPr>
      </w:pPr>
      <w:r w:rsidRPr="00DA37B3">
        <w:rPr>
          <w:rFonts w:eastAsiaTheme="minorEastAsia"/>
          <w:sz w:val="23"/>
          <w:szCs w:val="23"/>
          <w:lang w:val="en-US" w:eastAsia="en-US"/>
        </w:rPr>
        <w:t xml:space="preserve">Concomitant use of </w:t>
      </w:r>
      <w:r>
        <w:rPr>
          <w:rFonts w:eastAsiaTheme="minorEastAsia"/>
          <w:sz w:val="23"/>
          <w:szCs w:val="23"/>
          <w:lang w:val="en-US" w:eastAsia="en-US"/>
        </w:rPr>
        <w:t>tolvaptan</w:t>
      </w:r>
      <w:r w:rsidRPr="00DA37B3">
        <w:rPr>
          <w:rFonts w:eastAsiaTheme="minorEastAsia"/>
          <w:sz w:val="16"/>
          <w:szCs w:val="16"/>
          <w:lang w:val="en-US" w:eastAsia="en-US"/>
        </w:rPr>
        <w:t xml:space="preserve"> </w:t>
      </w:r>
      <w:r w:rsidRPr="00DA37B3">
        <w:rPr>
          <w:rFonts w:eastAsiaTheme="minorEastAsia"/>
          <w:sz w:val="23"/>
          <w:szCs w:val="23"/>
          <w:lang w:val="en-US" w:eastAsia="en-US"/>
        </w:rPr>
        <w:t>with strong CYP 3A inducers shou</w:t>
      </w:r>
      <w:r>
        <w:rPr>
          <w:rFonts w:eastAsiaTheme="minorEastAsia"/>
          <w:sz w:val="23"/>
          <w:szCs w:val="23"/>
          <w:lang w:val="en-US" w:eastAsia="en-US"/>
        </w:rPr>
        <w:t>ld be avoided (see INTERACTONS WITH OTHER MEDICINES</w:t>
      </w:r>
      <w:r w:rsidRPr="00DA37B3">
        <w:rPr>
          <w:rFonts w:eastAsiaTheme="minorEastAsia"/>
          <w:sz w:val="23"/>
          <w:szCs w:val="23"/>
          <w:lang w:val="en-US" w:eastAsia="en-US"/>
        </w:rPr>
        <w:t>).</w:t>
      </w:r>
    </w:p>
    <w:p w14:paraId="14937299" w14:textId="77777777" w:rsidR="00FE12B4" w:rsidRPr="00E83870" w:rsidRDefault="00FE12B4" w:rsidP="00FE12B4">
      <w:pPr>
        <w:suppressLineNumbers/>
        <w:autoSpaceDE w:val="0"/>
        <w:autoSpaceDN w:val="0"/>
        <w:adjustRightInd w:val="0"/>
        <w:rPr>
          <w:szCs w:val="22"/>
        </w:rPr>
      </w:pPr>
    </w:p>
    <w:p w14:paraId="77A00BCE" w14:textId="77777777" w:rsidR="00FE12B4" w:rsidRPr="00E83870" w:rsidRDefault="00FA2988" w:rsidP="00FE12B4">
      <w:pPr>
        <w:rPr>
          <w:i/>
          <w:szCs w:val="22"/>
        </w:rPr>
      </w:pPr>
      <w:r w:rsidRPr="000971B3">
        <w:rPr>
          <w:i/>
          <w:szCs w:val="22"/>
        </w:rPr>
        <w:t>Elderly population</w:t>
      </w:r>
    </w:p>
    <w:p w14:paraId="51F1CED4" w14:textId="77777777" w:rsidR="00FE12B4" w:rsidRPr="00E83870" w:rsidRDefault="00FA2988" w:rsidP="00FE12B4">
      <w:pPr>
        <w:rPr>
          <w:szCs w:val="22"/>
        </w:rPr>
      </w:pPr>
      <w:r w:rsidRPr="000971B3">
        <w:rPr>
          <w:szCs w:val="22"/>
        </w:rPr>
        <w:t>Increasing age has no effect on tolvaptan plasma concentrations. However, the safety and effectiveness of tolvaptan in ADPKD patients aged over 50 years has not yet been established.</w:t>
      </w:r>
    </w:p>
    <w:p w14:paraId="4498718F" w14:textId="77777777" w:rsidR="00FE12B4" w:rsidRPr="00E83870" w:rsidRDefault="00FE12B4" w:rsidP="00FE12B4">
      <w:pPr>
        <w:rPr>
          <w:i/>
          <w:szCs w:val="22"/>
        </w:rPr>
      </w:pPr>
    </w:p>
    <w:p w14:paraId="27494CEC" w14:textId="77777777" w:rsidR="00FE12B4" w:rsidRPr="00E83870" w:rsidRDefault="00FA2988" w:rsidP="00FE12B4">
      <w:pPr>
        <w:rPr>
          <w:i/>
          <w:szCs w:val="22"/>
        </w:rPr>
      </w:pPr>
      <w:r w:rsidRPr="000971B3">
        <w:rPr>
          <w:i/>
          <w:szCs w:val="22"/>
        </w:rPr>
        <w:t>Renal impairment</w:t>
      </w:r>
    </w:p>
    <w:p w14:paraId="4218C8A2" w14:textId="77777777" w:rsidR="00FE12B4" w:rsidRPr="00E83870" w:rsidRDefault="00FA2988" w:rsidP="00FE12B4">
      <w:pPr>
        <w:rPr>
          <w:szCs w:val="22"/>
        </w:rPr>
      </w:pPr>
      <w:r w:rsidRPr="000971B3">
        <w:rPr>
          <w:szCs w:val="22"/>
        </w:rPr>
        <w:t xml:space="preserve">Dose adjustment is not required in patients with renal impairment. No clinical trials in subjects with a creatinine clearance &lt;10 mL/min or in patients undergoing dialysis have been conducted. The risk of hepatic damage in patients with severely reduced renal function (i.e. </w:t>
      </w:r>
      <w:proofErr w:type="spellStart"/>
      <w:r w:rsidRPr="000971B3">
        <w:rPr>
          <w:szCs w:val="22"/>
        </w:rPr>
        <w:t>eGFR</w:t>
      </w:r>
      <w:proofErr w:type="spellEnd"/>
      <w:r w:rsidRPr="000971B3">
        <w:rPr>
          <w:szCs w:val="22"/>
        </w:rPr>
        <w:t xml:space="preserve"> &lt; 20) may be increased; these patients should be carefully monitored for hepatic toxicity. Data for patients in CKD stage 3 are more limited than for patients in stage 1 or 2 (see </w:t>
      </w:r>
      <w:r w:rsidR="003B4C04">
        <w:rPr>
          <w:szCs w:val="22"/>
        </w:rPr>
        <w:t>CLINICAL TRIALS</w:t>
      </w:r>
      <w:r w:rsidRPr="000971B3">
        <w:rPr>
          <w:szCs w:val="22"/>
        </w:rPr>
        <w:t>).</w:t>
      </w:r>
    </w:p>
    <w:p w14:paraId="4BD5D2F5" w14:textId="77777777" w:rsidR="00FE12B4" w:rsidRPr="00E83870" w:rsidRDefault="00FE12B4" w:rsidP="00FE12B4">
      <w:pPr>
        <w:rPr>
          <w:szCs w:val="22"/>
        </w:rPr>
      </w:pPr>
    </w:p>
    <w:p w14:paraId="650ACE41" w14:textId="77777777" w:rsidR="00FE12B4" w:rsidRPr="00E83870" w:rsidRDefault="00FA2988" w:rsidP="00F36329">
      <w:pPr>
        <w:keepNext/>
        <w:rPr>
          <w:i/>
          <w:szCs w:val="22"/>
        </w:rPr>
      </w:pPr>
      <w:r w:rsidRPr="000971B3">
        <w:rPr>
          <w:i/>
          <w:szCs w:val="22"/>
        </w:rPr>
        <w:t xml:space="preserve">Hepatic impairment </w:t>
      </w:r>
    </w:p>
    <w:p w14:paraId="6A9777DD" w14:textId="784BAB9F" w:rsidR="00FE12B4" w:rsidRPr="00E83870" w:rsidRDefault="00FA2988" w:rsidP="00F36329">
      <w:pPr>
        <w:keepNext/>
        <w:rPr>
          <w:szCs w:val="22"/>
        </w:rPr>
      </w:pPr>
      <w:r w:rsidRPr="000971B3">
        <w:rPr>
          <w:szCs w:val="22"/>
        </w:rPr>
        <w:t xml:space="preserve">In patients with severe hepatic impairment the benefits and risks of treatment with </w:t>
      </w:r>
      <w:r w:rsidR="001522D8">
        <w:rPr>
          <w:szCs w:val="22"/>
        </w:rPr>
        <w:t>JINARC</w:t>
      </w:r>
      <w:r w:rsidRPr="000971B3">
        <w:rPr>
          <w:szCs w:val="22"/>
        </w:rPr>
        <w:t xml:space="preserve"> must be evaluated carefully. Patients must be managed carefully and liver enzymes must be monitored regularly (see PRECAUTIONS). </w:t>
      </w:r>
    </w:p>
    <w:p w14:paraId="4FDE5AD6" w14:textId="77777777" w:rsidR="00861D16" w:rsidRPr="00E83870" w:rsidRDefault="00861D16" w:rsidP="00FE12B4">
      <w:pPr>
        <w:rPr>
          <w:szCs w:val="22"/>
        </w:rPr>
      </w:pPr>
    </w:p>
    <w:p w14:paraId="204F9FC2" w14:textId="2C9BA2EF" w:rsidR="00FE12B4" w:rsidRPr="00E83870" w:rsidRDefault="001522D8" w:rsidP="00FE12B4">
      <w:pPr>
        <w:rPr>
          <w:szCs w:val="22"/>
        </w:rPr>
      </w:pPr>
      <w:r>
        <w:rPr>
          <w:szCs w:val="22"/>
        </w:rPr>
        <w:t>JINARC</w:t>
      </w:r>
      <w:r w:rsidR="00FA2988" w:rsidRPr="000971B3">
        <w:rPr>
          <w:szCs w:val="22"/>
        </w:rPr>
        <w:t xml:space="preserve"> is contraindicated in patients with elevated liver enzymes and/or signs or symptoms of liver injury prior to initiation of treatment that meet the requirements for permanent discontinuation of tolvaptan (see CONTRAINDICATIONS, see PRECAUTIONS).</w:t>
      </w:r>
    </w:p>
    <w:p w14:paraId="29B08B0D" w14:textId="77777777" w:rsidR="00FE12B4" w:rsidRPr="00E83870" w:rsidRDefault="00FA2988" w:rsidP="00FE12B4">
      <w:pPr>
        <w:rPr>
          <w:szCs w:val="22"/>
        </w:rPr>
      </w:pPr>
      <w:r w:rsidRPr="000971B3">
        <w:rPr>
          <w:szCs w:val="22"/>
        </w:rPr>
        <w:t>No dose adjustment is needed in patients with mild or moderate hepatic impairment (Child-Pugh classes A and B).</w:t>
      </w:r>
    </w:p>
    <w:p w14:paraId="74D346B0" w14:textId="77777777" w:rsidR="00FE12B4" w:rsidRPr="00E83870" w:rsidRDefault="00FE12B4" w:rsidP="00FE12B4">
      <w:pPr>
        <w:suppressLineNumbers/>
        <w:autoSpaceDE w:val="0"/>
        <w:autoSpaceDN w:val="0"/>
        <w:adjustRightInd w:val="0"/>
        <w:rPr>
          <w:szCs w:val="22"/>
        </w:rPr>
      </w:pPr>
    </w:p>
    <w:p w14:paraId="684BCD63" w14:textId="77777777" w:rsidR="00FE12B4" w:rsidRPr="00E83870" w:rsidRDefault="00FA2988" w:rsidP="00FE12B4">
      <w:pPr>
        <w:suppressLineNumbers/>
        <w:autoSpaceDE w:val="0"/>
        <w:autoSpaceDN w:val="0"/>
        <w:adjustRightInd w:val="0"/>
        <w:rPr>
          <w:i/>
          <w:szCs w:val="22"/>
        </w:rPr>
      </w:pPr>
      <w:r w:rsidRPr="000971B3">
        <w:rPr>
          <w:i/>
          <w:szCs w:val="22"/>
        </w:rPr>
        <w:t>Paediatric population</w:t>
      </w:r>
    </w:p>
    <w:p w14:paraId="3F134E1E" w14:textId="77777777" w:rsidR="00FE12B4" w:rsidRPr="00E83870" w:rsidRDefault="00FA2988" w:rsidP="00FE12B4">
      <w:pPr>
        <w:suppressLineNumbers/>
        <w:autoSpaceDE w:val="0"/>
        <w:autoSpaceDN w:val="0"/>
        <w:adjustRightInd w:val="0"/>
        <w:rPr>
          <w:szCs w:val="22"/>
        </w:rPr>
      </w:pPr>
      <w:r w:rsidRPr="000971B3">
        <w:rPr>
          <w:szCs w:val="22"/>
        </w:rPr>
        <w:lastRenderedPageBreak/>
        <w:t>The safety and efficacy of tolvaptan in children and adolescents has not yet been established. No data are available. Tolvaptan is not recommended in the paediatric age group.</w:t>
      </w:r>
    </w:p>
    <w:p w14:paraId="62A8B81A" w14:textId="77777777" w:rsidR="00FE12B4" w:rsidRPr="00E83870" w:rsidRDefault="00FE12B4" w:rsidP="00FE12B4">
      <w:pPr>
        <w:suppressLineNumbers/>
        <w:autoSpaceDE w:val="0"/>
        <w:autoSpaceDN w:val="0"/>
        <w:adjustRightInd w:val="0"/>
        <w:rPr>
          <w:szCs w:val="22"/>
        </w:rPr>
      </w:pPr>
    </w:p>
    <w:p w14:paraId="7DABAA2A" w14:textId="77777777" w:rsidR="00FE12B4" w:rsidRDefault="00FA2988" w:rsidP="00FE12B4">
      <w:pPr>
        <w:suppressLineNumbers/>
        <w:autoSpaceDE w:val="0"/>
        <w:autoSpaceDN w:val="0"/>
        <w:adjustRightInd w:val="0"/>
        <w:rPr>
          <w:szCs w:val="22"/>
          <w:u w:val="single"/>
        </w:rPr>
      </w:pPr>
      <w:r w:rsidRPr="000971B3">
        <w:rPr>
          <w:szCs w:val="22"/>
          <w:u w:val="single"/>
        </w:rPr>
        <w:t xml:space="preserve">Method of administration </w:t>
      </w:r>
    </w:p>
    <w:p w14:paraId="1391C9D1" w14:textId="77777777" w:rsidR="003C09B4" w:rsidRPr="00E83870" w:rsidRDefault="003C09B4" w:rsidP="00FE12B4">
      <w:pPr>
        <w:suppressLineNumbers/>
        <w:autoSpaceDE w:val="0"/>
        <w:autoSpaceDN w:val="0"/>
        <w:adjustRightInd w:val="0"/>
        <w:rPr>
          <w:szCs w:val="22"/>
          <w:u w:val="single"/>
        </w:rPr>
      </w:pPr>
    </w:p>
    <w:p w14:paraId="3DABFC9A" w14:textId="77777777" w:rsidR="00FE12B4" w:rsidRPr="00E83870" w:rsidRDefault="00FA2988" w:rsidP="00FE12B4">
      <w:r w:rsidRPr="000971B3">
        <w:t>For oral use.</w:t>
      </w:r>
    </w:p>
    <w:p w14:paraId="0A0676CA" w14:textId="77777777" w:rsidR="00FE12B4" w:rsidRPr="00E83870" w:rsidRDefault="00FA2988" w:rsidP="00FE12B4">
      <w:r w:rsidRPr="000971B3">
        <w:t xml:space="preserve">Tablets must be swallowed without chewing and with a glass of water. </w:t>
      </w:r>
    </w:p>
    <w:p w14:paraId="0BCA0511" w14:textId="77777777" w:rsidR="00E52433" w:rsidRPr="00E83870" w:rsidRDefault="00E52433" w:rsidP="00346E9F">
      <w:pPr>
        <w:autoSpaceDE w:val="0"/>
        <w:autoSpaceDN w:val="0"/>
        <w:adjustRightInd w:val="0"/>
        <w:rPr>
          <w:rFonts w:eastAsiaTheme="minorHAnsi"/>
          <w:color w:val="auto"/>
          <w:szCs w:val="24"/>
          <w:lang w:val="en-US" w:eastAsia="en-US"/>
        </w:rPr>
      </w:pPr>
    </w:p>
    <w:p w14:paraId="60311C6A" w14:textId="77777777" w:rsidR="00E52433" w:rsidRPr="00E83870" w:rsidRDefault="00FA2988" w:rsidP="00346E9F">
      <w:pPr>
        <w:autoSpaceDE w:val="0"/>
        <w:autoSpaceDN w:val="0"/>
        <w:adjustRightInd w:val="0"/>
        <w:rPr>
          <w:rFonts w:eastAsiaTheme="minorHAnsi"/>
          <w:b/>
          <w:color w:val="auto"/>
          <w:szCs w:val="24"/>
          <w:lang w:val="en-US" w:eastAsia="en-US"/>
        </w:rPr>
      </w:pPr>
      <w:r w:rsidRPr="000971B3">
        <w:rPr>
          <w:rFonts w:eastAsiaTheme="minorHAnsi"/>
          <w:b/>
          <w:color w:val="auto"/>
          <w:szCs w:val="24"/>
          <w:lang w:val="en-US" w:eastAsia="en-US"/>
        </w:rPr>
        <w:t>OVERDOSAGE</w:t>
      </w:r>
    </w:p>
    <w:p w14:paraId="571BF409" w14:textId="77777777" w:rsidR="00E52433" w:rsidRPr="00E83870" w:rsidRDefault="00E52433" w:rsidP="00346E9F">
      <w:pPr>
        <w:autoSpaceDE w:val="0"/>
        <w:autoSpaceDN w:val="0"/>
        <w:adjustRightInd w:val="0"/>
        <w:rPr>
          <w:rFonts w:eastAsiaTheme="minorHAnsi"/>
          <w:b/>
          <w:color w:val="auto"/>
          <w:szCs w:val="24"/>
          <w:lang w:val="en-US" w:eastAsia="en-US"/>
        </w:rPr>
      </w:pPr>
    </w:p>
    <w:p w14:paraId="666DDBD4" w14:textId="77777777" w:rsidR="00E52433" w:rsidRPr="00E83870" w:rsidRDefault="00FA2988" w:rsidP="00E52433">
      <w:pPr>
        <w:suppressLineNumbers/>
        <w:autoSpaceDE w:val="0"/>
        <w:autoSpaceDN w:val="0"/>
        <w:adjustRightInd w:val="0"/>
        <w:spacing w:after="240"/>
        <w:jc w:val="both"/>
        <w:rPr>
          <w:szCs w:val="24"/>
        </w:rPr>
      </w:pPr>
      <w:r w:rsidRPr="000971B3">
        <w:rPr>
          <w:szCs w:val="24"/>
        </w:rPr>
        <w:t>Contact the Poisons Information Centre on telephone 13 11 26 for advice on management of overdose.</w:t>
      </w:r>
    </w:p>
    <w:p w14:paraId="1F9736B3" w14:textId="77777777" w:rsidR="00FE12B4" w:rsidRPr="00E83870" w:rsidRDefault="00FA2988" w:rsidP="00FE12B4">
      <w:pPr>
        <w:rPr>
          <w:szCs w:val="22"/>
        </w:rPr>
      </w:pPr>
      <w:r w:rsidRPr="000971B3">
        <w:rPr>
          <w:szCs w:val="22"/>
        </w:rPr>
        <w:t>Single oral doses up to 480 mg (4 times the maximum recommended daily dose) and multiple doses up to 300 mg once daily for 5 days have been well tolerated in trials in healthy subjects. There is no specific antidote for tolvaptan intoxication. The signs and symptoms of an acute overdose can be anticipated to be those of excessive pharmacologic effect: a rise in serum sodium concentration, polyuria, thirst and dehydration/hypovolemia.</w:t>
      </w:r>
    </w:p>
    <w:p w14:paraId="071A2CF9" w14:textId="77777777" w:rsidR="00FE12B4" w:rsidRPr="00E83870" w:rsidRDefault="00FE12B4" w:rsidP="00FE12B4">
      <w:pPr>
        <w:rPr>
          <w:szCs w:val="22"/>
        </w:rPr>
      </w:pPr>
    </w:p>
    <w:p w14:paraId="123C0BED" w14:textId="77777777" w:rsidR="00FE12B4" w:rsidRPr="00E83870" w:rsidRDefault="00FA2988" w:rsidP="00FE12B4">
      <w:pPr>
        <w:rPr>
          <w:szCs w:val="22"/>
        </w:rPr>
      </w:pPr>
      <w:r w:rsidRPr="000971B3">
        <w:rPr>
          <w:szCs w:val="22"/>
        </w:rPr>
        <w:t>No mortality was observed in rats or dogs following single oral doses of 2,000 mg/kg (maximum feasible dose). A single oral dose of 2,000 mg/kg was lethal in mice and symptoms of toxicity in affected mice included decreased locomotor activity, staggering gait, tremor and hypothermia.</w:t>
      </w:r>
    </w:p>
    <w:p w14:paraId="24A230CE" w14:textId="77777777" w:rsidR="00FE12B4" w:rsidRPr="00E83870" w:rsidRDefault="00FE12B4" w:rsidP="00FE12B4">
      <w:pPr>
        <w:rPr>
          <w:szCs w:val="22"/>
        </w:rPr>
      </w:pPr>
    </w:p>
    <w:p w14:paraId="7D372107" w14:textId="77777777" w:rsidR="00FE12B4" w:rsidRPr="00E83870" w:rsidRDefault="00FA2988" w:rsidP="00422006">
      <w:pPr>
        <w:rPr>
          <w:szCs w:val="22"/>
        </w:rPr>
      </w:pPr>
      <w:r w:rsidRPr="000971B3">
        <w:rPr>
          <w:szCs w:val="22"/>
        </w:rPr>
        <w:t xml:space="preserve">In patients with suspected tolvaptan overdose, assessment of vital signs, electrolyte concentrations, ECG and fluid status is recommended. Appropriate replacement of water and/or electrolytes must continue until </w:t>
      </w:r>
      <w:proofErr w:type="spellStart"/>
      <w:r w:rsidRPr="000971B3">
        <w:rPr>
          <w:szCs w:val="22"/>
        </w:rPr>
        <w:t>aquaresis</w:t>
      </w:r>
      <w:proofErr w:type="spellEnd"/>
      <w:r w:rsidRPr="000971B3">
        <w:rPr>
          <w:szCs w:val="22"/>
        </w:rPr>
        <w:t xml:space="preserve"> abates. Dialysis may not be effective in removing tolvaptan because of its high binding affinity for human plasma protein (&gt;98%).</w:t>
      </w:r>
    </w:p>
    <w:p w14:paraId="46FB13B6" w14:textId="77777777" w:rsidR="00E52433" w:rsidRDefault="00E52433" w:rsidP="00E52433">
      <w:pPr>
        <w:autoSpaceDE w:val="0"/>
        <w:autoSpaceDN w:val="0"/>
        <w:adjustRightInd w:val="0"/>
        <w:rPr>
          <w:rFonts w:eastAsiaTheme="minorHAnsi"/>
          <w:color w:val="auto"/>
          <w:szCs w:val="24"/>
          <w:lang w:val="en-US" w:eastAsia="en-US"/>
        </w:rPr>
      </w:pPr>
    </w:p>
    <w:p w14:paraId="293004DC" w14:textId="2FC0D83B" w:rsidR="00E52433" w:rsidRPr="00E83870" w:rsidRDefault="00FA2988" w:rsidP="00E52433">
      <w:pPr>
        <w:autoSpaceDE w:val="0"/>
        <w:autoSpaceDN w:val="0"/>
        <w:adjustRightInd w:val="0"/>
        <w:rPr>
          <w:rFonts w:eastAsiaTheme="minorHAnsi"/>
          <w:b/>
          <w:color w:val="auto"/>
          <w:szCs w:val="24"/>
          <w:lang w:val="en-US" w:eastAsia="en-US"/>
        </w:rPr>
      </w:pPr>
      <w:r w:rsidRPr="000971B3">
        <w:rPr>
          <w:rFonts w:eastAsiaTheme="minorHAnsi"/>
          <w:b/>
          <w:color w:val="auto"/>
          <w:szCs w:val="24"/>
          <w:lang w:val="en-US" w:eastAsia="en-US"/>
        </w:rPr>
        <w:t>PRESENTION AND STORAGE</w:t>
      </w:r>
      <w:r w:rsidR="00D67187">
        <w:rPr>
          <w:rFonts w:eastAsiaTheme="minorHAnsi"/>
          <w:b/>
          <w:color w:val="auto"/>
          <w:szCs w:val="24"/>
          <w:lang w:val="en-US" w:eastAsia="en-US"/>
        </w:rPr>
        <w:t xml:space="preserve"> CONDITIONS</w:t>
      </w:r>
    </w:p>
    <w:p w14:paraId="32373A4C" w14:textId="77777777" w:rsidR="00E52433" w:rsidRPr="00E83870" w:rsidRDefault="00E52433" w:rsidP="00E52433">
      <w:pPr>
        <w:autoSpaceDE w:val="0"/>
        <w:autoSpaceDN w:val="0"/>
        <w:adjustRightInd w:val="0"/>
        <w:rPr>
          <w:rFonts w:eastAsiaTheme="minorHAnsi"/>
          <w:b/>
          <w:color w:val="auto"/>
          <w:szCs w:val="24"/>
          <w:lang w:val="en-US" w:eastAsia="en-US"/>
        </w:rPr>
      </w:pPr>
    </w:p>
    <w:p w14:paraId="0BC44F4D" w14:textId="77777777" w:rsidR="00E52433" w:rsidRPr="00E83870" w:rsidRDefault="00FA2988" w:rsidP="00E52433">
      <w:pPr>
        <w:autoSpaceDE w:val="0"/>
        <w:autoSpaceDN w:val="0"/>
        <w:adjustRightInd w:val="0"/>
        <w:rPr>
          <w:rFonts w:eastAsiaTheme="minorHAnsi"/>
          <w:b/>
          <w:color w:val="auto"/>
          <w:szCs w:val="24"/>
          <w:lang w:val="en-US" w:eastAsia="en-US"/>
        </w:rPr>
      </w:pPr>
      <w:r w:rsidRPr="000971B3">
        <w:rPr>
          <w:rFonts w:eastAsiaTheme="minorHAnsi"/>
          <w:b/>
          <w:color w:val="auto"/>
          <w:szCs w:val="24"/>
          <w:lang w:val="en-US" w:eastAsia="en-US"/>
        </w:rPr>
        <w:t>Presentation</w:t>
      </w:r>
    </w:p>
    <w:p w14:paraId="052300B6" w14:textId="77777777" w:rsidR="00853B59" w:rsidRPr="000971B3" w:rsidRDefault="00853B59" w:rsidP="0020425D">
      <w:pPr>
        <w:autoSpaceDE w:val="0"/>
        <w:autoSpaceDN w:val="0"/>
        <w:adjustRightInd w:val="0"/>
        <w:rPr>
          <w:rFonts w:eastAsiaTheme="minorHAnsi"/>
          <w:color w:val="auto"/>
          <w:szCs w:val="24"/>
          <w:lang w:val="en-US" w:eastAsia="en-US"/>
        </w:rPr>
      </w:pPr>
    </w:p>
    <w:p w14:paraId="2ADF0163" w14:textId="69C66C89" w:rsidR="00853B59" w:rsidRPr="00E83870" w:rsidRDefault="001522D8" w:rsidP="0020425D">
      <w:pPr>
        <w:autoSpaceDE w:val="0"/>
        <w:autoSpaceDN w:val="0"/>
        <w:adjustRightInd w:val="0"/>
        <w:rPr>
          <w:rFonts w:eastAsiaTheme="minorHAnsi"/>
          <w:color w:val="auto"/>
          <w:szCs w:val="24"/>
          <w:lang w:val="en-US" w:eastAsia="en-US"/>
        </w:rPr>
      </w:pPr>
      <w:r>
        <w:rPr>
          <w:rFonts w:eastAsiaTheme="minorHAnsi"/>
          <w:color w:val="auto"/>
          <w:szCs w:val="24"/>
          <w:lang w:val="en-US" w:eastAsia="en-US"/>
        </w:rPr>
        <w:t>JINARC</w:t>
      </w:r>
      <w:r w:rsidR="00853B59" w:rsidRPr="00E83870">
        <w:rPr>
          <w:rFonts w:eastAsiaTheme="minorHAnsi"/>
          <w:color w:val="auto"/>
          <w:szCs w:val="24"/>
          <w:lang w:val="en-US" w:eastAsia="en-US"/>
        </w:rPr>
        <w:t xml:space="preserve"> 15</w:t>
      </w:r>
      <w:r w:rsidR="00A850F5">
        <w:rPr>
          <w:rFonts w:eastAsiaTheme="minorHAnsi"/>
          <w:color w:val="auto"/>
          <w:szCs w:val="24"/>
          <w:lang w:val="en-US" w:eastAsia="en-US"/>
        </w:rPr>
        <w:t xml:space="preserve"> </w:t>
      </w:r>
      <w:r w:rsidR="00853B59" w:rsidRPr="00E83870">
        <w:rPr>
          <w:rFonts w:eastAsiaTheme="minorHAnsi"/>
          <w:color w:val="auto"/>
          <w:szCs w:val="24"/>
          <w:lang w:val="en-US" w:eastAsia="en-US"/>
        </w:rPr>
        <w:t xml:space="preserve">mg </w:t>
      </w:r>
      <w:r w:rsidR="00853B59" w:rsidRPr="000971B3">
        <w:rPr>
          <w:rFonts w:eastAsiaTheme="minorHAnsi"/>
          <w:color w:val="auto"/>
          <w:szCs w:val="24"/>
          <w:lang w:val="en-US" w:eastAsia="en-US"/>
        </w:rPr>
        <w:t>Tablet</w:t>
      </w:r>
      <w:r w:rsidR="00853B59" w:rsidRPr="00E83870">
        <w:rPr>
          <w:rFonts w:eastAsiaTheme="minorHAnsi"/>
          <w:color w:val="auto"/>
          <w:szCs w:val="24"/>
          <w:lang w:val="en-US" w:eastAsia="en-US"/>
        </w:rPr>
        <w:t>: A blue triangular shallow-convex tablet debossed with “OTSUKA” and “15” on one side.</w:t>
      </w:r>
    </w:p>
    <w:p w14:paraId="48450071" w14:textId="77777777" w:rsidR="00853B59" w:rsidRPr="00E83870" w:rsidRDefault="00853B59" w:rsidP="0020425D">
      <w:pPr>
        <w:autoSpaceDE w:val="0"/>
        <w:autoSpaceDN w:val="0"/>
        <w:adjustRightInd w:val="0"/>
        <w:rPr>
          <w:rFonts w:eastAsiaTheme="minorHAnsi"/>
          <w:color w:val="auto"/>
          <w:szCs w:val="24"/>
          <w:lang w:val="en-US" w:eastAsia="en-US"/>
        </w:rPr>
      </w:pPr>
    </w:p>
    <w:p w14:paraId="1A2EC1D9" w14:textId="7C3EA912" w:rsidR="00853B59" w:rsidRPr="00E83870" w:rsidRDefault="001522D8" w:rsidP="0020425D">
      <w:pPr>
        <w:autoSpaceDE w:val="0"/>
        <w:autoSpaceDN w:val="0"/>
        <w:adjustRightInd w:val="0"/>
        <w:rPr>
          <w:rFonts w:eastAsiaTheme="minorHAnsi"/>
          <w:color w:val="auto"/>
          <w:szCs w:val="24"/>
          <w:lang w:val="en-US" w:eastAsia="en-US"/>
        </w:rPr>
      </w:pPr>
      <w:r>
        <w:rPr>
          <w:rFonts w:eastAsiaTheme="minorHAnsi"/>
          <w:color w:val="auto"/>
          <w:szCs w:val="24"/>
          <w:lang w:val="en-US" w:eastAsia="en-US"/>
        </w:rPr>
        <w:t>JINARC</w:t>
      </w:r>
      <w:r w:rsidR="00FA2988" w:rsidRPr="000971B3">
        <w:rPr>
          <w:rFonts w:eastAsiaTheme="minorHAnsi"/>
          <w:color w:val="auto"/>
          <w:szCs w:val="24"/>
          <w:lang w:val="en-US" w:eastAsia="en-US"/>
        </w:rPr>
        <w:t xml:space="preserve"> 30</w:t>
      </w:r>
      <w:r w:rsidR="00A850F5">
        <w:rPr>
          <w:rFonts w:eastAsiaTheme="minorHAnsi"/>
          <w:color w:val="auto"/>
          <w:szCs w:val="24"/>
          <w:lang w:val="en-US" w:eastAsia="en-US"/>
        </w:rPr>
        <w:t xml:space="preserve"> </w:t>
      </w:r>
      <w:r w:rsidR="00FA2988" w:rsidRPr="000971B3">
        <w:rPr>
          <w:rFonts w:eastAsiaTheme="minorHAnsi"/>
          <w:color w:val="auto"/>
          <w:szCs w:val="24"/>
          <w:lang w:val="en-US" w:eastAsia="en-US"/>
        </w:rPr>
        <w:t>mg Tablet: A blue round shallow-convex tablet debossed with “OTSUKA” and “30” on one side.</w:t>
      </w:r>
    </w:p>
    <w:p w14:paraId="0ECF70A9" w14:textId="77777777" w:rsidR="00853B59" w:rsidRPr="00E83870" w:rsidRDefault="00853B59" w:rsidP="0020425D">
      <w:pPr>
        <w:autoSpaceDE w:val="0"/>
        <w:autoSpaceDN w:val="0"/>
        <w:adjustRightInd w:val="0"/>
        <w:rPr>
          <w:rFonts w:eastAsiaTheme="minorHAnsi"/>
          <w:color w:val="auto"/>
          <w:szCs w:val="24"/>
          <w:lang w:val="en-US" w:eastAsia="en-US"/>
        </w:rPr>
      </w:pPr>
    </w:p>
    <w:p w14:paraId="4721BA2B" w14:textId="0AE9078F" w:rsidR="00853B59" w:rsidRPr="00E83870" w:rsidRDefault="001522D8" w:rsidP="0020425D">
      <w:pPr>
        <w:autoSpaceDE w:val="0"/>
        <w:autoSpaceDN w:val="0"/>
        <w:adjustRightInd w:val="0"/>
        <w:rPr>
          <w:rFonts w:eastAsiaTheme="minorHAnsi"/>
          <w:color w:val="auto"/>
          <w:szCs w:val="24"/>
          <w:lang w:val="en-US" w:eastAsia="en-US"/>
        </w:rPr>
      </w:pPr>
      <w:r>
        <w:rPr>
          <w:rFonts w:eastAsiaTheme="minorHAnsi"/>
          <w:color w:val="auto"/>
          <w:szCs w:val="24"/>
          <w:lang w:val="en-US" w:eastAsia="en-US"/>
        </w:rPr>
        <w:t>JINARC</w:t>
      </w:r>
      <w:r w:rsidR="00FA2988" w:rsidRPr="000971B3">
        <w:rPr>
          <w:rFonts w:eastAsiaTheme="minorHAnsi"/>
          <w:color w:val="auto"/>
          <w:szCs w:val="24"/>
          <w:lang w:val="en-US" w:eastAsia="en-US"/>
        </w:rPr>
        <w:t xml:space="preserve"> 45</w:t>
      </w:r>
      <w:r w:rsidR="00A850F5">
        <w:rPr>
          <w:rFonts w:eastAsiaTheme="minorHAnsi"/>
          <w:color w:val="auto"/>
          <w:szCs w:val="24"/>
          <w:lang w:val="en-US" w:eastAsia="en-US"/>
        </w:rPr>
        <w:t xml:space="preserve"> </w:t>
      </w:r>
      <w:r w:rsidR="00FA2988" w:rsidRPr="000971B3">
        <w:rPr>
          <w:rFonts w:eastAsiaTheme="minorHAnsi"/>
          <w:color w:val="auto"/>
          <w:szCs w:val="24"/>
          <w:lang w:val="en-US" w:eastAsia="en-US"/>
        </w:rPr>
        <w:t>mg Tablet: A blue square shallow-convex tablet debossed with “OTSUKA and “45” on one side.</w:t>
      </w:r>
    </w:p>
    <w:p w14:paraId="73EFD4FE" w14:textId="77777777" w:rsidR="00853B59" w:rsidRPr="00E83870" w:rsidRDefault="00853B59" w:rsidP="0020425D">
      <w:pPr>
        <w:autoSpaceDE w:val="0"/>
        <w:autoSpaceDN w:val="0"/>
        <w:adjustRightInd w:val="0"/>
        <w:rPr>
          <w:rFonts w:eastAsiaTheme="minorHAnsi"/>
          <w:color w:val="auto"/>
          <w:szCs w:val="24"/>
          <w:lang w:val="en-US" w:eastAsia="en-US"/>
        </w:rPr>
      </w:pPr>
    </w:p>
    <w:p w14:paraId="52CAF827" w14:textId="28D3C1B5" w:rsidR="00853B59" w:rsidRPr="00E83870" w:rsidRDefault="001522D8" w:rsidP="0020425D">
      <w:pPr>
        <w:autoSpaceDE w:val="0"/>
        <w:autoSpaceDN w:val="0"/>
        <w:adjustRightInd w:val="0"/>
        <w:rPr>
          <w:rFonts w:eastAsiaTheme="minorHAnsi"/>
          <w:color w:val="auto"/>
          <w:szCs w:val="24"/>
          <w:lang w:val="en-US" w:eastAsia="en-US"/>
        </w:rPr>
      </w:pPr>
      <w:r>
        <w:rPr>
          <w:rFonts w:eastAsiaTheme="minorHAnsi"/>
          <w:color w:val="auto"/>
          <w:szCs w:val="24"/>
          <w:lang w:val="en-US" w:eastAsia="en-US"/>
        </w:rPr>
        <w:t>JINARC</w:t>
      </w:r>
      <w:r w:rsidR="00FA2988" w:rsidRPr="000971B3">
        <w:rPr>
          <w:rFonts w:eastAsiaTheme="minorHAnsi"/>
          <w:color w:val="auto"/>
          <w:szCs w:val="24"/>
          <w:lang w:val="en-US" w:eastAsia="en-US"/>
        </w:rPr>
        <w:t xml:space="preserve"> 60</w:t>
      </w:r>
      <w:r w:rsidR="00A850F5">
        <w:rPr>
          <w:rFonts w:eastAsiaTheme="minorHAnsi"/>
          <w:color w:val="auto"/>
          <w:szCs w:val="24"/>
          <w:lang w:val="en-US" w:eastAsia="en-US"/>
        </w:rPr>
        <w:t xml:space="preserve"> </w:t>
      </w:r>
      <w:r w:rsidR="00FA2988" w:rsidRPr="000971B3">
        <w:rPr>
          <w:rFonts w:eastAsiaTheme="minorHAnsi"/>
          <w:color w:val="auto"/>
          <w:szCs w:val="24"/>
          <w:lang w:val="en-US" w:eastAsia="en-US"/>
        </w:rPr>
        <w:t>mg Tablet: A blue modified rectangular shallow convex tablet debossed with “OTSUKA” and “60” on one side.</w:t>
      </w:r>
    </w:p>
    <w:p w14:paraId="4F9ECEF4" w14:textId="77777777" w:rsidR="0002577F" w:rsidRPr="00E83870" w:rsidRDefault="0002577F" w:rsidP="0020425D">
      <w:pPr>
        <w:autoSpaceDE w:val="0"/>
        <w:autoSpaceDN w:val="0"/>
        <w:adjustRightInd w:val="0"/>
        <w:rPr>
          <w:rFonts w:eastAsiaTheme="minorHAnsi"/>
          <w:color w:val="auto"/>
          <w:szCs w:val="24"/>
          <w:lang w:val="en-US" w:eastAsia="en-US"/>
        </w:rPr>
      </w:pPr>
    </w:p>
    <w:p w14:paraId="1A7637DE" w14:textId="5EBAFE8A" w:rsidR="0002577F" w:rsidRPr="00E83870" w:rsidRDefault="001522D8" w:rsidP="0020425D">
      <w:pPr>
        <w:autoSpaceDE w:val="0"/>
        <w:autoSpaceDN w:val="0"/>
        <w:adjustRightInd w:val="0"/>
        <w:rPr>
          <w:rFonts w:eastAsiaTheme="minorHAnsi"/>
          <w:color w:val="auto"/>
          <w:szCs w:val="24"/>
          <w:lang w:val="en-US" w:eastAsia="en-US"/>
        </w:rPr>
      </w:pPr>
      <w:r>
        <w:rPr>
          <w:rFonts w:eastAsiaTheme="minorHAnsi"/>
          <w:color w:val="auto"/>
          <w:szCs w:val="24"/>
          <w:lang w:val="en-US" w:eastAsia="en-US"/>
        </w:rPr>
        <w:t>JINARC</w:t>
      </w:r>
      <w:r w:rsidR="00FA2988" w:rsidRPr="000971B3">
        <w:rPr>
          <w:rFonts w:eastAsiaTheme="minorHAnsi"/>
          <w:color w:val="auto"/>
          <w:szCs w:val="24"/>
          <w:lang w:val="en-US" w:eastAsia="en-US"/>
        </w:rPr>
        <w:t xml:space="preserve"> 90</w:t>
      </w:r>
      <w:r w:rsidR="00A850F5">
        <w:rPr>
          <w:rFonts w:eastAsiaTheme="minorHAnsi"/>
          <w:color w:val="auto"/>
          <w:szCs w:val="24"/>
          <w:lang w:val="en-US" w:eastAsia="en-US"/>
        </w:rPr>
        <w:t xml:space="preserve"> </w:t>
      </w:r>
      <w:r w:rsidR="00FA2988" w:rsidRPr="000971B3">
        <w:rPr>
          <w:rFonts w:eastAsiaTheme="minorHAnsi"/>
          <w:color w:val="auto"/>
          <w:szCs w:val="24"/>
          <w:lang w:val="en-US" w:eastAsia="en-US"/>
        </w:rPr>
        <w:t>mg Tablet: A blue pentagonal shallow-convex tablet debossed with “OTSUKA” and “90” on one side.</w:t>
      </w:r>
    </w:p>
    <w:p w14:paraId="4449EF3A" w14:textId="77777777" w:rsidR="00853B59" w:rsidRPr="00E83870" w:rsidRDefault="00853B59" w:rsidP="0020425D">
      <w:pPr>
        <w:autoSpaceDE w:val="0"/>
        <w:autoSpaceDN w:val="0"/>
        <w:adjustRightInd w:val="0"/>
        <w:rPr>
          <w:rFonts w:eastAsiaTheme="minorHAnsi"/>
          <w:color w:val="auto"/>
          <w:szCs w:val="24"/>
          <w:lang w:val="en-US" w:eastAsia="en-US"/>
        </w:rPr>
      </w:pPr>
    </w:p>
    <w:p w14:paraId="636B6B05" w14:textId="77777777" w:rsidR="0002577F" w:rsidRPr="00E83870" w:rsidRDefault="00FA2988" w:rsidP="0020425D">
      <w:pPr>
        <w:autoSpaceDE w:val="0"/>
        <w:autoSpaceDN w:val="0"/>
        <w:adjustRightInd w:val="0"/>
        <w:rPr>
          <w:rFonts w:eastAsiaTheme="minorHAnsi"/>
          <w:color w:val="auto"/>
          <w:szCs w:val="24"/>
          <w:lang w:val="en-US" w:eastAsia="en-US"/>
        </w:rPr>
      </w:pPr>
      <w:r w:rsidRPr="000971B3">
        <w:rPr>
          <w:rFonts w:eastAsiaTheme="minorHAnsi"/>
          <w:color w:val="auto"/>
          <w:szCs w:val="24"/>
          <w:lang w:val="en-US" w:eastAsia="en-US"/>
        </w:rPr>
        <w:t>The following pack sizes and configurations are available:</w:t>
      </w:r>
    </w:p>
    <w:p w14:paraId="2AF58EB0" w14:textId="77777777" w:rsidR="0002577F" w:rsidRPr="00E83870" w:rsidRDefault="0002577F" w:rsidP="0020425D">
      <w:pPr>
        <w:autoSpaceDE w:val="0"/>
        <w:autoSpaceDN w:val="0"/>
        <w:adjustRightInd w:val="0"/>
        <w:rPr>
          <w:rFonts w:eastAsiaTheme="minorHAnsi"/>
          <w:color w:val="auto"/>
          <w:szCs w:val="24"/>
          <w:lang w:val="en-US" w:eastAsia="en-US"/>
        </w:rPr>
      </w:pPr>
    </w:p>
    <w:p w14:paraId="296FB0AF" w14:textId="46C3E067" w:rsidR="0002577F" w:rsidRPr="00E83870" w:rsidRDefault="001522D8" w:rsidP="0020425D">
      <w:pPr>
        <w:autoSpaceDE w:val="0"/>
        <w:autoSpaceDN w:val="0"/>
        <w:adjustRightInd w:val="0"/>
        <w:rPr>
          <w:rFonts w:eastAsiaTheme="minorHAnsi"/>
          <w:color w:val="auto"/>
          <w:szCs w:val="24"/>
          <w:lang w:val="en-US" w:eastAsia="en-US"/>
        </w:rPr>
      </w:pPr>
      <w:r>
        <w:rPr>
          <w:rFonts w:eastAsiaTheme="minorHAnsi"/>
          <w:color w:val="auto"/>
          <w:szCs w:val="24"/>
          <w:lang w:val="en-US" w:eastAsia="en-US"/>
        </w:rPr>
        <w:t>JINARC</w:t>
      </w:r>
      <w:r w:rsidR="00FA2988" w:rsidRPr="000971B3">
        <w:rPr>
          <w:rFonts w:eastAsiaTheme="minorHAnsi"/>
          <w:color w:val="auto"/>
          <w:szCs w:val="24"/>
          <w:lang w:val="en-US" w:eastAsia="en-US"/>
        </w:rPr>
        <w:t xml:space="preserve"> 15</w:t>
      </w:r>
      <w:r w:rsidR="00A850F5">
        <w:rPr>
          <w:rFonts w:eastAsiaTheme="minorHAnsi"/>
          <w:color w:val="auto"/>
          <w:szCs w:val="24"/>
          <w:lang w:val="en-US" w:eastAsia="en-US"/>
        </w:rPr>
        <w:t xml:space="preserve"> </w:t>
      </w:r>
      <w:r w:rsidR="00FA2988" w:rsidRPr="000971B3">
        <w:rPr>
          <w:rFonts w:eastAsiaTheme="minorHAnsi"/>
          <w:color w:val="auto"/>
          <w:szCs w:val="24"/>
          <w:lang w:val="en-US" w:eastAsia="en-US"/>
        </w:rPr>
        <w:t>mg Tablets are available in a PVC/</w:t>
      </w:r>
      <w:proofErr w:type="spellStart"/>
      <w:r w:rsidR="00FA2988" w:rsidRPr="000971B3">
        <w:rPr>
          <w:rFonts w:eastAsiaTheme="minorHAnsi"/>
          <w:color w:val="auto"/>
          <w:szCs w:val="24"/>
          <w:lang w:val="en-US" w:eastAsia="en-US"/>
        </w:rPr>
        <w:t>Aluminium</w:t>
      </w:r>
      <w:proofErr w:type="spellEnd"/>
      <w:r w:rsidR="00FA2988" w:rsidRPr="000971B3">
        <w:rPr>
          <w:rFonts w:eastAsiaTheme="minorHAnsi"/>
          <w:color w:val="auto"/>
          <w:szCs w:val="24"/>
          <w:lang w:val="en-US" w:eastAsia="en-US"/>
        </w:rPr>
        <w:t xml:space="preserve"> blister of 7 or 28 tablets</w:t>
      </w:r>
    </w:p>
    <w:p w14:paraId="3CD9ECA3" w14:textId="77777777" w:rsidR="00B45672" w:rsidRPr="00E83870" w:rsidRDefault="00B45672" w:rsidP="0020425D">
      <w:pPr>
        <w:autoSpaceDE w:val="0"/>
        <w:autoSpaceDN w:val="0"/>
        <w:adjustRightInd w:val="0"/>
        <w:rPr>
          <w:rFonts w:eastAsiaTheme="minorHAnsi"/>
          <w:color w:val="auto"/>
          <w:szCs w:val="24"/>
          <w:lang w:val="en-US" w:eastAsia="en-US"/>
        </w:rPr>
      </w:pPr>
    </w:p>
    <w:p w14:paraId="0F57F27F" w14:textId="6384BB50" w:rsidR="00B45672" w:rsidRPr="00E83870" w:rsidRDefault="001522D8" w:rsidP="0020425D">
      <w:pPr>
        <w:autoSpaceDE w:val="0"/>
        <w:autoSpaceDN w:val="0"/>
        <w:adjustRightInd w:val="0"/>
        <w:rPr>
          <w:rFonts w:eastAsiaTheme="minorHAnsi"/>
          <w:color w:val="auto"/>
          <w:szCs w:val="24"/>
          <w:lang w:val="en-US" w:eastAsia="en-US"/>
        </w:rPr>
      </w:pPr>
      <w:r>
        <w:rPr>
          <w:rFonts w:eastAsiaTheme="minorHAnsi"/>
          <w:color w:val="auto"/>
          <w:szCs w:val="24"/>
          <w:lang w:val="en-US" w:eastAsia="en-US"/>
        </w:rPr>
        <w:t>JINARC</w:t>
      </w:r>
      <w:r w:rsidR="00FA2988" w:rsidRPr="000971B3">
        <w:rPr>
          <w:rFonts w:eastAsiaTheme="minorHAnsi"/>
          <w:color w:val="auto"/>
          <w:szCs w:val="24"/>
          <w:lang w:val="en-US" w:eastAsia="en-US"/>
        </w:rPr>
        <w:t xml:space="preserve"> 30</w:t>
      </w:r>
      <w:r w:rsidR="00A850F5">
        <w:rPr>
          <w:rFonts w:eastAsiaTheme="minorHAnsi"/>
          <w:color w:val="auto"/>
          <w:szCs w:val="24"/>
          <w:lang w:val="en-US" w:eastAsia="en-US"/>
        </w:rPr>
        <w:t xml:space="preserve"> </w:t>
      </w:r>
      <w:r w:rsidR="00FA2988" w:rsidRPr="000971B3">
        <w:rPr>
          <w:rFonts w:eastAsiaTheme="minorHAnsi"/>
          <w:color w:val="auto"/>
          <w:szCs w:val="24"/>
          <w:lang w:val="en-US" w:eastAsia="en-US"/>
        </w:rPr>
        <w:t>mg Tablets are available in a PVC/</w:t>
      </w:r>
      <w:proofErr w:type="spellStart"/>
      <w:r w:rsidR="00FA2988" w:rsidRPr="000971B3">
        <w:rPr>
          <w:rFonts w:eastAsiaTheme="minorHAnsi"/>
          <w:color w:val="auto"/>
          <w:szCs w:val="24"/>
          <w:lang w:val="en-US" w:eastAsia="en-US"/>
        </w:rPr>
        <w:t>Aluminium</w:t>
      </w:r>
      <w:proofErr w:type="spellEnd"/>
      <w:r w:rsidR="00FA2988" w:rsidRPr="000971B3">
        <w:rPr>
          <w:rFonts w:eastAsiaTheme="minorHAnsi"/>
          <w:color w:val="auto"/>
          <w:szCs w:val="24"/>
          <w:lang w:val="en-US" w:eastAsia="en-US"/>
        </w:rPr>
        <w:t xml:space="preserve"> blister of 7 or 28 tablets</w:t>
      </w:r>
    </w:p>
    <w:p w14:paraId="3BFEBE57" w14:textId="77777777" w:rsidR="00B45672" w:rsidRPr="00E83870" w:rsidRDefault="00B45672" w:rsidP="0020425D">
      <w:pPr>
        <w:autoSpaceDE w:val="0"/>
        <w:autoSpaceDN w:val="0"/>
        <w:adjustRightInd w:val="0"/>
        <w:rPr>
          <w:rFonts w:eastAsiaTheme="minorHAnsi"/>
          <w:color w:val="auto"/>
          <w:szCs w:val="24"/>
          <w:lang w:val="en-US" w:eastAsia="en-US"/>
        </w:rPr>
      </w:pPr>
    </w:p>
    <w:p w14:paraId="36D8DF08" w14:textId="4C7ADB58" w:rsidR="00B45672" w:rsidRPr="00E83870" w:rsidRDefault="001522D8" w:rsidP="0020425D">
      <w:pPr>
        <w:autoSpaceDE w:val="0"/>
        <w:autoSpaceDN w:val="0"/>
        <w:adjustRightInd w:val="0"/>
        <w:rPr>
          <w:rFonts w:eastAsiaTheme="minorHAnsi"/>
          <w:color w:val="auto"/>
          <w:szCs w:val="24"/>
          <w:lang w:val="en-US" w:eastAsia="en-US"/>
        </w:rPr>
      </w:pPr>
      <w:r>
        <w:rPr>
          <w:rFonts w:eastAsiaTheme="minorHAnsi"/>
          <w:color w:val="auto"/>
          <w:szCs w:val="24"/>
          <w:lang w:val="en-US" w:eastAsia="en-US"/>
        </w:rPr>
        <w:t>JINARC</w:t>
      </w:r>
      <w:r w:rsidR="00FA2988" w:rsidRPr="000971B3">
        <w:rPr>
          <w:rFonts w:eastAsiaTheme="minorHAnsi"/>
          <w:color w:val="auto"/>
          <w:szCs w:val="24"/>
          <w:lang w:val="en-US" w:eastAsia="en-US"/>
        </w:rPr>
        <w:t xml:space="preserve"> Combination Pack of 15</w:t>
      </w:r>
      <w:r w:rsidR="00A850F5">
        <w:rPr>
          <w:rFonts w:eastAsiaTheme="minorHAnsi"/>
          <w:color w:val="auto"/>
          <w:szCs w:val="24"/>
          <w:lang w:val="en-US" w:eastAsia="en-US"/>
        </w:rPr>
        <w:t xml:space="preserve"> </w:t>
      </w:r>
      <w:r w:rsidR="00FA2988" w:rsidRPr="000971B3">
        <w:rPr>
          <w:rFonts w:eastAsiaTheme="minorHAnsi"/>
          <w:color w:val="auto"/>
          <w:szCs w:val="24"/>
          <w:lang w:val="en-US" w:eastAsia="en-US"/>
        </w:rPr>
        <w:t>mg + 45</w:t>
      </w:r>
      <w:r w:rsidR="00A850F5">
        <w:rPr>
          <w:rFonts w:eastAsiaTheme="minorHAnsi"/>
          <w:color w:val="auto"/>
          <w:szCs w:val="24"/>
          <w:lang w:val="en-US" w:eastAsia="en-US"/>
        </w:rPr>
        <w:t xml:space="preserve"> </w:t>
      </w:r>
      <w:r w:rsidR="00FA2988" w:rsidRPr="000971B3">
        <w:rPr>
          <w:rFonts w:eastAsiaTheme="minorHAnsi"/>
          <w:color w:val="auto"/>
          <w:szCs w:val="24"/>
          <w:lang w:val="en-US" w:eastAsia="en-US"/>
        </w:rPr>
        <w:t>mg Tablets are available in a PVC/</w:t>
      </w:r>
      <w:proofErr w:type="spellStart"/>
      <w:r w:rsidR="00FA2988" w:rsidRPr="000971B3">
        <w:rPr>
          <w:rFonts w:eastAsiaTheme="minorHAnsi"/>
          <w:color w:val="auto"/>
          <w:szCs w:val="24"/>
          <w:lang w:val="en-US" w:eastAsia="en-US"/>
        </w:rPr>
        <w:t>Aluminium</w:t>
      </w:r>
      <w:proofErr w:type="spellEnd"/>
      <w:r w:rsidR="00FA2988" w:rsidRPr="000971B3">
        <w:rPr>
          <w:rFonts w:eastAsiaTheme="minorHAnsi"/>
          <w:color w:val="auto"/>
          <w:szCs w:val="24"/>
          <w:lang w:val="en-US" w:eastAsia="en-US"/>
        </w:rPr>
        <w:t xml:space="preserve"> foil blister in a wallet card of 56 tablets.</w:t>
      </w:r>
    </w:p>
    <w:p w14:paraId="38F0FE10" w14:textId="77777777" w:rsidR="00B45672" w:rsidRPr="00E83870" w:rsidRDefault="00B45672" w:rsidP="0020425D">
      <w:pPr>
        <w:autoSpaceDE w:val="0"/>
        <w:autoSpaceDN w:val="0"/>
        <w:adjustRightInd w:val="0"/>
        <w:rPr>
          <w:rFonts w:eastAsiaTheme="minorHAnsi"/>
          <w:color w:val="auto"/>
          <w:szCs w:val="24"/>
          <w:lang w:val="en-US" w:eastAsia="en-US"/>
        </w:rPr>
      </w:pPr>
    </w:p>
    <w:p w14:paraId="104F8295" w14:textId="766C8B3F" w:rsidR="00B45672" w:rsidRPr="00E83870" w:rsidRDefault="001522D8" w:rsidP="00B45672">
      <w:pPr>
        <w:autoSpaceDE w:val="0"/>
        <w:autoSpaceDN w:val="0"/>
        <w:adjustRightInd w:val="0"/>
        <w:rPr>
          <w:rFonts w:eastAsiaTheme="minorHAnsi"/>
          <w:color w:val="auto"/>
          <w:szCs w:val="24"/>
          <w:lang w:val="en-US" w:eastAsia="en-US"/>
        </w:rPr>
      </w:pPr>
      <w:r>
        <w:rPr>
          <w:rFonts w:eastAsiaTheme="minorHAnsi"/>
          <w:color w:val="auto"/>
          <w:szCs w:val="24"/>
          <w:lang w:val="en-US" w:eastAsia="en-US"/>
        </w:rPr>
        <w:t>JINARC</w:t>
      </w:r>
      <w:r w:rsidR="00FA2988" w:rsidRPr="000971B3">
        <w:rPr>
          <w:rFonts w:eastAsiaTheme="minorHAnsi"/>
          <w:color w:val="auto"/>
          <w:szCs w:val="24"/>
          <w:lang w:val="en-US" w:eastAsia="en-US"/>
        </w:rPr>
        <w:t xml:space="preserve"> Combination Pack of 30</w:t>
      </w:r>
      <w:r w:rsidR="00A850F5">
        <w:rPr>
          <w:rFonts w:eastAsiaTheme="minorHAnsi"/>
          <w:color w:val="auto"/>
          <w:szCs w:val="24"/>
          <w:lang w:val="en-US" w:eastAsia="en-US"/>
        </w:rPr>
        <w:t xml:space="preserve"> </w:t>
      </w:r>
      <w:r w:rsidR="00FA2988" w:rsidRPr="000971B3">
        <w:rPr>
          <w:rFonts w:eastAsiaTheme="minorHAnsi"/>
          <w:color w:val="auto"/>
          <w:szCs w:val="24"/>
          <w:lang w:val="en-US" w:eastAsia="en-US"/>
        </w:rPr>
        <w:t>mg + 60</w:t>
      </w:r>
      <w:r w:rsidR="00A850F5">
        <w:rPr>
          <w:rFonts w:eastAsiaTheme="minorHAnsi"/>
          <w:color w:val="auto"/>
          <w:szCs w:val="24"/>
          <w:lang w:val="en-US" w:eastAsia="en-US"/>
        </w:rPr>
        <w:t xml:space="preserve"> </w:t>
      </w:r>
      <w:r w:rsidR="00FA2988" w:rsidRPr="000971B3">
        <w:rPr>
          <w:rFonts w:eastAsiaTheme="minorHAnsi"/>
          <w:color w:val="auto"/>
          <w:szCs w:val="24"/>
          <w:lang w:val="en-US" w:eastAsia="en-US"/>
        </w:rPr>
        <w:t>mg Tablets are available in a PVC/</w:t>
      </w:r>
      <w:proofErr w:type="spellStart"/>
      <w:r w:rsidR="00FA2988" w:rsidRPr="000971B3">
        <w:rPr>
          <w:rFonts w:eastAsiaTheme="minorHAnsi"/>
          <w:color w:val="auto"/>
          <w:szCs w:val="24"/>
          <w:lang w:val="en-US" w:eastAsia="en-US"/>
        </w:rPr>
        <w:t>Aluminium</w:t>
      </w:r>
      <w:proofErr w:type="spellEnd"/>
      <w:r w:rsidR="00FA2988" w:rsidRPr="000971B3">
        <w:rPr>
          <w:rFonts w:eastAsiaTheme="minorHAnsi"/>
          <w:color w:val="auto"/>
          <w:szCs w:val="24"/>
          <w:lang w:val="en-US" w:eastAsia="en-US"/>
        </w:rPr>
        <w:t xml:space="preserve"> foil blister in a wallet card of 56 tablets.</w:t>
      </w:r>
    </w:p>
    <w:p w14:paraId="55514EA4" w14:textId="77777777" w:rsidR="00B45672" w:rsidRPr="00E83870" w:rsidRDefault="00B45672" w:rsidP="0020425D">
      <w:pPr>
        <w:autoSpaceDE w:val="0"/>
        <w:autoSpaceDN w:val="0"/>
        <w:adjustRightInd w:val="0"/>
        <w:rPr>
          <w:rFonts w:eastAsiaTheme="minorHAnsi"/>
          <w:color w:val="auto"/>
          <w:szCs w:val="24"/>
          <w:lang w:val="en-US" w:eastAsia="en-US"/>
        </w:rPr>
      </w:pPr>
    </w:p>
    <w:p w14:paraId="2B42D27B" w14:textId="19B8B566" w:rsidR="00B45672" w:rsidRPr="00E83870" w:rsidRDefault="001522D8" w:rsidP="00B45672">
      <w:pPr>
        <w:autoSpaceDE w:val="0"/>
        <w:autoSpaceDN w:val="0"/>
        <w:adjustRightInd w:val="0"/>
        <w:rPr>
          <w:rFonts w:eastAsiaTheme="minorHAnsi"/>
          <w:color w:val="auto"/>
          <w:szCs w:val="24"/>
          <w:lang w:val="en-US" w:eastAsia="en-US"/>
        </w:rPr>
      </w:pPr>
      <w:r>
        <w:rPr>
          <w:rFonts w:eastAsiaTheme="minorHAnsi"/>
          <w:color w:val="auto"/>
          <w:szCs w:val="24"/>
          <w:lang w:val="en-US" w:eastAsia="en-US"/>
        </w:rPr>
        <w:t>JINARC</w:t>
      </w:r>
      <w:r w:rsidR="00FA2988" w:rsidRPr="000971B3">
        <w:rPr>
          <w:rFonts w:eastAsiaTheme="minorHAnsi"/>
          <w:color w:val="auto"/>
          <w:szCs w:val="24"/>
          <w:lang w:val="en-US" w:eastAsia="en-US"/>
        </w:rPr>
        <w:t xml:space="preserve"> Combination Pack of 30</w:t>
      </w:r>
      <w:r w:rsidR="00A850F5">
        <w:rPr>
          <w:rFonts w:eastAsiaTheme="minorHAnsi"/>
          <w:color w:val="auto"/>
          <w:szCs w:val="24"/>
          <w:lang w:val="en-US" w:eastAsia="en-US"/>
        </w:rPr>
        <w:t xml:space="preserve"> </w:t>
      </w:r>
      <w:r w:rsidR="00FA2988" w:rsidRPr="000971B3">
        <w:rPr>
          <w:rFonts w:eastAsiaTheme="minorHAnsi"/>
          <w:color w:val="auto"/>
          <w:szCs w:val="24"/>
          <w:lang w:val="en-US" w:eastAsia="en-US"/>
        </w:rPr>
        <w:t>mg + 90</w:t>
      </w:r>
      <w:r w:rsidR="00A850F5">
        <w:rPr>
          <w:rFonts w:eastAsiaTheme="minorHAnsi"/>
          <w:color w:val="auto"/>
          <w:szCs w:val="24"/>
          <w:lang w:val="en-US" w:eastAsia="en-US"/>
        </w:rPr>
        <w:t xml:space="preserve"> </w:t>
      </w:r>
      <w:r w:rsidR="00FA2988" w:rsidRPr="000971B3">
        <w:rPr>
          <w:rFonts w:eastAsiaTheme="minorHAnsi"/>
          <w:color w:val="auto"/>
          <w:szCs w:val="24"/>
          <w:lang w:val="en-US" w:eastAsia="en-US"/>
        </w:rPr>
        <w:t>mg Tablets are available in a PVC/</w:t>
      </w:r>
      <w:proofErr w:type="spellStart"/>
      <w:r w:rsidR="00FA2988" w:rsidRPr="000971B3">
        <w:rPr>
          <w:rFonts w:eastAsiaTheme="minorHAnsi"/>
          <w:color w:val="auto"/>
          <w:szCs w:val="24"/>
          <w:lang w:val="en-US" w:eastAsia="en-US"/>
        </w:rPr>
        <w:t>Aluminium</w:t>
      </w:r>
      <w:proofErr w:type="spellEnd"/>
      <w:r w:rsidR="00FA2988" w:rsidRPr="000971B3">
        <w:rPr>
          <w:rFonts w:eastAsiaTheme="minorHAnsi"/>
          <w:color w:val="auto"/>
          <w:szCs w:val="24"/>
          <w:lang w:val="en-US" w:eastAsia="en-US"/>
        </w:rPr>
        <w:t xml:space="preserve"> foil blister in a wallet card of 56 tablets.</w:t>
      </w:r>
    </w:p>
    <w:p w14:paraId="3D91778D" w14:textId="77777777" w:rsidR="00BE78D8" w:rsidRPr="00E83870" w:rsidRDefault="00BE78D8" w:rsidP="00E52433">
      <w:pPr>
        <w:autoSpaceDE w:val="0"/>
        <w:autoSpaceDN w:val="0"/>
        <w:adjustRightInd w:val="0"/>
        <w:rPr>
          <w:rFonts w:eastAsiaTheme="minorHAnsi"/>
          <w:color w:val="auto"/>
          <w:szCs w:val="24"/>
          <w:lang w:val="en-US" w:eastAsia="en-US"/>
        </w:rPr>
      </w:pPr>
    </w:p>
    <w:p w14:paraId="10A41EE9" w14:textId="77777777" w:rsidR="00BE78D8" w:rsidRPr="00E83870" w:rsidRDefault="00FA2988" w:rsidP="00035572">
      <w:pPr>
        <w:pStyle w:val="Default"/>
        <w:spacing w:line="276" w:lineRule="auto"/>
        <w:rPr>
          <w:u w:val="single"/>
        </w:rPr>
      </w:pPr>
      <w:r w:rsidRPr="000971B3">
        <w:rPr>
          <w:u w:val="single"/>
        </w:rPr>
        <w:t>Storage</w:t>
      </w:r>
    </w:p>
    <w:p w14:paraId="03429D73" w14:textId="77777777" w:rsidR="00BE78D8" w:rsidRPr="00E83870" w:rsidRDefault="00FA2988" w:rsidP="00035572">
      <w:pPr>
        <w:pStyle w:val="Default"/>
        <w:spacing w:line="276" w:lineRule="auto"/>
      </w:pPr>
      <w:r w:rsidRPr="000971B3">
        <w:t>Store below 25 °C.</w:t>
      </w:r>
    </w:p>
    <w:p w14:paraId="2D9EFF39" w14:textId="77777777" w:rsidR="00853B59" w:rsidRPr="00E83870" w:rsidRDefault="00FA2988" w:rsidP="00035572">
      <w:pPr>
        <w:pStyle w:val="Default"/>
        <w:spacing w:line="276" w:lineRule="auto"/>
      </w:pPr>
      <w:r w:rsidRPr="000971B3">
        <w:t>Protect from light and moisture.</w:t>
      </w:r>
    </w:p>
    <w:p w14:paraId="21F368D7" w14:textId="77777777" w:rsidR="00D67187" w:rsidRDefault="00D67187" w:rsidP="00EF2644">
      <w:pPr>
        <w:spacing w:line="276" w:lineRule="auto"/>
        <w:ind w:right="-1017"/>
        <w:jc w:val="both"/>
        <w:rPr>
          <w:b/>
          <w:caps/>
          <w:szCs w:val="24"/>
        </w:rPr>
      </w:pPr>
    </w:p>
    <w:p w14:paraId="47B1FB43" w14:textId="77777777" w:rsidR="00BE78D8" w:rsidRPr="00E83870" w:rsidRDefault="00FA2988" w:rsidP="00035572">
      <w:pPr>
        <w:keepNext/>
        <w:spacing w:after="240" w:line="276" w:lineRule="auto"/>
        <w:ind w:right="-1017"/>
        <w:jc w:val="both"/>
        <w:rPr>
          <w:b/>
          <w:caps/>
          <w:szCs w:val="24"/>
        </w:rPr>
      </w:pPr>
      <w:r w:rsidRPr="000971B3">
        <w:rPr>
          <w:b/>
          <w:caps/>
          <w:szCs w:val="24"/>
        </w:rPr>
        <w:t>name and address of the sponsor</w:t>
      </w:r>
    </w:p>
    <w:p w14:paraId="120103BF" w14:textId="77777777" w:rsidR="00FB198F" w:rsidRPr="00E83870" w:rsidRDefault="00FA2988" w:rsidP="00035572">
      <w:pPr>
        <w:keepNext/>
      </w:pPr>
      <w:r w:rsidRPr="000971B3">
        <w:t xml:space="preserve">Otsuka Australia Pharmaceutical Pty Ltd </w:t>
      </w:r>
    </w:p>
    <w:p w14:paraId="4BF97806" w14:textId="5E13C6E5" w:rsidR="00FB198F" w:rsidRPr="00E83870" w:rsidRDefault="00FA2988" w:rsidP="00FB198F">
      <w:r w:rsidRPr="000971B3">
        <w:t xml:space="preserve">Level 20, Tower A, </w:t>
      </w:r>
      <w:proofErr w:type="gramStart"/>
      <w:r w:rsidRPr="000971B3">
        <w:t>The</w:t>
      </w:r>
      <w:proofErr w:type="gramEnd"/>
      <w:r w:rsidRPr="000971B3">
        <w:t xml:space="preserve"> Zenith</w:t>
      </w:r>
    </w:p>
    <w:p w14:paraId="3C7E5C84" w14:textId="37C22BEA" w:rsidR="00FB198F" w:rsidRPr="00E83870" w:rsidRDefault="00FA2988" w:rsidP="00FB198F">
      <w:r w:rsidRPr="000971B3">
        <w:t>821 Pacific Highway</w:t>
      </w:r>
    </w:p>
    <w:p w14:paraId="56B001BA" w14:textId="2F1B78FD" w:rsidR="00FB198F" w:rsidRDefault="00FA2988" w:rsidP="00FB198F">
      <w:proofErr w:type="spellStart"/>
      <w:r w:rsidRPr="000971B3">
        <w:t>Chatswood</w:t>
      </w:r>
      <w:proofErr w:type="spellEnd"/>
      <w:r w:rsidRPr="000971B3">
        <w:t xml:space="preserve"> NSW 2067</w:t>
      </w:r>
    </w:p>
    <w:p w14:paraId="393F2B3D" w14:textId="77777777" w:rsidR="00B0501A" w:rsidRDefault="00B0501A" w:rsidP="00B0501A">
      <w:pPr>
        <w:rPr>
          <w:szCs w:val="24"/>
        </w:rPr>
      </w:pPr>
    </w:p>
    <w:p w14:paraId="476AA7DD" w14:textId="77777777" w:rsidR="00B0501A" w:rsidRPr="00642DC7" w:rsidRDefault="00B0501A" w:rsidP="00B0501A">
      <w:pPr>
        <w:rPr>
          <w:szCs w:val="24"/>
        </w:rPr>
      </w:pPr>
      <w:r w:rsidRPr="00642DC7">
        <w:rPr>
          <w:szCs w:val="24"/>
        </w:rPr>
        <w:t>Under the licence of Otsuka Pharmaceutical Co., Ltd.</w:t>
      </w:r>
      <w:r w:rsidR="0038322B">
        <w:rPr>
          <w:szCs w:val="24"/>
        </w:rPr>
        <w:t>, Japan</w:t>
      </w:r>
    </w:p>
    <w:p w14:paraId="3754CC05" w14:textId="316AA0AB" w:rsidR="00BE78D8" w:rsidRPr="00035572" w:rsidRDefault="00BE78D8" w:rsidP="00035572">
      <w:pPr>
        <w:spacing w:line="276" w:lineRule="auto"/>
        <w:ind w:right="-1017"/>
        <w:jc w:val="both"/>
        <w:rPr>
          <w:b/>
          <w:caps/>
        </w:rPr>
      </w:pPr>
    </w:p>
    <w:p w14:paraId="4B23BA00" w14:textId="5A703B2B" w:rsidR="00BE78D8" w:rsidRPr="00E83870" w:rsidRDefault="00FA2988" w:rsidP="00BE78D8">
      <w:pPr>
        <w:spacing w:after="240" w:line="276" w:lineRule="auto"/>
        <w:ind w:right="-1017"/>
        <w:jc w:val="both"/>
        <w:rPr>
          <w:b/>
          <w:bCs/>
          <w:szCs w:val="24"/>
        </w:rPr>
      </w:pPr>
      <w:r w:rsidRPr="000971B3">
        <w:rPr>
          <w:b/>
          <w:bCs/>
          <w:szCs w:val="24"/>
        </w:rPr>
        <w:t>POISON SCHEDULE OF THE MEDICINE</w:t>
      </w:r>
    </w:p>
    <w:p w14:paraId="34A37834" w14:textId="77777777" w:rsidR="00BE78D8" w:rsidRDefault="00FA2988" w:rsidP="00035572">
      <w:pPr>
        <w:spacing w:line="276" w:lineRule="auto"/>
        <w:ind w:right="-1017"/>
        <w:jc w:val="both"/>
        <w:rPr>
          <w:szCs w:val="24"/>
        </w:rPr>
      </w:pPr>
      <w:r w:rsidRPr="000971B3">
        <w:rPr>
          <w:szCs w:val="24"/>
        </w:rPr>
        <w:t>S4</w:t>
      </w:r>
    </w:p>
    <w:p w14:paraId="20F82CDB" w14:textId="77777777" w:rsidR="00B053C2" w:rsidRPr="00E83870" w:rsidRDefault="00B053C2" w:rsidP="00EF2644">
      <w:pPr>
        <w:spacing w:line="276" w:lineRule="auto"/>
        <w:ind w:right="-1017"/>
        <w:jc w:val="both"/>
        <w:rPr>
          <w:szCs w:val="24"/>
        </w:rPr>
      </w:pPr>
    </w:p>
    <w:p w14:paraId="7E47336F" w14:textId="77777777" w:rsidR="00BE78D8" w:rsidRPr="00E83870" w:rsidRDefault="00FA2988" w:rsidP="00BE78D8">
      <w:pPr>
        <w:spacing w:after="240" w:line="276" w:lineRule="auto"/>
        <w:ind w:right="-1017"/>
        <w:rPr>
          <w:b/>
          <w:bCs/>
          <w:szCs w:val="24"/>
        </w:rPr>
      </w:pPr>
      <w:r w:rsidRPr="000971B3">
        <w:rPr>
          <w:b/>
          <w:bCs/>
          <w:szCs w:val="24"/>
        </w:rPr>
        <w:t>DATE OF FIRST INCLUSION IN THE AUSTRALIAN REGISTER OF THERAPEUTIC GOODS (THE ARTG)</w:t>
      </w:r>
    </w:p>
    <w:p w14:paraId="0C8D33A5" w14:textId="10F021DF" w:rsidR="00BE78D8" w:rsidRPr="00486AF6" w:rsidRDefault="0082047E" w:rsidP="00486AF6">
      <w:pPr>
        <w:spacing w:after="240" w:line="276" w:lineRule="auto"/>
        <w:ind w:right="-1017"/>
        <w:rPr>
          <w:bCs/>
          <w:szCs w:val="24"/>
        </w:rPr>
      </w:pPr>
      <w:r>
        <w:rPr>
          <w:bCs/>
          <w:szCs w:val="24"/>
        </w:rPr>
        <w:t>24 March 2017</w:t>
      </w:r>
    </w:p>
    <w:sectPr w:rsidR="00BE78D8" w:rsidRPr="00486AF6" w:rsidSect="0088349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82AF6" w14:textId="77777777" w:rsidR="00E85675" w:rsidRDefault="00E85675" w:rsidP="00984B4D">
      <w:r>
        <w:separator/>
      </w:r>
    </w:p>
  </w:endnote>
  <w:endnote w:type="continuationSeparator" w:id="0">
    <w:p w14:paraId="648C3D27" w14:textId="77777777" w:rsidR="00E85675" w:rsidRDefault="00E85675" w:rsidP="00984B4D">
      <w:r>
        <w:continuationSeparator/>
      </w:r>
    </w:p>
  </w:endnote>
  <w:endnote w:type="continuationNotice" w:id="1">
    <w:p w14:paraId="31998520" w14:textId="77777777" w:rsidR="00E85675" w:rsidRDefault="00E85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ˇ">
    <w:altName w:val="Cambria"/>
    <w:panose1 w:val="00000000000000000000"/>
    <w:charset w:val="4D"/>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8DF58" w14:textId="77777777" w:rsidR="00D743F0" w:rsidRDefault="00D74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66274004"/>
      <w:docPartObj>
        <w:docPartGallery w:val="Page Numbers (Bottom of Page)"/>
        <w:docPartUnique/>
      </w:docPartObj>
    </w:sdtPr>
    <w:sdtEndPr>
      <w:rPr>
        <w:noProof/>
      </w:rPr>
    </w:sdtEndPr>
    <w:sdtContent>
      <w:p w14:paraId="573E7636" w14:textId="073BDBBA" w:rsidR="00E85675" w:rsidRPr="005C4E46" w:rsidRDefault="00E85675" w:rsidP="005C4E46">
        <w:pPr>
          <w:pStyle w:val="Footer"/>
          <w:rPr>
            <w:sz w:val="20"/>
          </w:rPr>
        </w:pPr>
        <w:r>
          <w:rPr>
            <w:sz w:val="20"/>
          </w:rPr>
          <w:t>Jinarc</w:t>
        </w:r>
        <w:r w:rsidRPr="005C4E46">
          <w:rPr>
            <w:sz w:val="20"/>
          </w:rPr>
          <w:t xml:space="preserve"> </w:t>
        </w:r>
        <w:r w:rsidR="00EC67E6">
          <w:rPr>
            <w:sz w:val="20"/>
          </w:rPr>
          <w:t>(tolvaptan) PI 20170</w:t>
        </w:r>
        <w:r w:rsidR="0071159F">
          <w:rPr>
            <w:sz w:val="20"/>
          </w:rPr>
          <w:t>3</w:t>
        </w:r>
        <w:r w:rsidR="00503E38">
          <w:rPr>
            <w:sz w:val="20"/>
          </w:rPr>
          <w:t>24 v1</w:t>
        </w:r>
        <w:r w:rsidRPr="005C4E46">
          <w:rPr>
            <w:sz w:val="20"/>
          </w:rPr>
          <w:tab/>
        </w:r>
        <w:r w:rsidRPr="005C4E46">
          <w:rPr>
            <w:sz w:val="20"/>
          </w:rPr>
          <w:tab/>
          <w:t xml:space="preserve">Page </w:t>
        </w:r>
        <w:r w:rsidRPr="005C4E46">
          <w:rPr>
            <w:sz w:val="20"/>
          </w:rPr>
          <w:fldChar w:fldCharType="begin"/>
        </w:r>
        <w:r w:rsidRPr="005C4E46">
          <w:rPr>
            <w:sz w:val="20"/>
          </w:rPr>
          <w:instrText xml:space="preserve"> PAGE   \* MERGEFORMAT </w:instrText>
        </w:r>
        <w:r w:rsidRPr="005C4E46">
          <w:rPr>
            <w:sz w:val="20"/>
          </w:rPr>
          <w:fldChar w:fldCharType="separate"/>
        </w:r>
        <w:r w:rsidR="00A03A22">
          <w:rPr>
            <w:noProof/>
            <w:sz w:val="20"/>
          </w:rPr>
          <w:t>20</w:t>
        </w:r>
        <w:r w:rsidRPr="005C4E46">
          <w:rPr>
            <w:noProof/>
            <w:sz w:val="20"/>
          </w:rPr>
          <w:fldChar w:fldCharType="end"/>
        </w:r>
      </w:p>
    </w:sdtContent>
  </w:sdt>
  <w:p w14:paraId="1249D9A6" w14:textId="77777777" w:rsidR="00E85675" w:rsidRDefault="00E856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CC3D3" w14:textId="77777777" w:rsidR="00D743F0" w:rsidRDefault="00D74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E5A53" w14:textId="77777777" w:rsidR="00E85675" w:rsidRDefault="00E85675" w:rsidP="00984B4D">
      <w:r>
        <w:separator/>
      </w:r>
    </w:p>
  </w:footnote>
  <w:footnote w:type="continuationSeparator" w:id="0">
    <w:p w14:paraId="16A40998" w14:textId="77777777" w:rsidR="00E85675" w:rsidRDefault="00E85675" w:rsidP="00984B4D">
      <w:r>
        <w:continuationSeparator/>
      </w:r>
    </w:p>
  </w:footnote>
  <w:footnote w:type="continuationNotice" w:id="1">
    <w:p w14:paraId="207A064C" w14:textId="77777777" w:rsidR="00E85675" w:rsidRDefault="00E856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89464" w14:textId="77777777" w:rsidR="00D743F0" w:rsidRDefault="00D743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D743F0" w:rsidRPr="005C4ECC" w14:paraId="0FA6080A" w14:textId="77777777" w:rsidTr="0021266D">
      <w:tc>
        <w:tcPr>
          <w:tcW w:w="8720" w:type="dxa"/>
          <w:shd w:val="clear" w:color="auto" w:fill="E4F2E0"/>
        </w:tcPr>
        <w:p w14:paraId="36C3C695" w14:textId="77777777" w:rsidR="00D743F0" w:rsidRPr="005C4ECC" w:rsidRDefault="00D743F0" w:rsidP="0021266D">
          <w:pPr>
            <w:spacing w:before="40" w:after="40"/>
            <w:rPr>
              <w:b/>
              <w:sz w:val="18"/>
              <w:szCs w:val="18"/>
            </w:rPr>
          </w:pPr>
          <w:r w:rsidRPr="005C4ECC">
            <w:rPr>
              <w:b/>
              <w:sz w:val="18"/>
              <w:szCs w:val="18"/>
            </w:rPr>
            <w:t xml:space="preserve">Attachment 1: Product information for </w:t>
          </w:r>
          <w:r w:rsidRPr="002538BD">
            <w:rPr>
              <w:b/>
              <w:sz w:val="18"/>
              <w:szCs w:val="18"/>
            </w:rPr>
            <w:t xml:space="preserve">AusPAR - JINARC - </w:t>
          </w:r>
          <w:proofErr w:type="spellStart"/>
          <w:r w:rsidRPr="002538BD">
            <w:rPr>
              <w:b/>
              <w:sz w:val="18"/>
              <w:szCs w:val="18"/>
            </w:rPr>
            <w:t>Tolvaptan</w:t>
          </w:r>
          <w:proofErr w:type="spellEnd"/>
          <w:r w:rsidRPr="002538BD">
            <w:rPr>
              <w:b/>
              <w:sz w:val="18"/>
              <w:szCs w:val="18"/>
            </w:rPr>
            <w:t xml:space="preserve"> - Otsuka Australia Pharmaceutical Pty Ltd - PM-2015-04368-1-3 - Australian Public Assessment Report (AusPAR) FINAL 9 February 2018</w:t>
          </w:r>
          <w:r w:rsidRPr="005C4ECC">
            <w:rPr>
              <w:b/>
              <w:sz w:val="18"/>
              <w:szCs w:val="18"/>
            </w:rPr>
            <w:t xml:space="preserve"> This Product information was approved at the time this AusPAR was published.</w:t>
          </w:r>
        </w:p>
      </w:tc>
    </w:tr>
  </w:tbl>
  <w:p w14:paraId="335F99D2" w14:textId="77777777" w:rsidR="00D743F0" w:rsidRDefault="00D743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0FCF6" w14:textId="77777777" w:rsidR="00D743F0" w:rsidRDefault="00D74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42B"/>
    <w:multiLevelType w:val="hybridMultilevel"/>
    <w:tmpl w:val="0D64099C"/>
    <w:lvl w:ilvl="0" w:tplc="C9F6618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E052D"/>
    <w:multiLevelType w:val="hybridMultilevel"/>
    <w:tmpl w:val="914E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94717D"/>
    <w:multiLevelType w:val="hybridMultilevel"/>
    <w:tmpl w:val="0F708040"/>
    <w:lvl w:ilvl="0" w:tplc="D5C0D4D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DF091E"/>
    <w:multiLevelType w:val="hybridMultilevel"/>
    <w:tmpl w:val="02D4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EF5E98"/>
    <w:multiLevelType w:val="multilevel"/>
    <w:tmpl w:val="7EEA55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6E32B0D"/>
    <w:multiLevelType w:val="singleLevel"/>
    <w:tmpl w:val="59B625FA"/>
    <w:name w:val="WWtf"/>
    <w:lvl w:ilvl="0">
      <w:start w:val="1"/>
      <w:numFmt w:val="lowerLetter"/>
      <w:pStyle w:val="TableFootnote"/>
      <w:lvlText w:val="%1"/>
      <w:lvlJc w:val="left"/>
      <w:pPr>
        <w:tabs>
          <w:tab w:val="num" w:pos="360"/>
        </w:tabs>
        <w:ind w:left="360" w:hanging="360"/>
      </w:pPr>
      <w:rPr>
        <w:rFonts w:ascii="Times New Roman" w:hAnsi="Times New Roman" w:cs="Times New Roman" w:hint="default"/>
        <w:b w:val="0"/>
        <w:i w:val="0"/>
        <w:caps w:val="0"/>
        <w:sz w:val="20"/>
        <w:u w:val="none"/>
        <w:vertAlign w:val="superscript"/>
      </w:rPr>
    </w:lvl>
  </w:abstractNum>
  <w:num w:numId="1">
    <w:abstractNumId w:val="1"/>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457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476"/>
    <w:rsid w:val="0000015B"/>
    <w:rsid w:val="00017A5E"/>
    <w:rsid w:val="000215E7"/>
    <w:rsid w:val="0002577F"/>
    <w:rsid w:val="00026C88"/>
    <w:rsid w:val="00035572"/>
    <w:rsid w:val="0003797B"/>
    <w:rsid w:val="000458B2"/>
    <w:rsid w:val="00055A62"/>
    <w:rsid w:val="00057091"/>
    <w:rsid w:val="00071E07"/>
    <w:rsid w:val="00092849"/>
    <w:rsid w:val="000971B3"/>
    <w:rsid w:val="000A3363"/>
    <w:rsid w:val="000A76C2"/>
    <w:rsid w:val="000C0623"/>
    <w:rsid w:val="000E199D"/>
    <w:rsid w:val="000E1EA1"/>
    <w:rsid w:val="000E242D"/>
    <w:rsid w:val="000E4FBC"/>
    <w:rsid w:val="00104158"/>
    <w:rsid w:val="00110D34"/>
    <w:rsid w:val="001250F6"/>
    <w:rsid w:val="00127734"/>
    <w:rsid w:val="00132A26"/>
    <w:rsid w:val="00141177"/>
    <w:rsid w:val="00145B50"/>
    <w:rsid w:val="00146A21"/>
    <w:rsid w:val="001470A8"/>
    <w:rsid w:val="00151907"/>
    <w:rsid w:val="001522D8"/>
    <w:rsid w:val="001620CE"/>
    <w:rsid w:val="00162C64"/>
    <w:rsid w:val="001641B7"/>
    <w:rsid w:val="00164F35"/>
    <w:rsid w:val="001702C6"/>
    <w:rsid w:val="0018221D"/>
    <w:rsid w:val="00193B7B"/>
    <w:rsid w:val="001946D6"/>
    <w:rsid w:val="001A7909"/>
    <w:rsid w:val="001B6080"/>
    <w:rsid w:val="001C12B3"/>
    <w:rsid w:val="001C5038"/>
    <w:rsid w:val="001D56C3"/>
    <w:rsid w:val="001E003B"/>
    <w:rsid w:val="0020202A"/>
    <w:rsid w:val="0020425D"/>
    <w:rsid w:val="00204FD1"/>
    <w:rsid w:val="002125F6"/>
    <w:rsid w:val="002178CE"/>
    <w:rsid w:val="00221E35"/>
    <w:rsid w:val="00231FEE"/>
    <w:rsid w:val="00234095"/>
    <w:rsid w:val="00240ADF"/>
    <w:rsid w:val="00242234"/>
    <w:rsid w:val="002501EF"/>
    <w:rsid w:val="00251DEA"/>
    <w:rsid w:val="002524C7"/>
    <w:rsid w:val="00257015"/>
    <w:rsid w:val="002650AD"/>
    <w:rsid w:val="002671D1"/>
    <w:rsid w:val="002725D4"/>
    <w:rsid w:val="00283A5F"/>
    <w:rsid w:val="002B042C"/>
    <w:rsid w:val="002B1E01"/>
    <w:rsid w:val="002C2144"/>
    <w:rsid w:val="002C2597"/>
    <w:rsid w:val="002C3C87"/>
    <w:rsid w:val="002C5D3A"/>
    <w:rsid w:val="002D14A0"/>
    <w:rsid w:val="002E6C48"/>
    <w:rsid w:val="002F2E2D"/>
    <w:rsid w:val="002F5578"/>
    <w:rsid w:val="00302147"/>
    <w:rsid w:val="003038F8"/>
    <w:rsid w:val="003079C4"/>
    <w:rsid w:val="0031200A"/>
    <w:rsid w:val="00312D39"/>
    <w:rsid w:val="00315C01"/>
    <w:rsid w:val="00333D64"/>
    <w:rsid w:val="00342C7D"/>
    <w:rsid w:val="00346E9F"/>
    <w:rsid w:val="00352697"/>
    <w:rsid w:val="00353A6E"/>
    <w:rsid w:val="0035464E"/>
    <w:rsid w:val="00357B61"/>
    <w:rsid w:val="003600FC"/>
    <w:rsid w:val="00362E44"/>
    <w:rsid w:val="00365948"/>
    <w:rsid w:val="003663AC"/>
    <w:rsid w:val="00366E64"/>
    <w:rsid w:val="00367A23"/>
    <w:rsid w:val="0038322B"/>
    <w:rsid w:val="00392F9E"/>
    <w:rsid w:val="00396ADC"/>
    <w:rsid w:val="00397607"/>
    <w:rsid w:val="003A0068"/>
    <w:rsid w:val="003A0D45"/>
    <w:rsid w:val="003A2D53"/>
    <w:rsid w:val="003A7EF9"/>
    <w:rsid w:val="003B3356"/>
    <w:rsid w:val="003B4C04"/>
    <w:rsid w:val="003B50B3"/>
    <w:rsid w:val="003C09B4"/>
    <w:rsid w:val="003C7A7F"/>
    <w:rsid w:val="003C7F82"/>
    <w:rsid w:val="003D0B35"/>
    <w:rsid w:val="003D730B"/>
    <w:rsid w:val="003E4A73"/>
    <w:rsid w:val="003E686F"/>
    <w:rsid w:val="003E7AE3"/>
    <w:rsid w:val="003F1E50"/>
    <w:rsid w:val="003F755A"/>
    <w:rsid w:val="00421776"/>
    <w:rsid w:val="00422006"/>
    <w:rsid w:val="00422E38"/>
    <w:rsid w:val="00422ECB"/>
    <w:rsid w:val="00426553"/>
    <w:rsid w:val="00431655"/>
    <w:rsid w:val="004365A7"/>
    <w:rsid w:val="00455667"/>
    <w:rsid w:val="00456A2B"/>
    <w:rsid w:val="00472D44"/>
    <w:rsid w:val="00472DD1"/>
    <w:rsid w:val="0047610F"/>
    <w:rsid w:val="00486AF6"/>
    <w:rsid w:val="0049345E"/>
    <w:rsid w:val="0049423E"/>
    <w:rsid w:val="004960CB"/>
    <w:rsid w:val="00497093"/>
    <w:rsid w:val="004C768E"/>
    <w:rsid w:val="004D3699"/>
    <w:rsid w:val="004D40F5"/>
    <w:rsid w:val="004D57A0"/>
    <w:rsid w:val="004E074D"/>
    <w:rsid w:val="004E0BBD"/>
    <w:rsid w:val="004F22BF"/>
    <w:rsid w:val="004F4E71"/>
    <w:rsid w:val="00503E38"/>
    <w:rsid w:val="005132D1"/>
    <w:rsid w:val="00514078"/>
    <w:rsid w:val="0051456C"/>
    <w:rsid w:val="00522903"/>
    <w:rsid w:val="00527492"/>
    <w:rsid w:val="00527940"/>
    <w:rsid w:val="00527EC3"/>
    <w:rsid w:val="005338A5"/>
    <w:rsid w:val="0054379E"/>
    <w:rsid w:val="005472C0"/>
    <w:rsid w:val="00554CD1"/>
    <w:rsid w:val="005752D5"/>
    <w:rsid w:val="0057560E"/>
    <w:rsid w:val="005817FD"/>
    <w:rsid w:val="00592827"/>
    <w:rsid w:val="005A43ED"/>
    <w:rsid w:val="005A492A"/>
    <w:rsid w:val="005B32FD"/>
    <w:rsid w:val="005B680F"/>
    <w:rsid w:val="005C29FE"/>
    <w:rsid w:val="005C328A"/>
    <w:rsid w:val="005C3A97"/>
    <w:rsid w:val="005C4E46"/>
    <w:rsid w:val="005C7BAD"/>
    <w:rsid w:val="005E03F0"/>
    <w:rsid w:val="005F47B5"/>
    <w:rsid w:val="005F6A99"/>
    <w:rsid w:val="006123C4"/>
    <w:rsid w:val="006135FD"/>
    <w:rsid w:val="00635BE8"/>
    <w:rsid w:val="006372A0"/>
    <w:rsid w:val="0064373A"/>
    <w:rsid w:val="00643F41"/>
    <w:rsid w:val="0064422E"/>
    <w:rsid w:val="006444F1"/>
    <w:rsid w:val="00645717"/>
    <w:rsid w:val="0064644B"/>
    <w:rsid w:val="0065012E"/>
    <w:rsid w:val="00650218"/>
    <w:rsid w:val="00650F56"/>
    <w:rsid w:val="00651E17"/>
    <w:rsid w:val="00657645"/>
    <w:rsid w:val="006607C2"/>
    <w:rsid w:val="00670E4D"/>
    <w:rsid w:val="0067563F"/>
    <w:rsid w:val="00681D12"/>
    <w:rsid w:val="00685083"/>
    <w:rsid w:val="00685AFF"/>
    <w:rsid w:val="00694DEF"/>
    <w:rsid w:val="006A39BA"/>
    <w:rsid w:val="006B1BD3"/>
    <w:rsid w:val="006B1FAB"/>
    <w:rsid w:val="006E1111"/>
    <w:rsid w:val="006E772B"/>
    <w:rsid w:val="006F4263"/>
    <w:rsid w:val="006F62F3"/>
    <w:rsid w:val="007009BA"/>
    <w:rsid w:val="0071159F"/>
    <w:rsid w:val="00725838"/>
    <w:rsid w:val="00732AFF"/>
    <w:rsid w:val="00740730"/>
    <w:rsid w:val="007739E4"/>
    <w:rsid w:val="00784409"/>
    <w:rsid w:val="00790EA5"/>
    <w:rsid w:val="007A02CA"/>
    <w:rsid w:val="007B31D9"/>
    <w:rsid w:val="007B654C"/>
    <w:rsid w:val="007C0F47"/>
    <w:rsid w:val="007C36D5"/>
    <w:rsid w:val="007C448B"/>
    <w:rsid w:val="007C5E73"/>
    <w:rsid w:val="007D44C5"/>
    <w:rsid w:val="007D46D8"/>
    <w:rsid w:val="007D47A5"/>
    <w:rsid w:val="007D4D46"/>
    <w:rsid w:val="007D7039"/>
    <w:rsid w:val="007F337E"/>
    <w:rsid w:val="00801D85"/>
    <w:rsid w:val="008048A9"/>
    <w:rsid w:val="00804A19"/>
    <w:rsid w:val="00806A04"/>
    <w:rsid w:val="0082047E"/>
    <w:rsid w:val="00827DE3"/>
    <w:rsid w:val="00835194"/>
    <w:rsid w:val="00835476"/>
    <w:rsid w:val="0084459E"/>
    <w:rsid w:val="008466B1"/>
    <w:rsid w:val="00853B59"/>
    <w:rsid w:val="00854358"/>
    <w:rsid w:val="00861D16"/>
    <w:rsid w:val="00870C34"/>
    <w:rsid w:val="008763F2"/>
    <w:rsid w:val="0087779B"/>
    <w:rsid w:val="0088349C"/>
    <w:rsid w:val="00883647"/>
    <w:rsid w:val="0089759B"/>
    <w:rsid w:val="008A7158"/>
    <w:rsid w:val="008A7290"/>
    <w:rsid w:val="008C6BF9"/>
    <w:rsid w:val="008D7112"/>
    <w:rsid w:val="008E09FD"/>
    <w:rsid w:val="008E4446"/>
    <w:rsid w:val="008E6577"/>
    <w:rsid w:val="008E69AD"/>
    <w:rsid w:val="008F3E9D"/>
    <w:rsid w:val="008F4B6F"/>
    <w:rsid w:val="008F7AEB"/>
    <w:rsid w:val="0090368D"/>
    <w:rsid w:val="00910A3E"/>
    <w:rsid w:val="00912F98"/>
    <w:rsid w:val="00921DF9"/>
    <w:rsid w:val="009273A4"/>
    <w:rsid w:val="00931CC9"/>
    <w:rsid w:val="00936D2C"/>
    <w:rsid w:val="0094416B"/>
    <w:rsid w:val="00946012"/>
    <w:rsid w:val="00947C65"/>
    <w:rsid w:val="00951577"/>
    <w:rsid w:val="009716A4"/>
    <w:rsid w:val="0098196D"/>
    <w:rsid w:val="00984B4D"/>
    <w:rsid w:val="009A4C33"/>
    <w:rsid w:val="009B7610"/>
    <w:rsid w:val="009C62AA"/>
    <w:rsid w:val="009D2A21"/>
    <w:rsid w:val="009D592B"/>
    <w:rsid w:val="009E1657"/>
    <w:rsid w:val="00A02711"/>
    <w:rsid w:val="00A03A22"/>
    <w:rsid w:val="00A048EF"/>
    <w:rsid w:val="00A101B1"/>
    <w:rsid w:val="00A201F2"/>
    <w:rsid w:val="00A255ED"/>
    <w:rsid w:val="00A27C80"/>
    <w:rsid w:val="00A333CF"/>
    <w:rsid w:val="00A3466F"/>
    <w:rsid w:val="00A34C10"/>
    <w:rsid w:val="00A40939"/>
    <w:rsid w:val="00A51E6E"/>
    <w:rsid w:val="00A552CF"/>
    <w:rsid w:val="00A57B23"/>
    <w:rsid w:val="00A637AD"/>
    <w:rsid w:val="00A6627D"/>
    <w:rsid w:val="00A755BF"/>
    <w:rsid w:val="00A850F5"/>
    <w:rsid w:val="00A86E9C"/>
    <w:rsid w:val="00A958FF"/>
    <w:rsid w:val="00AA031C"/>
    <w:rsid w:val="00AB1224"/>
    <w:rsid w:val="00AB6C19"/>
    <w:rsid w:val="00AC5478"/>
    <w:rsid w:val="00AE3B35"/>
    <w:rsid w:val="00AF3923"/>
    <w:rsid w:val="00AF5F6B"/>
    <w:rsid w:val="00AF6DF1"/>
    <w:rsid w:val="00B0501A"/>
    <w:rsid w:val="00B053C2"/>
    <w:rsid w:val="00B102F8"/>
    <w:rsid w:val="00B12DB3"/>
    <w:rsid w:val="00B148AA"/>
    <w:rsid w:val="00B23FDD"/>
    <w:rsid w:val="00B27DF9"/>
    <w:rsid w:val="00B31DEA"/>
    <w:rsid w:val="00B400CF"/>
    <w:rsid w:val="00B405EF"/>
    <w:rsid w:val="00B45672"/>
    <w:rsid w:val="00B5274C"/>
    <w:rsid w:val="00B53FFF"/>
    <w:rsid w:val="00B55B23"/>
    <w:rsid w:val="00B64000"/>
    <w:rsid w:val="00B90588"/>
    <w:rsid w:val="00B93AE3"/>
    <w:rsid w:val="00BA5C23"/>
    <w:rsid w:val="00BD7E2E"/>
    <w:rsid w:val="00BE78D8"/>
    <w:rsid w:val="00BF6DCD"/>
    <w:rsid w:val="00BF7107"/>
    <w:rsid w:val="00C03E1D"/>
    <w:rsid w:val="00C07E1F"/>
    <w:rsid w:val="00C1161F"/>
    <w:rsid w:val="00C20B13"/>
    <w:rsid w:val="00C378AD"/>
    <w:rsid w:val="00C42132"/>
    <w:rsid w:val="00C5133A"/>
    <w:rsid w:val="00C6307C"/>
    <w:rsid w:val="00C64788"/>
    <w:rsid w:val="00C669C3"/>
    <w:rsid w:val="00C972C2"/>
    <w:rsid w:val="00CA072E"/>
    <w:rsid w:val="00CB2DC4"/>
    <w:rsid w:val="00CC745D"/>
    <w:rsid w:val="00CE4A29"/>
    <w:rsid w:val="00CF3E4F"/>
    <w:rsid w:val="00D228A3"/>
    <w:rsid w:val="00D25E7E"/>
    <w:rsid w:val="00D30DAD"/>
    <w:rsid w:val="00D327CA"/>
    <w:rsid w:val="00D43DDE"/>
    <w:rsid w:val="00D61A3B"/>
    <w:rsid w:val="00D67187"/>
    <w:rsid w:val="00D712C4"/>
    <w:rsid w:val="00D743F0"/>
    <w:rsid w:val="00D74498"/>
    <w:rsid w:val="00D86AD6"/>
    <w:rsid w:val="00D93D65"/>
    <w:rsid w:val="00DA37B3"/>
    <w:rsid w:val="00DE0435"/>
    <w:rsid w:val="00DE5022"/>
    <w:rsid w:val="00DE5051"/>
    <w:rsid w:val="00DE685C"/>
    <w:rsid w:val="00DF207C"/>
    <w:rsid w:val="00E00B24"/>
    <w:rsid w:val="00E01E31"/>
    <w:rsid w:val="00E07AED"/>
    <w:rsid w:val="00E14350"/>
    <w:rsid w:val="00E17DEF"/>
    <w:rsid w:val="00E21079"/>
    <w:rsid w:val="00E2290E"/>
    <w:rsid w:val="00E27EFD"/>
    <w:rsid w:val="00E4254A"/>
    <w:rsid w:val="00E47D61"/>
    <w:rsid w:val="00E47F61"/>
    <w:rsid w:val="00E50BD4"/>
    <w:rsid w:val="00E51773"/>
    <w:rsid w:val="00E52433"/>
    <w:rsid w:val="00E544B2"/>
    <w:rsid w:val="00E757D7"/>
    <w:rsid w:val="00E83870"/>
    <w:rsid w:val="00E84DC8"/>
    <w:rsid w:val="00E85675"/>
    <w:rsid w:val="00E90915"/>
    <w:rsid w:val="00EC4E77"/>
    <w:rsid w:val="00EC67E6"/>
    <w:rsid w:val="00ED15CD"/>
    <w:rsid w:val="00ED45F5"/>
    <w:rsid w:val="00ED7231"/>
    <w:rsid w:val="00EE42B2"/>
    <w:rsid w:val="00EE4CD6"/>
    <w:rsid w:val="00EE5DA3"/>
    <w:rsid w:val="00EF2644"/>
    <w:rsid w:val="00F24E0A"/>
    <w:rsid w:val="00F36329"/>
    <w:rsid w:val="00F364F6"/>
    <w:rsid w:val="00F373EA"/>
    <w:rsid w:val="00F41A76"/>
    <w:rsid w:val="00F455D0"/>
    <w:rsid w:val="00F505C8"/>
    <w:rsid w:val="00F508B1"/>
    <w:rsid w:val="00F53A6D"/>
    <w:rsid w:val="00F5689B"/>
    <w:rsid w:val="00F631CA"/>
    <w:rsid w:val="00F71377"/>
    <w:rsid w:val="00F73B26"/>
    <w:rsid w:val="00F73D3C"/>
    <w:rsid w:val="00F7554D"/>
    <w:rsid w:val="00F8140B"/>
    <w:rsid w:val="00FA2988"/>
    <w:rsid w:val="00FA42B5"/>
    <w:rsid w:val="00FA5A49"/>
    <w:rsid w:val="00FA7872"/>
    <w:rsid w:val="00FB198F"/>
    <w:rsid w:val="00FC1151"/>
    <w:rsid w:val="00FE12B4"/>
    <w:rsid w:val="00FE621C"/>
    <w:rsid w:val="00FF03CB"/>
    <w:rsid w:val="00FF0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67A1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76"/>
    <w:pPr>
      <w:spacing w:after="0" w:line="240" w:lineRule="auto"/>
    </w:pPr>
    <w:rPr>
      <w:rFonts w:ascii="Times New Roman" w:eastAsia="Times New Roman" w:hAnsi="Times New Roman" w:cs="Times New Roman"/>
      <w:color w:val="000000"/>
      <w:sz w:val="24"/>
      <w:szCs w:val="20"/>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48B"/>
    <w:rPr>
      <w:rFonts w:ascii="Tahoma" w:hAnsi="Tahoma" w:cs="Tahoma"/>
      <w:sz w:val="16"/>
      <w:szCs w:val="16"/>
    </w:rPr>
  </w:style>
  <w:style w:type="character" w:customStyle="1" w:styleId="BalloonTextChar">
    <w:name w:val="Balloon Text Char"/>
    <w:basedOn w:val="DefaultParagraphFont"/>
    <w:link w:val="BalloonText"/>
    <w:uiPriority w:val="99"/>
    <w:semiHidden/>
    <w:rsid w:val="007C448B"/>
    <w:rPr>
      <w:rFonts w:ascii="Tahoma" w:eastAsia="Times New Roman" w:hAnsi="Tahoma" w:cs="Tahoma"/>
      <w:color w:val="000000"/>
      <w:sz w:val="16"/>
      <w:szCs w:val="16"/>
      <w:lang w:val="en-GB" w:eastAsia="de-DE"/>
    </w:rPr>
  </w:style>
  <w:style w:type="table" w:styleId="TableGrid">
    <w:name w:val="Table Grid"/>
    <w:basedOn w:val="TableNormal"/>
    <w:uiPriority w:val="59"/>
    <w:rsid w:val="002E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6">
    <w:name w:val="CM26"/>
    <w:basedOn w:val="Normal"/>
    <w:next w:val="Normal"/>
    <w:uiPriority w:val="99"/>
    <w:rsid w:val="0064422E"/>
    <w:pPr>
      <w:widowControl w:val="0"/>
      <w:autoSpaceDE w:val="0"/>
      <w:autoSpaceDN w:val="0"/>
      <w:adjustRightInd w:val="0"/>
    </w:pPr>
    <w:rPr>
      <w:rFonts w:eastAsiaTheme="minorEastAsia"/>
      <w:color w:val="auto"/>
      <w:szCs w:val="24"/>
      <w:lang w:val="en-US" w:eastAsia="en-US"/>
    </w:rPr>
  </w:style>
  <w:style w:type="paragraph" w:customStyle="1" w:styleId="CM10">
    <w:name w:val="CM10"/>
    <w:basedOn w:val="Normal"/>
    <w:next w:val="Normal"/>
    <w:uiPriority w:val="99"/>
    <w:rsid w:val="00BE78D8"/>
    <w:pPr>
      <w:widowControl w:val="0"/>
      <w:autoSpaceDE w:val="0"/>
      <w:autoSpaceDN w:val="0"/>
      <w:adjustRightInd w:val="0"/>
      <w:spacing w:line="471" w:lineRule="atLeast"/>
    </w:pPr>
    <w:rPr>
      <w:rFonts w:eastAsiaTheme="minorEastAsia"/>
      <w:color w:val="auto"/>
      <w:szCs w:val="24"/>
      <w:lang w:val="en-AU" w:eastAsia="en-AU"/>
    </w:rPr>
  </w:style>
  <w:style w:type="paragraph" w:customStyle="1" w:styleId="Default">
    <w:name w:val="Default"/>
    <w:rsid w:val="00BE78D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BodytextAgency">
    <w:name w:val="Body text (Agency)"/>
    <w:basedOn w:val="Normal"/>
    <w:link w:val="BodytextAgencyChar"/>
    <w:rsid w:val="00BE78D8"/>
    <w:pPr>
      <w:spacing w:after="140" w:line="280" w:lineRule="atLeast"/>
    </w:pPr>
    <w:rPr>
      <w:rFonts w:ascii="Verdana" w:eastAsia="Verdana" w:hAnsi="Verdana" w:cs="Verdana"/>
      <w:color w:val="auto"/>
      <w:sz w:val="18"/>
      <w:szCs w:val="18"/>
      <w:lang w:eastAsia="en-GB"/>
    </w:rPr>
  </w:style>
  <w:style w:type="character" w:customStyle="1" w:styleId="BodytextAgencyChar">
    <w:name w:val="Body text (Agency) Char"/>
    <w:link w:val="BodytextAgency"/>
    <w:rsid w:val="00BE78D8"/>
    <w:rPr>
      <w:rFonts w:ascii="Verdana" w:eastAsia="Verdana" w:hAnsi="Verdana" w:cs="Verdana"/>
      <w:sz w:val="18"/>
      <w:szCs w:val="18"/>
      <w:lang w:val="en-GB" w:eastAsia="en-GB"/>
    </w:rPr>
  </w:style>
  <w:style w:type="character" w:styleId="CommentReference">
    <w:name w:val="annotation reference"/>
    <w:basedOn w:val="DefaultParagraphFont"/>
    <w:uiPriority w:val="99"/>
    <w:semiHidden/>
    <w:unhideWhenUsed/>
    <w:rsid w:val="00D93D65"/>
    <w:rPr>
      <w:sz w:val="16"/>
      <w:szCs w:val="16"/>
    </w:rPr>
  </w:style>
  <w:style w:type="paragraph" w:styleId="CommentText">
    <w:name w:val="annotation text"/>
    <w:basedOn w:val="Normal"/>
    <w:link w:val="CommentTextChar"/>
    <w:uiPriority w:val="99"/>
    <w:unhideWhenUsed/>
    <w:rsid w:val="00D93D65"/>
    <w:rPr>
      <w:sz w:val="20"/>
    </w:rPr>
  </w:style>
  <w:style w:type="character" w:customStyle="1" w:styleId="CommentTextChar">
    <w:name w:val="Comment Text Char"/>
    <w:basedOn w:val="DefaultParagraphFont"/>
    <w:link w:val="CommentText"/>
    <w:uiPriority w:val="99"/>
    <w:rsid w:val="00D93D65"/>
    <w:rPr>
      <w:rFonts w:ascii="Times New Roman" w:eastAsia="Times New Roman" w:hAnsi="Times New Roman" w:cs="Times New Roman"/>
      <w:color w:val="000000"/>
      <w:sz w:val="20"/>
      <w:szCs w:val="20"/>
      <w:lang w:val="en-GB" w:eastAsia="de-DE"/>
    </w:rPr>
  </w:style>
  <w:style w:type="paragraph" w:styleId="CommentSubject">
    <w:name w:val="annotation subject"/>
    <w:basedOn w:val="CommentText"/>
    <w:next w:val="CommentText"/>
    <w:link w:val="CommentSubjectChar"/>
    <w:uiPriority w:val="99"/>
    <w:semiHidden/>
    <w:unhideWhenUsed/>
    <w:rsid w:val="00D93D65"/>
    <w:rPr>
      <w:b/>
      <w:bCs/>
    </w:rPr>
  </w:style>
  <w:style w:type="character" w:customStyle="1" w:styleId="CommentSubjectChar">
    <w:name w:val="Comment Subject Char"/>
    <w:basedOn w:val="CommentTextChar"/>
    <w:link w:val="CommentSubject"/>
    <w:uiPriority w:val="99"/>
    <w:semiHidden/>
    <w:rsid w:val="00D93D65"/>
    <w:rPr>
      <w:rFonts w:ascii="Times New Roman" w:eastAsia="Times New Roman" w:hAnsi="Times New Roman" w:cs="Times New Roman"/>
      <w:b/>
      <w:bCs/>
      <w:color w:val="000000"/>
      <w:sz w:val="20"/>
      <w:szCs w:val="20"/>
      <w:lang w:val="en-GB" w:eastAsia="de-DE"/>
    </w:rPr>
  </w:style>
  <w:style w:type="paragraph" w:styleId="Caption">
    <w:name w:val="caption"/>
    <w:basedOn w:val="Normal"/>
    <w:next w:val="Normal"/>
    <w:link w:val="CaptionChar"/>
    <w:unhideWhenUsed/>
    <w:qFormat/>
    <w:rsid w:val="007B31D9"/>
    <w:pPr>
      <w:tabs>
        <w:tab w:val="left" w:pos="567"/>
      </w:tabs>
      <w:spacing w:line="260" w:lineRule="exact"/>
    </w:pPr>
    <w:rPr>
      <w:b/>
      <w:bCs/>
      <w:color w:val="auto"/>
      <w:sz w:val="20"/>
      <w:lang w:eastAsia="en-US"/>
    </w:rPr>
  </w:style>
  <w:style w:type="paragraph" w:customStyle="1" w:styleId="Paragraph">
    <w:name w:val="Paragraph"/>
    <w:link w:val="ParagraphChar"/>
    <w:qFormat/>
    <w:rsid w:val="007B31D9"/>
    <w:pPr>
      <w:spacing w:before="60" w:after="240" w:line="240" w:lineRule="auto"/>
    </w:pPr>
    <w:rPr>
      <w:rFonts w:ascii="Times New Roman" w:eastAsia="Times New Roman" w:hAnsi="Times New Roman" w:cs="Times New Roman"/>
      <w:sz w:val="24"/>
      <w:szCs w:val="24"/>
      <w:lang w:val="en-US"/>
    </w:rPr>
  </w:style>
  <w:style w:type="character" w:customStyle="1" w:styleId="ParagraphChar">
    <w:name w:val="Paragraph Char"/>
    <w:link w:val="Paragraph"/>
    <w:rsid w:val="007B31D9"/>
    <w:rPr>
      <w:rFonts w:ascii="Times New Roman" w:eastAsia="Times New Roman" w:hAnsi="Times New Roman" w:cs="Times New Roman"/>
      <w:sz w:val="24"/>
      <w:szCs w:val="24"/>
      <w:lang w:val="en-US"/>
    </w:rPr>
  </w:style>
  <w:style w:type="character" w:customStyle="1" w:styleId="CaptionChar">
    <w:name w:val="Caption Char"/>
    <w:link w:val="Caption"/>
    <w:rsid w:val="007B31D9"/>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396ADC"/>
    <w:pPr>
      <w:tabs>
        <w:tab w:val="center" w:pos="4680"/>
        <w:tab w:val="right" w:pos="9360"/>
      </w:tabs>
    </w:pPr>
  </w:style>
  <w:style w:type="character" w:customStyle="1" w:styleId="HeaderChar">
    <w:name w:val="Header Char"/>
    <w:basedOn w:val="DefaultParagraphFont"/>
    <w:link w:val="Header"/>
    <w:uiPriority w:val="99"/>
    <w:rsid w:val="00396ADC"/>
    <w:rPr>
      <w:rFonts w:ascii="Times New Roman" w:eastAsia="Times New Roman" w:hAnsi="Times New Roman" w:cs="Times New Roman"/>
      <w:color w:val="000000"/>
      <w:sz w:val="24"/>
      <w:szCs w:val="20"/>
      <w:lang w:val="en-GB" w:eastAsia="de-DE"/>
    </w:rPr>
  </w:style>
  <w:style w:type="paragraph" w:styleId="Footer">
    <w:name w:val="footer"/>
    <w:basedOn w:val="Normal"/>
    <w:link w:val="FooterChar"/>
    <w:uiPriority w:val="99"/>
    <w:unhideWhenUsed/>
    <w:rsid w:val="00396ADC"/>
    <w:pPr>
      <w:tabs>
        <w:tab w:val="center" w:pos="4680"/>
        <w:tab w:val="right" w:pos="9360"/>
      </w:tabs>
    </w:pPr>
  </w:style>
  <w:style w:type="character" w:customStyle="1" w:styleId="FooterChar">
    <w:name w:val="Footer Char"/>
    <w:basedOn w:val="DefaultParagraphFont"/>
    <w:link w:val="Footer"/>
    <w:uiPriority w:val="99"/>
    <w:rsid w:val="00396ADC"/>
    <w:rPr>
      <w:rFonts w:ascii="Times New Roman" w:eastAsia="Times New Roman" w:hAnsi="Times New Roman" w:cs="Times New Roman"/>
      <w:color w:val="000000"/>
      <w:sz w:val="24"/>
      <w:szCs w:val="20"/>
      <w:lang w:val="en-GB" w:eastAsia="de-DE"/>
    </w:rPr>
  </w:style>
  <w:style w:type="paragraph" w:customStyle="1" w:styleId="TableTitle">
    <w:name w:val="Table Title"/>
    <w:next w:val="TableHead"/>
    <w:rsid w:val="002178CE"/>
    <w:pPr>
      <w:keepNext/>
      <w:keepLines/>
      <w:tabs>
        <w:tab w:val="left" w:pos="1440"/>
      </w:tabs>
      <w:spacing w:before="60" w:after="120" w:line="240" w:lineRule="auto"/>
      <w:ind w:left="1440" w:hanging="1440"/>
    </w:pPr>
    <w:rPr>
      <w:rFonts w:ascii="Arial" w:eastAsia="Times New Roman" w:hAnsi="Arial" w:cs="Times New Roman"/>
      <w:b/>
      <w:color w:val="000000"/>
      <w:sz w:val="24"/>
      <w:szCs w:val="24"/>
      <w:lang w:val="en-US"/>
    </w:rPr>
  </w:style>
  <w:style w:type="paragraph" w:customStyle="1" w:styleId="TableHead">
    <w:name w:val="Table Head"/>
    <w:basedOn w:val="Normal"/>
    <w:rsid w:val="002178CE"/>
    <w:pPr>
      <w:spacing w:before="60" w:after="60"/>
      <w:jc w:val="center"/>
    </w:pPr>
    <w:rPr>
      <w:b/>
      <w:color w:val="auto"/>
      <w:szCs w:val="48"/>
      <w:lang w:val="en-US" w:eastAsia="en-US"/>
    </w:rPr>
  </w:style>
  <w:style w:type="paragraph" w:customStyle="1" w:styleId="TableCenter">
    <w:name w:val="Table Center"/>
    <w:basedOn w:val="Normal"/>
    <w:rsid w:val="002178CE"/>
    <w:pPr>
      <w:spacing w:before="60" w:after="60"/>
      <w:jc w:val="center"/>
    </w:pPr>
    <w:rPr>
      <w:color w:val="auto"/>
      <w:szCs w:val="24"/>
      <w:lang w:val="en-US" w:eastAsia="en-US"/>
    </w:rPr>
  </w:style>
  <w:style w:type="paragraph" w:styleId="EndnoteText">
    <w:name w:val="endnote text"/>
    <w:basedOn w:val="Normal"/>
    <w:link w:val="EndnoteTextChar"/>
    <w:semiHidden/>
    <w:rsid w:val="002178CE"/>
    <w:pPr>
      <w:spacing w:before="60"/>
    </w:pPr>
    <w:rPr>
      <w:color w:val="auto"/>
      <w:sz w:val="20"/>
      <w:lang w:val="en-US" w:eastAsia="en-US"/>
    </w:rPr>
  </w:style>
  <w:style w:type="character" w:customStyle="1" w:styleId="EndnoteTextChar">
    <w:name w:val="Endnote Text Char"/>
    <w:basedOn w:val="DefaultParagraphFont"/>
    <w:link w:val="EndnoteText"/>
    <w:semiHidden/>
    <w:rsid w:val="002178CE"/>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2178CE"/>
    <w:rPr>
      <w:vertAlign w:val="superscript"/>
    </w:rPr>
  </w:style>
  <w:style w:type="paragraph" w:customStyle="1" w:styleId="TableFootnote">
    <w:name w:val="Table Footnote"/>
    <w:basedOn w:val="Normal"/>
    <w:rsid w:val="002178CE"/>
    <w:pPr>
      <w:numPr>
        <w:numId w:val="2"/>
      </w:numPr>
      <w:spacing w:before="60" w:after="60"/>
    </w:pPr>
    <w:rPr>
      <w:color w:val="auto"/>
      <w:sz w:val="20"/>
      <w:lang w:val="en-US" w:eastAsia="en-US"/>
    </w:rPr>
  </w:style>
  <w:style w:type="character" w:styleId="Hyperlink">
    <w:name w:val="Hyperlink"/>
    <w:rsid w:val="00FE12B4"/>
    <w:rPr>
      <w:color w:val="0000FF"/>
      <w:u w:val="single"/>
    </w:rPr>
  </w:style>
  <w:style w:type="paragraph" w:styleId="ListParagraph">
    <w:name w:val="List Paragraph"/>
    <w:basedOn w:val="Normal"/>
    <w:uiPriority w:val="1"/>
    <w:qFormat/>
    <w:rsid w:val="00FE12B4"/>
    <w:pPr>
      <w:widowControl w:val="0"/>
      <w:autoSpaceDE w:val="0"/>
      <w:autoSpaceDN w:val="0"/>
      <w:adjustRightInd w:val="0"/>
    </w:pPr>
    <w:rPr>
      <w:rFonts w:eastAsiaTheme="minorHAnsi"/>
      <w:color w:val="auto"/>
      <w:szCs w:val="24"/>
      <w:lang w:val="en-US" w:eastAsia="en-US"/>
    </w:rPr>
  </w:style>
  <w:style w:type="paragraph" w:styleId="NormalWeb">
    <w:name w:val="Normal (Web)"/>
    <w:basedOn w:val="Normal"/>
    <w:uiPriority w:val="99"/>
    <w:unhideWhenUsed/>
    <w:rsid w:val="002671D1"/>
    <w:pPr>
      <w:spacing w:before="100" w:beforeAutospacing="1" w:after="100" w:afterAutospacing="1"/>
    </w:pPr>
    <w:rPr>
      <w:rFonts w:ascii="Times" w:eastAsiaTheme="minorHAnsi" w:hAnsi="Times"/>
      <w:color w:val="auto"/>
      <w:sz w:val="20"/>
      <w:lang w:val="en-AU" w:eastAsia="en-US"/>
    </w:rPr>
  </w:style>
  <w:style w:type="paragraph" w:styleId="Revision">
    <w:name w:val="Revision"/>
    <w:hidden/>
    <w:uiPriority w:val="99"/>
    <w:semiHidden/>
    <w:rsid w:val="00362E44"/>
    <w:pPr>
      <w:spacing w:after="0" w:line="240" w:lineRule="auto"/>
    </w:pPr>
    <w:rPr>
      <w:rFonts w:ascii="Times New Roman" w:eastAsia="Times New Roman" w:hAnsi="Times New Roman" w:cs="Times New Roman"/>
      <w:color w:val="000000"/>
      <w:sz w:val="24"/>
      <w:szCs w:val="20"/>
      <w:lang w:val="en-GB" w:eastAsia="de-DE"/>
    </w:rPr>
  </w:style>
  <w:style w:type="table" w:customStyle="1" w:styleId="TableTGAblue">
    <w:name w:val="Table TGA blue"/>
    <w:basedOn w:val="TableNormal"/>
    <w:uiPriority w:val="99"/>
    <w:qFormat/>
    <w:rsid w:val="0031200A"/>
    <w:pPr>
      <w:spacing w:line="0" w:lineRule="auto"/>
    </w:pPr>
    <w:rPr>
      <w:rFonts w:ascii="Cambria" w:eastAsiaTheme="minorHAnsi" w:hAnsi="Cambria"/>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76"/>
    <w:pPr>
      <w:spacing w:after="0" w:line="240" w:lineRule="auto"/>
    </w:pPr>
    <w:rPr>
      <w:rFonts w:ascii="Times New Roman" w:eastAsia="Times New Roman" w:hAnsi="Times New Roman" w:cs="Times New Roman"/>
      <w:color w:val="000000"/>
      <w:sz w:val="24"/>
      <w:szCs w:val="20"/>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48B"/>
    <w:rPr>
      <w:rFonts w:ascii="Tahoma" w:hAnsi="Tahoma" w:cs="Tahoma"/>
      <w:sz w:val="16"/>
      <w:szCs w:val="16"/>
    </w:rPr>
  </w:style>
  <w:style w:type="character" w:customStyle="1" w:styleId="BalloonTextChar">
    <w:name w:val="Balloon Text Char"/>
    <w:basedOn w:val="DefaultParagraphFont"/>
    <w:link w:val="BalloonText"/>
    <w:uiPriority w:val="99"/>
    <w:semiHidden/>
    <w:rsid w:val="007C448B"/>
    <w:rPr>
      <w:rFonts w:ascii="Tahoma" w:eastAsia="Times New Roman" w:hAnsi="Tahoma" w:cs="Tahoma"/>
      <w:color w:val="000000"/>
      <w:sz w:val="16"/>
      <w:szCs w:val="16"/>
      <w:lang w:val="en-GB" w:eastAsia="de-DE"/>
    </w:rPr>
  </w:style>
  <w:style w:type="table" w:styleId="TableGrid">
    <w:name w:val="Table Grid"/>
    <w:basedOn w:val="TableNormal"/>
    <w:uiPriority w:val="59"/>
    <w:rsid w:val="002E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6">
    <w:name w:val="CM26"/>
    <w:basedOn w:val="Normal"/>
    <w:next w:val="Normal"/>
    <w:uiPriority w:val="99"/>
    <w:rsid w:val="0064422E"/>
    <w:pPr>
      <w:widowControl w:val="0"/>
      <w:autoSpaceDE w:val="0"/>
      <w:autoSpaceDN w:val="0"/>
      <w:adjustRightInd w:val="0"/>
    </w:pPr>
    <w:rPr>
      <w:rFonts w:eastAsiaTheme="minorEastAsia"/>
      <w:color w:val="auto"/>
      <w:szCs w:val="24"/>
      <w:lang w:val="en-US" w:eastAsia="en-US"/>
    </w:rPr>
  </w:style>
  <w:style w:type="paragraph" w:customStyle="1" w:styleId="CM10">
    <w:name w:val="CM10"/>
    <w:basedOn w:val="Normal"/>
    <w:next w:val="Normal"/>
    <w:uiPriority w:val="99"/>
    <w:rsid w:val="00BE78D8"/>
    <w:pPr>
      <w:widowControl w:val="0"/>
      <w:autoSpaceDE w:val="0"/>
      <w:autoSpaceDN w:val="0"/>
      <w:adjustRightInd w:val="0"/>
      <w:spacing w:line="471" w:lineRule="atLeast"/>
    </w:pPr>
    <w:rPr>
      <w:rFonts w:eastAsiaTheme="minorEastAsia"/>
      <w:color w:val="auto"/>
      <w:szCs w:val="24"/>
      <w:lang w:val="en-AU" w:eastAsia="en-AU"/>
    </w:rPr>
  </w:style>
  <w:style w:type="paragraph" w:customStyle="1" w:styleId="Default">
    <w:name w:val="Default"/>
    <w:rsid w:val="00BE78D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BodytextAgency">
    <w:name w:val="Body text (Agency)"/>
    <w:basedOn w:val="Normal"/>
    <w:link w:val="BodytextAgencyChar"/>
    <w:rsid w:val="00BE78D8"/>
    <w:pPr>
      <w:spacing w:after="140" w:line="280" w:lineRule="atLeast"/>
    </w:pPr>
    <w:rPr>
      <w:rFonts w:ascii="Verdana" w:eastAsia="Verdana" w:hAnsi="Verdana" w:cs="Verdana"/>
      <w:color w:val="auto"/>
      <w:sz w:val="18"/>
      <w:szCs w:val="18"/>
      <w:lang w:eastAsia="en-GB"/>
    </w:rPr>
  </w:style>
  <w:style w:type="character" w:customStyle="1" w:styleId="BodytextAgencyChar">
    <w:name w:val="Body text (Agency) Char"/>
    <w:link w:val="BodytextAgency"/>
    <w:rsid w:val="00BE78D8"/>
    <w:rPr>
      <w:rFonts w:ascii="Verdana" w:eastAsia="Verdana" w:hAnsi="Verdana" w:cs="Verdana"/>
      <w:sz w:val="18"/>
      <w:szCs w:val="18"/>
      <w:lang w:val="en-GB" w:eastAsia="en-GB"/>
    </w:rPr>
  </w:style>
  <w:style w:type="character" w:styleId="CommentReference">
    <w:name w:val="annotation reference"/>
    <w:basedOn w:val="DefaultParagraphFont"/>
    <w:uiPriority w:val="99"/>
    <w:semiHidden/>
    <w:unhideWhenUsed/>
    <w:rsid w:val="00D93D65"/>
    <w:rPr>
      <w:sz w:val="16"/>
      <w:szCs w:val="16"/>
    </w:rPr>
  </w:style>
  <w:style w:type="paragraph" w:styleId="CommentText">
    <w:name w:val="annotation text"/>
    <w:basedOn w:val="Normal"/>
    <w:link w:val="CommentTextChar"/>
    <w:uiPriority w:val="99"/>
    <w:unhideWhenUsed/>
    <w:rsid w:val="00D93D65"/>
    <w:rPr>
      <w:sz w:val="20"/>
    </w:rPr>
  </w:style>
  <w:style w:type="character" w:customStyle="1" w:styleId="CommentTextChar">
    <w:name w:val="Comment Text Char"/>
    <w:basedOn w:val="DefaultParagraphFont"/>
    <w:link w:val="CommentText"/>
    <w:uiPriority w:val="99"/>
    <w:rsid w:val="00D93D65"/>
    <w:rPr>
      <w:rFonts w:ascii="Times New Roman" w:eastAsia="Times New Roman" w:hAnsi="Times New Roman" w:cs="Times New Roman"/>
      <w:color w:val="000000"/>
      <w:sz w:val="20"/>
      <w:szCs w:val="20"/>
      <w:lang w:val="en-GB" w:eastAsia="de-DE"/>
    </w:rPr>
  </w:style>
  <w:style w:type="paragraph" w:styleId="CommentSubject">
    <w:name w:val="annotation subject"/>
    <w:basedOn w:val="CommentText"/>
    <w:next w:val="CommentText"/>
    <w:link w:val="CommentSubjectChar"/>
    <w:uiPriority w:val="99"/>
    <w:semiHidden/>
    <w:unhideWhenUsed/>
    <w:rsid w:val="00D93D65"/>
    <w:rPr>
      <w:b/>
      <w:bCs/>
    </w:rPr>
  </w:style>
  <w:style w:type="character" w:customStyle="1" w:styleId="CommentSubjectChar">
    <w:name w:val="Comment Subject Char"/>
    <w:basedOn w:val="CommentTextChar"/>
    <w:link w:val="CommentSubject"/>
    <w:uiPriority w:val="99"/>
    <w:semiHidden/>
    <w:rsid w:val="00D93D65"/>
    <w:rPr>
      <w:rFonts w:ascii="Times New Roman" w:eastAsia="Times New Roman" w:hAnsi="Times New Roman" w:cs="Times New Roman"/>
      <w:b/>
      <w:bCs/>
      <w:color w:val="000000"/>
      <w:sz w:val="20"/>
      <w:szCs w:val="20"/>
      <w:lang w:val="en-GB" w:eastAsia="de-DE"/>
    </w:rPr>
  </w:style>
  <w:style w:type="paragraph" w:styleId="Caption">
    <w:name w:val="caption"/>
    <w:basedOn w:val="Normal"/>
    <w:next w:val="Normal"/>
    <w:link w:val="CaptionChar"/>
    <w:unhideWhenUsed/>
    <w:qFormat/>
    <w:rsid w:val="007B31D9"/>
    <w:pPr>
      <w:tabs>
        <w:tab w:val="left" w:pos="567"/>
      </w:tabs>
      <w:spacing w:line="260" w:lineRule="exact"/>
    </w:pPr>
    <w:rPr>
      <w:b/>
      <w:bCs/>
      <w:color w:val="auto"/>
      <w:sz w:val="20"/>
      <w:lang w:eastAsia="en-US"/>
    </w:rPr>
  </w:style>
  <w:style w:type="paragraph" w:customStyle="1" w:styleId="Paragraph">
    <w:name w:val="Paragraph"/>
    <w:link w:val="ParagraphChar"/>
    <w:qFormat/>
    <w:rsid w:val="007B31D9"/>
    <w:pPr>
      <w:spacing w:before="60" w:after="240" w:line="240" w:lineRule="auto"/>
    </w:pPr>
    <w:rPr>
      <w:rFonts w:ascii="Times New Roman" w:eastAsia="Times New Roman" w:hAnsi="Times New Roman" w:cs="Times New Roman"/>
      <w:sz w:val="24"/>
      <w:szCs w:val="24"/>
      <w:lang w:val="en-US"/>
    </w:rPr>
  </w:style>
  <w:style w:type="character" w:customStyle="1" w:styleId="ParagraphChar">
    <w:name w:val="Paragraph Char"/>
    <w:link w:val="Paragraph"/>
    <w:rsid w:val="007B31D9"/>
    <w:rPr>
      <w:rFonts w:ascii="Times New Roman" w:eastAsia="Times New Roman" w:hAnsi="Times New Roman" w:cs="Times New Roman"/>
      <w:sz w:val="24"/>
      <w:szCs w:val="24"/>
      <w:lang w:val="en-US"/>
    </w:rPr>
  </w:style>
  <w:style w:type="character" w:customStyle="1" w:styleId="CaptionChar">
    <w:name w:val="Caption Char"/>
    <w:link w:val="Caption"/>
    <w:rsid w:val="007B31D9"/>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396ADC"/>
    <w:pPr>
      <w:tabs>
        <w:tab w:val="center" w:pos="4680"/>
        <w:tab w:val="right" w:pos="9360"/>
      </w:tabs>
    </w:pPr>
  </w:style>
  <w:style w:type="character" w:customStyle="1" w:styleId="HeaderChar">
    <w:name w:val="Header Char"/>
    <w:basedOn w:val="DefaultParagraphFont"/>
    <w:link w:val="Header"/>
    <w:uiPriority w:val="99"/>
    <w:rsid w:val="00396ADC"/>
    <w:rPr>
      <w:rFonts w:ascii="Times New Roman" w:eastAsia="Times New Roman" w:hAnsi="Times New Roman" w:cs="Times New Roman"/>
      <w:color w:val="000000"/>
      <w:sz w:val="24"/>
      <w:szCs w:val="20"/>
      <w:lang w:val="en-GB" w:eastAsia="de-DE"/>
    </w:rPr>
  </w:style>
  <w:style w:type="paragraph" w:styleId="Footer">
    <w:name w:val="footer"/>
    <w:basedOn w:val="Normal"/>
    <w:link w:val="FooterChar"/>
    <w:uiPriority w:val="99"/>
    <w:unhideWhenUsed/>
    <w:rsid w:val="00396ADC"/>
    <w:pPr>
      <w:tabs>
        <w:tab w:val="center" w:pos="4680"/>
        <w:tab w:val="right" w:pos="9360"/>
      </w:tabs>
    </w:pPr>
  </w:style>
  <w:style w:type="character" w:customStyle="1" w:styleId="FooterChar">
    <w:name w:val="Footer Char"/>
    <w:basedOn w:val="DefaultParagraphFont"/>
    <w:link w:val="Footer"/>
    <w:uiPriority w:val="99"/>
    <w:rsid w:val="00396ADC"/>
    <w:rPr>
      <w:rFonts w:ascii="Times New Roman" w:eastAsia="Times New Roman" w:hAnsi="Times New Roman" w:cs="Times New Roman"/>
      <w:color w:val="000000"/>
      <w:sz w:val="24"/>
      <w:szCs w:val="20"/>
      <w:lang w:val="en-GB" w:eastAsia="de-DE"/>
    </w:rPr>
  </w:style>
  <w:style w:type="paragraph" w:customStyle="1" w:styleId="TableTitle">
    <w:name w:val="Table Title"/>
    <w:next w:val="TableHead"/>
    <w:rsid w:val="002178CE"/>
    <w:pPr>
      <w:keepNext/>
      <w:keepLines/>
      <w:tabs>
        <w:tab w:val="left" w:pos="1440"/>
      </w:tabs>
      <w:spacing w:before="60" w:after="120" w:line="240" w:lineRule="auto"/>
      <w:ind w:left="1440" w:hanging="1440"/>
    </w:pPr>
    <w:rPr>
      <w:rFonts w:ascii="Arial" w:eastAsia="Times New Roman" w:hAnsi="Arial" w:cs="Times New Roman"/>
      <w:b/>
      <w:color w:val="000000"/>
      <w:sz w:val="24"/>
      <w:szCs w:val="24"/>
      <w:lang w:val="en-US"/>
    </w:rPr>
  </w:style>
  <w:style w:type="paragraph" w:customStyle="1" w:styleId="TableHead">
    <w:name w:val="Table Head"/>
    <w:basedOn w:val="Normal"/>
    <w:rsid w:val="002178CE"/>
    <w:pPr>
      <w:spacing w:before="60" w:after="60"/>
      <w:jc w:val="center"/>
    </w:pPr>
    <w:rPr>
      <w:b/>
      <w:color w:val="auto"/>
      <w:szCs w:val="48"/>
      <w:lang w:val="en-US" w:eastAsia="en-US"/>
    </w:rPr>
  </w:style>
  <w:style w:type="paragraph" w:customStyle="1" w:styleId="TableCenter">
    <w:name w:val="Table Center"/>
    <w:basedOn w:val="Normal"/>
    <w:rsid w:val="002178CE"/>
    <w:pPr>
      <w:spacing w:before="60" w:after="60"/>
      <w:jc w:val="center"/>
    </w:pPr>
    <w:rPr>
      <w:color w:val="auto"/>
      <w:szCs w:val="24"/>
      <w:lang w:val="en-US" w:eastAsia="en-US"/>
    </w:rPr>
  </w:style>
  <w:style w:type="paragraph" w:styleId="EndnoteText">
    <w:name w:val="endnote text"/>
    <w:basedOn w:val="Normal"/>
    <w:link w:val="EndnoteTextChar"/>
    <w:semiHidden/>
    <w:rsid w:val="002178CE"/>
    <w:pPr>
      <w:spacing w:before="60"/>
    </w:pPr>
    <w:rPr>
      <w:color w:val="auto"/>
      <w:sz w:val="20"/>
      <w:lang w:val="en-US" w:eastAsia="en-US"/>
    </w:rPr>
  </w:style>
  <w:style w:type="character" w:customStyle="1" w:styleId="EndnoteTextChar">
    <w:name w:val="Endnote Text Char"/>
    <w:basedOn w:val="DefaultParagraphFont"/>
    <w:link w:val="EndnoteText"/>
    <w:semiHidden/>
    <w:rsid w:val="002178CE"/>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2178CE"/>
    <w:rPr>
      <w:vertAlign w:val="superscript"/>
    </w:rPr>
  </w:style>
  <w:style w:type="paragraph" w:customStyle="1" w:styleId="TableFootnote">
    <w:name w:val="Table Footnote"/>
    <w:basedOn w:val="Normal"/>
    <w:rsid w:val="002178CE"/>
    <w:pPr>
      <w:numPr>
        <w:numId w:val="2"/>
      </w:numPr>
      <w:spacing w:before="60" w:after="60"/>
    </w:pPr>
    <w:rPr>
      <w:color w:val="auto"/>
      <w:sz w:val="20"/>
      <w:lang w:val="en-US" w:eastAsia="en-US"/>
    </w:rPr>
  </w:style>
  <w:style w:type="character" w:styleId="Hyperlink">
    <w:name w:val="Hyperlink"/>
    <w:rsid w:val="00FE12B4"/>
    <w:rPr>
      <w:color w:val="0000FF"/>
      <w:u w:val="single"/>
    </w:rPr>
  </w:style>
  <w:style w:type="paragraph" w:styleId="ListParagraph">
    <w:name w:val="List Paragraph"/>
    <w:basedOn w:val="Normal"/>
    <w:uiPriority w:val="1"/>
    <w:qFormat/>
    <w:rsid w:val="00FE12B4"/>
    <w:pPr>
      <w:widowControl w:val="0"/>
      <w:autoSpaceDE w:val="0"/>
      <w:autoSpaceDN w:val="0"/>
      <w:adjustRightInd w:val="0"/>
    </w:pPr>
    <w:rPr>
      <w:rFonts w:eastAsiaTheme="minorHAnsi"/>
      <w:color w:val="auto"/>
      <w:szCs w:val="24"/>
      <w:lang w:val="en-US" w:eastAsia="en-US"/>
    </w:rPr>
  </w:style>
  <w:style w:type="paragraph" w:styleId="NormalWeb">
    <w:name w:val="Normal (Web)"/>
    <w:basedOn w:val="Normal"/>
    <w:uiPriority w:val="99"/>
    <w:unhideWhenUsed/>
    <w:rsid w:val="002671D1"/>
    <w:pPr>
      <w:spacing w:before="100" w:beforeAutospacing="1" w:after="100" w:afterAutospacing="1"/>
    </w:pPr>
    <w:rPr>
      <w:rFonts w:ascii="Times" w:eastAsiaTheme="minorHAnsi" w:hAnsi="Times"/>
      <w:color w:val="auto"/>
      <w:sz w:val="20"/>
      <w:lang w:val="en-AU" w:eastAsia="en-US"/>
    </w:rPr>
  </w:style>
  <w:style w:type="paragraph" w:styleId="Revision">
    <w:name w:val="Revision"/>
    <w:hidden/>
    <w:uiPriority w:val="99"/>
    <w:semiHidden/>
    <w:rsid w:val="00362E44"/>
    <w:pPr>
      <w:spacing w:after="0" w:line="240" w:lineRule="auto"/>
    </w:pPr>
    <w:rPr>
      <w:rFonts w:ascii="Times New Roman" w:eastAsia="Times New Roman" w:hAnsi="Times New Roman" w:cs="Times New Roman"/>
      <w:color w:val="000000"/>
      <w:sz w:val="24"/>
      <w:szCs w:val="20"/>
      <w:lang w:val="en-GB" w:eastAsia="de-DE"/>
    </w:rPr>
  </w:style>
  <w:style w:type="table" w:customStyle="1" w:styleId="TableTGAblue">
    <w:name w:val="Table TGA blue"/>
    <w:basedOn w:val="TableNormal"/>
    <w:uiPriority w:val="99"/>
    <w:qFormat/>
    <w:rsid w:val="0031200A"/>
    <w:pPr>
      <w:spacing w:line="0" w:lineRule="auto"/>
    </w:pPr>
    <w:rPr>
      <w:rFonts w:ascii="Cambria" w:eastAsiaTheme="minorHAnsi" w:hAnsi="Cambria"/>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8395">
      <w:bodyDiv w:val="1"/>
      <w:marLeft w:val="0"/>
      <w:marRight w:val="0"/>
      <w:marTop w:val="0"/>
      <w:marBottom w:val="0"/>
      <w:divBdr>
        <w:top w:val="none" w:sz="0" w:space="0" w:color="auto"/>
        <w:left w:val="none" w:sz="0" w:space="0" w:color="auto"/>
        <w:bottom w:val="none" w:sz="0" w:space="0" w:color="auto"/>
        <w:right w:val="none" w:sz="0" w:space="0" w:color="auto"/>
      </w:divBdr>
    </w:div>
    <w:div w:id="332997012">
      <w:bodyDiv w:val="1"/>
      <w:marLeft w:val="0"/>
      <w:marRight w:val="0"/>
      <w:marTop w:val="0"/>
      <w:marBottom w:val="0"/>
      <w:divBdr>
        <w:top w:val="none" w:sz="0" w:space="0" w:color="auto"/>
        <w:left w:val="none" w:sz="0" w:space="0" w:color="auto"/>
        <w:bottom w:val="none" w:sz="0" w:space="0" w:color="auto"/>
        <w:right w:val="none" w:sz="0" w:space="0" w:color="auto"/>
      </w:divBdr>
    </w:div>
    <w:div w:id="1421875939">
      <w:bodyDiv w:val="1"/>
      <w:marLeft w:val="0"/>
      <w:marRight w:val="0"/>
      <w:marTop w:val="0"/>
      <w:marBottom w:val="0"/>
      <w:divBdr>
        <w:top w:val="none" w:sz="0" w:space="0" w:color="auto"/>
        <w:left w:val="none" w:sz="0" w:space="0" w:color="auto"/>
        <w:bottom w:val="none" w:sz="0" w:space="0" w:color="auto"/>
        <w:right w:val="none" w:sz="0" w:space="0" w:color="auto"/>
      </w:divBdr>
    </w:div>
    <w:div w:id="1426918807">
      <w:bodyDiv w:val="1"/>
      <w:marLeft w:val="0"/>
      <w:marRight w:val="0"/>
      <w:marTop w:val="0"/>
      <w:marBottom w:val="0"/>
      <w:divBdr>
        <w:top w:val="none" w:sz="0" w:space="0" w:color="auto"/>
        <w:left w:val="none" w:sz="0" w:space="0" w:color="auto"/>
        <w:bottom w:val="none" w:sz="0" w:space="0" w:color="auto"/>
        <w:right w:val="none" w:sz="0" w:space="0" w:color="auto"/>
      </w:divBdr>
      <w:divsChild>
        <w:div w:id="809983845">
          <w:marLeft w:val="0"/>
          <w:marRight w:val="0"/>
          <w:marTop w:val="0"/>
          <w:marBottom w:val="0"/>
          <w:divBdr>
            <w:top w:val="none" w:sz="0" w:space="0" w:color="auto"/>
            <w:left w:val="none" w:sz="0" w:space="0" w:color="auto"/>
            <w:bottom w:val="none" w:sz="0" w:space="0" w:color="auto"/>
            <w:right w:val="none" w:sz="0" w:space="0" w:color="auto"/>
          </w:divBdr>
          <w:divsChild>
            <w:div w:id="710812836">
              <w:marLeft w:val="0"/>
              <w:marRight w:val="0"/>
              <w:marTop w:val="0"/>
              <w:marBottom w:val="0"/>
              <w:divBdr>
                <w:top w:val="none" w:sz="0" w:space="0" w:color="auto"/>
                <w:left w:val="none" w:sz="0" w:space="0" w:color="auto"/>
                <w:bottom w:val="none" w:sz="0" w:space="0" w:color="auto"/>
                <w:right w:val="none" w:sz="0" w:space="0" w:color="auto"/>
              </w:divBdr>
              <w:divsChild>
                <w:div w:id="9715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48940">
      <w:bodyDiv w:val="1"/>
      <w:marLeft w:val="0"/>
      <w:marRight w:val="0"/>
      <w:marTop w:val="0"/>
      <w:marBottom w:val="0"/>
      <w:divBdr>
        <w:top w:val="none" w:sz="0" w:space="0" w:color="auto"/>
        <w:left w:val="none" w:sz="0" w:space="0" w:color="auto"/>
        <w:bottom w:val="none" w:sz="0" w:space="0" w:color="auto"/>
        <w:right w:val="none" w:sz="0" w:space="0" w:color="auto"/>
      </w:divBdr>
    </w:div>
    <w:div w:id="1685665668">
      <w:bodyDiv w:val="1"/>
      <w:marLeft w:val="0"/>
      <w:marRight w:val="0"/>
      <w:marTop w:val="0"/>
      <w:marBottom w:val="0"/>
      <w:divBdr>
        <w:top w:val="none" w:sz="0" w:space="0" w:color="auto"/>
        <w:left w:val="none" w:sz="0" w:space="0" w:color="auto"/>
        <w:bottom w:val="none" w:sz="0" w:space="0" w:color="auto"/>
        <w:right w:val="none" w:sz="0" w:space="0" w:color="auto"/>
      </w:divBdr>
    </w:div>
    <w:div w:id="1907645748">
      <w:bodyDiv w:val="1"/>
      <w:marLeft w:val="0"/>
      <w:marRight w:val="0"/>
      <w:marTop w:val="0"/>
      <w:marBottom w:val="0"/>
      <w:divBdr>
        <w:top w:val="none" w:sz="0" w:space="0" w:color="auto"/>
        <w:left w:val="none" w:sz="0" w:space="0" w:color="auto"/>
        <w:bottom w:val="none" w:sz="0" w:space="0" w:color="auto"/>
        <w:right w:val="none" w:sz="0" w:space="0" w:color="auto"/>
      </w:divBdr>
    </w:div>
    <w:div w:id="2070373888">
      <w:bodyDiv w:val="1"/>
      <w:marLeft w:val="0"/>
      <w:marRight w:val="0"/>
      <w:marTop w:val="0"/>
      <w:marBottom w:val="0"/>
      <w:divBdr>
        <w:top w:val="none" w:sz="0" w:space="0" w:color="auto"/>
        <w:left w:val="none" w:sz="0" w:space="0" w:color="auto"/>
        <w:bottom w:val="none" w:sz="0" w:space="0" w:color="auto"/>
        <w:right w:val="none" w:sz="0" w:space="0" w:color="auto"/>
      </w:divBdr>
      <w:divsChild>
        <w:div w:id="136995913">
          <w:marLeft w:val="0"/>
          <w:marRight w:val="0"/>
          <w:marTop w:val="0"/>
          <w:marBottom w:val="0"/>
          <w:divBdr>
            <w:top w:val="none" w:sz="0" w:space="0" w:color="auto"/>
            <w:left w:val="none" w:sz="0" w:space="0" w:color="auto"/>
            <w:bottom w:val="none" w:sz="0" w:space="0" w:color="auto"/>
            <w:right w:val="none" w:sz="0" w:space="0" w:color="auto"/>
          </w:divBdr>
          <w:divsChild>
            <w:div w:id="656039122">
              <w:marLeft w:val="0"/>
              <w:marRight w:val="0"/>
              <w:marTop w:val="0"/>
              <w:marBottom w:val="0"/>
              <w:divBdr>
                <w:top w:val="none" w:sz="0" w:space="0" w:color="auto"/>
                <w:left w:val="none" w:sz="0" w:space="0" w:color="auto"/>
                <w:bottom w:val="none" w:sz="0" w:space="0" w:color="auto"/>
                <w:right w:val="none" w:sz="0" w:space="0" w:color="auto"/>
              </w:divBdr>
              <w:divsChild>
                <w:div w:id="6829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D4901-684D-435F-89A4-23934411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8241</Words>
  <Characters>44751</Characters>
  <Application>Microsoft Office Word</Application>
  <DocSecurity>0</DocSecurity>
  <Lines>877</Lines>
  <Paragraphs>452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Commercial Eyes</Company>
  <LinksUpToDate>false</LinksUpToDate>
  <CharactersWithSpaces>52540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Tolvaptan</dc:title>
  <dc:subject>prescription medicines</dc:subject>
  <dc:creator>Anita Keith</dc:creator>
  <cp:keywords>AusPARs</cp:keywords>
  <cp:lastModifiedBy>LACK, Janet</cp:lastModifiedBy>
  <cp:revision>4</cp:revision>
  <cp:lastPrinted>2016-11-13T23:31:00Z</cp:lastPrinted>
  <dcterms:created xsi:type="dcterms:W3CDTF">2018-02-21T23:46:00Z</dcterms:created>
  <dcterms:modified xsi:type="dcterms:W3CDTF">2018-02-22T03:11:00Z</dcterms:modified>
</cp:coreProperties>
</file>