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y 2018&#10;Australian Public Assessment Report for insulin degludec (rys)&#10;Proprietary Product Name: Tresiba FlexTouch,&#10;Tresiba Penfill&#10;Sponsor: Novo Nordisk Pty Ltd&#10;"/>
      </w:tblPr>
      <w:tblGrid>
        <w:gridCol w:w="3652"/>
      </w:tblGrid>
      <w:tr w:rsidR="008E7846" w:rsidRPr="009934FA" w14:paraId="5102A113" w14:textId="77777777" w:rsidTr="00BF1190">
        <w:trPr>
          <w:trHeight w:val="1863"/>
        </w:trPr>
        <w:tc>
          <w:tcPr>
            <w:tcW w:w="3652" w:type="dxa"/>
            <w:tcBorders>
              <w:top w:val="nil"/>
              <w:left w:val="nil"/>
              <w:bottom w:val="nil"/>
              <w:right w:val="nil"/>
            </w:tcBorders>
          </w:tcPr>
          <w:p w14:paraId="5F3A0C9C" w14:textId="185FEA0F" w:rsidR="008E7846" w:rsidRPr="009934FA" w:rsidRDefault="006C50FE" w:rsidP="00096AA7">
            <w:pPr>
              <w:rPr>
                <w:rFonts w:ascii="Arial" w:hAnsi="Arial" w:cs="Arial"/>
                <w:b/>
                <w:color w:val="002C47"/>
                <w:sz w:val="36"/>
                <w:szCs w:val="36"/>
              </w:rPr>
            </w:pPr>
            <w:r>
              <w:rPr>
                <w:rFonts w:ascii="Arial" w:hAnsi="Arial" w:cs="Arial"/>
                <w:b/>
                <w:color w:val="002C47"/>
                <w:sz w:val="36"/>
                <w:szCs w:val="36"/>
              </w:rPr>
              <w:t xml:space="preserve">May </w:t>
            </w:r>
            <w:r w:rsidR="0047564B">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Description w:val="Australian Public Assessment Report for insulin degludec (rys)&#10;Proprietary Product Name: Tresiba FlexTouch,&#10;Tresiba Penfill&#10;Sponsor: Novo Nordisk Pty Ltd&#10;"/>
      </w:tblPr>
      <w:tblGrid>
        <w:gridCol w:w="9079"/>
      </w:tblGrid>
      <w:tr w:rsidR="0032583B" w:rsidRPr="009934FA" w14:paraId="7180C34F" w14:textId="77777777" w:rsidTr="0032583B">
        <w:trPr>
          <w:trHeight w:val="868"/>
        </w:trPr>
        <w:tc>
          <w:tcPr>
            <w:tcW w:w="9079" w:type="dxa"/>
          </w:tcPr>
          <w:p w14:paraId="6CEA3F06" w14:textId="4E785506" w:rsidR="0032583B" w:rsidRPr="009934FA" w:rsidRDefault="0032583B" w:rsidP="00A964D1">
            <w:pPr>
              <w:pStyle w:val="Title"/>
              <w:rPr>
                <w:color w:val="FFFFFF" w:themeColor="background1"/>
              </w:rPr>
            </w:pPr>
            <w:r w:rsidRPr="009934FA">
              <w:rPr>
                <w:color w:val="FFFFFF" w:themeColor="background1"/>
              </w:rPr>
              <w:t xml:space="preserve">Australian Public Assessment Report for </w:t>
            </w:r>
            <w:r w:rsidR="0047564B">
              <w:rPr>
                <w:color w:val="FFFFFF" w:themeColor="background1"/>
              </w:rPr>
              <w:t>insulin degludec (rys)</w:t>
            </w:r>
          </w:p>
        </w:tc>
      </w:tr>
      <w:tr w:rsidR="0032583B" w:rsidRPr="009934FA" w14:paraId="4E7C437E" w14:textId="77777777" w:rsidTr="0032583B">
        <w:tc>
          <w:tcPr>
            <w:tcW w:w="9079" w:type="dxa"/>
          </w:tcPr>
          <w:p w14:paraId="73D1B0E5" w14:textId="7CB6BD88" w:rsidR="0032583B" w:rsidRPr="009934FA" w:rsidRDefault="0032583B" w:rsidP="0047564B">
            <w:pPr>
              <w:pStyle w:val="Subtitle"/>
              <w:ind w:left="4896" w:hanging="4896"/>
              <w:rPr>
                <w:color w:val="FFFFFF" w:themeColor="background1"/>
              </w:rPr>
            </w:pPr>
            <w:r w:rsidRPr="009934FA">
              <w:rPr>
                <w:color w:val="FFFFFF" w:themeColor="background1"/>
              </w:rPr>
              <w:t xml:space="preserve">Proprietary Product Name: </w:t>
            </w:r>
            <w:proofErr w:type="spellStart"/>
            <w:r w:rsidR="0047564B">
              <w:rPr>
                <w:color w:val="FFFFFF" w:themeColor="background1"/>
              </w:rPr>
              <w:t>Tresiba</w:t>
            </w:r>
            <w:proofErr w:type="spellEnd"/>
            <w:r w:rsidR="0047564B">
              <w:rPr>
                <w:color w:val="FFFFFF" w:themeColor="background1"/>
              </w:rPr>
              <w:t xml:space="preserve"> FlexTouch</w:t>
            </w:r>
            <w:proofErr w:type="gramStart"/>
            <w:r w:rsidR="0047564B">
              <w:rPr>
                <w:color w:val="FFFFFF" w:themeColor="background1"/>
              </w:rPr>
              <w:t>,</w:t>
            </w:r>
            <w:proofErr w:type="gramEnd"/>
            <w:r w:rsidR="0047564B">
              <w:rPr>
                <w:color w:val="FFFFFF" w:themeColor="background1"/>
              </w:rPr>
              <w:br/>
            </w:r>
            <w:proofErr w:type="spellStart"/>
            <w:r w:rsidR="0047564B">
              <w:rPr>
                <w:color w:val="FFFFFF" w:themeColor="background1"/>
              </w:rPr>
              <w:t>Tresiba</w:t>
            </w:r>
            <w:proofErr w:type="spellEnd"/>
            <w:r w:rsidR="0047564B">
              <w:rPr>
                <w:color w:val="FFFFFF" w:themeColor="background1"/>
              </w:rPr>
              <w:t xml:space="preserve"> </w:t>
            </w:r>
            <w:proofErr w:type="spellStart"/>
            <w:r w:rsidR="0047564B">
              <w:rPr>
                <w:color w:val="FFFFFF" w:themeColor="background1"/>
              </w:rPr>
              <w:t>Penfill</w:t>
            </w:r>
            <w:proofErr w:type="spellEnd"/>
          </w:p>
        </w:tc>
      </w:tr>
      <w:tr w:rsidR="0032583B" w:rsidRPr="009934FA" w14:paraId="04BCEAFD" w14:textId="77777777" w:rsidTr="0032583B">
        <w:trPr>
          <w:trHeight w:val="486"/>
        </w:trPr>
        <w:tc>
          <w:tcPr>
            <w:tcW w:w="9079" w:type="dxa"/>
          </w:tcPr>
          <w:p w14:paraId="10360DD2" w14:textId="0E9E1AB9" w:rsidR="0032583B" w:rsidRPr="009934FA" w:rsidRDefault="0047564B" w:rsidP="00CB6C3C">
            <w:pPr>
              <w:pStyle w:val="Subtitle"/>
              <w:ind w:left="0"/>
              <w:rPr>
                <w:color w:val="FFFFFF" w:themeColor="background1"/>
              </w:rPr>
            </w:pPr>
            <w:r>
              <w:rPr>
                <w:color w:val="FFFFFF" w:themeColor="background1"/>
              </w:rPr>
              <w:t>Sponsor: Novo Nordisk Pty Ltd</w:t>
            </w:r>
          </w:p>
        </w:tc>
      </w:tr>
    </w:tbl>
    <w:p w14:paraId="5E8F9A24" w14:textId="77777777" w:rsidR="008E7846" w:rsidRPr="009934FA" w:rsidRDefault="008E7846" w:rsidP="0085156D">
      <w:r w:rsidRPr="009934FA">
        <w:br w:type="page"/>
      </w:r>
    </w:p>
    <w:p w14:paraId="461933B0" w14:textId="77777777" w:rsidR="008E7846" w:rsidRPr="009934FA" w:rsidRDefault="008E7846" w:rsidP="008E7846">
      <w:pPr>
        <w:pStyle w:val="NonTOCHeading2"/>
      </w:pPr>
      <w:r w:rsidRPr="009934FA">
        <w:lastRenderedPageBreak/>
        <w:t>About the Therapeutic Goods Administration (TGA)</w:t>
      </w:r>
    </w:p>
    <w:p w14:paraId="4FE0D442" w14:textId="77777777" w:rsidR="008E7846" w:rsidRPr="009934FA" w:rsidRDefault="008E7846" w:rsidP="008E7846">
      <w:pPr>
        <w:pStyle w:val="ListBullet"/>
        <w:numPr>
          <w:ilvl w:val="0"/>
          <w:numId w:val="3"/>
        </w:numPr>
        <w:ind w:left="357" w:hanging="357"/>
      </w:pPr>
      <w:r w:rsidRPr="009934FA">
        <w:t xml:space="preserve">The Therapeutic Goods Administration (TGA) is </w:t>
      </w:r>
      <w:r w:rsidR="00E624A5" w:rsidRPr="009934FA">
        <w:t xml:space="preserve">part </w:t>
      </w:r>
      <w:r w:rsidRPr="009934FA">
        <w:t>of the Australian Government Department of Health and is responsible for regulating medicines and medical devices.</w:t>
      </w:r>
    </w:p>
    <w:p w14:paraId="7F3BC256" w14:textId="77777777" w:rsidR="008E7846" w:rsidRPr="009934FA" w:rsidRDefault="00C80137" w:rsidP="008E7846">
      <w:pPr>
        <w:pStyle w:val="ListBullet"/>
        <w:numPr>
          <w:ilvl w:val="0"/>
          <w:numId w:val="3"/>
        </w:numPr>
        <w:ind w:left="357" w:hanging="357"/>
      </w:pPr>
      <w:r w:rsidRPr="009934FA">
        <w:t xml:space="preserve">The </w:t>
      </w:r>
      <w:r w:rsidR="008E7846" w:rsidRPr="009934FA">
        <w:t xml:space="preserve">TGA administers the </w:t>
      </w:r>
      <w:r w:rsidR="008E7846" w:rsidRPr="009934FA">
        <w:rPr>
          <w:i/>
        </w:rPr>
        <w:t>Therapeutic Goods Act 1989</w:t>
      </w:r>
      <w:r w:rsidR="00785717" w:rsidRPr="009934FA">
        <w:rPr>
          <w:i/>
        </w:rPr>
        <w:t xml:space="preserve"> </w:t>
      </w:r>
      <w:r w:rsidR="00785717" w:rsidRPr="009934FA">
        <w:t>(the Act)</w:t>
      </w:r>
      <w:r w:rsidR="008E7846" w:rsidRPr="009934FA">
        <w:t>, applying a risk management approach designed to ensure therapeutic goods supplied in Australia meet acceptable standards of quality, safety and efficacy (performance) when necessary.</w:t>
      </w:r>
    </w:p>
    <w:p w14:paraId="329B5FB2" w14:textId="77777777" w:rsidR="008E7846" w:rsidRPr="009934FA" w:rsidRDefault="008E7846" w:rsidP="008E7846">
      <w:pPr>
        <w:pStyle w:val="ListBullet"/>
        <w:numPr>
          <w:ilvl w:val="0"/>
          <w:numId w:val="3"/>
        </w:numPr>
        <w:ind w:left="357" w:hanging="357"/>
      </w:pPr>
      <w:r w:rsidRPr="009934FA">
        <w:t>The work of the TGA is based on applying scientific and clinical expertise to decision-making, to ensure that the benefits to consumers outweigh any risks associated with the use of medicines and medical devices.</w:t>
      </w:r>
    </w:p>
    <w:p w14:paraId="0DB2EC49" w14:textId="77777777" w:rsidR="008E7846" w:rsidRPr="009934FA" w:rsidRDefault="008E7846" w:rsidP="008E7846">
      <w:pPr>
        <w:pStyle w:val="ListBullet"/>
        <w:numPr>
          <w:ilvl w:val="0"/>
          <w:numId w:val="3"/>
        </w:numPr>
        <w:ind w:left="357" w:hanging="357"/>
      </w:pPr>
      <w:r w:rsidRPr="009934FA">
        <w:t>The TGA relies on the public, healthcare professionals and industry to report problems with medicines or medical devices. TGA investigates reports received by it to determine any necessary regulatory action.</w:t>
      </w:r>
    </w:p>
    <w:p w14:paraId="241F5DF9" w14:textId="77777777" w:rsidR="00441C3F" w:rsidRPr="009934FA" w:rsidRDefault="008E7846" w:rsidP="00441C3F">
      <w:pPr>
        <w:pStyle w:val="ListBullet"/>
        <w:numPr>
          <w:ilvl w:val="0"/>
          <w:numId w:val="3"/>
        </w:numPr>
        <w:ind w:left="357" w:hanging="357"/>
      </w:pPr>
      <w:r w:rsidRPr="009934FA">
        <w:t xml:space="preserve">To report a problem with a medicine or medical device, please see the information on </w:t>
      </w:r>
      <w:r w:rsidR="00441C3F" w:rsidRPr="009934FA">
        <w:t>the TGA website &lt;</w:t>
      </w:r>
      <w:hyperlink r:id="rId9" w:history="1">
        <w:r w:rsidR="00441C3F" w:rsidRPr="009934FA">
          <w:rPr>
            <w:rStyle w:val="Hyperlink"/>
          </w:rPr>
          <w:t>https://www.tga.gov.au</w:t>
        </w:r>
      </w:hyperlink>
      <w:r w:rsidR="00441C3F" w:rsidRPr="009934FA">
        <w:t>&gt;.</w:t>
      </w:r>
    </w:p>
    <w:p w14:paraId="6264EECC" w14:textId="77777777" w:rsidR="008E7846" w:rsidRPr="009934FA" w:rsidRDefault="008E7846" w:rsidP="00875A6B">
      <w:pPr>
        <w:pStyle w:val="NonTOCHeading2"/>
      </w:pPr>
      <w:r w:rsidRPr="009934FA">
        <w:t>About AusPARs</w:t>
      </w:r>
    </w:p>
    <w:p w14:paraId="552A040A" w14:textId="77777777" w:rsidR="008E7846" w:rsidRPr="009934FA" w:rsidRDefault="008E7846" w:rsidP="008E7846">
      <w:pPr>
        <w:pStyle w:val="ListBullet"/>
        <w:numPr>
          <w:ilvl w:val="0"/>
          <w:numId w:val="3"/>
        </w:numPr>
        <w:ind w:left="357" w:hanging="357"/>
      </w:pPr>
      <w:r w:rsidRPr="009934FA">
        <w:t>An Australian Public Assessment Re</w:t>
      </w:r>
      <w:r w:rsidR="00133A1B" w:rsidRPr="009934FA">
        <w:t>port</w:t>
      </w:r>
      <w:r w:rsidRPr="009934FA">
        <w:t xml:space="preserve"> (AusPAR) provides information about the evaluation of a prescription medicine and the considerations that led the TGA to approve or not approve a pr</w:t>
      </w:r>
      <w:r w:rsidR="00441C3F" w:rsidRPr="009934FA">
        <w:t>escription medicine submission.</w:t>
      </w:r>
    </w:p>
    <w:p w14:paraId="47E9DE1B" w14:textId="77777777" w:rsidR="008E7846" w:rsidRPr="009934FA" w:rsidRDefault="008E7846" w:rsidP="008E7846">
      <w:pPr>
        <w:pStyle w:val="ListBullet"/>
        <w:numPr>
          <w:ilvl w:val="0"/>
          <w:numId w:val="3"/>
        </w:numPr>
        <w:ind w:left="357" w:hanging="357"/>
      </w:pPr>
      <w:r w:rsidRPr="009934FA">
        <w:t>AusPARs are prepared and published by the TGA.</w:t>
      </w:r>
    </w:p>
    <w:p w14:paraId="71FA8FEA" w14:textId="77777777" w:rsidR="008E7846" w:rsidRPr="009934FA" w:rsidRDefault="008E7846" w:rsidP="008E7846">
      <w:pPr>
        <w:pStyle w:val="ListBullet"/>
        <w:numPr>
          <w:ilvl w:val="0"/>
          <w:numId w:val="3"/>
        </w:numPr>
        <w:ind w:left="357" w:hanging="357"/>
      </w:pPr>
      <w:r w:rsidRPr="009934FA">
        <w:t>An AusPAR is prepared for submissions that relate to new chemical entities, generic medicines, major variations and extensions of indications.</w:t>
      </w:r>
    </w:p>
    <w:p w14:paraId="3470099B" w14:textId="77777777" w:rsidR="008E7846" w:rsidRPr="009934FA" w:rsidRDefault="008E7846" w:rsidP="008E7846">
      <w:pPr>
        <w:pStyle w:val="ListBullet"/>
        <w:numPr>
          <w:ilvl w:val="0"/>
          <w:numId w:val="3"/>
        </w:numPr>
        <w:ind w:left="357" w:hanging="357"/>
      </w:pPr>
      <w:r w:rsidRPr="009934FA">
        <w:t>An AusPAR is a static document</w:t>
      </w:r>
      <w:r w:rsidR="00133A1B" w:rsidRPr="009934FA">
        <w:t>;</w:t>
      </w:r>
      <w:r w:rsidRPr="009934FA">
        <w:t xml:space="preserve"> it provide</w:t>
      </w:r>
      <w:r w:rsidR="00133A1B" w:rsidRPr="009934FA">
        <w:t>s</w:t>
      </w:r>
      <w:r w:rsidRPr="009934FA">
        <w:t xml:space="preserve"> information that relates to a submission at a particular point in time.</w:t>
      </w:r>
    </w:p>
    <w:p w14:paraId="492D540D" w14:textId="77777777" w:rsidR="00B452CE" w:rsidRPr="009934FA" w:rsidRDefault="008E7846" w:rsidP="00FF5755">
      <w:pPr>
        <w:pStyle w:val="ListBullet"/>
        <w:numPr>
          <w:ilvl w:val="0"/>
          <w:numId w:val="3"/>
        </w:numPr>
        <w:ind w:left="357" w:hanging="357"/>
      </w:pPr>
      <w:r w:rsidRPr="009934FA">
        <w:t>A new AusPAR will be developed to reflect changes to indications and/or major variations to a prescription medicine subject to evaluation by the TGA.</w:t>
      </w:r>
    </w:p>
    <w:p w14:paraId="6AFE6145" w14:textId="77777777" w:rsidR="00924482" w:rsidRPr="009934FA" w:rsidRDefault="00924482" w:rsidP="00F54B65">
      <w:pPr>
        <w:pStyle w:val="LegalSubheading"/>
        <w:spacing w:before="3120"/>
      </w:pPr>
      <w:r w:rsidRPr="009934FA">
        <w:t>Copyright</w:t>
      </w:r>
    </w:p>
    <w:p w14:paraId="3BE67925" w14:textId="161D8F8B" w:rsidR="00924482" w:rsidRPr="009934FA" w:rsidRDefault="00924482" w:rsidP="00924482">
      <w:pPr>
        <w:pStyle w:val="LegalCopy"/>
      </w:pPr>
      <w:r w:rsidRPr="009934FA">
        <w:rPr>
          <w:rFonts w:cs="Arial"/>
        </w:rPr>
        <w:t>© Commonwealth of Australia 201</w:t>
      </w:r>
      <w:r w:rsidR="00EA5C2D">
        <w:rPr>
          <w:rFonts w:cs="Arial"/>
        </w:rPr>
        <w:t>8</w:t>
      </w:r>
      <w:r w:rsidRPr="009934FA">
        <w:rPr>
          <w:rFonts w:cs="Arial"/>
        </w:rPr>
        <w:br/>
      </w:r>
      <w:proofErr w:type="gramStart"/>
      <w:r w:rsidRPr="009934FA">
        <w:rPr>
          <w:rFonts w:cs="Arial"/>
        </w:rPr>
        <w:t>This</w:t>
      </w:r>
      <w:proofErr w:type="gramEnd"/>
      <w:r w:rsidRPr="009934FA">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934FA">
        <w:rPr>
          <w:rFonts w:cs="Arial"/>
          <w:i/>
        </w:rPr>
        <w:t>Copyright Act 1968</w:t>
      </w:r>
      <w:r w:rsidRPr="009934FA">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9934FA">
          <w:rPr>
            <w:rStyle w:val="Hyperlink"/>
            <w:rFonts w:cs="Arial"/>
          </w:rPr>
          <w:t>tga.copyright@tga.gov.au</w:t>
        </w:r>
      </w:hyperlink>
      <w:r w:rsidRPr="009934FA">
        <w:rPr>
          <w:rFonts w:cs="Arial"/>
        </w:rPr>
        <w:t>&gt;.</w:t>
      </w:r>
    </w:p>
    <w:p w14:paraId="13C25BA2" w14:textId="77777777" w:rsidR="00924482" w:rsidRPr="009934FA" w:rsidRDefault="00924482" w:rsidP="00924482">
      <w:pPr>
        <w:pStyle w:val="LegalCopy"/>
        <w:sectPr w:rsidR="00924482" w:rsidRPr="009934FA"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2420B81" w14:textId="77777777" w:rsidR="0089635C" w:rsidRPr="009934FA" w:rsidRDefault="0089635C" w:rsidP="0010788A">
          <w:pPr>
            <w:pStyle w:val="Contents"/>
          </w:pPr>
          <w:r w:rsidRPr="009934FA">
            <w:t>Contents</w:t>
          </w:r>
        </w:p>
        <w:p w14:paraId="785D1E6D" w14:textId="77777777" w:rsidR="00AB6E8B" w:rsidRDefault="00DB6124">
          <w:pPr>
            <w:pStyle w:val="TOC2"/>
            <w:rPr>
              <w:rFonts w:asciiTheme="minorHAnsi" w:eastAsiaTheme="minorEastAsia" w:hAnsiTheme="minorHAnsi" w:cstheme="minorBidi"/>
              <w:b w:val="0"/>
              <w:noProof/>
              <w:sz w:val="22"/>
              <w:lang w:eastAsia="en-AU"/>
            </w:rPr>
          </w:pPr>
          <w:r w:rsidRPr="009934FA">
            <w:fldChar w:fldCharType="begin"/>
          </w:r>
          <w:r w:rsidR="0089635C" w:rsidRPr="009934FA">
            <w:instrText xml:space="preserve"> TOC \o "1-3" \h \z \u </w:instrText>
          </w:r>
          <w:r w:rsidRPr="009934FA">
            <w:fldChar w:fldCharType="separate"/>
          </w:r>
          <w:hyperlink w:anchor="_Toc517697084" w:history="1">
            <w:r w:rsidR="00AB6E8B" w:rsidRPr="005E5123">
              <w:rPr>
                <w:rStyle w:val="Hyperlink"/>
                <w:noProof/>
              </w:rPr>
              <w:t>Common abbreviations</w:t>
            </w:r>
            <w:r w:rsidR="00AB6E8B">
              <w:rPr>
                <w:noProof/>
                <w:webHidden/>
              </w:rPr>
              <w:tab/>
            </w:r>
            <w:r w:rsidR="00AB6E8B">
              <w:rPr>
                <w:noProof/>
                <w:webHidden/>
              </w:rPr>
              <w:fldChar w:fldCharType="begin"/>
            </w:r>
            <w:r w:rsidR="00AB6E8B">
              <w:rPr>
                <w:noProof/>
                <w:webHidden/>
              </w:rPr>
              <w:instrText xml:space="preserve"> PAGEREF _Toc517697084 \h </w:instrText>
            </w:r>
            <w:r w:rsidR="00AB6E8B">
              <w:rPr>
                <w:noProof/>
                <w:webHidden/>
              </w:rPr>
            </w:r>
            <w:r w:rsidR="00AB6E8B">
              <w:rPr>
                <w:noProof/>
                <w:webHidden/>
              </w:rPr>
              <w:fldChar w:fldCharType="separate"/>
            </w:r>
            <w:r w:rsidR="00AB6E8B">
              <w:rPr>
                <w:noProof/>
                <w:webHidden/>
              </w:rPr>
              <w:t>5</w:t>
            </w:r>
            <w:r w:rsidR="00AB6E8B">
              <w:rPr>
                <w:noProof/>
                <w:webHidden/>
              </w:rPr>
              <w:fldChar w:fldCharType="end"/>
            </w:r>
          </w:hyperlink>
        </w:p>
        <w:p w14:paraId="27653967" w14:textId="77777777" w:rsidR="00AB6E8B" w:rsidRDefault="00AB6E8B">
          <w:pPr>
            <w:pStyle w:val="TOC2"/>
            <w:rPr>
              <w:rFonts w:asciiTheme="minorHAnsi" w:eastAsiaTheme="minorEastAsia" w:hAnsiTheme="minorHAnsi" w:cstheme="minorBidi"/>
              <w:b w:val="0"/>
              <w:noProof/>
              <w:sz w:val="22"/>
              <w:lang w:eastAsia="en-AU"/>
            </w:rPr>
          </w:pPr>
          <w:hyperlink w:anchor="_Toc517697085" w:history="1">
            <w:r w:rsidRPr="005E5123">
              <w:rPr>
                <w:rStyle w:val="Hyperlink"/>
                <w:noProof/>
              </w:rPr>
              <w:t>I. Introduction to product submission</w:t>
            </w:r>
            <w:r>
              <w:rPr>
                <w:noProof/>
                <w:webHidden/>
              </w:rPr>
              <w:tab/>
            </w:r>
            <w:r>
              <w:rPr>
                <w:noProof/>
                <w:webHidden/>
              </w:rPr>
              <w:fldChar w:fldCharType="begin"/>
            </w:r>
            <w:r>
              <w:rPr>
                <w:noProof/>
                <w:webHidden/>
              </w:rPr>
              <w:instrText xml:space="preserve"> PAGEREF _Toc517697085 \h </w:instrText>
            </w:r>
            <w:r>
              <w:rPr>
                <w:noProof/>
                <w:webHidden/>
              </w:rPr>
            </w:r>
            <w:r>
              <w:rPr>
                <w:noProof/>
                <w:webHidden/>
              </w:rPr>
              <w:fldChar w:fldCharType="separate"/>
            </w:r>
            <w:r>
              <w:rPr>
                <w:noProof/>
                <w:webHidden/>
              </w:rPr>
              <w:t>8</w:t>
            </w:r>
            <w:r>
              <w:rPr>
                <w:noProof/>
                <w:webHidden/>
              </w:rPr>
              <w:fldChar w:fldCharType="end"/>
            </w:r>
          </w:hyperlink>
        </w:p>
        <w:p w14:paraId="7157FD5B" w14:textId="77777777" w:rsidR="00AB6E8B" w:rsidRDefault="00AB6E8B">
          <w:pPr>
            <w:pStyle w:val="TOC3"/>
            <w:rPr>
              <w:rFonts w:asciiTheme="minorHAnsi" w:eastAsiaTheme="minorEastAsia" w:hAnsiTheme="minorHAnsi" w:cstheme="minorBidi"/>
              <w:noProof/>
              <w:lang w:eastAsia="en-AU"/>
            </w:rPr>
          </w:pPr>
          <w:hyperlink w:anchor="_Toc517697086" w:history="1">
            <w:r w:rsidRPr="005E5123">
              <w:rPr>
                <w:rStyle w:val="Hyperlink"/>
                <w:noProof/>
                <w:lang w:eastAsia="en-AU"/>
              </w:rPr>
              <w:t>Submission details</w:t>
            </w:r>
            <w:r>
              <w:rPr>
                <w:noProof/>
                <w:webHidden/>
              </w:rPr>
              <w:tab/>
            </w:r>
            <w:r>
              <w:rPr>
                <w:noProof/>
                <w:webHidden/>
              </w:rPr>
              <w:fldChar w:fldCharType="begin"/>
            </w:r>
            <w:r>
              <w:rPr>
                <w:noProof/>
                <w:webHidden/>
              </w:rPr>
              <w:instrText xml:space="preserve"> PAGEREF _Toc517697086 \h </w:instrText>
            </w:r>
            <w:r>
              <w:rPr>
                <w:noProof/>
                <w:webHidden/>
              </w:rPr>
            </w:r>
            <w:r>
              <w:rPr>
                <w:noProof/>
                <w:webHidden/>
              </w:rPr>
              <w:fldChar w:fldCharType="separate"/>
            </w:r>
            <w:r>
              <w:rPr>
                <w:noProof/>
                <w:webHidden/>
              </w:rPr>
              <w:t>8</w:t>
            </w:r>
            <w:r>
              <w:rPr>
                <w:noProof/>
                <w:webHidden/>
              </w:rPr>
              <w:fldChar w:fldCharType="end"/>
            </w:r>
          </w:hyperlink>
        </w:p>
        <w:p w14:paraId="579F7D33" w14:textId="77777777" w:rsidR="00AB6E8B" w:rsidRDefault="00AB6E8B">
          <w:pPr>
            <w:pStyle w:val="TOC3"/>
            <w:rPr>
              <w:rFonts w:asciiTheme="minorHAnsi" w:eastAsiaTheme="minorEastAsia" w:hAnsiTheme="minorHAnsi" w:cstheme="minorBidi"/>
              <w:noProof/>
              <w:lang w:eastAsia="en-AU"/>
            </w:rPr>
          </w:pPr>
          <w:hyperlink w:anchor="_Toc517697087" w:history="1">
            <w:r w:rsidRPr="005E5123">
              <w:rPr>
                <w:rStyle w:val="Hyperlink"/>
                <w:noProof/>
              </w:rPr>
              <w:t>Product background</w:t>
            </w:r>
            <w:r>
              <w:rPr>
                <w:noProof/>
                <w:webHidden/>
              </w:rPr>
              <w:tab/>
            </w:r>
            <w:r>
              <w:rPr>
                <w:noProof/>
                <w:webHidden/>
              </w:rPr>
              <w:fldChar w:fldCharType="begin"/>
            </w:r>
            <w:r>
              <w:rPr>
                <w:noProof/>
                <w:webHidden/>
              </w:rPr>
              <w:instrText xml:space="preserve"> PAGEREF _Toc517697087 \h </w:instrText>
            </w:r>
            <w:r>
              <w:rPr>
                <w:noProof/>
                <w:webHidden/>
              </w:rPr>
            </w:r>
            <w:r>
              <w:rPr>
                <w:noProof/>
                <w:webHidden/>
              </w:rPr>
              <w:fldChar w:fldCharType="separate"/>
            </w:r>
            <w:r>
              <w:rPr>
                <w:noProof/>
                <w:webHidden/>
              </w:rPr>
              <w:t>8</w:t>
            </w:r>
            <w:r>
              <w:rPr>
                <w:noProof/>
                <w:webHidden/>
              </w:rPr>
              <w:fldChar w:fldCharType="end"/>
            </w:r>
          </w:hyperlink>
        </w:p>
        <w:p w14:paraId="1C92F202" w14:textId="77777777" w:rsidR="00AB6E8B" w:rsidRDefault="00AB6E8B">
          <w:pPr>
            <w:pStyle w:val="TOC3"/>
            <w:rPr>
              <w:rFonts w:asciiTheme="minorHAnsi" w:eastAsiaTheme="minorEastAsia" w:hAnsiTheme="minorHAnsi" w:cstheme="minorBidi"/>
              <w:noProof/>
              <w:lang w:eastAsia="en-AU"/>
            </w:rPr>
          </w:pPr>
          <w:hyperlink w:anchor="_Toc517697088" w:history="1">
            <w:r w:rsidRPr="005E5123">
              <w:rPr>
                <w:rStyle w:val="Hyperlink"/>
                <w:noProof/>
              </w:rPr>
              <w:t>Regulatory status</w:t>
            </w:r>
            <w:r>
              <w:rPr>
                <w:noProof/>
                <w:webHidden/>
              </w:rPr>
              <w:tab/>
            </w:r>
            <w:r>
              <w:rPr>
                <w:noProof/>
                <w:webHidden/>
              </w:rPr>
              <w:fldChar w:fldCharType="begin"/>
            </w:r>
            <w:r>
              <w:rPr>
                <w:noProof/>
                <w:webHidden/>
              </w:rPr>
              <w:instrText xml:space="preserve"> PAGEREF _Toc517697088 \h </w:instrText>
            </w:r>
            <w:r>
              <w:rPr>
                <w:noProof/>
                <w:webHidden/>
              </w:rPr>
            </w:r>
            <w:r>
              <w:rPr>
                <w:noProof/>
                <w:webHidden/>
              </w:rPr>
              <w:fldChar w:fldCharType="separate"/>
            </w:r>
            <w:r>
              <w:rPr>
                <w:noProof/>
                <w:webHidden/>
              </w:rPr>
              <w:t>10</w:t>
            </w:r>
            <w:r>
              <w:rPr>
                <w:noProof/>
                <w:webHidden/>
              </w:rPr>
              <w:fldChar w:fldCharType="end"/>
            </w:r>
          </w:hyperlink>
        </w:p>
        <w:p w14:paraId="4C5B0075" w14:textId="77777777" w:rsidR="00AB6E8B" w:rsidRDefault="00AB6E8B">
          <w:pPr>
            <w:pStyle w:val="TOC3"/>
            <w:rPr>
              <w:rFonts w:asciiTheme="minorHAnsi" w:eastAsiaTheme="minorEastAsia" w:hAnsiTheme="minorHAnsi" w:cstheme="minorBidi"/>
              <w:noProof/>
              <w:lang w:eastAsia="en-AU"/>
            </w:rPr>
          </w:pPr>
          <w:hyperlink w:anchor="_Toc517697089" w:history="1">
            <w:r w:rsidRPr="005E5123">
              <w:rPr>
                <w:rStyle w:val="Hyperlink"/>
                <w:noProof/>
              </w:rPr>
              <w:t>Product Information</w:t>
            </w:r>
            <w:r>
              <w:rPr>
                <w:noProof/>
                <w:webHidden/>
              </w:rPr>
              <w:tab/>
            </w:r>
            <w:r>
              <w:rPr>
                <w:noProof/>
                <w:webHidden/>
              </w:rPr>
              <w:fldChar w:fldCharType="begin"/>
            </w:r>
            <w:r>
              <w:rPr>
                <w:noProof/>
                <w:webHidden/>
              </w:rPr>
              <w:instrText xml:space="preserve"> PAGEREF _Toc517697089 \h </w:instrText>
            </w:r>
            <w:r>
              <w:rPr>
                <w:noProof/>
                <w:webHidden/>
              </w:rPr>
            </w:r>
            <w:r>
              <w:rPr>
                <w:noProof/>
                <w:webHidden/>
              </w:rPr>
              <w:fldChar w:fldCharType="separate"/>
            </w:r>
            <w:r>
              <w:rPr>
                <w:noProof/>
                <w:webHidden/>
              </w:rPr>
              <w:t>12</w:t>
            </w:r>
            <w:r>
              <w:rPr>
                <w:noProof/>
                <w:webHidden/>
              </w:rPr>
              <w:fldChar w:fldCharType="end"/>
            </w:r>
          </w:hyperlink>
        </w:p>
        <w:p w14:paraId="5A2D5827" w14:textId="77777777" w:rsidR="00AB6E8B" w:rsidRDefault="00AB6E8B">
          <w:pPr>
            <w:pStyle w:val="TOC2"/>
            <w:rPr>
              <w:rFonts w:asciiTheme="minorHAnsi" w:eastAsiaTheme="minorEastAsia" w:hAnsiTheme="minorHAnsi" w:cstheme="minorBidi"/>
              <w:b w:val="0"/>
              <w:noProof/>
              <w:sz w:val="22"/>
              <w:lang w:eastAsia="en-AU"/>
            </w:rPr>
          </w:pPr>
          <w:hyperlink w:anchor="_Toc517697090" w:history="1">
            <w:r w:rsidRPr="005E5123">
              <w:rPr>
                <w:rStyle w:val="Hyperlink"/>
                <w:noProof/>
              </w:rPr>
              <w:t>II. Registration timeline</w:t>
            </w:r>
            <w:r>
              <w:rPr>
                <w:noProof/>
                <w:webHidden/>
              </w:rPr>
              <w:tab/>
            </w:r>
            <w:r>
              <w:rPr>
                <w:noProof/>
                <w:webHidden/>
              </w:rPr>
              <w:fldChar w:fldCharType="begin"/>
            </w:r>
            <w:r>
              <w:rPr>
                <w:noProof/>
                <w:webHidden/>
              </w:rPr>
              <w:instrText xml:space="preserve"> PAGEREF _Toc517697090 \h </w:instrText>
            </w:r>
            <w:r>
              <w:rPr>
                <w:noProof/>
                <w:webHidden/>
              </w:rPr>
            </w:r>
            <w:r>
              <w:rPr>
                <w:noProof/>
                <w:webHidden/>
              </w:rPr>
              <w:fldChar w:fldCharType="separate"/>
            </w:r>
            <w:r>
              <w:rPr>
                <w:noProof/>
                <w:webHidden/>
              </w:rPr>
              <w:t>12</w:t>
            </w:r>
            <w:r>
              <w:rPr>
                <w:noProof/>
                <w:webHidden/>
              </w:rPr>
              <w:fldChar w:fldCharType="end"/>
            </w:r>
          </w:hyperlink>
        </w:p>
        <w:p w14:paraId="189BAD3B" w14:textId="77777777" w:rsidR="00AB6E8B" w:rsidRDefault="00AB6E8B">
          <w:pPr>
            <w:pStyle w:val="TOC2"/>
            <w:rPr>
              <w:rFonts w:asciiTheme="minorHAnsi" w:eastAsiaTheme="minorEastAsia" w:hAnsiTheme="minorHAnsi" w:cstheme="minorBidi"/>
              <w:b w:val="0"/>
              <w:noProof/>
              <w:sz w:val="22"/>
              <w:lang w:eastAsia="en-AU"/>
            </w:rPr>
          </w:pPr>
          <w:hyperlink w:anchor="_Toc517697091" w:history="1">
            <w:r w:rsidRPr="005E5123">
              <w:rPr>
                <w:rStyle w:val="Hyperlink"/>
                <w:noProof/>
              </w:rPr>
              <w:t>III. Quality findings</w:t>
            </w:r>
            <w:r>
              <w:rPr>
                <w:noProof/>
                <w:webHidden/>
              </w:rPr>
              <w:tab/>
            </w:r>
            <w:r>
              <w:rPr>
                <w:noProof/>
                <w:webHidden/>
              </w:rPr>
              <w:fldChar w:fldCharType="begin"/>
            </w:r>
            <w:r>
              <w:rPr>
                <w:noProof/>
                <w:webHidden/>
              </w:rPr>
              <w:instrText xml:space="preserve"> PAGEREF _Toc517697091 \h </w:instrText>
            </w:r>
            <w:r>
              <w:rPr>
                <w:noProof/>
                <w:webHidden/>
              </w:rPr>
            </w:r>
            <w:r>
              <w:rPr>
                <w:noProof/>
                <w:webHidden/>
              </w:rPr>
              <w:fldChar w:fldCharType="separate"/>
            </w:r>
            <w:r>
              <w:rPr>
                <w:noProof/>
                <w:webHidden/>
              </w:rPr>
              <w:t>13</w:t>
            </w:r>
            <w:r>
              <w:rPr>
                <w:noProof/>
                <w:webHidden/>
              </w:rPr>
              <w:fldChar w:fldCharType="end"/>
            </w:r>
          </w:hyperlink>
        </w:p>
        <w:p w14:paraId="27517AD7" w14:textId="77777777" w:rsidR="00AB6E8B" w:rsidRDefault="00AB6E8B">
          <w:pPr>
            <w:pStyle w:val="TOC3"/>
            <w:rPr>
              <w:rFonts w:asciiTheme="minorHAnsi" w:eastAsiaTheme="minorEastAsia" w:hAnsiTheme="minorHAnsi" w:cstheme="minorBidi"/>
              <w:noProof/>
              <w:lang w:eastAsia="en-AU"/>
            </w:rPr>
          </w:pPr>
          <w:hyperlink w:anchor="_Toc517697092" w:history="1">
            <w:r w:rsidRPr="005E5123">
              <w:rPr>
                <w:rStyle w:val="Hyperlink"/>
                <w:noProof/>
              </w:rPr>
              <w:t>Drug substance (active ingredient)</w:t>
            </w:r>
            <w:r>
              <w:rPr>
                <w:noProof/>
                <w:webHidden/>
              </w:rPr>
              <w:tab/>
            </w:r>
            <w:r>
              <w:rPr>
                <w:noProof/>
                <w:webHidden/>
              </w:rPr>
              <w:fldChar w:fldCharType="begin"/>
            </w:r>
            <w:r>
              <w:rPr>
                <w:noProof/>
                <w:webHidden/>
              </w:rPr>
              <w:instrText xml:space="preserve"> PAGEREF _Toc517697092 \h </w:instrText>
            </w:r>
            <w:r>
              <w:rPr>
                <w:noProof/>
                <w:webHidden/>
              </w:rPr>
            </w:r>
            <w:r>
              <w:rPr>
                <w:noProof/>
                <w:webHidden/>
              </w:rPr>
              <w:fldChar w:fldCharType="separate"/>
            </w:r>
            <w:r>
              <w:rPr>
                <w:noProof/>
                <w:webHidden/>
              </w:rPr>
              <w:t>13</w:t>
            </w:r>
            <w:r>
              <w:rPr>
                <w:noProof/>
                <w:webHidden/>
              </w:rPr>
              <w:fldChar w:fldCharType="end"/>
            </w:r>
          </w:hyperlink>
        </w:p>
        <w:p w14:paraId="7BE24BBD" w14:textId="77777777" w:rsidR="00AB6E8B" w:rsidRDefault="00AB6E8B">
          <w:pPr>
            <w:pStyle w:val="TOC3"/>
            <w:rPr>
              <w:rFonts w:asciiTheme="minorHAnsi" w:eastAsiaTheme="minorEastAsia" w:hAnsiTheme="minorHAnsi" w:cstheme="minorBidi"/>
              <w:noProof/>
              <w:lang w:eastAsia="en-AU"/>
            </w:rPr>
          </w:pPr>
          <w:hyperlink w:anchor="_Toc517697093" w:history="1">
            <w:r w:rsidRPr="005E5123">
              <w:rPr>
                <w:rStyle w:val="Hyperlink"/>
                <w:noProof/>
              </w:rPr>
              <w:t>Drug product</w:t>
            </w:r>
            <w:r>
              <w:rPr>
                <w:noProof/>
                <w:webHidden/>
              </w:rPr>
              <w:tab/>
            </w:r>
            <w:r>
              <w:rPr>
                <w:noProof/>
                <w:webHidden/>
              </w:rPr>
              <w:fldChar w:fldCharType="begin"/>
            </w:r>
            <w:r>
              <w:rPr>
                <w:noProof/>
                <w:webHidden/>
              </w:rPr>
              <w:instrText xml:space="preserve"> PAGEREF _Toc517697093 \h </w:instrText>
            </w:r>
            <w:r>
              <w:rPr>
                <w:noProof/>
                <w:webHidden/>
              </w:rPr>
            </w:r>
            <w:r>
              <w:rPr>
                <w:noProof/>
                <w:webHidden/>
              </w:rPr>
              <w:fldChar w:fldCharType="separate"/>
            </w:r>
            <w:r>
              <w:rPr>
                <w:noProof/>
                <w:webHidden/>
              </w:rPr>
              <w:t>13</w:t>
            </w:r>
            <w:r>
              <w:rPr>
                <w:noProof/>
                <w:webHidden/>
              </w:rPr>
              <w:fldChar w:fldCharType="end"/>
            </w:r>
          </w:hyperlink>
        </w:p>
        <w:p w14:paraId="3380965C" w14:textId="77777777" w:rsidR="00AB6E8B" w:rsidRDefault="00AB6E8B">
          <w:pPr>
            <w:pStyle w:val="TOC3"/>
            <w:rPr>
              <w:rFonts w:asciiTheme="minorHAnsi" w:eastAsiaTheme="minorEastAsia" w:hAnsiTheme="minorHAnsi" w:cstheme="minorBidi"/>
              <w:noProof/>
              <w:lang w:eastAsia="en-AU"/>
            </w:rPr>
          </w:pPr>
          <w:hyperlink w:anchor="_Toc517697094" w:history="1">
            <w:r w:rsidRPr="005E5123">
              <w:rPr>
                <w:rStyle w:val="Hyperlink"/>
                <w:noProof/>
              </w:rPr>
              <w:t>Biopharmaceutics</w:t>
            </w:r>
            <w:r>
              <w:rPr>
                <w:noProof/>
                <w:webHidden/>
              </w:rPr>
              <w:tab/>
            </w:r>
            <w:r>
              <w:rPr>
                <w:noProof/>
                <w:webHidden/>
              </w:rPr>
              <w:fldChar w:fldCharType="begin"/>
            </w:r>
            <w:r>
              <w:rPr>
                <w:noProof/>
                <w:webHidden/>
              </w:rPr>
              <w:instrText xml:space="preserve"> PAGEREF _Toc517697094 \h </w:instrText>
            </w:r>
            <w:r>
              <w:rPr>
                <w:noProof/>
                <w:webHidden/>
              </w:rPr>
            </w:r>
            <w:r>
              <w:rPr>
                <w:noProof/>
                <w:webHidden/>
              </w:rPr>
              <w:fldChar w:fldCharType="separate"/>
            </w:r>
            <w:r>
              <w:rPr>
                <w:noProof/>
                <w:webHidden/>
              </w:rPr>
              <w:t>14</w:t>
            </w:r>
            <w:r>
              <w:rPr>
                <w:noProof/>
                <w:webHidden/>
              </w:rPr>
              <w:fldChar w:fldCharType="end"/>
            </w:r>
          </w:hyperlink>
        </w:p>
        <w:p w14:paraId="67151545" w14:textId="77777777" w:rsidR="00AB6E8B" w:rsidRDefault="00AB6E8B">
          <w:pPr>
            <w:pStyle w:val="TOC3"/>
            <w:rPr>
              <w:rFonts w:asciiTheme="minorHAnsi" w:eastAsiaTheme="minorEastAsia" w:hAnsiTheme="minorHAnsi" w:cstheme="minorBidi"/>
              <w:noProof/>
              <w:lang w:eastAsia="en-AU"/>
            </w:rPr>
          </w:pPr>
          <w:hyperlink w:anchor="_Toc517697095" w:history="1">
            <w:r w:rsidRPr="005E5123">
              <w:rPr>
                <w:rStyle w:val="Hyperlink"/>
                <w:noProof/>
              </w:rPr>
              <w:t>Quality summary and conclusions</w:t>
            </w:r>
            <w:r>
              <w:rPr>
                <w:noProof/>
                <w:webHidden/>
              </w:rPr>
              <w:tab/>
            </w:r>
            <w:r>
              <w:rPr>
                <w:noProof/>
                <w:webHidden/>
              </w:rPr>
              <w:fldChar w:fldCharType="begin"/>
            </w:r>
            <w:r>
              <w:rPr>
                <w:noProof/>
                <w:webHidden/>
              </w:rPr>
              <w:instrText xml:space="preserve"> PAGEREF _Toc517697095 \h </w:instrText>
            </w:r>
            <w:r>
              <w:rPr>
                <w:noProof/>
                <w:webHidden/>
              </w:rPr>
            </w:r>
            <w:r>
              <w:rPr>
                <w:noProof/>
                <w:webHidden/>
              </w:rPr>
              <w:fldChar w:fldCharType="separate"/>
            </w:r>
            <w:r>
              <w:rPr>
                <w:noProof/>
                <w:webHidden/>
              </w:rPr>
              <w:t>15</w:t>
            </w:r>
            <w:r>
              <w:rPr>
                <w:noProof/>
                <w:webHidden/>
              </w:rPr>
              <w:fldChar w:fldCharType="end"/>
            </w:r>
          </w:hyperlink>
        </w:p>
        <w:p w14:paraId="2EDDEDB5" w14:textId="77777777" w:rsidR="00AB6E8B" w:rsidRDefault="00AB6E8B">
          <w:pPr>
            <w:pStyle w:val="TOC2"/>
            <w:rPr>
              <w:rFonts w:asciiTheme="minorHAnsi" w:eastAsiaTheme="minorEastAsia" w:hAnsiTheme="minorHAnsi" w:cstheme="minorBidi"/>
              <w:b w:val="0"/>
              <w:noProof/>
              <w:sz w:val="22"/>
              <w:lang w:eastAsia="en-AU"/>
            </w:rPr>
          </w:pPr>
          <w:hyperlink w:anchor="_Toc517697096" w:history="1">
            <w:r w:rsidRPr="005E5123">
              <w:rPr>
                <w:rStyle w:val="Hyperlink"/>
                <w:noProof/>
              </w:rPr>
              <w:t>III. Nonclinical findings</w:t>
            </w:r>
            <w:r>
              <w:rPr>
                <w:noProof/>
                <w:webHidden/>
              </w:rPr>
              <w:tab/>
            </w:r>
            <w:r>
              <w:rPr>
                <w:noProof/>
                <w:webHidden/>
              </w:rPr>
              <w:fldChar w:fldCharType="begin"/>
            </w:r>
            <w:r>
              <w:rPr>
                <w:noProof/>
                <w:webHidden/>
              </w:rPr>
              <w:instrText xml:space="preserve"> PAGEREF _Toc517697096 \h </w:instrText>
            </w:r>
            <w:r>
              <w:rPr>
                <w:noProof/>
                <w:webHidden/>
              </w:rPr>
            </w:r>
            <w:r>
              <w:rPr>
                <w:noProof/>
                <w:webHidden/>
              </w:rPr>
              <w:fldChar w:fldCharType="separate"/>
            </w:r>
            <w:r>
              <w:rPr>
                <w:noProof/>
                <w:webHidden/>
              </w:rPr>
              <w:t>15</w:t>
            </w:r>
            <w:r>
              <w:rPr>
                <w:noProof/>
                <w:webHidden/>
              </w:rPr>
              <w:fldChar w:fldCharType="end"/>
            </w:r>
          </w:hyperlink>
        </w:p>
        <w:p w14:paraId="12F4F2FA" w14:textId="77777777" w:rsidR="00AB6E8B" w:rsidRDefault="00AB6E8B">
          <w:pPr>
            <w:pStyle w:val="TOC3"/>
            <w:rPr>
              <w:rFonts w:asciiTheme="minorHAnsi" w:eastAsiaTheme="minorEastAsia" w:hAnsiTheme="minorHAnsi" w:cstheme="minorBidi"/>
              <w:noProof/>
              <w:lang w:eastAsia="en-AU"/>
            </w:rPr>
          </w:pPr>
          <w:hyperlink w:anchor="_Toc517697097" w:history="1">
            <w:r w:rsidRPr="005E5123">
              <w:rPr>
                <w:rStyle w:val="Hyperlink"/>
                <w:noProof/>
              </w:rPr>
              <w:t>Pharmacology</w:t>
            </w:r>
            <w:r>
              <w:rPr>
                <w:noProof/>
                <w:webHidden/>
              </w:rPr>
              <w:tab/>
            </w:r>
            <w:r>
              <w:rPr>
                <w:noProof/>
                <w:webHidden/>
              </w:rPr>
              <w:fldChar w:fldCharType="begin"/>
            </w:r>
            <w:r>
              <w:rPr>
                <w:noProof/>
                <w:webHidden/>
              </w:rPr>
              <w:instrText xml:space="preserve"> PAGEREF _Toc517697097 \h </w:instrText>
            </w:r>
            <w:r>
              <w:rPr>
                <w:noProof/>
                <w:webHidden/>
              </w:rPr>
            </w:r>
            <w:r>
              <w:rPr>
                <w:noProof/>
                <w:webHidden/>
              </w:rPr>
              <w:fldChar w:fldCharType="separate"/>
            </w:r>
            <w:r>
              <w:rPr>
                <w:noProof/>
                <w:webHidden/>
              </w:rPr>
              <w:t>15</w:t>
            </w:r>
            <w:r>
              <w:rPr>
                <w:noProof/>
                <w:webHidden/>
              </w:rPr>
              <w:fldChar w:fldCharType="end"/>
            </w:r>
          </w:hyperlink>
        </w:p>
        <w:p w14:paraId="5A1A1977" w14:textId="77777777" w:rsidR="00AB6E8B" w:rsidRDefault="00AB6E8B">
          <w:pPr>
            <w:pStyle w:val="TOC3"/>
            <w:rPr>
              <w:rFonts w:asciiTheme="minorHAnsi" w:eastAsiaTheme="minorEastAsia" w:hAnsiTheme="minorHAnsi" w:cstheme="minorBidi"/>
              <w:noProof/>
              <w:lang w:eastAsia="en-AU"/>
            </w:rPr>
          </w:pPr>
          <w:hyperlink w:anchor="_Toc517697098" w:history="1">
            <w:r w:rsidRPr="005E5123">
              <w:rPr>
                <w:rStyle w:val="Hyperlink"/>
                <w:noProof/>
              </w:rPr>
              <w:t>Pharmacokinetics</w:t>
            </w:r>
            <w:r>
              <w:rPr>
                <w:noProof/>
                <w:webHidden/>
              </w:rPr>
              <w:tab/>
            </w:r>
            <w:r>
              <w:rPr>
                <w:noProof/>
                <w:webHidden/>
              </w:rPr>
              <w:fldChar w:fldCharType="begin"/>
            </w:r>
            <w:r>
              <w:rPr>
                <w:noProof/>
                <w:webHidden/>
              </w:rPr>
              <w:instrText xml:space="preserve"> PAGEREF _Toc517697098 \h </w:instrText>
            </w:r>
            <w:r>
              <w:rPr>
                <w:noProof/>
                <w:webHidden/>
              </w:rPr>
            </w:r>
            <w:r>
              <w:rPr>
                <w:noProof/>
                <w:webHidden/>
              </w:rPr>
              <w:fldChar w:fldCharType="separate"/>
            </w:r>
            <w:r>
              <w:rPr>
                <w:noProof/>
                <w:webHidden/>
              </w:rPr>
              <w:t>17</w:t>
            </w:r>
            <w:r>
              <w:rPr>
                <w:noProof/>
                <w:webHidden/>
              </w:rPr>
              <w:fldChar w:fldCharType="end"/>
            </w:r>
          </w:hyperlink>
        </w:p>
        <w:p w14:paraId="364FD05C" w14:textId="77777777" w:rsidR="00AB6E8B" w:rsidRDefault="00AB6E8B">
          <w:pPr>
            <w:pStyle w:val="TOC3"/>
            <w:rPr>
              <w:rFonts w:asciiTheme="minorHAnsi" w:eastAsiaTheme="minorEastAsia" w:hAnsiTheme="minorHAnsi" w:cstheme="minorBidi"/>
              <w:noProof/>
              <w:lang w:eastAsia="en-AU"/>
            </w:rPr>
          </w:pPr>
          <w:hyperlink w:anchor="_Toc517697099" w:history="1">
            <w:r w:rsidRPr="005E5123">
              <w:rPr>
                <w:rStyle w:val="Hyperlink"/>
                <w:noProof/>
              </w:rPr>
              <w:t>Toxicology</w:t>
            </w:r>
            <w:r>
              <w:rPr>
                <w:noProof/>
                <w:webHidden/>
              </w:rPr>
              <w:tab/>
            </w:r>
            <w:r>
              <w:rPr>
                <w:noProof/>
                <w:webHidden/>
              </w:rPr>
              <w:fldChar w:fldCharType="begin"/>
            </w:r>
            <w:r>
              <w:rPr>
                <w:noProof/>
                <w:webHidden/>
              </w:rPr>
              <w:instrText xml:space="preserve"> PAGEREF _Toc517697099 \h </w:instrText>
            </w:r>
            <w:r>
              <w:rPr>
                <w:noProof/>
                <w:webHidden/>
              </w:rPr>
            </w:r>
            <w:r>
              <w:rPr>
                <w:noProof/>
                <w:webHidden/>
              </w:rPr>
              <w:fldChar w:fldCharType="separate"/>
            </w:r>
            <w:r>
              <w:rPr>
                <w:noProof/>
                <w:webHidden/>
              </w:rPr>
              <w:t>18</w:t>
            </w:r>
            <w:r>
              <w:rPr>
                <w:noProof/>
                <w:webHidden/>
              </w:rPr>
              <w:fldChar w:fldCharType="end"/>
            </w:r>
          </w:hyperlink>
        </w:p>
        <w:p w14:paraId="2EF92301" w14:textId="77777777" w:rsidR="00AB6E8B" w:rsidRDefault="00AB6E8B">
          <w:pPr>
            <w:pStyle w:val="TOC3"/>
            <w:rPr>
              <w:rFonts w:asciiTheme="minorHAnsi" w:eastAsiaTheme="minorEastAsia" w:hAnsiTheme="minorHAnsi" w:cstheme="minorBidi"/>
              <w:noProof/>
              <w:lang w:eastAsia="en-AU"/>
            </w:rPr>
          </w:pPr>
          <w:hyperlink w:anchor="_Toc517697100" w:history="1">
            <w:r w:rsidRPr="005E5123">
              <w:rPr>
                <w:rStyle w:val="Hyperlink"/>
                <w:noProof/>
              </w:rPr>
              <w:t>Nonclinical summary</w:t>
            </w:r>
            <w:r>
              <w:rPr>
                <w:noProof/>
                <w:webHidden/>
              </w:rPr>
              <w:tab/>
            </w:r>
            <w:r>
              <w:rPr>
                <w:noProof/>
                <w:webHidden/>
              </w:rPr>
              <w:fldChar w:fldCharType="begin"/>
            </w:r>
            <w:r>
              <w:rPr>
                <w:noProof/>
                <w:webHidden/>
              </w:rPr>
              <w:instrText xml:space="preserve"> PAGEREF _Toc517697100 \h </w:instrText>
            </w:r>
            <w:r>
              <w:rPr>
                <w:noProof/>
                <w:webHidden/>
              </w:rPr>
            </w:r>
            <w:r>
              <w:rPr>
                <w:noProof/>
                <w:webHidden/>
              </w:rPr>
              <w:fldChar w:fldCharType="separate"/>
            </w:r>
            <w:r>
              <w:rPr>
                <w:noProof/>
                <w:webHidden/>
              </w:rPr>
              <w:t>22</w:t>
            </w:r>
            <w:r>
              <w:rPr>
                <w:noProof/>
                <w:webHidden/>
              </w:rPr>
              <w:fldChar w:fldCharType="end"/>
            </w:r>
          </w:hyperlink>
        </w:p>
        <w:p w14:paraId="26C09F14" w14:textId="77777777" w:rsidR="00AB6E8B" w:rsidRDefault="00AB6E8B">
          <w:pPr>
            <w:pStyle w:val="TOC3"/>
            <w:rPr>
              <w:rFonts w:asciiTheme="minorHAnsi" w:eastAsiaTheme="minorEastAsia" w:hAnsiTheme="minorHAnsi" w:cstheme="minorBidi"/>
              <w:noProof/>
              <w:lang w:eastAsia="en-AU"/>
            </w:rPr>
          </w:pPr>
          <w:hyperlink w:anchor="_Toc517697101" w:history="1">
            <w:r w:rsidRPr="005E5123">
              <w:rPr>
                <w:rStyle w:val="Hyperlink"/>
                <w:noProof/>
              </w:rPr>
              <w:t>Nonclinical conclusions and recommendation</w:t>
            </w:r>
            <w:r>
              <w:rPr>
                <w:noProof/>
                <w:webHidden/>
              </w:rPr>
              <w:tab/>
            </w:r>
            <w:r>
              <w:rPr>
                <w:noProof/>
                <w:webHidden/>
              </w:rPr>
              <w:fldChar w:fldCharType="begin"/>
            </w:r>
            <w:r>
              <w:rPr>
                <w:noProof/>
                <w:webHidden/>
              </w:rPr>
              <w:instrText xml:space="preserve"> PAGEREF _Toc517697101 \h </w:instrText>
            </w:r>
            <w:r>
              <w:rPr>
                <w:noProof/>
                <w:webHidden/>
              </w:rPr>
            </w:r>
            <w:r>
              <w:rPr>
                <w:noProof/>
                <w:webHidden/>
              </w:rPr>
              <w:fldChar w:fldCharType="separate"/>
            </w:r>
            <w:r>
              <w:rPr>
                <w:noProof/>
                <w:webHidden/>
              </w:rPr>
              <w:t>23</w:t>
            </w:r>
            <w:r>
              <w:rPr>
                <w:noProof/>
                <w:webHidden/>
              </w:rPr>
              <w:fldChar w:fldCharType="end"/>
            </w:r>
          </w:hyperlink>
        </w:p>
        <w:p w14:paraId="46A38135" w14:textId="77777777" w:rsidR="00AB6E8B" w:rsidRDefault="00AB6E8B">
          <w:pPr>
            <w:pStyle w:val="TOC2"/>
            <w:rPr>
              <w:rFonts w:asciiTheme="minorHAnsi" w:eastAsiaTheme="minorEastAsia" w:hAnsiTheme="minorHAnsi" w:cstheme="minorBidi"/>
              <w:b w:val="0"/>
              <w:noProof/>
              <w:sz w:val="22"/>
              <w:lang w:eastAsia="en-AU"/>
            </w:rPr>
          </w:pPr>
          <w:hyperlink w:anchor="_Toc517697102" w:history="1">
            <w:r w:rsidRPr="005E5123">
              <w:rPr>
                <w:rStyle w:val="Hyperlink"/>
                <w:noProof/>
              </w:rPr>
              <w:t>IV. Clinical findings</w:t>
            </w:r>
            <w:r>
              <w:rPr>
                <w:noProof/>
                <w:webHidden/>
              </w:rPr>
              <w:tab/>
            </w:r>
            <w:r>
              <w:rPr>
                <w:noProof/>
                <w:webHidden/>
              </w:rPr>
              <w:fldChar w:fldCharType="begin"/>
            </w:r>
            <w:r>
              <w:rPr>
                <w:noProof/>
                <w:webHidden/>
              </w:rPr>
              <w:instrText xml:space="preserve"> PAGEREF _Toc517697102 \h </w:instrText>
            </w:r>
            <w:r>
              <w:rPr>
                <w:noProof/>
                <w:webHidden/>
              </w:rPr>
            </w:r>
            <w:r>
              <w:rPr>
                <w:noProof/>
                <w:webHidden/>
              </w:rPr>
              <w:fldChar w:fldCharType="separate"/>
            </w:r>
            <w:r>
              <w:rPr>
                <w:noProof/>
                <w:webHidden/>
              </w:rPr>
              <w:t>23</w:t>
            </w:r>
            <w:r>
              <w:rPr>
                <w:noProof/>
                <w:webHidden/>
              </w:rPr>
              <w:fldChar w:fldCharType="end"/>
            </w:r>
          </w:hyperlink>
        </w:p>
        <w:p w14:paraId="09A097E9" w14:textId="77777777" w:rsidR="00AB6E8B" w:rsidRDefault="00AB6E8B">
          <w:pPr>
            <w:pStyle w:val="TOC3"/>
            <w:rPr>
              <w:rFonts w:asciiTheme="minorHAnsi" w:eastAsiaTheme="minorEastAsia" w:hAnsiTheme="minorHAnsi" w:cstheme="minorBidi"/>
              <w:noProof/>
              <w:lang w:eastAsia="en-AU"/>
            </w:rPr>
          </w:pPr>
          <w:hyperlink w:anchor="_Toc517697103" w:history="1">
            <w:r w:rsidRPr="005E5123">
              <w:rPr>
                <w:rStyle w:val="Hyperlink"/>
                <w:noProof/>
              </w:rPr>
              <w:t>Introduction</w:t>
            </w:r>
            <w:r>
              <w:rPr>
                <w:noProof/>
                <w:webHidden/>
              </w:rPr>
              <w:tab/>
            </w:r>
            <w:r>
              <w:rPr>
                <w:noProof/>
                <w:webHidden/>
              </w:rPr>
              <w:fldChar w:fldCharType="begin"/>
            </w:r>
            <w:r>
              <w:rPr>
                <w:noProof/>
                <w:webHidden/>
              </w:rPr>
              <w:instrText xml:space="preserve"> PAGEREF _Toc517697103 \h </w:instrText>
            </w:r>
            <w:r>
              <w:rPr>
                <w:noProof/>
                <w:webHidden/>
              </w:rPr>
            </w:r>
            <w:r>
              <w:rPr>
                <w:noProof/>
                <w:webHidden/>
              </w:rPr>
              <w:fldChar w:fldCharType="separate"/>
            </w:r>
            <w:r>
              <w:rPr>
                <w:noProof/>
                <w:webHidden/>
              </w:rPr>
              <w:t>23</w:t>
            </w:r>
            <w:r>
              <w:rPr>
                <w:noProof/>
                <w:webHidden/>
              </w:rPr>
              <w:fldChar w:fldCharType="end"/>
            </w:r>
          </w:hyperlink>
        </w:p>
        <w:p w14:paraId="70F08E53" w14:textId="77777777" w:rsidR="00AB6E8B" w:rsidRDefault="00AB6E8B">
          <w:pPr>
            <w:pStyle w:val="TOC3"/>
            <w:rPr>
              <w:rFonts w:asciiTheme="minorHAnsi" w:eastAsiaTheme="minorEastAsia" w:hAnsiTheme="minorHAnsi" w:cstheme="minorBidi"/>
              <w:noProof/>
              <w:lang w:eastAsia="en-AU"/>
            </w:rPr>
          </w:pPr>
          <w:hyperlink w:anchor="_Toc517697104" w:history="1">
            <w:r w:rsidRPr="005E5123">
              <w:rPr>
                <w:rStyle w:val="Hyperlink"/>
                <w:noProof/>
              </w:rPr>
              <w:t>Pharmacokinetics</w:t>
            </w:r>
            <w:r>
              <w:rPr>
                <w:noProof/>
                <w:webHidden/>
              </w:rPr>
              <w:tab/>
            </w:r>
            <w:r>
              <w:rPr>
                <w:noProof/>
                <w:webHidden/>
              </w:rPr>
              <w:fldChar w:fldCharType="begin"/>
            </w:r>
            <w:r>
              <w:rPr>
                <w:noProof/>
                <w:webHidden/>
              </w:rPr>
              <w:instrText xml:space="preserve"> PAGEREF _Toc517697104 \h </w:instrText>
            </w:r>
            <w:r>
              <w:rPr>
                <w:noProof/>
                <w:webHidden/>
              </w:rPr>
            </w:r>
            <w:r>
              <w:rPr>
                <w:noProof/>
                <w:webHidden/>
              </w:rPr>
              <w:fldChar w:fldCharType="separate"/>
            </w:r>
            <w:r>
              <w:rPr>
                <w:noProof/>
                <w:webHidden/>
              </w:rPr>
              <w:t>24</w:t>
            </w:r>
            <w:r>
              <w:rPr>
                <w:noProof/>
                <w:webHidden/>
              </w:rPr>
              <w:fldChar w:fldCharType="end"/>
            </w:r>
          </w:hyperlink>
        </w:p>
        <w:p w14:paraId="5790E755" w14:textId="77777777" w:rsidR="00AB6E8B" w:rsidRDefault="00AB6E8B">
          <w:pPr>
            <w:pStyle w:val="TOC3"/>
            <w:rPr>
              <w:rFonts w:asciiTheme="minorHAnsi" w:eastAsiaTheme="minorEastAsia" w:hAnsiTheme="minorHAnsi" w:cstheme="minorBidi"/>
              <w:noProof/>
              <w:lang w:eastAsia="en-AU"/>
            </w:rPr>
          </w:pPr>
          <w:hyperlink w:anchor="_Toc517697105" w:history="1">
            <w:r w:rsidRPr="005E5123">
              <w:rPr>
                <w:rStyle w:val="Hyperlink"/>
                <w:noProof/>
              </w:rPr>
              <w:t>Pharmacodynamics</w:t>
            </w:r>
            <w:r>
              <w:rPr>
                <w:noProof/>
                <w:webHidden/>
              </w:rPr>
              <w:tab/>
            </w:r>
            <w:r>
              <w:rPr>
                <w:noProof/>
                <w:webHidden/>
              </w:rPr>
              <w:fldChar w:fldCharType="begin"/>
            </w:r>
            <w:r>
              <w:rPr>
                <w:noProof/>
                <w:webHidden/>
              </w:rPr>
              <w:instrText xml:space="preserve"> PAGEREF _Toc517697105 \h </w:instrText>
            </w:r>
            <w:r>
              <w:rPr>
                <w:noProof/>
                <w:webHidden/>
              </w:rPr>
            </w:r>
            <w:r>
              <w:rPr>
                <w:noProof/>
                <w:webHidden/>
              </w:rPr>
              <w:fldChar w:fldCharType="separate"/>
            </w:r>
            <w:r>
              <w:rPr>
                <w:noProof/>
                <w:webHidden/>
              </w:rPr>
              <w:t>25</w:t>
            </w:r>
            <w:r>
              <w:rPr>
                <w:noProof/>
                <w:webHidden/>
              </w:rPr>
              <w:fldChar w:fldCharType="end"/>
            </w:r>
          </w:hyperlink>
        </w:p>
        <w:p w14:paraId="6D079858" w14:textId="77777777" w:rsidR="00AB6E8B" w:rsidRDefault="00AB6E8B">
          <w:pPr>
            <w:pStyle w:val="TOC3"/>
            <w:rPr>
              <w:rFonts w:asciiTheme="minorHAnsi" w:eastAsiaTheme="minorEastAsia" w:hAnsiTheme="minorHAnsi" w:cstheme="minorBidi"/>
              <w:noProof/>
              <w:lang w:eastAsia="en-AU"/>
            </w:rPr>
          </w:pPr>
          <w:hyperlink w:anchor="_Toc517697106" w:history="1">
            <w:r w:rsidRPr="005E5123">
              <w:rPr>
                <w:rStyle w:val="Hyperlink"/>
                <w:noProof/>
              </w:rPr>
              <w:t>Efficacy</w:t>
            </w:r>
            <w:r>
              <w:rPr>
                <w:noProof/>
                <w:webHidden/>
              </w:rPr>
              <w:tab/>
            </w:r>
            <w:r>
              <w:rPr>
                <w:noProof/>
                <w:webHidden/>
              </w:rPr>
              <w:fldChar w:fldCharType="begin"/>
            </w:r>
            <w:r>
              <w:rPr>
                <w:noProof/>
                <w:webHidden/>
              </w:rPr>
              <w:instrText xml:space="preserve"> PAGEREF _Toc517697106 \h </w:instrText>
            </w:r>
            <w:r>
              <w:rPr>
                <w:noProof/>
                <w:webHidden/>
              </w:rPr>
            </w:r>
            <w:r>
              <w:rPr>
                <w:noProof/>
                <w:webHidden/>
              </w:rPr>
              <w:fldChar w:fldCharType="separate"/>
            </w:r>
            <w:r>
              <w:rPr>
                <w:noProof/>
                <w:webHidden/>
              </w:rPr>
              <w:t>25</w:t>
            </w:r>
            <w:r>
              <w:rPr>
                <w:noProof/>
                <w:webHidden/>
              </w:rPr>
              <w:fldChar w:fldCharType="end"/>
            </w:r>
          </w:hyperlink>
        </w:p>
        <w:p w14:paraId="576C5A75" w14:textId="77777777" w:rsidR="00AB6E8B" w:rsidRDefault="00AB6E8B">
          <w:pPr>
            <w:pStyle w:val="TOC3"/>
            <w:rPr>
              <w:rFonts w:asciiTheme="minorHAnsi" w:eastAsiaTheme="minorEastAsia" w:hAnsiTheme="minorHAnsi" w:cstheme="minorBidi"/>
              <w:noProof/>
              <w:lang w:eastAsia="en-AU"/>
            </w:rPr>
          </w:pPr>
          <w:hyperlink w:anchor="_Toc517697107" w:history="1">
            <w:r w:rsidRPr="005E5123">
              <w:rPr>
                <w:rStyle w:val="Hyperlink"/>
                <w:noProof/>
              </w:rPr>
              <w:t>Safety</w:t>
            </w:r>
            <w:r>
              <w:rPr>
                <w:noProof/>
                <w:webHidden/>
              </w:rPr>
              <w:tab/>
            </w:r>
            <w:r>
              <w:rPr>
                <w:noProof/>
                <w:webHidden/>
              </w:rPr>
              <w:fldChar w:fldCharType="begin"/>
            </w:r>
            <w:r>
              <w:rPr>
                <w:noProof/>
                <w:webHidden/>
              </w:rPr>
              <w:instrText xml:space="preserve"> PAGEREF _Toc517697107 \h </w:instrText>
            </w:r>
            <w:r>
              <w:rPr>
                <w:noProof/>
                <w:webHidden/>
              </w:rPr>
            </w:r>
            <w:r>
              <w:rPr>
                <w:noProof/>
                <w:webHidden/>
              </w:rPr>
              <w:fldChar w:fldCharType="separate"/>
            </w:r>
            <w:r>
              <w:rPr>
                <w:noProof/>
                <w:webHidden/>
              </w:rPr>
              <w:t>26</w:t>
            </w:r>
            <w:r>
              <w:rPr>
                <w:noProof/>
                <w:webHidden/>
              </w:rPr>
              <w:fldChar w:fldCharType="end"/>
            </w:r>
          </w:hyperlink>
        </w:p>
        <w:p w14:paraId="72D72952" w14:textId="77777777" w:rsidR="00AB6E8B" w:rsidRDefault="00AB6E8B">
          <w:pPr>
            <w:pStyle w:val="TOC3"/>
            <w:rPr>
              <w:rFonts w:asciiTheme="minorHAnsi" w:eastAsiaTheme="minorEastAsia" w:hAnsiTheme="minorHAnsi" w:cstheme="minorBidi"/>
              <w:noProof/>
              <w:lang w:eastAsia="en-AU"/>
            </w:rPr>
          </w:pPr>
          <w:hyperlink w:anchor="_Toc517697108" w:history="1">
            <w:r w:rsidRPr="005E5123">
              <w:rPr>
                <w:rStyle w:val="Hyperlink"/>
                <w:noProof/>
              </w:rPr>
              <w:t>First Round Benefit-Risk Assessment</w:t>
            </w:r>
            <w:r>
              <w:rPr>
                <w:noProof/>
                <w:webHidden/>
              </w:rPr>
              <w:tab/>
            </w:r>
            <w:r>
              <w:rPr>
                <w:noProof/>
                <w:webHidden/>
              </w:rPr>
              <w:fldChar w:fldCharType="begin"/>
            </w:r>
            <w:r>
              <w:rPr>
                <w:noProof/>
                <w:webHidden/>
              </w:rPr>
              <w:instrText xml:space="preserve"> PAGEREF _Toc517697108 \h </w:instrText>
            </w:r>
            <w:r>
              <w:rPr>
                <w:noProof/>
                <w:webHidden/>
              </w:rPr>
            </w:r>
            <w:r>
              <w:rPr>
                <w:noProof/>
                <w:webHidden/>
              </w:rPr>
              <w:fldChar w:fldCharType="separate"/>
            </w:r>
            <w:r>
              <w:rPr>
                <w:noProof/>
                <w:webHidden/>
              </w:rPr>
              <w:t>30</w:t>
            </w:r>
            <w:r>
              <w:rPr>
                <w:noProof/>
                <w:webHidden/>
              </w:rPr>
              <w:fldChar w:fldCharType="end"/>
            </w:r>
          </w:hyperlink>
        </w:p>
        <w:p w14:paraId="4359216E" w14:textId="77777777" w:rsidR="00AB6E8B" w:rsidRDefault="00AB6E8B">
          <w:pPr>
            <w:pStyle w:val="TOC3"/>
            <w:rPr>
              <w:rFonts w:asciiTheme="minorHAnsi" w:eastAsiaTheme="minorEastAsia" w:hAnsiTheme="minorHAnsi" w:cstheme="minorBidi"/>
              <w:noProof/>
              <w:lang w:eastAsia="en-AU"/>
            </w:rPr>
          </w:pPr>
          <w:hyperlink w:anchor="_Toc517697109" w:history="1">
            <w:r w:rsidRPr="005E5123">
              <w:rPr>
                <w:rStyle w:val="Hyperlink"/>
                <w:noProof/>
              </w:rPr>
              <w:t>First Round Recommendation Regarding Authorisation</w:t>
            </w:r>
            <w:r>
              <w:rPr>
                <w:noProof/>
                <w:webHidden/>
              </w:rPr>
              <w:tab/>
            </w:r>
            <w:r>
              <w:rPr>
                <w:noProof/>
                <w:webHidden/>
              </w:rPr>
              <w:fldChar w:fldCharType="begin"/>
            </w:r>
            <w:r>
              <w:rPr>
                <w:noProof/>
                <w:webHidden/>
              </w:rPr>
              <w:instrText xml:space="preserve"> PAGEREF _Toc517697109 \h </w:instrText>
            </w:r>
            <w:r>
              <w:rPr>
                <w:noProof/>
                <w:webHidden/>
              </w:rPr>
            </w:r>
            <w:r>
              <w:rPr>
                <w:noProof/>
                <w:webHidden/>
              </w:rPr>
              <w:fldChar w:fldCharType="separate"/>
            </w:r>
            <w:r>
              <w:rPr>
                <w:noProof/>
                <w:webHidden/>
              </w:rPr>
              <w:t>33</w:t>
            </w:r>
            <w:r>
              <w:rPr>
                <w:noProof/>
                <w:webHidden/>
              </w:rPr>
              <w:fldChar w:fldCharType="end"/>
            </w:r>
          </w:hyperlink>
        </w:p>
        <w:p w14:paraId="4D644F5A" w14:textId="77777777" w:rsidR="00AB6E8B" w:rsidRDefault="00AB6E8B">
          <w:pPr>
            <w:pStyle w:val="TOC3"/>
            <w:rPr>
              <w:rFonts w:asciiTheme="minorHAnsi" w:eastAsiaTheme="minorEastAsia" w:hAnsiTheme="minorHAnsi" w:cstheme="minorBidi"/>
              <w:noProof/>
              <w:lang w:eastAsia="en-AU"/>
            </w:rPr>
          </w:pPr>
          <w:hyperlink w:anchor="_Toc517697110" w:history="1">
            <w:r w:rsidRPr="005E5123">
              <w:rPr>
                <w:rStyle w:val="Hyperlink"/>
                <w:noProof/>
              </w:rPr>
              <w:t>Clinical Questions</w:t>
            </w:r>
            <w:r>
              <w:rPr>
                <w:noProof/>
                <w:webHidden/>
              </w:rPr>
              <w:tab/>
            </w:r>
            <w:r>
              <w:rPr>
                <w:noProof/>
                <w:webHidden/>
              </w:rPr>
              <w:fldChar w:fldCharType="begin"/>
            </w:r>
            <w:r>
              <w:rPr>
                <w:noProof/>
                <w:webHidden/>
              </w:rPr>
              <w:instrText xml:space="preserve"> PAGEREF _Toc517697110 \h </w:instrText>
            </w:r>
            <w:r>
              <w:rPr>
                <w:noProof/>
                <w:webHidden/>
              </w:rPr>
            </w:r>
            <w:r>
              <w:rPr>
                <w:noProof/>
                <w:webHidden/>
              </w:rPr>
              <w:fldChar w:fldCharType="separate"/>
            </w:r>
            <w:r>
              <w:rPr>
                <w:noProof/>
                <w:webHidden/>
              </w:rPr>
              <w:t>33</w:t>
            </w:r>
            <w:r>
              <w:rPr>
                <w:noProof/>
                <w:webHidden/>
              </w:rPr>
              <w:fldChar w:fldCharType="end"/>
            </w:r>
          </w:hyperlink>
        </w:p>
        <w:p w14:paraId="1C451A19" w14:textId="77777777" w:rsidR="00AB6E8B" w:rsidRDefault="00AB6E8B">
          <w:pPr>
            <w:pStyle w:val="TOC3"/>
            <w:rPr>
              <w:rFonts w:asciiTheme="minorHAnsi" w:eastAsiaTheme="minorEastAsia" w:hAnsiTheme="minorHAnsi" w:cstheme="minorBidi"/>
              <w:noProof/>
              <w:lang w:eastAsia="en-AU"/>
            </w:rPr>
          </w:pPr>
          <w:hyperlink w:anchor="_Toc517697111" w:history="1">
            <w:r w:rsidRPr="005E5123">
              <w:rPr>
                <w:rStyle w:val="Hyperlink"/>
                <w:noProof/>
              </w:rPr>
              <w:t>Second Round Benefit-Risk Assessment</w:t>
            </w:r>
            <w:r>
              <w:rPr>
                <w:noProof/>
                <w:webHidden/>
              </w:rPr>
              <w:tab/>
            </w:r>
            <w:r>
              <w:rPr>
                <w:noProof/>
                <w:webHidden/>
              </w:rPr>
              <w:fldChar w:fldCharType="begin"/>
            </w:r>
            <w:r>
              <w:rPr>
                <w:noProof/>
                <w:webHidden/>
              </w:rPr>
              <w:instrText xml:space="preserve"> PAGEREF _Toc517697111 \h </w:instrText>
            </w:r>
            <w:r>
              <w:rPr>
                <w:noProof/>
                <w:webHidden/>
              </w:rPr>
            </w:r>
            <w:r>
              <w:rPr>
                <w:noProof/>
                <w:webHidden/>
              </w:rPr>
              <w:fldChar w:fldCharType="separate"/>
            </w:r>
            <w:r>
              <w:rPr>
                <w:noProof/>
                <w:webHidden/>
              </w:rPr>
              <w:t>33</w:t>
            </w:r>
            <w:r>
              <w:rPr>
                <w:noProof/>
                <w:webHidden/>
              </w:rPr>
              <w:fldChar w:fldCharType="end"/>
            </w:r>
          </w:hyperlink>
        </w:p>
        <w:p w14:paraId="2206E1DD" w14:textId="77777777" w:rsidR="00AB6E8B" w:rsidRDefault="00AB6E8B">
          <w:pPr>
            <w:pStyle w:val="TOC2"/>
            <w:rPr>
              <w:rFonts w:asciiTheme="minorHAnsi" w:eastAsiaTheme="minorEastAsia" w:hAnsiTheme="minorHAnsi" w:cstheme="minorBidi"/>
              <w:b w:val="0"/>
              <w:noProof/>
              <w:sz w:val="22"/>
              <w:lang w:eastAsia="en-AU"/>
            </w:rPr>
          </w:pPr>
          <w:hyperlink w:anchor="_Toc517697112" w:history="1">
            <w:r w:rsidRPr="005E5123">
              <w:rPr>
                <w:rStyle w:val="Hyperlink"/>
                <w:noProof/>
              </w:rPr>
              <w:t>V. Pharmacovigilance findings</w:t>
            </w:r>
            <w:r>
              <w:rPr>
                <w:noProof/>
                <w:webHidden/>
              </w:rPr>
              <w:tab/>
            </w:r>
            <w:r>
              <w:rPr>
                <w:noProof/>
                <w:webHidden/>
              </w:rPr>
              <w:fldChar w:fldCharType="begin"/>
            </w:r>
            <w:r>
              <w:rPr>
                <w:noProof/>
                <w:webHidden/>
              </w:rPr>
              <w:instrText xml:space="preserve"> PAGEREF _Toc517697112 \h </w:instrText>
            </w:r>
            <w:r>
              <w:rPr>
                <w:noProof/>
                <w:webHidden/>
              </w:rPr>
            </w:r>
            <w:r>
              <w:rPr>
                <w:noProof/>
                <w:webHidden/>
              </w:rPr>
              <w:fldChar w:fldCharType="separate"/>
            </w:r>
            <w:r>
              <w:rPr>
                <w:noProof/>
                <w:webHidden/>
              </w:rPr>
              <w:t>33</w:t>
            </w:r>
            <w:r>
              <w:rPr>
                <w:noProof/>
                <w:webHidden/>
              </w:rPr>
              <w:fldChar w:fldCharType="end"/>
            </w:r>
          </w:hyperlink>
        </w:p>
        <w:p w14:paraId="7D139846" w14:textId="77777777" w:rsidR="00AB6E8B" w:rsidRDefault="00AB6E8B">
          <w:pPr>
            <w:pStyle w:val="TOC3"/>
            <w:rPr>
              <w:rFonts w:asciiTheme="minorHAnsi" w:eastAsiaTheme="minorEastAsia" w:hAnsiTheme="minorHAnsi" w:cstheme="minorBidi"/>
              <w:noProof/>
              <w:lang w:eastAsia="en-AU"/>
            </w:rPr>
          </w:pPr>
          <w:hyperlink w:anchor="_Toc517697113" w:history="1">
            <w:r w:rsidRPr="005E5123">
              <w:rPr>
                <w:rStyle w:val="Hyperlink"/>
                <w:noProof/>
                <w:lang w:eastAsia="en-AU"/>
              </w:rPr>
              <w:t>Risk management plan</w:t>
            </w:r>
            <w:r>
              <w:rPr>
                <w:noProof/>
                <w:webHidden/>
              </w:rPr>
              <w:tab/>
            </w:r>
            <w:r>
              <w:rPr>
                <w:noProof/>
                <w:webHidden/>
              </w:rPr>
              <w:fldChar w:fldCharType="begin"/>
            </w:r>
            <w:r>
              <w:rPr>
                <w:noProof/>
                <w:webHidden/>
              </w:rPr>
              <w:instrText xml:space="preserve"> PAGEREF _Toc517697113 \h </w:instrText>
            </w:r>
            <w:r>
              <w:rPr>
                <w:noProof/>
                <w:webHidden/>
              </w:rPr>
            </w:r>
            <w:r>
              <w:rPr>
                <w:noProof/>
                <w:webHidden/>
              </w:rPr>
              <w:fldChar w:fldCharType="separate"/>
            </w:r>
            <w:r>
              <w:rPr>
                <w:noProof/>
                <w:webHidden/>
              </w:rPr>
              <w:t>33</w:t>
            </w:r>
            <w:r>
              <w:rPr>
                <w:noProof/>
                <w:webHidden/>
              </w:rPr>
              <w:fldChar w:fldCharType="end"/>
            </w:r>
          </w:hyperlink>
        </w:p>
        <w:p w14:paraId="73C5B016" w14:textId="77777777" w:rsidR="00AB6E8B" w:rsidRDefault="00AB6E8B">
          <w:pPr>
            <w:pStyle w:val="TOC2"/>
            <w:rPr>
              <w:rFonts w:asciiTheme="minorHAnsi" w:eastAsiaTheme="minorEastAsia" w:hAnsiTheme="minorHAnsi" w:cstheme="minorBidi"/>
              <w:b w:val="0"/>
              <w:noProof/>
              <w:sz w:val="22"/>
              <w:lang w:eastAsia="en-AU"/>
            </w:rPr>
          </w:pPr>
          <w:hyperlink w:anchor="_Toc517697114" w:history="1">
            <w:r w:rsidRPr="005E5123">
              <w:rPr>
                <w:rStyle w:val="Hyperlink"/>
                <w:noProof/>
              </w:rPr>
              <w:t>VI. Overall conclusion and risk/benefit assessment</w:t>
            </w:r>
            <w:r>
              <w:rPr>
                <w:noProof/>
                <w:webHidden/>
              </w:rPr>
              <w:tab/>
            </w:r>
            <w:r>
              <w:rPr>
                <w:noProof/>
                <w:webHidden/>
              </w:rPr>
              <w:fldChar w:fldCharType="begin"/>
            </w:r>
            <w:r>
              <w:rPr>
                <w:noProof/>
                <w:webHidden/>
              </w:rPr>
              <w:instrText xml:space="preserve"> PAGEREF _Toc517697114 \h </w:instrText>
            </w:r>
            <w:r>
              <w:rPr>
                <w:noProof/>
                <w:webHidden/>
              </w:rPr>
            </w:r>
            <w:r>
              <w:rPr>
                <w:noProof/>
                <w:webHidden/>
              </w:rPr>
              <w:fldChar w:fldCharType="separate"/>
            </w:r>
            <w:r>
              <w:rPr>
                <w:noProof/>
                <w:webHidden/>
              </w:rPr>
              <w:t>35</w:t>
            </w:r>
            <w:r>
              <w:rPr>
                <w:noProof/>
                <w:webHidden/>
              </w:rPr>
              <w:fldChar w:fldCharType="end"/>
            </w:r>
          </w:hyperlink>
        </w:p>
        <w:p w14:paraId="0201232C" w14:textId="77777777" w:rsidR="00AB6E8B" w:rsidRDefault="00AB6E8B">
          <w:pPr>
            <w:pStyle w:val="TOC3"/>
            <w:rPr>
              <w:rFonts w:asciiTheme="minorHAnsi" w:eastAsiaTheme="minorEastAsia" w:hAnsiTheme="minorHAnsi" w:cstheme="minorBidi"/>
              <w:noProof/>
              <w:lang w:eastAsia="en-AU"/>
            </w:rPr>
          </w:pPr>
          <w:hyperlink w:anchor="_Toc517697115" w:history="1">
            <w:r w:rsidRPr="005E5123">
              <w:rPr>
                <w:rStyle w:val="Hyperlink"/>
                <w:noProof/>
              </w:rPr>
              <w:t>Quality</w:t>
            </w:r>
            <w:r>
              <w:rPr>
                <w:noProof/>
                <w:webHidden/>
              </w:rPr>
              <w:tab/>
            </w:r>
            <w:r>
              <w:rPr>
                <w:noProof/>
                <w:webHidden/>
              </w:rPr>
              <w:fldChar w:fldCharType="begin"/>
            </w:r>
            <w:r>
              <w:rPr>
                <w:noProof/>
                <w:webHidden/>
              </w:rPr>
              <w:instrText xml:space="preserve"> PAGEREF _Toc517697115 \h </w:instrText>
            </w:r>
            <w:r>
              <w:rPr>
                <w:noProof/>
                <w:webHidden/>
              </w:rPr>
            </w:r>
            <w:r>
              <w:rPr>
                <w:noProof/>
                <w:webHidden/>
              </w:rPr>
              <w:fldChar w:fldCharType="separate"/>
            </w:r>
            <w:r>
              <w:rPr>
                <w:noProof/>
                <w:webHidden/>
              </w:rPr>
              <w:t>35</w:t>
            </w:r>
            <w:r>
              <w:rPr>
                <w:noProof/>
                <w:webHidden/>
              </w:rPr>
              <w:fldChar w:fldCharType="end"/>
            </w:r>
          </w:hyperlink>
        </w:p>
        <w:p w14:paraId="00AF071C" w14:textId="77777777" w:rsidR="00AB6E8B" w:rsidRDefault="00AB6E8B">
          <w:pPr>
            <w:pStyle w:val="TOC3"/>
            <w:rPr>
              <w:rFonts w:asciiTheme="minorHAnsi" w:eastAsiaTheme="minorEastAsia" w:hAnsiTheme="minorHAnsi" w:cstheme="minorBidi"/>
              <w:noProof/>
              <w:lang w:eastAsia="en-AU"/>
            </w:rPr>
          </w:pPr>
          <w:hyperlink w:anchor="_Toc517697116" w:history="1">
            <w:r w:rsidRPr="005E5123">
              <w:rPr>
                <w:rStyle w:val="Hyperlink"/>
                <w:noProof/>
              </w:rPr>
              <w:t>Nonclinical</w:t>
            </w:r>
            <w:r>
              <w:rPr>
                <w:noProof/>
                <w:webHidden/>
              </w:rPr>
              <w:tab/>
            </w:r>
            <w:r>
              <w:rPr>
                <w:noProof/>
                <w:webHidden/>
              </w:rPr>
              <w:fldChar w:fldCharType="begin"/>
            </w:r>
            <w:r>
              <w:rPr>
                <w:noProof/>
                <w:webHidden/>
              </w:rPr>
              <w:instrText xml:space="preserve"> PAGEREF _Toc517697116 \h </w:instrText>
            </w:r>
            <w:r>
              <w:rPr>
                <w:noProof/>
                <w:webHidden/>
              </w:rPr>
            </w:r>
            <w:r>
              <w:rPr>
                <w:noProof/>
                <w:webHidden/>
              </w:rPr>
              <w:fldChar w:fldCharType="separate"/>
            </w:r>
            <w:r>
              <w:rPr>
                <w:noProof/>
                <w:webHidden/>
              </w:rPr>
              <w:t>35</w:t>
            </w:r>
            <w:r>
              <w:rPr>
                <w:noProof/>
                <w:webHidden/>
              </w:rPr>
              <w:fldChar w:fldCharType="end"/>
            </w:r>
          </w:hyperlink>
        </w:p>
        <w:p w14:paraId="55B07286" w14:textId="77777777" w:rsidR="00AB6E8B" w:rsidRDefault="00AB6E8B">
          <w:pPr>
            <w:pStyle w:val="TOC3"/>
            <w:rPr>
              <w:rFonts w:asciiTheme="minorHAnsi" w:eastAsiaTheme="minorEastAsia" w:hAnsiTheme="minorHAnsi" w:cstheme="minorBidi"/>
              <w:noProof/>
              <w:lang w:eastAsia="en-AU"/>
            </w:rPr>
          </w:pPr>
          <w:hyperlink w:anchor="_Toc517697117" w:history="1">
            <w:r w:rsidRPr="005E5123">
              <w:rPr>
                <w:rStyle w:val="Hyperlink"/>
                <w:noProof/>
              </w:rPr>
              <w:t>Clinical</w:t>
            </w:r>
            <w:r>
              <w:rPr>
                <w:noProof/>
                <w:webHidden/>
              </w:rPr>
              <w:tab/>
            </w:r>
            <w:r>
              <w:rPr>
                <w:noProof/>
                <w:webHidden/>
              </w:rPr>
              <w:fldChar w:fldCharType="begin"/>
            </w:r>
            <w:r>
              <w:rPr>
                <w:noProof/>
                <w:webHidden/>
              </w:rPr>
              <w:instrText xml:space="preserve"> PAGEREF _Toc517697117 \h </w:instrText>
            </w:r>
            <w:r>
              <w:rPr>
                <w:noProof/>
                <w:webHidden/>
              </w:rPr>
            </w:r>
            <w:r>
              <w:rPr>
                <w:noProof/>
                <w:webHidden/>
              </w:rPr>
              <w:fldChar w:fldCharType="separate"/>
            </w:r>
            <w:r>
              <w:rPr>
                <w:noProof/>
                <w:webHidden/>
              </w:rPr>
              <w:t>36</w:t>
            </w:r>
            <w:r>
              <w:rPr>
                <w:noProof/>
                <w:webHidden/>
              </w:rPr>
              <w:fldChar w:fldCharType="end"/>
            </w:r>
          </w:hyperlink>
        </w:p>
        <w:p w14:paraId="6D2655BD" w14:textId="77777777" w:rsidR="00AB6E8B" w:rsidRDefault="00AB6E8B">
          <w:pPr>
            <w:pStyle w:val="TOC3"/>
            <w:rPr>
              <w:rFonts w:asciiTheme="minorHAnsi" w:eastAsiaTheme="minorEastAsia" w:hAnsiTheme="minorHAnsi" w:cstheme="minorBidi"/>
              <w:noProof/>
              <w:lang w:eastAsia="en-AU"/>
            </w:rPr>
          </w:pPr>
          <w:hyperlink w:anchor="_Toc517697118" w:history="1">
            <w:r w:rsidRPr="005E5123">
              <w:rPr>
                <w:rStyle w:val="Hyperlink"/>
                <w:noProof/>
                <w:lang w:eastAsia="en-AU"/>
              </w:rPr>
              <w:t>Risk management plan</w:t>
            </w:r>
            <w:r>
              <w:rPr>
                <w:noProof/>
                <w:webHidden/>
              </w:rPr>
              <w:tab/>
            </w:r>
            <w:r>
              <w:rPr>
                <w:noProof/>
                <w:webHidden/>
              </w:rPr>
              <w:fldChar w:fldCharType="begin"/>
            </w:r>
            <w:r>
              <w:rPr>
                <w:noProof/>
                <w:webHidden/>
              </w:rPr>
              <w:instrText xml:space="preserve"> PAGEREF _Toc517697118 \h </w:instrText>
            </w:r>
            <w:r>
              <w:rPr>
                <w:noProof/>
                <w:webHidden/>
              </w:rPr>
            </w:r>
            <w:r>
              <w:rPr>
                <w:noProof/>
                <w:webHidden/>
              </w:rPr>
              <w:fldChar w:fldCharType="separate"/>
            </w:r>
            <w:r>
              <w:rPr>
                <w:noProof/>
                <w:webHidden/>
              </w:rPr>
              <w:t>46</w:t>
            </w:r>
            <w:r>
              <w:rPr>
                <w:noProof/>
                <w:webHidden/>
              </w:rPr>
              <w:fldChar w:fldCharType="end"/>
            </w:r>
          </w:hyperlink>
        </w:p>
        <w:p w14:paraId="72B4234D" w14:textId="77777777" w:rsidR="00AB6E8B" w:rsidRDefault="00AB6E8B">
          <w:pPr>
            <w:pStyle w:val="TOC3"/>
            <w:rPr>
              <w:rFonts w:asciiTheme="minorHAnsi" w:eastAsiaTheme="minorEastAsia" w:hAnsiTheme="minorHAnsi" w:cstheme="minorBidi"/>
              <w:noProof/>
              <w:lang w:eastAsia="en-AU"/>
            </w:rPr>
          </w:pPr>
          <w:hyperlink w:anchor="_Toc517697119" w:history="1">
            <w:r w:rsidRPr="005E5123">
              <w:rPr>
                <w:rStyle w:val="Hyperlink"/>
                <w:noProof/>
              </w:rPr>
              <w:t>Risk-benefit analysis</w:t>
            </w:r>
            <w:r>
              <w:rPr>
                <w:noProof/>
                <w:webHidden/>
              </w:rPr>
              <w:tab/>
            </w:r>
            <w:r>
              <w:rPr>
                <w:noProof/>
                <w:webHidden/>
              </w:rPr>
              <w:fldChar w:fldCharType="begin"/>
            </w:r>
            <w:r>
              <w:rPr>
                <w:noProof/>
                <w:webHidden/>
              </w:rPr>
              <w:instrText xml:space="preserve"> PAGEREF _Toc517697119 \h </w:instrText>
            </w:r>
            <w:r>
              <w:rPr>
                <w:noProof/>
                <w:webHidden/>
              </w:rPr>
            </w:r>
            <w:r>
              <w:rPr>
                <w:noProof/>
                <w:webHidden/>
              </w:rPr>
              <w:fldChar w:fldCharType="separate"/>
            </w:r>
            <w:r>
              <w:rPr>
                <w:noProof/>
                <w:webHidden/>
              </w:rPr>
              <w:t>46</w:t>
            </w:r>
            <w:r>
              <w:rPr>
                <w:noProof/>
                <w:webHidden/>
              </w:rPr>
              <w:fldChar w:fldCharType="end"/>
            </w:r>
          </w:hyperlink>
        </w:p>
        <w:p w14:paraId="03BB338B" w14:textId="77777777" w:rsidR="00AB6E8B" w:rsidRDefault="00AB6E8B">
          <w:pPr>
            <w:pStyle w:val="TOC3"/>
            <w:rPr>
              <w:rFonts w:asciiTheme="minorHAnsi" w:eastAsiaTheme="minorEastAsia" w:hAnsiTheme="minorHAnsi" w:cstheme="minorBidi"/>
              <w:noProof/>
              <w:lang w:eastAsia="en-AU"/>
            </w:rPr>
          </w:pPr>
          <w:hyperlink w:anchor="_Toc517697120" w:history="1">
            <w:r w:rsidRPr="005E5123">
              <w:rPr>
                <w:rStyle w:val="Hyperlink"/>
                <w:noProof/>
              </w:rPr>
              <w:t>Outcome</w:t>
            </w:r>
            <w:r>
              <w:rPr>
                <w:noProof/>
                <w:webHidden/>
              </w:rPr>
              <w:tab/>
            </w:r>
            <w:r>
              <w:rPr>
                <w:noProof/>
                <w:webHidden/>
              </w:rPr>
              <w:fldChar w:fldCharType="begin"/>
            </w:r>
            <w:r>
              <w:rPr>
                <w:noProof/>
                <w:webHidden/>
              </w:rPr>
              <w:instrText xml:space="preserve"> PAGEREF _Toc517697120 \h </w:instrText>
            </w:r>
            <w:r>
              <w:rPr>
                <w:noProof/>
                <w:webHidden/>
              </w:rPr>
            </w:r>
            <w:r>
              <w:rPr>
                <w:noProof/>
                <w:webHidden/>
              </w:rPr>
              <w:fldChar w:fldCharType="separate"/>
            </w:r>
            <w:r>
              <w:rPr>
                <w:noProof/>
                <w:webHidden/>
              </w:rPr>
              <w:t>55</w:t>
            </w:r>
            <w:r>
              <w:rPr>
                <w:noProof/>
                <w:webHidden/>
              </w:rPr>
              <w:fldChar w:fldCharType="end"/>
            </w:r>
          </w:hyperlink>
        </w:p>
        <w:p w14:paraId="3FB504A2" w14:textId="77777777" w:rsidR="00AB6E8B" w:rsidRDefault="00AB6E8B">
          <w:pPr>
            <w:pStyle w:val="TOC2"/>
            <w:rPr>
              <w:rFonts w:asciiTheme="minorHAnsi" w:eastAsiaTheme="minorEastAsia" w:hAnsiTheme="minorHAnsi" w:cstheme="minorBidi"/>
              <w:b w:val="0"/>
              <w:noProof/>
              <w:sz w:val="22"/>
              <w:lang w:eastAsia="en-AU"/>
            </w:rPr>
          </w:pPr>
          <w:hyperlink w:anchor="_Toc517697121" w:history="1">
            <w:r w:rsidRPr="005E5123">
              <w:rPr>
                <w:rStyle w:val="Hyperlink"/>
                <w:noProof/>
              </w:rPr>
              <w:t>Attachment 1. Product Information</w:t>
            </w:r>
            <w:r>
              <w:rPr>
                <w:noProof/>
                <w:webHidden/>
              </w:rPr>
              <w:tab/>
            </w:r>
            <w:r>
              <w:rPr>
                <w:noProof/>
                <w:webHidden/>
              </w:rPr>
              <w:fldChar w:fldCharType="begin"/>
            </w:r>
            <w:r>
              <w:rPr>
                <w:noProof/>
                <w:webHidden/>
              </w:rPr>
              <w:instrText xml:space="preserve"> PAGEREF _Toc517697121 \h </w:instrText>
            </w:r>
            <w:r>
              <w:rPr>
                <w:noProof/>
                <w:webHidden/>
              </w:rPr>
            </w:r>
            <w:r>
              <w:rPr>
                <w:noProof/>
                <w:webHidden/>
              </w:rPr>
              <w:fldChar w:fldCharType="separate"/>
            </w:r>
            <w:r>
              <w:rPr>
                <w:noProof/>
                <w:webHidden/>
              </w:rPr>
              <w:t>56</w:t>
            </w:r>
            <w:r>
              <w:rPr>
                <w:noProof/>
                <w:webHidden/>
              </w:rPr>
              <w:fldChar w:fldCharType="end"/>
            </w:r>
          </w:hyperlink>
        </w:p>
        <w:p w14:paraId="1E7F89FA" w14:textId="77777777" w:rsidR="00AB6E8B" w:rsidRDefault="00AB6E8B">
          <w:pPr>
            <w:pStyle w:val="TOC2"/>
            <w:rPr>
              <w:rFonts w:asciiTheme="minorHAnsi" w:eastAsiaTheme="minorEastAsia" w:hAnsiTheme="minorHAnsi" w:cstheme="minorBidi"/>
              <w:b w:val="0"/>
              <w:noProof/>
              <w:sz w:val="22"/>
              <w:lang w:eastAsia="en-AU"/>
            </w:rPr>
          </w:pPr>
          <w:hyperlink w:anchor="_Toc517697122" w:history="1">
            <w:r w:rsidRPr="005E512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_Toc517697122 \h </w:instrText>
            </w:r>
            <w:r>
              <w:rPr>
                <w:noProof/>
                <w:webHidden/>
              </w:rPr>
            </w:r>
            <w:r>
              <w:rPr>
                <w:noProof/>
                <w:webHidden/>
              </w:rPr>
              <w:fldChar w:fldCharType="separate"/>
            </w:r>
            <w:r>
              <w:rPr>
                <w:noProof/>
                <w:webHidden/>
              </w:rPr>
              <w:t>56</w:t>
            </w:r>
            <w:r>
              <w:rPr>
                <w:noProof/>
                <w:webHidden/>
              </w:rPr>
              <w:fldChar w:fldCharType="end"/>
            </w:r>
          </w:hyperlink>
        </w:p>
        <w:p w14:paraId="260611C8" w14:textId="77777777" w:rsidR="003A7F6C" w:rsidRPr="009934FA" w:rsidRDefault="00DB6124" w:rsidP="00B811C6">
          <w:pPr>
            <w:pStyle w:val="TOC2"/>
          </w:pPr>
          <w:r w:rsidRPr="009934FA">
            <w:fldChar w:fldCharType="end"/>
          </w:r>
        </w:p>
      </w:sdtContent>
    </w:sdt>
    <w:bookmarkStart w:id="2" w:name="_Toc314842482" w:displacedByCustomXml="prev"/>
    <w:p w14:paraId="547EB29B" w14:textId="77777777" w:rsidR="00FD119B" w:rsidRPr="009934FA" w:rsidRDefault="00441C3F" w:rsidP="00AB6E8B">
      <w:pPr>
        <w:pStyle w:val="Heading2"/>
        <w:pageBreakBefore/>
      </w:pPr>
      <w:bookmarkStart w:id="3" w:name="_Toc351716269"/>
      <w:bookmarkStart w:id="4" w:name="_Toc351718881"/>
      <w:bookmarkStart w:id="5" w:name="_Toc355338616"/>
      <w:bookmarkStart w:id="6" w:name="_Toc356306144"/>
      <w:bookmarkStart w:id="7" w:name="_Toc517697084"/>
      <w:r w:rsidRPr="009934FA">
        <w:lastRenderedPageBreak/>
        <w:t>Common</w:t>
      </w:r>
      <w:r w:rsidR="00FD119B" w:rsidRPr="009934FA">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Description w:val="Common abbreviations"/>
      </w:tblPr>
      <w:tblGrid>
        <w:gridCol w:w="1809"/>
        <w:gridCol w:w="6911"/>
      </w:tblGrid>
      <w:tr w:rsidR="0047564B" w:rsidRPr="009934FA" w14:paraId="167E13FE"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25044B30" w14:textId="77777777" w:rsidR="0047564B" w:rsidRPr="009934FA" w:rsidRDefault="0047564B" w:rsidP="00FD119B">
            <w:pPr>
              <w:keepNext w:val="0"/>
              <w:ind w:left="0" w:right="0"/>
              <w:rPr>
                <w:szCs w:val="22"/>
                <w:lang w:eastAsia="en-US"/>
              </w:rPr>
            </w:pPr>
            <w:r w:rsidRPr="009934FA">
              <w:rPr>
                <w:szCs w:val="22"/>
                <w:lang w:eastAsia="en-US"/>
              </w:rPr>
              <w:t>Abbreviation</w:t>
            </w:r>
          </w:p>
        </w:tc>
        <w:tc>
          <w:tcPr>
            <w:tcW w:w="6911" w:type="dxa"/>
          </w:tcPr>
          <w:p w14:paraId="30C52736" w14:textId="77777777" w:rsidR="0047564B" w:rsidRPr="009934FA" w:rsidRDefault="0047564B" w:rsidP="00FD119B">
            <w:pPr>
              <w:keepNext w:val="0"/>
              <w:ind w:left="0" w:right="0"/>
              <w:rPr>
                <w:szCs w:val="22"/>
                <w:lang w:eastAsia="en-US"/>
              </w:rPr>
            </w:pPr>
            <w:r w:rsidRPr="009934FA">
              <w:rPr>
                <w:szCs w:val="22"/>
                <w:lang w:eastAsia="en-US"/>
              </w:rPr>
              <w:t>Meaning</w:t>
            </w:r>
          </w:p>
        </w:tc>
      </w:tr>
      <w:tr w:rsidR="0047564B" w:rsidRPr="009934FA" w14:paraId="489ECAF9" w14:textId="77777777" w:rsidTr="00FD119B">
        <w:tc>
          <w:tcPr>
            <w:tcW w:w="1809" w:type="dxa"/>
          </w:tcPr>
          <w:p w14:paraId="7DD1B4C9" w14:textId="77777777" w:rsidR="0047564B" w:rsidRPr="009934FA" w:rsidRDefault="0047564B" w:rsidP="00FD119B">
            <w:r>
              <w:t>ACM</w:t>
            </w:r>
          </w:p>
        </w:tc>
        <w:tc>
          <w:tcPr>
            <w:tcW w:w="6911" w:type="dxa"/>
          </w:tcPr>
          <w:p w14:paraId="71118817" w14:textId="77777777" w:rsidR="0047564B" w:rsidRPr="009934FA" w:rsidRDefault="0047564B" w:rsidP="00FD119B">
            <w:r>
              <w:t>Advisory Committee on Medicines</w:t>
            </w:r>
          </w:p>
        </w:tc>
      </w:tr>
      <w:tr w:rsidR="0047564B" w:rsidRPr="009934FA" w14:paraId="7429781B" w14:textId="77777777" w:rsidTr="00FD119B">
        <w:tc>
          <w:tcPr>
            <w:tcW w:w="1809" w:type="dxa"/>
          </w:tcPr>
          <w:p w14:paraId="0EDD8C99" w14:textId="77777777" w:rsidR="0047564B" w:rsidRPr="009934FA" w:rsidRDefault="0047564B" w:rsidP="00FD119B">
            <w:r>
              <w:t>ACPM</w:t>
            </w:r>
          </w:p>
        </w:tc>
        <w:tc>
          <w:tcPr>
            <w:tcW w:w="6911" w:type="dxa"/>
          </w:tcPr>
          <w:p w14:paraId="646790C3" w14:textId="77777777" w:rsidR="0047564B" w:rsidRPr="009934FA" w:rsidRDefault="0047564B" w:rsidP="00FD119B">
            <w:r>
              <w:t>Advisory Committee on Prescription Medicines</w:t>
            </w:r>
          </w:p>
        </w:tc>
      </w:tr>
      <w:tr w:rsidR="0047564B" w:rsidRPr="009934FA" w14:paraId="1CBFB311" w14:textId="77777777" w:rsidTr="00FD119B">
        <w:tc>
          <w:tcPr>
            <w:tcW w:w="1809" w:type="dxa"/>
          </w:tcPr>
          <w:p w14:paraId="75F199E5" w14:textId="77777777" w:rsidR="0047564B" w:rsidRDefault="0047564B" w:rsidP="00FD119B">
            <w:r>
              <w:t>ASA</w:t>
            </w:r>
          </w:p>
        </w:tc>
        <w:tc>
          <w:tcPr>
            <w:tcW w:w="6911" w:type="dxa"/>
          </w:tcPr>
          <w:p w14:paraId="50A9CA38" w14:textId="77777777" w:rsidR="0047564B" w:rsidRDefault="0047564B" w:rsidP="00FD119B">
            <w:r>
              <w:t>Australian specific annex</w:t>
            </w:r>
          </w:p>
        </w:tc>
      </w:tr>
      <w:tr w:rsidR="0047564B" w:rsidRPr="009934FA" w14:paraId="14EC079F" w14:textId="77777777" w:rsidTr="00FD119B">
        <w:tc>
          <w:tcPr>
            <w:tcW w:w="1809" w:type="dxa"/>
          </w:tcPr>
          <w:p w14:paraId="01455C29" w14:textId="77777777" w:rsidR="0047564B" w:rsidRDefault="0047564B" w:rsidP="00FD119B">
            <w:r>
              <w:t>AUC</w:t>
            </w:r>
          </w:p>
        </w:tc>
        <w:tc>
          <w:tcPr>
            <w:tcW w:w="6911" w:type="dxa"/>
          </w:tcPr>
          <w:p w14:paraId="5CED4139" w14:textId="77777777" w:rsidR="0047564B" w:rsidRDefault="0047564B" w:rsidP="00FD119B">
            <w:r>
              <w:t>Area under the drug concentration time curve</w:t>
            </w:r>
          </w:p>
        </w:tc>
      </w:tr>
      <w:tr w:rsidR="0047564B" w:rsidRPr="009934FA" w14:paraId="699D4D07" w14:textId="77777777" w:rsidTr="00FD119B">
        <w:tc>
          <w:tcPr>
            <w:tcW w:w="1809" w:type="dxa"/>
          </w:tcPr>
          <w:p w14:paraId="3DED0A85" w14:textId="77777777" w:rsidR="0047564B" w:rsidRDefault="0047564B" w:rsidP="00FD119B">
            <w:r w:rsidRPr="00F416E2">
              <w:t>AUC</w:t>
            </w:r>
            <w:r w:rsidRPr="00F416E2">
              <w:rPr>
                <w:vertAlign w:val="subscript"/>
              </w:rPr>
              <w:t>0–24h</w:t>
            </w:r>
          </w:p>
        </w:tc>
        <w:tc>
          <w:tcPr>
            <w:tcW w:w="6911" w:type="dxa"/>
          </w:tcPr>
          <w:p w14:paraId="49B96D27" w14:textId="77777777" w:rsidR="0047564B" w:rsidRDefault="0047564B" w:rsidP="00FD119B">
            <w:r>
              <w:t>Area under the drug concentration time curve from time zero to 24 hours</w:t>
            </w:r>
          </w:p>
        </w:tc>
      </w:tr>
      <w:tr w:rsidR="0047564B" w:rsidRPr="009934FA" w14:paraId="0C8BB81E" w14:textId="77777777" w:rsidTr="00FD119B">
        <w:tc>
          <w:tcPr>
            <w:tcW w:w="1809" w:type="dxa"/>
          </w:tcPr>
          <w:p w14:paraId="52A0F9E8" w14:textId="77777777" w:rsidR="0047564B" w:rsidRDefault="0047564B" w:rsidP="00FD119B">
            <w:r w:rsidRPr="00746234">
              <w:t>AUC</w:t>
            </w:r>
            <w:r>
              <w:rPr>
                <w:vertAlign w:val="subscript"/>
              </w:rPr>
              <w:t>IDeg,0</w:t>
            </w:r>
            <w:r>
              <w:rPr>
                <w:vertAlign w:val="subscript"/>
              </w:rPr>
              <w:noBreakHyphen/>
            </w:r>
            <w:r w:rsidRPr="00746234">
              <w:rPr>
                <w:vertAlign w:val="subscript"/>
              </w:rPr>
              <w:t>∞</w:t>
            </w:r>
          </w:p>
        </w:tc>
        <w:tc>
          <w:tcPr>
            <w:tcW w:w="6911" w:type="dxa"/>
          </w:tcPr>
          <w:p w14:paraId="04A0167F" w14:textId="77777777" w:rsidR="0047564B" w:rsidRDefault="0047564B" w:rsidP="00FD119B">
            <w:r>
              <w:t>Area under the drug concentration time curve from time zero to infinity</w:t>
            </w:r>
          </w:p>
        </w:tc>
      </w:tr>
      <w:tr w:rsidR="0047564B" w:rsidRPr="009934FA" w14:paraId="545B3F9C" w14:textId="77777777" w:rsidTr="00FD119B">
        <w:tc>
          <w:tcPr>
            <w:tcW w:w="1809" w:type="dxa"/>
          </w:tcPr>
          <w:p w14:paraId="6723104B" w14:textId="77777777" w:rsidR="0047564B" w:rsidRPr="0025116F" w:rsidRDefault="0047564B" w:rsidP="0025116F">
            <w:r>
              <w:t>BMI</w:t>
            </w:r>
          </w:p>
        </w:tc>
        <w:tc>
          <w:tcPr>
            <w:tcW w:w="6911" w:type="dxa"/>
          </w:tcPr>
          <w:p w14:paraId="4734EC54" w14:textId="77777777" w:rsidR="0047564B" w:rsidRDefault="0047564B" w:rsidP="00FD119B">
            <w:r>
              <w:t>Body mass index</w:t>
            </w:r>
          </w:p>
        </w:tc>
      </w:tr>
      <w:tr w:rsidR="0047564B" w:rsidRPr="009934FA" w14:paraId="5939B57D" w14:textId="77777777" w:rsidTr="00FD119B">
        <w:tc>
          <w:tcPr>
            <w:tcW w:w="1809" w:type="dxa"/>
          </w:tcPr>
          <w:p w14:paraId="4BA42F7E" w14:textId="77777777" w:rsidR="0047564B" w:rsidRDefault="0047564B" w:rsidP="00FD119B">
            <w:r w:rsidRPr="009934FA">
              <w:t>C</w:t>
            </w:r>
            <w:r w:rsidRPr="009934FA">
              <w:rPr>
                <w:vertAlign w:val="subscript"/>
              </w:rPr>
              <w:t>max</w:t>
            </w:r>
          </w:p>
        </w:tc>
        <w:tc>
          <w:tcPr>
            <w:tcW w:w="6911" w:type="dxa"/>
          </w:tcPr>
          <w:p w14:paraId="74BEDD38" w14:textId="77777777" w:rsidR="0047564B" w:rsidRDefault="0047564B" w:rsidP="00FF5AAE">
            <w:r>
              <w:t>Maximum serum concentration</w:t>
            </w:r>
          </w:p>
        </w:tc>
      </w:tr>
      <w:tr w:rsidR="0047564B" w:rsidRPr="009934FA" w14:paraId="0A269EB9" w14:textId="77777777" w:rsidTr="00FD119B">
        <w:tc>
          <w:tcPr>
            <w:tcW w:w="1809" w:type="dxa"/>
          </w:tcPr>
          <w:p w14:paraId="15F457E7" w14:textId="77777777" w:rsidR="0047564B" w:rsidRDefault="0047564B" w:rsidP="0076394A">
            <w:r>
              <w:t>CMI</w:t>
            </w:r>
          </w:p>
        </w:tc>
        <w:tc>
          <w:tcPr>
            <w:tcW w:w="6911" w:type="dxa"/>
          </w:tcPr>
          <w:p w14:paraId="59DCE413" w14:textId="77777777" w:rsidR="0047564B" w:rsidRDefault="0047564B" w:rsidP="00FD119B">
            <w:r>
              <w:t>Consumer Medicines Information</w:t>
            </w:r>
          </w:p>
        </w:tc>
      </w:tr>
      <w:tr w:rsidR="0047564B" w:rsidRPr="009934FA" w14:paraId="38308E32" w14:textId="77777777" w:rsidTr="00FD119B">
        <w:tc>
          <w:tcPr>
            <w:tcW w:w="1809" w:type="dxa"/>
          </w:tcPr>
          <w:p w14:paraId="06A3CF51" w14:textId="77777777" w:rsidR="0047564B" w:rsidRDefault="0047564B" w:rsidP="00FD119B">
            <w:r>
              <w:t>CPD</w:t>
            </w:r>
          </w:p>
        </w:tc>
        <w:tc>
          <w:tcPr>
            <w:tcW w:w="6911" w:type="dxa"/>
          </w:tcPr>
          <w:p w14:paraId="5554FB11" w14:textId="77777777" w:rsidR="0047564B" w:rsidRDefault="0047564B" w:rsidP="00FD119B">
            <w:r>
              <w:t>Certified Product Details</w:t>
            </w:r>
          </w:p>
        </w:tc>
      </w:tr>
      <w:tr w:rsidR="0047564B" w:rsidRPr="009934FA" w14:paraId="39B6C23A" w14:textId="77777777" w:rsidTr="00FD119B">
        <w:tc>
          <w:tcPr>
            <w:tcW w:w="1809" w:type="dxa"/>
          </w:tcPr>
          <w:p w14:paraId="39CBF7E5" w14:textId="77777777" w:rsidR="0047564B" w:rsidRPr="009934FA" w:rsidRDefault="0047564B" w:rsidP="00FD119B">
            <w:r>
              <w:t>CV</w:t>
            </w:r>
          </w:p>
        </w:tc>
        <w:tc>
          <w:tcPr>
            <w:tcW w:w="6911" w:type="dxa"/>
          </w:tcPr>
          <w:p w14:paraId="60F1DCF6" w14:textId="77777777" w:rsidR="0047564B" w:rsidRPr="009934FA" w:rsidRDefault="0047564B" w:rsidP="00FD119B">
            <w:r>
              <w:t>Cardiovascular</w:t>
            </w:r>
          </w:p>
        </w:tc>
      </w:tr>
      <w:tr w:rsidR="0047564B" w:rsidRPr="009934FA" w14:paraId="7C588794" w14:textId="77777777" w:rsidTr="00FD119B">
        <w:tc>
          <w:tcPr>
            <w:tcW w:w="1809" w:type="dxa"/>
          </w:tcPr>
          <w:p w14:paraId="33460463" w14:textId="77777777" w:rsidR="0047564B" w:rsidRPr="00FA533B" w:rsidRDefault="0047564B" w:rsidP="00FD119B">
            <w:r>
              <w:t>CV%</w:t>
            </w:r>
          </w:p>
        </w:tc>
        <w:tc>
          <w:tcPr>
            <w:tcW w:w="6911" w:type="dxa"/>
          </w:tcPr>
          <w:p w14:paraId="20231139" w14:textId="77777777" w:rsidR="0047564B" w:rsidRDefault="0047564B" w:rsidP="00FD119B">
            <w:r>
              <w:t>Coefficient of variation</w:t>
            </w:r>
          </w:p>
        </w:tc>
      </w:tr>
      <w:tr w:rsidR="0047564B" w:rsidRPr="009934FA" w14:paraId="455EA850" w14:textId="77777777" w:rsidTr="00FD119B">
        <w:tc>
          <w:tcPr>
            <w:tcW w:w="1809" w:type="dxa"/>
          </w:tcPr>
          <w:p w14:paraId="6B562ABB" w14:textId="77777777" w:rsidR="0047564B" w:rsidRDefault="0047564B" w:rsidP="00FD119B">
            <w:r>
              <w:t>CYP450</w:t>
            </w:r>
          </w:p>
        </w:tc>
        <w:tc>
          <w:tcPr>
            <w:tcW w:w="6911" w:type="dxa"/>
          </w:tcPr>
          <w:p w14:paraId="63B22C69" w14:textId="77777777" w:rsidR="0047564B" w:rsidRDefault="0047564B" w:rsidP="00FD119B">
            <w:r>
              <w:t>Cytochrome P450 system (enzymes)</w:t>
            </w:r>
          </w:p>
        </w:tc>
      </w:tr>
      <w:tr w:rsidR="0047564B" w:rsidRPr="009934FA" w14:paraId="0C9C51F3" w14:textId="77777777" w:rsidTr="00FD119B">
        <w:tc>
          <w:tcPr>
            <w:tcW w:w="1809" w:type="dxa"/>
          </w:tcPr>
          <w:p w14:paraId="5B6BDBAE" w14:textId="77777777" w:rsidR="0047564B" w:rsidRDefault="0047564B" w:rsidP="00FD119B">
            <w:r w:rsidRPr="00FA533B">
              <w:t>DHCP</w:t>
            </w:r>
          </w:p>
        </w:tc>
        <w:tc>
          <w:tcPr>
            <w:tcW w:w="6911" w:type="dxa"/>
          </w:tcPr>
          <w:p w14:paraId="53D77B26" w14:textId="77777777" w:rsidR="0047564B" w:rsidRDefault="0047564B" w:rsidP="00FD119B">
            <w:r>
              <w:t>Dear Healthcare Professional</w:t>
            </w:r>
          </w:p>
        </w:tc>
      </w:tr>
      <w:tr w:rsidR="0047564B" w:rsidRPr="009934FA" w14:paraId="36BFB7E2" w14:textId="77777777" w:rsidTr="00FD119B">
        <w:tc>
          <w:tcPr>
            <w:tcW w:w="1809" w:type="dxa"/>
          </w:tcPr>
          <w:p w14:paraId="64009564" w14:textId="77777777" w:rsidR="0047564B" w:rsidRDefault="0047564B" w:rsidP="00FD119B">
            <w:r>
              <w:t>DLP</w:t>
            </w:r>
          </w:p>
        </w:tc>
        <w:tc>
          <w:tcPr>
            <w:tcW w:w="6911" w:type="dxa"/>
          </w:tcPr>
          <w:p w14:paraId="05700D6D" w14:textId="77777777" w:rsidR="0047564B" w:rsidRDefault="0047564B" w:rsidP="00FD119B">
            <w:r>
              <w:t>Data lock point</w:t>
            </w:r>
          </w:p>
        </w:tc>
      </w:tr>
      <w:tr w:rsidR="0047564B" w:rsidRPr="009934FA" w14:paraId="50A94278" w14:textId="77777777" w:rsidTr="00FD119B">
        <w:tc>
          <w:tcPr>
            <w:tcW w:w="1809" w:type="dxa"/>
          </w:tcPr>
          <w:p w14:paraId="73FE3629" w14:textId="77777777" w:rsidR="0047564B" w:rsidRPr="009934FA" w:rsidRDefault="0047564B" w:rsidP="00FD119B">
            <w:r>
              <w:t>DPP-4</w:t>
            </w:r>
          </w:p>
        </w:tc>
        <w:tc>
          <w:tcPr>
            <w:tcW w:w="6911" w:type="dxa"/>
          </w:tcPr>
          <w:p w14:paraId="7A70B3A9" w14:textId="77777777" w:rsidR="0047564B" w:rsidRPr="009934FA" w:rsidRDefault="0047564B" w:rsidP="00FD119B">
            <w:r>
              <w:t>D</w:t>
            </w:r>
            <w:r w:rsidRPr="007E5E75">
              <w:t>ipeptidyl peptidase-4</w:t>
            </w:r>
            <w:r>
              <w:t xml:space="preserve"> (inhibitor)</w:t>
            </w:r>
          </w:p>
        </w:tc>
      </w:tr>
      <w:tr w:rsidR="0047564B" w:rsidRPr="009934FA" w14:paraId="58A81130" w14:textId="77777777" w:rsidTr="00FD119B">
        <w:tc>
          <w:tcPr>
            <w:tcW w:w="1809" w:type="dxa"/>
          </w:tcPr>
          <w:p w14:paraId="0867DAFA" w14:textId="77777777" w:rsidR="0047564B" w:rsidRPr="0076394A" w:rsidRDefault="0047564B" w:rsidP="0076394A">
            <w:r>
              <w:t>EAC</w:t>
            </w:r>
          </w:p>
        </w:tc>
        <w:tc>
          <w:tcPr>
            <w:tcW w:w="6911" w:type="dxa"/>
          </w:tcPr>
          <w:p w14:paraId="13485315" w14:textId="77777777" w:rsidR="0047564B" w:rsidRDefault="0047564B" w:rsidP="00FD119B">
            <w:r>
              <w:t>E</w:t>
            </w:r>
            <w:r w:rsidRPr="0076394A">
              <w:t>vent adjudication committee</w:t>
            </w:r>
          </w:p>
        </w:tc>
      </w:tr>
      <w:tr w:rsidR="0047564B" w:rsidRPr="009934FA" w14:paraId="1BC2C25C" w14:textId="77777777" w:rsidTr="00FD119B">
        <w:tc>
          <w:tcPr>
            <w:tcW w:w="1809" w:type="dxa"/>
          </w:tcPr>
          <w:p w14:paraId="42A83FFF" w14:textId="77777777" w:rsidR="0047564B" w:rsidRDefault="0047564B" w:rsidP="00FD119B">
            <w:r>
              <w:t>ECG</w:t>
            </w:r>
          </w:p>
        </w:tc>
        <w:tc>
          <w:tcPr>
            <w:tcW w:w="6911" w:type="dxa"/>
          </w:tcPr>
          <w:p w14:paraId="4BABE025" w14:textId="77777777" w:rsidR="0047564B" w:rsidRDefault="0047564B" w:rsidP="00FD119B">
            <w:r>
              <w:t>Electrocardiograph</w:t>
            </w:r>
          </w:p>
        </w:tc>
      </w:tr>
      <w:tr w:rsidR="0047564B" w:rsidRPr="009934FA" w14:paraId="04D31E1A" w14:textId="77777777" w:rsidTr="00FD119B">
        <w:tc>
          <w:tcPr>
            <w:tcW w:w="1809" w:type="dxa"/>
          </w:tcPr>
          <w:p w14:paraId="19A711E0" w14:textId="77777777" w:rsidR="0047564B" w:rsidRPr="009934FA" w:rsidRDefault="0047564B" w:rsidP="00FD119B">
            <w:r>
              <w:t>EMA</w:t>
            </w:r>
          </w:p>
        </w:tc>
        <w:tc>
          <w:tcPr>
            <w:tcW w:w="6911" w:type="dxa"/>
          </w:tcPr>
          <w:p w14:paraId="396578AC" w14:textId="77777777" w:rsidR="0047564B" w:rsidRPr="009934FA" w:rsidRDefault="0047564B" w:rsidP="00FD119B">
            <w:r>
              <w:t>European Medicines Agency</w:t>
            </w:r>
          </w:p>
        </w:tc>
      </w:tr>
      <w:tr w:rsidR="0047564B" w:rsidRPr="009934FA" w14:paraId="40618641" w14:textId="77777777" w:rsidTr="00FD119B">
        <w:tc>
          <w:tcPr>
            <w:tcW w:w="1809" w:type="dxa"/>
          </w:tcPr>
          <w:p w14:paraId="32368717" w14:textId="77777777" w:rsidR="0047564B" w:rsidRPr="009934FA" w:rsidRDefault="0047564B" w:rsidP="00FD119B">
            <w:r>
              <w:t>EU</w:t>
            </w:r>
          </w:p>
        </w:tc>
        <w:tc>
          <w:tcPr>
            <w:tcW w:w="6911" w:type="dxa"/>
          </w:tcPr>
          <w:p w14:paraId="70E9474F" w14:textId="77777777" w:rsidR="0047564B" w:rsidRPr="009934FA" w:rsidRDefault="0047564B" w:rsidP="00FD119B">
            <w:r>
              <w:t>European Union</w:t>
            </w:r>
          </w:p>
        </w:tc>
      </w:tr>
      <w:tr w:rsidR="0047564B" w:rsidRPr="009934FA" w14:paraId="3F841639" w14:textId="77777777" w:rsidTr="00FD119B">
        <w:tc>
          <w:tcPr>
            <w:tcW w:w="1809" w:type="dxa"/>
          </w:tcPr>
          <w:p w14:paraId="78683C75" w14:textId="77777777" w:rsidR="0047564B" w:rsidRPr="009934FA" w:rsidRDefault="0047564B" w:rsidP="00FD119B">
            <w:r>
              <w:t>FDA</w:t>
            </w:r>
          </w:p>
        </w:tc>
        <w:tc>
          <w:tcPr>
            <w:tcW w:w="6911" w:type="dxa"/>
          </w:tcPr>
          <w:p w14:paraId="51E45455" w14:textId="77777777" w:rsidR="0047564B" w:rsidRPr="009934FA" w:rsidRDefault="0047564B" w:rsidP="00FD119B">
            <w:r>
              <w:t>Food and Drug Administration (US)</w:t>
            </w:r>
          </w:p>
        </w:tc>
      </w:tr>
      <w:tr w:rsidR="0047564B" w:rsidRPr="009934FA" w14:paraId="2866B508" w14:textId="77777777" w:rsidTr="00FD119B">
        <w:tc>
          <w:tcPr>
            <w:tcW w:w="1809" w:type="dxa"/>
          </w:tcPr>
          <w:p w14:paraId="49555E46" w14:textId="77777777" w:rsidR="0047564B" w:rsidRPr="00FA533B" w:rsidRDefault="0047564B" w:rsidP="00FD119B">
            <w:r>
              <w:t>GIR</w:t>
            </w:r>
          </w:p>
        </w:tc>
        <w:tc>
          <w:tcPr>
            <w:tcW w:w="6911" w:type="dxa"/>
          </w:tcPr>
          <w:p w14:paraId="6B0E8DE7" w14:textId="77777777" w:rsidR="0047564B" w:rsidRDefault="0047564B" w:rsidP="00FD119B">
            <w:r>
              <w:t>Glucose infusion rate</w:t>
            </w:r>
          </w:p>
        </w:tc>
      </w:tr>
      <w:tr w:rsidR="0047564B" w:rsidRPr="009934FA" w14:paraId="5E2A1AF2" w14:textId="77777777" w:rsidTr="00FD119B">
        <w:tc>
          <w:tcPr>
            <w:tcW w:w="1809" w:type="dxa"/>
          </w:tcPr>
          <w:p w14:paraId="073BACC8" w14:textId="77777777" w:rsidR="0047564B" w:rsidRPr="009934FA" w:rsidRDefault="0047564B" w:rsidP="00FD119B">
            <w:r>
              <w:t>GLP-1</w:t>
            </w:r>
          </w:p>
        </w:tc>
        <w:tc>
          <w:tcPr>
            <w:tcW w:w="6911" w:type="dxa"/>
          </w:tcPr>
          <w:p w14:paraId="176022F7" w14:textId="77777777" w:rsidR="0047564B" w:rsidRPr="009934FA" w:rsidRDefault="0047564B" w:rsidP="00FD119B">
            <w:r>
              <w:t>Glucagon like peptide-1 (agonist)</w:t>
            </w:r>
          </w:p>
        </w:tc>
      </w:tr>
      <w:tr w:rsidR="0047564B" w:rsidRPr="009934FA" w14:paraId="61E0B3FE" w14:textId="77777777" w:rsidTr="00FD119B">
        <w:tc>
          <w:tcPr>
            <w:tcW w:w="1809" w:type="dxa"/>
          </w:tcPr>
          <w:p w14:paraId="10589F1E" w14:textId="77777777" w:rsidR="0047564B" w:rsidRDefault="0047564B" w:rsidP="00FD119B">
            <w:r>
              <w:lastRenderedPageBreak/>
              <w:t>HbA1c</w:t>
            </w:r>
          </w:p>
        </w:tc>
        <w:tc>
          <w:tcPr>
            <w:tcW w:w="6911" w:type="dxa"/>
          </w:tcPr>
          <w:p w14:paraId="32DCF646" w14:textId="77777777" w:rsidR="0047564B" w:rsidRDefault="0047564B" w:rsidP="00FD119B">
            <w:r>
              <w:t>Glycated haemoglobin</w:t>
            </w:r>
          </w:p>
        </w:tc>
      </w:tr>
      <w:tr w:rsidR="0047564B" w:rsidRPr="009934FA" w14:paraId="38FC5A80" w14:textId="77777777" w:rsidTr="00FD119B">
        <w:tc>
          <w:tcPr>
            <w:tcW w:w="1809" w:type="dxa"/>
          </w:tcPr>
          <w:p w14:paraId="04660BF1" w14:textId="77777777" w:rsidR="0047564B" w:rsidRDefault="0047564B" w:rsidP="00FD119B">
            <w:r w:rsidRPr="009934FA">
              <w:t>hERG K</w:t>
            </w:r>
            <w:r w:rsidRPr="009934FA">
              <w:rPr>
                <w:vertAlign w:val="superscript"/>
              </w:rPr>
              <w:t>+</w:t>
            </w:r>
          </w:p>
        </w:tc>
        <w:tc>
          <w:tcPr>
            <w:tcW w:w="6911" w:type="dxa"/>
          </w:tcPr>
          <w:p w14:paraId="59E4C8E8" w14:textId="77777777" w:rsidR="0047564B" w:rsidRDefault="0047564B" w:rsidP="00FD119B">
            <w:r>
              <w:t>Potassium channel</w:t>
            </w:r>
          </w:p>
        </w:tc>
      </w:tr>
      <w:tr w:rsidR="0047564B" w:rsidRPr="009934FA" w14:paraId="4A85095C" w14:textId="77777777" w:rsidTr="00FD119B">
        <w:tc>
          <w:tcPr>
            <w:tcW w:w="1809" w:type="dxa"/>
          </w:tcPr>
          <w:p w14:paraId="4428C1C2" w14:textId="77777777" w:rsidR="0047564B" w:rsidRPr="004211C3" w:rsidRDefault="0047564B" w:rsidP="00FD119B">
            <w:pPr>
              <w:rPr>
                <w:vertAlign w:val="subscript"/>
              </w:rPr>
            </w:pPr>
            <w:r>
              <w:t>IC</w:t>
            </w:r>
            <w:r>
              <w:rPr>
                <w:vertAlign w:val="subscript"/>
              </w:rPr>
              <w:t>50</w:t>
            </w:r>
          </w:p>
        </w:tc>
        <w:tc>
          <w:tcPr>
            <w:tcW w:w="6911" w:type="dxa"/>
          </w:tcPr>
          <w:p w14:paraId="6A9E0079" w14:textId="77777777" w:rsidR="0047564B" w:rsidRDefault="0047564B" w:rsidP="00FD119B">
            <w:r>
              <w:t>Half maximal inhibitory concentration</w:t>
            </w:r>
          </w:p>
        </w:tc>
      </w:tr>
      <w:tr w:rsidR="0047564B" w:rsidRPr="009934FA" w14:paraId="1D963B70" w14:textId="77777777" w:rsidTr="00FD119B">
        <w:tc>
          <w:tcPr>
            <w:tcW w:w="1809" w:type="dxa"/>
          </w:tcPr>
          <w:p w14:paraId="6CC4DB5F" w14:textId="77777777" w:rsidR="0047564B" w:rsidRPr="009934FA" w:rsidRDefault="0047564B" w:rsidP="00FD119B">
            <w:r>
              <w:t>ICH</w:t>
            </w:r>
          </w:p>
        </w:tc>
        <w:tc>
          <w:tcPr>
            <w:tcW w:w="6911" w:type="dxa"/>
          </w:tcPr>
          <w:p w14:paraId="5720BA41" w14:textId="77777777" w:rsidR="0047564B" w:rsidRPr="009934FA" w:rsidRDefault="0047564B" w:rsidP="00FD119B">
            <w:r>
              <w:t>International Conference on Harmonisation</w:t>
            </w:r>
          </w:p>
        </w:tc>
      </w:tr>
      <w:tr w:rsidR="0047564B" w:rsidRPr="009934FA" w14:paraId="6CA5DB87" w14:textId="77777777" w:rsidTr="00FD119B">
        <w:tc>
          <w:tcPr>
            <w:tcW w:w="1809" w:type="dxa"/>
          </w:tcPr>
          <w:p w14:paraId="2772F9C7" w14:textId="77777777" w:rsidR="0047564B" w:rsidRPr="009934FA" w:rsidRDefault="0047564B" w:rsidP="00FD119B">
            <w:r>
              <w:t>IDeg</w:t>
            </w:r>
          </w:p>
        </w:tc>
        <w:tc>
          <w:tcPr>
            <w:tcW w:w="6911" w:type="dxa"/>
          </w:tcPr>
          <w:p w14:paraId="00E502B7" w14:textId="77777777" w:rsidR="0047564B" w:rsidRPr="009934FA" w:rsidRDefault="0047564B" w:rsidP="00FD119B">
            <w:r>
              <w:t>Insulin degludec</w:t>
            </w:r>
          </w:p>
        </w:tc>
      </w:tr>
      <w:tr w:rsidR="0047564B" w:rsidRPr="009934FA" w14:paraId="6FA10598" w14:textId="77777777" w:rsidTr="00FD119B">
        <w:tc>
          <w:tcPr>
            <w:tcW w:w="1809" w:type="dxa"/>
          </w:tcPr>
          <w:p w14:paraId="31E3BAF6" w14:textId="77777777" w:rsidR="0047564B" w:rsidRDefault="0047564B" w:rsidP="00FD119B">
            <w:r>
              <w:t>IDegAsp</w:t>
            </w:r>
          </w:p>
        </w:tc>
        <w:tc>
          <w:tcPr>
            <w:tcW w:w="6911" w:type="dxa"/>
          </w:tcPr>
          <w:p w14:paraId="08884A8F" w14:textId="77777777" w:rsidR="0047564B" w:rsidRDefault="0047564B" w:rsidP="00FD119B">
            <w:r>
              <w:t>Combination of insulin degludec and insulin aspart</w:t>
            </w:r>
          </w:p>
        </w:tc>
      </w:tr>
      <w:tr w:rsidR="0047564B" w:rsidRPr="009934FA" w14:paraId="1D7E6A7B" w14:textId="77777777" w:rsidTr="00FD119B">
        <w:tc>
          <w:tcPr>
            <w:tcW w:w="1809" w:type="dxa"/>
          </w:tcPr>
          <w:p w14:paraId="0F609A86" w14:textId="77777777" w:rsidR="0047564B" w:rsidRDefault="0047564B" w:rsidP="00FD119B">
            <w:r>
              <w:t>IGF-1</w:t>
            </w:r>
          </w:p>
        </w:tc>
        <w:tc>
          <w:tcPr>
            <w:tcW w:w="6911" w:type="dxa"/>
          </w:tcPr>
          <w:p w14:paraId="0814B55D" w14:textId="77777777" w:rsidR="0047564B" w:rsidRDefault="0047564B" w:rsidP="00FD119B">
            <w:r>
              <w:t>I</w:t>
            </w:r>
            <w:r w:rsidRPr="00C37C3C">
              <w:t>nsulin like growth factor-1</w:t>
            </w:r>
          </w:p>
        </w:tc>
      </w:tr>
      <w:tr w:rsidR="0047564B" w:rsidRPr="009934FA" w14:paraId="00F089BE" w14:textId="77777777" w:rsidTr="00FD119B">
        <w:tc>
          <w:tcPr>
            <w:tcW w:w="1809" w:type="dxa"/>
          </w:tcPr>
          <w:p w14:paraId="15C7C548" w14:textId="77777777" w:rsidR="0047564B" w:rsidRDefault="0047564B" w:rsidP="00FD119B">
            <w:r>
              <w:t>IGlar</w:t>
            </w:r>
          </w:p>
        </w:tc>
        <w:tc>
          <w:tcPr>
            <w:tcW w:w="6911" w:type="dxa"/>
          </w:tcPr>
          <w:p w14:paraId="2BE81168" w14:textId="5A76ED83" w:rsidR="0047564B" w:rsidRDefault="00A51C17" w:rsidP="00FD119B">
            <w:r>
              <w:t>Insulin</w:t>
            </w:r>
            <w:r w:rsidR="0047564B">
              <w:t xml:space="preserve"> glargine</w:t>
            </w:r>
          </w:p>
        </w:tc>
      </w:tr>
      <w:tr w:rsidR="0047564B" w:rsidRPr="009934FA" w14:paraId="212A9B1D" w14:textId="77777777" w:rsidTr="00FD119B">
        <w:tc>
          <w:tcPr>
            <w:tcW w:w="1809" w:type="dxa"/>
          </w:tcPr>
          <w:p w14:paraId="26E0F207" w14:textId="77777777" w:rsidR="0047564B" w:rsidRDefault="0047564B" w:rsidP="00FD119B">
            <w:r>
              <w:t>IV</w:t>
            </w:r>
          </w:p>
        </w:tc>
        <w:tc>
          <w:tcPr>
            <w:tcW w:w="6911" w:type="dxa"/>
          </w:tcPr>
          <w:p w14:paraId="1EB1AC45" w14:textId="77777777" w:rsidR="0047564B" w:rsidRDefault="0047564B" w:rsidP="00FD119B">
            <w:r>
              <w:t>Intravenous</w:t>
            </w:r>
          </w:p>
        </w:tc>
      </w:tr>
      <w:tr w:rsidR="0047564B" w:rsidRPr="009934FA" w14:paraId="67037403" w14:textId="77777777" w:rsidTr="00FD119B">
        <w:tc>
          <w:tcPr>
            <w:tcW w:w="1809" w:type="dxa"/>
          </w:tcPr>
          <w:p w14:paraId="7A8D60AA" w14:textId="77777777" w:rsidR="0047564B" w:rsidRDefault="0047564B" w:rsidP="00FD119B">
            <w:r>
              <w:t>L6</w:t>
            </w:r>
          </w:p>
        </w:tc>
        <w:tc>
          <w:tcPr>
            <w:tcW w:w="6911" w:type="dxa"/>
          </w:tcPr>
          <w:p w14:paraId="1CC25A00" w14:textId="77777777" w:rsidR="0047564B" w:rsidRDefault="0047564B" w:rsidP="00FD119B">
            <w:r>
              <w:t>Immortalised rat skeletal myoblast cell line</w:t>
            </w:r>
          </w:p>
        </w:tc>
      </w:tr>
      <w:tr w:rsidR="0047564B" w:rsidRPr="009934FA" w14:paraId="5BE84E51" w14:textId="77777777" w:rsidTr="00FD119B">
        <w:tc>
          <w:tcPr>
            <w:tcW w:w="1809" w:type="dxa"/>
          </w:tcPr>
          <w:p w14:paraId="0A8671E8" w14:textId="77777777" w:rsidR="0047564B" w:rsidRDefault="0047564B" w:rsidP="00FD119B">
            <w:r>
              <w:t>MCF-7</w:t>
            </w:r>
          </w:p>
        </w:tc>
        <w:tc>
          <w:tcPr>
            <w:tcW w:w="6911" w:type="dxa"/>
          </w:tcPr>
          <w:p w14:paraId="62CC8A73" w14:textId="77777777" w:rsidR="0047564B" w:rsidRDefault="0047564B" w:rsidP="00FD119B">
            <w:r>
              <w:t>Human breast adenocarcinoma cell line</w:t>
            </w:r>
          </w:p>
        </w:tc>
      </w:tr>
      <w:tr w:rsidR="0047564B" w:rsidRPr="009934FA" w14:paraId="33B6AF20" w14:textId="77777777" w:rsidTr="00FD119B">
        <w:tc>
          <w:tcPr>
            <w:tcW w:w="1809" w:type="dxa"/>
          </w:tcPr>
          <w:p w14:paraId="7A1172E2" w14:textId="77777777" w:rsidR="0047564B" w:rsidRPr="009934FA" w:rsidRDefault="0047564B" w:rsidP="00FD119B">
            <w:r>
              <w:t>MI</w:t>
            </w:r>
          </w:p>
        </w:tc>
        <w:tc>
          <w:tcPr>
            <w:tcW w:w="6911" w:type="dxa"/>
          </w:tcPr>
          <w:p w14:paraId="0A7132CE" w14:textId="77777777" w:rsidR="0047564B" w:rsidRPr="009934FA" w:rsidRDefault="0047564B" w:rsidP="00FD119B">
            <w:r>
              <w:t>Myocardial infarction</w:t>
            </w:r>
          </w:p>
        </w:tc>
      </w:tr>
      <w:tr w:rsidR="00213303" w:rsidRPr="009934FA" w14:paraId="60079416" w14:textId="77777777" w:rsidTr="00FD119B">
        <w:tc>
          <w:tcPr>
            <w:tcW w:w="1809" w:type="dxa"/>
          </w:tcPr>
          <w:p w14:paraId="266A26FC" w14:textId="40AB1772" w:rsidR="00213303" w:rsidRDefault="00213303" w:rsidP="00FD119B">
            <w:r>
              <w:t>OD</w:t>
            </w:r>
          </w:p>
        </w:tc>
        <w:tc>
          <w:tcPr>
            <w:tcW w:w="6911" w:type="dxa"/>
          </w:tcPr>
          <w:p w14:paraId="51666398" w14:textId="7EAF5125" w:rsidR="00213303" w:rsidRPr="00FB5BA1" w:rsidRDefault="00213303" w:rsidP="00FD119B">
            <w:r>
              <w:t>Once daily</w:t>
            </w:r>
          </w:p>
        </w:tc>
      </w:tr>
      <w:tr w:rsidR="0047564B" w:rsidRPr="009934FA" w14:paraId="4D56457A" w14:textId="77777777" w:rsidTr="00FD119B">
        <w:tc>
          <w:tcPr>
            <w:tcW w:w="1809" w:type="dxa"/>
          </w:tcPr>
          <w:p w14:paraId="02693180" w14:textId="77777777" w:rsidR="0047564B" w:rsidRDefault="0047564B" w:rsidP="00FD119B">
            <w:r>
              <w:t>PBRER</w:t>
            </w:r>
          </w:p>
        </w:tc>
        <w:tc>
          <w:tcPr>
            <w:tcW w:w="6911" w:type="dxa"/>
          </w:tcPr>
          <w:p w14:paraId="189CAAEF" w14:textId="77777777" w:rsidR="0047564B" w:rsidRDefault="0047564B" w:rsidP="00FD119B">
            <w:r w:rsidRPr="00FB5BA1">
              <w:t>Periodic Benefit-Risk Evaluation Report</w:t>
            </w:r>
          </w:p>
        </w:tc>
      </w:tr>
      <w:tr w:rsidR="0047564B" w:rsidRPr="009934FA" w14:paraId="67694D4F" w14:textId="77777777" w:rsidTr="00FD119B">
        <w:tc>
          <w:tcPr>
            <w:tcW w:w="1809" w:type="dxa"/>
          </w:tcPr>
          <w:p w14:paraId="01B44213" w14:textId="77777777" w:rsidR="0047564B" w:rsidRPr="009934FA" w:rsidRDefault="0047564B" w:rsidP="00FD119B">
            <w:r>
              <w:t>PI</w:t>
            </w:r>
          </w:p>
        </w:tc>
        <w:tc>
          <w:tcPr>
            <w:tcW w:w="6911" w:type="dxa"/>
          </w:tcPr>
          <w:p w14:paraId="7B5783D4" w14:textId="77777777" w:rsidR="0047564B" w:rsidRPr="009934FA" w:rsidRDefault="0047564B" w:rsidP="00FD119B">
            <w:r>
              <w:t>Product Information</w:t>
            </w:r>
          </w:p>
        </w:tc>
      </w:tr>
      <w:tr w:rsidR="0047564B" w:rsidRPr="009934FA" w14:paraId="69D4D6AA" w14:textId="77777777" w:rsidTr="00FD119B">
        <w:tc>
          <w:tcPr>
            <w:tcW w:w="1809" w:type="dxa"/>
          </w:tcPr>
          <w:p w14:paraId="4DC7B2D4" w14:textId="77777777" w:rsidR="0047564B" w:rsidRPr="009934FA" w:rsidRDefault="0047564B" w:rsidP="00FD119B">
            <w:r>
              <w:t>PMDA</w:t>
            </w:r>
          </w:p>
        </w:tc>
        <w:tc>
          <w:tcPr>
            <w:tcW w:w="6911" w:type="dxa"/>
          </w:tcPr>
          <w:p w14:paraId="012454C6" w14:textId="77777777" w:rsidR="0047564B" w:rsidRPr="009934FA" w:rsidRDefault="0047564B" w:rsidP="00FD119B">
            <w:r>
              <w:t>Pharmaceuticals and Medical Devices Agency (Japan)</w:t>
            </w:r>
          </w:p>
        </w:tc>
      </w:tr>
      <w:tr w:rsidR="0047564B" w:rsidRPr="009934FA" w14:paraId="58C17660" w14:textId="77777777" w:rsidTr="00FD119B">
        <w:tc>
          <w:tcPr>
            <w:tcW w:w="1809" w:type="dxa"/>
          </w:tcPr>
          <w:p w14:paraId="253C3471" w14:textId="77777777" w:rsidR="0047564B" w:rsidRDefault="0047564B" w:rsidP="00FD119B">
            <w:r>
              <w:t>PSUR</w:t>
            </w:r>
          </w:p>
        </w:tc>
        <w:tc>
          <w:tcPr>
            <w:tcW w:w="6911" w:type="dxa"/>
          </w:tcPr>
          <w:p w14:paraId="11B49B96" w14:textId="77777777" w:rsidR="0047564B" w:rsidRDefault="0047564B" w:rsidP="00FD119B">
            <w:r w:rsidRPr="00FB5BA1">
              <w:t>Periodic Safety Update Report</w:t>
            </w:r>
          </w:p>
        </w:tc>
      </w:tr>
      <w:tr w:rsidR="0047564B" w:rsidRPr="009934FA" w14:paraId="39C2DA9A" w14:textId="77777777" w:rsidTr="00FD119B">
        <w:tc>
          <w:tcPr>
            <w:tcW w:w="1809" w:type="dxa"/>
          </w:tcPr>
          <w:p w14:paraId="10E71326" w14:textId="77777777" w:rsidR="0047564B" w:rsidRDefault="0047564B" w:rsidP="0076394A">
            <w:r>
              <w:t>PYE</w:t>
            </w:r>
          </w:p>
        </w:tc>
        <w:tc>
          <w:tcPr>
            <w:tcW w:w="6911" w:type="dxa"/>
          </w:tcPr>
          <w:p w14:paraId="0BD65D38" w14:textId="77777777" w:rsidR="0047564B" w:rsidRDefault="0047564B" w:rsidP="00FD119B">
            <w:r>
              <w:t>Patient years of exposure</w:t>
            </w:r>
          </w:p>
        </w:tc>
      </w:tr>
      <w:tr w:rsidR="0047564B" w:rsidRPr="009934FA" w14:paraId="49F7AEE0" w14:textId="77777777" w:rsidTr="00FD119B">
        <w:tc>
          <w:tcPr>
            <w:tcW w:w="1809" w:type="dxa"/>
          </w:tcPr>
          <w:p w14:paraId="034914B3" w14:textId="77777777" w:rsidR="0047564B" w:rsidRPr="008D3BBD" w:rsidRDefault="0047564B" w:rsidP="008D3BBD">
            <w:r>
              <w:t>QTc</w:t>
            </w:r>
          </w:p>
        </w:tc>
        <w:tc>
          <w:tcPr>
            <w:tcW w:w="6911" w:type="dxa"/>
          </w:tcPr>
          <w:p w14:paraId="25ABC6D5" w14:textId="77777777" w:rsidR="0047564B" w:rsidRPr="008D3BBD" w:rsidRDefault="0047564B" w:rsidP="008D3BBD">
            <w:r w:rsidRPr="008D3BBD">
              <w:rPr>
                <w:lang w:val="en-GB"/>
              </w:rPr>
              <w:t>Corrected QT interval; measurement of the time taken from the start of the Q wave to the end of the T wave in the cardiac cycle, corrected for heart rate</w:t>
            </w:r>
          </w:p>
        </w:tc>
      </w:tr>
      <w:tr w:rsidR="0047564B" w:rsidRPr="009934FA" w14:paraId="22564C5F" w14:textId="77777777" w:rsidTr="00FD119B">
        <w:tc>
          <w:tcPr>
            <w:tcW w:w="1809" w:type="dxa"/>
          </w:tcPr>
          <w:p w14:paraId="3DFC9B85" w14:textId="77777777" w:rsidR="0047564B" w:rsidRDefault="0047564B" w:rsidP="0076394A">
            <w:r>
              <w:t>RACGP</w:t>
            </w:r>
          </w:p>
        </w:tc>
        <w:tc>
          <w:tcPr>
            <w:tcW w:w="6911" w:type="dxa"/>
          </w:tcPr>
          <w:p w14:paraId="1EE7167C" w14:textId="77777777" w:rsidR="0047564B" w:rsidRDefault="0047564B" w:rsidP="00FD119B">
            <w:r>
              <w:t>Royal Australian College of General Practitioners</w:t>
            </w:r>
          </w:p>
        </w:tc>
      </w:tr>
      <w:tr w:rsidR="0047564B" w:rsidRPr="009934FA" w14:paraId="52A7BC08" w14:textId="77777777" w:rsidTr="00FD119B">
        <w:tc>
          <w:tcPr>
            <w:tcW w:w="1809" w:type="dxa"/>
          </w:tcPr>
          <w:p w14:paraId="63BC8A43" w14:textId="77777777" w:rsidR="0047564B" w:rsidRDefault="0047564B" w:rsidP="00FD119B">
            <w:r>
              <w:t>RMP</w:t>
            </w:r>
          </w:p>
        </w:tc>
        <w:tc>
          <w:tcPr>
            <w:tcW w:w="6911" w:type="dxa"/>
          </w:tcPr>
          <w:p w14:paraId="53111D8E" w14:textId="77777777" w:rsidR="0047564B" w:rsidRDefault="0047564B" w:rsidP="00FD119B">
            <w:r>
              <w:t>Risk management plan</w:t>
            </w:r>
          </w:p>
        </w:tc>
      </w:tr>
      <w:tr w:rsidR="0047564B" w:rsidRPr="009934FA" w14:paraId="0B7D5762" w14:textId="77777777" w:rsidTr="00FD119B">
        <w:tc>
          <w:tcPr>
            <w:tcW w:w="1809" w:type="dxa"/>
          </w:tcPr>
          <w:p w14:paraId="07E56AE2" w14:textId="77777777" w:rsidR="0047564B" w:rsidRDefault="0047564B" w:rsidP="00FD119B">
            <w:r>
              <w:t>SC</w:t>
            </w:r>
          </w:p>
        </w:tc>
        <w:tc>
          <w:tcPr>
            <w:tcW w:w="6911" w:type="dxa"/>
          </w:tcPr>
          <w:p w14:paraId="074209C4" w14:textId="77777777" w:rsidR="0047564B" w:rsidRDefault="0047564B" w:rsidP="00FD119B">
            <w:r>
              <w:t>Subcutaneous</w:t>
            </w:r>
          </w:p>
        </w:tc>
      </w:tr>
      <w:tr w:rsidR="0047564B" w:rsidRPr="009934FA" w14:paraId="5B58A130" w14:textId="77777777" w:rsidTr="00FD119B">
        <w:tc>
          <w:tcPr>
            <w:tcW w:w="1809" w:type="dxa"/>
          </w:tcPr>
          <w:p w14:paraId="628E0066" w14:textId="77777777" w:rsidR="0047564B" w:rsidRPr="009934FA" w:rsidRDefault="0047564B" w:rsidP="00FD119B">
            <w:r>
              <w:t>SGLT-2</w:t>
            </w:r>
          </w:p>
        </w:tc>
        <w:tc>
          <w:tcPr>
            <w:tcW w:w="6911" w:type="dxa"/>
          </w:tcPr>
          <w:p w14:paraId="7CB232ED" w14:textId="77777777" w:rsidR="0047564B" w:rsidRPr="009934FA" w:rsidRDefault="0047564B" w:rsidP="00FD119B">
            <w:r>
              <w:rPr>
                <w:bCs/>
              </w:rPr>
              <w:t>S</w:t>
            </w:r>
            <w:r w:rsidRPr="007E5E75">
              <w:rPr>
                <w:bCs/>
              </w:rPr>
              <w:t>odium/glucose cotransporter-</w:t>
            </w:r>
            <w:r>
              <w:rPr>
                <w:bCs/>
              </w:rPr>
              <w:t>2 (inhibitor</w:t>
            </w:r>
          </w:p>
        </w:tc>
      </w:tr>
      <w:tr w:rsidR="0047564B" w:rsidRPr="009934FA" w14:paraId="6B60F7C4" w14:textId="77777777" w:rsidTr="00FD119B">
        <w:tc>
          <w:tcPr>
            <w:tcW w:w="1809" w:type="dxa"/>
          </w:tcPr>
          <w:p w14:paraId="722C8846" w14:textId="77777777" w:rsidR="0047564B" w:rsidRPr="009934FA" w:rsidRDefault="0047564B" w:rsidP="00FD119B">
            <w:r>
              <w:t>T1DM</w:t>
            </w:r>
          </w:p>
        </w:tc>
        <w:tc>
          <w:tcPr>
            <w:tcW w:w="6911" w:type="dxa"/>
          </w:tcPr>
          <w:p w14:paraId="3174DD77" w14:textId="77777777" w:rsidR="0047564B" w:rsidRPr="009934FA" w:rsidRDefault="0047564B" w:rsidP="00FD119B">
            <w:r>
              <w:t>Type 1 diabetes mellitus</w:t>
            </w:r>
          </w:p>
        </w:tc>
      </w:tr>
      <w:tr w:rsidR="0047564B" w:rsidRPr="009934FA" w14:paraId="728AA2E2" w14:textId="77777777" w:rsidTr="00FD119B">
        <w:tc>
          <w:tcPr>
            <w:tcW w:w="1809" w:type="dxa"/>
          </w:tcPr>
          <w:p w14:paraId="020E1CBB" w14:textId="77777777" w:rsidR="0047564B" w:rsidRPr="009934FA" w:rsidRDefault="0047564B" w:rsidP="00FD119B">
            <w:r>
              <w:t>T2DM</w:t>
            </w:r>
          </w:p>
        </w:tc>
        <w:tc>
          <w:tcPr>
            <w:tcW w:w="6911" w:type="dxa"/>
          </w:tcPr>
          <w:p w14:paraId="7270F597" w14:textId="77777777" w:rsidR="0047564B" w:rsidRPr="009934FA" w:rsidRDefault="0047564B" w:rsidP="00FD119B">
            <w:r>
              <w:t>Type 2 diabetes mellitus</w:t>
            </w:r>
          </w:p>
        </w:tc>
      </w:tr>
      <w:tr w:rsidR="0047564B" w:rsidRPr="009934FA" w14:paraId="78DCD651" w14:textId="77777777" w:rsidTr="00FD119B">
        <w:tc>
          <w:tcPr>
            <w:tcW w:w="1809" w:type="dxa"/>
          </w:tcPr>
          <w:p w14:paraId="4B97A0C7" w14:textId="77777777" w:rsidR="0047564B" w:rsidRDefault="0047564B" w:rsidP="00FD119B">
            <w:r>
              <w:lastRenderedPageBreak/>
              <w:t>T</w:t>
            </w:r>
            <w:r w:rsidRPr="009934FA">
              <w:rPr>
                <w:vertAlign w:val="subscript"/>
              </w:rPr>
              <w:t>max</w:t>
            </w:r>
          </w:p>
        </w:tc>
        <w:tc>
          <w:tcPr>
            <w:tcW w:w="6911" w:type="dxa"/>
          </w:tcPr>
          <w:p w14:paraId="12FFC2B2" w14:textId="77777777" w:rsidR="0047564B" w:rsidRDefault="0047564B" w:rsidP="00FD119B">
            <w:r>
              <w:t>Time to maximum serum concentration</w:t>
            </w:r>
          </w:p>
        </w:tc>
      </w:tr>
      <w:tr w:rsidR="0047564B" w:rsidRPr="009934FA" w14:paraId="106483D6" w14:textId="77777777" w:rsidTr="00FD119B">
        <w:tc>
          <w:tcPr>
            <w:tcW w:w="1809" w:type="dxa"/>
          </w:tcPr>
          <w:p w14:paraId="4B16CF58" w14:textId="77777777" w:rsidR="0047564B" w:rsidRPr="009934FA" w:rsidRDefault="0047564B" w:rsidP="00FD119B">
            <w:r>
              <w:t>US</w:t>
            </w:r>
          </w:p>
        </w:tc>
        <w:tc>
          <w:tcPr>
            <w:tcW w:w="6911" w:type="dxa"/>
          </w:tcPr>
          <w:p w14:paraId="451D4ECA" w14:textId="77777777" w:rsidR="0047564B" w:rsidRPr="009934FA" w:rsidRDefault="0047564B" w:rsidP="00FD119B">
            <w:r>
              <w:t>United States (of America)</w:t>
            </w:r>
          </w:p>
        </w:tc>
      </w:tr>
      <w:tr w:rsidR="0047564B" w:rsidRPr="009934FA" w14:paraId="70D42540" w14:textId="77777777" w:rsidTr="00FD119B">
        <w:tc>
          <w:tcPr>
            <w:tcW w:w="1809" w:type="dxa"/>
          </w:tcPr>
          <w:p w14:paraId="7B226428" w14:textId="77777777" w:rsidR="0047564B" w:rsidRPr="00FA533B" w:rsidRDefault="0047564B" w:rsidP="00FD119B">
            <w:r w:rsidRPr="00E611C1">
              <w:rPr>
                <w:vertAlign w:val="subscript"/>
                <w:lang w:val="en-GB"/>
              </w:rPr>
              <w:t>τ,0-24h</w:t>
            </w:r>
          </w:p>
        </w:tc>
        <w:tc>
          <w:tcPr>
            <w:tcW w:w="6911" w:type="dxa"/>
          </w:tcPr>
          <w:p w14:paraId="7169544E" w14:textId="77777777" w:rsidR="0047564B" w:rsidRDefault="0047564B" w:rsidP="00FD119B">
            <w:r>
              <w:t>1 dosing interval (of IDeg)</w:t>
            </w:r>
          </w:p>
        </w:tc>
      </w:tr>
    </w:tbl>
    <w:p w14:paraId="411CBFF3" w14:textId="77777777" w:rsidR="008E7846" w:rsidRPr="009934FA" w:rsidRDefault="00F53C07" w:rsidP="00EA5C2D">
      <w:pPr>
        <w:pStyle w:val="Heading2"/>
        <w:pageBreakBefore/>
      </w:pPr>
      <w:bookmarkStart w:id="8" w:name="_Toc517697085"/>
      <w:r w:rsidRPr="009934FA">
        <w:lastRenderedPageBreak/>
        <w:t>I.</w:t>
      </w:r>
      <w:r w:rsidR="008E7846" w:rsidRPr="009934FA">
        <w:t xml:space="preserve"> Introduction to product submission</w:t>
      </w:r>
      <w:bookmarkEnd w:id="2"/>
      <w:bookmarkEnd w:id="0"/>
      <w:bookmarkEnd w:id="8"/>
    </w:p>
    <w:p w14:paraId="06FCA2A0" w14:textId="77777777" w:rsidR="008E7846" w:rsidRPr="009934FA" w:rsidRDefault="008E7846" w:rsidP="008E7846">
      <w:pPr>
        <w:pStyle w:val="Heading3"/>
        <w:rPr>
          <w:lang w:eastAsia="en-AU"/>
        </w:rPr>
      </w:pPr>
      <w:bookmarkStart w:id="9" w:name="_Toc247691502"/>
      <w:bookmarkStart w:id="10" w:name="_Toc314842483"/>
      <w:bookmarkStart w:id="11" w:name="_Toc517697086"/>
      <w:r w:rsidRPr="009934FA">
        <w:rPr>
          <w:lang w:eastAsia="en-AU"/>
        </w:rPr>
        <w:t>Submission details</w:t>
      </w:r>
      <w:bookmarkEnd w:id="9"/>
      <w:bookmarkEnd w:id="10"/>
      <w:bookmarkEnd w:id="11"/>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9934FA" w14:paraId="3B832305" w14:textId="77777777" w:rsidTr="00EA5C2D">
        <w:trPr>
          <w:trHeight w:hRule="exact" w:val="454"/>
        </w:trPr>
        <w:tc>
          <w:tcPr>
            <w:tcW w:w="2907" w:type="dxa"/>
          </w:tcPr>
          <w:p w14:paraId="24F78355" w14:textId="77777777" w:rsidR="008E7846" w:rsidRPr="009934FA" w:rsidRDefault="001B5C90" w:rsidP="001B5C90">
            <w:pPr>
              <w:rPr>
                <w:i/>
              </w:rPr>
            </w:pPr>
            <w:r w:rsidRPr="009934FA">
              <w:rPr>
                <w:i/>
              </w:rPr>
              <w:t>Type of s</w:t>
            </w:r>
            <w:r w:rsidR="008E7846" w:rsidRPr="009934FA">
              <w:rPr>
                <w:i/>
              </w:rPr>
              <w:t>ubmission</w:t>
            </w:r>
            <w:r w:rsidRPr="009934FA">
              <w:rPr>
                <w:i/>
              </w:rPr>
              <w:t>:</w:t>
            </w:r>
          </w:p>
        </w:tc>
        <w:tc>
          <w:tcPr>
            <w:tcW w:w="6590" w:type="dxa"/>
            <w:gridSpan w:val="2"/>
          </w:tcPr>
          <w:p w14:paraId="467617FD" w14:textId="0F9071F4" w:rsidR="008E7846" w:rsidRPr="009934FA" w:rsidRDefault="008E7846" w:rsidP="00E27709">
            <w:r w:rsidRPr="009934FA">
              <w:t xml:space="preserve">New </w:t>
            </w:r>
            <w:r w:rsidR="001B5C90" w:rsidRPr="009934FA">
              <w:t>c</w:t>
            </w:r>
            <w:r w:rsidRPr="009934FA">
              <w:t xml:space="preserve">hemical </w:t>
            </w:r>
            <w:r w:rsidR="001B5C90" w:rsidRPr="009934FA">
              <w:t>e</w:t>
            </w:r>
            <w:r w:rsidR="00E27709" w:rsidRPr="009934FA">
              <w:t>ntity</w:t>
            </w:r>
          </w:p>
        </w:tc>
      </w:tr>
      <w:tr w:rsidR="008E7846" w:rsidRPr="009934FA" w14:paraId="0400B0E9" w14:textId="77777777" w:rsidTr="00EA5C2D">
        <w:trPr>
          <w:trHeight w:hRule="exact" w:val="454"/>
        </w:trPr>
        <w:tc>
          <w:tcPr>
            <w:tcW w:w="2907" w:type="dxa"/>
          </w:tcPr>
          <w:p w14:paraId="30E3560D" w14:textId="77777777" w:rsidR="008E7846" w:rsidRPr="009934FA" w:rsidRDefault="008E7846" w:rsidP="003D1E62">
            <w:r w:rsidRPr="009934FA">
              <w:rPr>
                <w:i/>
              </w:rPr>
              <w:t>Decision</w:t>
            </w:r>
            <w:r w:rsidRPr="009934FA">
              <w:t>:</w:t>
            </w:r>
          </w:p>
        </w:tc>
        <w:tc>
          <w:tcPr>
            <w:tcW w:w="6590" w:type="dxa"/>
            <w:gridSpan w:val="2"/>
          </w:tcPr>
          <w:p w14:paraId="1C690565" w14:textId="24CF1ECA" w:rsidR="008E7846" w:rsidRPr="009934FA" w:rsidRDefault="00E27709" w:rsidP="00E27709">
            <w:r w:rsidRPr="009934FA">
              <w:t>Approved</w:t>
            </w:r>
          </w:p>
        </w:tc>
      </w:tr>
      <w:tr w:rsidR="008E7846" w:rsidRPr="009934FA" w14:paraId="65FBD1CC" w14:textId="77777777" w:rsidTr="00EA5C2D">
        <w:trPr>
          <w:trHeight w:hRule="exact" w:val="454"/>
        </w:trPr>
        <w:tc>
          <w:tcPr>
            <w:tcW w:w="2907" w:type="dxa"/>
          </w:tcPr>
          <w:p w14:paraId="298F9D7B" w14:textId="77777777" w:rsidR="008E7846" w:rsidRPr="009934FA" w:rsidRDefault="008E7846" w:rsidP="001B5C90">
            <w:pPr>
              <w:rPr>
                <w:i/>
              </w:rPr>
            </w:pPr>
            <w:r w:rsidRPr="009934FA">
              <w:rPr>
                <w:i/>
              </w:rPr>
              <w:t xml:space="preserve">Date of </w:t>
            </w:r>
            <w:r w:rsidR="001B5C90" w:rsidRPr="009934FA">
              <w:rPr>
                <w:i/>
              </w:rPr>
              <w:t>d</w:t>
            </w:r>
            <w:r w:rsidRPr="009934FA">
              <w:rPr>
                <w:i/>
              </w:rPr>
              <w:t>ecision:</w:t>
            </w:r>
          </w:p>
        </w:tc>
        <w:tc>
          <w:tcPr>
            <w:tcW w:w="6590" w:type="dxa"/>
            <w:gridSpan w:val="2"/>
          </w:tcPr>
          <w:p w14:paraId="0599526D" w14:textId="26532697" w:rsidR="008E7846" w:rsidRPr="009934FA" w:rsidRDefault="00A55F67" w:rsidP="001B5C90">
            <w:r>
              <w:t>24 November 2017</w:t>
            </w:r>
          </w:p>
        </w:tc>
      </w:tr>
      <w:tr w:rsidR="00ED2922" w:rsidRPr="009934FA" w14:paraId="3596DF86" w14:textId="77777777" w:rsidTr="00EA5C2D">
        <w:trPr>
          <w:trHeight w:hRule="exact" w:val="454"/>
        </w:trPr>
        <w:tc>
          <w:tcPr>
            <w:tcW w:w="2907" w:type="dxa"/>
          </w:tcPr>
          <w:p w14:paraId="08AC73C7" w14:textId="77777777" w:rsidR="00ED2922" w:rsidRPr="009934FA" w:rsidRDefault="00ED2922" w:rsidP="001B5C90">
            <w:pPr>
              <w:rPr>
                <w:i/>
              </w:rPr>
            </w:pPr>
            <w:r w:rsidRPr="009934FA">
              <w:rPr>
                <w:i/>
              </w:rPr>
              <w:t>Date of entry onto ARTG</w:t>
            </w:r>
          </w:p>
        </w:tc>
        <w:tc>
          <w:tcPr>
            <w:tcW w:w="6590" w:type="dxa"/>
            <w:gridSpan w:val="2"/>
          </w:tcPr>
          <w:p w14:paraId="5AE245A6" w14:textId="4052BEF7" w:rsidR="00ED2922" w:rsidRPr="009934FA" w:rsidRDefault="001F3CE0" w:rsidP="00EC463D">
            <w:pPr>
              <w:rPr>
                <w:i/>
              </w:rPr>
            </w:pPr>
            <w:r w:rsidRPr="009934FA">
              <w:t>29 November 2017</w:t>
            </w:r>
          </w:p>
        </w:tc>
      </w:tr>
      <w:tr w:rsidR="008E7846" w:rsidRPr="009934FA" w14:paraId="0633BF25" w14:textId="77777777" w:rsidTr="00EA5C2D">
        <w:trPr>
          <w:gridAfter w:val="1"/>
          <w:wAfter w:w="283" w:type="dxa"/>
        </w:trPr>
        <w:tc>
          <w:tcPr>
            <w:tcW w:w="2907" w:type="dxa"/>
          </w:tcPr>
          <w:p w14:paraId="319FE030" w14:textId="5967BB6A" w:rsidR="008E7846" w:rsidRPr="009934FA" w:rsidRDefault="001F3CE0" w:rsidP="00E45619">
            <w:pPr>
              <w:rPr>
                <w:i/>
              </w:rPr>
            </w:pPr>
            <w:r w:rsidRPr="009934FA">
              <w:rPr>
                <w:i/>
              </w:rPr>
              <w:t>Active ingredient</w:t>
            </w:r>
            <w:r w:rsidR="001B5C90" w:rsidRPr="009934FA">
              <w:rPr>
                <w:i/>
              </w:rPr>
              <w:t>:</w:t>
            </w:r>
          </w:p>
        </w:tc>
        <w:tc>
          <w:tcPr>
            <w:tcW w:w="6307" w:type="dxa"/>
          </w:tcPr>
          <w:p w14:paraId="5D68528C" w14:textId="3C7367E7" w:rsidR="008E7846" w:rsidRPr="009934FA" w:rsidRDefault="001F3CE0" w:rsidP="00E45619">
            <w:r w:rsidRPr="009934FA">
              <w:t>Insulin degludec (rys)</w:t>
            </w:r>
          </w:p>
        </w:tc>
      </w:tr>
      <w:tr w:rsidR="008E7846" w:rsidRPr="009934FA" w14:paraId="0EC7D4E6" w14:textId="77777777" w:rsidTr="00EA5C2D">
        <w:trPr>
          <w:gridAfter w:val="1"/>
          <w:wAfter w:w="283" w:type="dxa"/>
          <w:trHeight w:val="417"/>
        </w:trPr>
        <w:tc>
          <w:tcPr>
            <w:tcW w:w="2907" w:type="dxa"/>
          </w:tcPr>
          <w:p w14:paraId="0A38B2B4" w14:textId="572063AA" w:rsidR="008E7846" w:rsidRPr="009934FA" w:rsidRDefault="008E7846" w:rsidP="001B5C90">
            <w:pPr>
              <w:rPr>
                <w:i/>
              </w:rPr>
            </w:pPr>
            <w:r w:rsidRPr="009934FA">
              <w:rPr>
                <w:i/>
              </w:rPr>
              <w:t>Product</w:t>
            </w:r>
            <w:r w:rsidR="001F3CE0" w:rsidRPr="009934FA">
              <w:rPr>
                <w:i/>
              </w:rPr>
              <w:t xml:space="preserve"> names</w:t>
            </w:r>
            <w:r w:rsidR="001B5C90" w:rsidRPr="009934FA">
              <w:rPr>
                <w:i/>
              </w:rPr>
              <w:t>:</w:t>
            </w:r>
          </w:p>
        </w:tc>
        <w:tc>
          <w:tcPr>
            <w:tcW w:w="6307" w:type="dxa"/>
          </w:tcPr>
          <w:p w14:paraId="3C2C6913" w14:textId="2A969E94" w:rsidR="008E7846" w:rsidRPr="009934FA" w:rsidRDefault="001F3CE0" w:rsidP="00E45619">
            <w:r w:rsidRPr="009934FA">
              <w:t>Tresiba FlexTouch; Tresiba Penfill</w:t>
            </w:r>
          </w:p>
        </w:tc>
      </w:tr>
      <w:tr w:rsidR="008E7846" w:rsidRPr="009934FA" w14:paraId="7CE6FA9A" w14:textId="77777777" w:rsidTr="00EA5C2D">
        <w:trPr>
          <w:gridAfter w:val="1"/>
          <w:wAfter w:w="283" w:type="dxa"/>
          <w:trHeight w:val="849"/>
        </w:trPr>
        <w:tc>
          <w:tcPr>
            <w:tcW w:w="2907" w:type="dxa"/>
          </w:tcPr>
          <w:p w14:paraId="233F2A9D" w14:textId="77777777" w:rsidR="008E7846" w:rsidRPr="009934FA" w:rsidRDefault="008E7846" w:rsidP="001B5C90">
            <w:pPr>
              <w:rPr>
                <w:i/>
              </w:rPr>
            </w:pPr>
            <w:r w:rsidRPr="009934FA">
              <w:rPr>
                <w:i/>
              </w:rPr>
              <w:t xml:space="preserve">Sponsor’s </w:t>
            </w:r>
            <w:r w:rsidR="001B5C90" w:rsidRPr="009934FA">
              <w:rPr>
                <w:i/>
              </w:rPr>
              <w:t>n</w:t>
            </w:r>
            <w:r w:rsidRPr="009934FA">
              <w:rPr>
                <w:i/>
              </w:rPr>
              <w:t xml:space="preserve">ame and </w:t>
            </w:r>
            <w:r w:rsidR="001B5C90" w:rsidRPr="009934FA">
              <w:rPr>
                <w:i/>
              </w:rPr>
              <w:t>a</w:t>
            </w:r>
            <w:r w:rsidRPr="009934FA">
              <w:rPr>
                <w:i/>
              </w:rPr>
              <w:t>ddress:</w:t>
            </w:r>
          </w:p>
        </w:tc>
        <w:tc>
          <w:tcPr>
            <w:tcW w:w="6307" w:type="dxa"/>
          </w:tcPr>
          <w:p w14:paraId="49527F35" w14:textId="5EF091D9" w:rsidR="008E7846" w:rsidRPr="009934FA" w:rsidRDefault="001F3CE0" w:rsidP="00FF5F80">
            <w:r w:rsidRPr="009934FA">
              <w:t>Novo Nordisk Pharmaceuticals Pty Ltd</w:t>
            </w:r>
            <w:r w:rsidR="008B184F" w:rsidRPr="009934FA">
              <w:br/>
            </w:r>
            <w:r w:rsidRPr="009934FA">
              <w:t>PO Box 7586</w:t>
            </w:r>
            <w:r w:rsidR="00FF5F80">
              <w:t xml:space="preserve"> </w:t>
            </w:r>
            <w:r w:rsidRPr="009934FA">
              <w:t>Baulkham Hills NSW 2153</w:t>
            </w:r>
          </w:p>
        </w:tc>
      </w:tr>
      <w:tr w:rsidR="008E7846" w:rsidRPr="009934FA" w14:paraId="3545D3CD" w14:textId="77777777" w:rsidTr="00EA5C2D">
        <w:trPr>
          <w:gridAfter w:val="1"/>
          <w:wAfter w:w="283" w:type="dxa"/>
          <w:trHeight w:val="399"/>
        </w:trPr>
        <w:tc>
          <w:tcPr>
            <w:tcW w:w="2907" w:type="dxa"/>
          </w:tcPr>
          <w:p w14:paraId="4428EACB" w14:textId="250D98A1" w:rsidR="008E7846" w:rsidRPr="009934FA" w:rsidRDefault="001F3CE0" w:rsidP="00E45619">
            <w:pPr>
              <w:rPr>
                <w:i/>
              </w:rPr>
            </w:pPr>
            <w:r w:rsidRPr="009934FA">
              <w:rPr>
                <w:i/>
              </w:rPr>
              <w:t>Dose form</w:t>
            </w:r>
            <w:r w:rsidR="001B5C90" w:rsidRPr="009934FA">
              <w:rPr>
                <w:i/>
              </w:rPr>
              <w:t>:</w:t>
            </w:r>
          </w:p>
        </w:tc>
        <w:tc>
          <w:tcPr>
            <w:tcW w:w="6307" w:type="dxa"/>
          </w:tcPr>
          <w:p w14:paraId="70C44988" w14:textId="7C29E1F6" w:rsidR="008E7846" w:rsidRPr="009934FA" w:rsidRDefault="001F3CE0" w:rsidP="00E45619">
            <w:r w:rsidRPr="009934FA">
              <w:t>Solution of injection</w:t>
            </w:r>
          </w:p>
        </w:tc>
      </w:tr>
      <w:tr w:rsidR="008E7846" w:rsidRPr="009934FA" w14:paraId="2375F9C1" w14:textId="77777777" w:rsidTr="00EA5C2D">
        <w:trPr>
          <w:gridAfter w:val="1"/>
          <w:wAfter w:w="283" w:type="dxa"/>
        </w:trPr>
        <w:tc>
          <w:tcPr>
            <w:tcW w:w="2907" w:type="dxa"/>
          </w:tcPr>
          <w:p w14:paraId="52DB40CE" w14:textId="18D4CD30" w:rsidR="008E7846" w:rsidRPr="009934FA" w:rsidRDefault="008B184F" w:rsidP="00E45619">
            <w:pPr>
              <w:rPr>
                <w:i/>
              </w:rPr>
            </w:pPr>
            <w:r w:rsidRPr="009934FA">
              <w:rPr>
                <w:i/>
              </w:rPr>
              <w:t>Strengths</w:t>
            </w:r>
            <w:r w:rsidR="008E7846" w:rsidRPr="009934FA">
              <w:rPr>
                <w:i/>
              </w:rPr>
              <w:t xml:space="preserve">: </w:t>
            </w:r>
          </w:p>
        </w:tc>
        <w:tc>
          <w:tcPr>
            <w:tcW w:w="6307" w:type="dxa"/>
          </w:tcPr>
          <w:p w14:paraId="20E85DD3" w14:textId="77777777" w:rsidR="00E0299D" w:rsidRPr="009934FA" w:rsidRDefault="00E0299D" w:rsidP="00E45619">
            <w:r w:rsidRPr="009934FA">
              <w:t>Tresiba FlexTouch: 100 U/mL and 200 U/mL</w:t>
            </w:r>
          </w:p>
          <w:p w14:paraId="4051F6CD" w14:textId="585705C8" w:rsidR="007E0DB7" w:rsidRPr="009934FA" w:rsidRDefault="007E0DB7" w:rsidP="00E45619">
            <w:r w:rsidRPr="009934FA">
              <w:t>Tresiba Penfill: 100 U/mL</w:t>
            </w:r>
          </w:p>
        </w:tc>
      </w:tr>
      <w:tr w:rsidR="008E7846" w:rsidRPr="009934FA" w14:paraId="1CB8E6CA" w14:textId="77777777" w:rsidTr="00EA5C2D">
        <w:trPr>
          <w:gridAfter w:val="1"/>
          <w:wAfter w:w="283" w:type="dxa"/>
        </w:trPr>
        <w:tc>
          <w:tcPr>
            <w:tcW w:w="2907" w:type="dxa"/>
          </w:tcPr>
          <w:p w14:paraId="7FFB2E70" w14:textId="224CF985" w:rsidR="008E7846" w:rsidRPr="009934FA" w:rsidRDefault="00360202" w:rsidP="00E45619">
            <w:pPr>
              <w:rPr>
                <w:i/>
              </w:rPr>
            </w:pPr>
            <w:r w:rsidRPr="009934FA">
              <w:rPr>
                <w:i/>
              </w:rPr>
              <w:t>Container</w:t>
            </w:r>
            <w:r w:rsidR="008E7846" w:rsidRPr="009934FA">
              <w:rPr>
                <w:i/>
              </w:rPr>
              <w:t>:</w:t>
            </w:r>
          </w:p>
        </w:tc>
        <w:tc>
          <w:tcPr>
            <w:tcW w:w="6307" w:type="dxa"/>
          </w:tcPr>
          <w:p w14:paraId="623169E8" w14:textId="1DFE5D3B" w:rsidR="008E7846" w:rsidRPr="009934FA" w:rsidRDefault="002F436E" w:rsidP="00E45619">
            <w:r w:rsidRPr="009934FA">
              <w:t>Multidose cartridge</w:t>
            </w:r>
          </w:p>
        </w:tc>
      </w:tr>
      <w:tr w:rsidR="008E7846" w:rsidRPr="009934FA" w14:paraId="26AB63CD" w14:textId="77777777" w:rsidTr="00EA5C2D">
        <w:trPr>
          <w:gridAfter w:val="1"/>
          <w:wAfter w:w="283" w:type="dxa"/>
        </w:trPr>
        <w:tc>
          <w:tcPr>
            <w:tcW w:w="2907" w:type="dxa"/>
          </w:tcPr>
          <w:p w14:paraId="7C7A905F" w14:textId="5766D8F6" w:rsidR="008E7846" w:rsidRPr="009934FA" w:rsidRDefault="00360202" w:rsidP="00E45619">
            <w:pPr>
              <w:rPr>
                <w:i/>
              </w:rPr>
            </w:pPr>
            <w:r w:rsidRPr="009934FA">
              <w:rPr>
                <w:i/>
              </w:rPr>
              <w:t>Pack size</w:t>
            </w:r>
            <w:r w:rsidR="008E7846" w:rsidRPr="009934FA">
              <w:rPr>
                <w:i/>
              </w:rPr>
              <w:t>:</w:t>
            </w:r>
          </w:p>
        </w:tc>
        <w:tc>
          <w:tcPr>
            <w:tcW w:w="6307" w:type="dxa"/>
          </w:tcPr>
          <w:p w14:paraId="08018C26" w14:textId="3C8A264C" w:rsidR="008E7846" w:rsidRPr="009934FA" w:rsidRDefault="00E0299D" w:rsidP="00E45619">
            <w:r w:rsidRPr="009934FA">
              <w:t>Tresiba FlexTouch</w:t>
            </w:r>
            <w:r w:rsidR="007E0DB7" w:rsidRPr="009934FA">
              <w:t xml:space="preserve"> 100 U/mL</w:t>
            </w:r>
            <w:r w:rsidRPr="009934FA">
              <w:t>: Packs of 1 and 5 cartridge(s)</w:t>
            </w:r>
          </w:p>
          <w:p w14:paraId="47B0C820" w14:textId="1AEBFFFD" w:rsidR="007E0DB7" w:rsidRPr="009934FA" w:rsidRDefault="007E0DB7" w:rsidP="00E45619">
            <w:r w:rsidRPr="009934FA">
              <w:t>Tresiba FlexTouch 200 U/mL: Packs of 1 and 3 cartridge(s)</w:t>
            </w:r>
          </w:p>
          <w:p w14:paraId="0501872C" w14:textId="6AC8403C" w:rsidR="00E0299D" w:rsidRPr="009934FA" w:rsidRDefault="00E0299D" w:rsidP="007E0DB7">
            <w:r w:rsidRPr="009934FA">
              <w:t>Tresiba Penfill: Pack of 1 cartridge</w:t>
            </w:r>
          </w:p>
        </w:tc>
      </w:tr>
      <w:tr w:rsidR="008E7846" w:rsidRPr="009934FA" w14:paraId="0963E000" w14:textId="77777777" w:rsidTr="00EA5C2D">
        <w:trPr>
          <w:gridAfter w:val="1"/>
          <w:wAfter w:w="283" w:type="dxa"/>
        </w:trPr>
        <w:tc>
          <w:tcPr>
            <w:tcW w:w="2907" w:type="dxa"/>
          </w:tcPr>
          <w:p w14:paraId="18206786" w14:textId="77777777" w:rsidR="008E7846" w:rsidRPr="009934FA" w:rsidRDefault="008E7846" w:rsidP="001B5C90">
            <w:pPr>
              <w:rPr>
                <w:i/>
              </w:rPr>
            </w:pPr>
            <w:r w:rsidRPr="009934FA">
              <w:rPr>
                <w:i/>
              </w:rPr>
              <w:t xml:space="preserve">Approved </w:t>
            </w:r>
            <w:r w:rsidR="001B5C90" w:rsidRPr="009934FA">
              <w:rPr>
                <w:i/>
              </w:rPr>
              <w:t>t</w:t>
            </w:r>
            <w:r w:rsidRPr="009934FA">
              <w:rPr>
                <w:i/>
              </w:rPr>
              <w:t>herapeutic use:</w:t>
            </w:r>
          </w:p>
        </w:tc>
        <w:tc>
          <w:tcPr>
            <w:tcW w:w="6307" w:type="dxa"/>
          </w:tcPr>
          <w:p w14:paraId="2E302E10" w14:textId="345A5D61" w:rsidR="008E7846" w:rsidRPr="009934FA" w:rsidRDefault="007E0DB7" w:rsidP="00E45619">
            <w:pPr>
              <w:rPr>
                <w:rFonts w:eastAsia="MS Mincho"/>
                <w:i/>
                <w:lang w:eastAsia="ja-JP"/>
              </w:rPr>
            </w:pPr>
            <w:r w:rsidRPr="009934FA">
              <w:rPr>
                <w:rFonts w:eastAsia="MS Mincho"/>
                <w:i/>
                <w:lang w:eastAsia="ja-JP"/>
              </w:rPr>
              <w:t>To improve glycaemic control in adult patients with diabetes mellitus requiring insulin.</w:t>
            </w:r>
          </w:p>
        </w:tc>
      </w:tr>
      <w:tr w:rsidR="008E7846" w:rsidRPr="009934FA" w14:paraId="3089F543" w14:textId="77777777" w:rsidTr="00EA5C2D">
        <w:trPr>
          <w:gridAfter w:val="1"/>
          <w:wAfter w:w="283" w:type="dxa"/>
        </w:trPr>
        <w:tc>
          <w:tcPr>
            <w:tcW w:w="2907" w:type="dxa"/>
          </w:tcPr>
          <w:p w14:paraId="57951EB7" w14:textId="123B194B" w:rsidR="008E7846" w:rsidRPr="009934FA" w:rsidRDefault="00360202" w:rsidP="00E45619">
            <w:pPr>
              <w:rPr>
                <w:i/>
              </w:rPr>
            </w:pPr>
            <w:r w:rsidRPr="009934FA">
              <w:rPr>
                <w:i/>
              </w:rPr>
              <w:t>Route</w:t>
            </w:r>
            <w:r w:rsidR="008E7846" w:rsidRPr="009934FA">
              <w:rPr>
                <w:i/>
              </w:rPr>
              <w:t xml:space="preserve"> of administration:</w:t>
            </w:r>
          </w:p>
        </w:tc>
        <w:tc>
          <w:tcPr>
            <w:tcW w:w="6307" w:type="dxa"/>
          </w:tcPr>
          <w:p w14:paraId="0EC82D99" w14:textId="029B800C" w:rsidR="008E7846" w:rsidRPr="009934FA" w:rsidRDefault="00360202" w:rsidP="00E45619">
            <w:r w:rsidRPr="009934FA">
              <w:t xml:space="preserve">Subcutaneous </w:t>
            </w:r>
            <w:r w:rsidR="00A55F67">
              <w:t xml:space="preserve">(SC) </w:t>
            </w:r>
            <w:r w:rsidRPr="009934FA">
              <w:t>injection</w:t>
            </w:r>
          </w:p>
        </w:tc>
      </w:tr>
      <w:tr w:rsidR="008E7846" w:rsidRPr="009934FA" w14:paraId="0F83C8EB" w14:textId="77777777" w:rsidTr="00EA5C2D">
        <w:trPr>
          <w:gridAfter w:val="1"/>
          <w:wAfter w:w="283" w:type="dxa"/>
        </w:trPr>
        <w:tc>
          <w:tcPr>
            <w:tcW w:w="2907" w:type="dxa"/>
          </w:tcPr>
          <w:p w14:paraId="3792EB66" w14:textId="77777777" w:rsidR="008E7846" w:rsidRPr="009934FA" w:rsidRDefault="008E7846" w:rsidP="00E45619">
            <w:pPr>
              <w:rPr>
                <w:i/>
              </w:rPr>
            </w:pPr>
            <w:r w:rsidRPr="009934FA">
              <w:rPr>
                <w:i/>
              </w:rPr>
              <w:t>Dosage:</w:t>
            </w:r>
          </w:p>
        </w:tc>
        <w:tc>
          <w:tcPr>
            <w:tcW w:w="6307" w:type="dxa"/>
          </w:tcPr>
          <w:p w14:paraId="1A5D7CA7" w14:textId="35AA233F" w:rsidR="008E7846" w:rsidRPr="009934FA" w:rsidRDefault="00360202" w:rsidP="00E45619">
            <w:r w:rsidRPr="009934FA">
              <w:t>Dosage is individualised according to</w:t>
            </w:r>
            <w:r w:rsidR="007E0DB7" w:rsidRPr="009934FA">
              <w:t xml:space="preserve"> patient need, related to</w:t>
            </w:r>
            <w:r w:rsidRPr="009934FA">
              <w:t xml:space="preserve"> patient’s glycaemic control. See the Product Information (PI) for further details.</w:t>
            </w:r>
          </w:p>
        </w:tc>
      </w:tr>
      <w:tr w:rsidR="008E7846" w:rsidRPr="009934FA" w14:paraId="1D1399D4" w14:textId="77777777" w:rsidTr="00EA5C2D">
        <w:trPr>
          <w:gridAfter w:val="1"/>
          <w:wAfter w:w="283" w:type="dxa"/>
        </w:trPr>
        <w:tc>
          <w:tcPr>
            <w:tcW w:w="2907" w:type="dxa"/>
          </w:tcPr>
          <w:p w14:paraId="4DBFA654" w14:textId="1F3454E9" w:rsidR="008E7846" w:rsidRPr="009934FA" w:rsidRDefault="008E7846" w:rsidP="001B5C90">
            <w:pPr>
              <w:rPr>
                <w:i/>
              </w:rPr>
            </w:pPr>
            <w:r w:rsidRPr="009934FA">
              <w:rPr>
                <w:i/>
              </w:rPr>
              <w:t xml:space="preserve">ARTG </w:t>
            </w:r>
            <w:r w:rsidR="001B5C90" w:rsidRPr="009934FA">
              <w:rPr>
                <w:i/>
              </w:rPr>
              <w:t>n</w:t>
            </w:r>
            <w:r w:rsidR="007E0DB7" w:rsidRPr="009934FA">
              <w:rPr>
                <w:i/>
              </w:rPr>
              <w:t>umbers</w:t>
            </w:r>
            <w:r w:rsidR="001B5C90" w:rsidRPr="009934FA">
              <w:rPr>
                <w:i/>
              </w:rPr>
              <w:t>:</w:t>
            </w:r>
          </w:p>
        </w:tc>
        <w:tc>
          <w:tcPr>
            <w:tcW w:w="6307" w:type="dxa"/>
          </w:tcPr>
          <w:p w14:paraId="44020192" w14:textId="77777777" w:rsidR="008B6345" w:rsidRPr="009934FA" w:rsidRDefault="00360202" w:rsidP="008B6345">
            <w:r w:rsidRPr="009934FA">
              <w:t>Tresiba FlexTouch</w:t>
            </w:r>
            <w:r w:rsidR="008B6345" w:rsidRPr="009934FA">
              <w:t xml:space="preserve"> 100 U/mL</w:t>
            </w:r>
            <w:r w:rsidRPr="009934FA">
              <w:t xml:space="preserve">: </w:t>
            </w:r>
            <w:r w:rsidR="008B6345" w:rsidRPr="009934FA">
              <w:t>280302</w:t>
            </w:r>
          </w:p>
          <w:p w14:paraId="2EF7419B" w14:textId="77777777" w:rsidR="008E7846" w:rsidRPr="009934FA" w:rsidRDefault="008B6345" w:rsidP="00E45619">
            <w:r w:rsidRPr="009934FA">
              <w:t xml:space="preserve">Tresiba FlexTouch 200 U/mL: </w:t>
            </w:r>
            <w:r w:rsidR="00E0299D" w:rsidRPr="009934FA">
              <w:t>280301</w:t>
            </w:r>
          </w:p>
          <w:p w14:paraId="4C5CBEE1" w14:textId="3AFFFF17" w:rsidR="007E0DB7" w:rsidRPr="009934FA" w:rsidRDefault="007E0DB7" w:rsidP="00E45619">
            <w:r w:rsidRPr="009934FA">
              <w:t>Tresiba Penfill: 280300</w:t>
            </w:r>
          </w:p>
        </w:tc>
      </w:tr>
    </w:tbl>
    <w:p w14:paraId="14011690" w14:textId="77777777" w:rsidR="008E7846" w:rsidRPr="009934FA" w:rsidRDefault="008E7846" w:rsidP="00A51C17">
      <w:pPr>
        <w:pStyle w:val="Heading3"/>
      </w:pPr>
      <w:bookmarkStart w:id="12" w:name="_Toc247691503"/>
      <w:bookmarkStart w:id="13" w:name="_Toc314842484"/>
      <w:bookmarkStart w:id="14" w:name="_Toc517697087"/>
      <w:r w:rsidRPr="009934FA">
        <w:t>Product background</w:t>
      </w:r>
      <w:bookmarkEnd w:id="12"/>
      <w:bookmarkEnd w:id="13"/>
      <w:bookmarkEnd w:id="14"/>
    </w:p>
    <w:p w14:paraId="08CB3CCD" w14:textId="263A3FD1" w:rsidR="008E7846" w:rsidRPr="009934FA" w:rsidRDefault="00940A89" w:rsidP="00A51C17">
      <w:pPr>
        <w:keepNext/>
      </w:pPr>
      <w:r w:rsidRPr="009934FA">
        <w:t>This AusPAR describes the applicat</w:t>
      </w:r>
      <w:r w:rsidR="00E27709" w:rsidRPr="009934FA">
        <w:t xml:space="preserve">ion by the sponsor to register Tresiba </w:t>
      </w:r>
      <w:r w:rsidR="006D4179" w:rsidRPr="009934FA">
        <w:t xml:space="preserve">FlexTouch and Tresiba Penfill containing </w:t>
      </w:r>
      <w:r w:rsidR="00E27709" w:rsidRPr="009934FA">
        <w:t xml:space="preserve">insulin degludec (rys) solution for injection in the proposed </w:t>
      </w:r>
      <w:r w:rsidR="008B184F" w:rsidRPr="009934FA">
        <w:t xml:space="preserve">dosage forms and </w:t>
      </w:r>
      <w:r w:rsidR="00E27709" w:rsidRPr="009934FA">
        <w:t>strengths shown in Table 1 (below)</w:t>
      </w:r>
      <w:r w:rsidRPr="009934FA">
        <w:t xml:space="preserve"> for the following indicatio</w:t>
      </w:r>
      <w:r w:rsidR="00E27709" w:rsidRPr="009934FA">
        <w:t>n:</w:t>
      </w:r>
    </w:p>
    <w:p w14:paraId="6D19F2C6" w14:textId="21C0BFEF" w:rsidR="00E27709" w:rsidRPr="009934FA" w:rsidRDefault="00E27709" w:rsidP="00E27709">
      <w:pPr>
        <w:ind w:left="187" w:firstLine="720"/>
        <w:rPr>
          <w:i/>
          <w:lang w:eastAsia="ja-JP"/>
        </w:rPr>
      </w:pPr>
      <w:r w:rsidRPr="009934FA">
        <w:rPr>
          <w:i/>
          <w:lang w:eastAsia="ja-JP"/>
        </w:rPr>
        <w:t>‘</w:t>
      </w:r>
      <w:proofErr w:type="gramStart"/>
      <w:r w:rsidRPr="009934FA">
        <w:rPr>
          <w:i/>
          <w:lang w:eastAsia="ja-JP"/>
        </w:rPr>
        <w:t>to</w:t>
      </w:r>
      <w:proofErr w:type="gramEnd"/>
      <w:r w:rsidRPr="009934FA">
        <w:rPr>
          <w:i/>
          <w:lang w:eastAsia="ja-JP"/>
        </w:rPr>
        <w:t xml:space="preserve"> improve glycaemic control in adult patients with diabetes mellitus’.</w:t>
      </w:r>
    </w:p>
    <w:p w14:paraId="23B61135" w14:textId="32A2F0CE" w:rsidR="00E27709" w:rsidRPr="009934FA" w:rsidRDefault="00E27709" w:rsidP="00E27709">
      <w:pPr>
        <w:pStyle w:val="Tabletitle0"/>
        <w:rPr>
          <w:lang w:eastAsia="ja-JP"/>
        </w:rPr>
      </w:pPr>
      <w:bookmarkStart w:id="15" w:name="_Toc479321680"/>
      <w:r w:rsidRPr="009934FA">
        <w:rPr>
          <w:lang w:eastAsia="ja-JP"/>
        </w:rPr>
        <w:lastRenderedPageBreak/>
        <w:t>Table 1</w:t>
      </w:r>
      <w:r w:rsidR="006C50FE">
        <w:rPr>
          <w:lang w:eastAsia="ja-JP"/>
        </w:rPr>
        <w:t>:</w:t>
      </w:r>
      <w:r w:rsidRPr="009934FA">
        <w:rPr>
          <w:lang w:eastAsia="ja-JP"/>
        </w:rPr>
        <w:t xml:space="preserve"> Proposed dosage forms/strengths</w:t>
      </w:r>
      <w:bookmarkEnd w:id="15"/>
    </w:p>
    <w:tbl>
      <w:tblPr>
        <w:tblStyle w:val="TableTGAblue"/>
        <w:tblW w:w="8472" w:type="dxa"/>
        <w:tblLook w:val="04A0" w:firstRow="1" w:lastRow="0" w:firstColumn="1" w:lastColumn="0" w:noHBand="0" w:noVBand="1"/>
        <w:tblDescription w:val="Table 1: Proposed dosage forms/strengths"/>
      </w:tblPr>
      <w:tblGrid>
        <w:gridCol w:w="2235"/>
        <w:gridCol w:w="2126"/>
        <w:gridCol w:w="4111"/>
      </w:tblGrid>
      <w:tr w:rsidR="007E0DB7" w:rsidRPr="009934FA" w14:paraId="7D188B08" w14:textId="77777777" w:rsidTr="00606A05">
        <w:trPr>
          <w:cnfStyle w:val="100000000000" w:firstRow="1" w:lastRow="0" w:firstColumn="0" w:lastColumn="0" w:oddVBand="0" w:evenVBand="0" w:oddHBand="0" w:evenHBand="0" w:firstRowFirstColumn="0" w:firstRowLastColumn="0" w:lastRowFirstColumn="0" w:lastRowLastColumn="0"/>
        </w:trPr>
        <w:tc>
          <w:tcPr>
            <w:tcW w:w="2235" w:type="dxa"/>
          </w:tcPr>
          <w:p w14:paraId="1ABED148" w14:textId="77777777" w:rsidR="00E27709" w:rsidRPr="009934FA" w:rsidRDefault="00E27709" w:rsidP="00733757">
            <w:pPr>
              <w:rPr>
                <w:szCs w:val="22"/>
                <w:lang w:eastAsia="ja-JP"/>
              </w:rPr>
            </w:pPr>
            <w:r w:rsidRPr="009934FA">
              <w:rPr>
                <w:szCs w:val="22"/>
                <w:lang w:eastAsia="ja-JP"/>
              </w:rPr>
              <w:t>Active ingredients</w:t>
            </w:r>
          </w:p>
        </w:tc>
        <w:tc>
          <w:tcPr>
            <w:tcW w:w="2126" w:type="dxa"/>
          </w:tcPr>
          <w:p w14:paraId="256F8562" w14:textId="77777777" w:rsidR="00E27709" w:rsidRPr="009934FA" w:rsidRDefault="00E27709" w:rsidP="00733757">
            <w:pPr>
              <w:rPr>
                <w:szCs w:val="22"/>
                <w:lang w:eastAsia="ja-JP"/>
              </w:rPr>
            </w:pPr>
            <w:r w:rsidRPr="009934FA">
              <w:rPr>
                <w:szCs w:val="22"/>
                <w:lang w:eastAsia="ja-JP"/>
              </w:rPr>
              <w:t>Trade name</w:t>
            </w:r>
          </w:p>
        </w:tc>
        <w:tc>
          <w:tcPr>
            <w:tcW w:w="4111" w:type="dxa"/>
          </w:tcPr>
          <w:p w14:paraId="425CCC5B" w14:textId="77777777" w:rsidR="00E27709" w:rsidRPr="009934FA" w:rsidRDefault="00E27709" w:rsidP="00733757">
            <w:pPr>
              <w:rPr>
                <w:szCs w:val="22"/>
                <w:lang w:eastAsia="ja-JP"/>
              </w:rPr>
            </w:pPr>
            <w:r w:rsidRPr="009934FA">
              <w:rPr>
                <w:szCs w:val="22"/>
                <w:lang w:eastAsia="ja-JP"/>
              </w:rPr>
              <w:t>Dosage forms/strengths</w:t>
            </w:r>
          </w:p>
        </w:tc>
      </w:tr>
      <w:tr w:rsidR="007E0DB7" w:rsidRPr="009934FA" w14:paraId="41246072" w14:textId="77777777" w:rsidTr="00606A05">
        <w:tc>
          <w:tcPr>
            <w:tcW w:w="2235" w:type="dxa"/>
            <w:vMerge w:val="restart"/>
          </w:tcPr>
          <w:p w14:paraId="319AB927" w14:textId="77777777" w:rsidR="00E27709" w:rsidRPr="009934FA" w:rsidRDefault="00E27709" w:rsidP="00733757">
            <w:pPr>
              <w:rPr>
                <w:szCs w:val="22"/>
                <w:lang w:eastAsia="ja-JP"/>
              </w:rPr>
            </w:pPr>
            <w:r w:rsidRPr="009934FA">
              <w:rPr>
                <w:szCs w:val="22"/>
                <w:lang w:eastAsia="ja-JP"/>
              </w:rPr>
              <w:t>Insulin degludec (rys)</w:t>
            </w:r>
          </w:p>
        </w:tc>
        <w:tc>
          <w:tcPr>
            <w:tcW w:w="2126" w:type="dxa"/>
          </w:tcPr>
          <w:p w14:paraId="17BDE1C4" w14:textId="77777777" w:rsidR="00E27709" w:rsidRPr="009934FA" w:rsidRDefault="00E27709" w:rsidP="00733757">
            <w:pPr>
              <w:rPr>
                <w:szCs w:val="22"/>
                <w:lang w:eastAsia="ja-JP"/>
              </w:rPr>
            </w:pPr>
            <w:r w:rsidRPr="009934FA">
              <w:rPr>
                <w:szCs w:val="22"/>
                <w:lang w:eastAsia="ja-JP"/>
              </w:rPr>
              <w:t>Tresiba FlexTouch</w:t>
            </w:r>
          </w:p>
        </w:tc>
        <w:tc>
          <w:tcPr>
            <w:tcW w:w="4111" w:type="dxa"/>
          </w:tcPr>
          <w:p w14:paraId="6A8AD273" w14:textId="597D675F" w:rsidR="00E27709" w:rsidRPr="009934FA" w:rsidRDefault="00E27709" w:rsidP="00733757">
            <w:pPr>
              <w:rPr>
                <w:szCs w:val="22"/>
                <w:lang w:eastAsia="ja-JP"/>
              </w:rPr>
            </w:pPr>
            <w:r w:rsidRPr="009934FA">
              <w:rPr>
                <w:szCs w:val="22"/>
                <w:lang w:eastAsia="ja-JP"/>
              </w:rPr>
              <w:t>FlexTouch 100 U/mL, 3 mL solution for injection in prefilled pen</w:t>
            </w:r>
          </w:p>
          <w:p w14:paraId="6AB87318" w14:textId="77777777" w:rsidR="00E27709" w:rsidRPr="009934FA" w:rsidRDefault="00E27709" w:rsidP="00733757">
            <w:pPr>
              <w:rPr>
                <w:szCs w:val="22"/>
                <w:lang w:eastAsia="ja-JP"/>
              </w:rPr>
            </w:pPr>
            <w:r w:rsidRPr="009934FA">
              <w:rPr>
                <w:szCs w:val="22"/>
                <w:lang w:eastAsia="ja-JP"/>
              </w:rPr>
              <w:t>FlexTouch 200 U/mL, 3 mL solution for injection in prefilled pen</w:t>
            </w:r>
          </w:p>
        </w:tc>
      </w:tr>
      <w:tr w:rsidR="007E0DB7" w:rsidRPr="009934FA" w14:paraId="338475F4" w14:textId="77777777" w:rsidTr="00606A05">
        <w:tc>
          <w:tcPr>
            <w:tcW w:w="2235" w:type="dxa"/>
            <w:vMerge/>
          </w:tcPr>
          <w:p w14:paraId="2B94D181" w14:textId="77777777" w:rsidR="00E27709" w:rsidRPr="009934FA" w:rsidRDefault="00E27709" w:rsidP="00733757">
            <w:pPr>
              <w:rPr>
                <w:szCs w:val="22"/>
                <w:lang w:eastAsia="ja-JP"/>
              </w:rPr>
            </w:pPr>
          </w:p>
        </w:tc>
        <w:tc>
          <w:tcPr>
            <w:tcW w:w="2126" w:type="dxa"/>
          </w:tcPr>
          <w:p w14:paraId="0735FE69" w14:textId="77777777" w:rsidR="00E27709" w:rsidRPr="009934FA" w:rsidRDefault="00E27709" w:rsidP="00733757">
            <w:pPr>
              <w:rPr>
                <w:szCs w:val="22"/>
                <w:lang w:eastAsia="ja-JP"/>
              </w:rPr>
            </w:pPr>
            <w:r w:rsidRPr="009934FA">
              <w:rPr>
                <w:szCs w:val="22"/>
                <w:lang w:eastAsia="ja-JP"/>
              </w:rPr>
              <w:t>Tresiba Penfill</w:t>
            </w:r>
          </w:p>
        </w:tc>
        <w:tc>
          <w:tcPr>
            <w:tcW w:w="4111" w:type="dxa"/>
          </w:tcPr>
          <w:p w14:paraId="3D6DACA1" w14:textId="77777777" w:rsidR="00E27709" w:rsidRPr="009934FA" w:rsidRDefault="00E27709" w:rsidP="00733757">
            <w:pPr>
              <w:rPr>
                <w:szCs w:val="22"/>
                <w:lang w:eastAsia="ja-JP"/>
              </w:rPr>
            </w:pPr>
            <w:r w:rsidRPr="009934FA">
              <w:rPr>
                <w:szCs w:val="22"/>
                <w:lang w:eastAsia="ja-JP"/>
              </w:rPr>
              <w:t>Penfill 100 U/mL, 3 mL solution for injection in cartridge</w:t>
            </w:r>
          </w:p>
        </w:tc>
      </w:tr>
    </w:tbl>
    <w:p w14:paraId="11037C39" w14:textId="0C365404" w:rsidR="00CC44B3" w:rsidRPr="009934FA" w:rsidRDefault="00CC44B3" w:rsidP="00CC44B3">
      <w:pPr>
        <w:pStyle w:val="Heading4"/>
      </w:pPr>
      <w:r w:rsidRPr="009934FA">
        <w:t>Diabetes mellitus</w:t>
      </w:r>
    </w:p>
    <w:p w14:paraId="5B0BBCA0" w14:textId="77777777" w:rsidR="00CC44B3" w:rsidRPr="009934FA" w:rsidRDefault="00CC44B3" w:rsidP="00CC44B3">
      <w:pPr>
        <w:rPr>
          <w:lang w:eastAsia="ja-JP"/>
        </w:rPr>
      </w:pPr>
      <w:r w:rsidRPr="009934FA">
        <w:rPr>
          <w:lang w:eastAsia="ja-JP"/>
        </w:rPr>
        <w:t>Diabetes mellitus is associated with chronic hyperglycaemia due to either inadequate insulin production, insulin resistance or a combination of the two. Long term ocular, peripheral nervous system, renal and arterial damage can result.</w:t>
      </w:r>
    </w:p>
    <w:p w14:paraId="6C501B2B" w14:textId="77777777" w:rsidR="00CC44B3" w:rsidRPr="009934FA" w:rsidRDefault="00CC44B3" w:rsidP="00CC44B3">
      <w:pPr>
        <w:rPr>
          <w:lang w:eastAsia="ja-JP"/>
        </w:rPr>
      </w:pPr>
      <w:r w:rsidRPr="009934FA">
        <w:rPr>
          <w:lang w:eastAsia="ja-JP"/>
        </w:rPr>
        <w:t>There are predominantly 2 types of diabetes:</w:t>
      </w:r>
    </w:p>
    <w:p w14:paraId="582F20AE" w14:textId="77777777" w:rsidR="00CC44B3" w:rsidRPr="009934FA" w:rsidRDefault="00CC44B3" w:rsidP="00CC44B3">
      <w:pPr>
        <w:pStyle w:val="ListBullet"/>
        <w:numPr>
          <w:ilvl w:val="0"/>
          <w:numId w:val="3"/>
        </w:numPr>
        <w:rPr>
          <w:lang w:eastAsia="ja-JP"/>
        </w:rPr>
      </w:pPr>
      <w:r w:rsidRPr="009934FA">
        <w:rPr>
          <w:lang w:eastAsia="ja-JP"/>
        </w:rPr>
        <w:t>Type 1: immune mediated pancreatic cell destruction results in insulin deficiency. Type 1 diabetes mellitus (T1DM) most commonly develops in childhood.</w:t>
      </w:r>
    </w:p>
    <w:p w14:paraId="230587F5" w14:textId="77777777" w:rsidR="00CC44B3" w:rsidRPr="009934FA" w:rsidRDefault="00CC44B3" w:rsidP="00CC44B3">
      <w:pPr>
        <w:pStyle w:val="ListBullet"/>
        <w:numPr>
          <w:ilvl w:val="0"/>
          <w:numId w:val="3"/>
        </w:numPr>
        <w:rPr>
          <w:lang w:eastAsia="ja-JP"/>
        </w:rPr>
      </w:pPr>
      <w:r w:rsidRPr="009934FA">
        <w:rPr>
          <w:lang w:eastAsia="ja-JP"/>
        </w:rPr>
        <w:t>Type 2: a combination of gradual insulin resistance and failure of the pancreas to produce sufficient insulin. Type 2 diabetes mellitus (T2DM) most commonly develops in adulthood.</w:t>
      </w:r>
    </w:p>
    <w:p w14:paraId="263D8631" w14:textId="4AA26F15" w:rsidR="00CC44B3" w:rsidRPr="009934FA" w:rsidRDefault="00CC44B3" w:rsidP="00CC44B3">
      <w:pPr>
        <w:rPr>
          <w:lang w:eastAsia="ja-JP"/>
        </w:rPr>
      </w:pPr>
      <w:r w:rsidRPr="009934FA">
        <w:rPr>
          <w:lang w:eastAsia="ja-JP"/>
        </w:rPr>
        <w:t>In Australia, the estimated prevalence of adults with diabetes (both type 1 and 2) in 2011 to 2012 was 5.4% and in 2013, over 6000 children (aged 0 to 14 years) were estimated to have T1DM.</w:t>
      </w:r>
      <w:r w:rsidRPr="009934FA">
        <w:rPr>
          <w:vertAlign w:val="superscript"/>
          <w:lang w:eastAsia="ja-JP"/>
        </w:rPr>
        <w:footnoteReference w:id="1"/>
      </w:r>
      <w:r w:rsidRPr="009934FA">
        <w:rPr>
          <w:lang w:eastAsia="ja-JP"/>
        </w:rPr>
        <w:t xml:space="preserve"> T2DM is by far the most common typ</w:t>
      </w:r>
      <w:r w:rsidR="007E5E75">
        <w:rPr>
          <w:lang w:eastAsia="ja-JP"/>
        </w:rPr>
        <w:t>e of diabetes; an estimated 849,</w:t>
      </w:r>
      <w:r w:rsidRPr="009934FA">
        <w:rPr>
          <w:lang w:eastAsia="ja-JP"/>
        </w:rPr>
        <w:t>000 adults (4.7%) reported that they have T2DM in 2011 to 2012, although this is thought to be an underestimate. It is estimated that in 2011, 36,263 Australians started using insulin to treat T2DM (164 people per 100,000 population) and the incidence of insulin use for type 2 diabetes increases with age; it is estimated that there is a 5-fold increase in the use of insulin between the ages of 40 to 44 and 70 to 74 years.</w:t>
      </w:r>
      <w:r w:rsidRPr="009934FA">
        <w:rPr>
          <w:vertAlign w:val="superscript"/>
          <w:lang w:eastAsia="ja-JP"/>
        </w:rPr>
        <w:footnoteReference w:id="2"/>
      </w:r>
    </w:p>
    <w:p w14:paraId="2CE58D66" w14:textId="77777777" w:rsidR="00CC44B3" w:rsidRPr="009934FA" w:rsidRDefault="00CC44B3" w:rsidP="00A51C17">
      <w:pPr>
        <w:pStyle w:val="Heading4"/>
        <w:numPr>
          <w:ilvl w:val="2"/>
          <w:numId w:val="0"/>
        </w:numPr>
        <w:tabs>
          <w:tab w:val="num" w:pos="1134"/>
        </w:tabs>
        <w:adjustRightInd w:val="0"/>
        <w:snapToGrid w:val="0"/>
        <w:spacing w:before="120" w:after="120"/>
        <w:ind w:left="1134" w:hanging="964"/>
      </w:pPr>
      <w:bookmarkStart w:id="16" w:name="_Toc479321617"/>
      <w:r w:rsidRPr="009934FA">
        <w:t>Current treatment options</w:t>
      </w:r>
      <w:bookmarkEnd w:id="16"/>
    </w:p>
    <w:p w14:paraId="7D6E4437" w14:textId="413E1569" w:rsidR="00CC44B3" w:rsidRPr="009934FA" w:rsidRDefault="00CC44B3" w:rsidP="00A51C17">
      <w:pPr>
        <w:pStyle w:val="Heading5"/>
        <w:numPr>
          <w:ilvl w:val="3"/>
          <w:numId w:val="0"/>
        </w:numPr>
        <w:tabs>
          <w:tab w:val="num" w:pos="1418"/>
        </w:tabs>
        <w:ind w:left="1304" w:hanging="1077"/>
        <w:rPr>
          <w:lang w:eastAsia="ja-JP"/>
        </w:rPr>
      </w:pPr>
      <w:r w:rsidRPr="009934FA">
        <w:rPr>
          <w:lang w:eastAsia="ja-JP"/>
        </w:rPr>
        <w:t>Type 1 diabetes mellitus</w:t>
      </w:r>
      <w:r w:rsidR="00451FDB" w:rsidRPr="009934FA">
        <w:rPr>
          <w:lang w:eastAsia="ja-JP"/>
        </w:rPr>
        <w:t xml:space="preserve"> (T1DM)</w:t>
      </w:r>
    </w:p>
    <w:p w14:paraId="0A3BDABC" w14:textId="698C4979" w:rsidR="00CC44B3" w:rsidRPr="009934FA" w:rsidRDefault="00CC44B3" w:rsidP="00A51C17">
      <w:pPr>
        <w:keepNext/>
        <w:rPr>
          <w:lang w:eastAsia="ja-JP"/>
        </w:rPr>
      </w:pPr>
      <w:r w:rsidRPr="009934FA">
        <w:rPr>
          <w:lang w:eastAsia="ja-JP"/>
        </w:rPr>
        <w:t>Insulin is the cornerstone of treatment</w:t>
      </w:r>
      <w:r w:rsidR="00451FDB" w:rsidRPr="009934FA">
        <w:rPr>
          <w:lang w:eastAsia="ja-JP"/>
        </w:rPr>
        <w:t xml:space="preserve"> for T1DM</w:t>
      </w:r>
      <w:r w:rsidRPr="009934FA">
        <w:rPr>
          <w:lang w:eastAsia="ja-JP"/>
        </w:rPr>
        <w:t>.</w:t>
      </w:r>
      <w:bookmarkStart w:id="17" w:name="_Ref509732797"/>
      <w:r w:rsidRPr="009934FA">
        <w:rPr>
          <w:bCs/>
          <w:vertAlign w:val="superscript"/>
        </w:rPr>
        <w:footnoteReference w:id="3"/>
      </w:r>
      <w:bookmarkEnd w:id="17"/>
      <w:r w:rsidR="00A51C17">
        <w:rPr>
          <w:lang w:eastAsia="ja-JP"/>
        </w:rPr>
        <w:t xml:space="preserve"> </w:t>
      </w:r>
      <w:r w:rsidRPr="009934FA">
        <w:rPr>
          <w:lang w:eastAsia="ja-JP"/>
        </w:rPr>
        <w:t>Insulin needs may be considered in terms of:</w:t>
      </w:r>
    </w:p>
    <w:p w14:paraId="35430F60" w14:textId="6AAF891E" w:rsidR="00CC44B3" w:rsidRPr="009934FA" w:rsidRDefault="00ED71F6" w:rsidP="00CC44B3">
      <w:pPr>
        <w:pStyle w:val="ListBullet"/>
        <w:numPr>
          <w:ilvl w:val="0"/>
          <w:numId w:val="3"/>
        </w:numPr>
        <w:rPr>
          <w:lang w:eastAsia="ja-JP"/>
        </w:rPr>
      </w:pPr>
      <w:r w:rsidRPr="009934FA">
        <w:rPr>
          <w:lang w:eastAsia="ja-JP"/>
        </w:rPr>
        <w:t>Basal</w:t>
      </w:r>
      <w:r w:rsidR="00CC44B3" w:rsidRPr="009934FA">
        <w:rPr>
          <w:lang w:eastAsia="ja-JP"/>
        </w:rPr>
        <w:t xml:space="preserve"> insulin, which is the background requirement of insulin and is independent of carbohydrate needs. This is usually administered via long or intermediate acting insulin once or twice a day; and</w:t>
      </w:r>
    </w:p>
    <w:p w14:paraId="68B1AEBD" w14:textId="6B2C33D7" w:rsidR="00CC44B3" w:rsidRPr="009934FA" w:rsidRDefault="00ED71F6" w:rsidP="00CC44B3">
      <w:pPr>
        <w:pStyle w:val="ListBullet"/>
        <w:numPr>
          <w:ilvl w:val="0"/>
          <w:numId w:val="3"/>
        </w:numPr>
        <w:rPr>
          <w:lang w:eastAsia="ja-JP"/>
        </w:rPr>
      </w:pPr>
      <w:r w:rsidRPr="009934FA">
        <w:rPr>
          <w:lang w:eastAsia="ja-JP"/>
        </w:rPr>
        <w:t>Bolus</w:t>
      </w:r>
      <w:r w:rsidR="00CC44B3" w:rsidRPr="009934FA">
        <w:rPr>
          <w:lang w:eastAsia="ja-JP"/>
        </w:rPr>
        <w:t xml:space="preserve"> insulin, which includes prandial insulin to cover oral carbohydrate intake and correction doses which are used to manage very high blood glucose levels. This is usually administered with short or very short acting insulin formations.</w:t>
      </w:r>
    </w:p>
    <w:p w14:paraId="038972D6" w14:textId="578EEA16" w:rsidR="00CC44B3" w:rsidRPr="009934FA" w:rsidRDefault="00CC44B3" w:rsidP="00CC44B3">
      <w:pPr>
        <w:pStyle w:val="Heading5"/>
        <w:numPr>
          <w:ilvl w:val="3"/>
          <w:numId w:val="0"/>
        </w:numPr>
        <w:tabs>
          <w:tab w:val="num" w:pos="1418"/>
        </w:tabs>
        <w:ind w:left="1304" w:hanging="1077"/>
        <w:rPr>
          <w:lang w:eastAsia="ja-JP"/>
        </w:rPr>
      </w:pPr>
      <w:r w:rsidRPr="009934FA">
        <w:rPr>
          <w:lang w:eastAsia="ja-JP"/>
        </w:rPr>
        <w:lastRenderedPageBreak/>
        <w:t>Type 2 diabetes mellitus</w:t>
      </w:r>
      <w:r w:rsidR="00E27709" w:rsidRPr="009934FA">
        <w:rPr>
          <w:lang w:eastAsia="ja-JP"/>
        </w:rPr>
        <w:t xml:space="preserve"> (T2DM)</w:t>
      </w:r>
    </w:p>
    <w:p w14:paraId="4B073DFA" w14:textId="2FFCE0E2" w:rsidR="00CC44B3" w:rsidRPr="009934FA" w:rsidRDefault="00CC44B3" w:rsidP="00CC44B3">
      <w:pPr>
        <w:rPr>
          <w:lang w:eastAsia="ja-JP"/>
        </w:rPr>
      </w:pPr>
      <w:r w:rsidRPr="009934FA">
        <w:rPr>
          <w:lang w:eastAsia="ja-JP"/>
        </w:rPr>
        <w:t>Initial treatment usually starts with addressing lifestyle factors. As per current Therapeutic Guidelines, if glycaemic targets are not met with addressing lifestyle factors, metformin is recommended as first line therapy.</w:t>
      </w:r>
      <w:r w:rsidRPr="009934FA">
        <w:rPr>
          <w:vertAlign w:val="superscript"/>
          <w:lang w:eastAsia="ja-JP"/>
        </w:rPr>
        <w:fldChar w:fldCharType="begin"/>
      </w:r>
      <w:r w:rsidRPr="009934FA">
        <w:rPr>
          <w:vertAlign w:val="superscript"/>
          <w:lang w:eastAsia="ja-JP"/>
        </w:rPr>
        <w:instrText xml:space="preserve"> NOTEREF _Ref509732797 \h  \* MERGEFORMAT </w:instrText>
      </w:r>
      <w:r w:rsidRPr="009934FA">
        <w:rPr>
          <w:vertAlign w:val="superscript"/>
          <w:lang w:eastAsia="ja-JP"/>
        </w:rPr>
      </w:r>
      <w:r w:rsidRPr="009934FA">
        <w:rPr>
          <w:vertAlign w:val="superscript"/>
          <w:lang w:eastAsia="ja-JP"/>
        </w:rPr>
        <w:fldChar w:fldCharType="separate"/>
      </w:r>
      <w:r w:rsidR="002B3E71">
        <w:rPr>
          <w:vertAlign w:val="superscript"/>
          <w:lang w:eastAsia="ja-JP"/>
        </w:rPr>
        <w:t>3</w:t>
      </w:r>
      <w:r w:rsidRPr="009934FA">
        <w:rPr>
          <w:vertAlign w:val="superscript"/>
          <w:lang w:eastAsia="ja-JP"/>
        </w:rPr>
        <w:fldChar w:fldCharType="end"/>
      </w:r>
      <w:r w:rsidRPr="009934FA">
        <w:rPr>
          <w:lang w:eastAsia="ja-JP"/>
        </w:rPr>
        <w:t xml:space="preserve"> If glycaemic targets are still not met, current options include a sulfonylurea, dipeptidyl peptidase-4</w:t>
      </w:r>
      <w:r w:rsidR="00451FDB" w:rsidRPr="009934FA">
        <w:rPr>
          <w:lang w:eastAsia="ja-JP"/>
        </w:rPr>
        <w:t xml:space="preserve"> (DPP-4) inhibitor, glucagon </w:t>
      </w:r>
      <w:r w:rsidRPr="009934FA">
        <w:rPr>
          <w:lang w:eastAsia="ja-JP"/>
        </w:rPr>
        <w:t xml:space="preserve">like peptide-1 (GLP-1) agonist, </w:t>
      </w:r>
      <w:r w:rsidR="007E5E75">
        <w:rPr>
          <w:bCs/>
          <w:lang w:eastAsia="ja-JP"/>
        </w:rPr>
        <w:t>sodium/glucose cotransporter-</w:t>
      </w:r>
      <w:r w:rsidR="00451FDB" w:rsidRPr="009934FA">
        <w:rPr>
          <w:bCs/>
          <w:lang w:eastAsia="ja-JP"/>
        </w:rPr>
        <w:t>2</w:t>
      </w:r>
      <w:r w:rsidR="00451FDB" w:rsidRPr="009934FA">
        <w:rPr>
          <w:lang w:eastAsia="ja-JP"/>
        </w:rPr>
        <w:t xml:space="preserve"> (</w:t>
      </w:r>
      <w:r w:rsidRPr="009934FA">
        <w:rPr>
          <w:lang w:eastAsia="ja-JP"/>
        </w:rPr>
        <w:t>SGLT-2</w:t>
      </w:r>
      <w:r w:rsidR="00451FDB" w:rsidRPr="009934FA">
        <w:rPr>
          <w:lang w:eastAsia="ja-JP"/>
        </w:rPr>
        <w:t>)</w:t>
      </w:r>
      <w:r w:rsidRPr="009934FA">
        <w:rPr>
          <w:lang w:eastAsia="ja-JP"/>
        </w:rPr>
        <w:t xml:space="preserve"> inhibitor, thiazolidinedione, acarbose or insulin. For patients with </w:t>
      </w:r>
      <w:r w:rsidR="00451FDB" w:rsidRPr="009934FA">
        <w:rPr>
          <w:lang w:eastAsia="ja-JP"/>
        </w:rPr>
        <w:t>T2DM</w:t>
      </w:r>
      <w:r w:rsidRPr="009934FA">
        <w:rPr>
          <w:lang w:eastAsia="ja-JP"/>
        </w:rPr>
        <w:t>, insulin therapy is generally started as once daily basal insulin</w:t>
      </w:r>
      <w:r w:rsidR="008B6EF5">
        <w:rPr>
          <w:lang w:eastAsia="ja-JP"/>
        </w:rPr>
        <w:t xml:space="preserve"> </w:t>
      </w:r>
      <w:r w:rsidR="00ED71F6">
        <w:rPr>
          <w:lang w:eastAsia="ja-JP"/>
        </w:rPr>
        <w:t>treatment</w:t>
      </w:r>
      <w:r w:rsidR="00ED71F6" w:rsidRPr="009934FA">
        <w:rPr>
          <w:lang w:eastAsia="ja-JP"/>
        </w:rPr>
        <w:t>;</w:t>
      </w:r>
      <w:r w:rsidRPr="009934FA">
        <w:rPr>
          <w:lang w:eastAsia="ja-JP"/>
        </w:rPr>
        <w:t xml:space="preserve"> </w:t>
      </w:r>
      <w:r w:rsidR="006C50FE" w:rsidRPr="009934FA">
        <w:rPr>
          <w:lang w:eastAsia="ja-JP"/>
        </w:rPr>
        <w:t>however,</w:t>
      </w:r>
      <w:r w:rsidRPr="009934FA">
        <w:rPr>
          <w:lang w:eastAsia="ja-JP"/>
        </w:rPr>
        <w:t xml:space="preserve"> some patients may require more intensive treatment. Insulin is usually started in combination to an oral hypoglycaemic therapy.</w:t>
      </w:r>
    </w:p>
    <w:p w14:paraId="6FE18F89" w14:textId="77777777" w:rsidR="00CC44B3" w:rsidRPr="009934FA" w:rsidRDefault="00CC44B3" w:rsidP="00CC44B3">
      <w:pPr>
        <w:rPr>
          <w:lang w:eastAsia="ja-JP"/>
        </w:rPr>
      </w:pPr>
      <w:r w:rsidRPr="009934FA">
        <w:rPr>
          <w:lang w:eastAsia="ja-JP"/>
        </w:rPr>
        <w:t>The following insulin formulations are available in Australia, as shown in Table 2.</w:t>
      </w:r>
    </w:p>
    <w:p w14:paraId="3B4C744E" w14:textId="134C13F9" w:rsidR="00CC44B3" w:rsidRPr="009934FA" w:rsidRDefault="00CC44B3" w:rsidP="00CC44B3">
      <w:pPr>
        <w:pStyle w:val="Tabletitle0"/>
        <w:rPr>
          <w:lang w:eastAsia="ja-JP"/>
        </w:rPr>
      </w:pPr>
      <w:bookmarkStart w:id="18" w:name="_Toc479321681"/>
      <w:r w:rsidRPr="009934FA">
        <w:rPr>
          <w:lang w:eastAsia="ja-JP"/>
        </w:rPr>
        <w:t>Table 2</w:t>
      </w:r>
      <w:r w:rsidR="006C50FE">
        <w:rPr>
          <w:lang w:eastAsia="ja-JP"/>
        </w:rPr>
        <w:t>:</w:t>
      </w:r>
      <w:r w:rsidR="006C50FE" w:rsidRPr="009934FA">
        <w:rPr>
          <w:lang w:eastAsia="ja-JP"/>
        </w:rPr>
        <w:t xml:space="preserve"> </w:t>
      </w:r>
      <w:r w:rsidRPr="009934FA">
        <w:rPr>
          <w:lang w:eastAsia="ja-JP"/>
        </w:rPr>
        <w:t xml:space="preserve">Australian Register of Therapeutic Goods (ARTG) registered </w:t>
      </w:r>
      <w:r w:rsidR="006D4179" w:rsidRPr="009934FA">
        <w:rPr>
          <w:lang w:eastAsia="ja-JP"/>
        </w:rPr>
        <w:t xml:space="preserve">basal </w:t>
      </w:r>
      <w:r w:rsidRPr="009934FA">
        <w:rPr>
          <w:lang w:eastAsia="ja-JP"/>
        </w:rPr>
        <w:t>insulin formulations in Australia</w:t>
      </w:r>
      <w:bookmarkEnd w:id="18"/>
    </w:p>
    <w:tbl>
      <w:tblPr>
        <w:tblStyle w:val="TableTGAblue"/>
        <w:tblW w:w="9115" w:type="dxa"/>
        <w:tblLook w:val="04A0" w:firstRow="1" w:lastRow="0" w:firstColumn="1" w:lastColumn="0" w:noHBand="0" w:noVBand="1"/>
        <w:tblDescription w:val="Table 2: Australian Register of Therapeutic Goods (ARTG) registered basal insulin formulations in Australia"/>
      </w:tblPr>
      <w:tblGrid>
        <w:gridCol w:w="1062"/>
        <w:gridCol w:w="2407"/>
        <w:gridCol w:w="2586"/>
        <w:gridCol w:w="3060"/>
      </w:tblGrid>
      <w:tr w:rsidR="006D4179" w:rsidRPr="009934FA" w14:paraId="79F7E984" w14:textId="77777777" w:rsidTr="00A51C17">
        <w:trPr>
          <w:cnfStyle w:val="100000000000" w:firstRow="1" w:lastRow="0" w:firstColumn="0" w:lastColumn="0" w:oddVBand="0" w:evenVBand="0" w:oddHBand="0" w:evenHBand="0" w:firstRowFirstColumn="0" w:firstRowLastColumn="0" w:lastRowFirstColumn="0" w:lastRowLastColumn="0"/>
          <w:trHeight w:val="811"/>
        </w:trPr>
        <w:tc>
          <w:tcPr>
            <w:tcW w:w="1062" w:type="dxa"/>
          </w:tcPr>
          <w:p w14:paraId="7F169FC9" w14:textId="77777777" w:rsidR="00CC44B3" w:rsidRPr="009934FA" w:rsidRDefault="00CC44B3" w:rsidP="00451FDB">
            <w:pPr>
              <w:rPr>
                <w:szCs w:val="22"/>
                <w:lang w:eastAsia="ja-JP"/>
              </w:rPr>
            </w:pPr>
            <w:r w:rsidRPr="009934FA">
              <w:rPr>
                <w:szCs w:val="22"/>
                <w:lang w:eastAsia="ja-JP"/>
              </w:rPr>
              <w:t>Type</w:t>
            </w:r>
          </w:p>
        </w:tc>
        <w:tc>
          <w:tcPr>
            <w:tcW w:w="2407" w:type="dxa"/>
          </w:tcPr>
          <w:p w14:paraId="21FCDEDA" w14:textId="77777777" w:rsidR="00CC44B3" w:rsidRPr="009934FA" w:rsidRDefault="00CC44B3" w:rsidP="00451FDB">
            <w:pPr>
              <w:ind w:left="0"/>
              <w:rPr>
                <w:szCs w:val="22"/>
                <w:lang w:eastAsia="ja-JP"/>
              </w:rPr>
            </w:pPr>
            <w:r w:rsidRPr="009934FA">
              <w:rPr>
                <w:szCs w:val="22"/>
                <w:lang w:eastAsia="ja-JP"/>
              </w:rPr>
              <w:t>(Relative) Duration of action</w:t>
            </w:r>
          </w:p>
        </w:tc>
        <w:tc>
          <w:tcPr>
            <w:tcW w:w="2586" w:type="dxa"/>
          </w:tcPr>
          <w:p w14:paraId="7CFE1C58" w14:textId="77777777" w:rsidR="00CC44B3" w:rsidRPr="009934FA" w:rsidRDefault="00CC44B3" w:rsidP="00451FDB">
            <w:pPr>
              <w:rPr>
                <w:szCs w:val="22"/>
                <w:lang w:eastAsia="ja-JP"/>
              </w:rPr>
            </w:pPr>
            <w:r w:rsidRPr="009934FA">
              <w:rPr>
                <w:szCs w:val="22"/>
                <w:lang w:eastAsia="ja-JP"/>
              </w:rPr>
              <w:t>Active ingredient</w:t>
            </w:r>
          </w:p>
        </w:tc>
        <w:tc>
          <w:tcPr>
            <w:tcW w:w="3060" w:type="dxa"/>
          </w:tcPr>
          <w:p w14:paraId="3B92634A" w14:textId="08CBA0F2" w:rsidR="00CC44B3" w:rsidRPr="009934FA" w:rsidRDefault="00CC44B3" w:rsidP="00451FDB">
            <w:pPr>
              <w:rPr>
                <w:szCs w:val="22"/>
                <w:lang w:eastAsia="ja-JP"/>
              </w:rPr>
            </w:pPr>
            <w:r w:rsidRPr="009934FA">
              <w:rPr>
                <w:szCs w:val="22"/>
                <w:lang w:eastAsia="ja-JP"/>
              </w:rPr>
              <w:t>Brand name</w:t>
            </w:r>
            <w:r w:rsidR="006D4179" w:rsidRPr="009934FA">
              <w:rPr>
                <w:szCs w:val="22"/>
                <w:lang w:eastAsia="ja-JP"/>
              </w:rPr>
              <w:t>(s)</w:t>
            </w:r>
          </w:p>
        </w:tc>
      </w:tr>
      <w:tr w:rsidR="006D4179" w:rsidRPr="009934FA" w14:paraId="1EFBFD2E" w14:textId="77777777" w:rsidTr="006D4179">
        <w:tc>
          <w:tcPr>
            <w:tcW w:w="1062" w:type="dxa"/>
            <w:vMerge w:val="restart"/>
          </w:tcPr>
          <w:p w14:paraId="36C672C7" w14:textId="77777777" w:rsidR="00CC44B3" w:rsidRPr="009934FA" w:rsidRDefault="00CC44B3" w:rsidP="00451FDB">
            <w:pPr>
              <w:rPr>
                <w:szCs w:val="22"/>
                <w:lang w:eastAsia="ja-JP"/>
              </w:rPr>
            </w:pPr>
            <w:r w:rsidRPr="009934FA">
              <w:rPr>
                <w:szCs w:val="22"/>
                <w:lang w:eastAsia="ja-JP"/>
              </w:rPr>
              <w:t>Basal</w:t>
            </w:r>
          </w:p>
        </w:tc>
        <w:tc>
          <w:tcPr>
            <w:tcW w:w="2407" w:type="dxa"/>
            <w:vMerge w:val="restart"/>
          </w:tcPr>
          <w:p w14:paraId="762DFFA7" w14:textId="77777777" w:rsidR="00CC44B3" w:rsidRPr="009934FA" w:rsidRDefault="00CC44B3" w:rsidP="00451FDB">
            <w:pPr>
              <w:rPr>
                <w:szCs w:val="22"/>
                <w:lang w:eastAsia="ja-JP"/>
              </w:rPr>
            </w:pPr>
            <w:r w:rsidRPr="009934FA">
              <w:rPr>
                <w:szCs w:val="22"/>
                <w:lang w:eastAsia="ja-JP"/>
              </w:rPr>
              <w:t>Long acting</w:t>
            </w:r>
          </w:p>
        </w:tc>
        <w:tc>
          <w:tcPr>
            <w:tcW w:w="2586" w:type="dxa"/>
          </w:tcPr>
          <w:p w14:paraId="5DB58ED2" w14:textId="77777777" w:rsidR="00CC44B3" w:rsidRPr="009934FA" w:rsidRDefault="00CC44B3" w:rsidP="00451FDB">
            <w:pPr>
              <w:rPr>
                <w:szCs w:val="22"/>
                <w:lang w:eastAsia="ja-JP"/>
              </w:rPr>
            </w:pPr>
            <w:r w:rsidRPr="009934FA">
              <w:rPr>
                <w:szCs w:val="22"/>
                <w:lang w:eastAsia="ja-JP"/>
              </w:rPr>
              <w:t>detemir</w:t>
            </w:r>
          </w:p>
        </w:tc>
        <w:tc>
          <w:tcPr>
            <w:tcW w:w="3060" w:type="dxa"/>
          </w:tcPr>
          <w:p w14:paraId="1934F086" w14:textId="77777777" w:rsidR="00CC44B3" w:rsidRPr="009934FA" w:rsidRDefault="00CC44B3" w:rsidP="00451FDB">
            <w:pPr>
              <w:rPr>
                <w:szCs w:val="22"/>
                <w:lang w:eastAsia="ja-JP"/>
              </w:rPr>
            </w:pPr>
            <w:r w:rsidRPr="009934FA">
              <w:rPr>
                <w:szCs w:val="22"/>
                <w:lang w:eastAsia="ja-JP"/>
              </w:rPr>
              <w:t>Levemir</w:t>
            </w:r>
          </w:p>
        </w:tc>
      </w:tr>
      <w:tr w:rsidR="006D4179" w:rsidRPr="009934FA" w14:paraId="5CD474A3" w14:textId="77777777" w:rsidTr="006D4179">
        <w:tc>
          <w:tcPr>
            <w:tcW w:w="1062" w:type="dxa"/>
            <w:vMerge/>
          </w:tcPr>
          <w:p w14:paraId="442C7F8A" w14:textId="77777777" w:rsidR="00CC44B3" w:rsidRPr="009934FA" w:rsidRDefault="00CC44B3" w:rsidP="00451FDB">
            <w:pPr>
              <w:rPr>
                <w:szCs w:val="22"/>
                <w:lang w:eastAsia="ja-JP"/>
              </w:rPr>
            </w:pPr>
          </w:p>
        </w:tc>
        <w:tc>
          <w:tcPr>
            <w:tcW w:w="2407" w:type="dxa"/>
            <w:vMerge/>
          </w:tcPr>
          <w:p w14:paraId="7A25A2F4" w14:textId="77777777" w:rsidR="00CC44B3" w:rsidRPr="009934FA" w:rsidRDefault="00CC44B3" w:rsidP="00451FDB">
            <w:pPr>
              <w:rPr>
                <w:szCs w:val="22"/>
                <w:lang w:eastAsia="ja-JP"/>
              </w:rPr>
            </w:pPr>
          </w:p>
        </w:tc>
        <w:tc>
          <w:tcPr>
            <w:tcW w:w="2586" w:type="dxa"/>
          </w:tcPr>
          <w:p w14:paraId="10E951F8" w14:textId="77777777" w:rsidR="00CC44B3" w:rsidRPr="009934FA" w:rsidRDefault="00CC44B3" w:rsidP="00451FDB">
            <w:pPr>
              <w:rPr>
                <w:szCs w:val="22"/>
                <w:lang w:eastAsia="ja-JP"/>
              </w:rPr>
            </w:pPr>
            <w:r w:rsidRPr="009934FA">
              <w:rPr>
                <w:szCs w:val="22"/>
                <w:lang w:eastAsia="ja-JP"/>
              </w:rPr>
              <w:t>glargine</w:t>
            </w:r>
          </w:p>
        </w:tc>
        <w:tc>
          <w:tcPr>
            <w:tcW w:w="3060" w:type="dxa"/>
          </w:tcPr>
          <w:p w14:paraId="61FA5D26" w14:textId="77777777" w:rsidR="00CC44B3" w:rsidRPr="009934FA" w:rsidRDefault="00CC44B3" w:rsidP="00451FDB">
            <w:pPr>
              <w:rPr>
                <w:szCs w:val="22"/>
                <w:lang w:eastAsia="ja-JP"/>
              </w:rPr>
            </w:pPr>
            <w:r w:rsidRPr="009934FA">
              <w:rPr>
                <w:szCs w:val="22"/>
                <w:lang w:eastAsia="ja-JP"/>
              </w:rPr>
              <w:t>Lantus, Toujeo, Optisulin</w:t>
            </w:r>
          </w:p>
        </w:tc>
      </w:tr>
      <w:tr w:rsidR="006D4179" w:rsidRPr="009934FA" w14:paraId="6BCF16CE" w14:textId="77777777" w:rsidTr="006D4179">
        <w:tc>
          <w:tcPr>
            <w:tcW w:w="1062" w:type="dxa"/>
            <w:vMerge/>
          </w:tcPr>
          <w:p w14:paraId="5D8B7864" w14:textId="77777777" w:rsidR="00CC44B3" w:rsidRPr="009934FA" w:rsidRDefault="00CC44B3" w:rsidP="00451FDB">
            <w:pPr>
              <w:rPr>
                <w:szCs w:val="22"/>
                <w:lang w:eastAsia="ja-JP"/>
              </w:rPr>
            </w:pPr>
          </w:p>
        </w:tc>
        <w:tc>
          <w:tcPr>
            <w:tcW w:w="2407" w:type="dxa"/>
          </w:tcPr>
          <w:p w14:paraId="4A9672BD" w14:textId="77777777" w:rsidR="00CC44B3" w:rsidRPr="009934FA" w:rsidRDefault="00CC44B3" w:rsidP="00451FDB">
            <w:pPr>
              <w:rPr>
                <w:szCs w:val="22"/>
                <w:lang w:eastAsia="ja-JP"/>
              </w:rPr>
            </w:pPr>
            <w:r w:rsidRPr="009934FA">
              <w:rPr>
                <w:szCs w:val="22"/>
                <w:lang w:eastAsia="ja-JP"/>
              </w:rPr>
              <w:t>Intermediate acting</w:t>
            </w:r>
          </w:p>
        </w:tc>
        <w:tc>
          <w:tcPr>
            <w:tcW w:w="2586" w:type="dxa"/>
          </w:tcPr>
          <w:p w14:paraId="08BC9168" w14:textId="4CFEEF78" w:rsidR="00CC44B3" w:rsidRPr="009934FA" w:rsidRDefault="007E5E75" w:rsidP="00451FDB">
            <w:pPr>
              <w:rPr>
                <w:szCs w:val="22"/>
                <w:lang w:eastAsia="ja-JP"/>
              </w:rPr>
            </w:pPr>
            <w:r>
              <w:rPr>
                <w:szCs w:val="22"/>
                <w:lang w:eastAsia="ja-JP"/>
              </w:rPr>
              <w:t>i</w:t>
            </w:r>
            <w:r w:rsidR="00CC44B3" w:rsidRPr="009934FA">
              <w:rPr>
                <w:szCs w:val="22"/>
                <w:lang w:eastAsia="ja-JP"/>
              </w:rPr>
              <w:t>sophane (protamine suspension)</w:t>
            </w:r>
          </w:p>
        </w:tc>
        <w:tc>
          <w:tcPr>
            <w:tcW w:w="3060" w:type="dxa"/>
          </w:tcPr>
          <w:p w14:paraId="452306F7" w14:textId="77777777" w:rsidR="00CC44B3" w:rsidRPr="009934FA" w:rsidRDefault="00CC44B3" w:rsidP="00451FDB">
            <w:pPr>
              <w:rPr>
                <w:szCs w:val="22"/>
                <w:lang w:eastAsia="ja-JP"/>
              </w:rPr>
            </w:pPr>
            <w:r w:rsidRPr="009934FA">
              <w:rPr>
                <w:szCs w:val="22"/>
                <w:lang w:eastAsia="ja-JP"/>
              </w:rPr>
              <w:t>Humulin NPH, Protaphane, Hypurin Isophane</w:t>
            </w:r>
          </w:p>
        </w:tc>
      </w:tr>
    </w:tbl>
    <w:p w14:paraId="67E50B1B" w14:textId="06EA1FDC" w:rsidR="00CC44B3" w:rsidRPr="009934FA" w:rsidRDefault="00CC44B3" w:rsidP="006D4179">
      <w:pPr>
        <w:pStyle w:val="TableDescription"/>
        <w:rPr>
          <w:lang w:eastAsia="ja-JP"/>
        </w:rPr>
      </w:pPr>
      <w:r w:rsidRPr="009934FA">
        <w:rPr>
          <w:lang w:eastAsia="ja-JP"/>
        </w:rPr>
        <w:t xml:space="preserve">Adapted from Table 5.4 in ‘Diabetes: management’, Endocrinology, eTG Complete. </w:t>
      </w:r>
      <w:proofErr w:type="gramStart"/>
      <w:r w:rsidRPr="009934FA">
        <w:rPr>
          <w:lang w:eastAsia="ja-JP"/>
        </w:rPr>
        <w:t>Additional information from ARTG website (current as of 6 October 2016).</w:t>
      </w:r>
      <w:proofErr w:type="gramEnd"/>
    </w:p>
    <w:p w14:paraId="4B5F90C9" w14:textId="47213777" w:rsidR="00771702" w:rsidRPr="009934FA" w:rsidRDefault="006D4179" w:rsidP="006D4179">
      <w:pPr>
        <w:pStyle w:val="Heading4"/>
      </w:pPr>
      <w:r w:rsidRPr="009934FA">
        <w:t>Insulin degludec</w:t>
      </w:r>
    </w:p>
    <w:p w14:paraId="2C4256A6" w14:textId="10FFC3FB" w:rsidR="00771702" w:rsidRPr="009934FA" w:rsidRDefault="00771702" w:rsidP="00771702">
      <w:r w:rsidRPr="009934FA">
        <w:t>Insulin degludec (</w:t>
      </w:r>
      <w:r w:rsidR="006D4179" w:rsidRPr="009934FA">
        <w:t xml:space="preserve">also referred to as </w:t>
      </w:r>
      <w:r w:rsidRPr="009934FA">
        <w:t xml:space="preserve">IDeg) is an </w:t>
      </w:r>
      <w:r w:rsidR="00ED71F6" w:rsidRPr="009934FA">
        <w:t>ultra-long</w:t>
      </w:r>
      <w:r w:rsidRPr="009934FA">
        <w:t xml:space="preserve"> acting insulin proposed for use in diabetes. IDeg differs from human insulin in that the a</w:t>
      </w:r>
      <w:r w:rsidR="002B2C59" w:rsidRPr="009934FA">
        <w:t>mino acid threonine in position </w:t>
      </w:r>
      <w:r w:rsidRPr="009934FA">
        <w:t xml:space="preserve">B30 has been omitted and a side chain consisting of glutamic acid and a C16 fatty acid has been attached. IDeg is produced by recombinant DNA technology using </w:t>
      </w:r>
      <w:r w:rsidRPr="009934FA">
        <w:rPr>
          <w:i/>
        </w:rPr>
        <w:t>Saccharomyces secrevisiae.</w:t>
      </w:r>
    </w:p>
    <w:p w14:paraId="0E8D803A" w14:textId="68A6F113" w:rsidR="00771702" w:rsidRPr="009934FA" w:rsidRDefault="00771702" w:rsidP="00940A89">
      <w:r w:rsidRPr="009934FA">
        <w:t xml:space="preserve">IDeg differs from other available insulins in that it has a longer </w:t>
      </w:r>
      <w:r w:rsidR="006C50FE" w:rsidRPr="009934FA">
        <w:t>half-life</w:t>
      </w:r>
      <w:r w:rsidRPr="009934FA">
        <w:t xml:space="preserve"> (25 hours), long duration of action (up to 42 hours), </w:t>
      </w:r>
      <w:proofErr w:type="gramStart"/>
      <w:r w:rsidRPr="009934FA">
        <w:t>flat</w:t>
      </w:r>
      <w:proofErr w:type="gramEnd"/>
      <w:r w:rsidRPr="009934FA">
        <w:t xml:space="preserve"> pharmacodynamic prolife and r</w:t>
      </w:r>
      <w:r w:rsidR="00522BCD" w:rsidRPr="009934FA">
        <w:t>educed intrapatient variability.</w:t>
      </w:r>
    </w:p>
    <w:p w14:paraId="4263D04A" w14:textId="77777777" w:rsidR="008E7846" w:rsidRPr="009934FA" w:rsidRDefault="00386150" w:rsidP="008E7846">
      <w:pPr>
        <w:pStyle w:val="Heading3"/>
      </w:pPr>
      <w:bookmarkStart w:id="19" w:name="_Toc314842485"/>
      <w:bookmarkStart w:id="20" w:name="_Toc247691504"/>
      <w:bookmarkStart w:id="21" w:name="_Toc517697088"/>
      <w:r w:rsidRPr="009934FA">
        <w:t>Regulatory s</w:t>
      </w:r>
      <w:r w:rsidR="008E7846" w:rsidRPr="009934FA">
        <w:t>tatus</w:t>
      </w:r>
      <w:bookmarkEnd w:id="19"/>
      <w:bookmarkEnd w:id="20"/>
      <w:bookmarkEnd w:id="21"/>
    </w:p>
    <w:p w14:paraId="5DD6AC5B" w14:textId="0F9F118D" w:rsidR="003B648A" w:rsidRPr="009934FA" w:rsidRDefault="003B648A" w:rsidP="003B648A">
      <w:pPr>
        <w:pStyle w:val="Heading4"/>
      </w:pPr>
      <w:r w:rsidRPr="009934FA">
        <w:t>Regulatory history</w:t>
      </w:r>
    </w:p>
    <w:p w14:paraId="5A501C61" w14:textId="3F0E38BF" w:rsidR="00CC12AA" w:rsidRPr="009934FA" w:rsidRDefault="00CC12AA" w:rsidP="00CC12AA">
      <w:r w:rsidRPr="009934FA">
        <w:t>An application to register IDeg was previously submitted to the</w:t>
      </w:r>
      <w:r w:rsidR="003B648A" w:rsidRPr="009934FA">
        <w:t xml:space="preserve"> TGA in 2012</w:t>
      </w:r>
      <w:r w:rsidRPr="009934FA">
        <w:t xml:space="preserve">. During the course of the evaluation, safety concerns regarding cardiovascular (CV) risk were identified by the </w:t>
      </w:r>
      <w:r w:rsidR="002B2C59" w:rsidRPr="009934FA">
        <w:t>United States (US) Food and Drug Administration (</w:t>
      </w:r>
      <w:r w:rsidRPr="009934FA">
        <w:t>FDA</w:t>
      </w:r>
      <w:r w:rsidR="002B2C59" w:rsidRPr="009934FA">
        <w:t>)</w:t>
      </w:r>
      <w:r w:rsidRPr="009934FA">
        <w:t>. A meta-analysis identified that the use of IDeg could inc</w:t>
      </w:r>
      <w:r w:rsidR="006357B3" w:rsidRPr="009934FA">
        <w:t>rease the risk of CV death, non-</w:t>
      </w:r>
      <w:r w:rsidRPr="009934FA">
        <w:t xml:space="preserve">fatal </w:t>
      </w:r>
      <w:r w:rsidR="006357B3" w:rsidRPr="009934FA">
        <w:t>myocardial infarction (</w:t>
      </w:r>
      <w:r w:rsidRPr="009934FA">
        <w:t>MI</w:t>
      </w:r>
      <w:r w:rsidR="006357B3" w:rsidRPr="009934FA">
        <w:t>), non-</w:t>
      </w:r>
      <w:r w:rsidRPr="009934FA">
        <w:t>fatal stroke, and unstable angina compa</w:t>
      </w:r>
      <w:r w:rsidR="002B2C59" w:rsidRPr="009934FA">
        <w:t>red to comparators by up to 10%.</w:t>
      </w:r>
    </w:p>
    <w:p w14:paraId="4E5DAD1F" w14:textId="47D6C0CA" w:rsidR="00CC12AA" w:rsidRPr="009934FA" w:rsidRDefault="00CC12AA" w:rsidP="00CC12AA">
      <w:r w:rsidRPr="009934FA">
        <w:lastRenderedPageBreak/>
        <w:t>A meeting between the TGA and sponsor was held in September 2013</w:t>
      </w:r>
      <w:r w:rsidR="00FC486B" w:rsidRPr="009934FA">
        <w:t xml:space="preserve">. The application for insulin degludec was formally withdrawn on 25 October 2013 by the sponsor and was not reviewed by </w:t>
      </w:r>
      <w:r w:rsidR="006C1A22" w:rsidRPr="009934FA">
        <w:t>Advisory Committee on Prescription Medicines (</w:t>
      </w:r>
      <w:r w:rsidR="00FC486B" w:rsidRPr="009934FA">
        <w:t>ACPM</w:t>
      </w:r>
      <w:r w:rsidR="006C1A22" w:rsidRPr="009934FA">
        <w:t>)</w:t>
      </w:r>
      <w:r w:rsidR="00FC486B" w:rsidRPr="009934FA">
        <w:t>.</w:t>
      </w:r>
      <w:r w:rsidR="00C5767C" w:rsidRPr="009934FA">
        <w:rPr>
          <w:rStyle w:val="FootnoteReference"/>
        </w:rPr>
        <w:footnoteReference w:id="4"/>
      </w:r>
    </w:p>
    <w:p w14:paraId="7AC77013" w14:textId="0F6A502F" w:rsidR="00CC12AA" w:rsidRPr="009934FA" w:rsidRDefault="00CC12AA" w:rsidP="00CC12AA">
      <w:r w:rsidRPr="009934FA">
        <w:t xml:space="preserve">In relation to this submission, a pre-submission meeting was held with the sponsor in June 2016. The TGA agreed to an abridged application based on interim results of </w:t>
      </w:r>
      <w:r w:rsidR="005325C6" w:rsidRPr="009934FA">
        <w:t xml:space="preserve">a </w:t>
      </w:r>
      <w:r w:rsidRPr="009934FA">
        <w:t xml:space="preserve">CV </w:t>
      </w:r>
      <w:r w:rsidR="005325C6" w:rsidRPr="009934FA">
        <w:t xml:space="preserve">outcomes </w:t>
      </w:r>
      <w:r w:rsidRPr="009934FA">
        <w:t>study and synopsis of other studies that had been submitted between the original and subsequent evaluation. The sponsor had not proposed to include any information in the PI from the interim results of the CV safety study or other synopsis of clinical studies.</w:t>
      </w:r>
    </w:p>
    <w:p w14:paraId="7BB6D4DE" w14:textId="77777777" w:rsidR="003B648A" w:rsidRPr="009934FA" w:rsidRDefault="003B648A" w:rsidP="003B648A">
      <w:pPr>
        <w:pStyle w:val="Heading4"/>
      </w:pPr>
      <w:r w:rsidRPr="009934FA">
        <w:t>Overseas regulatory history</w:t>
      </w:r>
    </w:p>
    <w:p w14:paraId="30114628" w14:textId="75EC6D1D" w:rsidR="003B648A" w:rsidRDefault="003B648A" w:rsidP="003B648A">
      <w:r w:rsidRPr="009934FA">
        <w:t>IDeg was approved</w:t>
      </w:r>
      <w:r w:rsidR="006750CF">
        <w:t xml:space="preserve"> for the European Union (EU)</w:t>
      </w:r>
      <w:r w:rsidRPr="009934FA">
        <w:t xml:space="preserve"> by the </w:t>
      </w:r>
      <w:r w:rsidR="006357B3" w:rsidRPr="009934FA">
        <w:t>European Medicines Agency (</w:t>
      </w:r>
      <w:r w:rsidRPr="009934FA">
        <w:t>EMA</w:t>
      </w:r>
      <w:r w:rsidR="006357B3" w:rsidRPr="009934FA">
        <w:t>)</w:t>
      </w:r>
      <w:r w:rsidRPr="009934FA">
        <w:t xml:space="preserve"> in 2013. The EMA was aware of the same data </w:t>
      </w:r>
      <w:r w:rsidR="00882431" w:rsidRPr="009934FA">
        <w:t>which raised concerns in the US</w:t>
      </w:r>
      <w:r w:rsidRPr="009934FA">
        <w:t>, but considered that the low number of events, lack of confirmatory evidence from non-clinical data and limitations of post-hoc analysis meant that this data did not negate the otherwise positive ris</w:t>
      </w:r>
      <w:r w:rsidR="00C86026">
        <w:t>k</w:t>
      </w:r>
      <w:r w:rsidRPr="009934FA">
        <w:t xml:space="preserve">-benefit analysis. IDeg has also been approved by </w:t>
      </w:r>
      <w:r w:rsidR="006357B3" w:rsidRPr="009934FA">
        <w:t>the Pharmaceuticals and Medical Devices Agency (</w:t>
      </w:r>
      <w:r w:rsidRPr="009934FA">
        <w:t>PMDA</w:t>
      </w:r>
      <w:r w:rsidR="006357B3" w:rsidRPr="009934FA">
        <w:t>) in Japan. In the US</w:t>
      </w:r>
      <w:r w:rsidRPr="009934FA">
        <w:t>, the initial application was in September 2011. A</w:t>
      </w:r>
      <w:r w:rsidR="008B6EF5">
        <w:t>n</w:t>
      </w:r>
      <w:r w:rsidRPr="009934FA">
        <w:t xml:space="preserve"> application was resubmitted in March 2015 and approved in September 2015. The sponsor had proposed </w:t>
      </w:r>
      <w:r w:rsidR="0050501B" w:rsidRPr="009934FA">
        <w:t>to resubmit an application for ID</w:t>
      </w:r>
      <w:r w:rsidRPr="009934FA">
        <w:t>eg in Canada in 2016.</w:t>
      </w:r>
    </w:p>
    <w:p w14:paraId="609D9E4E" w14:textId="77777777" w:rsidR="007065A4" w:rsidRPr="00113BDB" w:rsidRDefault="007065A4" w:rsidP="007065A4">
      <w:pPr>
        <w:pStyle w:val="Heading4"/>
      </w:pPr>
      <w:r w:rsidRPr="00113BDB">
        <w:t>Similar submissions</w:t>
      </w:r>
    </w:p>
    <w:p w14:paraId="7B93652E" w14:textId="21BB638F" w:rsidR="007065A4" w:rsidRPr="009934FA" w:rsidRDefault="007065A4" w:rsidP="003B648A">
      <w:r w:rsidRPr="00113BDB">
        <w:t xml:space="preserve">A concurrent submission from the same sponsor </w:t>
      </w:r>
      <w:r w:rsidR="00C80D90">
        <w:t xml:space="preserve">for a product containing </w:t>
      </w:r>
      <w:r w:rsidRPr="00113BDB">
        <w:t>IDeg</w:t>
      </w:r>
      <w:r>
        <w:t xml:space="preserve"> in combination with insulin aspart</w:t>
      </w:r>
      <w:r w:rsidRPr="00113BDB">
        <w:t xml:space="preserve"> (</w:t>
      </w:r>
      <w:r>
        <w:t>Ryzodeg 70/30</w:t>
      </w:r>
      <w:r w:rsidRPr="00113BDB">
        <w:t xml:space="preserve"> FlexTouch (prefilled pen) and </w:t>
      </w:r>
      <w:r>
        <w:t>Ryzodeg 70/30</w:t>
      </w:r>
      <w:r w:rsidRPr="00113BDB">
        <w:t xml:space="preserve"> Penfill (cartridge)) was </w:t>
      </w:r>
      <w:r>
        <w:t xml:space="preserve">also </w:t>
      </w:r>
      <w:r w:rsidRPr="00113BDB">
        <w:t>under consideration</w:t>
      </w:r>
      <w:r>
        <w:t xml:space="preserve"> by the TGA</w:t>
      </w:r>
      <w:r w:rsidRPr="00113BDB">
        <w:t xml:space="preserve">. Further information can be found in the AusPAR for </w:t>
      </w:r>
      <w:r w:rsidR="00C80D90">
        <w:t>Ryzodeg</w:t>
      </w:r>
      <w:r w:rsidRPr="00113BDB">
        <w:t xml:space="preserve"> on the TGA website.</w:t>
      </w:r>
      <w:bookmarkStart w:id="22" w:name="_Ref511237953"/>
      <w:r w:rsidRPr="00113BDB">
        <w:rPr>
          <w:rStyle w:val="FootnoteReference"/>
        </w:rPr>
        <w:footnoteReference w:id="5"/>
      </w:r>
      <w:bookmarkEnd w:id="22"/>
    </w:p>
    <w:p w14:paraId="62A7CC29" w14:textId="27F4E592" w:rsidR="00CC12AA" w:rsidRPr="009934FA" w:rsidRDefault="00FC486B" w:rsidP="00FC486B">
      <w:pPr>
        <w:pStyle w:val="Heading4"/>
      </w:pPr>
      <w:r w:rsidRPr="009934FA">
        <w:t>Overseas regulatory status</w:t>
      </w:r>
    </w:p>
    <w:p w14:paraId="7917DBC4" w14:textId="6BD1C9D2" w:rsidR="00FC486B" w:rsidRPr="009934FA" w:rsidRDefault="00FC486B" w:rsidP="001E50B4">
      <w:pPr>
        <w:pStyle w:val="Tabletitle0"/>
      </w:pPr>
      <w:bookmarkStart w:id="23" w:name="_Toc479321683"/>
      <w:r w:rsidRPr="009934FA">
        <w:t xml:space="preserve">Table </w:t>
      </w:r>
      <w:r w:rsidR="00876DD4" w:rsidRPr="009934FA">
        <w:t>3</w:t>
      </w:r>
      <w:r w:rsidR="006C50FE">
        <w:t>:</w:t>
      </w:r>
      <w:r w:rsidR="006C50FE" w:rsidRPr="009934FA">
        <w:t xml:space="preserve"> </w:t>
      </w:r>
      <w:r w:rsidRPr="009934FA">
        <w:t>Overseas regulatory history</w:t>
      </w:r>
      <w:bookmarkEnd w:id="23"/>
    </w:p>
    <w:tbl>
      <w:tblPr>
        <w:tblStyle w:val="TableTGAblue"/>
        <w:tblW w:w="9290" w:type="dxa"/>
        <w:tblLook w:val="04A0" w:firstRow="1" w:lastRow="0" w:firstColumn="1" w:lastColumn="0" w:noHBand="0" w:noVBand="1"/>
        <w:tblDescription w:val="Table 3: Overseas regulatory history"/>
      </w:tblPr>
      <w:tblGrid>
        <w:gridCol w:w="1802"/>
        <w:gridCol w:w="2808"/>
        <w:gridCol w:w="2610"/>
        <w:gridCol w:w="2070"/>
      </w:tblGrid>
      <w:tr w:rsidR="007065A4" w:rsidRPr="009934FA" w14:paraId="3312AFA0" w14:textId="77777777" w:rsidTr="00B23851">
        <w:trPr>
          <w:cnfStyle w:val="100000000000" w:firstRow="1" w:lastRow="0" w:firstColumn="0" w:lastColumn="0" w:oddVBand="0" w:evenVBand="0" w:oddHBand="0" w:evenHBand="0" w:firstRowFirstColumn="0" w:firstRowLastColumn="0" w:lastRowFirstColumn="0" w:lastRowLastColumn="0"/>
          <w:cantSplit/>
        </w:trPr>
        <w:tc>
          <w:tcPr>
            <w:tcW w:w="1802" w:type="dxa"/>
          </w:tcPr>
          <w:p w14:paraId="2356E438" w14:textId="77777777" w:rsidR="00FC486B" w:rsidRPr="009934FA" w:rsidRDefault="00FC486B" w:rsidP="0050501B">
            <w:pPr>
              <w:ind w:left="0" w:right="0"/>
              <w:rPr>
                <w:szCs w:val="22"/>
                <w:lang w:eastAsia="en-US"/>
              </w:rPr>
            </w:pPr>
            <w:r w:rsidRPr="009934FA">
              <w:rPr>
                <w:szCs w:val="22"/>
                <w:lang w:eastAsia="en-US"/>
              </w:rPr>
              <w:t>Country/region</w:t>
            </w:r>
          </w:p>
        </w:tc>
        <w:tc>
          <w:tcPr>
            <w:tcW w:w="2808" w:type="dxa"/>
          </w:tcPr>
          <w:p w14:paraId="577DEF1D" w14:textId="77777777" w:rsidR="00FC486B" w:rsidRPr="009934FA" w:rsidRDefault="00FC486B" w:rsidP="0050501B">
            <w:pPr>
              <w:ind w:left="0" w:right="0"/>
              <w:rPr>
                <w:szCs w:val="22"/>
                <w:lang w:eastAsia="en-US"/>
              </w:rPr>
            </w:pPr>
            <w:r w:rsidRPr="009934FA">
              <w:rPr>
                <w:szCs w:val="22"/>
                <w:lang w:eastAsia="en-US"/>
              </w:rPr>
              <w:t>Status</w:t>
            </w:r>
          </w:p>
        </w:tc>
        <w:tc>
          <w:tcPr>
            <w:tcW w:w="2610" w:type="dxa"/>
          </w:tcPr>
          <w:p w14:paraId="154B2346" w14:textId="77777777" w:rsidR="00FC486B" w:rsidRPr="009934FA" w:rsidRDefault="00FC486B" w:rsidP="0050501B">
            <w:pPr>
              <w:ind w:left="0" w:right="0"/>
              <w:rPr>
                <w:szCs w:val="22"/>
                <w:lang w:eastAsia="en-US"/>
              </w:rPr>
            </w:pPr>
            <w:r w:rsidRPr="009934FA">
              <w:rPr>
                <w:szCs w:val="22"/>
                <w:lang w:eastAsia="en-US"/>
              </w:rPr>
              <w:t xml:space="preserve">Indication </w:t>
            </w:r>
          </w:p>
        </w:tc>
        <w:tc>
          <w:tcPr>
            <w:tcW w:w="2070" w:type="dxa"/>
          </w:tcPr>
          <w:p w14:paraId="7E94F1F1" w14:textId="77777777" w:rsidR="00FC486B" w:rsidRPr="009934FA" w:rsidRDefault="00FC486B" w:rsidP="0050501B">
            <w:pPr>
              <w:ind w:left="0" w:right="0"/>
              <w:rPr>
                <w:szCs w:val="22"/>
                <w:lang w:eastAsia="en-US"/>
              </w:rPr>
            </w:pPr>
            <w:r w:rsidRPr="009934FA">
              <w:rPr>
                <w:szCs w:val="22"/>
                <w:lang w:eastAsia="en-US"/>
              </w:rPr>
              <w:t xml:space="preserve">Comment </w:t>
            </w:r>
          </w:p>
        </w:tc>
      </w:tr>
      <w:tr w:rsidR="007065A4" w:rsidRPr="009934FA" w14:paraId="32E654FB" w14:textId="77777777" w:rsidTr="00B23851">
        <w:trPr>
          <w:cantSplit/>
        </w:trPr>
        <w:tc>
          <w:tcPr>
            <w:tcW w:w="1802" w:type="dxa"/>
          </w:tcPr>
          <w:p w14:paraId="6EE85760" w14:textId="6F4DA91F" w:rsidR="00FC486B" w:rsidRPr="009934FA" w:rsidRDefault="00FC486B" w:rsidP="0050501B">
            <w:pPr>
              <w:ind w:left="0" w:right="0"/>
              <w:rPr>
                <w:b/>
                <w:sz w:val="20"/>
                <w:szCs w:val="22"/>
                <w:lang w:eastAsia="en-US"/>
              </w:rPr>
            </w:pPr>
            <w:r w:rsidRPr="009934FA">
              <w:rPr>
                <w:b/>
                <w:sz w:val="20"/>
                <w:szCs w:val="22"/>
                <w:lang w:eastAsia="en-US"/>
              </w:rPr>
              <w:t>E</w:t>
            </w:r>
            <w:r w:rsidR="00BE137D" w:rsidRPr="009934FA">
              <w:rPr>
                <w:b/>
                <w:sz w:val="20"/>
                <w:szCs w:val="22"/>
                <w:lang w:eastAsia="en-US"/>
              </w:rPr>
              <w:t>uropean Union</w:t>
            </w:r>
          </w:p>
        </w:tc>
        <w:tc>
          <w:tcPr>
            <w:tcW w:w="2808" w:type="dxa"/>
          </w:tcPr>
          <w:p w14:paraId="626CFE4D" w14:textId="72C69FC4" w:rsidR="00FC486B" w:rsidRPr="009934FA" w:rsidRDefault="0050501B" w:rsidP="0050501B">
            <w:pPr>
              <w:ind w:left="0" w:right="0"/>
              <w:rPr>
                <w:sz w:val="20"/>
                <w:szCs w:val="22"/>
                <w:lang w:eastAsia="en-US"/>
              </w:rPr>
            </w:pPr>
            <w:r w:rsidRPr="009934FA">
              <w:rPr>
                <w:sz w:val="20"/>
                <w:szCs w:val="22"/>
                <w:lang w:eastAsia="en-US"/>
              </w:rPr>
              <w:t>Submitted: 26</w:t>
            </w:r>
            <w:r w:rsidR="007065A4">
              <w:rPr>
                <w:sz w:val="20"/>
                <w:szCs w:val="22"/>
                <w:lang w:eastAsia="en-US"/>
              </w:rPr>
              <w:t> </w:t>
            </w:r>
            <w:r w:rsidR="00FC486B" w:rsidRPr="009934FA">
              <w:rPr>
                <w:sz w:val="20"/>
                <w:szCs w:val="22"/>
                <w:lang w:eastAsia="en-US"/>
              </w:rPr>
              <w:t>Sep</w:t>
            </w:r>
            <w:r w:rsidRPr="009934FA">
              <w:rPr>
                <w:sz w:val="20"/>
                <w:szCs w:val="22"/>
                <w:lang w:eastAsia="en-US"/>
              </w:rPr>
              <w:t>tember</w:t>
            </w:r>
            <w:r w:rsidR="007065A4">
              <w:rPr>
                <w:sz w:val="20"/>
                <w:szCs w:val="22"/>
                <w:lang w:eastAsia="en-US"/>
              </w:rPr>
              <w:t> </w:t>
            </w:r>
            <w:r w:rsidR="00FC486B" w:rsidRPr="009934FA">
              <w:rPr>
                <w:sz w:val="20"/>
                <w:szCs w:val="22"/>
                <w:lang w:eastAsia="en-US"/>
              </w:rPr>
              <w:t>2011</w:t>
            </w:r>
          </w:p>
          <w:p w14:paraId="54C1CBFD" w14:textId="07309E9A" w:rsidR="00FC486B" w:rsidRPr="009934FA" w:rsidRDefault="0050501B" w:rsidP="0050501B">
            <w:pPr>
              <w:ind w:left="0" w:right="0"/>
              <w:rPr>
                <w:sz w:val="20"/>
                <w:szCs w:val="22"/>
                <w:lang w:eastAsia="en-US"/>
              </w:rPr>
            </w:pPr>
            <w:r w:rsidRPr="009934FA">
              <w:rPr>
                <w:sz w:val="20"/>
                <w:szCs w:val="22"/>
                <w:lang w:eastAsia="en-US"/>
              </w:rPr>
              <w:t xml:space="preserve">Approved: 21 January 2013 for the indication of </w:t>
            </w:r>
            <w:r w:rsidRPr="009934FA">
              <w:rPr>
                <w:i/>
                <w:sz w:val="20"/>
                <w:szCs w:val="22"/>
                <w:lang w:eastAsia="en-US"/>
              </w:rPr>
              <w:t>‘</w:t>
            </w:r>
            <w:r w:rsidR="00FC486B" w:rsidRPr="009934FA">
              <w:rPr>
                <w:i/>
                <w:sz w:val="20"/>
                <w:szCs w:val="22"/>
                <w:lang w:eastAsia="en-US"/>
              </w:rPr>
              <w:t>treatment of diabetes mellitus in adults</w:t>
            </w:r>
            <w:r w:rsidRPr="009934FA">
              <w:rPr>
                <w:i/>
                <w:sz w:val="20"/>
                <w:szCs w:val="22"/>
                <w:lang w:eastAsia="en-US"/>
              </w:rPr>
              <w:t>’.</w:t>
            </w:r>
          </w:p>
        </w:tc>
        <w:tc>
          <w:tcPr>
            <w:tcW w:w="2610" w:type="dxa"/>
          </w:tcPr>
          <w:p w14:paraId="29BB9662" w14:textId="3006AB2A" w:rsidR="00FC486B" w:rsidRPr="009934FA" w:rsidRDefault="00FC486B" w:rsidP="0050501B">
            <w:pPr>
              <w:ind w:left="0" w:right="0"/>
              <w:rPr>
                <w:sz w:val="20"/>
                <w:szCs w:val="22"/>
                <w:lang w:eastAsia="en-US"/>
              </w:rPr>
            </w:pPr>
            <w:r w:rsidRPr="009934FA">
              <w:rPr>
                <w:sz w:val="20"/>
                <w:szCs w:val="22"/>
                <w:lang w:eastAsia="en-US"/>
              </w:rPr>
              <w:t xml:space="preserve">Current indication: </w:t>
            </w:r>
            <w:r w:rsidR="0050501B" w:rsidRPr="009934FA">
              <w:rPr>
                <w:i/>
                <w:sz w:val="20"/>
                <w:szCs w:val="22"/>
                <w:lang w:eastAsia="en-US"/>
              </w:rPr>
              <w:t>‘</w:t>
            </w:r>
            <w:r w:rsidRPr="009934FA">
              <w:rPr>
                <w:i/>
                <w:sz w:val="20"/>
                <w:szCs w:val="22"/>
                <w:lang w:eastAsia="en-US"/>
              </w:rPr>
              <w:t xml:space="preserve">Treatment of diabetes mellitus in adults, adolescents and </w:t>
            </w:r>
            <w:r w:rsidR="0050501B" w:rsidRPr="009934FA">
              <w:rPr>
                <w:i/>
                <w:sz w:val="20"/>
                <w:szCs w:val="22"/>
                <w:lang w:eastAsia="en-US"/>
              </w:rPr>
              <w:t>children from the age of 1 year’.</w:t>
            </w:r>
          </w:p>
        </w:tc>
        <w:tc>
          <w:tcPr>
            <w:tcW w:w="2070" w:type="dxa"/>
          </w:tcPr>
          <w:p w14:paraId="1C84EF8A" w14:textId="07DACB22" w:rsidR="00FC486B" w:rsidRPr="009934FA" w:rsidRDefault="00FC486B" w:rsidP="0050501B">
            <w:pPr>
              <w:ind w:left="0" w:right="0"/>
              <w:rPr>
                <w:sz w:val="20"/>
                <w:szCs w:val="22"/>
                <w:lang w:eastAsia="en-US"/>
              </w:rPr>
            </w:pPr>
            <w:r w:rsidRPr="009934FA">
              <w:rPr>
                <w:sz w:val="20"/>
                <w:szCs w:val="22"/>
                <w:lang w:eastAsia="en-US"/>
              </w:rPr>
              <w:t>Black triangle in EMA</w:t>
            </w:r>
            <w:r w:rsidR="0050501B" w:rsidRPr="009934FA">
              <w:rPr>
                <w:sz w:val="20"/>
                <w:szCs w:val="22"/>
                <w:lang w:eastAsia="en-US"/>
              </w:rPr>
              <w:t xml:space="preserve"> </w:t>
            </w:r>
            <w:r w:rsidRPr="009934FA">
              <w:rPr>
                <w:sz w:val="20"/>
                <w:szCs w:val="22"/>
                <w:lang w:eastAsia="en-US"/>
              </w:rPr>
              <w:t>which indicates that the medicine is sub</w:t>
            </w:r>
            <w:r w:rsidR="0050501B" w:rsidRPr="009934FA">
              <w:rPr>
                <w:sz w:val="20"/>
                <w:szCs w:val="22"/>
                <w:lang w:eastAsia="en-US"/>
              </w:rPr>
              <w:t>ject to ‘additional monitoring’.</w:t>
            </w:r>
          </w:p>
        </w:tc>
      </w:tr>
      <w:tr w:rsidR="007065A4" w:rsidRPr="009934FA" w14:paraId="69C7FD49" w14:textId="77777777" w:rsidTr="00B23851">
        <w:trPr>
          <w:cantSplit/>
        </w:trPr>
        <w:tc>
          <w:tcPr>
            <w:tcW w:w="1802" w:type="dxa"/>
          </w:tcPr>
          <w:p w14:paraId="4956DE7A" w14:textId="1ACB1775" w:rsidR="00FC486B" w:rsidRPr="009934FA" w:rsidRDefault="00BE137D" w:rsidP="0050501B">
            <w:pPr>
              <w:ind w:left="0" w:right="0"/>
              <w:rPr>
                <w:b/>
                <w:sz w:val="20"/>
                <w:szCs w:val="22"/>
                <w:lang w:eastAsia="en-US"/>
              </w:rPr>
            </w:pPr>
            <w:r w:rsidRPr="009934FA">
              <w:rPr>
                <w:b/>
                <w:sz w:val="20"/>
                <w:szCs w:val="22"/>
                <w:lang w:eastAsia="en-US"/>
              </w:rPr>
              <w:lastRenderedPageBreak/>
              <w:t>United States</w:t>
            </w:r>
          </w:p>
        </w:tc>
        <w:tc>
          <w:tcPr>
            <w:tcW w:w="2808" w:type="dxa"/>
          </w:tcPr>
          <w:p w14:paraId="24A1B820" w14:textId="6A386031" w:rsidR="00FC486B" w:rsidRPr="009934FA" w:rsidRDefault="0050501B" w:rsidP="0050501B">
            <w:pPr>
              <w:ind w:left="0" w:right="0"/>
              <w:rPr>
                <w:sz w:val="20"/>
                <w:szCs w:val="22"/>
                <w:lang w:eastAsia="en-US"/>
              </w:rPr>
            </w:pPr>
            <w:r w:rsidRPr="009934FA">
              <w:rPr>
                <w:sz w:val="20"/>
                <w:szCs w:val="22"/>
                <w:lang w:eastAsia="en-US"/>
              </w:rPr>
              <w:t>Initial submission: 29</w:t>
            </w:r>
            <w:r w:rsidR="007065A4">
              <w:rPr>
                <w:sz w:val="20"/>
                <w:szCs w:val="22"/>
                <w:lang w:eastAsia="en-US"/>
              </w:rPr>
              <w:t> </w:t>
            </w:r>
            <w:r w:rsidRPr="009934FA">
              <w:rPr>
                <w:sz w:val="20"/>
                <w:szCs w:val="22"/>
                <w:lang w:eastAsia="en-US"/>
              </w:rPr>
              <w:t xml:space="preserve">September </w:t>
            </w:r>
            <w:r w:rsidR="00FC486B" w:rsidRPr="009934FA">
              <w:rPr>
                <w:sz w:val="20"/>
                <w:szCs w:val="22"/>
                <w:lang w:eastAsia="en-US"/>
              </w:rPr>
              <w:t>2011</w:t>
            </w:r>
          </w:p>
          <w:p w14:paraId="6B217A3D" w14:textId="5BD8E6D2" w:rsidR="00FC486B" w:rsidRPr="009934FA" w:rsidRDefault="0050501B" w:rsidP="0050501B">
            <w:pPr>
              <w:ind w:left="0" w:right="0"/>
              <w:rPr>
                <w:sz w:val="20"/>
                <w:szCs w:val="22"/>
                <w:lang w:eastAsia="en-US"/>
              </w:rPr>
            </w:pPr>
            <w:r w:rsidRPr="009934FA">
              <w:rPr>
                <w:sz w:val="20"/>
                <w:szCs w:val="22"/>
                <w:lang w:eastAsia="en-US"/>
              </w:rPr>
              <w:t xml:space="preserve">Resubmission: 26 March </w:t>
            </w:r>
            <w:r w:rsidR="00FC486B" w:rsidRPr="009934FA">
              <w:rPr>
                <w:sz w:val="20"/>
                <w:szCs w:val="22"/>
                <w:lang w:eastAsia="en-US"/>
              </w:rPr>
              <w:t>2015</w:t>
            </w:r>
          </w:p>
          <w:p w14:paraId="7E5B7576" w14:textId="1A4B5F8F" w:rsidR="00FC486B" w:rsidRPr="009934FA" w:rsidRDefault="0050501B" w:rsidP="0050501B">
            <w:pPr>
              <w:ind w:left="0" w:right="0"/>
              <w:rPr>
                <w:sz w:val="20"/>
                <w:szCs w:val="22"/>
                <w:lang w:eastAsia="en-US"/>
              </w:rPr>
            </w:pPr>
            <w:r w:rsidRPr="009934FA">
              <w:rPr>
                <w:sz w:val="20"/>
                <w:szCs w:val="22"/>
                <w:lang w:eastAsia="en-US"/>
              </w:rPr>
              <w:t>Approved: 25</w:t>
            </w:r>
            <w:r w:rsidR="007065A4">
              <w:rPr>
                <w:sz w:val="20"/>
                <w:szCs w:val="22"/>
                <w:lang w:eastAsia="en-US"/>
              </w:rPr>
              <w:t> </w:t>
            </w:r>
            <w:r w:rsidRPr="009934FA">
              <w:rPr>
                <w:sz w:val="20"/>
                <w:szCs w:val="22"/>
                <w:lang w:eastAsia="en-US"/>
              </w:rPr>
              <w:t>September</w:t>
            </w:r>
            <w:r w:rsidR="007065A4">
              <w:rPr>
                <w:sz w:val="20"/>
                <w:szCs w:val="22"/>
                <w:lang w:eastAsia="en-US"/>
              </w:rPr>
              <w:t> </w:t>
            </w:r>
            <w:r w:rsidR="00FC486B" w:rsidRPr="009934FA">
              <w:rPr>
                <w:sz w:val="20"/>
                <w:szCs w:val="22"/>
                <w:lang w:eastAsia="en-US"/>
              </w:rPr>
              <w:t>2015</w:t>
            </w:r>
          </w:p>
        </w:tc>
        <w:tc>
          <w:tcPr>
            <w:tcW w:w="2610" w:type="dxa"/>
          </w:tcPr>
          <w:p w14:paraId="15B62116" w14:textId="4C1AAC1F" w:rsidR="00FC486B" w:rsidRPr="009934FA" w:rsidRDefault="0050501B" w:rsidP="0050501B">
            <w:pPr>
              <w:ind w:left="0" w:right="0"/>
              <w:rPr>
                <w:i/>
                <w:sz w:val="20"/>
                <w:szCs w:val="22"/>
                <w:lang w:eastAsia="en-US"/>
              </w:rPr>
            </w:pPr>
            <w:r w:rsidRPr="009934FA">
              <w:rPr>
                <w:i/>
                <w:sz w:val="20"/>
                <w:szCs w:val="22"/>
                <w:lang w:eastAsia="en-US"/>
              </w:rPr>
              <w:t>‘</w:t>
            </w:r>
            <w:r w:rsidR="00FC486B" w:rsidRPr="009934FA">
              <w:rPr>
                <w:i/>
                <w:sz w:val="20"/>
                <w:szCs w:val="22"/>
                <w:lang w:eastAsia="en-US"/>
              </w:rPr>
              <w:t xml:space="preserve">Tresiba is indicated to improve </w:t>
            </w:r>
            <w:r w:rsidR="00A51C17" w:rsidRPr="009934FA">
              <w:rPr>
                <w:i/>
                <w:sz w:val="20"/>
                <w:szCs w:val="22"/>
                <w:lang w:eastAsia="en-US"/>
              </w:rPr>
              <w:t>glycaemic</w:t>
            </w:r>
            <w:r w:rsidR="00FC486B" w:rsidRPr="009934FA">
              <w:rPr>
                <w:i/>
                <w:sz w:val="20"/>
                <w:szCs w:val="22"/>
                <w:lang w:eastAsia="en-US"/>
              </w:rPr>
              <w:t xml:space="preserve"> control in adults with diabetes mellitus</w:t>
            </w:r>
            <w:r w:rsidRPr="009934FA">
              <w:rPr>
                <w:i/>
                <w:sz w:val="20"/>
                <w:szCs w:val="22"/>
                <w:lang w:eastAsia="en-US"/>
              </w:rPr>
              <w:t>’</w:t>
            </w:r>
            <w:r w:rsidR="00FC486B" w:rsidRPr="009934FA">
              <w:rPr>
                <w:i/>
                <w:sz w:val="20"/>
                <w:szCs w:val="22"/>
                <w:lang w:eastAsia="en-US"/>
              </w:rPr>
              <w:t>.</w:t>
            </w:r>
          </w:p>
        </w:tc>
        <w:tc>
          <w:tcPr>
            <w:tcW w:w="2070" w:type="dxa"/>
          </w:tcPr>
          <w:p w14:paraId="73CBBABE" w14:textId="4F4A9084" w:rsidR="00FC486B" w:rsidRPr="009934FA" w:rsidRDefault="00FC486B" w:rsidP="0050501B">
            <w:pPr>
              <w:ind w:left="0" w:right="0"/>
              <w:rPr>
                <w:sz w:val="20"/>
                <w:szCs w:val="22"/>
                <w:lang w:eastAsia="en-US"/>
              </w:rPr>
            </w:pPr>
            <w:r w:rsidRPr="009934FA">
              <w:rPr>
                <w:sz w:val="20"/>
                <w:szCs w:val="22"/>
                <w:lang w:eastAsia="en-US"/>
              </w:rPr>
              <w:t>Approval of resubmission</w:t>
            </w:r>
            <w:r w:rsidR="0050501B" w:rsidRPr="009934FA">
              <w:rPr>
                <w:sz w:val="20"/>
                <w:szCs w:val="22"/>
                <w:lang w:eastAsia="en-US"/>
              </w:rPr>
              <w:t xml:space="preserve"> </w:t>
            </w:r>
            <w:r w:rsidRPr="009934FA">
              <w:rPr>
                <w:sz w:val="20"/>
                <w:szCs w:val="22"/>
                <w:lang w:eastAsia="en-US"/>
              </w:rPr>
              <w:t>based on inclusion of CV safety data as is proposed in the Australian resubmission.</w:t>
            </w:r>
          </w:p>
        </w:tc>
      </w:tr>
      <w:tr w:rsidR="007065A4" w:rsidRPr="009934FA" w14:paraId="1ECD6BE7" w14:textId="77777777" w:rsidTr="00B23851">
        <w:trPr>
          <w:cantSplit/>
        </w:trPr>
        <w:tc>
          <w:tcPr>
            <w:tcW w:w="1802" w:type="dxa"/>
          </w:tcPr>
          <w:p w14:paraId="384CD9DF" w14:textId="77777777" w:rsidR="00FC486B" w:rsidRPr="009934FA" w:rsidRDefault="00FC486B" w:rsidP="0050501B">
            <w:pPr>
              <w:ind w:left="0" w:right="0"/>
              <w:rPr>
                <w:b/>
                <w:sz w:val="20"/>
                <w:szCs w:val="22"/>
                <w:lang w:eastAsia="en-US"/>
              </w:rPr>
            </w:pPr>
            <w:r w:rsidRPr="009934FA">
              <w:rPr>
                <w:b/>
                <w:sz w:val="20"/>
                <w:szCs w:val="22"/>
                <w:lang w:eastAsia="en-US"/>
              </w:rPr>
              <w:t>Canada</w:t>
            </w:r>
          </w:p>
        </w:tc>
        <w:tc>
          <w:tcPr>
            <w:tcW w:w="2808" w:type="dxa"/>
          </w:tcPr>
          <w:p w14:paraId="774F1F9E" w14:textId="7F2A0A93" w:rsidR="00FC486B" w:rsidRPr="009934FA" w:rsidRDefault="00FC486B" w:rsidP="0050501B">
            <w:pPr>
              <w:ind w:left="0" w:right="0"/>
              <w:rPr>
                <w:sz w:val="20"/>
                <w:szCs w:val="22"/>
                <w:lang w:eastAsia="en-US"/>
              </w:rPr>
            </w:pPr>
            <w:r w:rsidRPr="009934FA">
              <w:rPr>
                <w:sz w:val="20"/>
                <w:szCs w:val="22"/>
                <w:lang w:eastAsia="en-US"/>
              </w:rPr>
              <w:t>Init</w:t>
            </w:r>
            <w:r w:rsidR="0050501B" w:rsidRPr="009934FA">
              <w:rPr>
                <w:sz w:val="20"/>
                <w:szCs w:val="22"/>
                <w:lang w:eastAsia="en-US"/>
              </w:rPr>
              <w:t xml:space="preserve">ial submission: withdrawn on 12 </w:t>
            </w:r>
            <w:r w:rsidRPr="009934FA">
              <w:rPr>
                <w:sz w:val="20"/>
                <w:szCs w:val="22"/>
                <w:lang w:eastAsia="en-US"/>
              </w:rPr>
              <w:t>Jul</w:t>
            </w:r>
            <w:r w:rsidR="0050501B" w:rsidRPr="009934FA">
              <w:rPr>
                <w:sz w:val="20"/>
                <w:szCs w:val="22"/>
                <w:lang w:eastAsia="en-US"/>
              </w:rPr>
              <w:t xml:space="preserve">y </w:t>
            </w:r>
            <w:r w:rsidRPr="009934FA">
              <w:rPr>
                <w:sz w:val="20"/>
                <w:szCs w:val="22"/>
                <w:lang w:eastAsia="en-US"/>
              </w:rPr>
              <w:t>2013</w:t>
            </w:r>
          </w:p>
          <w:p w14:paraId="317CE7E9" w14:textId="252D32B8" w:rsidR="00FC486B" w:rsidRPr="009934FA" w:rsidRDefault="00FC486B" w:rsidP="0050501B">
            <w:pPr>
              <w:ind w:left="0" w:right="0"/>
              <w:rPr>
                <w:sz w:val="20"/>
                <w:szCs w:val="22"/>
                <w:lang w:eastAsia="en-US"/>
              </w:rPr>
            </w:pPr>
            <w:r w:rsidRPr="009934FA">
              <w:rPr>
                <w:sz w:val="20"/>
                <w:szCs w:val="22"/>
                <w:lang w:eastAsia="en-US"/>
              </w:rPr>
              <w:t>Proposed resubmission</w:t>
            </w:r>
            <w:r w:rsidR="0050501B" w:rsidRPr="009934FA">
              <w:rPr>
                <w:sz w:val="20"/>
                <w:szCs w:val="22"/>
                <w:lang w:eastAsia="en-US"/>
              </w:rPr>
              <w:t xml:space="preserve">: December </w:t>
            </w:r>
            <w:r w:rsidRPr="009934FA">
              <w:rPr>
                <w:sz w:val="20"/>
                <w:szCs w:val="22"/>
                <w:lang w:eastAsia="en-US"/>
              </w:rPr>
              <w:t>2016</w:t>
            </w:r>
          </w:p>
        </w:tc>
        <w:tc>
          <w:tcPr>
            <w:tcW w:w="2610" w:type="dxa"/>
          </w:tcPr>
          <w:p w14:paraId="7B900C57" w14:textId="3312DFF2" w:rsidR="00FC486B" w:rsidRPr="009934FA" w:rsidRDefault="0050501B" w:rsidP="0050501B">
            <w:pPr>
              <w:ind w:left="0" w:right="0"/>
              <w:rPr>
                <w:i/>
                <w:sz w:val="20"/>
                <w:szCs w:val="22"/>
                <w:lang w:eastAsia="en-US"/>
              </w:rPr>
            </w:pPr>
            <w:r w:rsidRPr="009934FA">
              <w:rPr>
                <w:i/>
                <w:sz w:val="20"/>
                <w:szCs w:val="22"/>
                <w:lang w:eastAsia="en-US"/>
              </w:rPr>
              <w:t>‘Tresiba</w:t>
            </w:r>
            <w:r w:rsidR="00FC486B" w:rsidRPr="009934FA">
              <w:rPr>
                <w:i/>
                <w:sz w:val="20"/>
                <w:szCs w:val="22"/>
                <w:lang w:eastAsia="en-US"/>
              </w:rPr>
              <w:t xml:space="preserve"> (insulin degludec) is an ultra</w:t>
            </w:r>
            <w:r w:rsidRPr="009934FA">
              <w:rPr>
                <w:i/>
                <w:sz w:val="20"/>
                <w:szCs w:val="22"/>
                <w:lang w:eastAsia="en-US"/>
              </w:rPr>
              <w:t xml:space="preserve"> </w:t>
            </w:r>
            <w:r w:rsidR="00FC486B" w:rsidRPr="009934FA">
              <w:rPr>
                <w:i/>
                <w:sz w:val="20"/>
                <w:szCs w:val="22"/>
                <w:lang w:eastAsia="en-US"/>
              </w:rPr>
              <w:t>l</w:t>
            </w:r>
            <w:r w:rsidRPr="009934FA">
              <w:rPr>
                <w:i/>
                <w:sz w:val="20"/>
                <w:szCs w:val="22"/>
                <w:lang w:eastAsia="en-US"/>
              </w:rPr>
              <w:t>ong</w:t>
            </w:r>
            <w:r w:rsidR="00FC486B" w:rsidRPr="009934FA">
              <w:rPr>
                <w:i/>
                <w:sz w:val="20"/>
                <w:szCs w:val="22"/>
                <w:lang w:eastAsia="en-US"/>
              </w:rPr>
              <w:t xml:space="preserve"> acting basal insulin analogue indicated for once daily subcutaneous administration for the treatment of adults with diabetes melli</w:t>
            </w:r>
            <w:r w:rsidRPr="009934FA">
              <w:rPr>
                <w:i/>
                <w:sz w:val="20"/>
                <w:szCs w:val="22"/>
                <w:lang w:eastAsia="en-US"/>
              </w:rPr>
              <w:t>tus to improve glyc</w:t>
            </w:r>
            <w:r w:rsidR="00882431" w:rsidRPr="009934FA">
              <w:rPr>
                <w:i/>
                <w:sz w:val="20"/>
                <w:szCs w:val="22"/>
                <w:lang w:eastAsia="en-US"/>
              </w:rPr>
              <w:t>a</w:t>
            </w:r>
            <w:r w:rsidRPr="009934FA">
              <w:rPr>
                <w:i/>
                <w:sz w:val="20"/>
                <w:szCs w:val="22"/>
                <w:lang w:eastAsia="en-US"/>
              </w:rPr>
              <w:t>emic control’</w:t>
            </w:r>
          </w:p>
        </w:tc>
        <w:tc>
          <w:tcPr>
            <w:tcW w:w="2070" w:type="dxa"/>
          </w:tcPr>
          <w:p w14:paraId="603650FA" w14:textId="77777777" w:rsidR="00FC486B" w:rsidRPr="009934FA" w:rsidRDefault="00FC486B" w:rsidP="0050501B">
            <w:pPr>
              <w:ind w:left="0" w:right="0"/>
              <w:rPr>
                <w:sz w:val="20"/>
                <w:szCs w:val="22"/>
                <w:lang w:eastAsia="en-US"/>
              </w:rPr>
            </w:pPr>
          </w:p>
        </w:tc>
      </w:tr>
    </w:tbl>
    <w:p w14:paraId="3BE536A4" w14:textId="77777777" w:rsidR="008E7846" w:rsidRPr="009934FA" w:rsidRDefault="008E7846" w:rsidP="00940A89">
      <w:pPr>
        <w:pStyle w:val="Heading3"/>
      </w:pPr>
      <w:bookmarkStart w:id="24" w:name="_Toc247691505"/>
      <w:bookmarkStart w:id="25" w:name="_Toc314842486"/>
      <w:bookmarkStart w:id="26" w:name="_Toc517697089"/>
      <w:r w:rsidRPr="009934FA">
        <w:t>Product Information</w:t>
      </w:r>
      <w:bookmarkEnd w:id="24"/>
      <w:bookmarkEnd w:id="25"/>
      <w:bookmarkEnd w:id="26"/>
    </w:p>
    <w:p w14:paraId="636E0592" w14:textId="77777777" w:rsidR="00940A89" w:rsidRDefault="006136D7" w:rsidP="00940A89">
      <w:bookmarkStart w:id="27" w:name="_Toc247691506"/>
      <w:bookmarkStart w:id="28" w:name="_Toc314842487"/>
      <w:r w:rsidRPr="009934FA">
        <w:t xml:space="preserve">The Product Information (PI) approved with the submission which is described in this AusPAR can be found as Attachment 1. For the most recent PI, please refer to the TGA website at </w:t>
      </w:r>
      <w:r w:rsidR="00441C3F" w:rsidRPr="009934FA">
        <w:t>&lt;</w:t>
      </w:r>
      <w:hyperlink r:id="rId14" w:history="1">
        <w:r w:rsidR="00441C3F" w:rsidRPr="009934FA">
          <w:rPr>
            <w:rStyle w:val="Hyperlink"/>
          </w:rPr>
          <w:t>https://www.tga.gov.au/product-information-pi</w:t>
        </w:r>
      </w:hyperlink>
      <w:r w:rsidR="00441C3F" w:rsidRPr="009934FA">
        <w:t>&gt;</w:t>
      </w:r>
      <w:r w:rsidR="00940A89" w:rsidRPr="009934FA">
        <w:t>.</w:t>
      </w:r>
    </w:p>
    <w:p w14:paraId="059A7B54" w14:textId="77777777" w:rsidR="002464DF" w:rsidRPr="002464DF" w:rsidRDefault="002464DF" w:rsidP="00606A05">
      <w:pPr>
        <w:pStyle w:val="Heading2"/>
      </w:pPr>
      <w:bookmarkStart w:id="29" w:name="_Toc517697090"/>
      <w:r w:rsidRPr="002464DF">
        <w:t>II. Registration timeline</w:t>
      </w:r>
      <w:bookmarkEnd w:id="29"/>
    </w:p>
    <w:p w14:paraId="1279ED02" w14:textId="74208D92" w:rsidR="002464DF" w:rsidRPr="002464DF" w:rsidRDefault="002464DF" w:rsidP="00606A05">
      <w:pPr>
        <w:pStyle w:val="TableTitle"/>
      </w:pPr>
      <w:r w:rsidRPr="002464DF">
        <w:t>Table 1: Registration timeline for Submission PM-201</w:t>
      </w:r>
      <w:r>
        <w:t>6</w:t>
      </w:r>
      <w:r w:rsidRPr="002464DF">
        <w:t>-02</w:t>
      </w:r>
      <w:r>
        <w:t>721-</w:t>
      </w:r>
      <w:r w:rsidRPr="002464DF">
        <w:t>1-</w:t>
      </w:r>
      <w:r>
        <w:t>5</w:t>
      </w:r>
    </w:p>
    <w:tbl>
      <w:tblPr>
        <w:tblStyle w:val="TableTGAblue"/>
        <w:tblW w:w="9560" w:type="dxa"/>
        <w:tblLook w:val="04A0" w:firstRow="1" w:lastRow="0" w:firstColumn="1" w:lastColumn="0" w:noHBand="0" w:noVBand="1"/>
        <w:tblDescription w:val="Table 1: Registration timeline for Submission PM-2016-02721-1-5"/>
      </w:tblPr>
      <w:tblGrid>
        <w:gridCol w:w="7040"/>
        <w:gridCol w:w="2520"/>
      </w:tblGrid>
      <w:tr w:rsidR="00EB6F01" w:rsidRPr="00AA5CC2" w14:paraId="36C3C38A" w14:textId="77777777" w:rsidTr="00B23851">
        <w:trPr>
          <w:cnfStyle w:val="100000000000" w:firstRow="1" w:lastRow="0" w:firstColumn="0" w:lastColumn="0" w:oddVBand="0" w:evenVBand="0" w:oddHBand="0" w:evenHBand="0" w:firstRowFirstColumn="0" w:firstRowLastColumn="0" w:lastRowFirstColumn="0" w:lastRowLastColumn="0"/>
        </w:trPr>
        <w:tc>
          <w:tcPr>
            <w:tcW w:w="7040" w:type="dxa"/>
          </w:tcPr>
          <w:p w14:paraId="0B63F927" w14:textId="77777777" w:rsidR="002464DF" w:rsidRPr="00AA5CC2" w:rsidRDefault="002464DF" w:rsidP="00ED71F6">
            <w:r w:rsidRPr="00AA5CC2">
              <w:t>Description</w:t>
            </w:r>
          </w:p>
        </w:tc>
        <w:tc>
          <w:tcPr>
            <w:tcW w:w="2520" w:type="dxa"/>
          </w:tcPr>
          <w:p w14:paraId="1559F2C9" w14:textId="77777777" w:rsidR="002464DF" w:rsidRPr="00AA5CC2" w:rsidRDefault="002464DF" w:rsidP="00ED71F6">
            <w:r w:rsidRPr="00AA5CC2">
              <w:t>Date</w:t>
            </w:r>
          </w:p>
        </w:tc>
      </w:tr>
      <w:tr w:rsidR="00EB6F01" w:rsidRPr="00AA5CC2" w14:paraId="59F59524" w14:textId="77777777" w:rsidTr="00B23851">
        <w:tc>
          <w:tcPr>
            <w:tcW w:w="7040" w:type="dxa"/>
          </w:tcPr>
          <w:p w14:paraId="0F3159A8" w14:textId="589D9FC7" w:rsidR="002464DF" w:rsidRPr="00B23851" w:rsidRDefault="002464DF" w:rsidP="00ED71F6">
            <w:pPr>
              <w:rPr>
                <w:sz w:val="20"/>
              </w:rPr>
            </w:pPr>
            <w:r w:rsidRPr="00B23851">
              <w:rPr>
                <w:sz w:val="20"/>
              </w:rPr>
              <w:t xml:space="preserve">Submission dossier accepted and </w:t>
            </w:r>
            <w:r w:rsidR="00EB6F01" w:rsidRPr="00B23851">
              <w:rPr>
                <w:sz w:val="20"/>
              </w:rPr>
              <w:t>first</w:t>
            </w:r>
            <w:r w:rsidRPr="00B23851">
              <w:rPr>
                <w:sz w:val="20"/>
              </w:rPr>
              <w:t xml:space="preserve"> round evaluation commenced</w:t>
            </w:r>
          </w:p>
        </w:tc>
        <w:tc>
          <w:tcPr>
            <w:tcW w:w="2520" w:type="dxa"/>
          </w:tcPr>
          <w:p w14:paraId="7349314F" w14:textId="58E9D3AF" w:rsidR="002464DF" w:rsidRPr="00B23851" w:rsidRDefault="002464DF" w:rsidP="00ED71F6">
            <w:pPr>
              <w:rPr>
                <w:sz w:val="20"/>
              </w:rPr>
            </w:pPr>
            <w:r w:rsidRPr="00B23851">
              <w:rPr>
                <w:sz w:val="20"/>
              </w:rPr>
              <w:t>30 November 2016</w:t>
            </w:r>
          </w:p>
        </w:tc>
      </w:tr>
      <w:tr w:rsidR="00EB6F01" w:rsidRPr="00AA5CC2" w14:paraId="61B12F2A" w14:textId="77777777" w:rsidTr="00B23851">
        <w:tc>
          <w:tcPr>
            <w:tcW w:w="7040" w:type="dxa"/>
          </w:tcPr>
          <w:p w14:paraId="3D676011" w14:textId="3207834A" w:rsidR="002464DF" w:rsidRPr="00B23851" w:rsidRDefault="00EB6F01" w:rsidP="00ED71F6">
            <w:pPr>
              <w:rPr>
                <w:sz w:val="20"/>
              </w:rPr>
            </w:pPr>
            <w:r w:rsidRPr="00B23851">
              <w:rPr>
                <w:sz w:val="20"/>
              </w:rPr>
              <w:t xml:space="preserve">First </w:t>
            </w:r>
            <w:r w:rsidR="002464DF" w:rsidRPr="00B23851">
              <w:rPr>
                <w:sz w:val="20"/>
              </w:rPr>
              <w:t>round evaluation completed</w:t>
            </w:r>
          </w:p>
        </w:tc>
        <w:tc>
          <w:tcPr>
            <w:tcW w:w="2520" w:type="dxa"/>
          </w:tcPr>
          <w:p w14:paraId="41DD4BC9" w14:textId="03A27CC8" w:rsidR="002464DF" w:rsidRPr="00B23851" w:rsidRDefault="00916334" w:rsidP="00ED71F6">
            <w:pPr>
              <w:rPr>
                <w:sz w:val="20"/>
              </w:rPr>
            </w:pPr>
            <w:r w:rsidRPr="00B23851">
              <w:rPr>
                <w:sz w:val="20"/>
              </w:rPr>
              <w:t>4 May 2017</w:t>
            </w:r>
          </w:p>
        </w:tc>
      </w:tr>
      <w:tr w:rsidR="00EB6F01" w:rsidRPr="00AA5CC2" w14:paraId="0E06DB61" w14:textId="77777777" w:rsidTr="00B23851">
        <w:tc>
          <w:tcPr>
            <w:tcW w:w="7040" w:type="dxa"/>
          </w:tcPr>
          <w:p w14:paraId="656B5398" w14:textId="65447A3C" w:rsidR="002464DF" w:rsidRPr="00B23851" w:rsidRDefault="002464DF" w:rsidP="00EB6F01">
            <w:pPr>
              <w:rPr>
                <w:sz w:val="20"/>
              </w:rPr>
            </w:pPr>
            <w:r w:rsidRPr="00B23851">
              <w:rPr>
                <w:sz w:val="20"/>
              </w:rPr>
              <w:t xml:space="preserve">Sponsor provides responses on questions raised in </w:t>
            </w:r>
            <w:r w:rsidR="00EB6F01" w:rsidRPr="00B23851">
              <w:rPr>
                <w:sz w:val="20"/>
              </w:rPr>
              <w:t xml:space="preserve">first </w:t>
            </w:r>
            <w:r w:rsidRPr="00B23851">
              <w:rPr>
                <w:sz w:val="20"/>
              </w:rPr>
              <w:t>round evaluation</w:t>
            </w:r>
          </w:p>
        </w:tc>
        <w:tc>
          <w:tcPr>
            <w:tcW w:w="2520" w:type="dxa"/>
          </w:tcPr>
          <w:p w14:paraId="6172D94A" w14:textId="0B99A9C0" w:rsidR="002464DF" w:rsidRPr="00B23851" w:rsidRDefault="00916334" w:rsidP="00ED71F6">
            <w:pPr>
              <w:rPr>
                <w:sz w:val="20"/>
              </w:rPr>
            </w:pPr>
            <w:r w:rsidRPr="00B23851">
              <w:rPr>
                <w:sz w:val="20"/>
              </w:rPr>
              <w:t>30 June 2017</w:t>
            </w:r>
          </w:p>
        </w:tc>
      </w:tr>
      <w:tr w:rsidR="00EB6F01" w:rsidRPr="00AA5CC2" w14:paraId="43692AD0" w14:textId="77777777" w:rsidTr="00B23851">
        <w:tc>
          <w:tcPr>
            <w:tcW w:w="7040" w:type="dxa"/>
          </w:tcPr>
          <w:p w14:paraId="381AD681" w14:textId="0F122D29" w:rsidR="002464DF" w:rsidRPr="00B23851" w:rsidRDefault="00EB6F01" w:rsidP="00ED71F6">
            <w:pPr>
              <w:rPr>
                <w:sz w:val="20"/>
              </w:rPr>
            </w:pPr>
            <w:r w:rsidRPr="00B23851">
              <w:rPr>
                <w:sz w:val="20"/>
              </w:rPr>
              <w:t xml:space="preserve">Second </w:t>
            </w:r>
            <w:r w:rsidR="002464DF" w:rsidRPr="00B23851">
              <w:rPr>
                <w:sz w:val="20"/>
              </w:rPr>
              <w:t>round evaluation completed</w:t>
            </w:r>
          </w:p>
        </w:tc>
        <w:tc>
          <w:tcPr>
            <w:tcW w:w="2520" w:type="dxa"/>
          </w:tcPr>
          <w:p w14:paraId="78A3EA87" w14:textId="2111DADB" w:rsidR="002464DF" w:rsidRPr="00B23851" w:rsidRDefault="00916334" w:rsidP="00ED71F6">
            <w:pPr>
              <w:rPr>
                <w:sz w:val="20"/>
              </w:rPr>
            </w:pPr>
            <w:r w:rsidRPr="00B23851">
              <w:rPr>
                <w:sz w:val="20"/>
              </w:rPr>
              <w:t>23 August 2017</w:t>
            </w:r>
          </w:p>
        </w:tc>
      </w:tr>
      <w:tr w:rsidR="00EB6F01" w:rsidRPr="00AA5CC2" w14:paraId="10F2FDD8" w14:textId="77777777" w:rsidTr="00B23851">
        <w:tc>
          <w:tcPr>
            <w:tcW w:w="7040" w:type="dxa"/>
          </w:tcPr>
          <w:p w14:paraId="349C4B73" w14:textId="77777777" w:rsidR="002464DF" w:rsidRPr="00B23851" w:rsidRDefault="002464DF" w:rsidP="00ED71F6">
            <w:pPr>
              <w:rPr>
                <w:sz w:val="20"/>
              </w:rPr>
            </w:pPr>
            <w:r w:rsidRPr="00B23851">
              <w:rPr>
                <w:sz w:val="20"/>
              </w:rPr>
              <w:t>Request for Advisory Committee advice and/or Delegate’s Overview</w:t>
            </w:r>
          </w:p>
        </w:tc>
        <w:tc>
          <w:tcPr>
            <w:tcW w:w="2520" w:type="dxa"/>
          </w:tcPr>
          <w:p w14:paraId="6B07451B" w14:textId="427D01FF" w:rsidR="002464DF" w:rsidRPr="00B23851" w:rsidRDefault="00916334" w:rsidP="00ED71F6">
            <w:pPr>
              <w:rPr>
                <w:sz w:val="20"/>
              </w:rPr>
            </w:pPr>
            <w:r w:rsidRPr="00B23851">
              <w:rPr>
                <w:sz w:val="20"/>
              </w:rPr>
              <w:t>30 August 2017</w:t>
            </w:r>
          </w:p>
        </w:tc>
      </w:tr>
      <w:tr w:rsidR="00EB6F01" w:rsidRPr="00AA5CC2" w14:paraId="39543A33" w14:textId="77777777" w:rsidTr="00B23851">
        <w:tc>
          <w:tcPr>
            <w:tcW w:w="7040" w:type="dxa"/>
          </w:tcPr>
          <w:p w14:paraId="550103A3" w14:textId="77777777" w:rsidR="002464DF" w:rsidRPr="00B23851" w:rsidRDefault="002464DF" w:rsidP="00ED71F6">
            <w:pPr>
              <w:rPr>
                <w:sz w:val="20"/>
              </w:rPr>
            </w:pPr>
            <w:r w:rsidRPr="00B23851">
              <w:rPr>
                <w:sz w:val="20"/>
              </w:rPr>
              <w:t>Sponsor’s response to Delegate’s Overview</w:t>
            </w:r>
          </w:p>
        </w:tc>
        <w:tc>
          <w:tcPr>
            <w:tcW w:w="2520" w:type="dxa"/>
          </w:tcPr>
          <w:p w14:paraId="22F55896" w14:textId="0AD23D56" w:rsidR="002464DF" w:rsidRPr="00B23851" w:rsidRDefault="00916334" w:rsidP="00ED71F6">
            <w:pPr>
              <w:rPr>
                <w:sz w:val="20"/>
              </w:rPr>
            </w:pPr>
            <w:r w:rsidRPr="00B23851">
              <w:rPr>
                <w:sz w:val="20"/>
              </w:rPr>
              <w:t>15 September 2017</w:t>
            </w:r>
          </w:p>
        </w:tc>
      </w:tr>
      <w:tr w:rsidR="00EB6F01" w:rsidRPr="00AA5CC2" w14:paraId="18605045" w14:textId="77777777" w:rsidTr="00B23851">
        <w:tc>
          <w:tcPr>
            <w:tcW w:w="7040" w:type="dxa"/>
          </w:tcPr>
          <w:p w14:paraId="6F4989D8" w14:textId="77777777" w:rsidR="002464DF" w:rsidRPr="00B23851" w:rsidRDefault="002464DF" w:rsidP="00ED71F6">
            <w:pPr>
              <w:rPr>
                <w:sz w:val="20"/>
              </w:rPr>
            </w:pPr>
            <w:r w:rsidRPr="00B23851">
              <w:rPr>
                <w:sz w:val="20"/>
              </w:rPr>
              <w:t>Advisory Committee meeting</w:t>
            </w:r>
          </w:p>
        </w:tc>
        <w:tc>
          <w:tcPr>
            <w:tcW w:w="2520" w:type="dxa"/>
          </w:tcPr>
          <w:p w14:paraId="733A2312" w14:textId="18BAB9D2" w:rsidR="002464DF" w:rsidRPr="00B23851" w:rsidRDefault="002464DF" w:rsidP="00ED71F6">
            <w:pPr>
              <w:rPr>
                <w:sz w:val="20"/>
              </w:rPr>
            </w:pPr>
            <w:r w:rsidRPr="00B23851">
              <w:rPr>
                <w:sz w:val="20"/>
              </w:rPr>
              <w:t>5-6 October 2017</w:t>
            </w:r>
          </w:p>
        </w:tc>
      </w:tr>
      <w:tr w:rsidR="00EB6F01" w:rsidRPr="00AA5CC2" w14:paraId="3F31A143" w14:textId="77777777" w:rsidTr="00B23851">
        <w:tc>
          <w:tcPr>
            <w:tcW w:w="7040" w:type="dxa"/>
          </w:tcPr>
          <w:p w14:paraId="41F41BBE" w14:textId="77777777" w:rsidR="002464DF" w:rsidRPr="00B23851" w:rsidRDefault="002464DF" w:rsidP="00ED71F6">
            <w:pPr>
              <w:rPr>
                <w:sz w:val="20"/>
              </w:rPr>
            </w:pPr>
            <w:r w:rsidRPr="00B23851">
              <w:rPr>
                <w:sz w:val="20"/>
              </w:rPr>
              <w:t>Registration decision</w:t>
            </w:r>
          </w:p>
        </w:tc>
        <w:tc>
          <w:tcPr>
            <w:tcW w:w="2520" w:type="dxa"/>
          </w:tcPr>
          <w:p w14:paraId="4CD91619" w14:textId="1FE41BF8" w:rsidR="002464DF" w:rsidRPr="00B23851" w:rsidRDefault="002464DF" w:rsidP="00ED71F6">
            <w:pPr>
              <w:rPr>
                <w:sz w:val="20"/>
              </w:rPr>
            </w:pPr>
            <w:r w:rsidRPr="00B23851">
              <w:rPr>
                <w:sz w:val="20"/>
              </w:rPr>
              <w:t>24 November 2017</w:t>
            </w:r>
          </w:p>
        </w:tc>
      </w:tr>
      <w:tr w:rsidR="00EB6F01" w:rsidRPr="00AA5CC2" w14:paraId="0BB4CA45" w14:textId="77777777" w:rsidTr="00B23851">
        <w:tc>
          <w:tcPr>
            <w:tcW w:w="7040" w:type="dxa"/>
          </w:tcPr>
          <w:p w14:paraId="6E045B8F" w14:textId="77777777" w:rsidR="002464DF" w:rsidRPr="00B23851" w:rsidRDefault="002464DF" w:rsidP="00ED71F6">
            <w:pPr>
              <w:rPr>
                <w:sz w:val="20"/>
              </w:rPr>
            </w:pPr>
            <w:r w:rsidRPr="00B23851">
              <w:rPr>
                <w:sz w:val="20"/>
              </w:rPr>
              <w:t>Entry onto ARTG</w:t>
            </w:r>
          </w:p>
        </w:tc>
        <w:tc>
          <w:tcPr>
            <w:tcW w:w="2520" w:type="dxa"/>
          </w:tcPr>
          <w:p w14:paraId="38395D15" w14:textId="25C8859E" w:rsidR="002464DF" w:rsidRPr="00B23851" w:rsidRDefault="002464DF" w:rsidP="00ED71F6">
            <w:pPr>
              <w:rPr>
                <w:sz w:val="20"/>
              </w:rPr>
            </w:pPr>
            <w:r w:rsidRPr="00B23851">
              <w:rPr>
                <w:sz w:val="20"/>
              </w:rPr>
              <w:t>29 November 2017</w:t>
            </w:r>
          </w:p>
        </w:tc>
      </w:tr>
      <w:tr w:rsidR="00EB6F01" w:rsidRPr="00AA5CC2" w14:paraId="77626ACF" w14:textId="77777777" w:rsidTr="00EB6F01">
        <w:tc>
          <w:tcPr>
            <w:tcW w:w="7040" w:type="dxa"/>
          </w:tcPr>
          <w:p w14:paraId="31C0722A" w14:textId="27BB1BAE" w:rsidR="002464DF" w:rsidRPr="00EB6F01" w:rsidRDefault="002464DF" w:rsidP="00B23851">
            <w:pPr>
              <w:keepNext/>
              <w:rPr>
                <w:sz w:val="20"/>
              </w:rPr>
            </w:pPr>
            <w:r w:rsidRPr="00EB6F01">
              <w:rPr>
                <w:sz w:val="20"/>
              </w:rPr>
              <w:lastRenderedPageBreak/>
              <w:t>Number of TGA working days from commencement of evaluation to registration decision*</w:t>
            </w:r>
          </w:p>
        </w:tc>
        <w:tc>
          <w:tcPr>
            <w:tcW w:w="2520" w:type="dxa"/>
          </w:tcPr>
          <w:p w14:paraId="3EE87878" w14:textId="4505CE90" w:rsidR="002464DF" w:rsidRPr="00EB6F01" w:rsidRDefault="00916334" w:rsidP="00B23851">
            <w:pPr>
              <w:keepNext/>
              <w:rPr>
                <w:sz w:val="20"/>
              </w:rPr>
            </w:pPr>
            <w:r w:rsidRPr="00EB6F01">
              <w:rPr>
                <w:sz w:val="20"/>
              </w:rPr>
              <w:t>189</w:t>
            </w:r>
          </w:p>
        </w:tc>
      </w:tr>
    </w:tbl>
    <w:p w14:paraId="6712F33A" w14:textId="172656CB" w:rsidR="00EB6F01" w:rsidRPr="00EB6F01" w:rsidRDefault="00EB6F01" w:rsidP="00EB6F01">
      <w:pPr>
        <w:pStyle w:val="TableDescription"/>
        <w:keepNext/>
      </w:pPr>
      <w:r>
        <w:t>*</w:t>
      </w:r>
      <w:r w:rsidR="006C50FE">
        <w:t xml:space="preserve"> </w:t>
      </w:r>
      <w:r>
        <w:t>Statutory timeframe: 255 working days.</w:t>
      </w:r>
    </w:p>
    <w:p w14:paraId="0ED8AF19" w14:textId="3AF41BFE" w:rsidR="008E7846" w:rsidRPr="009934FA" w:rsidRDefault="008E7846" w:rsidP="008E7846">
      <w:pPr>
        <w:pStyle w:val="Heading2"/>
        <w:ind w:left="-11"/>
      </w:pPr>
      <w:bookmarkStart w:id="30" w:name="_Toc517697091"/>
      <w:r w:rsidRPr="009934FA">
        <w:t>II</w:t>
      </w:r>
      <w:r w:rsidR="002464DF">
        <w:t>I</w:t>
      </w:r>
      <w:r w:rsidRPr="009934FA">
        <w:t>. Quality</w:t>
      </w:r>
      <w:bookmarkEnd w:id="1"/>
      <w:r w:rsidRPr="009934FA">
        <w:t xml:space="preserve"> findings</w:t>
      </w:r>
      <w:bookmarkEnd w:id="27"/>
      <w:bookmarkEnd w:id="28"/>
      <w:bookmarkEnd w:id="30"/>
    </w:p>
    <w:p w14:paraId="009D49D1" w14:textId="4EC6B5BF" w:rsidR="008E7846" w:rsidRDefault="008E7846" w:rsidP="00A643B0">
      <w:pPr>
        <w:pStyle w:val="Heading3"/>
      </w:pPr>
      <w:bookmarkStart w:id="31" w:name="_Toc247691507"/>
      <w:bookmarkStart w:id="32" w:name="_Toc314842488"/>
      <w:bookmarkStart w:id="33" w:name="_Toc517697092"/>
      <w:r w:rsidRPr="009934FA">
        <w:t>Drug substance (active ingredient)</w:t>
      </w:r>
      <w:bookmarkEnd w:id="31"/>
      <w:bookmarkEnd w:id="32"/>
      <w:bookmarkEnd w:id="33"/>
    </w:p>
    <w:p w14:paraId="7A6273E8" w14:textId="532AEB81" w:rsidR="00C43931" w:rsidRPr="00C43931" w:rsidRDefault="00C43931" w:rsidP="00C43931">
      <w:r>
        <w:t xml:space="preserve">The insulin degludec </w:t>
      </w:r>
      <w:r w:rsidR="003E2A1B">
        <w:t xml:space="preserve">(IDeg) </w:t>
      </w:r>
      <w:r>
        <w:t xml:space="preserve">drug structure is shown in Figure 1 (below). The molecular formula is </w:t>
      </w:r>
      <w:r w:rsidRPr="00C43931">
        <w:t>C</w:t>
      </w:r>
      <w:r w:rsidRPr="00C43931">
        <w:rPr>
          <w:vertAlign w:val="subscript"/>
        </w:rPr>
        <w:t>274</w:t>
      </w:r>
      <w:r w:rsidRPr="00C43931">
        <w:t>H</w:t>
      </w:r>
      <w:r w:rsidRPr="00C43931">
        <w:rPr>
          <w:vertAlign w:val="subscript"/>
        </w:rPr>
        <w:t>411</w:t>
      </w:r>
      <w:r w:rsidRPr="00C43931">
        <w:t>N</w:t>
      </w:r>
      <w:r w:rsidRPr="00C43931">
        <w:rPr>
          <w:vertAlign w:val="subscript"/>
        </w:rPr>
        <w:t>65</w:t>
      </w:r>
      <w:r w:rsidRPr="00C43931">
        <w:t>O</w:t>
      </w:r>
      <w:r w:rsidRPr="00C43931">
        <w:rPr>
          <w:vertAlign w:val="subscript"/>
        </w:rPr>
        <w:t>81</w:t>
      </w:r>
      <w:r w:rsidRPr="00C43931">
        <w:t>S</w:t>
      </w:r>
      <w:r w:rsidRPr="00C43931">
        <w:rPr>
          <w:vertAlign w:val="subscript"/>
        </w:rPr>
        <w:t>6</w:t>
      </w:r>
      <w:r>
        <w:t>.</w:t>
      </w:r>
    </w:p>
    <w:p w14:paraId="63C3F195" w14:textId="34DC64CA" w:rsidR="00C43931" w:rsidRPr="00C43931" w:rsidRDefault="00C43931" w:rsidP="00C43931">
      <w:pPr>
        <w:pStyle w:val="FigureTitle"/>
      </w:pPr>
      <w:r>
        <w:t>Figure 1</w:t>
      </w:r>
      <w:r w:rsidR="006C50FE">
        <w:t xml:space="preserve">: </w:t>
      </w:r>
      <w:r>
        <w:t>Insulin degludec drug structure</w:t>
      </w:r>
    </w:p>
    <w:p w14:paraId="4A57EFF0" w14:textId="381B7D58" w:rsidR="00C43931" w:rsidRDefault="00C43931" w:rsidP="00C43931">
      <w:pPr>
        <w:rPr>
          <w:b/>
          <w:bCs/>
        </w:rPr>
      </w:pPr>
      <w:bookmarkStart w:id="34" w:name="_Toc488238051"/>
      <w:r w:rsidRPr="00C43931">
        <w:rPr>
          <w:b/>
          <w:bCs/>
          <w:noProof/>
          <w:lang w:eastAsia="en-AU"/>
        </w:rPr>
        <w:drawing>
          <wp:inline distT="0" distB="0" distL="0" distR="0" wp14:anchorId="269F1305" wp14:editId="311D0A71">
            <wp:extent cx="5868963" cy="2512568"/>
            <wp:effectExtent l="0" t="0" r="0" b="2540"/>
            <wp:docPr id="6" name="Picture 6" descr="Insulin degludec drug structure" title="Insulin degludec dru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7206" cy="2516097"/>
                    </a:xfrm>
                    <a:prstGeom prst="rect">
                      <a:avLst/>
                    </a:prstGeom>
                    <a:noFill/>
                    <a:ln>
                      <a:noFill/>
                    </a:ln>
                  </pic:spPr>
                </pic:pic>
              </a:graphicData>
            </a:graphic>
          </wp:inline>
        </w:drawing>
      </w:r>
      <w:bookmarkEnd w:id="34"/>
    </w:p>
    <w:p w14:paraId="08F44A20" w14:textId="24645951" w:rsidR="003E2A1B" w:rsidRPr="003E2A1B" w:rsidRDefault="00FD1EA5" w:rsidP="00FD1EA5">
      <w:r>
        <w:t>The insulin degludec drug substance manufacturing process includes fermentation of yeast cells, recovery and purification. The fermentation produces a precursor-insulin, which is cleaved to desB30-insulin. This is then purified and chemically modified to insulin degludec by inserting a hexadecandioyl-γ-L-glutamate group in position B29. After further purification, the drug substance is stored at long term storage conditions according to the approved shelf-life.</w:t>
      </w:r>
      <w:r w:rsidR="003E2A1B">
        <w:t xml:space="preserve"> </w:t>
      </w:r>
      <w:r w:rsidR="003E2A1B" w:rsidRPr="003E2A1B">
        <w:t xml:space="preserve">All </w:t>
      </w:r>
      <w:r w:rsidR="003E2A1B">
        <w:t>drug substance</w:t>
      </w:r>
      <w:r w:rsidR="003E2A1B" w:rsidRPr="003E2A1B">
        <w:t xml:space="preserve"> manufacturing steps are validated.</w:t>
      </w:r>
    </w:p>
    <w:p w14:paraId="343673A2" w14:textId="27C0149B" w:rsidR="00591680" w:rsidRPr="00591680" w:rsidRDefault="00591680" w:rsidP="00591680">
      <w:pPr>
        <w:pStyle w:val="Heading4"/>
      </w:pPr>
      <w:r>
        <w:t xml:space="preserve">Drug </w:t>
      </w:r>
      <w:r w:rsidR="00283147">
        <w:t>substance</w:t>
      </w:r>
      <w:r>
        <w:t xml:space="preserve"> stability</w:t>
      </w:r>
    </w:p>
    <w:p w14:paraId="1585D138" w14:textId="01804A31" w:rsidR="00591680" w:rsidRPr="00591680" w:rsidRDefault="00591680" w:rsidP="00591680">
      <w:r w:rsidRPr="00591680">
        <w:t>The sponsor proposed a shelf life of 60 months at -20°C</w:t>
      </w:r>
      <w:r>
        <w:t xml:space="preserve"> </w:t>
      </w:r>
      <w:r w:rsidRPr="00591680">
        <w:t>±</w:t>
      </w:r>
      <w:r>
        <w:t xml:space="preserve"> </w:t>
      </w:r>
      <w:r w:rsidRPr="00591680">
        <w:t>5°C and protected from light.</w:t>
      </w:r>
    </w:p>
    <w:p w14:paraId="325BCC72" w14:textId="78282D30" w:rsidR="00591680" w:rsidRPr="00591680" w:rsidRDefault="00591680" w:rsidP="00591680">
      <w:r w:rsidRPr="00591680">
        <w:t>Stability data have been generated under real time and stressed conditions.</w:t>
      </w:r>
    </w:p>
    <w:p w14:paraId="6A3C4CFD" w14:textId="61FD5BE3" w:rsidR="00591680" w:rsidRPr="00591680" w:rsidRDefault="00591680" w:rsidP="00591680">
      <w:r w:rsidRPr="00591680">
        <w:t>Stability data were generated under real time conditions to characterise the stability profile of the substance and to establish a shelf life. The real time data submitted support a shelf life of 60 months when stored at ≤ -20°C</w:t>
      </w:r>
      <w:r>
        <w:t xml:space="preserve"> </w:t>
      </w:r>
      <w:r w:rsidRPr="00591680">
        <w:t>±</w:t>
      </w:r>
      <w:r>
        <w:t xml:space="preserve"> </w:t>
      </w:r>
      <w:r w:rsidRPr="00591680">
        <w:t>5°</w:t>
      </w:r>
      <w:r>
        <w:t>C</w:t>
      </w:r>
      <w:r w:rsidRPr="00591680">
        <w:t>.</w:t>
      </w:r>
    </w:p>
    <w:p w14:paraId="4534CC13" w14:textId="0800C5CF" w:rsidR="00591680" w:rsidRPr="00591680" w:rsidRDefault="00591680" w:rsidP="00591680">
      <w:r>
        <w:t>There were no n</w:t>
      </w:r>
      <w:r w:rsidRPr="00591680">
        <w:t>oteworthy stability issues</w:t>
      </w:r>
      <w:r>
        <w:t>.</w:t>
      </w:r>
    </w:p>
    <w:p w14:paraId="150779E9" w14:textId="170C5287" w:rsidR="00940A89" w:rsidRDefault="008E7846" w:rsidP="00A643B0">
      <w:pPr>
        <w:pStyle w:val="Heading3"/>
      </w:pPr>
      <w:bookmarkStart w:id="35" w:name="_Toc247691508"/>
      <w:bookmarkStart w:id="36" w:name="_Toc314842490"/>
      <w:bookmarkStart w:id="37" w:name="_Toc517697093"/>
      <w:r w:rsidRPr="009934FA">
        <w:t>Drug product</w:t>
      </w:r>
      <w:bookmarkEnd w:id="35"/>
      <w:bookmarkEnd w:id="36"/>
      <w:bookmarkEnd w:id="37"/>
    </w:p>
    <w:p w14:paraId="3062C152" w14:textId="4F3152F5" w:rsidR="0082086A" w:rsidRDefault="0082086A" w:rsidP="0082086A">
      <w:r w:rsidRPr="0082086A">
        <w:t>The prim</w:t>
      </w:r>
      <w:r>
        <w:t>ary packaging is a Penfill 3 mL cartridge. The Penfill</w:t>
      </w:r>
      <w:r w:rsidRPr="0082086A">
        <w:t xml:space="preserve"> 3 mL cartridge can be assembled into a pre-filled disposable device, a PDS290 pen injector (FlexTouch). The </w:t>
      </w:r>
      <w:r w:rsidRPr="0082086A">
        <w:lastRenderedPageBreak/>
        <w:t>PDS290 device is already approved for use with Novo</w:t>
      </w:r>
      <w:r w:rsidR="00A51C17">
        <w:t>R</w:t>
      </w:r>
      <w:r w:rsidRPr="0082086A">
        <w:t xml:space="preserve">apid. The Penfill 3 mL cartridge is approved for use in other </w:t>
      </w:r>
      <w:r w:rsidR="00A51C17">
        <w:t>sponsor made insulin</w:t>
      </w:r>
      <w:r w:rsidRPr="0082086A">
        <w:t xml:space="preserve"> products. It consists of Type 1 glass, with a plunger (halobutyl) and a stopper (halobutyl/isoprene). These materials have all been previously evaluated and found to be satisfactory.</w:t>
      </w:r>
    </w:p>
    <w:p w14:paraId="76CC0EC7" w14:textId="1060EE6D" w:rsidR="003E2A1B" w:rsidRDefault="003E2A1B" w:rsidP="0082086A">
      <w:r>
        <w:t xml:space="preserve">There are no drug product </w:t>
      </w:r>
      <w:r w:rsidR="00C37C3C">
        <w:t>pecification issues</w:t>
      </w:r>
      <w:r w:rsidRPr="003E2A1B">
        <w:t>. All analytical procedures are validated.</w:t>
      </w:r>
    </w:p>
    <w:p w14:paraId="52B13033" w14:textId="7292FC73" w:rsidR="00591680" w:rsidRDefault="00591680" w:rsidP="00591680">
      <w:pPr>
        <w:pStyle w:val="Heading4"/>
      </w:pPr>
      <w:r>
        <w:t>Drug product stability</w:t>
      </w:r>
    </w:p>
    <w:p w14:paraId="53725394" w14:textId="6F04DE45" w:rsidR="00591680" w:rsidRPr="00591680" w:rsidRDefault="00591680" w:rsidP="00591680">
      <w:r w:rsidRPr="00591680">
        <w:t>Stability data have been generated under stressed and real time conditions to characterise the sta</w:t>
      </w:r>
      <w:r>
        <w:t xml:space="preserve">bility profile of the product. </w:t>
      </w:r>
      <w:r w:rsidRPr="00591680">
        <w:t>Photostability data the product is not photostable. However, the secondary packaging provides adequate protection.</w:t>
      </w:r>
    </w:p>
    <w:p w14:paraId="63FD374B" w14:textId="10FD6DC5" w:rsidR="00591680" w:rsidRPr="00591680" w:rsidRDefault="00591680" w:rsidP="00591680">
      <w:r w:rsidRPr="00591680">
        <w:t>The proposed shelf life is 30 months when stored at 5°C ± 3°C. This is supported by adequate stability data.</w:t>
      </w:r>
    </w:p>
    <w:p w14:paraId="043F32FC" w14:textId="64F258B3" w:rsidR="00591680" w:rsidRPr="00591680" w:rsidRDefault="00591680" w:rsidP="00591680">
      <w:r w:rsidRPr="00591680">
        <w:t>In-use stability data covering storage at 24 months at 2 to 8°C then 4 weeks at 30</w:t>
      </w:r>
      <w:r w:rsidR="004847DD" w:rsidRPr="00591680">
        <w:t>°</w:t>
      </w:r>
      <w:r w:rsidRPr="00591680">
        <w:t>C have also been submitted. The proposed shelf life and storage conditions for the opened product are 28 days when stored below 30</w:t>
      </w:r>
      <w:r w:rsidR="004847DD" w:rsidRPr="00591680">
        <w:t>°</w:t>
      </w:r>
      <w:r>
        <w:t xml:space="preserve">C or at 2 to </w:t>
      </w:r>
      <w:r w:rsidRPr="00591680">
        <w:t>8</w:t>
      </w:r>
      <w:r w:rsidR="004847DD" w:rsidRPr="00591680">
        <w:t>°</w:t>
      </w:r>
      <w:r w:rsidR="004847DD">
        <w:t>C.</w:t>
      </w:r>
    </w:p>
    <w:p w14:paraId="59471236" w14:textId="2C9D4F37" w:rsidR="0082086A" w:rsidRPr="0082086A" w:rsidRDefault="0082086A" w:rsidP="0082086A">
      <w:pPr>
        <w:pStyle w:val="Heading4"/>
      </w:pPr>
      <w:r w:rsidRPr="0082086A">
        <w:t>Recommended</w:t>
      </w:r>
      <w:r>
        <w:t xml:space="preserve"> shelf life</w:t>
      </w:r>
    </w:p>
    <w:p w14:paraId="16927CF5" w14:textId="11208601" w:rsidR="0082086A" w:rsidRPr="0082086A" w:rsidRDefault="0082086A" w:rsidP="0082086A">
      <w:pPr>
        <w:pStyle w:val="ListBullet"/>
      </w:pPr>
      <w:r>
        <w:t>30 months at 2 to</w:t>
      </w:r>
      <w:r w:rsidRPr="0082086A">
        <w:t xml:space="preserve"> 8</w:t>
      </w:r>
      <w:r w:rsidRPr="0082086A">
        <w:rPr>
          <w:vertAlign w:val="superscript"/>
        </w:rPr>
        <w:t>o</w:t>
      </w:r>
      <w:r w:rsidRPr="0082086A">
        <w:t xml:space="preserve">C. Store below 30°C or in the refrigerator between 2°C to 8°C for up to 28 days. Any remainder </w:t>
      </w:r>
      <w:r w:rsidR="00591680">
        <w:t>must then be discarded.</w:t>
      </w:r>
    </w:p>
    <w:p w14:paraId="5ADCAC7B" w14:textId="77777777" w:rsidR="008E7846" w:rsidRDefault="008E7846" w:rsidP="008E7846">
      <w:pPr>
        <w:pStyle w:val="Heading3"/>
      </w:pPr>
      <w:bookmarkStart w:id="38" w:name="_Toc314842491"/>
      <w:bookmarkStart w:id="39" w:name="_Toc517697094"/>
      <w:r w:rsidRPr="009934FA">
        <w:t>Biopharmaceutics</w:t>
      </w:r>
      <w:bookmarkEnd w:id="38"/>
      <w:bookmarkEnd w:id="39"/>
    </w:p>
    <w:p w14:paraId="41842E99" w14:textId="77777777" w:rsidR="00746234" w:rsidRPr="00746234" w:rsidRDefault="00746234" w:rsidP="00746234">
      <w:pPr>
        <w:pStyle w:val="Heading4"/>
      </w:pPr>
      <w:r w:rsidRPr="00746234">
        <w:t>Absolute bioavailability</w:t>
      </w:r>
    </w:p>
    <w:p w14:paraId="06FC75C8" w14:textId="77777777" w:rsidR="00746234" w:rsidRPr="00746234" w:rsidRDefault="00746234" w:rsidP="00746234">
      <w:pPr>
        <w:pStyle w:val="Heading5"/>
      </w:pPr>
      <w:r w:rsidRPr="00746234">
        <w:t>Study NN1250-4000</w:t>
      </w:r>
    </w:p>
    <w:p w14:paraId="7A3191D2" w14:textId="6667E55D" w:rsidR="00746234" w:rsidRPr="00746234" w:rsidRDefault="00746234" w:rsidP="00746234">
      <w:r w:rsidRPr="00746234">
        <w:t>Study NN1250-4000 was a randomi</w:t>
      </w:r>
      <w:r>
        <w:t xml:space="preserve">sed single centre, open </w:t>
      </w:r>
      <w:r w:rsidRPr="00746234">
        <w:t xml:space="preserve">label, </w:t>
      </w:r>
      <w:r>
        <w:t xml:space="preserve">2 </w:t>
      </w:r>
      <w:proofErr w:type="gramStart"/>
      <w:r>
        <w:t>period</w:t>
      </w:r>
      <w:proofErr w:type="gramEnd"/>
      <w:r>
        <w:t xml:space="preserve">, cross </w:t>
      </w:r>
      <w:r w:rsidR="00FC14BC">
        <w:t>over study to assess the pharmacokinetic and pharmacodynamic</w:t>
      </w:r>
      <w:r w:rsidRPr="00746234">
        <w:t xml:space="preserve"> properties of IDeg after </w:t>
      </w:r>
      <w:r w:rsidR="00425E98">
        <w:t>subcutaneous (</w:t>
      </w:r>
      <w:r w:rsidR="00FC14BC">
        <w:t>SC</w:t>
      </w:r>
      <w:r w:rsidR="00425E98">
        <w:t>)</w:t>
      </w:r>
      <w:r w:rsidR="00FC14BC">
        <w:t xml:space="preserve"> versus</w:t>
      </w:r>
      <w:r w:rsidRPr="00746234">
        <w:t xml:space="preserve"> intravenous (IV) administration in 18 healthy adult subjects.</w:t>
      </w:r>
    </w:p>
    <w:p w14:paraId="4A575862" w14:textId="555216D3" w:rsidR="00746234" w:rsidRPr="00746234" w:rsidRDefault="00746234" w:rsidP="00746234">
      <w:r w:rsidRPr="00746234">
        <w:t xml:space="preserve">The primary objective was to estimate the absolute bioavailability of IDeg following SC administration. Subjects were randomly assigned to a single SC dose (0.4U/kg bodyweight administered in the thigh) and a single IV dose (0.04 U/kg bodyweight) at </w:t>
      </w:r>
      <w:r w:rsidR="00FC14BC">
        <w:t>2</w:t>
      </w:r>
      <w:r w:rsidRPr="00746234">
        <w:t xml:space="preserve"> separate dosing visit</w:t>
      </w:r>
      <w:r w:rsidR="00FC14BC">
        <w:t>s (separated by 13 to 21 days).</w:t>
      </w:r>
    </w:p>
    <w:p w14:paraId="0BC74BD3" w14:textId="56663A31" w:rsidR="00746234" w:rsidRPr="00746234" w:rsidRDefault="00746234" w:rsidP="00746234">
      <w:r w:rsidRPr="00746234">
        <w:t xml:space="preserve">The absolute bioavailability of IDeg (ratio </w:t>
      </w:r>
      <w:r w:rsidR="00FC14BC">
        <w:t>of the area under the drug concentrat</w:t>
      </w:r>
      <w:r w:rsidR="00C872ED">
        <w:t>ion time curve from time zero to</w:t>
      </w:r>
      <w:r w:rsidR="00FC14BC">
        <w:t xml:space="preserve"> infinity (</w:t>
      </w:r>
      <w:r w:rsidR="00FC14BC" w:rsidRPr="00746234">
        <w:t>AUC</w:t>
      </w:r>
      <w:r w:rsidR="00FC14BC" w:rsidRPr="00746234">
        <w:rPr>
          <w:vertAlign w:val="subscript"/>
        </w:rPr>
        <w:t>IDeg</w:t>
      </w:r>
      <w:proofErr w:type="gramStart"/>
      <w:r w:rsidR="00FC14BC" w:rsidRPr="00746234">
        <w:rPr>
          <w:vertAlign w:val="subscript"/>
        </w:rPr>
        <w:t>,0</w:t>
      </w:r>
      <w:proofErr w:type="gramEnd"/>
      <w:r w:rsidR="00FC14BC" w:rsidRPr="00746234">
        <w:rPr>
          <w:vertAlign w:val="subscript"/>
        </w:rPr>
        <w:t>-∞</w:t>
      </w:r>
      <w:r w:rsidR="00FC14BC">
        <w:t>)</w:t>
      </w:r>
      <w:r w:rsidR="00A51C17">
        <w:t>)</w:t>
      </w:r>
      <w:r w:rsidR="00FC14BC">
        <w:t xml:space="preserve"> SC: IV (</w:t>
      </w:r>
      <w:r w:rsidRPr="00746234">
        <w:t>AUC</w:t>
      </w:r>
      <w:r w:rsidR="00C872ED">
        <w:rPr>
          <w:vertAlign w:val="subscript"/>
        </w:rPr>
        <w:t>IDeg,0</w:t>
      </w:r>
      <w:r w:rsidR="00C872ED">
        <w:rPr>
          <w:vertAlign w:val="subscript"/>
        </w:rPr>
        <w:noBreakHyphen/>
      </w:r>
      <w:r w:rsidRPr="00746234">
        <w:rPr>
          <w:vertAlign w:val="subscript"/>
        </w:rPr>
        <w:t>∞,SD,IDeg,s.c.</w:t>
      </w:r>
      <w:r w:rsidRPr="00746234">
        <w:t>/AUC</w:t>
      </w:r>
      <w:r w:rsidR="00C872ED">
        <w:rPr>
          <w:vertAlign w:val="subscript"/>
        </w:rPr>
        <w:t>IDeg,0</w:t>
      </w:r>
      <w:r w:rsidR="00C872ED">
        <w:rPr>
          <w:vertAlign w:val="subscript"/>
        </w:rPr>
        <w:noBreakHyphen/>
      </w:r>
      <w:r w:rsidRPr="00746234">
        <w:rPr>
          <w:vertAlign w:val="subscript"/>
        </w:rPr>
        <w:t>∞,SD,IDeg,i.v.</w:t>
      </w:r>
      <w:r w:rsidRPr="00746234">
        <w:t>) was 0.91 (95% CI: 0.82, 1.01). The sensitivity analysis (excluding unphysiological values) demonstrated an absolute bioavailability of IDeg of 0.88 (95% CI: 0.81, 0.95). The mean serum clearance was 33 mL/h/kg and mean volume of distribution was</w:t>
      </w:r>
      <w:r w:rsidR="00425E98">
        <w:t xml:space="preserve"> 242.9 mL/kg. The terminal </w:t>
      </w:r>
      <w:r w:rsidR="006C50FE">
        <w:t>half-</w:t>
      </w:r>
      <w:r w:rsidR="006C50FE" w:rsidRPr="00746234">
        <w:t>life</w:t>
      </w:r>
      <w:r w:rsidRPr="00746234">
        <w:t xml:space="preserve"> following IV administration was 5.1 hours.</w:t>
      </w:r>
    </w:p>
    <w:p w14:paraId="77B48583" w14:textId="77777777" w:rsidR="00746234" w:rsidRPr="00746234" w:rsidRDefault="00746234" w:rsidP="00425E98">
      <w:pPr>
        <w:pStyle w:val="Heading5"/>
      </w:pPr>
      <w:r w:rsidRPr="00746234">
        <w:t>Conclusions</w:t>
      </w:r>
    </w:p>
    <w:p w14:paraId="6C7AE3DB" w14:textId="2AD35181" w:rsidR="00746234" w:rsidRPr="00746234" w:rsidRDefault="00746234" w:rsidP="00746234">
      <w:r w:rsidRPr="00746234">
        <w:t xml:space="preserve">The pharmacokinetic characteristics of IDeg have been established in </w:t>
      </w:r>
      <w:r w:rsidR="00425E98">
        <w:t>the original withdrawn submission</w:t>
      </w:r>
      <w:r w:rsidRPr="00746234">
        <w:t xml:space="preserve">. In </w:t>
      </w:r>
      <w:r w:rsidR="006C50FE" w:rsidRPr="00746234">
        <w:t>summary,</w:t>
      </w:r>
      <w:r w:rsidRPr="00746234">
        <w:t xml:space="preserve"> there do not app</w:t>
      </w:r>
      <w:r w:rsidR="00425E98">
        <w:t>ear to be any outstanding pharmacokinetic</w:t>
      </w:r>
      <w:r w:rsidRPr="00746234">
        <w:t xml:space="preserve"> issues from the original evaluation. The new data do not</w:t>
      </w:r>
      <w:r w:rsidR="00B5014A">
        <w:t xml:space="preserve"> add any new information. The pharmacokinetic</w:t>
      </w:r>
      <w:r w:rsidRPr="00746234">
        <w:t xml:space="preserve"> profile is adequately described in the proposed PI with data from </w:t>
      </w:r>
      <w:r w:rsidR="00B5014A">
        <w:t>the previous submission.</w:t>
      </w:r>
    </w:p>
    <w:p w14:paraId="63C9DF5B" w14:textId="77777777" w:rsidR="008E7846" w:rsidRPr="009934FA" w:rsidRDefault="008E7846" w:rsidP="008E7846">
      <w:pPr>
        <w:pStyle w:val="Heading3"/>
      </w:pPr>
      <w:bookmarkStart w:id="40" w:name="_Toc247691509"/>
      <w:bookmarkStart w:id="41" w:name="_Toc314842493"/>
      <w:bookmarkStart w:id="42" w:name="_Toc517697095"/>
      <w:r w:rsidRPr="009934FA">
        <w:lastRenderedPageBreak/>
        <w:t>Quality summary and conclusions</w:t>
      </w:r>
      <w:bookmarkEnd w:id="40"/>
      <w:bookmarkEnd w:id="41"/>
      <w:bookmarkEnd w:id="42"/>
    </w:p>
    <w:p w14:paraId="3CCAD13D" w14:textId="4A7EBCF4" w:rsidR="004847DD" w:rsidRPr="004847DD" w:rsidRDefault="004847DD" w:rsidP="004847DD">
      <w:r w:rsidRPr="004847DD">
        <w:t>There are no objections on qua</w:t>
      </w:r>
      <w:r>
        <w:t>lity grounds to the approval of:</w:t>
      </w:r>
    </w:p>
    <w:p w14:paraId="4BC9EDB2" w14:textId="24F40BA9" w:rsidR="004847DD" w:rsidRPr="004847DD" w:rsidRDefault="004847DD" w:rsidP="004847DD">
      <w:pPr>
        <w:pStyle w:val="ListBullet"/>
      </w:pPr>
      <w:r w:rsidRPr="004847DD">
        <w:t>280300 Tresiba Penfill insulin degludec 100 U/mL solution for injection mul</w:t>
      </w:r>
      <w:r>
        <w:t>tidose cartridge</w:t>
      </w:r>
    </w:p>
    <w:p w14:paraId="1CB0AC05" w14:textId="20FBA5B2" w:rsidR="004847DD" w:rsidRPr="004847DD" w:rsidRDefault="004847DD" w:rsidP="004847DD">
      <w:pPr>
        <w:pStyle w:val="ListBullet"/>
      </w:pPr>
      <w:r w:rsidRPr="004847DD">
        <w:t xml:space="preserve">280302 Tresiba </w:t>
      </w:r>
      <w:r w:rsidR="00A51C17">
        <w:t>FlexT</w:t>
      </w:r>
      <w:r w:rsidR="00A51C17" w:rsidRPr="004847DD">
        <w:t>ouch</w:t>
      </w:r>
      <w:r w:rsidRPr="004847DD">
        <w:t xml:space="preserve"> insulin degludec 100 U/mL solution fo</w:t>
      </w:r>
      <w:r>
        <w:t>r injection multidose cartridge</w:t>
      </w:r>
    </w:p>
    <w:p w14:paraId="383FECA3" w14:textId="1DCB784D" w:rsidR="004847DD" w:rsidRPr="004847DD" w:rsidRDefault="004847DD" w:rsidP="004847DD">
      <w:pPr>
        <w:pStyle w:val="ListBullet"/>
      </w:pPr>
      <w:r w:rsidRPr="004847DD">
        <w:t xml:space="preserve">280301 Tresiba </w:t>
      </w:r>
      <w:r w:rsidR="00A51C17">
        <w:t>FlexT</w:t>
      </w:r>
      <w:r w:rsidR="00A51C17" w:rsidRPr="004847DD">
        <w:t>ouch</w:t>
      </w:r>
      <w:r w:rsidRPr="004847DD">
        <w:t xml:space="preserve"> insulin degludec 200 U/mL solution f</w:t>
      </w:r>
      <w:r>
        <w:t>or injection multidose cartridge</w:t>
      </w:r>
    </w:p>
    <w:p w14:paraId="3B6C9B24" w14:textId="3FF32037" w:rsidR="004847DD" w:rsidRPr="004847DD" w:rsidRDefault="004847DD" w:rsidP="004847DD">
      <w:pPr>
        <w:pStyle w:val="Heading4"/>
      </w:pPr>
      <w:r w:rsidRPr="004847DD">
        <w:t>Proposed</w:t>
      </w:r>
      <w:r w:rsidR="00425E98">
        <w:t xml:space="preserve"> conditions of r</w:t>
      </w:r>
      <w:r w:rsidRPr="004847DD">
        <w:t xml:space="preserve">egistration </w:t>
      </w:r>
      <w:r>
        <w:t xml:space="preserve">for the </w:t>
      </w:r>
      <w:r w:rsidRPr="004847DD">
        <w:t>Delegate</w:t>
      </w:r>
    </w:p>
    <w:p w14:paraId="238DCCF7" w14:textId="27933353" w:rsidR="004847DD" w:rsidRPr="004847DD" w:rsidRDefault="00425E98" w:rsidP="004847DD">
      <w:pPr>
        <w:pStyle w:val="Heading5"/>
      </w:pPr>
      <w:r>
        <w:t>Batch release t</w:t>
      </w:r>
      <w:r w:rsidR="004847DD" w:rsidRPr="004847DD">
        <w:t xml:space="preserve">esting </w:t>
      </w:r>
      <w:r>
        <w:t>and c</w:t>
      </w:r>
      <w:r w:rsidR="004847DD" w:rsidRPr="004847DD">
        <w:t>ompliance with Certified Product Details (CPD)</w:t>
      </w:r>
    </w:p>
    <w:p w14:paraId="2DFFAA3E" w14:textId="6FC373AC" w:rsidR="004847DD" w:rsidRPr="004847DD" w:rsidRDefault="004847DD" w:rsidP="004847DD">
      <w:r w:rsidRPr="004847DD">
        <w:t>It is a condition of r</w:t>
      </w:r>
      <w:r>
        <w:t>egistration that all batches of:</w:t>
      </w:r>
    </w:p>
    <w:p w14:paraId="6435BA21" w14:textId="77777777" w:rsidR="0025404D" w:rsidRDefault="004847DD" w:rsidP="00425E98">
      <w:pPr>
        <w:pStyle w:val="ListBullet"/>
      </w:pPr>
      <w:r w:rsidRPr="004847DD">
        <w:t>280300</w:t>
      </w:r>
      <w:r w:rsidR="00425E98">
        <w:t>:</w:t>
      </w:r>
      <w:r w:rsidRPr="004847DD">
        <w:t xml:space="preserve"> Tresiba Penfill insulin degludec 100 U/mL solution for injection </w:t>
      </w:r>
      <w:proofErr w:type="spellStart"/>
      <w:r w:rsidRPr="004847DD">
        <w:t>multidose</w:t>
      </w:r>
      <w:proofErr w:type="spellEnd"/>
      <w:r w:rsidRPr="004847DD">
        <w:t xml:space="preserve"> cartridge</w:t>
      </w:r>
    </w:p>
    <w:p w14:paraId="34829CED" w14:textId="77777777" w:rsidR="0025404D" w:rsidRDefault="004847DD" w:rsidP="00425E98">
      <w:pPr>
        <w:pStyle w:val="ListBullet"/>
      </w:pPr>
      <w:r w:rsidRPr="004847DD">
        <w:t>280302</w:t>
      </w:r>
      <w:r w:rsidR="00425E98">
        <w:t>:</w:t>
      </w:r>
      <w:r w:rsidRPr="004847DD">
        <w:t xml:space="preserve"> </w:t>
      </w:r>
      <w:proofErr w:type="spellStart"/>
      <w:r w:rsidRPr="004847DD">
        <w:t>Tresiba</w:t>
      </w:r>
      <w:proofErr w:type="spellEnd"/>
      <w:r w:rsidRPr="004847DD">
        <w:t xml:space="preserve"> </w:t>
      </w:r>
      <w:r w:rsidR="00A51C17">
        <w:t>FlexT</w:t>
      </w:r>
      <w:r w:rsidR="00A51C17" w:rsidRPr="004847DD">
        <w:t>ouch</w:t>
      </w:r>
      <w:r w:rsidRPr="004847DD">
        <w:t xml:space="preserve"> insulin degludec 100 U/mL solution for injection </w:t>
      </w:r>
      <w:proofErr w:type="spellStart"/>
      <w:r w:rsidRPr="004847DD">
        <w:t>multidose</w:t>
      </w:r>
      <w:proofErr w:type="spellEnd"/>
      <w:r w:rsidRPr="004847DD">
        <w:t xml:space="preserve"> cartridge</w:t>
      </w:r>
    </w:p>
    <w:p w14:paraId="7C6A7125" w14:textId="7C326611" w:rsidR="004847DD" w:rsidRPr="004847DD" w:rsidRDefault="004847DD" w:rsidP="004847DD">
      <w:pPr>
        <w:pStyle w:val="ListBullet"/>
      </w:pPr>
      <w:r w:rsidRPr="004847DD">
        <w:t>280301</w:t>
      </w:r>
      <w:r w:rsidR="00425E98">
        <w:t>:</w:t>
      </w:r>
      <w:r w:rsidRPr="004847DD">
        <w:t xml:space="preserve"> </w:t>
      </w:r>
      <w:proofErr w:type="spellStart"/>
      <w:r w:rsidRPr="004847DD">
        <w:t>Tresiba</w:t>
      </w:r>
      <w:proofErr w:type="spellEnd"/>
      <w:r w:rsidRPr="004847DD">
        <w:t xml:space="preserve"> </w:t>
      </w:r>
      <w:r w:rsidR="00A51C17">
        <w:t>FlexT</w:t>
      </w:r>
      <w:r w:rsidR="00A51C17" w:rsidRPr="004847DD">
        <w:t>ouch</w:t>
      </w:r>
      <w:r w:rsidRPr="004847DD">
        <w:t xml:space="preserve"> insulin degludec 200 U/mL solution for injection multidose cartridge</w:t>
      </w:r>
    </w:p>
    <w:p w14:paraId="5E8661B2" w14:textId="77777777" w:rsidR="00425E98" w:rsidRDefault="004847DD" w:rsidP="00425E98">
      <w:proofErr w:type="gramStart"/>
      <w:r w:rsidRPr="004847DD">
        <w:t>imported</w:t>
      </w:r>
      <w:proofErr w:type="gramEnd"/>
      <w:r w:rsidRPr="004847DD">
        <w:t xml:space="preserve"> into/manufactured in Australia must comply with the product details and specifications approved during evaluation and detailed in the Certified Product Details (CPD).</w:t>
      </w:r>
    </w:p>
    <w:p w14:paraId="19845C47" w14:textId="5C573E5E" w:rsidR="004847DD" w:rsidRPr="004847DD" w:rsidRDefault="004847DD" w:rsidP="004847DD">
      <w:r w:rsidRPr="004847DD">
        <w:t>It is a condition of</w:t>
      </w:r>
      <w:r w:rsidR="00425E98">
        <w:t xml:space="preserve"> registration that each batch</w:t>
      </w:r>
      <w:r w:rsidRPr="004847DD">
        <w:t xml:space="preserve"> </w:t>
      </w:r>
      <w:r w:rsidR="00425E98">
        <w:t xml:space="preserve">(of the products listed above) </w:t>
      </w:r>
      <w:r w:rsidRPr="004847DD">
        <w:t xml:space="preserve">imported into/manufactured in Australia is not released for sale until samples and/or the manufacturer’s release data have been assessed and endorsed for release by the TGA </w:t>
      </w:r>
      <w:r w:rsidR="00425E98">
        <w:t>Laboratories Branch.</w:t>
      </w:r>
    </w:p>
    <w:p w14:paraId="1CCFF313" w14:textId="77777777" w:rsidR="004847DD" w:rsidRPr="004847DD" w:rsidRDefault="004847DD" w:rsidP="004847DD">
      <w:r w:rsidRPr="004847DD">
        <w:t>The sponsor must supply:</w:t>
      </w:r>
    </w:p>
    <w:p w14:paraId="70ACECB4" w14:textId="77777777" w:rsidR="004847DD" w:rsidRPr="004847DD" w:rsidRDefault="004847DD" w:rsidP="00425E98">
      <w:pPr>
        <w:pStyle w:val="ListBullet"/>
      </w:pPr>
      <w:r w:rsidRPr="004847DD">
        <w:t>Certificates of Analysis of all active ingredient (drug substance) and final product.</w:t>
      </w:r>
    </w:p>
    <w:p w14:paraId="35019633" w14:textId="2B4CC248" w:rsidR="004847DD" w:rsidRPr="004847DD" w:rsidRDefault="004847DD" w:rsidP="00425E98">
      <w:pPr>
        <w:pStyle w:val="ListBullet"/>
      </w:pPr>
      <w:r w:rsidRPr="004847DD">
        <w:t>Information on the number of doses to be released in Australia with accompanying expiry dates for the product and diluent</w:t>
      </w:r>
      <w:r w:rsidR="00425E98">
        <w:t>s (if included).</w:t>
      </w:r>
    </w:p>
    <w:p w14:paraId="18EBF015" w14:textId="77777777" w:rsidR="004847DD" w:rsidRPr="004847DD" w:rsidRDefault="004847DD" w:rsidP="00425E98">
      <w:pPr>
        <w:pStyle w:val="ListBullet"/>
      </w:pPr>
      <w:r w:rsidRPr="004847DD">
        <w:t>Evidence of the maintenance of registered storage conditions during transport to Australia.</w:t>
      </w:r>
    </w:p>
    <w:p w14:paraId="528A8CA2" w14:textId="7D730429" w:rsidR="008E7846" w:rsidRPr="009934FA" w:rsidRDefault="004847DD" w:rsidP="008E7846">
      <w:pPr>
        <w:pStyle w:val="ListBullet"/>
      </w:pPr>
      <w:r w:rsidRPr="004847DD">
        <w:t>6 cartridges of each batch for testing by the TGA Laboratories Branch together with any necessary standards, impurities and active pharmaceutical ingredients (with their Certificates of Analysis) required for method development and validation.</w:t>
      </w:r>
    </w:p>
    <w:p w14:paraId="2842163E" w14:textId="77777777" w:rsidR="008E7846" w:rsidRPr="009934FA" w:rsidRDefault="008E7846" w:rsidP="008E7846">
      <w:pPr>
        <w:pStyle w:val="Heading2"/>
      </w:pPr>
      <w:bookmarkStart w:id="43" w:name="_Toc196046439"/>
      <w:bookmarkStart w:id="44" w:name="_Toc247691510"/>
      <w:bookmarkStart w:id="45" w:name="_Toc314842494"/>
      <w:bookmarkStart w:id="46" w:name="_Toc517697096"/>
      <w:r w:rsidRPr="009934FA">
        <w:t>III. Nonclinical</w:t>
      </w:r>
      <w:bookmarkEnd w:id="43"/>
      <w:r w:rsidRPr="009934FA">
        <w:t xml:space="preserve"> findings</w:t>
      </w:r>
      <w:bookmarkEnd w:id="44"/>
      <w:bookmarkEnd w:id="45"/>
      <w:bookmarkEnd w:id="46"/>
    </w:p>
    <w:p w14:paraId="31B5DDB4" w14:textId="77777777" w:rsidR="008E7846" w:rsidRPr="009934FA" w:rsidRDefault="008E7846" w:rsidP="008E7846">
      <w:pPr>
        <w:pStyle w:val="Heading3"/>
      </w:pPr>
      <w:bookmarkStart w:id="47" w:name="_Toc247691512"/>
      <w:bookmarkStart w:id="48" w:name="_Toc314842496"/>
      <w:bookmarkStart w:id="49" w:name="_Toc517697097"/>
      <w:r w:rsidRPr="009934FA">
        <w:t>Pharmacology</w:t>
      </w:r>
      <w:bookmarkEnd w:id="47"/>
      <w:bookmarkEnd w:id="48"/>
      <w:bookmarkEnd w:id="49"/>
    </w:p>
    <w:p w14:paraId="4C45C3A5" w14:textId="77777777" w:rsidR="00DD726C" w:rsidRPr="009934FA" w:rsidRDefault="00DD726C" w:rsidP="008F7180">
      <w:pPr>
        <w:pStyle w:val="Heading4"/>
      </w:pPr>
      <w:r w:rsidRPr="009934FA">
        <w:t>Primary pharmacology</w:t>
      </w:r>
    </w:p>
    <w:p w14:paraId="2B6F63D0" w14:textId="7C40BEC2" w:rsidR="00DD726C" w:rsidRPr="009934FA" w:rsidRDefault="00DD726C" w:rsidP="00DD726C">
      <w:r w:rsidRPr="009934FA">
        <w:t xml:space="preserve">In vitro binding studies </w:t>
      </w:r>
      <w:r w:rsidRPr="009934FA">
        <w:rPr>
          <w:iCs/>
        </w:rPr>
        <w:t>indicated that</w:t>
      </w:r>
      <w:r w:rsidRPr="009934FA">
        <w:rPr>
          <w:i/>
          <w:iCs/>
        </w:rPr>
        <w:t xml:space="preserve"> </w:t>
      </w:r>
      <w:r w:rsidRPr="009934FA">
        <w:rPr>
          <w:iCs/>
        </w:rPr>
        <w:t>i</w:t>
      </w:r>
      <w:r w:rsidRPr="009934FA">
        <w:t>nsulin degludec binds to t</w:t>
      </w:r>
      <w:r w:rsidR="004856EC" w:rsidRPr="009934FA">
        <w:t xml:space="preserve">he human insulin receptor with around 13 to </w:t>
      </w:r>
      <w:r w:rsidRPr="009934FA">
        <w:t>15% of the affinity of native human insulin; relative affinity was found to be further reduced in the presence of</w:t>
      </w:r>
      <w:r w:rsidR="00C37C3C">
        <w:t xml:space="preserve"> albumin (reflecting drug </w:t>
      </w:r>
      <w:r w:rsidRPr="009934FA">
        <w:t xml:space="preserve">protein </w:t>
      </w:r>
      <w:r w:rsidRPr="009934FA">
        <w:lastRenderedPageBreak/>
        <w:t>binding). There was no significant difference in the association and dissociation rates for binding to recombinant human insulin receptor between insulin degludec and human insulin. Receptor phosphorylation/dephosphorylation experiments in transfected cells demonstrated that insulin degludec acts as a less potent but full agonist of the human insulin receptor and with signalling duration equivalent to human insulin. Full agonism and decreased potency</w:t>
      </w:r>
      <w:r w:rsidR="007A1830" w:rsidRPr="009934FA">
        <w:rPr>
          <w:i/>
        </w:rPr>
        <w:t xml:space="preserve"> </w:t>
      </w:r>
      <w:r w:rsidR="007A1830" w:rsidRPr="009934FA">
        <w:t>compared with</w:t>
      </w:r>
      <w:r w:rsidRPr="009934FA">
        <w:t xml:space="preserve"> human insulin (which was further reduced with increasing albumin concentration) were also evident in functional assays examining lipogenesis in primary rat adipocytes. Stimulation of glucose utilisation, inhibition of lipolysis and inhibition of fatty acid mobilisation was shown for insulin degludec in human adipocyte</w:t>
      </w:r>
      <w:r w:rsidR="007A1830" w:rsidRPr="009934FA">
        <w:t xml:space="preserve">s, with the drug displaying 1.5 to </w:t>
      </w:r>
      <w:r w:rsidRPr="009934FA">
        <w:t>1.8% of the potency of human insulin (in the presence of 1% human serum albumin). Stimulation of glycogen synthesis by insulin degludec was demonstrated in experiments with human breast adenocarcinoma (MCF</w:t>
      </w:r>
      <w:r w:rsidRPr="009934FA">
        <w:noBreakHyphen/>
        <w:t xml:space="preserve">7) cells, rat hepatocytes, human and rat skeletal muscles and </w:t>
      </w:r>
      <w:r w:rsidR="00FF3225">
        <w:t xml:space="preserve">immortalised </w:t>
      </w:r>
      <w:r w:rsidR="00FF5AAE">
        <w:t xml:space="preserve">rat skeletal myoblast (L6) cells </w:t>
      </w:r>
      <w:r w:rsidRPr="009934FA">
        <w:t>overexpressing the human insulin receptor, with insulin degludec having the same maximal effect as human insulin. The potency of insulin degludec was 21% of that of human insulin in assays in rat hepatocytes conducted in the absence of albumin; lower relative affinity was seen in other experiments where albumin was present.</w:t>
      </w:r>
    </w:p>
    <w:p w14:paraId="6B54F85A" w14:textId="7EE4EF8A" w:rsidR="00DD726C" w:rsidRPr="009934FA" w:rsidRDefault="00DD726C" w:rsidP="00DD726C">
      <w:r w:rsidRPr="009934FA">
        <w:t xml:space="preserve">The selectivity of insulin degludec for binding to the human insulin receptor over the </w:t>
      </w:r>
      <w:r w:rsidR="00C37C3C">
        <w:t>insulin like growth factor-</w:t>
      </w:r>
      <w:r w:rsidR="006550E7">
        <w:t>1 (</w:t>
      </w:r>
      <w:r w:rsidR="007A1830" w:rsidRPr="009934FA">
        <w:t>IGF</w:t>
      </w:r>
      <w:r w:rsidR="007A1830" w:rsidRPr="009934FA">
        <w:noBreakHyphen/>
        <w:t>1</w:t>
      </w:r>
      <w:r w:rsidR="006550E7">
        <w:t>)</w:t>
      </w:r>
      <w:r w:rsidR="007A1830" w:rsidRPr="009934FA">
        <w:t xml:space="preserve"> receptor was shown to be around 6 to </w:t>
      </w:r>
      <w:r w:rsidR="00C37C3C">
        <w:t xml:space="preserve">7 </w:t>
      </w:r>
      <w:r w:rsidRPr="009934FA">
        <w:t>times greater</w:t>
      </w:r>
      <w:r w:rsidR="007A1830" w:rsidRPr="009934FA">
        <w:t xml:space="preserve"> compared with</w:t>
      </w:r>
      <w:r w:rsidRPr="009934FA">
        <w:t xml:space="preserve"> that of human insulin. The mitogenic potency of insulin degludec in non</w:t>
      </w:r>
      <w:r w:rsidRPr="009934FA">
        <w:noBreakHyphen/>
        <w:t>neoplastic (primary human mammary epithelial cells and L6 rat myoblasts overexpressing human insulin receptor) and neoplastic (human colon adenocarcinoma and human mammary adenocarcinoma) cells was consistently lowe</w:t>
      </w:r>
      <w:r w:rsidR="007A1830" w:rsidRPr="009934FA">
        <w:t xml:space="preserve">r than that of human insulin (3 to </w:t>
      </w:r>
      <w:r w:rsidRPr="009934FA">
        <w:t>14% relative potency in the absence of human serum albumin). Available data show comparable or lower proliferative:</w:t>
      </w:r>
      <w:r w:rsidR="007A1830" w:rsidRPr="009934FA">
        <w:t> </w:t>
      </w:r>
      <w:r w:rsidRPr="009934FA">
        <w:t>metabo</w:t>
      </w:r>
      <w:r w:rsidR="007A1830" w:rsidRPr="009934FA">
        <w:t>lic potency for insulin degludec compared with</w:t>
      </w:r>
      <w:r w:rsidRPr="009934FA">
        <w:t xml:space="preserve"> human insulin.</w:t>
      </w:r>
    </w:p>
    <w:p w14:paraId="6AE56EA6" w14:textId="6B5748C3" w:rsidR="00DD726C" w:rsidRPr="009934FA" w:rsidRDefault="00DD726C" w:rsidP="00DD726C">
      <w:r w:rsidRPr="009934FA">
        <w:t>In vivo</w:t>
      </w:r>
      <w:r w:rsidRPr="009934FA">
        <w:rPr>
          <w:i/>
        </w:rPr>
        <w:t xml:space="preserve"> </w:t>
      </w:r>
      <w:r w:rsidRPr="009934FA">
        <w:t>pharmacology studies examining blood glucose lowering activity in Sprague Dawley and Zucker obese rats yielded an estimated molar potency of insulin degludec relative to human insulin of 65% and 47% in the respective strains. Euglycaemic clamp studies in pigs demonstrated that insulin degludec formulated with higher zinc content gives a long, flat pharmacodynamic (and pharmacokinetic) profile.</w:t>
      </w:r>
    </w:p>
    <w:p w14:paraId="7ED2B6A9" w14:textId="77777777" w:rsidR="00DD726C" w:rsidRPr="009934FA" w:rsidRDefault="00DD726C" w:rsidP="007A1830">
      <w:pPr>
        <w:pStyle w:val="Heading4"/>
      </w:pPr>
      <w:r w:rsidRPr="009934FA">
        <w:t>Secondary pharmacodynamics and safety pharmacology</w:t>
      </w:r>
    </w:p>
    <w:p w14:paraId="74B66202" w14:textId="71F87628" w:rsidR="00DD726C" w:rsidRPr="009934FA" w:rsidRDefault="00DD726C" w:rsidP="00DD726C">
      <w:r w:rsidRPr="009934FA">
        <w:t>Activity at the IGF</w:t>
      </w:r>
      <w:r w:rsidRPr="009934FA">
        <w:noBreakHyphen/>
        <w:t>1 receptor is described above. Screening against a panel of 67 other receptors, ion channels and transporters revealed no significant secondary activities for insulin de</w:t>
      </w:r>
      <w:r w:rsidR="007A1830" w:rsidRPr="009934FA">
        <w:t xml:space="preserve">gludec (1 μM; corresponding to around </w:t>
      </w:r>
      <w:r w:rsidR="006550E7">
        <w:t xml:space="preserve">100 </w:t>
      </w:r>
      <w:r w:rsidRPr="009934FA">
        <w:t xml:space="preserve">times the human </w:t>
      </w:r>
      <w:r w:rsidR="006550E7">
        <w:t>maximum serum concentration (</w:t>
      </w:r>
      <w:r w:rsidRPr="009934FA">
        <w:t>C</w:t>
      </w:r>
      <w:r w:rsidRPr="009934FA">
        <w:rPr>
          <w:vertAlign w:val="subscript"/>
        </w:rPr>
        <w:t>max</w:t>
      </w:r>
      <w:r w:rsidR="006550E7">
        <w:t xml:space="preserve">) </w:t>
      </w:r>
      <w:r w:rsidRPr="009934FA">
        <w:t>at the anticipated maximum human dose).</w:t>
      </w:r>
    </w:p>
    <w:p w14:paraId="290720E0" w14:textId="737DC043" w:rsidR="004334C7" w:rsidRPr="009934FA" w:rsidRDefault="00DD726C" w:rsidP="004334C7">
      <w:r w:rsidRPr="009934FA">
        <w:t xml:space="preserve">Submitted safety pharmacology studies examined potential effects on the </w:t>
      </w:r>
      <w:r w:rsidR="006550E7">
        <w:t>central nervous system</w:t>
      </w:r>
      <w:r w:rsidRPr="009934FA">
        <w:t xml:space="preserve">, </w:t>
      </w:r>
      <w:r w:rsidR="00FF5AAE">
        <w:t>CV</w:t>
      </w:r>
      <w:r w:rsidRPr="009934FA">
        <w:t xml:space="preserve"> and respiratory systems. Notable effects were li</w:t>
      </w:r>
      <w:r w:rsidR="00FF5AAE">
        <w:t>mited to signs of passivity (at 3 </w:t>
      </w:r>
      <w:r w:rsidR="007A1830" w:rsidRPr="009934FA">
        <w:t xml:space="preserve">to </w:t>
      </w:r>
      <w:r w:rsidRPr="009934FA">
        <w:t>300 nmol/kg SC), and decreased respiration rate and increased tidal volume in rat</w:t>
      </w:r>
      <w:r w:rsidR="007A1830" w:rsidRPr="009934FA">
        <w:t xml:space="preserve">s (at 300 nmol/kg SC; yielding around </w:t>
      </w:r>
      <w:r w:rsidR="00FF5AAE">
        <w:t xml:space="preserve">65 </w:t>
      </w:r>
      <w:r w:rsidRPr="009934FA">
        <w:t xml:space="preserve">times the clinical </w:t>
      </w:r>
      <w:r w:rsidR="00FF5AAE">
        <w:t>maximal serum concentration (</w:t>
      </w:r>
      <w:r w:rsidRPr="009934FA">
        <w:t>C</w:t>
      </w:r>
      <w:r w:rsidRPr="009934FA">
        <w:rPr>
          <w:vertAlign w:val="subscript"/>
        </w:rPr>
        <w:t>max</w:t>
      </w:r>
      <w:r w:rsidR="00FF5AAE">
        <w:t xml:space="preserve">) </w:t>
      </w:r>
      <w:r w:rsidR="007A1830" w:rsidRPr="009934FA">
        <w:t>(</w:t>
      </w:r>
      <w:r w:rsidRPr="009934FA">
        <w:t>based on animal pharmacokinetic data obtained in Study</w:t>
      </w:r>
      <w:r w:rsidR="007A1830" w:rsidRPr="009934FA">
        <w:t xml:space="preserve"> 204316) </w:t>
      </w:r>
      <w:r w:rsidRPr="009934FA">
        <w:t xml:space="preserve">which can be attributed to hypoglycaemia. Insulin degludec showed no significant binding to the </w:t>
      </w:r>
      <w:r w:rsidR="006550E7">
        <w:t>potassium channel (</w:t>
      </w:r>
      <w:r w:rsidRPr="009934FA">
        <w:t>hERG K</w:t>
      </w:r>
      <w:r w:rsidRPr="009934FA">
        <w:rPr>
          <w:vertAlign w:val="superscript"/>
        </w:rPr>
        <w:t>+</w:t>
      </w:r>
      <w:r w:rsidR="006550E7">
        <w:t xml:space="preserve">) </w:t>
      </w:r>
      <w:r w:rsidR="007A1830" w:rsidRPr="009934FA">
        <w:t>(1 </w:t>
      </w:r>
      <w:r w:rsidRPr="009934FA">
        <w:t>μM) and had no effect on action potentials in isolated rabbit Purkinje fibres (≤</w:t>
      </w:r>
      <w:r w:rsidR="007A1830" w:rsidRPr="009934FA">
        <w:t> </w:t>
      </w:r>
      <w:r w:rsidRPr="009934FA">
        <w:t xml:space="preserve">1 μM; </w:t>
      </w:r>
      <w:r w:rsidR="007A1830" w:rsidRPr="009934FA">
        <w:t xml:space="preserve">around </w:t>
      </w:r>
      <w:r w:rsidR="00DA5831">
        <w:t xml:space="preserve">100 </w:t>
      </w:r>
      <w:r w:rsidRPr="009934FA">
        <w:t>times the clinical C</w:t>
      </w:r>
      <w:r w:rsidRPr="009934FA">
        <w:rPr>
          <w:vertAlign w:val="subscript"/>
        </w:rPr>
        <w:t>max</w:t>
      </w:r>
      <w:r w:rsidRPr="009934FA">
        <w:t xml:space="preserve">). </w:t>
      </w:r>
      <w:r w:rsidR="00DA5831">
        <w:t>Electrocardiograph (</w:t>
      </w:r>
      <w:r w:rsidRPr="009934FA">
        <w:t>ECG</w:t>
      </w:r>
      <w:r w:rsidR="00DA5831">
        <w:t>)</w:t>
      </w:r>
      <w:r w:rsidRPr="009934FA">
        <w:t xml:space="preserve"> and other </w:t>
      </w:r>
      <w:r w:rsidR="00DA5831">
        <w:t>CV</w:t>
      </w:r>
      <w:r w:rsidRPr="009934FA">
        <w:t xml:space="preserve"> parameters were unaffected in dogs (at ≤</w:t>
      </w:r>
      <w:r w:rsidR="007A1830" w:rsidRPr="009934FA">
        <w:t> </w:t>
      </w:r>
      <w:r w:rsidRPr="009934FA">
        <w:t>24 nmol/kg SC and ≤</w:t>
      </w:r>
      <w:r w:rsidR="007A1830" w:rsidRPr="009934FA">
        <w:t> </w:t>
      </w:r>
      <w:r w:rsidR="00DA5831">
        <w:t>12 </w:t>
      </w:r>
      <w:r w:rsidRPr="009934FA">
        <w:t>nmol/kg IV; C</w:t>
      </w:r>
      <w:r w:rsidRPr="009934FA">
        <w:rPr>
          <w:vertAlign w:val="subscript"/>
        </w:rPr>
        <w:t>max</w:t>
      </w:r>
      <w:r w:rsidRPr="009934FA">
        <w:t xml:space="preserve">, 96 nM, corresponding to </w:t>
      </w:r>
      <w:r w:rsidR="007A1830" w:rsidRPr="009934FA">
        <w:t xml:space="preserve">around </w:t>
      </w:r>
      <w:r w:rsidRPr="009934FA">
        <w:t>10 times the clinical C</w:t>
      </w:r>
      <w:r w:rsidRPr="009934FA">
        <w:rPr>
          <w:vertAlign w:val="subscript"/>
        </w:rPr>
        <w:t>max</w:t>
      </w:r>
      <w:r w:rsidRPr="009934FA">
        <w:t>).</w:t>
      </w:r>
    </w:p>
    <w:p w14:paraId="11850D17" w14:textId="77777777" w:rsidR="008E7846" w:rsidRPr="009934FA" w:rsidRDefault="008E7846" w:rsidP="008E7846">
      <w:pPr>
        <w:pStyle w:val="Heading3"/>
      </w:pPr>
      <w:bookmarkStart w:id="50" w:name="_Toc247691513"/>
      <w:bookmarkStart w:id="51" w:name="_Toc314842497"/>
      <w:bookmarkStart w:id="52" w:name="_Toc517697098"/>
      <w:r w:rsidRPr="009934FA">
        <w:lastRenderedPageBreak/>
        <w:t>Pharmacokinetics</w:t>
      </w:r>
      <w:bookmarkEnd w:id="50"/>
      <w:bookmarkEnd w:id="51"/>
      <w:bookmarkEnd w:id="52"/>
    </w:p>
    <w:p w14:paraId="3B42ED06" w14:textId="65E7EA43" w:rsidR="00DD726C" w:rsidRPr="009934FA" w:rsidRDefault="00FF5AAE" w:rsidP="00DD726C">
      <w:bookmarkStart w:id="53" w:name="_Toc247691514"/>
      <w:bookmarkStart w:id="54" w:name="_Toc314842498"/>
      <w:r>
        <w:t xml:space="preserve">Size </w:t>
      </w:r>
      <w:r w:rsidR="00DD726C" w:rsidRPr="009934FA">
        <w:t>exclusion chromatography data indicate that insulin degludec is presen</w:t>
      </w:r>
      <w:r w:rsidR="00890246" w:rsidRPr="009934FA">
        <w:t>t as a di</w:t>
      </w:r>
      <w:r w:rsidR="00890246" w:rsidRPr="009934FA">
        <w:noBreakHyphen/>
      </w:r>
      <w:r w:rsidR="00DD726C" w:rsidRPr="009934FA">
        <w:t>hexamer in the pharmaceutical formulation (co</w:t>
      </w:r>
      <w:r w:rsidR="00DA5831">
        <w:t xml:space="preserve">ntaining glycerol, phenol, </w:t>
      </w:r>
      <w:proofErr w:type="gramStart"/>
      <w:r w:rsidR="00DA5831">
        <w:t>meta</w:t>
      </w:r>
      <w:proofErr w:type="gramEnd"/>
      <w:r w:rsidR="00DA5831">
        <w:t>-</w:t>
      </w:r>
      <w:r w:rsidR="00DD726C" w:rsidRPr="009934FA">
        <w:t>cresol and zinc acetate as excipients). Larger multi-hexameric forms were formed when the drug was formulated in saline. Similar association upon SC injection is suggested (mostly due to the rapid dissipation of phenol), with the complexes of a molecular size too large to be absorbed into the capillary, thus forming a depot. It is proposed that as zinc is slowly depleted from the hexamers, insulin degludec monomers gradually separate and are absorbed into the circulation.</w:t>
      </w:r>
    </w:p>
    <w:p w14:paraId="118BC949" w14:textId="07C126DB" w:rsidR="00DD726C" w:rsidRPr="009934FA" w:rsidRDefault="00DD726C" w:rsidP="00DD726C">
      <w:r w:rsidRPr="009934FA">
        <w:t>Absorption was prolonged (</w:t>
      </w:r>
      <w:r w:rsidR="00DA5831">
        <w:t>time to maximum serum concentration (T</w:t>
      </w:r>
      <w:r w:rsidRPr="009934FA">
        <w:rPr>
          <w:vertAlign w:val="subscript"/>
        </w:rPr>
        <w:t>max</w:t>
      </w:r>
      <w:r w:rsidR="00DA5831">
        <w:t>)</w:t>
      </w:r>
      <w:r w:rsidR="00890246" w:rsidRPr="009934FA">
        <w:t xml:space="preserve"> 2 to </w:t>
      </w:r>
      <w:r w:rsidRPr="009934FA">
        <w:t>8 h) in rats, dogs and humans following SC administration of insulin deg</w:t>
      </w:r>
      <w:r w:rsidR="00DA5831">
        <w:t>ludec formulations containing 5-</w:t>
      </w:r>
      <w:r w:rsidRPr="009934FA">
        <w:t>6 Zn</w:t>
      </w:r>
      <w:r w:rsidRPr="009934FA">
        <w:rPr>
          <w:vertAlign w:val="superscript"/>
        </w:rPr>
        <w:t>2+</w:t>
      </w:r>
      <w:r w:rsidRPr="009934FA">
        <w:t>/hexamer. The rate of SC absorption in rats appeared to marginally increase with dose. High SC bioavailability (≥</w:t>
      </w:r>
      <w:r w:rsidR="00FF5AAE">
        <w:t xml:space="preserve"> </w:t>
      </w:r>
      <w:r w:rsidRPr="009934FA">
        <w:t xml:space="preserve">60%) was seen in all laboratory animal species examined (rat, dog and pig). </w:t>
      </w:r>
      <w:r w:rsidR="004211C3">
        <w:t xml:space="preserve">Following IV dosing with a zinc </w:t>
      </w:r>
      <w:r w:rsidRPr="009934FA">
        <w:t xml:space="preserve">free formulation, the elimination </w:t>
      </w:r>
      <w:r w:rsidR="006C50FE" w:rsidRPr="009934FA">
        <w:t>h</w:t>
      </w:r>
      <w:r w:rsidR="006C50FE">
        <w:t>alf-</w:t>
      </w:r>
      <w:r w:rsidR="006C50FE" w:rsidRPr="009934FA">
        <w:t>life</w:t>
      </w:r>
      <w:r w:rsidRPr="009934FA">
        <w:t xml:space="preserve"> of insulin degludec was similar in rats and pigs (</w:t>
      </w:r>
      <w:r w:rsidR="003B416A" w:rsidRPr="009934FA">
        <w:t xml:space="preserve">around 1 to </w:t>
      </w:r>
      <w:r w:rsidRPr="009934FA">
        <w:t>2 h), but longer in dogs (</w:t>
      </w:r>
      <w:r w:rsidR="003B416A" w:rsidRPr="009934FA">
        <w:t xml:space="preserve">around </w:t>
      </w:r>
      <w:r w:rsidRPr="009934FA">
        <w:t>3 </w:t>
      </w:r>
      <w:r w:rsidR="003B416A" w:rsidRPr="009934FA">
        <w:t xml:space="preserve">h). Longer </w:t>
      </w:r>
      <w:r w:rsidR="006C50FE" w:rsidRPr="009934FA">
        <w:t>half-lives</w:t>
      </w:r>
      <w:r w:rsidR="003B416A" w:rsidRPr="009934FA">
        <w:t xml:space="preserve"> with SC compared with</w:t>
      </w:r>
      <w:r w:rsidRPr="009934FA">
        <w:t xml:space="preserve"> IV administration were apparent in all species, consistent with rate-limiting absorption. C</w:t>
      </w:r>
      <w:r w:rsidRPr="009934FA">
        <w:rPr>
          <w:vertAlign w:val="subscript"/>
        </w:rPr>
        <w:t>max</w:t>
      </w:r>
      <w:r w:rsidRPr="009934FA">
        <w:t xml:space="preserve"> and </w:t>
      </w:r>
      <w:r w:rsidR="004211C3">
        <w:t>area under the drug </w:t>
      </w:r>
      <w:r w:rsidR="00DA5831">
        <w:t>concentration time curve (</w:t>
      </w:r>
      <w:r w:rsidRPr="009934FA">
        <w:t>AUC</w:t>
      </w:r>
      <w:r w:rsidR="00DA5831">
        <w:t>)</w:t>
      </w:r>
      <w:r w:rsidRPr="009934FA">
        <w:t xml:space="preserve"> wer</w:t>
      </w:r>
      <w:r w:rsidR="00DA5831">
        <w:t xml:space="preserve">e dose </w:t>
      </w:r>
      <w:r w:rsidRPr="009934FA">
        <w:t>proportional. There were no sex differences in the pharmacokinetic parameters in the animal species examined, and no consistent evidence of accumulation after repeated SC dosing to mice, rats, rabbits and dogs. Anti-drug antibodies developed at a low incidence in treated rats and were not seen to affect pharmacokinetics; anti</w:t>
      </w:r>
      <w:r w:rsidRPr="009934FA">
        <w:noBreakHyphen/>
        <w:t>drug antibodies were not detected in dogs.</w:t>
      </w:r>
    </w:p>
    <w:p w14:paraId="3AB5C1A6" w14:textId="0B2DA283" w:rsidR="00DD726C" w:rsidRPr="009934FA" w:rsidRDefault="00DD726C" w:rsidP="00DD726C">
      <w:r w:rsidRPr="009934FA">
        <w:t>Plasma protein binding was high and similar across all species (assessed as being &gt;</w:t>
      </w:r>
      <w:r w:rsidR="003B416A" w:rsidRPr="009934FA">
        <w:t xml:space="preserve"> </w:t>
      </w:r>
      <w:r w:rsidRPr="009934FA">
        <w:t xml:space="preserve">99% in rats, rabbits, dogs, pigs and humans). Protein binding in human plasma was predominantly due to albumin. The affinity of insulin degludec for rat, dog, pig and human albumin was similar, but was significantly greater for </w:t>
      </w:r>
      <w:r w:rsidR="003B416A" w:rsidRPr="009934FA">
        <w:t>rabbit albumin (7 times greater co</w:t>
      </w:r>
      <w:r w:rsidR="00DA5831">
        <w:t>m</w:t>
      </w:r>
      <w:r w:rsidR="003B416A" w:rsidRPr="009934FA">
        <w:t>pared with</w:t>
      </w:r>
      <w:r w:rsidR="00DA5831">
        <w:t xml:space="preserve"> human albumin). Concentration </w:t>
      </w:r>
      <w:r w:rsidRPr="009934FA">
        <w:t>dependent displacement of insulin degludec from human serum albumin was shown for the fatty acids, palmitate, oleate and linoleate (</w:t>
      </w:r>
      <w:r w:rsidR="00DA5831">
        <w:t>half maximal inhibitory concentration (</w:t>
      </w:r>
      <w:r w:rsidRPr="009934FA">
        <w:t>IC</w:t>
      </w:r>
      <w:r w:rsidRPr="009934FA">
        <w:rPr>
          <w:vertAlign w:val="subscript"/>
        </w:rPr>
        <w:t>50</w:t>
      </w:r>
      <w:r w:rsidR="00DA5831">
        <w:t xml:space="preserve">) </w:t>
      </w:r>
      <w:r w:rsidR="003B416A" w:rsidRPr="009934FA">
        <w:t xml:space="preserve">around 3.2 to </w:t>
      </w:r>
      <w:r w:rsidRPr="009934FA">
        <w:t>5.5 μM) and for ibuprofen (IC</w:t>
      </w:r>
      <w:r w:rsidRPr="009934FA">
        <w:rPr>
          <w:vertAlign w:val="subscript"/>
        </w:rPr>
        <w:t>50</w:t>
      </w:r>
      <w:r w:rsidRPr="009934FA">
        <w:t>, 11 μM); no significant displacement was observed with glimepiride, metformin, sitagliptin, liraglutide, warfarin, acetylsalicylate or salicylate (IC</w:t>
      </w:r>
      <w:r w:rsidRPr="009934FA">
        <w:rPr>
          <w:vertAlign w:val="subscript"/>
        </w:rPr>
        <w:t>50</w:t>
      </w:r>
      <w:r w:rsidRPr="009934FA">
        <w:t>, &gt;</w:t>
      </w:r>
      <w:r w:rsidR="00DA5831">
        <w:t xml:space="preserve"> </w:t>
      </w:r>
      <w:r w:rsidRPr="009934FA">
        <w:t>100 μM).</w:t>
      </w:r>
    </w:p>
    <w:p w14:paraId="69D2C5C2" w14:textId="13686D35" w:rsidR="00DD726C" w:rsidRPr="009934FA" w:rsidRDefault="00DD726C" w:rsidP="00DD726C">
      <w:r w:rsidRPr="009934FA">
        <w:t>Tissue distribution studies with radiolabelled insulin degludec in rats indicated limited extravascular distribution, with levels of radioactivity in all or mostly all tissues lower than in plasma. Consistent with this, the vol</w:t>
      </w:r>
      <w:r w:rsidR="003B416A" w:rsidRPr="009934FA">
        <w:t xml:space="preserve">ume of distribution was low (70 to </w:t>
      </w:r>
      <w:r w:rsidRPr="009934FA">
        <w:t>262 mL/kg in rats, dogs and pigs). The highest tissue levels of radioactivity were seen in the kidney and liver (organs that are involved in receptor mediated uptake and degradation of insulin;</w:t>
      </w:r>
      <w:r w:rsidR="00D1622A">
        <w:rPr>
          <w:rStyle w:val="FootnoteReference"/>
        </w:rPr>
        <w:footnoteReference w:id="6"/>
      </w:r>
      <w:r w:rsidRPr="009934FA">
        <w:t xml:space="preserve"> adrenal medulla and the lung.</w:t>
      </w:r>
    </w:p>
    <w:p w14:paraId="55F9961E" w14:textId="4E5DCF98" w:rsidR="00DD726C" w:rsidRPr="009934FA" w:rsidRDefault="00DD726C" w:rsidP="00DD726C">
      <w:r w:rsidRPr="009934FA">
        <w:t xml:space="preserve">In vitro, </w:t>
      </w:r>
      <w:r w:rsidR="003B416A" w:rsidRPr="009934FA">
        <w:t>10</w:t>
      </w:r>
      <w:r w:rsidRPr="009934FA">
        <w:t xml:space="preserve"> metabolites were detected (but not characterised) in incubations with rat, rabbit, dog and human hepatocytes. All human metabolites were detected in either one or both of the spe</w:t>
      </w:r>
      <w:r w:rsidR="00DA5831">
        <w:t xml:space="preserve">cies used in the pivotal repeat </w:t>
      </w:r>
      <w:r w:rsidRPr="009934FA">
        <w:t xml:space="preserve">dose toxicity studies (rats and dogs). Further in vitro experiments, involving incubation with cathepsin D, revealed a series of insulin degludec metabolites identical to that for human insulin. In vivo, tritiated water plus </w:t>
      </w:r>
      <w:r w:rsidR="003B416A" w:rsidRPr="009934FA">
        <w:t>2</w:t>
      </w:r>
      <w:r w:rsidRPr="009934FA">
        <w:t xml:space="preserve"> or </w:t>
      </w:r>
      <w:r w:rsidR="003B416A" w:rsidRPr="009934FA">
        <w:t>3 </w:t>
      </w:r>
      <w:r w:rsidRPr="009934FA">
        <w:t xml:space="preserve">other compounds, were identified as circulating metabolites in rats and dogs. No data on the pharmacological activity of the metabolites was submitted in </w:t>
      </w:r>
      <w:r w:rsidR="003B416A" w:rsidRPr="009934FA">
        <w:t>the nonclinical data</w:t>
      </w:r>
      <w:r w:rsidRPr="009934FA">
        <w:t>.</w:t>
      </w:r>
      <w:r w:rsidR="00DA5831">
        <w:t xml:space="preserve"> </w:t>
      </w:r>
      <w:r w:rsidRPr="009934FA">
        <w:t>Excretion of insulin degludec and/or its metabolites was predominantly via the urine in rats, with biliary excretion demonstrated</w:t>
      </w:r>
      <w:r w:rsidR="003B416A" w:rsidRPr="009934FA">
        <w:t>.</w:t>
      </w:r>
    </w:p>
    <w:p w14:paraId="31B6A848" w14:textId="07A42334" w:rsidR="00DD726C" w:rsidRPr="009934FA" w:rsidRDefault="00DD726C" w:rsidP="00DD726C">
      <w:r w:rsidRPr="009934FA">
        <w:t>Overall, the pharmacokinetic profile of insulin degludec was typical for a long acting insulin</w:t>
      </w:r>
      <w:r w:rsidR="0057774D">
        <w:t xml:space="preserve"> pr</w:t>
      </w:r>
      <w:r w:rsidR="00A344F1">
        <w:t>oduct</w:t>
      </w:r>
      <w:r w:rsidRPr="009934FA">
        <w:t>. The pharmacokinetic profiles in rats and dogs were sufficiently similar to that of humans to support their use in toxicity studies.</w:t>
      </w:r>
    </w:p>
    <w:p w14:paraId="4762A94C" w14:textId="77777777" w:rsidR="00DD726C" w:rsidRPr="009934FA" w:rsidRDefault="00DD726C" w:rsidP="003B416A">
      <w:pPr>
        <w:pStyle w:val="Heading4"/>
      </w:pPr>
      <w:bookmarkStart w:id="55" w:name="_Toc294861725"/>
      <w:r w:rsidRPr="009934FA">
        <w:lastRenderedPageBreak/>
        <w:t>Pharmacokinetic drug interactions</w:t>
      </w:r>
      <w:bookmarkEnd w:id="55"/>
    </w:p>
    <w:p w14:paraId="3853EB6C" w14:textId="2F6AFA75" w:rsidR="004334C7" w:rsidRPr="009934FA" w:rsidRDefault="00DD726C" w:rsidP="004334C7">
      <w:r w:rsidRPr="009934FA">
        <w:t xml:space="preserve">No significant induction of </w:t>
      </w:r>
      <w:r w:rsidR="00DA5831">
        <w:t xml:space="preserve">cytochrome </w:t>
      </w:r>
      <w:r w:rsidR="00C0539D">
        <w:t xml:space="preserve">P450 </w:t>
      </w:r>
      <w:r w:rsidR="00DA5831">
        <w:t>system (</w:t>
      </w:r>
      <w:r w:rsidRPr="009934FA">
        <w:t>CYP</w:t>
      </w:r>
      <w:r w:rsidR="00D1622A">
        <w:t>450</w:t>
      </w:r>
      <w:r w:rsidR="00DA5831">
        <w:t xml:space="preserve">) </w:t>
      </w:r>
      <w:r w:rsidRPr="009934FA">
        <w:t>1A, 2A, 2B, 2C, 2E or 3A activities was seen in the livers of rats treated with insulin degludec at ≤</w:t>
      </w:r>
      <w:r w:rsidR="003B416A" w:rsidRPr="009934FA">
        <w:t xml:space="preserve"> </w:t>
      </w:r>
      <w:r w:rsidRPr="009934FA">
        <w:t>150 nmol/kg/day SC for 2 weeks (&gt;</w:t>
      </w:r>
      <w:r w:rsidR="003B416A" w:rsidRPr="009934FA">
        <w:t> </w:t>
      </w:r>
      <w:r w:rsidRPr="009934FA">
        <w:t>30</w:t>
      </w:r>
      <w:r w:rsidR="003B416A" w:rsidRPr="009934FA">
        <w:t xml:space="preserve"> </w:t>
      </w:r>
      <w:r w:rsidRPr="009934FA">
        <w:t>times the anticipated maximum</w:t>
      </w:r>
      <w:r w:rsidR="003B416A" w:rsidRPr="009934FA">
        <w:t xml:space="preserve"> cli</w:t>
      </w:r>
      <w:r w:rsidR="00C0539D">
        <w:t>nical dose of 0.8 U/kg/day (4.8 </w:t>
      </w:r>
      <w:r w:rsidR="003B416A" w:rsidRPr="009934FA">
        <w:t>nmol/kg/day)</w:t>
      </w:r>
      <w:r w:rsidRPr="009934FA">
        <w:t>). Pharmacokinetic drug interactions involving CYP450 enzymes are not anticipated during clinical use, nor are interactions involving protein binding.</w:t>
      </w:r>
    </w:p>
    <w:p w14:paraId="067B4D54" w14:textId="77777777" w:rsidR="001B5C90" w:rsidRPr="009934FA" w:rsidRDefault="008E7846" w:rsidP="001B5C90">
      <w:pPr>
        <w:pStyle w:val="Heading3"/>
      </w:pPr>
      <w:bookmarkStart w:id="56" w:name="_Toc517697099"/>
      <w:r w:rsidRPr="009934FA">
        <w:t>Toxicology</w:t>
      </w:r>
      <w:bookmarkEnd w:id="53"/>
      <w:bookmarkEnd w:id="54"/>
      <w:bookmarkEnd w:id="56"/>
    </w:p>
    <w:p w14:paraId="0F2D1335" w14:textId="77777777" w:rsidR="00DD726C" w:rsidRPr="009934FA" w:rsidRDefault="00DD726C" w:rsidP="003B416A">
      <w:pPr>
        <w:pStyle w:val="Heading4"/>
      </w:pPr>
      <w:bookmarkStart w:id="57" w:name="_Toc294861727"/>
      <w:r w:rsidRPr="009934FA">
        <w:t>Acute toxicity</w:t>
      </w:r>
      <w:bookmarkEnd w:id="57"/>
    </w:p>
    <w:p w14:paraId="5F62E280" w14:textId="2F23D4FA" w:rsidR="00DD726C" w:rsidRPr="009934FA" w:rsidRDefault="00DD726C" w:rsidP="00DD726C">
      <w:r w:rsidRPr="009934FA">
        <w:t>The acute toxicity of insulin degludec was investigated in rats and dogs. In studies incorporati</w:t>
      </w:r>
      <w:r w:rsidR="00D1622A">
        <w:t xml:space="preserve">ng the recommended 14 days post </w:t>
      </w:r>
      <w:r w:rsidRPr="009934FA">
        <w:t xml:space="preserve">dose observation period, no mortality or other overt toxicity occurred in rats following a single dose </w:t>
      </w:r>
      <w:proofErr w:type="gramStart"/>
      <w:r w:rsidRPr="009934FA">
        <w:t>up to 24000 nmol/kg SC</w:t>
      </w:r>
      <w:proofErr w:type="gramEnd"/>
      <w:r w:rsidRPr="009934FA">
        <w:t xml:space="preserve"> or in dogs at 1.5 nmol/kg IV. Animal numbers in the studies were small but adequate. Insulin degludec appeared to also be well tolerated in a dose escalation study in dogs involving SC administration, with notable effects limited to hypoglycaemia (evident as decreased activity and ataxia), seen at the highest dose level (30 nmol/kg; each dose given for 4 consecuti</w:t>
      </w:r>
      <w:r w:rsidR="00C0539D">
        <w:t>ve days, with a 3</w:t>
      </w:r>
      <w:r w:rsidR="00C0539D">
        <w:noBreakHyphen/>
        <w:t xml:space="preserve">day treatment </w:t>
      </w:r>
      <w:r w:rsidRPr="009934FA">
        <w:t>free period between each dose level).</w:t>
      </w:r>
    </w:p>
    <w:p w14:paraId="6F9843C1" w14:textId="135A2E57" w:rsidR="00DD726C" w:rsidRPr="009934FA" w:rsidRDefault="003B416A" w:rsidP="003B416A">
      <w:pPr>
        <w:pStyle w:val="Heading4"/>
      </w:pPr>
      <w:bookmarkStart w:id="58" w:name="_Toc294861728"/>
      <w:r w:rsidRPr="009934FA">
        <w:t xml:space="preserve">Repeat </w:t>
      </w:r>
      <w:r w:rsidR="00DD726C" w:rsidRPr="009934FA">
        <w:t>dose toxicity</w:t>
      </w:r>
      <w:bookmarkEnd w:id="58"/>
    </w:p>
    <w:p w14:paraId="2BA19152" w14:textId="500306BA" w:rsidR="00377BAE" w:rsidRPr="009934FA" w:rsidRDefault="00DD726C" w:rsidP="00DD726C">
      <w:r w:rsidRPr="009934FA">
        <w:t>R</w:t>
      </w:r>
      <w:r w:rsidR="003B416A" w:rsidRPr="009934FA">
        <w:t xml:space="preserve">epeat </w:t>
      </w:r>
      <w:r w:rsidRPr="009934FA">
        <w:t>dose toxicity studies of up to 13 weeks duration were conducted in mice, 52 weeks in rats, 2 weeks in rabbits and 26 weeks in dogs. All involved administration by the clinical route (SC). The pivotal and a number of other studies included NPH insulin comparator groups.</w:t>
      </w:r>
      <w:bookmarkStart w:id="59" w:name="_Ref510559823"/>
      <w:r w:rsidR="00F416E2">
        <w:rPr>
          <w:rStyle w:val="FootnoteReference"/>
        </w:rPr>
        <w:footnoteReference w:id="7"/>
      </w:r>
      <w:bookmarkEnd w:id="59"/>
      <w:r w:rsidRPr="009934FA">
        <w:t xml:space="preserve"> The duration of the pivotal studies, the species used (rats and dogs) and group sizes are consistent with the ICH M3 (R2)</w:t>
      </w:r>
      <w:r w:rsidR="00377BAE" w:rsidRPr="009934FA">
        <w:t xml:space="preserve"> and S6 (R1) </w:t>
      </w:r>
      <w:proofErr w:type="gramStart"/>
      <w:r w:rsidRPr="009934FA">
        <w:t>guidelines.</w:t>
      </w:r>
      <w:r w:rsidR="00377BAE" w:rsidRPr="009934FA">
        <w:rPr>
          <w:rStyle w:val="FootnoteReference"/>
        </w:rPr>
        <w:footnoteReference w:id="8"/>
      </w:r>
      <w:r w:rsidR="00377BAE" w:rsidRPr="009934FA">
        <w:rPr>
          <w:vertAlign w:val="superscript"/>
        </w:rPr>
        <w:t>,</w:t>
      </w:r>
      <w:bookmarkStart w:id="60" w:name="_Ref509878347"/>
      <w:proofErr w:type="gramEnd"/>
      <w:r w:rsidR="00377BAE" w:rsidRPr="009934FA">
        <w:rPr>
          <w:rStyle w:val="FootnoteReference"/>
        </w:rPr>
        <w:footnoteReference w:id="9"/>
      </w:r>
      <w:bookmarkEnd w:id="60"/>
      <w:r w:rsidRPr="009934FA">
        <w:t xml:space="preserve"> The pivotal 52</w:t>
      </w:r>
      <w:r w:rsidRPr="009934FA">
        <w:noBreakHyphen/>
        <w:t>week rat study was conducted with the proposed clinical formulation; it also included sensitive indices of cellular proliferation in the study design, in accor</w:t>
      </w:r>
      <w:r w:rsidR="00377BAE" w:rsidRPr="009934FA">
        <w:t>dance with EMA guidance.</w:t>
      </w:r>
      <w:bookmarkStart w:id="61" w:name="_Ref509878406"/>
      <w:r w:rsidR="00377BAE" w:rsidRPr="009934FA">
        <w:rPr>
          <w:rStyle w:val="FootnoteReference"/>
        </w:rPr>
        <w:footnoteReference w:id="10"/>
      </w:r>
      <w:bookmarkEnd w:id="61"/>
    </w:p>
    <w:p w14:paraId="7FA299BB" w14:textId="77777777" w:rsidR="00DD726C" w:rsidRPr="009934FA" w:rsidRDefault="00DD726C" w:rsidP="003B416A">
      <w:pPr>
        <w:pStyle w:val="Heading5"/>
      </w:pPr>
      <w:r w:rsidRPr="009934FA">
        <w:t>Relative exposure</w:t>
      </w:r>
    </w:p>
    <w:p w14:paraId="1BF08F4D" w14:textId="17FC5D87" w:rsidR="00DD726C" w:rsidRPr="009934FA" w:rsidRDefault="00DD726C" w:rsidP="00DD726C">
      <w:r w:rsidRPr="009934FA">
        <w:t xml:space="preserve">Exposure ratios achieved at the upper dose levels in the pivotal studies have been calculated based on </w:t>
      </w:r>
      <w:r w:rsidR="006C50FE" w:rsidRPr="009934FA">
        <w:t>animal: human</w:t>
      </w:r>
      <w:r w:rsidRPr="009934FA">
        <w:t xml:space="preserve"> plasma C</w:t>
      </w:r>
      <w:r w:rsidRPr="009934FA">
        <w:rPr>
          <w:vertAlign w:val="subscript"/>
        </w:rPr>
        <w:t>max</w:t>
      </w:r>
      <w:r w:rsidRPr="009934FA">
        <w:t xml:space="preserve"> and </w:t>
      </w:r>
      <w:r w:rsidR="00C0539D">
        <w:t>area under the drug-concentration time curve from time zero to 24 hours (</w:t>
      </w:r>
      <w:r w:rsidRPr="009934FA">
        <w:t>AUC</w:t>
      </w:r>
      <w:r w:rsidR="00F416E2">
        <w:rPr>
          <w:vertAlign w:val="subscript"/>
        </w:rPr>
        <w:t>0–24</w:t>
      </w:r>
      <w:r w:rsidRPr="009934FA">
        <w:rPr>
          <w:vertAlign w:val="subscript"/>
        </w:rPr>
        <w:t>h</w:t>
      </w:r>
      <w:r w:rsidR="00C0539D">
        <w:t xml:space="preserve">) </w:t>
      </w:r>
      <w:r w:rsidRPr="009934FA">
        <w:t>values for insulin degludec and with reference to a maximum clinical dose of 0.8 U/kg/day.</w:t>
      </w:r>
    </w:p>
    <w:p w14:paraId="76B633E4" w14:textId="1419AEBF" w:rsidR="00DD726C" w:rsidRPr="009934FA" w:rsidRDefault="00C0539D" w:rsidP="00C0539D">
      <w:pPr>
        <w:pStyle w:val="Tabletitle0"/>
      </w:pPr>
      <w:r>
        <w:t>Table 4</w:t>
      </w:r>
      <w:r w:rsidR="006C50FE">
        <w:t>:</w:t>
      </w:r>
      <w:r w:rsidR="006C50FE" w:rsidRPr="009934FA">
        <w:t xml:space="preserve"> </w:t>
      </w:r>
      <w:r w:rsidR="00DD726C" w:rsidRPr="009934FA">
        <w:t>Relative exposure at the highest dose levels in the pivotal repeat-dose toxicity studies</w:t>
      </w:r>
    </w:p>
    <w:tbl>
      <w:tblPr>
        <w:tblStyle w:val="TableTGAblue"/>
        <w:tblW w:w="9205" w:type="dxa"/>
        <w:tblLayout w:type="fixed"/>
        <w:tblLook w:val="01E0" w:firstRow="1" w:lastRow="1" w:firstColumn="1" w:lastColumn="1" w:noHBand="0" w:noVBand="0"/>
        <w:tblDescription w:val="Table 4: Relative exposure at the highest dose levels in the pivotal repeat-dose toxicity studies"/>
      </w:tblPr>
      <w:tblGrid>
        <w:gridCol w:w="565"/>
        <w:gridCol w:w="1080"/>
        <w:gridCol w:w="990"/>
        <w:gridCol w:w="1170"/>
        <w:gridCol w:w="1530"/>
        <w:gridCol w:w="1080"/>
        <w:gridCol w:w="1190"/>
        <w:gridCol w:w="790"/>
        <w:gridCol w:w="810"/>
      </w:tblGrid>
      <w:tr w:rsidR="00A643B0" w:rsidRPr="009934FA" w14:paraId="752C8F72" w14:textId="77777777" w:rsidTr="0025404D">
        <w:trPr>
          <w:cnfStyle w:val="100000000000" w:firstRow="1" w:lastRow="0" w:firstColumn="0" w:lastColumn="0" w:oddVBand="0" w:evenVBand="0" w:oddHBand="0" w:evenHBand="0" w:firstRowFirstColumn="0" w:firstRowLastColumn="0" w:lastRowFirstColumn="0" w:lastRowLastColumn="0"/>
          <w:trHeight w:val="188"/>
        </w:trPr>
        <w:tc>
          <w:tcPr>
            <w:tcW w:w="16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cBorders>
          </w:tcPr>
          <w:p w14:paraId="46F1B780" w14:textId="77777777" w:rsidR="00DD726C" w:rsidRPr="009934FA" w:rsidRDefault="00DD726C" w:rsidP="00377BAE">
            <w:pPr>
              <w:ind w:left="0" w:right="0"/>
            </w:pPr>
            <w:r w:rsidRPr="009934FA">
              <w:t>Species</w:t>
            </w:r>
          </w:p>
        </w:tc>
        <w:tc>
          <w:tcPr>
            <w:tcW w:w="990" w:type="dxa"/>
            <w:vMerge w:val="restart"/>
            <w:tcBorders>
              <w:top w:val="single" w:sz="4" w:space="0" w:color="000000" w:themeColor="text1"/>
              <w:left w:val="single" w:sz="4" w:space="0" w:color="000000"/>
              <w:bottom w:val="single" w:sz="4" w:space="0" w:color="000000" w:themeColor="text1"/>
              <w:right w:val="single" w:sz="4" w:space="0" w:color="000000"/>
            </w:tcBorders>
          </w:tcPr>
          <w:p w14:paraId="42198523" w14:textId="77777777" w:rsidR="00DD726C" w:rsidRPr="009934FA" w:rsidRDefault="00DD726C" w:rsidP="00377BAE">
            <w:pPr>
              <w:ind w:left="0" w:right="0"/>
            </w:pPr>
            <w:r w:rsidRPr="009934FA">
              <w:t>Study</w:t>
            </w:r>
          </w:p>
        </w:tc>
        <w:tc>
          <w:tcPr>
            <w:tcW w:w="1170" w:type="dxa"/>
            <w:vMerge w:val="restart"/>
            <w:tcBorders>
              <w:top w:val="single" w:sz="4" w:space="0" w:color="000000" w:themeColor="text1"/>
              <w:left w:val="single" w:sz="4" w:space="0" w:color="000000"/>
              <w:bottom w:val="single" w:sz="4" w:space="0" w:color="000000" w:themeColor="text1"/>
              <w:right w:val="single" w:sz="4" w:space="0" w:color="000000"/>
            </w:tcBorders>
          </w:tcPr>
          <w:p w14:paraId="68156F2C" w14:textId="77777777" w:rsidR="00DD726C" w:rsidRPr="009934FA" w:rsidRDefault="00DD726C" w:rsidP="00377BAE">
            <w:pPr>
              <w:ind w:left="0" w:right="0"/>
            </w:pPr>
            <w:r w:rsidRPr="009934FA">
              <w:t>Study duration</w:t>
            </w:r>
          </w:p>
        </w:tc>
        <w:tc>
          <w:tcPr>
            <w:tcW w:w="1530" w:type="dxa"/>
            <w:vMerge w:val="restart"/>
            <w:tcBorders>
              <w:top w:val="single" w:sz="4" w:space="0" w:color="000000" w:themeColor="text1"/>
              <w:left w:val="single" w:sz="4" w:space="0" w:color="000000"/>
              <w:bottom w:val="single" w:sz="4" w:space="0" w:color="000000" w:themeColor="text1"/>
              <w:right w:val="single" w:sz="4" w:space="0" w:color="000000"/>
            </w:tcBorders>
          </w:tcPr>
          <w:p w14:paraId="1956D490" w14:textId="4DEFEBD7" w:rsidR="00DD726C" w:rsidRPr="009934FA" w:rsidRDefault="00076EE3" w:rsidP="00377BAE">
            <w:pPr>
              <w:ind w:left="0" w:right="0"/>
            </w:pPr>
            <w:r w:rsidRPr="009934FA">
              <w:t xml:space="preserve">Dose </w:t>
            </w:r>
            <w:r w:rsidR="00DD726C" w:rsidRPr="009934FA">
              <w:rPr>
                <w:sz w:val="18"/>
              </w:rPr>
              <w:t>(nmol/kg/day)</w:t>
            </w:r>
          </w:p>
        </w:tc>
        <w:tc>
          <w:tcPr>
            <w:tcW w:w="1080" w:type="dxa"/>
            <w:vMerge w:val="restart"/>
            <w:tcBorders>
              <w:top w:val="single" w:sz="4" w:space="0" w:color="000000" w:themeColor="text1"/>
              <w:left w:val="single" w:sz="4" w:space="0" w:color="000000"/>
              <w:bottom w:val="single" w:sz="4" w:space="0" w:color="000000" w:themeColor="text1"/>
              <w:right w:val="single" w:sz="4" w:space="0" w:color="000000"/>
            </w:tcBorders>
          </w:tcPr>
          <w:p w14:paraId="3325492B" w14:textId="2890D723" w:rsidR="00DD726C" w:rsidRPr="009934FA" w:rsidRDefault="00DD726C" w:rsidP="00377BAE">
            <w:pPr>
              <w:ind w:left="0" w:right="0"/>
            </w:pPr>
            <w:r w:rsidRPr="009934FA">
              <w:t>C</w:t>
            </w:r>
            <w:r w:rsidRPr="009934FA">
              <w:rPr>
                <w:vertAlign w:val="subscript"/>
              </w:rPr>
              <w:t>max</w:t>
            </w:r>
            <w:r w:rsidR="00076EE3" w:rsidRPr="009934FA">
              <w:t xml:space="preserve"> </w:t>
            </w:r>
            <w:r w:rsidRPr="009934FA">
              <w:t>(nM)</w:t>
            </w:r>
          </w:p>
        </w:tc>
        <w:tc>
          <w:tcPr>
            <w:tcW w:w="1190" w:type="dxa"/>
            <w:vMerge w:val="restart"/>
            <w:tcBorders>
              <w:top w:val="single" w:sz="4" w:space="0" w:color="000000" w:themeColor="text1"/>
              <w:left w:val="single" w:sz="4" w:space="0" w:color="000000"/>
              <w:bottom w:val="single" w:sz="4" w:space="0" w:color="000000" w:themeColor="text1"/>
              <w:right w:val="single" w:sz="4" w:space="0" w:color="000000"/>
            </w:tcBorders>
          </w:tcPr>
          <w:p w14:paraId="3874BA95" w14:textId="530B990A" w:rsidR="00DD726C" w:rsidRPr="009934FA" w:rsidRDefault="00DD726C" w:rsidP="00377BAE">
            <w:pPr>
              <w:ind w:left="0" w:right="0"/>
            </w:pPr>
            <w:r w:rsidRPr="009934FA">
              <w:t>AUC</w:t>
            </w:r>
            <w:r w:rsidRPr="009934FA">
              <w:rPr>
                <w:vertAlign w:val="subscript"/>
              </w:rPr>
              <w:t>0–24 h</w:t>
            </w:r>
            <w:r w:rsidR="00076EE3" w:rsidRPr="009934FA">
              <w:t xml:space="preserve"> </w:t>
            </w:r>
            <w:r w:rsidRPr="009934FA">
              <w:t>(nM∙h)</w:t>
            </w:r>
          </w:p>
        </w:tc>
        <w:tc>
          <w:tcPr>
            <w:tcW w:w="1600" w:type="dxa"/>
            <w:gridSpan w:val="2"/>
            <w:tcBorders>
              <w:top w:val="single" w:sz="4" w:space="0" w:color="000000" w:themeColor="text1"/>
              <w:left w:val="single" w:sz="4" w:space="0" w:color="000000"/>
              <w:bottom w:val="single" w:sz="4" w:space="0" w:color="000000" w:themeColor="text1"/>
              <w:right w:val="single" w:sz="4" w:space="0" w:color="000000" w:themeColor="text1"/>
            </w:tcBorders>
          </w:tcPr>
          <w:p w14:paraId="7126B64D" w14:textId="77777777" w:rsidR="00DD726C" w:rsidRPr="009934FA" w:rsidRDefault="00DD726C" w:rsidP="00377BAE">
            <w:pPr>
              <w:ind w:left="0" w:right="0"/>
            </w:pPr>
            <w:r w:rsidRPr="009934FA">
              <w:t>Relative exposure</w:t>
            </w:r>
          </w:p>
        </w:tc>
      </w:tr>
      <w:tr w:rsidR="00A643B0" w:rsidRPr="009934FA" w14:paraId="25391272" w14:textId="77777777" w:rsidTr="0025404D">
        <w:trPr>
          <w:cnfStyle w:val="100000000000" w:firstRow="1" w:lastRow="0" w:firstColumn="0" w:lastColumn="0" w:oddVBand="0" w:evenVBand="0" w:oddHBand="0" w:evenHBand="0" w:firstRowFirstColumn="0" w:firstRowLastColumn="0" w:lastRowFirstColumn="0" w:lastRowLastColumn="0"/>
          <w:trHeight w:val="541"/>
        </w:trPr>
        <w:tc>
          <w:tcPr>
            <w:tcW w:w="1645" w:type="dxa"/>
            <w:gridSpan w:val="2"/>
            <w:vMerge/>
            <w:tcBorders>
              <w:bottom w:val="single" w:sz="4" w:space="0" w:color="000000"/>
              <w:right w:val="single" w:sz="4" w:space="0" w:color="000000"/>
            </w:tcBorders>
          </w:tcPr>
          <w:p w14:paraId="69BBBEF7" w14:textId="77777777" w:rsidR="00DD726C" w:rsidRPr="009934FA" w:rsidRDefault="00DD726C" w:rsidP="00377BAE"/>
        </w:tc>
        <w:tc>
          <w:tcPr>
            <w:tcW w:w="990" w:type="dxa"/>
            <w:vMerge/>
            <w:tcBorders>
              <w:left w:val="single" w:sz="4" w:space="0" w:color="000000"/>
              <w:bottom w:val="single" w:sz="4" w:space="0" w:color="000000"/>
              <w:right w:val="single" w:sz="4" w:space="0" w:color="000000"/>
            </w:tcBorders>
          </w:tcPr>
          <w:p w14:paraId="629A0656" w14:textId="77777777" w:rsidR="00DD726C" w:rsidRPr="009934FA" w:rsidRDefault="00DD726C" w:rsidP="00377BAE"/>
        </w:tc>
        <w:tc>
          <w:tcPr>
            <w:tcW w:w="1170" w:type="dxa"/>
            <w:vMerge/>
            <w:tcBorders>
              <w:left w:val="single" w:sz="4" w:space="0" w:color="000000"/>
              <w:bottom w:val="single" w:sz="4" w:space="0" w:color="000000"/>
              <w:right w:val="single" w:sz="4" w:space="0" w:color="000000"/>
            </w:tcBorders>
          </w:tcPr>
          <w:p w14:paraId="49F1EDB4" w14:textId="77777777" w:rsidR="00DD726C" w:rsidRPr="009934FA" w:rsidRDefault="00DD726C" w:rsidP="00377BAE"/>
        </w:tc>
        <w:tc>
          <w:tcPr>
            <w:tcW w:w="1530" w:type="dxa"/>
            <w:vMerge/>
            <w:tcBorders>
              <w:left w:val="single" w:sz="4" w:space="0" w:color="000000"/>
              <w:bottom w:val="single" w:sz="4" w:space="0" w:color="000000"/>
              <w:right w:val="single" w:sz="4" w:space="0" w:color="000000"/>
            </w:tcBorders>
          </w:tcPr>
          <w:p w14:paraId="6138F1C6" w14:textId="77777777" w:rsidR="00DD726C" w:rsidRPr="009934FA" w:rsidRDefault="00DD726C" w:rsidP="00377BAE"/>
        </w:tc>
        <w:tc>
          <w:tcPr>
            <w:tcW w:w="1080" w:type="dxa"/>
            <w:vMerge/>
            <w:tcBorders>
              <w:left w:val="single" w:sz="4" w:space="0" w:color="000000"/>
              <w:bottom w:val="single" w:sz="4" w:space="0" w:color="000000"/>
              <w:right w:val="single" w:sz="4" w:space="0" w:color="000000"/>
            </w:tcBorders>
          </w:tcPr>
          <w:p w14:paraId="60A01B89" w14:textId="77777777" w:rsidR="00DD726C" w:rsidRPr="009934FA" w:rsidRDefault="00DD726C" w:rsidP="00377BAE"/>
        </w:tc>
        <w:tc>
          <w:tcPr>
            <w:tcW w:w="1190" w:type="dxa"/>
            <w:vMerge/>
            <w:tcBorders>
              <w:left w:val="single" w:sz="4" w:space="0" w:color="000000"/>
              <w:bottom w:val="single" w:sz="4" w:space="0" w:color="000000"/>
              <w:right w:val="single" w:sz="4" w:space="0" w:color="000000"/>
            </w:tcBorders>
          </w:tcPr>
          <w:p w14:paraId="794D321B" w14:textId="77777777" w:rsidR="00DD726C" w:rsidRPr="009934FA" w:rsidRDefault="00DD726C" w:rsidP="00377BAE"/>
        </w:tc>
        <w:tc>
          <w:tcPr>
            <w:tcW w:w="790" w:type="dxa"/>
            <w:tcBorders>
              <w:left w:val="single" w:sz="4" w:space="0" w:color="000000"/>
              <w:bottom w:val="single" w:sz="4" w:space="0" w:color="000000"/>
              <w:right w:val="single" w:sz="4" w:space="0" w:color="000000"/>
            </w:tcBorders>
            <w:shd w:val="clear" w:color="auto" w:fill="auto"/>
          </w:tcPr>
          <w:p w14:paraId="21881FC2" w14:textId="77777777" w:rsidR="00DD726C" w:rsidRPr="0025404D" w:rsidRDefault="00DD726C" w:rsidP="00377BAE">
            <w:pPr>
              <w:ind w:left="0" w:right="0"/>
              <w:rPr>
                <w:color w:val="auto"/>
              </w:rPr>
            </w:pPr>
            <w:r w:rsidRPr="0025404D">
              <w:rPr>
                <w:color w:val="auto"/>
              </w:rPr>
              <w:t>C</w:t>
            </w:r>
            <w:r w:rsidRPr="0025404D">
              <w:rPr>
                <w:color w:val="auto"/>
                <w:vertAlign w:val="subscript"/>
              </w:rPr>
              <w:t>max</w:t>
            </w:r>
          </w:p>
        </w:tc>
        <w:tc>
          <w:tcPr>
            <w:tcW w:w="810" w:type="dxa"/>
            <w:tcBorders>
              <w:left w:val="single" w:sz="4" w:space="0" w:color="000000"/>
            </w:tcBorders>
            <w:shd w:val="clear" w:color="auto" w:fill="auto"/>
          </w:tcPr>
          <w:p w14:paraId="7E372951" w14:textId="77777777" w:rsidR="00DD726C" w:rsidRPr="0025404D" w:rsidRDefault="00DD726C" w:rsidP="00377BAE">
            <w:pPr>
              <w:ind w:left="0" w:right="0"/>
              <w:rPr>
                <w:color w:val="auto"/>
              </w:rPr>
            </w:pPr>
            <w:r w:rsidRPr="0025404D">
              <w:rPr>
                <w:color w:val="auto"/>
              </w:rPr>
              <w:t>AUC</w:t>
            </w:r>
          </w:p>
        </w:tc>
      </w:tr>
      <w:tr w:rsidR="00A643B0" w:rsidRPr="009934FA" w14:paraId="40181664" w14:textId="77777777" w:rsidTr="00C0539D">
        <w:trPr>
          <w:trHeight w:val="340"/>
        </w:trPr>
        <w:tc>
          <w:tcPr>
            <w:tcW w:w="565" w:type="dxa"/>
            <w:vMerge w:val="restart"/>
            <w:tcBorders>
              <w:top w:val="single" w:sz="4" w:space="0" w:color="000000"/>
            </w:tcBorders>
          </w:tcPr>
          <w:p w14:paraId="1985695F" w14:textId="03656C79" w:rsidR="00DD726C" w:rsidRPr="00106DBC" w:rsidRDefault="00DD726C" w:rsidP="00377BAE">
            <w:pPr>
              <w:ind w:left="0" w:right="0"/>
              <w:rPr>
                <w:sz w:val="20"/>
              </w:rPr>
            </w:pPr>
            <w:r w:rsidRPr="00106DBC">
              <w:rPr>
                <w:sz w:val="20"/>
              </w:rPr>
              <w:t>Rat</w:t>
            </w:r>
          </w:p>
        </w:tc>
        <w:tc>
          <w:tcPr>
            <w:tcW w:w="1080" w:type="dxa"/>
            <w:tcBorders>
              <w:top w:val="single" w:sz="4" w:space="0" w:color="000000"/>
            </w:tcBorders>
          </w:tcPr>
          <w:p w14:paraId="2E281FB4" w14:textId="184EC6B8" w:rsidR="00DD726C" w:rsidRPr="00106DBC" w:rsidRDefault="00DD726C" w:rsidP="00B23851">
            <w:pPr>
              <w:ind w:left="0" w:right="0"/>
              <w:rPr>
                <w:sz w:val="20"/>
              </w:rPr>
            </w:pPr>
            <w:r w:rsidRPr="00106DBC">
              <w:rPr>
                <w:sz w:val="20"/>
              </w:rPr>
              <w:t>(</w:t>
            </w:r>
            <w:r w:rsidR="00B23851">
              <w:rPr>
                <w:sz w:val="20"/>
              </w:rPr>
              <w:t>W</w:t>
            </w:r>
            <w:r w:rsidR="006C50FE" w:rsidRPr="00106DBC">
              <w:rPr>
                <w:sz w:val="20"/>
              </w:rPr>
              <w:t>istar</w:t>
            </w:r>
            <w:r w:rsidRPr="00106DBC">
              <w:rPr>
                <w:sz w:val="20"/>
              </w:rPr>
              <w:t>)</w:t>
            </w:r>
          </w:p>
        </w:tc>
        <w:tc>
          <w:tcPr>
            <w:tcW w:w="990" w:type="dxa"/>
            <w:tcBorders>
              <w:top w:val="single" w:sz="4" w:space="0" w:color="000000"/>
            </w:tcBorders>
          </w:tcPr>
          <w:p w14:paraId="54550D16" w14:textId="77777777" w:rsidR="00DD726C" w:rsidRPr="00106DBC" w:rsidRDefault="00DD726C" w:rsidP="00377BAE">
            <w:pPr>
              <w:ind w:left="0" w:right="0"/>
              <w:rPr>
                <w:sz w:val="20"/>
              </w:rPr>
            </w:pPr>
            <w:r w:rsidRPr="00106DBC">
              <w:rPr>
                <w:sz w:val="20"/>
              </w:rPr>
              <w:t>206315</w:t>
            </w:r>
          </w:p>
        </w:tc>
        <w:tc>
          <w:tcPr>
            <w:tcW w:w="1170" w:type="dxa"/>
            <w:tcBorders>
              <w:top w:val="single" w:sz="4" w:space="0" w:color="000000"/>
            </w:tcBorders>
          </w:tcPr>
          <w:p w14:paraId="5DE3F6E2" w14:textId="77777777" w:rsidR="00DD726C" w:rsidRPr="00106DBC" w:rsidRDefault="00DD726C" w:rsidP="00377BAE">
            <w:pPr>
              <w:ind w:left="0" w:right="0"/>
              <w:rPr>
                <w:sz w:val="20"/>
              </w:rPr>
            </w:pPr>
            <w:r w:rsidRPr="00106DBC">
              <w:rPr>
                <w:sz w:val="20"/>
              </w:rPr>
              <w:t>26 weeks</w:t>
            </w:r>
          </w:p>
        </w:tc>
        <w:tc>
          <w:tcPr>
            <w:tcW w:w="1530" w:type="dxa"/>
            <w:tcBorders>
              <w:top w:val="single" w:sz="4" w:space="0" w:color="000000"/>
            </w:tcBorders>
          </w:tcPr>
          <w:p w14:paraId="0D83198A" w14:textId="77777777" w:rsidR="00DD726C" w:rsidRPr="00106DBC" w:rsidRDefault="00DD726C" w:rsidP="00377BAE">
            <w:pPr>
              <w:ind w:left="0" w:right="0"/>
              <w:rPr>
                <w:sz w:val="20"/>
              </w:rPr>
            </w:pPr>
            <w:r w:rsidRPr="00106DBC">
              <w:rPr>
                <w:sz w:val="20"/>
              </w:rPr>
              <w:t>125</w:t>
            </w:r>
          </w:p>
        </w:tc>
        <w:tc>
          <w:tcPr>
            <w:tcW w:w="1080" w:type="dxa"/>
            <w:tcBorders>
              <w:top w:val="single" w:sz="4" w:space="0" w:color="000000"/>
            </w:tcBorders>
          </w:tcPr>
          <w:p w14:paraId="79778A03" w14:textId="77777777" w:rsidR="00DD726C" w:rsidRPr="00106DBC" w:rsidRDefault="00DD726C" w:rsidP="00377BAE">
            <w:pPr>
              <w:ind w:left="0" w:right="0"/>
              <w:rPr>
                <w:sz w:val="20"/>
              </w:rPr>
            </w:pPr>
            <w:r w:rsidRPr="00106DBC">
              <w:rPr>
                <w:sz w:val="20"/>
              </w:rPr>
              <w:t>571</w:t>
            </w:r>
          </w:p>
        </w:tc>
        <w:tc>
          <w:tcPr>
            <w:tcW w:w="1190" w:type="dxa"/>
            <w:tcBorders>
              <w:top w:val="single" w:sz="4" w:space="0" w:color="000000"/>
              <w:right w:val="single" w:sz="4" w:space="0" w:color="000000"/>
            </w:tcBorders>
          </w:tcPr>
          <w:p w14:paraId="79F68ED8" w14:textId="77777777" w:rsidR="00DD726C" w:rsidRPr="00106DBC" w:rsidRDefault="00DD726C" w:rsidP="00377BAE">
            <w:pPr>
              <w:ind w:left="0" w:right="0"/>
              <w:rPr>
                <w:sz w:val="20"/>
              </w:rPr>
            </w:pPr>
            <w:r w:rsidRPr="00106DBC">
              <w:rPr>
                <w:sz w:val="20"/>
              </w:rPr>
              <w:t>3328</w:t>
            </w:r>
          </w:p>
        </w:tc>
        <w:tc>
          <w:tcPr>
            <w:tcW w:w="790" w:type="dxa"/>
            <w:tcBorders>
              <w:top w:val="single" w:sz="4" w:space="0" w:color="000000"/>
              <w:left w:val="single" w:sz="4" w:space="0" w:color="000000"/>
            </w:tcBorders>
          </w:tcPr>
          <w:p w14:paraId="02D2FB1E" w14:textId="77777777" w:rsidR="00DD726C" w:rsidRPr="00106DBC" w:rsidRDefault="00DD726C" w:rsidP="00377BAE">
            <w:pPr>
              <w:ind w:left="0" w:right="0"/>
              <w:rPr>
                <w:sz w:val="20"/>
              </w:rPr>
            </w:pPr>
            <w:r w:rsidRPr="00106DBC">
              <w:rPr>
                <w:sz w:val="20"/>
              </w:rPr>
              <w:t>59</w:t>
            </w:r>
          </w:p>
        </w:tc>
        <w:tc>
          <w:tcPr>
            <w:tcW w:w="810" w:type="dxa"/>
          </w:tcPr>
          <w:p w14:paraId="72F8711B" w14:textId="77777777" w:rsidR="00DD726C" w:rsidRPr="00106DBC" w:rsidRDefault="00DD726C" w:rsidP="00377BAE">
            <w:pPr>
              <w:ind w:left="0" w:right="0"/>
              <w:rPr>
                <w:sz w:val="20"/>
              </w:rPr>
            </w:pPr>
            <w:r w:rsidRPr="00106DBC">
              <w:rPr>
                <w:sz w:val="20"/>
              </w:rPr>
              <w:t>18</w:t>
            </w:r>
          </w:p>
        </w:tc>
      </w:tr>
      <w:tr w:rsidR="00A643B0" w:rsidRPr="009934FA" w14:paraId="6397971F" w14:textId="77777777" w:rsidTr="00A643B0">
        <w:trPr>
          <w:trHeight w:val="340"/>
        </w:trPr>
        <w:tc>
          <w:tcPr>
            <w:tcW w:w="565" w:type="dxa"/>
            <w:vMerge/>
          </w:tcPr>
          <w:p w14:paraId="771FD55D" w14:textId="77777777" w:rsidR="00DD726C" w:rsidRPr="00106DBC" w:rsidRDefault="00DD726C" w:rsidP="00377BAE">
            <w:pPr>
              <w:ind w:left="0" w:right="0"/>
              <w:rPr>
                <w:sz w:val="20"/>
              </w:rPr>
            </w:pPr>
          </w:p>
        </w:tc>
        <w:tc>
          <w:tcPr>
            <w:tcW w:w="1080" w:type="dxa"/>
          </w:tcPr>
          <w:p w14:paraId="1B49453A" w14:textId="77777777" w:rsidR="00DD726C" w:rsidRPr="00106DBC" w:rsidRDefault="00DD726C" w:rsidP="00377BAE">
            <w:pPr>
              <w:ind w:left="0" w:right="0"/>
              <w:rPr>
                <w:sz w:val="20"/>
              </w:rPr>
            </w:pPr>
            <w:r w:rsidRPr="00106DBC">
              <w:rPr>
                <w:sz w:val="20"/>
              </w:rPr>
              <w:t>(SD)</w:t>
            </w:r>
          </w:p>
        </w:tc>
        <w:tc>
          <w:tcPr>
            <w:tcW w:w="990" w:type="dxa"/>
          </w:tcPr>
          <w:p w14:paraId="64F18009" w14:textId="77777777" w:rsidR="00DD726C" w:rsidRPr="00106DBC" w:rsidRDefault="00DD726C" w:rsidP="00377BAE">
            <w:pPr>
              <w:ind w:left="0" w:right="0"/>
              <w:rPr>
                <w:sz w:val="20"/>
              </w:rPr>
            </w:pPr>
            <w:r w:rsidRPr="00106DBC">
              <w:rPr>
                <w:sz w:val="20"/>
              </w:rPr>
              <w:t>206539</w:t>
            </w:r>
          </w:p>
        </w:tc>
        <w:tc>
          <w:tcPr>
            <w:tcW w:w="1170" w:type="dxa"/>
          </w:tcPr>
          <w:p w14:paraId="1FC9BB6E" w14:textId="77777777" w:rsidR="00DD726C" w:rsidRPr="00106DBC" w:rsidRDefault="00DD726C" w:rsidP="00377BAE">
            <w:pPr>
              <w:ind w:left="0" w:right="0"/>
              <w:rPr>
                <w:sz w:val="20"/>
              </w:rPr>
            </w:pPr>
            <w:r w:rsidRPr="00106DBC">
              <w:rPr>
                <w:sz w:val="20"/>
              </w:rPr>
              <w:t>52 weeks</w:t>
            </w:r>
          </w:p>
        </w:tc>
        <w:tc>
          <w:tcPr>
            <w:tcW w:w="1530" w:type="dxa"/>
          </w:tcPr>
          <w:p w14:paraId="19281C7E" w14:textId="77777777" w:rsidR="00DD726C" w:rsidRPr="00106DBC" w:rsidRDefault="00DD726C" w:rsidP="00377BAE">
            <w:pPr>
              <w:ind w:left="0" w:right="0"/>
              <w:rPr>
                <w:sz w:val="20"/>
              </w:rPr>
            </w:pPr>
            <w:r w:rsidRPr="00106DBC">
              <w:rPr>
                <w:sz w:val="20"/>
              </w:rPr>
              <w:t>60</w:t>
            </w:r>
          </w:p>
        </w:tc>
        <w:tc>
          <w:tcPr>
            <w:tcW w:w="1080" w:type="dxa"/>
          </w:tcPr>
          <w:p w14:paraId="32D9C3B9" w14:textId="77777777" w:rsidR="00DD726C" w:rsidRPr="00106DBC" w:rsidRDefault="00DD726C" w:rsidP="00377BAE">
            <w:pPr>
              <w:ind w:left="0" w:right="0"/>
              <w:rPr>
                <w:sz w:val="20"/>
              </w:rPr>
            </w:pPr>
            <w:r w:rsidRPr="00106DBC">
              <w:rPr>
                <w:sz w:val="20"/>
              </w:rPr>
              <w:t>123</w:t>
            </w:r>
          </w:p>
        </w:tc>
        <w:tc>
          <w:tcPr>
            <w:tcW w:w="1190" w:type="dxa"/>
          </w:tcPr>
          <w:p w14:paraId="673661A7" w14:textId="77777777" w:rsidR="00DD726C" w:rsidRPr="00106DBC" w:rsidRDefault="00DD726C" w:rsidP="00377BAE">
            <w:pPr>
              <w:ind w:left="0" w:right="0"/>
              <w:rPr>
                <w:sz w:val="20"/>
              </w:rPr>
            </w:pPr>
            <w:r w:rsidRPr="00106DBC">
              <w:rPr>
                <w:sz w:val="20"/>
              </w:rPr>
              <w:t>883</w:t>
            </w:r>
          </w:p>
        </w:tc>
        <w:tc>
          <w:tcPr>
            <w:tcW w:w="790" w:type="dxa"/>
          </w:tcPr>
          <w:p w14:paraId="2C4D2E84" w14:textId="77777777" w:rsidR="00DD726C" w:rsidRPr="00106DBC" w:rsidRDefault="00DD726C" w:rsidP="00377BAE">
            <w:pPr>
              <w:ind w:left="0" w:right="0"/>
              <w:rPr>
                <w:sz w:val="20"/>
              </w:rPr>
            </w:pPr>
            <w:r w:rsidRPr="00106DBC">
              <w:rPr>
                <w:sz w:val="20"/>
              </w:rPr>
              <w:t>13</w:t>
            </w:r>
          </w:p>
        </w:tc>
        <w:tc>
          <w:tcPr>
            <w:tcW w:w="810" w:type="dxa"/>
          </w:tcPr>
          <w:p w14:paraId="27FE588B" w14:textId="77777777" w:rsidR="00DD726C" w:rsidRPr="00106DBC" w:rsidRDefault="00DD726C" w:rsidP="00377BAE">
            <w:pPr>
              <w:ind w:left="0" w:right="0"/>
              <w:rPr>
                <w:sz w:val="20"/>
              </w:rPr>
            </w:pPr>
            <w:r w:rsidRPr="00106DBC">
              <w:rPr>
                <w:sz w:val="20"/>
              </w:rPr>
              <w:t>5</w:t>
            </w:r>
          </w:p>
        </w:tc>
      </w:tr>
      <w:tr w:rsidR="00A643B0" w:rsidRPr="009934FA" w14:paraId="76D75807" w14:textId="77777777" w:rsidTr="00A643B0">
        <w:trPr>
          <w:trHeight w:val="340"/>
        </w:trPr>
        <w:tc>
          <w:tcPr>
            <w:tcW w:w="1645" w:type="dxa"/>
            <w:gridSpan w:val="2"/>
          </w:tcPr>
          <w:p w14:paraId="498D7D2B" w14:textId="6B681C7C" w:rsidR="00DD726C" w:rsidRPr="00106DBC" w:rsidRDefault="00DD726C" w:rsidP="00B23851">
            <w:pPr>
              <w:ind w:left="0" w:right="0"/>
              <w:rPr>
                <w:sz w:val="20"/>
              </w:rPr>
            </w:pPr>
            <w:r w:rsidRPr="00106DBC">
              <w:rPr>
                <w:sz w:val="20"/>
              </w:rPr>
              <w:t>Dog</w:t>
            </w:r>
            <w:r w:rsidR="00377BAE" w:rsidRPr="00106DBC">
              <w:rPr>
                <w:sz w:val="20"/>
              </w:rPr>
              <w:t xml:space="preserve"> </w:t>
            </w:r>
            <w:r w:rsidRPr="00106DBC">
              <w:rPr>
                <w:sz w:val="20"/>
              </w:rPr>
              <w:t>(</w:t>
            </w:r>
            <w:r w:rsidR="00B23851">
              <w:rPr>
                <w:sz w:val="20"/>
              </w:rPr>
              <w:t>B</w:t>
            </w:r>
            <w:r w:rsidR="006C50FE" w:rsidRPr="00106DBC">
              <w:rPr>
                <w:sz w:val="20"/>
              </w:rPr>
              <w:t>eagle</w:t>
            </w:r>
            <w:r w:rsidRPr="00106DBC">
              <w:rPr>
                <w:sz w:val="20"/>
              </w:rPr>
              <w:t>)</w:t>
            </w:r>
          </w:p>
        </w:tc>
        <w:tc>
          <w:tcPr>
            <w:tcW w:w="990" w:type="dxa"/>
          </w:tcPr>
          <w:p w14:paraId="5407AC97" w14:textId="77777777" w:rsidR="00DD726C" w:rsidRPr="00106DBC" w:rsidRDefault="00DD726C" w:rsidP="00377BAE">
            <w:pPr>
              <w:ind w:left="0" w:right="0"/>
              <w:rPr>
                <w:sz w:val="20"/>
              </w:rPr>
            </w:pPr>
            <w:r w:rsidRPr="00106DBC">
              <w:rPr>
                <w:sz w:val="20"/>
              </w:rPr>
              <w:t>206314</w:t>
            </w:r>
          </w:p>
        </w:tc>
        <w:tc>
          <w:tcPr>
            <w:tcW w:w="1170" w:type="dxa"/>
          </w:tcPr>
          <w:p w14:paraId="4575121E" w14:textId="77777777" w:rsidR="00DD726C" w:rsidRPr="00106DBC" w:rsidRDefault="00DD726C" w:rsidP="00377BAE">
            <w:pPr>
              <w:ind w:left="0" w:right="0"/>
              <w:rPr>
                <w:sz w:val="20"/>
              </w:rPr>
            </w:pPr>
            <w:r w:rsidRPr="00106DBC">
              <w:rPr>
                <w:sz w:val="20"/>
              </w:rPr>
              <w:t>26 weeks</w:t>
            </w:r>
          </w:p>
        </w:tc>
        <w:tc>
          <w:tcPr>
            <w:tcW w:w="1530" w:type="dxa"/>
          </w:tcPr>
          <w:p w14:paraId="3744ED01" w14:textId="77777777" w:rsidR="00DD726C" w:rsidRPr="00106DBC" w:rsidRDefault="00DD726C" w:rsidP="00377BAE">
            <w:pPr>
              <w:ind w:left="0" w:right="0"/>
              <w:rPr>
                <w:sz w:val="20"/>
              </w:rPr>
            </w:pPr>
            <w:r w:rsidRPr="00106DBC">
              <w:rPr>
                <w:sz w:val="20"/>
              </w:rPr>
              <w:t>8</w:t>
            </w:r>
          </w:p>
        </w:tc>
        <w:tc>
          <w:tcPr>
            <w:tcW w:w="1080" w:type="dxa"/>
          </w:tcPr>
          <w:p w14:paraId="6A450C9D" w14:textId="77777777" w:rsidR="00DD726C" w:rsidRPr="00106DBC" w:rsidRDefault="00DD726C" w:rsidP="00377BAE">
            <w:pPr>
              <w:ind w:left="0" w:right="0"/>
              <w:rPr>
                <w:sz w:val="20"/>
              </w:rPr>
            </w:pPr>
            <w:r w:rsidRPr="00106DBC">
              <w:rPr>
                <w:sz w:val="20"/>
              </w:rPr>
              <w:t>14.8</w:t>
            </w:r>
          </w:p>
        </w:tc>
        <w:tc>
          <w:tcPr>
            <w:tcW w:w="1190" w:type="dxa"/>
          </w:tcPr>
          <w:p w14:paraId="7601C749" w14:textId="77777777" w:rsidR="00DD726C" w:rsidRPr="00106DBC" w:rsidRDefault="00DD726C" w:rsidP="00377BAE">
            <w:pPr>
              <w:ind w:left="0" w:right="0"/>
              <w:rPr>
                <w:sz w:val="20"/>
              </w:rPr>
            </w:pPr>
            <w:r w:rsidRPr="00106DBC">
              <w:rPr>
                <w:sz w:val="20"/>
              </w:rPr>
              <w:t>228</w:t>
            </w:r>
          </w:p>
        </w:tc>
        <w:tc>
          <w:tcPr>
            <w:tcW w:w="790" w:type="dxa"/>
          </w:tcPr>
          <w:p w14:paraId="3D473D12" w14:textId="77777777" w:rsidR="00DD726C" w:rsidRPr="00106DBC" w:rsidRDefault="00DD726C" w:rsidP="00377BAE">
            <w:pPr>
              <w:ind w:left="0" w:right="0"/>
              <w:rPr>
                <w:sz w:val="20"/>
              </w:rPr>
            </w:pPr>
            <w:r w:rsidRPr="00106DBC">
              <w:rPr>
                <w:sz w:val="20"/>
              </w:rPr>
              <w:t>1.5</w:t>
            </w:r>
          </w:p>
        </w:tc>
        <w:tc>
          <w:tcPr>
            <w:tcW w:w="810" w:type="dxa"/>
          </w:tcPr>
          <w:p w14:paraId="70FEB7A0" w14:textId="77777777" w:rsidR="00DD726C" w:rsidRPr="00106DBC" w:rsidRDefault="00DD726C" w:rsidP="00377BAE">
            <w:pPr>
              <w:ind w:left="0" w:right="0"/>
              <w:rPr>
                <w:sz w:val="20"/>
              </w:rPr>
            </w:pPr>
            <w:r w:rsidRPr="00106DBC">
              <w:rPr>
                <w:sz w:val="20"/>
              </w:rPr>
              <w:t>1.3</w:t>
            </w:r>
          </w:p>
        </w:tc>
      </w:tr>
      <w:tr w:rsidR="00A643B0" w:rsidRPr="009934FA" w14:paraId="77BF638A" w14:textId="77777777" w:rsidTr="00A643B0">
        <w:trPr>
          <w:trHeight w:val="340"/>
        </w:trPr>
        <w:tc>
          <w:tcPr>
            <w:tcW w:w="1645" w:type="dxa"/>
            <w:gridSpan w:val="2"/>
          </w:tcPr>
          <w:p w14:paraId="3E58FBC1" w14:textId="6E05F220" w:rsidR="00DD726C" w:rsidRPr="00106DBC" w:rsidRDefault="00A643B0" w:rsidP="00377BAE">
            <w:pPr>
              <w:ind w:left="0" w:right="0"/>
              <w:rPr>
                <w:sz w:val="20"/>
              </w:rPr>
            </w:pPr>
            <w:r w:rsidRPr="00106DBC">
              <w:rPr>
                <w:sz w:val="20"/>
              </w:rPr>
              <w:t xml:space="preserve">Human </w:t>
            </w:r>
            <w:r w:rsidR="00DD726C" w:rsidRPr="00106DBC">
              <w:rPr>
                <w:sz w:val="20"/>
              </w:rPr>
              <w:t>(diabetic patients)</w:t>
            </w:r>
          </w:p>
        </w:tc>
        <w:tc>
          <w:tcPr>
            <w:tcW w:w="2160" w:type="dxa"/>
            <w:gridSpan w:val="2"/>
          </w:tcPr>
          <w:p w14:paraId="76BEF4A6" w14:textId="694855B1" w:rsidR="00DD726C" w:rsidRPr="00106DBC" w:rsidRDefault="00DD726C" w:rsidP="00377BAE">
            <w:pPr>
              <w:ind w:left="0" w:right="0"/>
              <w:rPr>
                <w:sz w:val="20"/>
              </w:rPr>
            </w:pPr>
            <w:r w:rsidRPr="00106DBC">
              <w:rPr>
                <w:sz w:val="20"/>
              </w:rPr>
              <w:t>NN1250-1993</w:t>
            </w:r>
            <w:r w:rsidR="00A643B0" w:rsidRPr="00106DBC">
              <w:rPr>
                <w:sz w:val="20"/>
              </w:rPr>
              <w:t xml:space="preserve"> </w:t>
            </w:r>
            <w:r w:rsidR="00076EE3" w:rsidRPr="00106DBC">
              <w:rPr>
                <w:sz w:val="20"/>
              </w:rPr>
              <w:t>(</w:t>
            </w:r>
            <w:r w:rsidRPr="00106DBC">
              <w:rPr>
                <w:sz w:val="20"/>
              </w:rPr>
              <w:t>steady state</w:t>
            </w:r>
            <w:r w:rsidR="00076EE3" w:rsidRPr="00106DBC">
              <w:rPr>
                <w:sz w:val="20"/>
              </w:rPr>
              <w:t>)</w:t>
            </w:r>
          </w:p>
        </w:tc>
        <w:tc>
          <w:tcPr>
            <w:tcW w:w="1530" w:type="dxa"/>
          </w:tcPr>
          <w:p w14:paraId="598D5D0A" w14:textId="3E19B533" w:rsidR="00DD726C" w:rsidRPr="00106DBC" w:rsidRDefault="00DD726C" w:rsidP="00377BAE">
            <w:pPr>
              <w:ind w:left="0" w:right="0"/>
              <w:rPr>
                <w:sz w:val="20"/>
              </w:rPr>
            </w:pPr>
            <w:r w:rsidRPr="00106DBC">
              <w:rPr>
                <w:sz w:val="20"/>
              </w:rPr>
              <w:t>4.8</w:t>
            </w:r>
            <w:r w:rsidR="00106DBC">
              <w:rPr>
                <w:sz w:val="20"/>
              </w:rPr>
              <w:t xml:space="preserve"> </w:t>
            </w:r>
            <w:r w:rsidR="00076EE3" w:rsidRPr="00106DBC">
              <w:rPr>
                <w:sz w:val="20"/>
              </w:rPr>
              <w:t>(</w:t>
            </w:r>
            <w:r w:rsidRPr="00106DBC">
              <w:rPr>
                <w:sz w:val="20"/>
              </w:rPr>
              <w:t>= 0.8 U/kg/day</w:t>
            </w:r>
            <w:r w:rsidR="00076EE3" w:rsidRPr="00106DBC">
              <w:rPr>
                <w:sz w:val="20"/>
              </w:rPr>
              <w:t>)</w:t>
            </w:r>
          </w:p>
        </w:tc>
        <w:tc>
          <w:tcPr>
            <w:tcW w:w="1080" w:type="dxa"/>
          </w:tcPr>
          <w:p w14:paraId="1F37234C" w14:textId="77777777" w:rsidR="00DD726C" w:rsidRPr="00106DBC" w:rsidRDefault="00DD726C" w:rsidP="00377BAE">
            <w:pPr>
              <w:ind w:left="0" w:right="0"/>
              <w:rPr>
                <w:sz w:val="20"/>
              </w:rPr>
            </w:pPr>
            <w:r w:rsidRPr="00106DBC">
              <w:rPr>
                <w:sz w:val="20"/>
              </w:rPr>
              <w:t>9.7</w:t>
            </w:r>
          </w:p>
        </w:tc>
        <w:tc>
          <w:tcPr>
            <w:tcW w:w="1190" w:type="dxa"/>
          </w:tcPr>
          <w:p w14:paraId="2151EC35" w14:textId="77777777" w:rsidR="00DD726C" w:rsidRPr="00106DBC" w:rsidRDefault="00DD726C" w:rsidP="00377BAE">
            <w:pPr>
              <w:ind w:left="0" w:right="0"/>
              <w:rPr>
                <w:sz w:val="20"/>
              </w:rPr>
            </w:pPr>
            <w:r w:rsidRPr="00106DBC">
              <w:rPr>
                <w:sz w:val="20"/>
              </w:rPr>
              <w:t>180</w:t>
            </w:r>
          </w:p>
        </w:tc>
        <w:tc>
          <w:tcPr>
            <w:tcW w:w="790" w:type="dxa"/>
          </w:tcPr>
          <w:p w14:paraId="5EDF7FAC" w14:textId="3A52BA85" w:rsidR="00DD726C" w:rsidRPr="00106DBC" w:rsidRDefault="00DD726C" w:rsidP="00377BAE">
            <w:pPr>
              <w:ind w:left="0" w:right="0"/>
              <w:rPr>
                <w:sz w:val="20"/>
              </w:rPr>
            </w:pPr>
          </w:p>
        </w:tc>
        <w:tc>
          <w:tcPr>
            <w:tcW w:w="810" w:type="dxa"/>
          </w:tcPr>
          <w:p w14:paraId="3F31E232" w14:textId="12CA45B4" w:rsidR="00DD726C" w:rsidRPr="00106DBC" w:rsidRDefault="00DD726C" w:rsidP="00377BAE">
            <w:pPr>
              <w:ind w:left="0" w:right="0"/>
              <w:rPr>
                <w:sz w:val="20"/>
              </w:rPr>
            </w:pPr>
          </w:p>
        </w:tc>
      </w:tr>
    </w:tbl>
    <w:p w14:paraId="22F8F7D7" w14:textId="77777777" w:rsidR="00DD726C" w:rsidRPr="009934FA" w:rsidRDefault="00DD726C" w:rsidP="00076EE3">
      <w:pPr>
        <w:pStyle w:val="Heading6"/>
        <w:rPr>
          <w:rFonts w:eastAsiaTheme="minorHAnsi"/>
        </w:rPr>
      </w:pPr>
      <w:r w:rsidRPr="009934FA">
        <w:rPr>
          <w:rFonts w:eastAsiaTheme="minorHAnsi"/>
        </w:rPr>
        <w:t>Major findings</w:t>
      </w:r>
    </w:p>
    <w:p w14:paraId="4448A65B" w14:textId="77777777" w:rsidR="00DD726C" w:rsidRPr="009934FA" w:rsidRDefault="00DD726C" w:rsidP="00DD726C">
      <w:r w:rsidRPr="009934FA">
        <w:t>Notable treatment-related findings were confined to effects related to the pharmacological activity of insulin; some minor injection site changes were also seen.</w:t>
      </w:r>
    </w:p>
    <w:p w14:paraId="7D331B30" w14:textId="155F42DC" w:rsidR="00DD726C" w:rsidRPr="009934FA" w:rsidRDefault="00076EE3" w:rsidP="00DD726C">
      <w:r w:rsidRPr="009934FA">
        <w:t xml:space="preserve">Hypoglycaemia </w:t>
      </w:r>
      <w:r w:rsidR="00DD726C" w:rsidRPr="009934FA">
        <w:t>rel</w:t>
      </w:r>
      <w:r w:rsidRPr="009934FA">
        <w:t xml:space="preserve">ated deaths and clinical signs (for example </w:t>
      </w:r>
      <w:r w:rsidR="00DD726C" w:rsidRPr="009934FA">
        <w:t>sluggishness, abnormal respiration, coldness, piloerection, hunched posture, ataxia, body pallor, semi-closed eyelids) were observed in all species, and prompted dose reductions during the course of the longest studies in rats and dogs. Various changes in clinical chemistry and urinalysis parameters were seen in rats, but are not considered to be toxicologically significant. NPH insulin produced similar effects.</w:t>
      </w:r>
      <w:r w:rsidR="00F416E2" w:rsidRPr="00F416E2">
        <w:rPr>
          <w:vertAlign w:val="superscript"/>
        </w:rPr>
        <w:fldChar w:fldCharType="begin"/>
      </w:r>
      <w:r w:rsidR="00F416E2" w:rsidRPr="00F416E2">
        <w:rPr>
          <w:vertAlign w:val="superscript"/>
        </w:rPr>
        <w:instrText xml:space="preserve"> NOTEREF _Ref510559823 \h </w:instrText>
      </w:r>
      <w:r w:rsidR="00F416E2">
        <w:rPr>
          <w:vertAlign w:val="superscript"/>
        </w:rPr>
        <w:instrText xml:space="preserve"> \* MERGEFORMAT </w:instrText>
      </w:r>
      <w:r w:rsidR="00F416E2" w:rsidRPr="00F416E2">
        <w:rPr>
          <w:vertAlign w:val="superscript"/>
        </w:rPr>
      </w:r>
      <w:r w:rsidR="00F416E2" w:rsidRPr="00F416E2">
        <w:rPr>
          <w:vertAlign w:val="superscript"/>
        </w:rPr>
        <w:fldChar w:fldCharType="separate"/>
      </w:r>
      <w:r w:rsidR="002B3E71">
        <w:rPr>
          <w:vertAlign w:val="superscript"/>
        </w:rPr>
        <w:t>7</w:t>
      </w:r>
      <w:r w:rsidR="00F416E2" w:rsidRPr="00F416E2">
        <w:rPr>
          <w:vertAlign w:val="superscript"/>
        </w:rPr>
        <w:fldChar w:fldCharType="end"/>
      </w:r>
      <w:r w:rsidR="00DD726C" w:rsidRPr="009934FA">
        <w:t xml:space="preserve"> Histopathological changes were only observed in the liver (decreased hepatic rarefaction, representing decreased glycogen accumulation) and at the SC injection sites (inflammation and haemorrhage, typically minimal or slight, and comparable or only slightly higher in incid</w:t>
      </w:r>
      <w:r w:rsidRPr="009934FA">
        <w:t xml:space="preserve">ence and severity compared with vehicle </w:t>
      </w:r>
      <w:r w:rsidR="00DD726C" w:rsidRPr="009934FA">
        <w:t>treated control groups). While deaths occurred, their direct relationship to the desired action t</w:t>
      </w:r>
      <w:r w:rsidR="005B540B">
        <w:t>o redu</w:t>
      </w:r>
      <w:r w:rsidR="00A81807">
        <w:t xml:space="preserve">ce blood glucose allows no observable adverse effect levels of </w:t>
      </w:r>
      <w:proofErr w:type="gramStart"/>
      <w:r w:rsidR="00A81807">
        <w:t>125 </w:t>
      </w:r>
      <w:r w:rsidR="00DD726C" w:rsidRPr="009934FA">
        <w:t>nmol/kg/day</w:t>
      </w:r>
      <w:proofErr w:type="gramEnd"/>
      <w:r w:rsidR="00DD726C" w:rsidRPr="009934FA">
        <w:t xml:space="preserve"> and 8 nmol/kg/day to be set for insulin degludec in the rat and dog, respectively. The </w:t>
      </w:r>
      <w:r w:rsidRPr="009934FA">
        <w:t xml:space="preserve">increased sensitivity of the dog </w:t>
      </w:r>
      <w:r w:rsidR="00A344F1">
        <w:t xml:space="preserve">as </w:t>
      </w:r>
      <w:r w:rsidRPr="009934FA">
        <w:t>compared with</w:t>
      </w:r>
      <w:r w:rsidR="00DD726C" w:rsidRPr="009934FA">
        <w:t xml:space="preserve"> the rat seen in the studies is consistent with findings for insulins and other anti-hyperglycaemic agents.</w:t>
      </w:r>
      <w:bookmarkStart w:id="62" w:name="_Toc294861729"/>
    </w:p>
    <w:p w14:paraId="2CA6F3E7" w14:textId="77777777" w:rsidR="00DD726C" w:rsidRPr="009934FA" w:rsidRDefault="00DD726C" w:rsidP="00076EE3">
      <w:pPr>
        <w:pStyle w:val="Heading4"/>
      </w:pPr>
      <w:r w:rsidRPr="009934FA">
        <w:t>Genotoxicity</w:t>
      </w:r>
      <w:bookmarkEnd w:id="62"/>
    </w:p>
    <w:p w14:paraId="2409B019" w14:textId="6875D4AF" w:rsidR="00DD726C" w:rsidRPr="009934FA" w:rsidRDefault="00DD726C" w:rsidP="00DD726C">
      <w:r w:rsidRPr="009934FA">
        <w:t>No genotoxicity studies were submitted. This is considered acceptable given the d</w:t>
      </w:r>
      <w:r w:rsidR="00076EE3" w:rsidRPr="009934FA">
        <w:t xml:space="preserve">rug’s status as a biotechnology </w:t>
      </w:r>
      <w:r w:rsidRPr="009934FA">
        <w:t>derived product under the ICH S6 (R1) guideline</w:t>
      </w:r>
      <w:r w:rsidR="00A81807">
        <w:t>;</w:t>
      </w:r>
      <w:r w:rsidR="00A81807" w:rsidRPr="009934FA">
        <w:rPr>
          <w:vertAlign w:val="superscript"/>
        </w:rPr>
        <w:fldChar w:fldCharType="begin"/>
      </w:r>
      <w:r w:rsidR="00A81807" w:rsidRPr="009934FA">
        <w:rPr>
          <w:vertAlign w:val="superscript"/>
        </w:rPr>
        <w:instrText xml:space="preserve"> NOTEREF _Ref509878347 \h  \* MERGEFORMAT </w:instrText>
      </w:r>
      <w:r w:rsidR="00A81807" w:rsidRPr="009934FA">
        <w:rPr>
          <w:vertAlign w:val="superscript"/>
        </w:rPr>
      </w:r>
      <w:r w:rsidR="00A81807" w:rsidRPr="009934FA">
        <w:rPr>
          <w:vertAlign w:val="superscript"/>
        </w:rPr>
        <w:fldChar w:fldCharType="separate"/>
      </w:r>
      <w:r w:rsidR="002B3E71">
        <w:rPr>
          <w:vertAlign w:val="superscript"/>
        </w:rPr>
        <w:t>9</w:t>
      </w:r>
      <w:r w:rsidR="00A81807" w:rsidRPr="009934FA">
        <w:rPr>
          <w:vertAlign w:val="superscript"/>
        </w:rPr>
        <w:fldChar w:fldCharType="end"/>
      </w:r>
      <w:r w:rsidRPr="009934FA">
        <w:t xml:space="preserve"> and that no particular genotoxic concerns are held for the class of molecule or its individual components (consisting of desB30 human insulin, glutamate and 1,16-hexadecanedioic acid) based on existing data and/or structural grounds.</w:t>
      </w:r>
    </w:p>
    <w:p w14:paraId="22B5863A" w14:textId="77777777" w:rsidR="00DD726C" w:rsidRPr="009934FA" w:rsidRDefault="00DD726C" w:rsidP="00076EE3">
      <w:pPr>
        <w:pStyle w:val="Heading4"/>
      </w:pPr>
      <w:bookmarkStart w:id="63" w:name="_Toc294861730"/>
      <w:r w:rsidRPr="009934FA">
        <w:t>Carcinogenicity</w:t>
      </w:r>
      <w:bookmarkEnd w:id="63"/>
    </w:p>
    <w:p w14:paraId="28EB1C10" w14:textId="0294B091" w:rsidR="00DD726C" w:rsidRPr="009934FA" w:rsidRDefault="00076EE3" w:rsidP="00DD726C">
      <w:r w:rsidRPr="009934FA">
        <w:t xml:space="preserve">Standard 2 </w:t>
      </w:r>
      <w:r w:rsidR="00DD726C" w:rsidRPr="009934FA">
        <w:t xml:space="preserve">year rodent carcinogenicity </w:t>
      </w:r>
      <w:r w:rsidR="00BB470D">
        <w:t xml:space="preserve">studies </w:t>
      </w:r>
      <w:r w:rsidR="00DD726C" w:rsidRPr="009934FA">
        <w:t xml:space="preserve">were not conducted and are not required for this product. Instead, and consistent with </w:t>
      </w:r>
      <w:r w:rsidRPr="009934FA">
        <w:t>EMA guidance</w:t>
      </w:r>
      <w:r w:rsidR="00DD726C" w:rsidRPr="009934FA">
        <w:t xml:space="preserve"> the carcinogenic potential of insulin degludec was assessed through a range of in vitro studies (assays for insulin and IGF</w:t>
      </w:r>
      <w:r w:rsidR="00DD726C" w:rsidRPr="009934FA">
        <w:noBreakHyphen/>
        <w:t>1 receptor binding; insulin receptor activation; cellular metabolic and mitogenic potency) and in vivo in the general repeat-dose toxicity program, including through the use of a sensitive measurement of cellular proliferation.</w:t>
      </w:r>
      <w:r w:rsidRPr="009934FA">
        <w:rPr>
          <w:vertAlign w:val="superscript"/>
        </w:rPr>
        <w:fldChar w:fldCharType="begin"/>
      </w:r>
      <w:r w:rsidRPr="009934FA">
        <w:rPr>
          <w:vertAlign w:val="superscript"/>
        </w:rPr>
        <w:instrText xml:space="preserve"> NOTEREF _Ref509878406 \h  \* MERGEFORMAT </w:instrText>
      </w:r>
      <w:r w:rsidRPr="009934FA">
        <w:rPr>
          <w:vertAlign w:val="superscript"/>
        </w:rPr>
      </w:r>
      <w:r w:rsidRPr="009934FA">
        <w:rPr>
          <w:vertAlign w:val="superscript"/>
        </w:rPr>
        <w:fldChar w:fldCharType="separate"/>
      </w:r>
      <w:r w:rsidR="002B3E71">
        <w:rPr>
          <w:vertAlign w:val="superscript"/>
        </w:rPr>
        <w:t>10</w:t>
      </w:r>
      <w:r w:rsidRPr="009934FA">
        <w:rPr>
          <w:vertAlign w:val="superscript"/>
        </w:rPr>
        <w:fldChar w:fldCharType="end"/>
      </w:r>
      <w:r w:rsidR="00DD726C" w:rsidRPr="009934FA">
        <w:t xml:space="preserve"> The in vitro studies showed that the relative mitogenic:</w:t>
      </w:r>
      <w:r w:rsidRPr="009934FA">
        <w:t xml:space="preserve"> </w:t>
      </w:r>
      <w:r w:rsidR="00DD726C" w:rsidRPr="009934FA">
        <w:t>metabolic activity of in</w:t>
      </w:r>
      <w:r w:rsidRPr="009934FA">
        <w:t xml:space="preserve">sulin degludec is not increased compared with </w:t>
      </w:r>
      <w:r w:rsidR="00DD726C" w:rsidRPr="009934FA">
        <w:t>human insulin. In vivo, no proliferative changes were evident microscopically</w:t>
      </w:r>
      <w:r w:rsidRPr="009934FA">
        <w:t xml:space="preserve"> in long </w:t>
      </w:r>
      <w:r w:rsidR="00DD726C" w:rsidRPr="009934FA">
        <w:t>term studies in rats a</w:t>
      </w:r>
      <w:r w:rsidR="00A81807">
        <w:t>nd dogs, and in particular, bromodeoxyuridine</w:t>
      </w:r>
      <w:r w:rsidR="00DD726C" w:rsidRPr="009934FA">
        <w:t xml:space="preserve"> incorporation assays revealed no increase in mammary cell proliferation in female rats at up to maximally tolerated doses in the 52</w:t>
      </w:r>
      <w:r w:rsidR="00DD726C" w:rsidRPr="009934FA">
        <w:noBreakHyphen/>
        <w:t>week study (≤</w:t>
      </w:r>
      <w:r w:rsidRPr="009934FA">
        <w:t xml:space="preserve"> </w:t>
      </w:r>
      <w:r w:rsidR="00DD726C" w:rsidRPr="009934FA">
        <w:t>60 nmol/kg/day; relative exposure</w:t>
      </w:r>
      <w:r w:rsidR="00A81807">
        <w:t xml:space="preserve"> of 5 based on AUC.</w:t>
      </w:r>
    </w:p>
    <w:p w14:paraId="5EA0661B" w14:textId="77777777" w:rsidR="00DD726C" w:rsidRPr="009934FA" w:rsidRDefault="00DD726C" w:rsidP="00076EE3">
      <w:pPr>
        <w:pStyle w:val="Heading4"/>
      </w:pPr>
      <w:r w:rsidRPr="009934FA">
        <w:lastRenderedPageBreak/>
        <w:t>Reproductive toxicity</w:t>
      </w:r>
    </w:p>
    <w:p w14:paraId="4581C216" w14:textId="24F82CEB" w:rsidR="00DD726C" w:rsidRPr="009934FA" w:rsidRDefault="00DD726C" w:rsidP="00DD726C">
      <w:r w:rsidRPr="009934FA">
        <w:t>Submitted reproductive toxicity studies covered all stages, and comprised combined examination of fertility and embryofetal development in rats, embryofetal development in rabbits and pre</w:t>
      </w:r>
      <w:r w:rsidRPr="009934FA">
        <w:noBreakHyphen/>
        <w:t>/postnatal development in rats. All studies involved administration by the clinical route (SC) and included NPH insulin comparator groups. The pivotal studies were conducted using appropriate species, group sizes, method</w:t>
      </w:r>
      <w:r w:rsidR="00A21CEE">
        <w:t xml:space="preserve"> of administration, and timing/</w:t>
      </w:r>
      <w:r w:rsidRPr="009934FA">
        <w:t>duration of treatment. To avoid excessive</w:t>
      </w:r>
      <w:r w:rsidR="00A21CEE">
        <w:t xml:space="preserve"> maternal loss, the pivotal pre</w:t>
      </w:r>
      <w:r w:rsidRPr="009934FA">
        <w:t xml:space="preserve">/postnatal development study incorporated a short </w:t>
      </w:r>
      <w:r w:rsidR="00F47AA3" w:rsidRPr="009934FA">
        <w:t xml:space="preserve">treatment </w:t>
      </w:r>
      <w:r w:rsidR="00A21CEE">
        <w:t xml:space="preserve">free period from gestation Day 21 to lactation Day 2 to avoid insulin </w:t>
      </w:r>
      <w:r w:rsidRPr="009934FA">
        <w:t>induced hypoglycaemia coinciding with a periparturient decrease in food intake in the species. This modification of the normal protocol is considered acceptable.</w:t>
      </w:r>
    </w:p>
    <w:p w14:paraId="1DFF9EDC" w14:textId="77777777" w:rsidR="00DD726C" w:rsidRPr="009934FA" w:rsidRDefault="00DD726C" w:rsidP="00F47AA3">
      <w:pPr>
        <w:pStyle w:val="Heading5"/>
      </w:pPr>
      <w:r w:rsidRPr="009934FA">
        <w:t>Relative exposure</w:t>
      </w:r>
    </w:p>
    <w:p w14:paraId="727E21BB" w14:textId="48EC07CE" w:rsidR="00DD726C" w:rsidRPr="009934FA" w:rsidRDefault="00DD726C" w:rsidP="00DD726C">
      <w:r w:rsidRPr="009934FA">
        <w:t>Exposure ratios achieved at selected doses in the definitive studies based on animal:</w:t>
      </w:r>
      <w:r w:rsidR="00F47AA3" w:rsidRPr="009934FA">
        <w:t> </w:t>
      </w:r>
      <w:r w:rsidRPr="009934FA">
        <w:t xml:space="preserve">human plasma AUC values are tabulated below. AUC values for female rats and rabbits are extrapolated from data obtained in pilot studies, and values </w:t>
      </w:r>
      <w:r w:rsidR="00F47AA3" w:rsidRPr="009934FA">
        <w:t xml:space="preserve">for male rats from data in </w:t>
      </w:r>
      <w:proofErr w:type="gramStart"/>
      <w:r w:rsidR="00F47AA3" w:rsidRPr="009934FA">
        <w:t>a 4</w:t>
      </w:r>
      <w:proofErr w:type="gramEnd"/>
      <w:r w:rsidR="00F47AA3" w:rsidRPr="009934FA">
        <w:t xml:space="preserve"> </w:t>
      </w:r>
      <w:r w:rsidR="00A21CEE">
        <w:t xml:space="preserve">week general repeat </w:t>
      </w:r>
      <w:r w:rsidRPr="009934FA">
        <w:t xml:space="preserve">dose toxicity study (Study 205239). Significant multiples of the maximum anticipated clinical </w:t>
      </w:r>
      <w:proofErr w:type="gramStart"/>
      <w:r w:rsidR="00ED71F6" w:rsidRPr="009934FA">
        <w:t xml:space="preserve">exposure </w:t>
      </w:r>
      <w:r w:rsidR="006C50FE" w:rsidRPr="009934FA">
        <w:t>were</w:t>
      </w:r>
      <w:proofErr w:type="gramEnd"/>
      <w:r w:rsidRPr="009934FA">
        <w:t xml:space="preserve"> achieved at the highest doses tested.</w:t>
      </w:r>
    </w:p>
    <w:p w14:paraId="6BE0EB88" w14:textId="21F44F5E" w:rsidR="00DD726C" w:rsidRPr="009934FA" w:rsidRDefault="00A21CEE" w:rsidP="00FE5D7F">
      <w:pPr>
        <w:pStyle w:val="Tabletitle0"/>
      </w:pPr>
      <w:r>
        <w:t>Table 5</w:t>
      </w:r>
      <w:r w:rsidR="006C50FE">
        <w:t>:</w:t>
      </w:r>
      <w:r w:rsidR="006C50FE" w:rsidRPr="009934FA">
        <w:t xml:space="preserve"> </w:t>
      </w:r>
      <w:r w:rsidR="00DD726C" w:rsidRPr="009934FA">
        <w:t>Relative exposure at selected doses in the pivotal reproductive and</w:t>
      </w:r>
      <w:r>
        <w:t xml:space="preserve"> developmental toxicity studies</w:t>
      </w:r>
    </w:p>
    <w:tbl>
      <w:tblPr>
        <w:tblStyle w:val="TableTGAblue"/>
        <w:tblW w:w="9205" w:type="dxa"/>
        <w:tblLayout w:type="fixed"/>
        <w:tblLook w:val="01E0" w:firstRow="1" w:lastRow="1" w:firstColumn="1" w:lastColumn="1" w:noHBand="0" w:noVBand="0"/>
        <w:tblDescription w:val="Table 5: Relative exposure at selected doses in the pivotal reproductive and developmental toxicity studies"/>
      </w:tblPr>
      <w:tblGrid>
        <w:gridCol w:w="1915"/>
        <w:gridCol w:w="2250"/>
        <w:gridCol w:w="900"/>
        <w:gridCol w:w="1800"/>
        <w:gridCol w:w="1170"/>
        <w:gridCol w:w="1170"/>
      </w:tblGrid>
      <w:tr w:rsidR="007B1055" w:rsidRPr="009934FA" w14:paraId="7D2D0128" w14:textId="77777777" w:rsidTr="00A21CEE">
        <w:trPr>
          <w:cnfStyle w:val="100000000000" w:firstRow="1" w:lastRow="0" w:firstColumn="0" w:lastColumn="0" w:oddVBand="0" w:evenVBand="0" w:oddHBand="0" w:evenHBand="0" w:firstRowFirstColumn="0" w:firstRowLastColumn="0" w:lastRowFirstColumn="0" w:lastRowLastColumn="0"/>
          <w:trHeight w:val="784"/>
        </w:trPr>
        <w:tc>
          <w:tcPr>
            <w:tcW w:w="1915" w:type="dxa"/>
          </w:tcPr>
          <w:p w14:paraId="2EB8B020" w14:textId="77777777" w:rsidR="00DD726C" w:rsidRPr="009934FA" w:rsidRDefault="00DD726C" w:rsidP="00FE5D7F">
            <w:pPr>
              <w:ind w:left="0" w:right="0"/>
            </w:pPr>
            <w:r w:rsidRPr="009934FA">
              <w:t>Species</w:t>
            </w:r>
          </w:p>
        </w:tc>
        <w:tc>
          <w:tcPr>
            <w:tcW w:w="3150" w:type="dxa"/>
            <w:gridSpan w:val="2"/>
          </w:tcPr>
          <w:p w14:paraId="7E498EDE" w14:textId="77777777" w:rsidR="00DD726C" w:rsidRPr="009934FA" w:rsidRDefault="00DD726C" w:rsidP="00FE5D7F">
            <w:pPr>
              <w:ind w:left="0" w:right="0"/>
            </w:pPr>
            <w:r w:rsidRPr="009934FA">
              <w:t>Study</w:t>
            </w:r>
          </w:p>
        </w:tc>
        <w:tc>
          <w:tcPr>
            <w:tcW w:w="1800" w:type="dxa"/>
          </w:tcPr>
          <w:p w14:paraId="66FAD348" w14:textId="29175AAB" w:rsidR="00DD726C" w:rsidRPr="009934FA" w:rsidRDefault="00A21CEE" w:rsidP="00FE5D7F">
            <w:pPr>
              <w:ind w:left="0" w:right="0"/>
            </w:pPr>
            <w:r>
              <w:t xml:space="preserve">Dose </w:t>
            </w:r>
            <w:r w:rsidR="00DD726C" w:rsidRPr="009934FA">
              <w:t>(nmol/kg/day)</w:t>
            </w:r>
          </w:p>
        </w:tc>
        <w:tc>
          <w:tcPr>
            <w:tcW w:w="1170" w:type="dxa"/>
          </w:tcPr>
          <w:p w14:paraId="3F885C14" w14:textId="28A4628F" w:rsidR="00DD726C" w:rsidRPr="009934FA" w:rsidRDefault="00DD726C" w:rsidP="00FE5D7F">
            <w:pPr>
              <w:ind w:left="0" w:right="0"/>
            </w:pPr>
            <w:r w:rsidRPr="009934FA">
              <w:t>AUC</w:t>
            </w:r>
            <w:r w:rsidRPr="009934FA">
              <w:rPr>
                <w:vertAlign w:val="subscript"/>
              </w:rPr>
              <w:t>0–24 h</w:t>
            </w:r>
            <w:r w:rsidR="007B1055" w:rsidRPr="009934FA">
              <w:t xml:space="preserve"> </w:t>
            </w:r>
            <w:r w:rsidRPr="009934FA">
              <w:t>(nM∙h)</w:t>
            </w:r>
          </w:p>
        </w:tc>
        <w:tc>
          <w:tcPr>
            <w:tcW w:w="1170" w:type="dxa"/>
          </w:tcPr>
          <w:p w14:paraId="6D414CD2" w14:textId="77777777" w:rsidR="00DD726C" w:rsidRPr="009934FA" w:rsidRDefault="00DD726C" w:rsidP="00FE5D7F">
            <w:pPr>
              <w:ind w:left="0" w:right="0"/>
            </w:pPr>
            <w:r w:rsidRPr="009934FA">
              <w:t>Exposure ratio</w:t>
            </w:r>
          </w:p>
        </w:tc>
      </w:tr>
      <w:tr w:rsidR="007B1055" w:rsidRPr="009934FA" w14:paraId="12A47AA5" w14:textId="77777777" w:rsidTr="007B1055">
        <w:trPr>
          <w:trHeight w:val="255"/>
        </w:trPr>
        <w:tc>
          <w:tcPr>
            <w:tcW w:w="1915" w:type="dxa"/>
            <w:vMerge w:val="restart"/>
          </w:tcPr>
          <w:p w14:paraId="429258E3" w14:textId="39186D92" w:rsidR="00DD726C" w:rsidRPr="00A21CEE" w:rsidRDefault="00D61852" w:rsidP="00B23851">
            <w:pPr>
              <w:keepNext/>
              <w:ind w:left="0" w:right="0"/>
              <w:rPr>
                <w:sz w:val="20"/>
              </w:rPr>
            </w:pPr>
            <w:r w:rsidRPr="00A21CEE">
              <w:rPr>
                <w:sz w:val="20"/>
              </w:rPr>
              <w:t xml:space="preserve">Rat </w:t>
            </w:r>
            <w:r w:rsidR="00DD726C" w:rsidRPr="00A21CEE">
              <w:rPr>
                <w:sz w:val="20"/>
              </w:rPr>
              <w:t>(</w:t>
            </w:r>
            <w:proofErr w:type="spellStart"/>
            <w:r w:rsidR="006C50FE">
              <w:rPr>
                <w:sz w:val="20"/>
              </w:rPr>
              <w:t>h</w:t>
            </w:r>
            <w:r w:rsidR="006C50FE" w:rsidRPr="00A21CEE">
              <w:rPr>
                <w:sz w:val="20"/>
              </w:rPr>
              <w:t>an</w:t>
            </w:r>
            <w:proofErr w:type="spellEnd"/>
            <w:r w:rsidR="006C50FE" w:rsidRPr="00A21CEE">
              <w:rPr>
                <w:sz w:val="20"/>
              </w:rPr>
              <w:t xml:space="preserve"> </w:t>
            </w:r>
            <w:proofErr w:type="spellStart"/>
            <w:r w:rsidR="00B23851">
              <w:rPr>
                <w:sz w:val="20"/>
              </w:rPr>
              <w:t>W</w:t>
            </w:r>
            <w:r w:rsidR="006C50FE" w:rsidRPr="00A21CEE">
              <w:rPr>
                <w:sz w:val="20"/>
              </w:rPr>
              <w:t>istar</w:t>
            </w:r>
            <w:proofErr w:type="spellEnd"/>
            <w:r w:rsidR="00DD726C" w:rsidRPr="00A21CEE">
              <w:rPr>
                <w:sz w:val="20"/>
              </w:rPr>
              <w:t>)</w:t>
            </w:r>
          </w:p>
        </w:tc>
        <w:tc>
          <w:tcPr>
            <w:tcW w:w="2250" w:type="dxa"/>
            <w:vMerge w:val="restart"/>
          </w:tcPr>
          <w:p w14:paraId="0368D1F6" w14:textId="40A85F98" w:rsidR="00DD726C" w:rsidRPr="00A21CEE" w:rsidRDefault="00D61852" w:rsidP="00FE5D7F">
            <w:pPr>
              <w:keepNext/>
              <w:ind w:left="0" w:right="0"/>
              <w:rPr>
                <w:sz w:val="20"/>
              </w:rPr>
            </w:pPr>
            <w:r w:rsidRPr="00A21CEE">
              <w:rPr>
                <w:sz w:val="20"/>
              </w:rPr>
              <w:t xml:space="preserve">Fertility/embryofetal </w:t>
            </w:r>
            <w:r w:rsidR="00DD726C" w:rsidRPr="00A21CEE">
              <w:rPr>
                <w:sz w:val="20"/>
              </w:rPr>
              <w:t>development</w:t>
            </w:r>
          </w:p>
        </w:tc>
        <w:tc>
          <w:tcPr>
            <w:tcW w:w="900" w:type="dxa"/>
            <w:vMerge w:val="restart"/>
          </w:tcPr>
          <w:p w14:paraId="674B8782" w14:textId="79833B47" w:rsidR="00DD726C" w:rsidRPr="00A21CEE" w:rsidRDefault="00D61852" w:rsidP="00FE5D7F">
            <w:pPr>
              <w:keepNext/>
              <w:ind w:left="0" w:right="0"/>
              <w:rPr>
                <w:sz w:val="20"/>
              </w:rPr>
            </w:pPr>
            <w:r w:rsidRPr="00A21CEE">
              <w:rPr>
                <w:sz w:val="20"/>
              </w:rPr>
              <w:t>Female</w:t>
            </w:r>
          </w:p>
        </w:tc>
        <w:tc>
          <w:tcPr>
            <w:tcW w:w="1800" w:type="dxa"/>
          </w:tcPr>
          <w:p w14:paraId="579A6875" w14:textId="77777777" w:rsidR="00DD726C" w:rsidRPr="00A21CEE" w:rsidRDefault="00DD726C" w:rsidP="00FE5D7F">
            <w:pPr>
              <w:keepNext/>
              <w:ind w:left="0" w:right="0"/>
              <w:rPr>
                <w:sz w:val="20"/>
              </w:rPr>
            </w:pPr>
            <w:r w:rsidRPr="00A21CEE">
              <w:rPr>
                <w:sz w:val="20"/>
              </w:rPr>
              <w:t>20</w:t>
            </w:r>
          </w:p>
        </w:tc>
        <w:tc>
          <w:tcPr>
            <w:tcW w:w="1170" w:type="dxa"/>
          </w:tcPr>
          <w:p w14:paraId="59A62F5D" w14:textId="77777777" w:rsidR="00DD726C" w:rsidRPr="00A21CEE" w:rsidRDefault="00DD726C" w:rsidP="00FE5D7F">
            <w:pPr>
              <w:keepNext/>
              <w:ind w:left="0" w:right="0"/>
              <w:rPr>
                <w:sz w:val="20"/>
              </w:rPr>
            </w:pPr>
            <w:r w:rsidRPr="00A21CEE">
              <w:rPr>
                <w:sz w:val="20"/>
              </w:rPr>
              <w:t>117</w:t>
            </w:r>
          </w:p>
        </w:tc>
        <w:tc>
          <w:tcPr>
            <w:tcW w:w="1170" w:type="dxa"/>
          </w:tcPr>
          <w:p w14:paraId="5773DAFA" w14:textId="77777777" w:rsidR="00DD726C" w:rsidRPr="00A21CEE" w:rsidRDefault="00DD726C" w:rsidP="00FE5D7F">
            <w:pPr>
              <w:keepNext/>
              <w:ind w:left="0" w:right="0"/>
              <w:rPr>
                <w:sz w:val="20"/>
              </w:rPr>
            </w:pPr>
            <w:r w:rsidRPr="00A21CEE">
              <w:rPr>
                <w:sz w:val="20"/>
              </w:rPr>
              <w:t>0.7</w:t>
            </w:r>
          </w:p>
        </w:tc>
      </w:tr>
      <w:tr w:rsidR="007B1055" w:rsidRPr="009934FA" w14:paraId="2BB3C580" w14:textId="77777777" w:rsidTr="007B1055">
        <w:trPr>
          <w:trHeight w:val="255"/>
        </w:trPr>
        <w:tc>
          <w:tcPr>
            <w:tcW w:w="1915" w:type="dxa"/>
            <w:vMerge/>
          </w:tcPr>
          <w:p w14:paraId="4B01CCE7" w14:textId="77777777" w:rsidR="00DD726C" w:rsidRPr="00A21CEE" w:rsidRDefault="00DD726C" w:rsidP="00FE5D7F">
            <w:pPr>
              <w:keepNext/>
              <w:ind w:left="0" w:right="0"/>
              <w:rPr>
                <w:sz w:val="20"/>
              </w:rPr>
            </w:pPr>
          </w:p>
        </w:tc>
        <w:tc>
          <w:tcPr>
            <w:tcW w:w="2250" w:type="dxa"/>
            <w:vMerge/>
          </w:tcPr>
          <w:p w14:paraId="1F1EA644" w14:textId="77777777" w:rsidR="00DD726C" w:rsidRPr="00A21CEE" w:rsidRDefault="00DD726C" w:rsidP="00FE5D7F">
            <w:pPr>
              <w:keepNext/>
              <w:ind w:left="0" w:right="0"/>
              <w:rPr>
                <w:sz w:val="20"/>
              </w:rPr>
            </w:pPr>
          </w:p>
        </w:tc>
        <w:tc>
          <w:tcPr>
            <w:tcW w:w="900" w:type="dxa"/>
            <w:vMerge/>
          </w:tcPr>
          <w:p w14:paraId="75DD4B34" w14:textId="77777777" w:rsidR="00DD726C" w:rsidRPr="00A21CEE" w:rsidRDefault="00DD726C" w:rsidP="00FE5D7F">
            <w:pPr>
              <w:keepNext/>
              <w:ind w:left="0" w:right="0"/>
              <w:rPr>
                <w:sz w:val="20"/>
              </w:rPr>
            </w:pPr>
          </w:p>
        </w:tc>
        <w:tc>
          <w:tcPr>
            <w:tcW w:w="1800" w:type="dxa"/>
          </w:tcPr>
          <w:p w14:paraId="459AF530" w14:textId="77777777" w:rsidR="00DD726C" w:rsidRPr="00A21CEE" w:rsidRDefault="00DD726C" w:rsidP="00FE5D7F">
            <w:pPr>
              <w:keepNext/>
              <w:ind w:left="0" w:right="0"/>
              <w:rPr>
                <w:sz w:val="20"/>
              </w:rPr>
            </w:pPr>
            <w:r w:rsidRPr="00A21CEE">
              <w:rPr>
                <w:sz w:val="20"/>
              </w:rPr>
              <w:t>80</w:t>
            </w:r>
          </w:p>
        </w:tc>
        <w:tc>
          <w:tcPr>
            <w:tcW w:w="1170" w:type="dxa"/>
          </w:tcPr>
          <w:p w14:paraId="64BD1078" w14:textId="77777777" w:rsidR="00DD726C" w:rsidRPr="00A21CEE" w:rsidRDefault="00DD726C" w:rsidP="00FE5D7F">
            <w:pPr>
              <w:keepNext/>
              <w:ind w:left="0" w:right="0"/>
              <w:rPr>
                <w:sz w:val="20"/>
              </w:rPr>
            </w:pPr>
            <w:r w:rsidRPr="00A21CEE">
              <w:rPr>
                <w:sz w:val="20"/>
              </w:rPr>
              <w:t>460</w:t>
            </w:r>
          </w:p>
        </w:tc>
        <w:tc>
          <w:tcPr>
            <w:tcW w:w="1170" w:type="dxa"/>
          </w:tcPr>
          <w:p w14:paraId="442DCA39" w14:textId="77777777" w:rsidR="00DD726C" w:rsidRPr="00A21CEE" w:rsidRDefault="00DD726C" w:rsidP="00FE5D7F">
            <w:pPr>
              <w:keepNext/>
              <w:ind w:left="0" w:right="0"/>
              <w:rPr>
                <w:sz w:val="20"/>
              </w:rPr>
            </w:pPr>
            <w:r w:rsidRPr="00A21CEE">
              <w:rPr>
                <w:sz w:val="20"/>
              </w:rPr>
              <w:t>2.6</w:t>
            </w:r>
          </w:p>
        </w:tc>
      </w:tr>
      <w:tr w:rsidR="007B1055" w:rsidRPr="009934FA" w14:paraId="011935F9" w14:textId="77777777" w:rsidTr="007B1055">
        <w:trPr>
          <w:trHeight w:val="255"/>
        </w:trPr>
        <w:tc>
          <w:tcPr>
            <w:tcW w:w="1915" w:type="dxa"/>
            <w:vMerge/>
          </w:tcPr>
          <w:p w14:paraId="2AAC7C58" w14:textId="77777777" w:rsidR="00DD726C" w:rsidRPr="00A21CEE" w:rsidRDefault="00DD726C" w:rsidP="00FE5D7F">
            <w:pPr>
              <w:keepNext/>
              <w:ind w:left="0" w:right="0"/>
              <w:rPr>
                <w:sz w:val="20"/>
              </w:rPr>
            </w:pPr>
          </w:p>
        </w:tc>
        <w:tc>
          <w:tcPr>
            <w:tcW w:w="2250" w:type="dxa"/>
            <w:vMerge/>
          </w:tcPr>
          <w:p w14:paraId="362B0254" w14:textId="77777777" w:rsidR="00DD726C" w:rsidRPr="00A21CEE" w:rsidRDefault="00DD726C" w:rsidP="00FE5D7F">
            <w:pPr>
              <w:keepNext/>
              <w:ind w:left="0" w:right="0"/>
              <w:rPr>
                <w:sz w:val="20"/>
              </w:rPr>
            </w:pPr>
          </w:p>
        </w:tc>
        <w:tc>
          <w:tcPr>
            <w:tcW w:w="900" w:type="dxa"/>
            <w:vMerge/>
          </w:tcPr>
          <w:p w14:paraId="2B05197F" w14:textId="77777777" w:rsidR="00DD726C" w:rsidRPr="00A21CEE" w:rsidRDefault="00DD726C" w:rsidP="00FE5D7F">
            <w:pPr>
              <w:keepNext/>
              <w:ind w:left="0" w:right="0"/>
              <w:rPr>
                <w:sz w:val="20"/>
              </w:rPr>
            </w:pPr>
          </w:p>
        </w:tc>
        <w:tc>
          <w:tcPr>
            <w:tcW w:w="1800" w:type="dxa"/>
            <w:vMerge w:val="restart"/>
          </w:tcPr>
          <w:p w14:paraId="7DAFF3D3" w14:textId="77777777" w:rsidR="00DD726C" w:rsidRPr="00A21CEE" w:rsidRDefault="00DD726C" w:rsidP="00FE5D7F">
            <w:pPr>
              <w:keepNext/>
              <w:ind w:left="0" w:right="0"/>
              <w:rPr>
                <w:sz w:val="20"/>
              </w:rPr>
            </w:pPr>
            <w:r w:rsidRPr="00A21CEE">
              <w:rPr>
                <w:sz w:val="20"/>
              </w:rPr>
              <w:t>125</w:t>
            </w:r>
          </w:p>
        </w:tc>
        <w:tc>
          <w:tcPr>
            <w:tcW w:w="1170" w:type="dxa"/>
          </w:tcPr>
          <w:p w14:paraId="6229EBEC" w14:textId="77777777" w:rsidR="00DD726C" w:rsidRPr="00A21CEE" w:rsidRDefault="00DD726C" w:rsidP="00FE5D7F">
            <w:pPr>
              <w:keepNext/>
              <w:ind w:left="0" w:right="0"/>
              <w:rPr>
                <w:sz w:val="20"/>
              </w:rPr>
            </w:pPr>
            <w:r w:rsidRPr="00A21CEE">
              <w:rPr>
                <w:sz w:val="20"/>
              </w:rPr>
              <w:t>963</w:t>
            </w:r>
          </w:p>
        </w:tc>
        <w:tc>
          <w:tcPr>
            <w:tcW w:w="1170" w:type="dxa"/>
          </w:tcPr>
          <w:p w14:paraId="7D4CA9C0" w14:textId="77777777" w:rsidR="00DD726C" w:rsidRPr="00A21CEE" w:rsidRDefault="00DD726C" w:rsidP="00FE5D7F">
            <w:pPr>
              <w:keepNext/>
              <w:ind w:left="0" w:right="0"/>
              <w:rPr>
                <w:sz w:val="20"/>
              </w:rPr>
            </w:pPr>
            <w:r w:rsidRPr="00A21CEE">
              <w:rPr>
                <w:sz w:val="20"/>
              </w:rPr>
              <w:t>5</w:t>
            </w:r>
          </w:p>
        </w:tc>
      </w:tr>
      <w:tr w:rsidR="007B1055" w:rsidRPr="009934FA" w14:paraId="498C82E2" w14:textId="77777777" w:rsidTr="007B1055">
        <w:trPr>
          <w:trHeight w:val="255"/>
        </w:trPr>
        <w:tc>
          <w:tcPr>
            <w:tcW w:w="1915" w:type="dxa"/>
            <w:vMerge/>
          </w:tcPr>
          <w:p w14:paraId="3F383174" w14:textId="77777777" w:rsidR="00DD726C" w:rsidRPr="00A21CEE" w:rsidRDefault="00DD726C" w:rsidP="00D61852">
            <w:pPr>
              <w:ind w:left="0" w:right="0"/>
              <w:rPr>
                <w:sz w:val="20"/>
              </w:rPr>
            </w:pPr>
          </w:p>
        </w:tc>
        <w:tc>
          <w:tcPr>
            <w:tcW w:w="2250" w:type="dxa"/>
            <w:vMerge/>
          </w:tcPr>
          <w:p w14:paraId="69CDF81F" w14:textId="77777777" w:rsidR="00DD726C" w:rsidRPr="00A21CEE" w:rsidRDefault="00DD726C" w:rsidP="00D61852">
            <w:pPr>
              <w:ind w:left="0" w:right="0"/>
              <w:rPr>
                <w:sz w:val="20"/>
              </w:rPr>
            </w:pPr>
          </w:p>
        </w:tc>
        <w:tc>
          <w:tcPr>
            <w:tcW w:w="900" w:type="dxa"/>
          </w:tcPr>
          <w:p w14:paraId="1DB49F6C" w14:textId="33534F99" w:rsidR="00DD726C" w:rsidRPr="00A21CEE" w:rsidRDefault="00D61852" w:rsidP="007B1055">
            <w:pPr>
              <w:ind w:left="0" w:right="0"/>
              <w:rPr>
                <w:sz w:val="20"/>
              </w:rPr>
            </w:pPr>
            <w:r w:rsidRPr="00A21CEE">
              <w:rPr>
                <w:sz w:val="20"/>
              </w:rPr>
              <w:t>Male</w:t>
            </w:r>
          </w:p>
        </w:tc>
        <w:tc>
          <w:tcPr>
            <w:tcW w:w="1800" w:type="dxa"/>
            <w:vMerge/>
          </w:tcPr>
          <w:p w14:paraId="3554A3C3" w14:textId="77777777" w:rsidR="00DD726C" w:rsidRPr="00A21CEE" w:rsidRDefault="00DD726C" w:rsidP="00D61852">
            <w:pPr>
              <w:ind w:left="0" w:right="0"/>
              <w:rPr>
                <w:sz w:val="20"/>
              </w:rPr>
            </w:pPr>
          </w:p>
        </w:tc>
        <w:tc>
          <w:tcPr>
            <w:tcW w:w="1170" w:type="dxa"/>
          </w:tcPr>
          <w:p w14:paraId="0B1B4C28" w14:textId="77777777" w:rsidR="00DD726C" w:rsidRPr="00A21CEE" w:rsidRDefault="00DD726C" w:rsidP="00D61852">
            <w:pPr>
              <w:ind w:left="0" w:right="0"/>
              <w:rPr>
                <w:sz w:val="20"/>
              </w:rPr>
            </w:pPr>
            <w:r w:rsidRPr="00A21CEE">
              <w:rPr>
                <w:sz w:val="20"/>
              </w:rPr>
              <w:t>1105</w:t>
            </w:r>
          </w:p>
        </w:tc>
        <w:tc>
          <w:tcPr>
            <w:tcW w:w="1170" w:type="dxa"/>
          </w:tcPr>
          <w:p w14:paraId="3145459E" w14:textId="77777777" w:rsidR="00DD726C" w:rsidRPr="00A21CEE" w:rsidRDefault="00DD726C" w:rsidP="00D61852">
            <w:pPr>
              <w:ind w:left="0" w:right="0"/>
              <w:rPr>
                <w:sz w:val="20"/>
              </w:rPr>
            </w:pPr>
            <w:r w:rsidRPr="00A21CEE">
              <w:rPr>
                <w:sz w:val="20"/>
              </w:rPr>
              <w:t>6</w:t>
            </w:r>
          </w:p>
        </w:tc>
      </w:tr>
      <w:tr w:rsidR="007B1055" w:rsidRPr="009934FA" w14:paraId="43D68A2F" w14:textId="77777777" w:rsidTr="007B1055">
        <w:trPr>
          <w:trHeight w:val="255"/>
        </w:trPr>
        <w:tc>
          <w:tcPr>
            <w:tcW w:w="1915" w:type="dxa"/>
            <w:vMerge/>
          </w:tcPr>
          <w:p w14:paraId="2E85F2B1" w14:textId="77777777" w:rsidR="00DD726C" w:rsidRPr="00A21CEE" w:rsidRDefault="00DD726C" w:rsidP="00D61852">
            <w:pPr>
              <w:ind w:left="0" w:right="0"/>
              <w:rPr>
                <w:sz w:val="20"/>
              </w:rPr>
            </w:pPr>
          </w:p>
        </w:tc>
        <w:tc>
          <w:tcPr>
            <w:tcW w:w="3150" w:type="dxa"/>
            <w:gridSpan w:val="2"/>
            <w:vMerge w:val="restart"/>
          </w:tcPr>
          <w:p w14:paraId="63BC3AED" w14:textId="3F5A4F08" w:rsidR="00DD726C" w:rsidRPr="00A21CEE" w:rsidRDefault="00A21CEE" w:rsidP="00D61852">
            <w:pPr>
              <w:ind w:left="0" w:right="0"/>
              <w:rPr>
                <w:sz w:val="20"/>
              </w:rPr>
            </w:pPr>
            <w:r>
              <w:rPr>
                <w:sz w:val="20"/>
              </w:rPr>
              <w:t>Pre</w:t>
            </w:r>
            <w:r w:rsidR="00DD726C" w:rsidRPr="00A21CEE">
              <w:rPr>
                <w:sz w:val="20"/>
              </w:rPr>
              <w:t>/postnatal development</w:t>
            </w:r>
          </w:p>
        </w:tc>
        <w:tc>
          <w:tcPr>
            <w:tcW w:w="1800" w:type="dxa"/>
          </w:tcPr>
          <w:p w14:paraId="472D9301" w14:textId="77777777" w:rsidR="00DD726C" w:rsidRPr="00A21CEE" w:rsidRDefault="00DD726C" w:rsidP="00D61852">
            <w:pPr>
              <w:ind w:left="0" w:right="0"/>
              <w:rPr>
                <w:sz w:val="20"/>
              </w:rPr>
            </w:pPr>
            <w:r w:rsidRPr="00A21CEE">
              <w:rPr>
                <w:sz w:val="20"/>
              </w:rPr>
              <w:t>20</w:t>
            </w:r>
          </w:p>
        </w:tc>
        <w:tc>
          <w:tcPr>
            <w:tcW w:w="1170" w:type="dxa"/>
          </w:tcPr>
          <w:p w14:paraId="3A6D5F56" w14:textId="77777777" w:rsidR="00DD726C" w:rsidRPr="00A21CEE" w:rsidRDefault="00DD726C" w:rsidP="00D61852">
            <w:pPr>
              <w:ind w:left="0" w:right="0"/>
              <w:rPr>
                <w:sz w:val="20"/>
              </w:rPr>
            </w:pPr>
            <w:r w:rsidRPr="00A21CEE">
              <w:rPr>
                <w:sz w:val="20"/>
              </w:rPr>
              <w:t>117</w:t>
            </w:r>
          </w:p>
        </w:tc>
        <w:tc>
          <w:tcPr>
            <w:tcW w:w="1170" w:type="dxa"/>
          </w:tcPr>
          <w:p w14:paraId="10EF3525" w14:textId="77777777" w:rsidR="00DD726C" w:rsidRPr="00A21CEE" w:rsidRDefault="00DD726C" w:rsidP="00D61852">
            <w:pPr>
              <w:ind w:left="0" w:right="0"/>
              <w:rPr>
                <w:sz w:val="20"/>
              </w:rPr>
            </w:pPr>
            <w:r w:rsidRPr="00A21CEE">
              <w:rPr>
                <w:sz w:val="20"/>
              </w:rPr>
              <w:t>0.7</w:t>
            </w:r>
          </w:p>
        </w:tc>
      </w:tr>
      <w:tr w:rsidR="007B1055" w:rsidRPr="009934FA" w14:paraId="2CA0F771" w14:textId="77777777" w:rsidTr="007B1055">
        <w:trPr>
          <w:trHeight w:val="255"/>
        </w:trPr>
        <w:tc>
          <w:tcPr>
            <w:tcW w:w="1915" w:type="dxa"/>
            <w:vMerge/>
          </w:tcPr>
          <w:p w14:paraId="187FFA54" w14:textId="77777777" w:rsidR="00DD726C" w:rsidRPr="00A21CEE" w:rsidRDefault="00DD726C" w:rsidP="00D61852">
            <w:pPr>
              <w:ind w:left="0" w:right="0"/>
              <w:rPr>
                <w:sz w:val="20"/>
              </w:rPr>
            </w:pPr>
          </w:p>
        </w:tc>
        <w:tc>
          <w:tcPr>
            <w:tcW w:w="3150" w:type="dxa"/>
            <w:gridSpan w:val="2"/>
            <w:vMerge/>
          </w:tcPr>
          <w:p w14:paraId="00B32669" w14:textId="77777777" w:rsidR="00DD726C" w:rsidRPr="00A21CEE" w:rsidRDefault="00DD726C" w:rsidP="00D61852">
            <w:pPr>
              <w:ind w:left="0" w:right="0"/>
              <w:rPr>
                <w:sz w:val="20"/>
              </w:rPr>
            </w:pPr>
          </w:p>
        </w:tc>
        <w:tc>
          <w:tcPr>
            <w:tcW w:w="1800" w:type="dxa"/>
          </w:tcPr>
          <w:p w14:paraId="73D53EF7" w14:textId="77777777" w:rsidR="00DD726C" w:rsidRPr="00A21CEE" w:rsidRDefault="00DD726C" w:rsidP="00D61852">
            <w:pPr>
              <w:ind w:left="0" w:right="0"/>
              <w:rPr>
                <w:sz w:val="20"/>
              </w:rPr>
            </w:pPr>
            <w:r w:rsidRPr="00A21CEE">
              <w:rPr>
                <w:sz w:val="20"/>
              </w:rPr>
              <w:t>80</w:t>
            </w:r>
          </w:p>
        </w:tc>
        <w:tc>
          <w:tcPr>
            <w:tcW w:w="1170" w:type="dxa"/>
          </w:tcPr>
          <w:p w14:paraId="56DD8C1B" w14:textId="77777777" w:rsidR="00DD726C" w:rsidRPr="00A21CEE" w:rsidRDefault="00DD726C" w:rsidP="00D61852">
            <w:pPr>
              <w:ind w:left="0" w:right="0"/>
              <w:rPr>
                <w:sz w:val="20"/>
              </w:rPr>
            </w:pPr>
            <w:r w:rsidRPr="00A21CEE">
              <w:rPr>
                <w:sz w:val="20"/>
              </w:rPr>
              <w:t>460</w:t>
            </w:r>
          </w:p>
        </w:tc>
        <w:tc>
          <w:tcPr>
            <w:tcW w:w="1170" w:type="dxa"/>
          </w:tcPr>
          <w:p w14:paraId="0C54CF4A" w14:textId="77777777" w:rsidR="00DD726C" w:rsidRPr="00A21CEE" w:rsidRDefault="00DD726C" w:rsidP="00D61852">
            <w:pPr>
              <w:ind w:left="0" w:right="0"/>
              <w:rPr>
                <w:sz w:val="20"/>
              </w:rPr>
            </w:pPr>
            <w:r w:rsidRPr="00A21CEE">
              <w:rPr>
                <w:sz w:val="20"/>
              </w:rPr>
              <w:t>2.6</w:t>
            </w:r>
          </w:p>
        </w:tc>
      </w:tr>
      <w:tr w:rsidR="007B1055" w:rsidRPr="009934FA" w14:paraId="4ACB3A07" w14:textId="77777777" w:rsidTr="007B1055">
        <w:trPr>
          <w:trHeight w:val="255"/>
        </w:trPr>
        <w:tc>
          <w:tcPr>
            <w:tcW w:w="1915" w:type="dxa"/>
            <w:vMerge/>
          </w:tcPr>
          <w:p w14:paraId="36416E50" w14:textId="77777777" w:rsidR="00DD726C" w:rsidRPr="00A21CEE" w:rsidRDefault="00DD726C" w:rsidP="00D61852">
            <w:pPr>
              <w:ind w:left="0" w:right="0"/>
              <w:rPr>
                <w:sz w:val="20"/>
              </w:rPr>
            </w:pPr>
          </w:p>
        </w:tc>
        <w:tc>
          <w:tcPr>
            <w:tcW w:w="3150" w:type="dxa"/>
            <w:gridSpan w:val="2"/>
            <w:vMerge/>
          </w:tcPr>
          <w:p w14:paraId="0731B8C0" w14:textId="77777777" w:rsidR="00DD726C" w:rsidRPr="00A21CEE" w:rsidRDefault="00DD726C" w:rsidP="00D61852">
            <w:pPr>
              <w:ind w:left="0" w:right="0"/>
              <w:rPr>
                <w:sz w:val="20"/>
              </w:rPr>
            </w:pPr>
          </w:p>
        </w:tc>
        <w:tc>
          <w:tcPr>
            <w:tcW w:w="1800" w:type="dxa"/>
          </w:tcPr>
          <w:p w14:paraId="19894E62" w14:textId="77777777" w:rsidR="00DD726C" w:rsidRPr="00A21CEE" w:rsidRDefault="00DD726C" w:rsidP="00D61852">
            <w:pPr>
              <w:ind w:left="0" w:right="0"/>
              <w:rPr>
                <w:sz w:val="20"/>
              </w:rPr>
            </w:pPr>
            <w:r w:rsidRPr="00A21CEE">
              <w:rPr>
                <w:sz w:val="20"/>
              </w:rPr>
              <w:t>125</w:t>
            </w:r>
          </w:p>
        </w:tc>
        <w:tc>
          <w:tcPr>
            <w:tcW w:w="1170" w:type="dxa"/>
          </w:tcPr>
          <w:p w14:paraId="4390B4A8" w14:textId="77777777" w:rsidR="00DD726C" w:rsidRPr="00A21CEE" w:rsidRDefault="00DD726C" w:rsidP="00D61852">
            <w:pPr>
              <w:ind w:left="0" w:right="0"/>
              <w:rPr>
                <w:sz w:val="20"/>
              </w:rPr>
            </w:pPr>
            <w:r w:rsidRPr="00A21CEE">
              <w:rPr>
                <w:sz w:val="20"/>
              </w:rPr>
              <w:t>963</w:t>
            </w:r>
          </w:p>
        </w:tc>
        <w:tc>
          <w:tcPr>
            <w:tcW w:w="1170" w:type="dxa"/>
          </w:tcPr>
          <w:p w14:paraId="216F6D92" w14:textId="77777777" w:rsidR="00DD726C" w:rsidRPr="00A21CEE" w:rsidRDefault="00DD726C" w:rsidP="00D61852">
            <w:pPr>
              <w:ind w:left="0" w:right="0"/>
              <w:rPr>
                <w:sz w:val="20"/>
              </w:rPr>
            </w:pPr>
            <w:r w:rsidRPr="00A21CEE">
              <w:rPr>
                <w:sz w:val="20"/>
              </w:rPr>
              <w:t>5</w:t>
            </w:r>
          </w:p>
        </w:tc>
      </w:tr>
      <w:tr w:rsidR="007B1055" w:rsidRPr="009934FA" w14:paraId="2EC313EF" w14:textId="77777777" w:rsidTr="007B1055">
        <w:trPr>
          <w:trHeight w:val="340"/>
        </w:trPr>
        <w:tc>
          <w:tcPr>
            <w:tcW w:w="1915" w:type="dxa"/>
          </w:tcPr>
          <w:p w14:paraId="717DFD06" w14:textId="77777777" w:rsidR="00DD726C" w:rsidRPr="00A21CEE" w:rsidRDefault="00DD726C" w:rsidP="00D61852">
            <w:pPr>
              <w:ind w:left="0" w:right="0"/>
              <w:rPr>
                <w:sz w:val="20"/>
              </w:rPr>
            </w:pPr>
            <w:r w:rsidRPr="00A21CEE">
              <w:rPr>
                <w:sz w:val="20"/>
              </w:rPr>
              <w:t>Rabbit (NZW)</w:t>
            </w:r>
          </w:p>
        </w:tc>
        <w:tc>
          <w:tcPr>
            <w:tcW w:w="3150" w:type="dxa"/>
            <w:gridSpan w:val="2"/>
          </w:tcPr>
          <w:p w14:paraId="0960D142" w14:textId="77777777" w:rsidR="00DD726C" w:rsidRPr="00A21CEE" w:rsidRDefault="00DD726C" w:rsidP="00D61852">
            <w:pPr>
              <w:ind w:left="0" w:right="0"/>
              <w:rPr>
                <w:sz w:val="20"/>
              </w:rPr>
            </w:pPr>
            <w:r w:rsidRPr="00A21CEE">
              <w:rPr>
                <w:sz w:val="20"/>
              </w:rPr>
              <w:t>Embryofetal development</w:t>
            </w:r>
          </w:p>
        </w:tc>
        <w:tc>
          <w:tcPr>
            <w:tcW w:w="1800" w:type="dxa"/>
          </w:tcPr>
          <w:p w14:paraId="6248910A" w14:textId="77777777" w:rsidR="00DD726C" w:rsidRPr="00A21CEE" w:rsidRDefault="00DD726C" w:rsidP="00D61852">
            <w:pPr>
              <w:ind w:left="0" w:right="0"/>
              <w:rPr>
                <w:sz w:val="20"/>
              </w:rPr>
            </w:pPr>
            <w:r w:rsidRPr="00A21CEE">
              <w:rPr>
                <w:sz w:val="20"/>
              </w:rPr>
              <w:t>20</w:t>
            </w:r>
          </w:p>
        </w:tc>
        <w:tc>
          <w:tcPr>
            <w:tcW w:w="1170" w:type="dxa"/>
          </w:tcPr>
          <w:p w14:paraId="14F11217" w14:textId="77777777" w:rsidR="00DD726C" w:rsidRPr="00A21CEE" w:rsidRDefault="00DD726C" w:rsidP="00D61852">
            <w:pPr>
              <w:ind w:left="0" w:right="0"/>
              <w:rPr>
                <w:sz w:val="20"/>
              </w:rPr>
            </w:pPr>
            <w:r w:rsidRPr="00A21CEE">
              <w:rPr>
                <w:sz w:val="20"/>
              </w:rPr>
              <w:t>1660</w:t>
            </w:r>
          </w:p>
        </w:tc>
        <w:tc>
          <w:tcPr>
            <w:tcW w:w="1170" w:type="dxa"/>
          </w:tcPr>
          <w:p w14:paraId="7F4FAD94" w14:textId="77777777" w:rsidR="00DD726C" w:rsidRPr="00A21CEE" w:rsidRDefault="00DD726C" w:rsidP="00D61852">
            <w:pPr>
              <w:ind w:left="0" w:right="0"/>
              <w:rPr>
                <w:sz w:val="20"/>
              </w:rPr>
            </w:pPr>
            <w:r w:rsidRPr="00A21CEE">
              <w:rPr>
                <w:sz w:val="20"/>
              </w:rPr>
              <w:t>9</w:t>
            </w:r>
          </w:p>
        </w:tc>
      </w:tr>
      <w:tr w:rsidR="007B1055" w:rsidRPr="009934FA" w14:paraId="4CAE2373" w14:textId="77777777" w:rsidTr="007B1055">
        <w:trPr>
          <w:trHeight w:val="340"/>
        </w:trPr>
        <w:tc>
          <w:tcPr>
            <w:tcW w:w="1915" w:type="dxa"/>
          </w:tcPr>
          <w:p w14:paraId="0CE07365" w14:textId="77777777" w:rsidR="00DD726C" w:rsidRPr="00A21CEE" w:rsidRDefault="00DD726C" w:rsidP="00D61852">
            <w:pPr>
              <w:ind w:left="0" w:right="0"/>
              <w:rPr>
                <w:sz w:val="20"/>
              </w:rPr>
            </w:pPr>
            <w:r w:rsidRPr="00A21CEE">
              <w:rPr>
                <w:sz w:val="20"/>
              </w:rPr>
              <w:t>Human (diabetic patients)</w:t>
            </w:r>
          </w:p>
        </w:tc>
        <w:tc>
          <w:tcPr>
            <w:tcW w:w="3150" w:type="dxa"/>
            <w:gridSpan w:val="2"/>
          </w:tcPr>
          <w:p w14:paraId="19B7ACAE" w14:textId="762F8F67" w:rsidR="00DD726C" w:rsidRPr="00A21CEE" w:rsidRDefault="00D61852" w:rsidP="00D61852">
            <w:pPr>
              <w:ind w:left="0" w:right="0"/>
              <w:rPr>
                <w:sz w:val="20"/>
              </w:rPr>
            </w:pPr>
            <w:r w:rsidRPr="00A21CEE">
              <w:rPr>
                <w:sz w:val="20"/>
              </w:rPr>
              <w:t>NN1250-1993 (</w:t>
            </w:r>
            <w:r w:rsidR="00DD726C" w:rsidRPr="00A21CEE">
              <w:rPr>
                <w:sz w:val="20"/>
              </w:rPr>
              <w:t>steady state</w:t>
            </w:r>
            <w:r w:rsidRPr="00A21CEE">
              <w:rPr>
                <w:sz w:val="20"/>
              </w:rPr>
              <w:t>)</w:t>
            </w:r>
          </w:p>
        </w:tc>
        <w:tc>
          <w:tcPr>
            <w:tcW w:w="1800" w:type="dxa"/>
          </w:tcPr>
          <w:p w14:paraId="5D6CB4E8" w14:textId="77777777" w:rsidR="00A21CEE" w:rsidRDefault="00DD726C" w:rsidP="00D61852">
            <w:pPr>
              <w:ind w:left="0" w:right="0"/>
              <w:rPr>
                <w:sz w:val="20"/>
              </w:rPr>
            </w:pPr>
            <w:r w:rsidRPr="00A21CEE">
              <w:rPr>
                <w:sz w:val="20"/>
              </w:rPr>
              <w:t>4.8</w:t>
            </w:r>
          </w:p>
          <w:p w14:paraId="5B0C5200" w14:textId="2E650C9D" w:rsidR="00DD726C" w:rsidRPr="00A21CEE" w:rsidRDefault="00D61852" w:rsidP="00D61852">
            <w:pPr>
              <w:ind w:left="0" w:right="0"/>
              <w:rPr>
                <w:sz w:val="20"/>
              </w:rPr>
            </w:pPr>
            <w:r w:rsidRPr="00A21CEE">
              <w:rPr>
                <w:sz w:val="20"/>
              </w:rPr>
              <w:t>(</w:t>
            </w:r>
            <w:r w:rsidR="00DD726C" w:rsidRPr="00A21CEE">
              <w:rPr>
                <w:sz w:val="20"/>
              </w:rPr>
              <w:t>= 0.8 U/kg/day</w:t>
            </w:r>
            <w:r w:rsidRPr="00A21CEE">
              <w:rPr>
                <w:sz w:val="20"/>
              </w:rPr>
              <w:t>)</w:t>
            </w:r>
          </w:p>
        </w:tc>
        <w:tc>
          <w:tcPr>
            <w:tcW w:w="1170" w:type="dxa"/>
          </w:tcPr>
          <w:p w14:paraId="02B2BF6B" w14:textId="77777777" w:rsidR="00DD726C" w:rsidRPr="00A21CEE" w:rsidRDefault="00DD726C" w:rsidP="00D61852">
            <w:pPr>
              <w:ind w:left="0" w:right="0"/>
              <w:rPr>
                <w:sz w:val="20"/>
              </w:rPr>
            </w:pPr>
            <w:r w:rsidRPr="00A21CEE">
              <w:rPr>
                <w:sz w:val="20"/>
              </w:rPr>
              <w:t>180</w:t>
            </w:r>
          </w:p>
        </w:tc>
        <w:tc>
          <w:tcPr>
            <w:tcW w:w="1170" w:type="dxa"/>
          </w:tcPr>
          <w:p w14:paraId="1E661130" w14:textId="75A19ED3" w:rsidR="00DD726C" w:rsidRPr="00A21CEE" w:rsidRDefault="00DD726C" w:rsidP="00D61852">
            <w:pPr>
              <w:ind w:left="0" w:right="0"/>
              <w:rPr>
                <w:sz w:val="20"/>
              </w:rPr>
            </w:pPr>
          </w:p>
        </w:tc>
      </w:tr>
    </w:tbl>
    <w:p w14:paraId="4D1FA250" w14:textId="659ED60F" w:rsidR="00DD726C" w:rsidRPr="009934FA" w:rsidRDefault="00DD726C" w:rsidP="00DD726C">
      <w:r w:rsidRPr="009934FA">
        <w:t>Very limited placental transfer of insulin degludec was evident in rats, with fetal serum levels &lt;</w:t>
      </w:r>
      <w:r w:rsidR="007B1055" w:rsidRPr="009934FA">
        <w:t xml:space="preserve"> </w:t>
      </w:r>
      <w:r w:rsidRPr="009934FA">
        <w:t xml:space="preserve">1% of maternal levels. Excretion of insulin degludec and its metabolites in milk was shown to be moderate to high in lactating rats following SC administration of </w:t>
      </w:r>
      <w:r w:rsidRPr="009934FA">
        <w:rPr>
          <w:vertAlign w:val="superscript"/>
        </w:rPr>
        <w:t>3</w:t>
      </w:r>
      <w:r w:rsidR="00F559CC" w:rsidRPr="009934FA">
        <w:t>H</w:t>
      </w:r>
      <w:r w:rsidR="00F559CC" w:rsidRPr="009934FA">
        <w:noBreakHyphen/>
      </w:r>
      <w:r w:rsidRPr="009934FA">
        <w:t>insulin degludec (milk:</w:t>
      </w:r>
      <w:r w:rsidR="007B1055" w:rsidRPr="009934FA">
        <w:t xml:space="preserve"> </w:t>
      </w:r>
      <w:r w:rsidRPr="009934FA">
        <w:t>plasma ratios of 0.31 for insulin degludec and total radioactivity in terms of AUC; 0.35 for insulin degludec C</w:t>
      </w:r>
      <w:r w:rsidRPr="009934FA">
        <w:rPr>
          <w:vertAlign w:val="subscript"/>
        </w:rPr>
        <w:t>max</w:t>
      </w:r>
      <w:r w:rsidRPr="009934FA">
        <w:t>, and 0.46 for total radioactivity C</w:t>
      </w:r>
      <w:r w:rsidRPr="009934FA">
        <w:rPr>
          <w:vertAlign w:val="subscript"/>
        </w:rPr>
        <w:t>max</w:t>
      </w:r>
      <w:r w:rsidRPr="009934FA">
        <w:t>).</w:t>
      </w:r>
    </w:p>
    <w:p w14:paraId="51A2B10D" w14:textId="4595E28F" w:rsidR="00DD726C" w:rsidRPr="009934FA" w:rsidRDefault="00DD726C" w:rsidP="00DD726C">
      <w:r w:rsidRPr="009934FA">
        <w:t>Male and female fertility were unaffected in rats treated with insulin degludec at doses ≤</w:t>
      </w:r>
      <w:r w:rsidR="00F559CC" w:rsidRPr="009934FA">
        <w:t> </w:t>
      </w:r>
      <w:r w:rsidRPr="009934FA">
        <w:t>125 nm</w:t>
      </w:r>
      <w:r w:rsidR="00F559CC" w:rsidRPr="009934FA">
        <w:t xml:space="preserve">ol/kg/day (relative exposure, 5 to </w:t>
      </w:r>
      <w:r w:rsidRPr="009934FA">
        <w:t>6). An increase in various fetal skeletal abnormalities was seen in rats at doses ≥</w:t>
      </w:r>
      <w:r w:rsidR="00F559CC" w:rsidRPr="009934FA">
        <w:t xml:space="preserve"> </w:t>
      </w:r>
      <w:r w:rsidRPr="009934FA">
        <w:t>80 nmol/kg/day (relative exposure, ≥</w:t>
      </w:r>
      <w:r w:rsidR="00F559CC" w:rsidRPr="009934FA">
        <w:t xml:space="preserve"> </w:t>
      </w:r>
      <w:r w:rsidRPr="009934FA">
        <w:t xml:space="preserve">2.6). However, their nature and incidence was similar to that observed with NPH insulin treatment, and they are considered likely to be related to maternal hypoglycaemia rather </w:t>
      </w:r>
      <w:r w:rsidRPr="009934FA">
        <w:lastRenderedPageBreak/>
        <w:t xml:space="preserve">than reflect direct embryofetal toxicity. In rabbits, no adverse effect on embryofetal development was observed in the definitive study (employing doses </w:t>
      </w:r>
      <w:proofErr w:type="gramStart"/>
      <w:r w:rsidRPr="009934FA">
        <w:t>up to 20 nmol/kg/day</w:t>
      </w:r>
      <w:proofErr w:type="gramEnd"/>
      <w:r w:rsidRPr="009934FA">
        <w:t xml:space="preserve">), although decreased live litter size and increased pre- and post-implantation loss were observed at 25 nmol/kg/day in the pilot study. The </w:t>
      </w:r>
      <w:r w:rsidR="00FB5BA1">
        <w:t>no observable adverse effect levels</w:t>
      </w:r>
      <w:r w:rsidRPr="009934FA">
        <w:t xml:space="preserve"> for embryofetal development are considered to be </w:t>
      </w:r>
      <w:proofErr w:type="gramStart"/>
      <w:r w:rsidRPr="009934FA">
        <w:t>20 nmol/kg/day in both species, associated with exposure ratios of 0.7 in rats and 9 in rabbits</w:t>
      </w:r>
      <w:proofErr w:type="gramEnd"/>
      <w:r w:rsidRPr="009934FA">
        <w:t>.</w:t>
      </w:r>
    </w:p>
    <w:p w14:paraId="6711D106" w14:textId="1A6658DF" w:rsidR="00DD726C" w:rsidRPr="009934FA" w:rsidRDefault="00DD726C" w:rsidP="00DD726C">
      <w:r w:rsidRPr="009934FA">
        <w:t xml:space="preserve">The live birth index was reduced in rats with treatment </w:t>
      </w:r>
      <w:proofErr w:type="gramStart"/>
      <w:r w:rsidRPr="009934FA">
        <w:t>at ≥</w:t>
      </w:r>
      <w:r w:rsidR="00F559CC" w:rsidRPr="009934FA">
        <w:t xml:space="preserve"> </w:t>
      </w:r>
      <w:r w:rsidRPr="009934FA">
        <w:t>80 nmol/kg/day (relative exposure, 2.6)</w:t>
      </w:r>
      <w:proofErr w:type="gramEnd"/>
      <w:r w:rsidRPr="009934FA">
        <w:t>. At 125 nmol/kg/day (relative exposure, 5), significant reduc</w:t>
      </w:r>
      <w:r w:rsidR="00B45B9D">
        <w:t xml:space="preserve">tions in pup birth weight (by 8 to </w:t>
      </w:r>
      <w:r w:rsidRPr="009934FA">
        <w:t>10%) and pup s</w:t>
      </w:r>
      <w:r w:rsidR="00F559CC" w:rsidRPr="009934FA">
        <w:t>urvival to D</w:t>
      </w:r>
      <w:r w:rsidRPr="009934FA">
        <w:t>ay 4 were o</w:t>
      </w:r>
      <w:r w:rsidR="00F559CC" w:rsidRPr="009934FA">
        <w:t>bserved, as well as reduced pre</w:t>
      </w:r>
      <w:r w:rsidR="00F559CC" w:rsidRPr="009934FA">
        <w:noBreakHyphen/>
      </w:r>
      <w:r w:rsidRPr="009934FA">
        <w:t>weaning body weight gain and del</w:t>
      </w:r>
      <w:r w:rsidR="00B45B9D">
        <w:t>ayed sexual development (belano-</w:t>
      </w:r>
      <w:r w:rsidRPr="009934FA">
        <w:t>preputial separation) in male offspring and decreased co-ordination/motor skills (rotarod test) in females. No adverse effects on postnat</w:t>
      </w:r>
      <w:r w:rsidR="00F559CC" w:rsidRPr="009934FA">
        <w:t>al survival after D</w:t>
      </w:r>
      <w:r w:rsidRPr="009934FA">
        <w:t xml:space="preserve">ay 4 or on other developmental parameters, including mating performance and fertility, were seen. Supported by comparisons with NPH insulin treatment, </w:t>
      </w:r>
      <w:r w:rsidR="003F15D0">
        <w:t>the effects observed in the pre</w:t>
      </w:r>
      <w:r w:rsidRPr="009934FA">
        <w:t xml:space="preserve">/postnatal development study are presumed to be secondary to maternal hypoglycaemia rather than to reflect direct toxicity. Relative exposure at the </w:t>
      </w:r>
      <w:r w:rsidR="00B45B9D">
        <w:t>no observable adverse effects level</w:t>
      </w:r>
      <w:r w:rsidRPr="009934FA">
        <w:t xml:space="preserve"> </w:t>
      </w:r>
      <w:proofErr w:type="gramStart"/>
      <w:r w:rsidRPr="009934FA">
        <w:t>(20 nmol/kg/day)</w:t>
      </w:r>
      <w:proofErr w:type="gramEnd"/>
      <w:r w:rsidRPr="009934FA">
        <w:t xml:space="preserve"> is 0.7.</w:t>
      </w:r>
    </w:p>
    <w:p w14:paraId="318CC885" w14:textId="77777777" w:rsidR="00DD726C" w:rsidRPr="009934FA" w:rsidRDefault="00DD726C" w:rsidP="00F559CC">
      <w:pPr>
        <w:pStyle w:val="Heading5"/>
      </w:pPr>
      <w:r w:rsidRPr="009934FA">
        <w:t>Pregnancy classification</w:t>
      </w:r>
    </w:p>
    <w:p w14:paraId="5FB1E4AC" w14:textId="4555F43E" w:rsidR="00DD726C" w:rsidRPr="009934FA" w:rsidRDefault="00DD726C" w:rsidP="00DD726C">
      <w:r w:rsidRPr="009934FA">
        <w:t>The sponsor has proposed Pregnancy Category B3.</w:t>
      </w:r>
      <w:bookmarkStart w:id="64" w:name="_Ref510032362"/>
      <w:r w:rsidR="00F559CC" w:rsidRPr="009934FA">
        <w:rPr>
          <w:rStyle w:val="FootnoteReference"/>
        </w:rPr>
        <w:footnoteReference w:id="11"/>
      </w:r>
      <w:bookmarkEnd w:id="64"/>
      <w:r w:rsidRPr="009934FA">
        <w:t xml:space="preserve"> This is considered appropriate. It is consistent with findings of fetal damage with insulin degludec in animals (albeit probably occurring secondary to maternal hypoglycaemia), and matches the category used for other insulin analogues without robust clinical data to support safety for use in pregnancy.</w:t>
      </w:r>
    </w:p>
    <w:p w14:paraId="469E7F1D" w14:textId="7CE64225" w:rsidR="00DD726C" w:rsidRPr="009934FA" w:rsidRDefault="00DD726C" w:rsidP="00F559CC">
      <w:pPr>
        <w:pStyle w:val="Heading4"/>
      </w:pPr>
      <w:r w:rsidRPr="009934FA">
        <w:t>Local toleran</w:t>
      </w:r>
      <w:r w:rsidR="00F559CC" w:rsidRPr="009934FA">
        <w:t>ce</w:t>
      </w:r>
    </w:p>
    <w:p w14:paraId="497F5EAA" w14:textId="31604544" w:rsidR="00DD726C" w:rsidRPr="009934FA" w:rsidRDefault="00DD726C" w:rsidP="00DD726C">
      <w:r w:rsidRPr="009934FA">
        <w:t>Local tolerance following SC injection with the commercial formulation (100 and 200 U/mL strengths) was examined in minipigs. Injection site reactions were mild, and comparable to those with NPH insulin (100 U/mL), and comparable or only modestly more severe than with saline. Similar results were observed in an SC study with an early development formulation of insulin degludec in pigs, and good local tolerance was als</w:t>
      </w:r>
      <w:r w:rsidR="003F15D0">
        <w:t xml:space="preserve">o evident in the general repeat </w:t>
      </w:r>
      <w:r w:rsidRPr="009934FA">
        <w:t>dose toxicity studies (although these generally used lower strengths and/or different vehicles). The local tolerability of the commercial formulation (both strengths) was also investig</w:t>
      </w:r>
      <w:r w:rsidR="003F15D0">
        <w:t>ated in rabbits following intra-</w:t>
      </w:r>
      <w:r w:rsidRPr="009934FA">
        <w:t xml:space="preserve">arterial, intramuscular and </w:t>
      </w:r>
      <w:r w:rsidR="003F15D0">
        <w:t>IV</w:t>
      </w:r>
      <w:r w:rsidRPr="009934FA">
        <w:t xml:space="preserve"> injection, with reactions again comparable to those with NPH insulin, and largely attributable to the vehicle or injection procedure itself.</w:t>
      </w:r>
    </w:p>
    <w:p w14:paraId="0A42B4CD" w14:textId="77777777" w:rsidR="008F7180" w:rsidRPr="009934FA" w:rsidRDefault="008F7180" w:rsidP="00F559CC">
      <w:pPr>
        <w:pStyle w:val="Heading4"/>
      </w:pPr>
      <w:r w:rsidRPr="009934FA">
        <w:t>Paediatric use</w:t>
      </w:r>
    </w:p>
    <w:p w14:paraId="3C1ED066" w14:textId="7ECA4E2A" w:rsidR="008F7180" w:rsidRPr="009934FA" w:rsidRDefault="008F7180" w:rsidP="008F7180">
      <w:r w:rsidRPr="009934FA">
        <w:t>No specific juvenile animal studies were conducted. The absence of such studies is considered to be acceptable given the</w:t>
      </w:r>
      <w:r w:rsidR="00B70FCC">
        <w:t xml:space="preserve"> findings in the general repeat </w:t>
      </w:r>
      <w:r w:rsidRPr="009934FA">
        <w:t>dose toxicity program (where animals were around peripubertal age at the start of dosing) and considering existing data/experience for the class.</w:t>
      </w:r>
    </w:p>
    <w:p w14:paraId="35155030" w14:textId="77777777" w:rsidR="0025404D" w:rsidRDefault="008E7846" w:rsidP="008E7846">
      <w:pPr>
        <w:pStyle w:val="Heading3"/>
      </w:pPr>
      <w:bookmarkStart w:id="65" w:name="_Toc247691515"/>
      <w:bookmarkStart w:id="66" w:name="_Toc314842499"/>
      <w:bookmarkStart w:id="67" w:name="_Toc517697100"/>
      <w:r w:rsidRPr="009934FA">
        <w:lastRenderedPageBreak/>
        <w:t>Nonclinical summary</w:t>
      </w:r>
      <w:bookmarkEnd w:id="67"/>
      <w:bookmarkEnd w:id="65"/>
      <w:bookmarkEnd w:id="66"/>
    </w:p>
    <w:p w14:paraId="0F620B2D" w14:textId="11CB0897" w:rsidR="008F7180" w:rsidRPr="009934FA" w:rsidRDefault="008F7180" w:rsidP="00606A05">
      <w:pPr>
        <w:pStyle w:val="ListBullet"/>
      </w:pPr>
      <w:r w:rsidRPr="009934FA">
        <w:t>The submitted nonclinical studies were sufficiently comprehensive in scope. The studies were satisfactorily desig</w:t>
      </w:r>
      <w:r w:rsidR="00B70FCC">
        <w:t xml:space="preserve">ned, and all pivotal safety </w:t>
      </w:r>
      <w:r w:rsidRPr="009934FA">
        <w:t xml:space="preserve">related studies were </w:t>
      </w:r>
      <w:r w:rsidR="00B70FCC">
        <w:t>Good Laboratory Practice</w:t>
      </w:r>
      <w:r w:rsidRPr="009934FA">
        <w:t xml:space="preserve"> compliant.</w:t>
      </w:r>
    </w:p>
    <w:p w14:paraId="3F536D9A" w14:textId="4CCB7396" w:rsidR="008F7180" w:rsidRPr="009934FA" w:rsidRDefault="008F7180" w:rsidP="00606A05">
      <w:pPr>
        <w:pStyle w:val="ListBullet"/>
      </w:pPr>
      <w:r w:rsidRPr="009934FA">
        <w:t>In vitro studies showed insulin degludec binds to the human insul</w:t>
      </w:r>
      <w:r w:rsidR="00F559CC" w:rsidRPr="009934FA">
        <w:t xml:space="preserve">in receptor with lower affinity compared with </w:t>
      </w:r>
      <w:r w:rsidRPr="009934FA">
        <w:t>human insulin, influenced by the presence of albumin. There was no significant difference in the association and dissociation rates for binding to the receptor between insulin degludec and human insulin. Full agonism of the insulin receptor was shown in various cell-based functional assays. In vivo, insulin degludec lowered blood glucose in pigs with a long, flat pharmacodynamic/pharmacokinetic profile.</w:t>
      </w:r>
    </w:p>
    <w:p w14:paraId="7EA085E2" w14:textId="1DB9E9EE" w:rsidR="008F7180" w:rsidRPr="009934FA" w:rsidRDefault="008F7180" w:rsidP="00606A05">
      <w:pPr>
        <w:pStyle w:val="ListBullet"/>
      </w:pPr>
      <w:r w:rsidRPr="009934FA">
        <w:t>Insulin degludec has greater selectivity for the insulin receptor over the IGF</w:t>
      </w:r>
      <w:r w:rsidRPr="009934FA">
        <w:noBreakHyphen/>
        <w:t xml:space="preserve">1 receptor </w:t>
      </w:r>
      <w:r w:rsidR="00F559CC" w:rsidRPr="009934FA">
        <w:t>compared with</w:t>
      </w:r>
      <w:r w:rsidR="00F559CC" w:rsidRPr="009934FA">
        <w:rPr>
          <w:i/>
        </w:rPr>
        <w:t xml:space="preserve"> </w:t>
      </w:r>
      <w:r w:rsidRPr="009934FA">
        <w:t>human insulin, and functional assays demonstrated comparable or lower relative proliferative:</w:t>
      </w:r>
      <w:r w:rsidR="00F559CC" w:rsidRPr="009934FA">
        <w:t xml:space="preserve"> </w:t>
      </w:r>
      <w:r w:rsidRPr="009934FA">
        <w:t>metabolic potency. No other significant secondary pharmacodynamic activities were found. Notable findings in safety pharmacology studies</w:t>
      </w:r>
      <w:r w:rsidR="00F559CC" w:rsidRPr="009934FA">
        <w:t xml:space="preserve">, </w:t>
      </w:r>
      <w:r w:rsidRPr="009934FA">
        <w:t xml:space="preserve">covering the </w:t>
      </w:r>
      <w:r w:rsidR="00EF7E04">
        <w:t>central nervous system</w:t>
      </w:r>
      <w:r w:rsidRPr="009934FA">
        <w:t>, cardiovascular and respiratory systems</w:t>
      </w:r>
      <w:r w:rsidR="00F559CC" w:rsidRPr="009934FA">
        <w:t xml:space="preserve"> </w:t>
      </w:r>
      <w:r w:rsidRPr="009934FA">
        <w:t>were limited to signs of passivity and slower, deeper respiration in rats, which can be attributed to hypoglycaemia.</w:t>
      </w:r>
    </w:p>
    <w:p w14:paraId="6F3D203E" w14:textId="66796119" w:rsidR="008F7180" w:rsidRPr="009934FA" w:rsidRDefault="008F7180" w:rsidP="00606A05">
      <w:pPr>
        <w:pStyle w:val="ListBullet"/>
      </w:pPr>
      <w:r w:rsidRPr="009934FA">
        <w:t>Prolonged absorption after SC administration was demonstrated in rats and dogs, as in humans. C</w:t>
      </w:r>
      <w:r w:rsidRPr="009934FA">
        <w:rPr>
          <w:vertAlign w:val="subscript"/>
        </w:rPr>
        <w:t>max</w:t>
      </w:r>
      <w:r w:rsidRPr="009934FA">
        <w:t xml:space="preserve"> and AUC were dose proportional. Repeat daily SC administration in laboratory animal species was not seen to result in drug accumulation. Anti-drug antibodies developed at a low incidence in rats (and did not appear to affect pharmacokinetics) and were not detected in dogs. Plasma protein binding was similar and high across all species. Limited extravascular distribution was evident in rats. In vitro experiments in human and animal hepatocytes indicated a similar pattern of metabolism </w:t>
      </w:r>
      <w:r w:rsidR="00F559CC" w:rsidRPr="009934FA">
        <w:t>compared with</w:t>
      </w:r>
      <w:r w:rsidRPr="009934FA">
        <w:t xml:space="preserve"> human insulin. Excretion of insulin degludec and/or its metabolites was predominantly via the urine in rats.</w:t>
      </w:r>
    </w:p>
    <w:p w14:paraId="170ACF28" w14:textId="77777777" w:rsidR="008F7180" w:rsidRPr="009934FA" w:rsidRDefault="008F7180" w:rsidP="00606A05">
      <w:pPr>
        <w:pStyle w:val="ListBullet"/>
      </w:pPr>
      <w:r w:rsidRPr="009934FA">
        <w:t xml:space="preserve">Insulin degludec produced no mortality or other overt toxicity in rats following a single SC dose </w:t>
      </w:r>
      <w:proofErr w:type="gramStart"/>
      <w:r w:rsidRPr="009934FA">
        <w:t>up to 24000 nmol/kg</w:t>
      </w:r>
      <w:proofErr w:type="gramEnd"/>
      <w:r w:rsidRPr="009934FA">
        <w:t xml:space="preserve"> or in dogs at 1.5 nmol/kg IV.</w:t>
      </w:r>
    </w:p>
    <w:p w14:paraId="14B9E2E9" w14:textId="739AAC1B" w:rsidR="008F7180" w:rsidRPr="009934FA" w:rsidRDefault="008F7180" w:rsidP="00606A05">
      <w:pPr>
        <w:pStyle w:val="ListBullet"/>
      </w:pPr>
      <w:r w:rsidRPr="009934FA">
        <w:t>Pivotal repeat-dose toxicity studies were conducted in rats (26 and 52 weeks) and dogs (26 weeks) using the SC route.</w:t>
      </w:r>
      <w:r w:rsidR="00F559CC" w:rsidRPr="009934FA">
        <w:t xml:space="preserve"> Hypoglycaemia </w:t>
      </w:r>
      <w:r w:rsidRPr="009934FA">
        <w:t>related deaths and clinical signs were observed in ani</w:t>
      </w:r>
      <w:r w:rsidR="00FB5BA1">
        <w:t xml:space="preserve">mals in the repeat </w:t>
      </w:r>
      <w:r w:rsidRPr="009934FA">
        <w:t>dose toxicity studies, limiting doses. NPH insulin produced similar effects. Only the liver (decreased glycogen accumulation) and SC injection sites (mild inflammation and haemorrhage) showed treatment-related histopathological changes.</w:t>
      </w:r>
    </w:p>
    <w:p w14:paraId="3A42D305" w14:textId="15BAB848" w:rsidR="008F7180" w:rsidRPr="009934FA" w:rsidRDefault="00F559CC" w:rsidP="00606A05">
      <w:pPr>
        <w:pStyle w:val="ListBullet"/>
      </w:pPr>
      <w:r w:rsidRPr="009934FA">
        <w:t xml:space="preserve">Genotoxicity and standard 2 </w:t>
      </w:r>
      <w:r w:rsidR="008F7180" w:rsidRPr="009934FA">
        <w:t>year rodent carcinogenicity studies were not conducted and are not required for this class. No proliferative ch</w:t>
      </w:r>
      <w:r w:rsidRPr="009934FA">
        <w:t xml:space="preserve">anges were observed in the long term general repeat </w:t>
      </w:r>
      <w:r w:rsidR="008F7180" w:rsidRPr="009934FA">
        <w:t>dose toxicity studies conducted in rats and dogs. A sensitive measure of cell proliferation (</w:t>
      </w:r>
      <w:r w:rsidR="00EF7E04">
        <w:t>bromodeoxyuridine</w:t>
      </w:r>
      <w:r w:rsidR="008F7180" w:rsidRPr="009934FA">
        <w:t xml:space="preserve"> labelling of the female mammary gland) incorporated in the 52</w:t>
      </w:r>
      <w:r w:rsidR="008F7180" w:rsidRPr="009934FA">
        <w:noBreakHyphen/>
        <w:t>week rat study was also not increased by treatment with insulin degludec. In vitro experiments further indicated a favourable mitogenic profile.</w:t>
      </w:r>
    </w:p>
    <w:p w14:paraId="30A64082" w14:textId="77777777" w:rsidR="008F7180" w:rsidRPr="009934FA" w:rsidRDefault="008F7180" w:rsidP="00606A05">
      <w:pPr>
        <w:pStyle w:val="ListBullet"/>
      </w:pPr>
      <w:r w:rsidRPr="009934FA">
        <w:t>Reproductive toxicity studies showed no effect on male and female fertility, an increase in fetal skeletal abnormalities, decreased live birth index and perinatal survival and some delayed postnatal development in rats. NPH insulin produced similar effects.</w:t>
      </w:r>
    </w:p>
    <w:p w14:paraId="75057EF5" w14:textId="77777777" w:rsidR="008F7180" w:rsidRPr="009934FA" w:rsidRDefault="008F7180" w:rsidP="00606A05">
      <w:pPr>
        <w:pStyle w:val="ListBullet"/>
      </w:pPr>
      <w:r w:rsidRPr="009934FA">
        <w:t>SC administration of the commercial formulation (100 and 200 U/mL strengths) was shown to be well tolerated locally in minipigs.</w:t>
      </w:r>
    </w:p>
    <w:p w14:paraId="3794A5A6" w14:textId="00501479" w:rsidR="008F7180" w:rsidRPr="009934FA" w:rsidRDefault="009B1693" w:rsidP="00606A05">
      <w:pPr>
        <w:pStyle w:val="Heading3"/>
      </w:pPr>
      <w:bookmarkStart w:id="68" w:name="_Toc517697101"/>
      <w:r>
        <w:lastRenderedPageBreak/>
        <w:t>Nonclinical c</w:t>
      </w:r>
      <w:r w:rsidR="008F7180" w:rsidRPr="009934FA">
        <w:t>onclusions and recommendation</w:t>
      </w:r>
      <w:bookmarkEnd w:id="68"/>
    </w:p>
    <w:p w14:paraId="59ED4915" w14:textId="40DEFA24" w:rsidR="008F7180" w:rsidRPr="009934FA" w:rsidRDefault="00F559CC" w:rsidP="00A643B0">
      <w:pPr>
        <w:pStyle w:val="ListBullet"/>
      </w:pPr>
      <w:r w:rsidRPr="009934FA">
        <w:t>The nonclinical data</w:t>
      </w:r>
      <w:r w:rsidR="008F7180" w:rsidRPr="009934FA">
        <w:t xml:space="preserve"> contained no major deficiencies.</w:t>
      </w:r>
    </w:p>
    <w:p w14:paraId="7F198271" w14:textId="77777777" w:rsidR="008F7180" w:rsidRPr="009934FA" w:rsidRDefault="008F7180" w:rsidP="00A643B0">
      <w:pPr>
        <w:pStyle w:val="ListBullet"/>
      </w:pPr>
      <w:r w:rsidRPr="009934FA">
        <w:t>In vitro and in vivo primary pharmacology studies support the proposed use in diabetes mellitus.</w:t>
      </w:r>
    </w:p>
    <w:p w14:paraId="10AE24C3" w14:textId="452EFDF6" w:rsidR="008F7180" w:rsidRPr="009934FA" w:rsidRDefault="008F7180" w:rsidP="00A643B0">
      <w:pPr>
        <w:pStyle w:val="ListBullet"/>
      </w:pPr>
      <w:r w:rsidRPr="009934FA">
        <w:t>Safety studies established a toxicological profile similar to other members of the class, comprising effects consistent with hypoglycaemia/exaggerated pharmacology and mild injection site reactions.</w:t>
      </w:r>
    </w:p>
    <w:p w14:paraId="03C4FC20" w14:textId="211E147B" w:rsidR="008F7180" w:rsidRPr="009934FA" w:rsidRDefault="008F7180" w:rsidP="00A643B0">
      <w:pPr>
        <w:pStyle w:val="ListBullet"/>
      </w:pPr>
      <w:r w:rsidRPr="009934FA">
        <w:t>Insulin degludec is not considered to pose a genotoxic or particular carcinogenic hazard. While adverse</w:t>
      </w:r>
      <w:r w:rsidR="00EF7E04">
        <w:t xml:space="preserve"> effects on embryofetal and pre</w:t>
      </w:r>
      <w:r w:rsidRPr="009934FA">
        <w:t>/postnatal development were observed, these are considered most likely to be secondary to maternal hypoglycaemia rather than to reflect direct toxicity.</w:t>
      </w:r>
    </w:p>
    <w:p w14:paraId="3708FC57" w14:textId="1B2E249A" w:rsidR="008F7180" w:rsidRPr="009934FA" w:rsidRDefault="008F7180" w:rsidP="00A643B0">
      <w:pPr>
        <w:pStyle w:val="ListBullet"/>
      </w:pPr>
      <w:r w:rsidRPr="009934FA">
        <w:t>T</w:t>
      </w:r>
      <w:r w:rsidR="00A643B0" w:rsidRPr="009934FA">
        <w:t>he proposed Pregnancy Category B3</w:t>
      </w:r>
      <w:r w:rsidRPr="009934FA">
        <w:t xml:space="preserve"> is considered appropriate.</w:t>
      </w:r>
      <w:r w:rsidR="00EF7E04" w:rsidRPr="00EF7E04">
        <w:rPr>
          <w:vertAlign w:val="superscript"/>
        </w:rPr>
        <w:fldChar w:fldCharType="begin"/>
      </w:r>
      <w:r w:rsidR="00EF7E04" w:rsidRPr="00EF7E04">
        <w:rPr>
          <w:vertAlign w:val="superscript"/>
        </w:rPr>
        <w:instrText xml:space="preserve"> NOTEREF _Ref510032362 \h </w:instrText>
      </w:r>
      <w:r w:rsidR="00EF7E04">
        <w:rPr>
          <w:vertAlign w:val="superscript"/>
        </w:rPr>
        <w:instrText xml:space="preserve"> \* MERGEFORMAT </w:instrText>
      </w:r>
      <w:r w:rsidR="00EF7E04" w:rsidRPr="00EF7E04">
        <w:rPr>
          <w:vertAlign w:val="superscript"/>
        </w:rPr>
      </w:r>
      <w:r w:rsidR="00EF7E04" w:rsidRPr="00EF7E04">
        <w:rPr>
          <w:vertAlign w:val="superscript"/>
        </w:rPr>
        <w:fldChar w:fldCharType="separate"/>
      </w:r>
      <w:r w:rsidR="002B3E71">
        <w:rPr>
          <w:vertAlign w:val="superscript"/>
        </w:rPr>
        <w:t>11</w:t>
      </w:r>
      <w:r w:rsidR="00EF7E04" w:rsidRPr="00EF7E04">
        <w:rPr>
          <w:vertAlign w:val="superscript"/>
        </w:rPr>
        <w:fldChar w:fldCharType="end"/>
      </w:r>
    </w:p>
    <w:p w14:paraId="6EC56F98" w14:textId="43DFC7B5" w:rsidR="008F7180" w:rsidRPr="009934FA" w:rsidRDefault="008F7180" w:rsidP="00A643B0">
      <w:pPr>
        <w:pStyle w:val="ListBullet"/>
      </w:pPr>
      <w:r w:rsidRPr="009934FA">
        <w:t>There are no nonclinical objections to the registration of Tresiba</w:t>
      </w:r>
      <w:r w:rsidR="00A643B0" w:rsidRPr="009934FA">
        <w:rPr>
          <w:b/>
        </w:rPr>
        <w:t>.</w:t>
      </w:r>
    </w:p>
    <w:p w14:paraId="1757F526" w14:textId="77777777" w:rsidR="008E7846" w:rsidRPr="009934FA" w:rsidRDefault="008E7846" w:rsidP="008E7846">
      <w:pPr>
        <w:pStyle w:val="Heading2"/>
      </w:pPr>
      <w:bookmarkStart w:id="69" w:name="_Toc196046462"/>
      <w:bookmarkStart w:id="70" w:name="_Toc247691516"/>
      <w:bookmarkStart w:id="71" w:name="_Toc314842500"/>
      <w:bookmarkStart w:id="72" w:name="_Toc163441353"/>
      <w:bookmarkStart w:id="73" w:name="_Toc163441348"/>
      <w:bookmarkStart w:id="74" w:name="_Toc517697102"/>
      <w:r w:rsidRPr="009934FA">
        <w:t>IV. Clinical</w:t>
      </w:r>
      <w:bookmarkEnd w:id="69"/>
      <w:r w:rsidRPr="009934FA">
        <w:t xml:space="preserve"> </w:t>
      </w:r>
      <w:r w:rsidR="003A7F6C" w:rsidRPr="009934FA">
        <w:t>f</w:t>
      </w:r>
      <w:r w:rsidRPr="009934FA">
        <w:t>indings</w:t>
      </w:r>
      <w:bookmarkEnd w:id="70"/>
      <w:bookmarkEnd w:id="71"/>
      <w:bookmarkEnd w:id="74"/>
    </w:p>
    <w:p w14:paraId="24646AB4" w14:textId="77777777" w:rsidR="00C80137" w:rsidRPr="009934FA" w:rsidRDefault="00C80137" w:rsidP="00D425BB">
      <w:bookmarkStart w:id="75" w:name="_Toc196046463"/>
      <w:r w:rsidRPr="009934FA">
        <w:t>A summary of the clinical findings is presented in this section. Further details of these clinical findings can be found in Attachment 2.</w:t>
      </w:r>
    </w:p>
    <w:p w14:paraId="2A1E6AF5" w14:textId="77777777" w:rsidR="008E7846" w:rsidRPr="009934FA" w:rsidRDefault="008E7846" w:rsidP="008E7846">
      <w:pPr>
        <w:pStyle w:val="Heading3"/>
      </w:pPr>
      <w:bookmarkStart w:id="76" w:name="_Toc247691517"/>
      <w:bookmarkStart w:id="77" w:name="_Toc314842501"/>
      <w:bookmarkStart w:id="78" w:name="_Toc517697103"/>
      <w:r w:rsidRPr="009934FA">
        <w:t>Introduction</w:t>
      </w:r>
      <w:bookmarkEnd w:id="75"/>
      <w:bookmarkEnd w:id="76"/>
      <w:bookmarkEnd w:id="77"/>
      <w:bookmarkEnd w:id="78"/>
    </w:p>
    <w:p w14:paraId="6BF9F6F8" w14:textId="77777777" w:rsidR="00605AD4" w:rsidRPr="009934FA" w:rsidRDefault="00605AD4" w:rsidP="00605AD4">
      <w:pPr>
        <w:pStyle w:val="Heading4"/>
      </w:pPr>
      <w:bookmarkStart w:id="79" w:name="_Toc196046464"/>
      <w:bookmarkStart w:id="80" w:name="_Toc247691518"/>
      <w:bookmarkStart w:id="81" w:name="_Toc314842502"/>
      <w:r w:rsidRPr="009934FA">
        <w:t xml:space="preserve">Clinical </w:t>
      </w:r>
      <w:r w:rsidR="00EF59DC" w:rsidRPr="009934FA">
        <w:t>r</w:t>
      </w:r>
      <w:r w:rsidRPr="009934FA">
        <w:t>ationale</w:t>
      </w:r>
    </w:p>
    <w:p w14:paraId="37B4D8F4" w14:textId="6BD1AFA8" w:rsidR="00A04278" w:rsidRPr="009934FA" w:rsidRDefault="00D96C79" w:rsidP="00A04278">
      <w:r w:rsidRPr="009934FA">
        <w:t>The sponsor’s clinical rationale for the use of insulin degludec, (as stated in the cover letter dated 20 September 2016) is that there is: ‘</w:t>
      </w:r>
      <w:r w:rsidRPr="009934FA">
        <w:rPr>
          <w:i/>
        </w:rPr>
        <w:t>a need for an ultra long acting basal insulin, with a more consistent and predictable absorption profile to reduce the risk of hypoglycaemia and allow greater flexibility in the timing of the injection. Furthermore, a product with a higher insulin concentration will ensure the basal insulin needs of all insulin treated diabetic patients can be met with a single daily dose</w:t>
      </w:r>
      <w:r w:rsidRPr="009934FA">
        <w:t>’.</w:t>
      </w:r>
    </w:p>
    <w:p w14:paraId="6F846A3F" w14:textId="77777777" w:rsidR="00605AD4" w:rsidRPr="009934FA" w:rsidRDefault="00605AD4" w:rsidP="00605AD4">
      <w:pPr>
        <w:pStyle w:val="Heading4"/>
      </w:pPr>
      <w:r w:rsidRPr="009934FA">
        <w:t>Guidance</w:t>
      </w:r>
    </w:p>
    <w:p w14:paraId="363B2FDE" w14:textId="77777777" w:rsidR="00D96C79" w:rsidRPr="009934FA" w:rsidRDefault="00D96C79" w:rsidP="00D96C79">
      <w:pPr>
        <w:rPr>
          <w:lang w:eastAsia="ja-JP"/>
        </w:rPr>
      </w:pPr>
      <w:r w:rsidRPr="009934FA">
        <w:rPr>
          <w:lang w:eastAsia="ja-JP"/>
        </w:rPr>
        <w:t>Relevant TGA adopted EMA guidelines are the following:</w:t>
      </w:r>
    </w:p>
    <w:p w14:paraId="17A82AD2" w14:textId="146EB00C" w:rsidR="00D96C79" w:rsidRPr="009934FA" w:rsidRDefault="00D96C79" w:rsidP="00D96C79">
      <w:pPr>
        <w:pStyle w:val="ListBullet"/>
        <w:numPr>
          <w:ilvl w:val="0"/>
          <w:numId w:val="3"/>
        </w:numPr>
        <w:rPr>
          <w:lang w:eastAsia="ja-JP"/>
        </w:rPr>
      </w:pPr>
      <w:r w:rsidRPr="009934FA">
        <w:rPr>
          <w:lang w:eastAsia="ja-JP"/>
        </w:rPr>
        <w:t>Guideline on clinical investigation of medicinal products in the treatment or prevention of diabetes mellitus (14 May 2012</w:t>
      </w:r>
      <w:r w:rsidR="009F44A4">
        <w:rPr>
          <w:lang w:eastAsia="ja-JP"/>
        </w:rPr>
        <w:t>;</w:t>
      </w:r>
      <w:r w:rsidRPr="009934FA">
        <w:rPr>
          <w:lang w:eastAsia="ja-JP"/>
        </w:rPr>
        <w:t xml:space="preserve"> CPMP/EWP/1080/00 Rev. 1)</w:t>
      </w:r>
      <w:r w:rsidR="00DE0299" w:rsidRPr="009934FA">
        <w:rPr>
          <w:lang w:eastAsia="ja-JP"/>
        </w:rPr>
        <w:t>.</w:t>
      </w:r>
    </w:p>
    <w:p w14:paraId="44794593" w14:textId="4A6D4C2B" w:rsidR="00D96C79" w:rsidRPr="009934FA" w:rsidRDefault="00D96C79" w:rsidP="00D96C79">
      <w:pPr>
        <w:pStyle w:val="ListBullet"/>
        <w:numPr>
          <w:ilvl w:val="0"/>
          <w:numId w:val="3"/>
        </w:numPr>
        <w:rPr>
          <w:lang w:eastAsia="ja-JP"/>
        </w:rPr>
      </w:pPr>
      <w:r w:rsidRPr="009934FA">
        <w:rPr>
          <w:lang w:eastAsia="ja-JP"/>
        </w:rPr>
        <w:t>Reflection paper on assessment of cardiovascular safety profile of medicinal products (25 February 2016; EMA/CHMP/50549/2015).</w:t>
      </w:r>
    </w:p>
    <w:p w14:paraId="45ECF14A" w14:textId="77777777" w:rsidR="00605AD4" w:rsidRPr="009934FA" w:rsidRDefault="00605AD4" w:rsidP="00605AD4">
      <w:pPr>
        <w:pStyle w:val="Heading4"/>
      </w:pPr>
      <w:r w:rsidRPr="009934FA">
        <w:t>Contents of the clinical dossier</w:t>
      </w:r>
    </w:p>
    <w:p w14:paraId="15C3AF2A" w14:textId="7474303B" w:rsidR="00606AD4" w:rsidRPr="009934FA" w:rsidRDefault="00606AD4" w:rsidP="00606AD4">
      <w:pPr>
        <w:rPr>
          <w:lang w:eastAsia="en-AU"/>
        </w:rPr>
      </w:pPr>
      <w:r w:rsidRPr="009934FA">
        <w:rPr>
          <w:lang w:eastAsia="en-AU"/>
        </w:rPr>
        <w:t xml:space="preserve">In a pre-submission meeting on the 20 June 2016, it was agreed that </w:t>
      </w:r>
      <w:r w:rsidR="00781147" w:rsidRPr="009934FA">
        <w:rPr>
          <w:lang w:eastAsia="en-AU"/>
        </w:rPr>
        <w:t xml:space="preserve">the </w:t>
      </w:r>
      <w:r w:rsidR="00977BFA" w:rsidRPr="009934FA">
        <w:rPr>
          <w:lang w:eastAsia="en-AU"/>
        </w:rPr>
        <w:t xml:space="preserve">clinical </w:t>
      </w:r>
      <w:r w:rsidRPr="009934FA">
        <w:rPr>
          <w:lang w:eastAsia="en-AU"/>
        </w:rPr>
        <w:t xml:space="preserve">dossier for resubmission would not include the original clinical studies that had been previously evaluated in the </w:t>
      </w:r>
      <w:r w:rsidR="00977BFA" w:rsidRPr="009934FA">
        <w:rPr>
          <w:lang w:eastAsia="en-AU"/>
        </w:rPr>
        <w:t>original withdrawn</w:t>
      </w:r>
      <w:r w:rsidRPr="009934FA">
        <w:rPr>
          <w:lang w:eastAsia="en-AU"/>
        </w:rPr>
        <w:t xml:space="preserve"> submission. The dossier would be limited to data from </w:t>
      </w:r>
      <w:r w:rsidR="009F44A4" w:rsidRPr="009F44A4">
        <w:rPr>
          <w:lang w:eastAsia="en-AU"/>
        </w:rPr>
        <w:t xml:space="preserve">Study </w:t>
      </w:r>
      <w:r w:rsidR="009F44A4">
        <w:rPr>
          <w:lang w:eastAsia="en-AU"/>
        </w:rPr>
        <w:t xml:space="preserve">EX 1250-4080 (also known as the DEVOTE trial, </w:t>
      </w:r>
      <w:r w:rsidR="006E1251">
        <w:rPr>
          <w:lang w:eastAsia="en-AU"/>
        </w:rPr>
        <w:t xml:space="preserve">focused </w:t>
      </w:r>
      <w:r w:rsidR="009F44A4">
        <w:rPr>
          <w:lang w:eastAsia="en-AU"/>
        </w:rPr>
        <w:t xml:space="preserve">on CV outcomes), </w:t>
      </w:r>
      <w:r w:rsidRPr="009934FA">
        <w:rPr>
          <w:lang w:eastAsia="en-AU"/>
        </w:rPr>
        <w:t>synopses of new studies completed since the original submission, and other material to address outstanding issues from the previous submission.</w:t>
      </w:r>
    </w:p>
    <w:p w14:paraId="4C885157" w14:textId="77777777" w:rsidR="00E712DE" w:rsidRPr="009934FA" w:rsidRDefault="00E712DE" w:rsidP="00E712DE">
      <w:pPr>
        <w:pStyle w:val="Heading5"/>
        <w:rPr>
          <w:lang w:eastAsia="en-AU"/>
        </w:rPr>
      </w:pPr>
      <w:r w:rsidRPr="009934FA">
        <w:rPr>
          <w:lang w:eastAsia="en-AU"/>
        </w:rPr>
        <w:lastRenderedPageBreak/>
        <w:t>New studies</w:t>
      </w:r>
    </w:p>
    <w:p w14:paraId="7314EDB7" w14:textId="18DAACC2" w:rsidR="00E712DE" w:rsidRPr="009934FA" w:rsidRDefault="00E712DE" w:rsidP="00E712DE">
      <w:pPr>
        <w:rPr>
          <w:lang w:eastAsia="en-AU"/>
        </w:rPr>
      </w:pPr>
      <w:r w:rsidRPr="009934FA">
        <w:rPr>
          <w:lang w:eastAsia="en-AU"/>
        </w:rPr>
        <w:t xml:space="preserve">34 new studies were submitted as synopses (compared with the original </w:t>
      </w:r>
      <w:r w:rsidR="00CD6531">
        <w:rPr>
          <w:lang w:eastAsia="en-AU"/>
        </w:rPr>
        <w:t xml:space="preserve">withdrawn </w:t>
      </w:r>
      <w:r w:rsidRPr="009934FA">
        <w:rPr>
          <w:lang w:eastAsia="en-AU"/>
        </w:rPr>
        <w:t>submission).</w:t>
      </w:r>
      <w:r w:rsidR="00246B6D" w:rsidRPr="009934FA">
        <w:rPr>
          <w:lang w:eastAsia="en-AU"/>
        </w:rPr>
        <w:t xml:space="preserve"> </w:t>
      </w:r>
      <w:r w:rsidRPr="009934FA">
        <w:rPr>
          <w:lang w:eastAsia="en-AU"/>
        </w:rPr>
        <w:t>These include 19 IDeg specific trials as follows:</w:t>
      </w:r>
    </w:p>
    <w:p w14:paraId="04F07D85" w14:textId="77777777" w:rsidR="00E712DE" w:rsidRPr="009934FA" w:rsidRDefault="00E712DE" w:rsidP="00E712DE">
      <w:pPr>
        <w:numPr>
          <w:ilvl w:val="0"/>
          <w:numId w:val="3"/>
        </w:numPr>
        <w:rPr>
          <w:lang w:eastAsia="en-AU"/>
        </w:rPr>
      </w:pPr>
      <w:r w:rsidRPr="009934FA">
        <w:rPr>
          <w:lang w:eastAsia="en-AU"/>
        </w:rPr>
        <w:t>12 Phase III trials (5 extension trials, 6 new Phase III trials and 1 paediatric trial)</w:t>
      </w:r>
    </w:p>
    <w:p w14:paraId="190C0A7F" w14:textId="71D487D6" w:rsidR="00E712DE" w:rsidRPr="009934FA" w:rsidRDefault="00246B6D" w:rsidP="00E712DE">
      <w:pPr>
        <w:numPr>
          <w:ilvl w:val="0"/>
          <w:numId w:val="3"/>
        </w:numPr>
        <w:rPr>
          <w:lang w:eastAsia="en-AU"/>
        </w:rPr>
      </w:pPr>
      <w:r w:rsidRPr="009934FA">
        <w:rPr>
          <w:lang w:eastAsia="en-AU"/>
        </w:rPr>
        <w:t>5 clinical pharmacology trials</w:t>
      </w:r>
    </w:p>
    <w:p w14:paraId="7DFB5FEF" w14:textId="5BCF0D25" w:rsidR="00E712DE" w:rsidRPr="009934FA" w:rsidRDefault="00E712DE" w:rsidP="00E712DE">
      <w:pPr>
        <w:numPr>
          <w:ilvl w:val="0"/>
          <w:numId w:val="3"/>
        </w:numPr>
        <w:rPr>
          <w:lang w:eastAsia="en-AU"/>
        </w:rPr>
      </w:pPr>
      <w:r w:rsidRPr="009934FA">
        <w:rPr>
          <w:lang w:eastAsia="en-AU"/>
        </w:rPr>
        <w:t xml:space="preserve">2 ‘other therapeutic’ trials: </w:t>
      </w:r>
      <w:r w:rsidR="00CD6531">
        <w:rPr>
          <w:lang w:eastAsia="en-AU"/>
        </w:rPr>
        <w:t>Study</w:t>
      </w:r>
      <w:r w:rsidRPr="009934FA">
        <w:rPr>
          <w:lang w:eastAsia="en-AU"/>
        </w:rPr>
        <w:t xml:space="preserve"> NN1250-3874 was defined as a Phase IIIb trial but has a Phase I like design and </w:t>
      </w:r>
      <w:r w:rsidR="00CD6531">
        <w:rPr>
          <w:lang w:eastAsia="en-AU"/>
        </w:rPr>
        <w:t>Study</w:t>
      </w:r>
      <w:r w:rsidRPr="009934FA">
        <w:rPr>
          <w:lang w:eastAsia="en-AU"/>
        </w:rPr>
        <w:t xml:space="preserve"> NN1250-3943 is of short duration.</w:t>
      </w:r>
    </w:p>
    <w:p w14:paraId="2F9C3DB3" w14:textId="59BFD2E9" w:rsidR="00E712DE" w:rsidRPr="009934FA" w:rsidRDefault="00A51C17" w:rsidP="00E712DE">
      <w:pPr>
        <w:rPr>
          <w:lang w:eastAsia="en-AU"/>
        </w:rPr>
      </w:pPr>
      <w:r w:rsidRPr="009934FA">
        <w:rPr>
          <w:lang w:eastAsia="en-AU"/>
        </w:rPr>
        <w:t xml:space="preserve">Additional information was submitted in December 2016; this was the interim data from the cardiovascular outcomes DEVOTE trial (also </w:t>
      </w:r>
      <w:r>
        <w:rPr>
          <w:lang w:eastAsia="en-AU"/>
        </w:rPr>
        <w:t>known</w:t>
      </w:r>
      <w:r w:rsidRPr="009934FA">
        <w:rPr>
          <w:lang w:eastAsia="en-AU"/>
        </w:rPr>
        <w:t xml:space="preserve"> as Study EX1250-4080).</w:t>
      </w:r>
    </w:p>
    <w:p w14:paraId="17F7C8D5" w14:textId="77777777" w:rsidR="00E712DE" w:rsidRPr="009934FA" w:rsidRDefault="00E712DE" w:rsidP="00E712DE">
      <w:pPr>
        <w:pStyle w:val="Heading5"/>
        <w:rPr>
          <w:lang w:eastAsia="en-AU"/>
        </w:rPr>
      </w:pPr>
      <w:r w:rsidRPr="009934FA">
        <w:rPr>
          <w:lang w:eastAsia="en-AU"/>
        </w:rPr>
        <w:t>Other documents</w:t>
      </w:r>
    </w:p>
    <w:p w14:paraId="17E04DD3" w14:textId="77777777" w:rsidR="00E712DE" w:rsidRPr="009934FA" w:rsidRDefault="00E712DE" w:rsidP="00E712DE">
      <w:pPr>
        <w:rPr>
          <w:lang w:eastAsia="en-AU"/>
        </w:rPr>
      </w:pPr>
      <w:r w:rsidRPr="009934FA">
        <w:rPr>
          <w:lang w:eastAsia="en-AU"/>
        </w:rPr>
        <w:t>Other key documents included:</w:t>
      </w:r>
    </w:p>
    <w:p w14:paraId="13166535" w14:textId="6C56C507" w:rsidR="00E712DE" w:rsidRPr="009934FA" w:rsidRDefault="00E712DE" w:rsidP="00E712DE">
      <w:pPr>
        <w:numPr>
          <w:ilvl w:val="0"/>
          <w:numId w:val="3"/>
        </w:numPr>
        <w:rPr>
          <w:lang w:eastAsia="en-AU"/>
        </w:rPr>
      </w:pPr>
      <w:r w:rsidRPr="009934FA">
        <w:rPr>
          <w:lang w:eastAsia="en-AU"/>
        </w:rPr>
        <w:t>Periodic Safety Update Report</w:t>
      </w:r>
      <w:r w:rsidR="00246B6D" w:rsidRPr="009934FA">
        <w:rPr>
          <w:lang w:eastAsia="en-AU"/>
        </w:rPr>
        <w:t xml:space="preserve"> (PSUR)/Periodic Benefit-</w:t>
      </w:r>
      <w:r w:rsidRPr="009934FA">
        <w:rPr>
          <w:lang w:eastAsia="en-AU"/>
        </w:rPr>
        <w:t>Risk Evaluation Report</w:t>
      </w:r>
      <w:r w:rsidR="00246B6D" w:rsidRPr="009934FA">
        <w:rPr>
          <w:lang w:eastAsia="en-AU"/>
        </w:rPr>
        <w:t xml:space="preserve"> (PBRER)</w:t>
      </w:r>
      <w:r w:rsidRPr="009934FA">
        <w:rPr>
          <w:lang w:eastAsia="en-AU"/>
        </w:rPr>
        <w:t xml:space="preserve"> IDeg 1 October 2014 to 30 September 2015</w:t>
      </w:r>
    </w:p>
    <w:p w14:paraId="2DF18E35" w14:textId="77777777" w:rsidR="00605AD4" w:rsidRPr="009934FA" w:rsidRDefault="00605AD4" w:rsidP="00605AD4">
      <w:pPr>
        <w:pStyle w:val="Heading4"/>
      </w:pPr>
      <w:r w:rsidRPr="009934FA">
        <w:t>Paediatric data</w:t>
      </w:r>
    </w:p>
    <w:p w14:paraId="23496CD2" w14:textId="08861E86" w:rsidR="00FB419D" w:rsidRPr="009934FA" w:rsidRDefault="00FB419D" w:rsidP="00FB419D">
      <w:pPr>
        <w:rPr>
          <w:lang w:eastAsia="ja-JP"/>
        </w:rPr>
      </w:pPr>
      <w:r w:rsidRPr="009934FA">
        <w:rPr>
          <w:lang w:eastAsia="ja-JP"/>
        </w:rPr>
        <w:t>One synopsis has been submitted to support use in a paediatric population (Study NN1250</w:t>
      </w:r>
      <w:r w:rsidRPr="009934FA">
        <w:rPr>
          <w:lang w:eastAsia="ja-JP"/>
        </w:rPr>
        <w:noBreakHyphen/>
        <w:t>3561 evaluating use of IDeg in paediatric subjects with T1DM), however a paediatric indication is not being sought in Australia. As diabetes is not uncommon in children, paediatric data can be submitted in a separate submission to support the use of IDeg in the paediatric population.</w:t>
      </w:r>
    </w:p>
    <w:p w14:paraId="26E9576E" w14:textId="77777777" w:rsidR="00605AD4" w:rsidRPr="009934FA" w:rsidRDefault="00605AD4" w:rsidP="00605AD4">
      <w:pPr>
        <w:pStyle w:val="Heading4"/>
      </w:pPr>
      <w:r w:rsidRPr="009934FA">
        <w:t>Good clinical practice</w:t>
      </w:r>
    </w:p>
    <w:p w14:paraId="58DF2FB3" w14:textId="23F8AAC7" w:rsidR="00D735C3" w:rsidRPr="009934FA" w:rsidRDefault="00D735C3" w:rsidP="00D735C3">
      <w:r w:rsidRPr="009934FA">
        <w:t>The newly submitted study synopses state the studies were conducted in accordance with the principles of Good Clinical Practice.</w:t>
      </w:r>
    </w:p>
    <w:p w14:paraId="60CBD812" w14:textId="77777777" w:rsidR="008E7846" w:rsidRPr="009934FA" w:rsidRDefault="008E7846" w:rsidP="00605AD4">
      <w:pPr>
        <w:pStyle w:val="Heading3"/>
      </w:pPr>
      <w:bookmarkStart w:id="82" w:name="_Toc517697104"/>
      <w:r w:rsidRPr="009934FA">
        <w:t>Pharmacokinetics</w:t>
      </w:r>
      <w:bookmarkEnd w:id="72"/>
      <w:bookmarkEnd w:id="79"/>
      <w:bookmarkEnd w:id="80"/>
      <w:bookmarkEnd w:id="81"/>
      <w:bookmarkEnd w:id="82"/>
    </w:p>
    <w:p w14:paraId="69EA76E9" w14:textId="440C38C8" w:rsidR="00605AD4" w:rsidRPr="009934FA" w:rsidRDefault="00605AD4" w:rsidP="00605AD4">
      <w:pPr>
        <w:pStyle w:val="Heading4"/>
      </w:pPr>
      <w:r w:rsidRPr="009934FA">
        <w:t>Studies</w:t>
      </w:r>
      <w:r w:rsidR="00F040CB" w:rsidRPr="009934FA">
        <w:t xml:space="preserve"> providing pharmacokinetic data</w:t>
      </w:r>
    </w:p>
    <w:p w14:paraId="16B4EBFC" w14:textId="0498C5F2" w:rsidR="00F040CB" w:rsidRPr="009934FA" w:rsidRDefault="00F040CB" w:rsidP="00F040CB">
      <w:pPr>
        <w:rPr>
          <w:lang w:eastAsia="ja-JP"/>
        </w:rPr>
      </w:pPr>
      <w:r w:rsidRPr="009934FA">
        <w:rPr>
          <w:lang w:eastAsia="ja-JP"/>
        </w:rPr>
        <w:t xml:space="preserve">Pharmacokinetic data for IDeg has been evaluated in the previously withdrawn submission. There were no unresolved </w:t>
      </w:r>
      <w:r w:rsidR="00CD6531">
        <w:rPr>
          <w:lang w:eastAsia="ja-JP"/>
        </w:rPr>
        <w:t>pharmacokinetic</w:t>
      </w:r>
      <w:r w:rsidRPr="009934FA">
        <w:rPr>
          <w:lang w:eastAsia="ja-JP"/>
        </w:rPr>
        <w:t xml:space="preserve"> issues identified in this submission. The current submission included synopses for </w:t>
      </w:r>
      <w:r w:rsidR="00EF0567" w:rsidRPr="009934FA">
        <w:rPr>
          <w:lang w:eastAsia="ja-JP"/>
        </w:rPr>
        <w:t>3</w:t>
      </w:r>
      <w:r w:rsidR="00CD6531">
        <w:rPr>
          <w:lang w:eastAsia="ja-JP"/>
        </w:rPr>
        <w:t xml:space="preserve"> additional pharmacokinetic</w:t>
      </w:r>
      <w:r w:rsidRPr="009934FA">
        <w:rPr>
          <w:lang w:eastAsia="ja-JP"/>
        </w:rPr>
        <w:t xml:space="preserve"> studies </w:t>
      </w:r>
      <w:r w:rsidR="00CD6531">
        <w:rPr>
          <w:lang w:eastAsia="ja-JP"/>
        </w:rPr>
        <w:t>as listed in Table 6</w:t>
      </w:r>
      <w:r w:rsidRPr="009934FA">
        <w:rPr>
          <w:lang w:eastAsia="ja-JP"/>
        </w:rPr>
        <w:t>, below.</w:t>
      </w:r>
    </w:p>
    <w:p w14:paraId="35CDE7A2" w14:textId="79304C3B" w:rsidR="00F040CB" w:rsidRPr="009934FA" w:rsidRDefault="00F040CB" w:rsidP="00F040CB">
      <w:pPr>
        <w:pStyle w:val="Tabletitle0"/>
        <w:rPr>
          <w:lang w:eastAsia="ja-JP"/>
        </w:rPr>
      </w:pPr>
      <w:bookmarkStart w:id="83" w:name="_Ref479236191"/>
      <w:bookmarkStart w:id="84" w:name="_Ref479236186"/>
      <w:bookmarkStart w:id="85" w:name="_Toc479321686"/>
      <w:r w:rsidRPr="009934FA">
        <w:rPr>
          <w:lang w:eastAsia="ja-JP"/>
        </w:rPr>
        <w:t xml:space="preserve">Table </w:t>
      </w:r>
      <w:bookmarkEnd w:id="83"/>
      <w:r w:rsidR="00CD6531">
        <w:rPr>
          <w:lang w:eastAsia="ja-JP"/>
        </w:rPr>
        <w:t>6</w:t>
      </w:r>
      <w:r w:rsidR="006C50FE">
        <w:rPr>
          <w:lang w:eastAsia="ja-JP"/>
        </w:rPr>
        <w:t>:</w:t>
      </w:r>
      <w:r w:rsidR="006C50FE" w:rsidRPr="009934FA">
        <w:rPr>
          <w:lang w:eastAsia="ja-JP"/>
        </w:rPr>
        <w:t xml:space="preserve"> </w:t>
      </w:r>
      <w:r w:rsidRPr="009934FA">
        <w:rPr>
          <w:lang w:eastAsia="ja-JP"/>
        </w:rPr>
        <w:t>Submitted pharmacokinetic studies</w:t>
      </w:r>
      <w:bookmarkEnd w:id="84"/>
      <w:bookmarkEnd w:id="85"/>
    </w:p>
    <w:tbl>
      <w:tblPr>
        <w:tblStyle w:val="TableTGAblue"/>
        <w:tblW w:w="8200" w:type="dxa"/>
        <w:tblLayout w:type="fixed"/>
        <w:tblLook w:val="04A0" w:firstRow="1" w:lastRow="0" w:firstColumn="1" w:lastColumn="0" w:noHBand="0" w:noVBand="1"/>
        <w:tblDescription w:val="Table 6: Submitted pharmacokinetic studies"/>
      </w:tblPr>
      <w:tblGrid>
        <w:gridCol w:w="1908"/>
        <w:gridCol w:w="3961"/>
        <w:gridCol w:w="2331"/>
      </w:tblGrid>
      <w:tr w:rsidR="00F040CB" w:rsidRPr="009934FA" w14:paraId="47E2274F" w14:textId="77777777" w:rsidTr="00451FDB">
        <w:trPr>
          <w:cnfStyle w:val="100000000000" w:firstRow="1" w:lastRow="0" w:firstColumn="0" w:lastColumn="0" w:oddVBand="0" w:evenVBand="0" w:oddHBand="0" w:evenHBand="0" w:firstRowFirstColumn="0" w:firstRowLastColumn="0" w:lastRowFirstColumn="0" w:lastRowLastColumn="0"/>
          <w:trHeight w:val="485"/>
        </w:trPr>
        <w:tc>
          <w:tcPr>
            <w:tcW w:w="1908" w:type="dxa"/>
          </w:tcPr>
          <w:p w14:paraId="373BF776" w14:textId="77777777" w:rsidR="00F040CB" w:rsidRPr="009934FA" w:rsidRDefault="00F040CB" w:rsidP="00451FDB">
            <w:r w:rsidRPr="009934FA">
              <w:t>PK topic</w:t>
            </w:r>
          </w:p>
        </w:tc>
        <w:tc>
          <w:tcPr>
            <w:tcW w:w="3961" w:type="dxa"/>
          </w:tcPr>
          <w:p w14:paraId="129139E5" w14:textId="77777777" w:rsidR="00F040CB" w:rsidRPr="009934FA" w:rsidRDefault="00F040CB" w:rsidP="00451FDB">
            <w:r w:rsidRPr="009934FA">
              <w:t>Subtopic</w:t>
            </w:r>
          </w:p>
        </w:tc>
        <w:tc>
          <w:tcPr>
            <w:tcW w:w="2331" w:type="dxa"/>
          </w:tcPr>
          <w:p w14:paraId="6866B95E" w14:textId="77777777" w:rsidR="00F040CB" w:rsidRPr="009934FA" w:rsidRDefault="00F040CB" w:rsidP="00451FDB">
            <w:r w:rsidRPr="009934FA">
              <w:t>Study ID</w:t>
            </w:r>
          </w:p>
        </w:tc>
      </w:tr>
      <w:tr w:rsidR="00F040CB" w:rsidRPr="009934FA" w14:paraId="707060AF" w14:textId="77777777" w:rsidTr="00451FDB">
        <w:trPr>
          <w:trHeight w:val="485"/>
        </w:trPr>
        <w:tc>
          <w:tcPr>
            <w:tcW w:w="1908" w:type="dxa"/>
          </w:tcPr>
          <w:p w14:paraId="4A0AEB93" w14:textId="77777777" w:rsidR="00F040CB" w:rsidRPr="009934FA" w:rsidRDefault="00F040CB" w:rsidP="00451FDB">
            <w:r w:rsidRPr="009934FA">
              <w:t>PK in healthy adults</w:t>
            </w:r>
          </w:p>
        </w:tc>
        <w:tc>
          <w:tcPr>
            <w:tcW w:w="3961" w:type="dxa"/>
          </w:tcPr>
          <w:p w14:paraId="1FFC3322" w14:textId="77777777" w:rsidR="00F040CB" w:rsidRPr="009934FA" w:rsidRDefault="00F040CB" w:rsidP="00451FDB">
            <w:r w:rsidRPr="009934FA">
              <w:t>General PK (Single dose)</w:t>
            </w:r>
          </w:p>
        </w:tc>
        <w:tc>
          <w:tcPr>
            <w:tcW w:w="2331" w:type="dxa"/>
          </w:tcPr>
          <w:p w14:paraId="294252D4" w14:textId="77777777" w:rsidR="00F040CB" w:rsidRPr="009934FA" w:rsidRDefault="00F040CB" w:rsidP="00451FDB">
            <w:r w:rsidRPr="009934FA">
              <w:t>NN1250-4000</w:t>
            </w:r>
          </w:p>
        </w:tc>
      </w:tr>
      <w:tr w:rsidR="00F040CB" w:rsidRPr="009934FA" w14:paraId="1209AF28" w14:textId="77777777" w:rsidTr="00451FDB">
        <w:trPr>
          <w:trHeight w:val="146"/>
        </w:trPr>
        <w:tc>
          <w:tcPr>
            <w:tcW w:w="1908" w:type="dxa"/>
          </w:tcPr>
          <w:p w14:paraId="223A1954" w14:textId="77777777" w:rsidR="00F040CB" w:rsidRPr="009934FA" w:rsidRDefault="00F040CB" w:rsidP="00451FDB">
            <w:r w:rsidRPr="009934FA">
              <w:t>PK in special populations</w:t>
            </w:r>
          </w:p>
        </w:tc>
        <w:tc>
          <w:tcPr>
            <w:tcW w:w="3961" w:type="dxa"/>
          </w:tcPr>
          <w:p w14:paraId="29EA79D1" w14:textId="77777777" w:rsidR="00F040CB" w:rsidRPr="009934FA" w:rsidRDefault="00F040CB" w:rsidP="00451FDB">
            <w:r w:rsidRPr="009934FA">
              <w:t>Other special population</w:t>
            </w:r>
          </w:p>
        </w:tc>
        <w:tc>
          <w:tcPr>
            <w:tcW w:w="2331" w:type="dxa"/>
          </w:tcPr>
          <w:p w14:paraId="235019A6" w14:textId="77777777" w:rsidR="00F040CB" w:rsidRPr="009934FA" w:rsidRDefault="00F040CB" w:rsidP="00451FDB">
            <w:r w:rsidRPr="009934FA">
              <w:t>NN1250-1999</w:t>
            </w:r>
          </w:p>
          <w:p w14:paraId="52F4BD29" w14:textId="77777777" w:rsidR="00F040CB" w:rsidRPr="009934FA" w:rsidRDefault="00F040CB" w:rsidP="00451FDB">
            <w:r w:rsidRPr="009934FA">
              <w:t>NN1250-3763</w:t>
            </w:r>
          </w:p>
        </w:tc>
      </w:tr>
    </w:tbl>
    <w:p w14:paraId="20F6126A" w14:textId="1B2D2BAD" w:rsidR="006E1251" w:rsidRDefault="006E1251" w:rsidP="006E1251">
      <w:pPr>
        <w:pStyle w:val="TableDescription"/>
        <w:rPr>
          <w:lang w:eastAsia="ja-JP"/>
        </w:rPr>
      </w:pPr>
      <w:r>
        <w:rPr>
          <w:lang w:eastAsia="ja-JP"/>
        </w:rPr>
        <w:t>PK = Pharmacokinetic(s)</w:t>
      </w:r>
    </w:p>
    <w:p w14:paraId="011CAC57" w14:textId="1F831CC6" w:rsidR="00F040CB" w:rsidRPr="009934FA" w:rsidRDefault="00F040CB" w:rsidP="00F040CB">
      <w:pPr>
        <w:rPr>
          <w:b/>
          <w:lang w:eastAsia="ja-JP"/>
        </w:rPr>
      </w:pPr>
      <w:r w:rsidRPr="009934FA">
        <w:rPr>
          <w:lang w:eastAsia="ja-JP"/>
        </w:rPr>
        <w:t xml:space="preserve">The evaluator notes that Study NN1250-3769 has been submitted as a new study as per the cover letter, however this study was evaluated in the previously withdrawn submission for </w:t>
      </w:r>
      <w:r w:rsidR="00FC2671">
        <w:rPr>
          <w:lang w:eastAsia="ja-JP"/>
        </w:rPr>
        <w:t xml:space="preserve">IDegAsp, </w:t>
      </w:r>
      <w:r w:rsidR="00703F09">
        <w:rPr>
          <w:lang w:eastAsia="ja-JP"/>
        </w:rPr>
        <w:t>a combined insulin degludec/insulin aspart drug product</w:t>
      </w:r>
      <w:r w:rsidRPr="009934FA">
        <w:rPr>
          <w:lang w:eastAsia="ja-JP"/>
        </w:rPr>
        <w:t>.</w:t>
      </w:r>
    </w:p>
    <w:p w14:paraId="62E0B4B0" w14:textId="77777777" w:rsidR="00605AD4" w:rsidRPr="009934FA" w:rsidRDefault="00605AD4" w:rsidP="00605AD4">
      <w:pPr>
        <w:pStyle w:val="Heading4"/>
      </w:pPr>
      <w:r w:rsidRPr="009934FA">
        <w:lastRenderedPageBreak/>
        <w:t>Evaluator’s conclusions on pharmacokinetics</w:t>
      </w:r>
    </w:p>
    <w:p w14:paraId="5FE7B406" w14:textId="42B681CF" w:rsidR="00F040CB" w:rsidRPr="009934FA" w:rsidRDefault="00F040CB" w:rsidP="00F040CB">
      <w:pPr>
        <w:rPr>
          <w:lang w:eastAsia="ja-JP"/>
        </w:rPr>
      </w:pPr>
      <w:r w:rsidRPr="009934FA">
        <w:rPr>
          <w:lang w:eastAsia="ja-JP"/>
        </w:rPr>
        <w:t xml:space="preserve">The pharmacokinetic characteristics of IDeg have been established in the previously withdrawn submission. In summary, there do not appear to be any outstanding </w:t>
      </w:r>
      <w:r w:rsidR="00703F09">
        <w:rPr>
          <w:lang w:eastAsia="ja-JP"/>
        </w:rPr>
        <w:t>pharmacokinetic</w:t>
      </w:r>
      <w:r w:rsidRPr="009934FA">
        <w:rPr>
          <w:lang w:eastAsia="ja-JP"/>
        </w:rPr>
        <w:t xml:space="preserve"> issues from the original</w:t>
      </w:r>
      <w:r w:rsidR="00703F09">
        <w:rPr>
          <w:lang w:eastAsia="ja-JP"/>
        </w:rPr>
        <w:t xml:space="preserve"> </w:t>
      </w:r>
      <w:r w:rsidRPr="009934FA">
        <w:rPr>
          <w:lang w:eastAsia="ja-JP"/>
        </w:rPr>
        <w:t xml:space="preserve">evaluation. The new data do not add any new information. The </w:t>
      </w:r>
      <w:r w:rsidR="00703F09">
        <w:rPr>
          <w:lang w:eastAsia="ja-JP"/>
        </w:rPr>
        <w:t>pharmacokinetic</w:t>
      </w:r>
      <w:r w:rsidRPr="009934FA">
        <w:rPr>
          <w:lang w:eastAsia="ja-JP"/>
        </w:rPr>
        <w:t xml:space="preserve"> profile is adequately described in the proposed PI with data from the previously withdrawn submission.</w:t>
      </w:r>
    </w:p>
    <w:p w14:paraId="6180C14A" w14:textId="77777777" w:rsidR="008E7846" w:rsidRPr="009934FA" w:rsidRDefault="008E7846" w:rsidP="008E7846">
      <w:pPr>
        <w:pStyle w:val="Heading3"/>
      </w:pPr>
      <w:bookmarkStart w:id="86" w:name="_Toc196046481"/>
      <w:bookmarkStart w:id="87" w:name="_Toc247691520"/>
      <w:bookmarkStart w:id="88" w:name="_Toc314842503"/>
      <w:bookmarkStart w:id="89" w:name="_Toc517697105"/>
      <w:r w:rsidRPr="009934FA">
        <w:t>Pharmacodynamics</w:t>
      </w:r>
      <w:bookmarkEnd w:id="73"/>
      <w:bookmarkEnd w:id="86"/>
      <w:bookmarkEnd w:id="87"/>
      <w:bookmarkEnd w:id="88"/>
      <w:bookmarkEnd w:id="89"/>
    </w:p>
    <w:p w14:paraId="23842FAB" w14:textId="77777777" w:rsidR="00605AD4" w:rsidRPr="009934FA" w:rsidRDefault="00605AD4" w:rsidP="00605AD4">
      <w:pPr>
        <w:pStyle w:val="Heading4"/>
      </w:pPr>
      <w:r w:rsidRPr="009934FA">
        <w:t>Studies providing pharmacodynamic data</w:t>
      </w:r>
    </w:p>
    <w:p w14:paraId="38F77E77" w14:textId="48E36CBC" w:rsidR="00F040CB" w:rsidRPr="009934FA" w:rsidRDefault="00F040CB" w:rsidP="00F040CB">
      <w:pPr>
        <w:rPr>
          <w:lang w:eastAsia="ja-JP"/>
        </w:rPr>
      </w:pPr>
      <w:r w:rsidRPr="009934FA">
        <w:rPr>
          <w:lang w:eastAsia="ja-JP"/>
        </w:rPr>
        <w:t>The pharmacodynamic profile of IDeg has been described in the previously withdrawn submission with no outstanding concerns regarding pharmacodynamics identified. The current submission included the synopsis of 1 addi</w:t>
      </w:r>
      <w:r w:rsidR="00703F09">
        <w:rPr>
          <w:lang w:eastAsia="ja-JP"/>
        </w:rPr>
        <w:t>tional pharmacodynamic study for IDeg:</w:t>
      </w:r>
      <w:r w:rsidR="00EF0567" w:rsidRPr="009934FA">
        <w:rPr>
          <w:lang w:eastAsia="ja-JP"/>
        </w:rPr>
        <w:t xml:space="preserve"> Study </w:t>
      </w:r>
      <w:r w:rsidRPr="009934FA">
        <w:rPr>
          <w:lang w:eastAsia="ja-JP"/>
        </w:rPr>
        <w:t>N</w:t>
      </w:r>
      <w:r w:rsidR="00EF0567" w:rsidRPr="009934FA">
        <w:rPr>
          <w:lang w:eastAsia="ja-JP"/>
        </w:rPr>
        <w:t>N1250-3999).</w:t>
      </w:r>
    </w:p>
    <w:p w14:paraId="2125694C" w14:textId="77777777" w:rsidR="00605AD4" w:rsidRPr="009934FA" w:rsidRDefault="00605AD4" w:rsidP="00605AD4">
      <w:pPr>
        <w:pStyle w:val="Heading4"/>
      </w:pPr>
      <w:r w:rsidRPr="009934FA">
        <w:t>Evaluator’s conclusions on pharmacodynamics</w:t>
      </w:r>
    </w:p>
    <w:p w14:paraId="2EC172DA" w14:textId="0E300789" w:rsidR="00EF0567" w:rsidRPr="009934FA" w:rsidRDefault="00EF0567" w:rsidP="00EF0567">
      <w:r w:rsidRPr="009934FA">
        <w:t>The pharmacodynamic profile of IDeg is well described in the previously withdrawn submission and there were no outstanding issues. The sponsor is not proposing any amendments to the PI based on data from Study NN1250-3999.</w:t>
      </w:r>
    </w:p>
    <w:p w14:paraId="03FEF412" w14:textId="77777777" w:rsidR="008E7846" w:rsidRPr="009934FA" w:rsidRDefault="008E7846" w:rsidP="00EF0567">
      <w:pPr>
        <w:pStyle w:val="Heading3"/>
      </w:pPr>
      <w:bookmarkStart w:id="90" w:name="_Toc163441372"/>
      <w:bookmarkStart w:id="91" w:name="_Toc196046485"/>
      <w:bookmarkStart w:id="92" w:name="_Toc247691521"/>
      <w:bookmarkStart w:id="93" w:name="_Toc314842504"/>
      <w:bookmarkStart w:id="94" w:name="_Toc517697106"/>
      <w:r w:rsidRPr="009934FA">
        <w:t>Efficacy</w:t>
      </w:r>
      <w:bookmarkEnd w:id="90"/>
      <w:bookmarkEnd w:id="91"/>
      <w:bookmarkEnd w:id="92"/>
      <w:bookmarkEnd w:id="93"/>
      <w:bookmarkEnd w:id="94"/>
    </w:p>
    <w:p w14:paraId="035ED480" w14:textId="680AECCB" w:rsidR="00315A43" w:rsidRPr="009934FA" w:rsidRDefault="00605AD4" w:rsidP="00315A43">
      <w:pPr>
        <w:pStyle w:val="Heading4"/>
      </w:pPr>
      <w:bookmarkStart w:id="95" w:name="_Toc184439992"/>
      <w:bookmarkStart w:id="96" w:name="_Toc184440279"/>
      <w:bookmarkStart w:id="97" w:name="_Toc184444657"/>
      <w:bookmarkStart w:id="98" w:name="_Toc196046487"/>
      <w:r w:rsidRPr="009934FA">
        <w:t>Studies providing efficacy data</w:t>
      </w:r>
    </w:p>
    <w:p w14:paraId="6ACD02C8" w14:textId="55F0A838" w:rsidR="00DA2089" w:rsidRPr="009934FA" w:rsidRDefault="00DA2089" w:rsidP="00DA2089">
      <w:pPr>
        <w:pStyle w:val="Heading5"/>
      </w:pPr>
      <w:r w:rsidRPr="009934FA">
        <w:t>Previously submitted studies</w:t>
      </w:r>
    </w:p>
    <w:p w14:paraId="3C3C419D" w14:textId="19BC472D" w:rsidR="00EF0567" w:rsidRPr="009934FA" w:rsidRDefault="00EF0567" w:rsidP="00EF0567">
      <w:pPr>
        <w:rPr>
          <w:lang w:eastAsia="ja-JP"/>
        </w:rPr>
      </w:pPr>
      <w:r w:rsidRPr="009934FA">
        <w:rPr>
          <w:lang w:eastAsia="ja-JP"/>
        </w:rPr>
        <w:t xml:space="preserve">The current submission includes synopses for studies completed since 2013, as agreed with the TGA in the pre-submission meeting held on 20 </w:t>
      </w:r>
      <w:r w:rsidR="00315A43" w:rsidRPr="009934FA">
        <w:rPr>
          <w:lang w:eastAsia="ja-JP"/>
        </w:rPr>
        <w:t>June 2016. There were 9 confirmatory therapeutic trials with IDeg evaluated in the original withdrawn submission (3 studies in subjects with T1DM and 6 studies in subjects with T2DM).</w:t>
      </w:r>
    </w:p>
    <w:p w14:paraId="7A6EADFA" w14:textId="32C78D51" w:rsidR="00703F09" w:rsidRDefault="00090197" w:rsidP="00703F09">
      <w:pPr>
        <w:pStyle w:val="ListBullet"/>
        <w:rPr>
          <w:lang w:eastAsia="ja-JP"/>
        </w:rPr>
      </w:pPr>
      <w:r>
        <w:rPr>
          <w:lang w:eastAsia="ja-JP"/>
        </w:rPr>
        <w:t xml:space="preserve">For </w:t>
      </w:r>
      <w:r w:rsidR="00315A43" w:rsidRPr="009934FA">
        <w:rPr>
          <w:lang w:eastAsia="ja-JP"/>
        </w:rPr>
        <w:t>T1DM</w:t>
      </w:r>
      <w:r w:rsidR="006E1251">
        <w:rPr>
          <w:lang w:eastAsia="ja-JP"/>
        </w:rPr>
        <w:t xml:space="preserve"> </w:t>
      </w:r>
      <w:r>
        <w:rPr>
          <w:lang w:eastAsia="ja-JP"/>
        </w:rPr>
        <w:t>based studies</w:t>
      </w:r>
      <w:r w:rsidR="00315A43" w:rsidRPr="009934FA">
        <w:rPr>
          <w:lang w:eastAsia="ja-JP"/>
        </w:rPr>
        <w:t>, the following s</w:t>
      </w:r>
      <w:r w:rsidR="006E1251">
        <w:rPr>
          <w:lang w:eastAsia="ja-JP"/>
        </w:rPr>
        <w:t>ynopses were submitted: Studies NN1250</w:t>
      </w:r>
      <w:r w:rsidR="006E1251">
        <w:rPr>
          <w:lang w:eastAsia="ja-JP"/>
        </w:rPr>
        <w:noBreakHyphen/>
      </w:r>
      <w:r w:rsidR="00315A43" w:rsidRPr="009934FA">
        <w:rPr>
          <w:lang w:eastAsia="ja-JP"/>
        </w:rPr>
        <w:t xml:space="preserve">3583, </w:t>
      </w:r>
      <w:r w:rsidR="00703F09">
        <w:rPr>
          <w:lang w:eastAsia="ja-JP"/>
        </w:rPr>
        <w:t>NN1250-</w:t>
      </w:r>
      <w:r w:rsidR="00315A43" w:rsidRPr="009934FA">
        <w:rPr>
          <w:lang w:eastAsia="ja-JP"/>
        </w:rPr>
        <w:t xml:space="preserve">3585 and </w:t>
      </w:r>
      <w:r w:rsidR="00703F09">
        <w:rPr>
          <w:lang w:eastAsia="ja-JP"/>
        </w:rPr>
        <w:t>NN1250-</w:t>
      </w:r>
      <w:r w:rsidR="00315A43" w:rsidRPr="009934FA">
        <w:rPr>
          <w:lang w:eastAsia="ja-JP"/>
        </w:rPr>
        <w:t>3770.</w:t>
      </w:r>
    </w:p>
    <w:p w14:paraId="7F495B30" w14:textId="67D20EAB" w:rsidR="00EF0567" w:rsidRPr="009934FA" w:rsidRDefault="00090197" w:rsidP="00703F09">
      <w:pPr>
        <w:pStyle w:val="ListBullet"/>
        <w:rPr>
          <w:lang w:eastAsia="ja-JP"/>
        </w:rPr>
      </w:pPr>
      <w:r>
        <w:rPr>
          <w:lang w:eastAsia="ja-JP"/>
        </w:rPr>
        <w:t xml:space="preserve">For </w:t>
      </w:r>
      <w:r w:rsidR="00315A43" w:rsidRPr="009934FA">
        <w:rPr>
          <w:lang w:eastAsia="ja-JP"/>
        </w:rPr>
        <w:t>T2DM</w:t>
      </w:r>
      <w:r w:rsidR="006E1251">
        <w:rPr>
          <w:lang w:eastAsia="ja-JP"/>
        </w:rPr>
        <w:t xml:space="preserve"> </w:t>
      </w:r>
      <w:r>
        <w:rPr>
          <w:lang w:eastAsia="ja-JP"/>
        </w:rPr>
        <w:t>based studies</w:t>
      </w:r>
      <w:r w:rsidR="00315A43" w:rsidRPr="009934FA">
        <w:rPr>
          <w:lang w:eastAsia="ja-JP"/>
        </w:rPr>
        <w:t>, the following s</w:t>
      </w:r>
      <w:r w:rsidR="006E1251">
        <w:rPr>
          <w:lang w:eastAsia="ja-JP"/>
        </w:rPr>
        <w:t>ynopses were submitted: Studies NN1250</w:t>
      </w:r>
      <w:r w:rsidR="006E1251">
        <w:rPr>
          <w:lang w:eastAsia="ja-JP"/>
        </w:rPr>
        <w:noBreakHyphen/>
      </w:r>
      <w:r w:rsidR="00315A43" w:rsidRPr="009934FA">
        <w:rPr>
          <w:lang w:eastAsia="ja-JP"/>
        </w:rPr>
        <w:t xml:space="preserve">3582, </w:t>
      </w:r>
      <w:r w:rsidR="00703F09">
        <w:rPr>
          <w:lang w:eastAsia="ja-JP"/>
        </w:rPr>
        <w:t>NN1250-</w:t>
      </w:r>
      <w:r w:rsidR="00315A43" w:rsidRPr="009934FA">
        <w:rPr>
          <w:lang w:eastAsia="ja-JP"/>
        </w:rPr>
        <w:t xml:space="preserve">3579, </w:t>
      </w:r>
      <w:r w:rsidR="00703F09">
        <w:rPr>
          <w:lang w:eastAsia="ja-JP"/>
        </w:rPr>
        <w:t>NN1250-</w:t>
      </w:r>
      <w:r w:rsidR="00315A43" w:rsidRPr="009934FA">
        <w:rPr>
          <w:lang w:eastAsia="ja-JP"/>
        </w:rPr>
        <w:t xml:space="preserve">3672, </w:t>
      </w:r>
      <w:r w:rsidR="00703F09">
        <w:rPr>
          <w:lang w:eastAsia="ja-JP"/>
        </w:rPr>
        <w:t>NN1250-</w:t>
      </w:r>
      <w:r w:rsidR="00315A43" w:rsidRPr="009934FA">
        <w:rPr>
          <w:lang w:eastAsia="ja-JP"/>
        </w:rPr>
        <w:t xml:space="preserve">3586, </w:t>
      </w:r>
      <w:r w:rsidR="00703F09">
        <w:rPr>
          <w:lang w:eastAsia="ja-JP"/>
        </w:rPr>
        <w:t>NN1250-</w:t>
      </w:r>
      <w:r w:rsidR="00315A43" w:rsidRPr="009934FA">
        <w:rPr>
          <w:lang w:eastAsia="ja-JP"/>
        </w:rPr>
        <w:t>3668</w:t>
      </w:r>
      <w:r w:rsidR="006E1251">
        <w:rPr>
          <w:lang w:eastAsia="ja-JP"/>
        </w:rPr>
        <w:t>,</w:t>
      </w:r>
      <w:r w:rsidR="00315A43" w:rsidRPr="009934FA">
        <w:rPr>
          <w:lang w:eastAsia="ja-JP"/>
        </w:rPr>
        <w:t xml:space="preserve"> and </w:t>
      </w:r>
      <w:r w:rsidR="00703F09">
        <w:rPr>
          <w:lang w:eastAsia="ja-JP"/>
        </w:rPr>
        <w:t>NN1250-</w:t>
      </w:r>
      <w:r w:rsidR="00315A43" w:rsidRPr="009934FA">
        <w:rPr>
          <w:lang w:eastAsia="ja-JP"/>
        </w:rPr>
        <w:t>3580.</w:t>
      </w:r>
    </w:p>
    <w:p w14:paraId="0C724609" w14:textId="64E286FE" w:rsidR="00DA2089" w:rsidRPr="009934FA" w:rsidRDefault="00DA2089" w:rsidP="00DA2089">
      <w:pPr>
        <w:pStyle w:val="Heading5"/>
        <w:rPr>
          <w:lang w:eastAsia="ja-JP"/>
        </w:rPr>
      </w:pPr>
      <w:r w:rsidRPr="009934FA">
        <w:rPr>
          <w:lang w:eastAsia="ja-JP"/>
        </w:rPr>
        <w:t>Newly submitted efficacy data</w:t>
      </w:r>
    </w:p>
    <w:p w14:paraId="2B59166B" w14:textId="7AE9CDCC" w:rsidR="00DA2089" w:rsidRPr="009934FA" w:rsidRDefault="00DA2089" w:rsidP="00DA2089">
      <w:pPr>
        <w:rPr>
          <w:lang w:eastAsia="ja-JP"/>
        </w:rPr>
      </w:pPr>
      <w:r w:rsidRPr="009934FA">
        <w:rPr>
          <w:lang w:eastAsia="ja-JP"/>
        </w:rPr>
        <w:t xml:space="preserve">The submission included synopses for extension studies of the 3 T1DM pivotal </w:t>
      </w:r>
      <w:r w:rsidR="00202283" w:rsidRPr="009934FA">
        <w:rPr>
          <w:lang w:eastAsia="ja-JP"/>
        </w:rPr>
        <w:t>trials</w:t>
      </w:r>
      <w:r w:rsidRPr="009934FA">
        <w:rPr>
          <w:lang w:eastAsia="ja-JP"/>
        </w:rPr>
        <w:t xml:space="preserve"> (Studies </w:t>
      </w:r>
      <w:r w:rsidR="006E1251">
        <w:rPr>
          <w:lang w:eastAsia="ja-JP"/>
        </w:rPr>
        <w:t>NN1250-</w:t>
      </w:r>
      <w:r w:rsidRPr="009934FA">
        <w:rPr>
          <w:lang w:eastAsia="ja-JP"/>
        </w:rPr>
        <w:t xml:space="preserve">3583, </w:t>
      </w:r>
      <w:r w:rsidR="006E1251">
        <w:rPr>
          <w:lang w:eastAsia="ja-JP"/>
        </w:rPr>
        <w:t>NN1250-</w:t>
      </w:r>
      <w:r w:rsidRPr="009934FA">
        <w:rPr>
          <w:lang w:eastAsia="ja-JP"/>
        </w:rPr>
        <w:t xml:space="preserve">3585 and </w:t>
      </w:r>
      <w:r w:rsidR="006E1251">
        <w:rPr>
          <w:lang w:eastAsia="ja-JP"/>
        </w:rPr>
        <w:t>NN1250-</w:t>
      </w:r>
      <w:r w:rsidRPr="009934FA">
        <w:rPr>
          <w:lang w:eastAsia="ja-JP"/>
        </w:rPr>
        <w:t>3770</w:t>
      </w:r>
      <w:r w:rsidR="00202283" w:rsidRPr="009934FA">
        <w:rPr>
          <w:lang w:eastAsia="ja-JP"/>
        </w:rPr>
        <w:t>)</w:t>
      </w:r>
      <w:r w:rsidRPr="009934FA">
        <w:rPr>
          <w:lang w:eastAsia="ja-JP"/>
        </w:rPr>
        <w:t xml:space="preserve">; and 2 of the pivotal trials in T2DM subjects (Studies </w:t>
      </w:r>
      <w:r w:rsidR="00831247" w:rsidRPr="009934FA">
        <w:rPr>
          <w:lang w:eastAsia="ja-JP"/>
        </w:rPr>
        <w:t xml:space="preserve">NN1250- </w:t>
      </w:r>
      <w:r w:rsidRPr="009934FA">
        <w:rPr>
          <w:lang w:eastAsia="ja-JP"/>
        </w:rPr>
        <w:t xml:space="preserve">3582 and </w:t>
      </w:r>
      <w:r w:rsidR="006E1251">
        <w:rPr>
          <w:lang w:eastAsia="ja-JP"/>
        </w:rPr>
        <w:t>NN1250-</w:t>
      </w:r>
      <w:r w:rsidRPr="009934FA">
        <w:rPr>
          <w:lang w:eastAsia="ja-JP"/>
        </w:rPr>
        <w:t>3579), in addition to 6 new studies (</w:t>
      </w:r>
      <w:r w:rsidR="006E1251">
        <w:rPr>
          <w:lang w:eastAsia="ja-JP"/>
        </w:rPr>
        <w:t>1 </w:t>
      </w:r>
      <w:r w:rsidR="00202283" w:rsidRPr="009934FA">
        <w:rPr>
          <w:lang w:eastAsia="ja-JP"/>
        </w:rPr>
        <w:t xml:space="preserve">in T1DM subjects and </w:t>
      </w:r>
      <w:r w:rsidR="00297B26" w:rsidRPr="009934FA">
        <w:rPr>
          <w:lang w:eastAsia="ja-JP"/>
        </w:rPr>
        <w:t>5 in T2DM subjects).</w:t>
      </w:r>
    </w:p>
    <w:p w14:paraId="5E7536DA" w14:textId="478C8D39" w:rsidR="00297B26" w:rsidRPr="009934FA" w:rsidRDefault="00831247" w:rsidP="00DA2089">
      <w:pPr>
        <w:rPr>
          <w:lang w:eastAsia="ja-JP"/>
        </w:rPr>
      </w:pPr>
      <w:r w:rsidRPr="009934FA">
        <w:rPr>
          <w:lang w:eastAsia="ja-JP"/>
        </w:rPr>
        <w:t>Studies i</w:t>
      </w:r>
      <w:r w:rsidR="00297B26" w:rsidRPr="009934FA">
        <w:rPr>
          <w:lang w:eastAsia="ja-JP"/>
        </w:rPr>
        <w:t>n subjects with T1DM:</w:t>
      </w:r>
    </w:p>
    <w:p w14:paraId="16F58B02" w14:textId="05EAA9E5" w:rsidR="00DA2089" w:rsidRPr="009934FA" w:rsidRDefault="00297B26" w:rsidP="00297B26">
      <w:pPr>
        <w:pStyle w:val="ListBullet"/>
        <w:rPr>
          <w:lang w:eastAsia="ja-JP"/>
        </w:rPr>
      </w:pPr>
      <w:r w:rsidRPr="009934FA">
        <w:rPr>
          <w:lang w:eastAsia="ja-JP"/>
        </w:rPr>
        <w:t>Study NN1250-3644 (Study NN1250-3583 extension)</w:t>
      </w:r>
    </w:p>
    <w:p w14:paraId="4316101A" w14:textId="2AD57DBB" w:rsidR="00202283" w:rsidRPr="009934FA" w:rsidRDefault="00202283" w:rsidP="00297B26">
      <w:pPr>
        <w:pStyle w:val="ListBullet"/>
        <w:rPr>
          <w:lang w:eastAsia="ja-JP"/>
        </w:rPr>
      </w:pPr>
      <w:r w:rsidRPr="009934FA">
        <w:rPr>
          <w:lang w:eastAsia="ja-JP"/>
        </w:rPr>
        <w:t>Study NN1250-3725</w:t>
      </w:r>
      <w:r w:rsidR="00297B26" w:rsidRPr="009934FA">
        <w:rPr>
          <w:lang w:eastAsia="ja-JP"/>
        </w:rPr>
        <w:t xml:space="preserve"> (Study NN1250-3585 extension)</w:t>
      </w:r>
    </w:p>
    <w:p w14:paraId="51876241" w14:textId="5BB8F208" w:rsidR="00202283" w:rsidRPr="009934FA" w:rsidRDefault="00202283" w:rsidP="00297B26">
      <w:pPr>
        <w:pStyle w:val="ListBullet"/>
        <w:rPr>
          <w:lang w:eastAsia="ja-JP"/>
        </w:rPr>
      </w:pPr>
      <w:r w:rsidRPr="009934FA">
        <w:rPr>
          <w:lang w:eastAsia="ja-JP"/>
        </w:rPr>
        <w:t>Study NN1250-3770</w:t>
      </w:r>
      <w:r w:rsidR="00297B26" w:rsidRPr="009934FA">
        <w:rPr>
          <w:lang w:eastAsia="ja-JP"/>
        </w:rPr>
        <w:t>-EXT (Study NN1250-3770 extension)</w:t>
      </w:r>
    </w:p>
    <w:p w14:paraId="6D4EB006" w14:textId="49421984" w:rsidR="00202283" w:rsidRPr="009934FA" w:rsidRDefault="00202283" w:rsidP="00297B26">
      <w:pPr>
        <w:pStyle w:val="ListBullet"/>
        <w:rPr>
          <w:lang w:eastAsia="ja-JP"/>
        </w:rPr>
      </w:pPr>
      <w:r w:rsidRPr="009934FA">
        <w:rPr>
          <w:lang w:eastAsia="ja-JP"/>
        </w:rPr>
        <w:t>Study NN1250-3874</w:t>
      </w:r>
    </w:p>
    <w:p w14:paraId="540B1C1B" w14:textId="10602923" w:rsidR="00202283" w:rsidRPr="009934FA" w:rsidRDefault="00202283" w:rsidP="00297B26">
      <w:pPr>
        <w:pStyle w:val="ListBullet"/>
        <w:rPr>
          <w:lang w:eastAsia="ja-JP"/>
        </w:rPr>
      </w:pPr>
      <w:r w:rsidRPr="009934FA">
        <w:rPr>
          <w:lang w:eastAsia="ja-JP"/>
        </w:rPr>
        <w:t>Study NN1250-3561</w:t>
      </w:r>
    </w:p>
    <w:p w14:paraId="457764BB" w14:textId="40D170F3" w:rsidR="00202283" w:rsidRPr="009934FA" w:rsidRDefault="00831247" w:rsidP="00DA2089">
      <w:pPr>
        <w:rPr>
          <w:lang w:eastAsia="ja-JP"/>
        </w:rPr>
      </w:pPr>
      <w:r w:rsidRPr="009934FA">
        <w:rPr>
          <w:lang w:eastAsia="ja-JP"/>
        </w:rPr>
        <w:lastRenderedPageBreak/>
        <w:t>Studies in</w:t>
      </w:r>
      <w:r w:rsidR="00297B26" w:rsidRPr="009934FA">
        <w:rPr>
          <w:lang w:eastAsia="ja-JP"/>
        </w:rPr>
        <w:t xml:space="preserve"> subjects with T2DM:</w:t>
      </w:r>
    </w:p>
    <w:p w14:paraId="5416D6F7" w14:textId="7CCB7277" w:rsidR="00202283" w:rsidRPr="009934FA" w:rsidRDefault="00202283" w:rsidP="00297B26">
      <w:pPr>
        <w:pStyle w:val="ListBullet"/>
        <w:rPr>
          <w:lang w:eastAsia="ja-JP"/>
        </w:rPr>
      </w:pPr>
      <w:r w:rsidRPr="009934FA">
        <w:rPr>
          <w:lang w:eastAsia="ja-JP"/>
        </w:rPr>
        <w:t>Study NN1250-3667</w:t>
      </w:r>
      <w:r w:rsidR="00297B26" w:rsidRPr="009934FA">
        <w:rPr>
          <w:lang w:eastAsia="ja-JP"/>
        </w:rPr>
        <w:t xml:space="preserve"> (Study NN1250-3582 extension)</w:t>
      </w:r>
    </w:p>
    <w:p w14:paraId="705E71AC" w14:textId="6C9D1AB7" w:rsidR="00202283" w:rsidRPr="009934FA" w:rsidRDefault="00202283" w:rsidP="00297B26">
      <w:pPr>
        <w:pStyle w:val="ListBullet"/>
        <w:rPr>
          <w:lang w:eastAsia="ja-JP"/>
        </w:rPr>
      </w:pPr>
      <w:r w:rsidRPr="009934FA">
        <w:rPr>
          <w:lang w:eastAsia="ja-JP"/>
        </w:rPr>
        <w:t>Study NN1250-3643</w:t>
      </w:r>
      <w:r w:rsidR="00297B26" w:rsidRPr="009934FA">
        <w:rPr>
          <w:lang w:eastAsia="ja-JP"/>
        </w:rPr>
        <w:t xml:space="preserve"> (Study NN1250-3579 extension)</w:t>
      </w:r>
    </w:p>
    <w:p w14:paraId="57A74098" w14:textId="40A584A7" w:rsidR="00202283" w:rsidRPr="009934FA" w:rsidRDefault="00202283" w:rsidP="00297B26">
      <w:pPr>
        <w:pStyle w:val="ListBullet"/>
        <w:rPr>
          <w:lang w:eastAsia="ja-JP"/>
        </w:rPr>
      </w:pPr>
      <w:r w:rsidRPr="009934FA">
        <w:rPr>
          <w:lang w:eastAsia="ja-JP"/>
        </w:rPr>
        <w:t>Study NN1250-3587</w:t>
      </w:r>
    </w:p>
    <w:p w14:paraId="041F5250" w14:textId="26994E45" w:rsidR="00202283" w:rsidRPr="009934FA" w:rsidRDefault="00202283" w:rsidP="00297B26">
      <w:pPr>
        <w:pStyle w:val="ListBullet"/>
        <w:rPr>
          <w:lang w:eastAsia="ja-JP"/>
        </w:rPr>
      </w:pPr>
      <w:r w:rsidRPr="009934FA">
        <w:rPr>
          <w:lang w:eastAsia="ja-JP"/>
        </w:rPr>
        <w:t>Study NN1250-</w:t>
      </w:r>
      <w:r w:rsidR="00297B26" w:rsidRPr="009934FA">
        <w:rPr>
          <w:lang w:eastAsia="ja-JP"/>
        </w:rPr>
        <w:t>3923</w:t>
      </w:r>
    </w:p>
    <w:p w14:paraId="3A59EB01" w14:textId="6809E9CA" w:rsidR="00297B26" w:rsidRPr="009934FA" w:rsidRDefault="00297B26" w:rsidP="00297B26">
      <w:pPr>
        <w:pStyle w:val="ListBullet"/>
        <w:rPr>
          <w:lang w:eastAsia="ja-JP"/>
        </w:rPr>
      </w:pPr>
      <w:r w:rsidRPr="009934FA">
        <w:rPr>
          <w:lang w:eastAsia="ja-JP"/>
        </w:rPr>
        <w:t>Study NN1250-3943</w:t>
      </w:r>
    </w:p>
    <w:p w14:paraId="112C356A" w14:textId="4BD9F16A" w:rsidR="00297B26" w:rsidRPr="009934FA" w:rsidRDefault="00297B26" w:rsidP="00297B26">
      <w:pPr>
        <w:pStyle w:val="ListBullet"/>
        <w:rPr>
          <w:lang w:eastAsia="ja-JP"/>
        </w:rPr>
      </w:pPr>
      <w:r w:rsidRPr="009934FA">
        <w:rPr>
          <w:lang w:eastAsia="ja-JP"/>
        </w:rPr>
        <w:t>Study NN1250-3846</w:t>
      </w:r>
    </w:p>
    <w:p w14:paraId="3A54374A" w14:textId="7FE4A5D1" w:rsidR="00297B26" w:rsidRPr="009934FA" w:rsidRDefault="00297B26" w:rsidP="00297B26">
      <w:pPr>
        <w:pStyle w:val="ListBullet"/>
        <w:rPr>
          <w:lang w:eastAsia="ja-JP"/>
        </w:rPr>
      </w:pPr>
      <w:r w:rsidRPr="009934FA">
        <w:rPr>
          <w:lang w:eastAsia="ja-JP"/>
        </w:rPr>
        <w:t>Study NN1250-4060</w:t>
      </w:r>
    </w:p>
    <w:p w14:paraId="2262E9E5" w14:textId="77777777" w:rsidR="008E7846" w:rsidRPr="009934FA" w:rsidRDefault="00605AD4" w:rsidP="00605AD4">
      <w:pPr>
        <w:pStyle w:val="Heading4"/>
      </w:pPr>
      <w:r w:rsidRPr="009934FA">
        <w:t>Evaluator’s conclusions on efficacy</w:t>
      </w:r>
    </w:p>
    <w:p w14:paraId="6E08E6E8" w14:textId="1BA9BAFE" w:rsidR="00831247" w:rsidRPr="009934FA" w:rsidRDefault="00831247" w:rsidP="00831247">
      <w:r w:rsidRPr="009934FA">
        <w:t>The efficacy of IDeg was considered demonstrated by the pivotal studies when evaluated in the original withdrawn submission. A tabular summary of these data is included in Attachment 2. There were no outstanding issues with regard to efficacy identified by the clinical evaluator for previously withdrawn submission at the second round. The study synopses submitted in the current dossier are considered supportive of the established efficacy.</w:t>
      </w:r>
    </w:p>
    <w:p w14:paraId="668F48AA" w14:textId="655B9989" w:rsidR="00831247" w:rsidRPr="009934FA" w:rsidRDefault="00831247" w:rsidP="00831247">
      <w:r w:rsidRPr="009934FA">
        <w:t>Acknowledging the limitations of data provided in synopses, the extension studies suggest long term glycaemic control (up to 104 weeks) in terms of sustained reduction in HbA1c in subjects with T1DM and T2DM.</w:t>
      </w:r>
      <w:r w:rsidR="000C7209">
        <w:rPr>
          <w:rStyle w:val="FootnoteReference"/>
        </w:rPr>
        <w:footnoteReference w:id="12"/>
      </w:r>
      <w:r w:rsidRPr="009934FA">
        <w:t xml:space="preserve"> This needs to be considered in conjunction with the long term safety profile (see </w:t>
      </w:r>
      <w:r w:rsidR="00642B76">
        <w:t>F</w:t>
      </w:r>
      <w:r w:rsidR="00642B76" w:rsidRPr="009934FA">
        <w:t xml:space="preserve">irst </w:t>
      </w:r>
      <w:r w:rsidRPr="009934FA">
        <w:t>round benefit-risk assessment, below).</w:t>
      </w:r>
    </w:p>
    <w:p w14:paraId="21E3A1AA" w14:textId="77777777" w:rsidR="00831247" w:rsidRPr="009934FA" w:rsidRDefault="00831247" w:rsidP="00831247">
      <w:r w:rsidRPr="009934FA">
        <w:t>It is noted the proposed PI contains information from the pivotal studies evaluated in the previously withdrawn submission. There are no long term data in the proposed PI. Whilst at face value the long term extension data provided in the synopses are reassuring in terms of HbA1c reduction, data from synopses are not suitable for inclusion in the PI. If the sponsor wishes to include these studies in the PI, a new submission with the full study reports would be required.</w:t>
      </w:r>
    </w:p>
    <w:p w14:paraId="4FB857B0" w14:textId="2F20B8A7" w:rsidR="00831247" w:rsidRPr="009934FA" w:rsidRDefault="00831247" w:rsidP="00831247">
      <w:r w:rsidRPr="009934FA">
        <w:t>The evaluator would recommend the sponsor submit the data from the paediatric study in a separate submission to support the use in children.</w:t>
      </w:r>
    </w:p>
    <w:p w14:paraId="47B3B548" w14:textId="77777777" w:rsidR="008E7846" w:rsidRPr="009934FA" w:rsidRDefault="008E7846" w:rsidP="008E7846">
      <w:pPr>
        <w:pStyle w:val="Heading3"/>
      </w:pPr>
      <w:bookmarkStart w:id="99" w:name="_Toc163441378"/>
      <w:bookmarkStart w:id="100" w:name="_Toc196046495"/>
      <w:bookmarkStart w:id="101" w:name="_Toc247691522"/>
      <w:bookmarkStart w:id="102" w:name="_Toc314842505"/>
      <w:bookmarkStart w:id="103" w:name="_Toc517697107"/>
      <w:bookmarkEnd w:id="95"/>
      <w:bookmarkEnd w:id="96"/>
      <w:bookmarkEnd w:id="97"/>
      <w:bookmarkEnd w:id="98"/>
      <w:r w:rsidRPr="009934FA">
        <w:t>Safety</w:t>
      </w:r>
      <w:bookmarkEnd w:id="99"/>
      <w:bookmarkEnd w:id="100"/>
      <w:bookmarkEnd w:id="101"/>
      <w:bookmarkEnd w:id="102"/>
      <w:bookmarkEnd w:id="103"/>
    </w:p>
    <w:p w14:paraId="543E62BF" w14:textId="77777777" w:rsidR="00605AD4" w:rsidRPr="009934FA" w:rsidRDefault="00605AD4" w:rsidP="00605AD4">
      <w:pPr>
        <w:pStyle w:val="Heading4"/>
      </w:pPr>
      <w:bookmarkStart w:id="104" w:name="_Toc247691524"/>
      <w:bookmarkStart w:id="105" w:name="_Toc314842508"/>
      <w:bookmarkStart w:id="106" w:name="_Toc196046504"/>
      <w:bookmarkStart w:id="107" w:name="_Toc163441390"/>
      <w:r w:rsidRPr="009934FA">
        <w:t>Studies providing safety data</w:t>
      </w:r>
    </w:p>
    <w:p w14:paraId="19C676AD" w14:textId="77777777" w:rsidR="00807EFB" w:rsidRPr="009934FA" w:rsidRDefault="00807EFB" w:rsidP="00807EFB">
      <w:pPr>
        <w:rPr>
          <w:lang w:eastAsia="ja-JP"/>
        </w:rPr>
      </w:pPr>
      <w:r w:rsidRPr="009934FA">
        <w:rPr>
          <w:lang w:eastAsia="ja-JP"/>
        </w:rPr>
        <w:t>Of the new studies which have been submitted, several have safety as the sole primary outcome:</w:t>
      </w:r>
    </w:p>
    <w:p w14:paraId="6DC38357" w14:textId="6735C00A" w:rsidR="00807EFB" w:rsidRPr="009934FA" w:rsidRDefault="006E1251" w:rsidP="00807EFB">
      <w:pPr>
        <w:pStyle w:val="ListBullet"/>
        <w:numPr>
          <w:ilvl w:val="0"/>
          <w:numId w:val="3"/>
        </w:numPr>
        <w:rPr>
          <w:lang w:eastAsia="ja-JP"/>
        </w:rPr>
      </w:pPr>
      <w:r>
        <w:rPr>
          <w:lang w:eastAsia="ja-JP"/>
        </w:rPr>
        <w:t>Study EX 1250-4080 (or the DEVOTE</w:t>
      </w:r>
      <w:r w:rsidR="00807EFB" w:rsidRPr="009934FA">
        <w:rPr>
          <w:lang w:eastAsia="ja-JP"/>
        </w:rPr>
        <w:t xml:space="preserve"> trial), a dedicated cardiovascular outcomes study submitted as full interim report.</w:t>
      </w:r>
    </w:p>
    <w:p w14:paraId="00929F2A" w14:textId="77777777" w:rsidR="00807EFB" w:rsidRPr="009934FA" w:rsidRDefault="00807EFB" w:rsidP="00807EFB">
      <w:pPr>
        <w:pStyle w:val="ListBullet"/>
        <w:numPr>
          <w:ilvl w:val="0"/>
          <w:numId w:val="3"/>
        </w:numPr>
        <w:rPr>
          <w:lang w:eastAsia="ja-JP"/>
        </w:rPr>
      </w:pPr>
      <w:r w:rsidRPr="009934FA">
        <w:rPr>
          <w:lang w:eastAsia="ja-JP"/>
        </w:rPr>
        <w:t>A number of extension studies (submitted as synopses):</w:t>
      </w:r>
    </w:p>
    <w:p w14:paraId="13F0B9CB" w14:textId="68D96EAD" w:rsidR="00807EFB" w:rsidRPr="009934FA" w:rsidRDefault="00807EFB" w:rsidP="00807EFB">
      <w:pPr>
        <w:pStyle w:val="ListBullet2"/>
        <w:numPr>
          <w:ilvl w:val="1"/>
          <w:numId w:val="3"/>
        </w:numPr>
        <w:rPr>
          <w:lang w:eastAsia="ja-JP"/>
        </w:rPr>
      </w:pPr>
      <w:r w:rsidRPr="009934FA">
        <w:rPr>
          <w:lang w:eastAsia="ja-JP"/>
        </w:rPr>
        <w:t>Study NN1250-3644 (Study NN1250-3583 extension)</w:t>
      </w:r>
    </w:p>
    <w:p w14:paraId="151468AE" w14:textId="05F7C7A8" w:rsidR="00807EFB" w:rsidRPr="009934FA" w:rsidRDefault="00807EFB" w:rsidP="00807EFB">
      <w:pPr>
        <w:pStyle w:val="ListBullet2"/>
        <w:numPr>
          <w:ilvl w:val="1"/>
          <w:numId w:val="3"/>
        </w:numPr>
        <w:rPr>
          <w:lang w:eastAsia="ja-JP"/>
        </w:rPr>
      </w:pPr>
      <w:r w:rsidRPr="009934FA">
        <w:rPr>
          <w:lang w:eastAsia="ja-JP"/>
        </w:rPr>
        <w:t xml:space="preserve">Study NN1250-3725 </w:t>
      </w:r>
      <w:r w:rsidR="00277B22" w:rsidRPr="009934FA">
        <w:rPr>
          <w:lang w:eastAsia="ja-JP"/>
        </w:rPr>
        <w:t xml:space="preserve">(Study </w:t>
      </w:r>
      <w:r w:rsidRPr="009934FA">
        <w:rPr>
          <w:lang w:eastAsia="ja-JP"/>
        </w:rPr>
        <w:t xml:space="preserve">NN1250-3585 </w:t>
      </w:r>
      <w:r w:rsidR="00277B22" w:rsidRPr="009934FA">
        <w:rPr>
          <w:lang w:eastAsia="ja-JP"/>
        </w:rPr>
        <w:t>extension)</w:t>
      </w:r>
    </w:p>
    <w:p w14:paraId="4B00A893" w14:textId="647762E1" w:rsidR="00807EFB" w:rsidRPr="009934FA" w:rsidRDefault="00277B22" w:rsidP="00807EFB">
      <w:pPr>
        <w:pStyle w:val="ListBullet2"/>
        <w:numPr>
          <w:ilvl w:val="1"/>
          <w:numId w:val="3"/>
        </w:numPr>
        <w:rPr>
          <w:lang w:eastAsia="ja-JP"/>
        </w:rPr>
      </w:pPr>
      <w:r w:rsidRPr="009934FA">
        <w:rPr>
          <w:lang w:eastAsia="ja-JP"/>
        </w:rPr>
        <w:t>Study</w:t>
      </w:r>
      <w:r w:rsidR="00807EFB" w:rsidRPr="009934FA">
        <w:rPr>
          <w:lang w:eastAsia="ja-JP"/>
        </w:rPr>
        <w:t xml:space="preserve"> NN1250-3643</w:t>
      </w:r>
      <w:r w:rsidRPr="009934FA">
        <w:rPr>
          <w:lang w:eastAsia="ja-JP"/>
        </w:rPr>
        <w:t xml:space="preserve"> (Study</w:t>
      </w:r>
      <w:r w:rsidR="00807EFB" w:rsidRPr="009934FA">
        <w:rPr>
          <w:lang w:eastAsia="ja-JP"/>
        </w:rPr>
        <w:t xml:space="preserve"> NN1250-3579 </w:t>
      </w:r>
      <w:r w:rsidRPr="009934FA">
        <w:rPr>
          <w:lang w:eastAsia="ja-JP"/>
        </w:rPr>
        <w:t>extension)</w:t>
      </w:r>
    </w:p>
    <w:p w14:paraId="734FEAED" w14:textId="1AB17026" w:rsidR="00807EFB" w:rsidRPr="009934FA" w:rsidRDefault="00807EFB" w:rsidP="00807EFB">
      <w:pPr>
        <w:pStyle w:val="ListBullet2"/>
        <w:numPr>
          <w:ilvl w:val="1"/>
          <w:numId w:val="3"/>
        </w:numPr>
        <w:rPr>
          <w:lang w:eastAsia="ja-JP"/>
        </w:rPr>
      </w:pPr>
      <w:r w:rsidRPr="009934FA">
        <w:rPr>
          <w:lang w:eastAsia="ja-JP"/>
        </w:rPr>
        <w:lastRenderedPageBreak/>
        <w:t>Study NN1250</w:t>
      </w:r>
      <w:r w:rsidR="00277B22" w:rsidRPr="009934FA">
        <w:rPr>
          <w:lang w:eastAsia="ja-JP"/>
        </w:rPr>
        <w:t xml:space="preserve">-3667 (Study </w:t>
      </w:r>
      <w:r w:rsidRPr="009934FA">
        <w:rPr>
          <w:lang w:eastAsia="ja-JP"/>
        </w:rPr>
        <w:t xml:space="preserve">NN1250-3582 </w:t>
      </w:r>
      <w:r w:rsidR="00277B22" w:rsidRPr="009934FA">
        <w:rPr>
          <w:lang w:eastAsia="ja-JP"/>
        </w:rPr>
        <w:t>extension).</w:t>
      </w:r>
    </w:p>
    <w:p w14:paraId="36075E93" w14:textId="4CF1DF7B" w:rsidR="009F1FAF" w:rsidRPr="009934FA" w:rsidRDefault="009F1FAF" w:rsidP="009F1FAF">
      <w:r w:rsidRPr="009934FA">
        <w:t xml:space="preserve">In addition, safety data </w:t>
      </w:r>
      <w:r w:rsidR="006E1251">
        <w:t xml:space="preserve">was submitted </w:t>
      </w:r>
      <w:r w:rsidRPr="009934FA">
        <w:t>from the extensio</w:t>
      </w:r>
      <w:r w:rsidR="006E1251">
        <w:t xml:space="preserve">n phases of studies </w:t>
      </w:r>
      <w:r w:rsidR="00F8179C">
        <w:t>listed in the Section</w:t>
      </w:r>
      <w:r w:rsidRPr="009934FA">
        <w:t xml:space="preserve"> ‘</w:t>
      </w:r>
      <w:r w:rsidR="00F8179C">
        <w:t xml:space="preserve">Newly submitted efficacy data’ </w:t>
      </w:r>
      <w:r w:rsidRPr="009934FA">
        <w:t>above.</w:t>
      </w:r>
    </w:p>
    <w:p w14:paraId="785F202F" w14:textId="77777777" w:rsidR="00605AD4" w:rsidRPr="009934FA" w:rsidRDefault="00605AD4" w:rsidP="00605AD4">
      <w:pPr>
        <w:pStyle w:val="Heading4"/>
      </w:pPr>
      <w:r w:rsidRPr="009934FA">
        <w:t>Patient exposure</w:t>
      </w:r>
    </w:p>
    <w:p w14:paraId="2E3D0E02" w14:textId="76175B54" w:rsidR="0054447A" w:rsidRPr="009934FA" w:rsidRDefault="00FC2671" w:rsidP="0054447A">
      <w:pPr>
        <w:rPr>
          <w:lang w:eastAsia="ja-JP"/>
        </w:rPr>
      </w:pPr>
      <w:r>
        <w:rPr>
          <w:lang w:eastAsia="ja-JP"/>
        </w:rPr>
        <w:t>T</w:t>
      </w:r>
      <w:r w:rsidR="0054447A" w:rsidRPr="009934FA">
        <w:rPr>
          <w:lang w:eastAsia="ja-JP"/>
        </w:rPr>
        <w:t>able</w:t>
      </w:r>
      <w:r>
        <w:rPr>
          <w:lang w:eastAsia="ja-JP"/>
        </w:rPr>
        <w:t xml:space="preserve"> 7 (below)</w:t>
      </w:r>
      <w:r w:rsidR="0054447A" w:rsidRPr="009934FA">
        <w:rPr>
          <w:lang w:eastAsia="ja-JP"/>
        </w:rPr>
        <w:t xml:space="preserve"> is</w:t>
      </w:r>
      <w:r>
        <w:rPr>
          <w:lang w:eastAsia="ja-JP"/>
        </w:rPr>
        <w:t xml:space="preserve"> taken</w:t>
      </w:r>
      <w:r w:rsidR="0054447A" w:rsidRPr="009934FA">
        <w:rPr>
          <w:lang w:eastAsia="ja-JP"/>
        </w:rPr>
        <w:t xml:space="preserve"> from the Summary of Clinical Safety Addendum IDeg and contains data from trials completed as of 30 September 2014. A large number of patients have been exposed to IDeg in clinical trials, the vast majority in Phase III trials. This, however, does not include the DEVOTE </w:t>
      </w:r>
      <w:r w:rsidR="0054780B">
        <w:rPr>
          <w:lang w:eastAsia="ja-JP"/>
        </w:rPr>
        <w:t>trial (see Table 8, below for a separate summary of subject exposure from the DEVOTE trial)</w:t>
      </w:r>
      <w:r w:rsidR="0054447A" w:rsidRPr="009934FA">
        <w:rPr>
          <w:lang w:eastAsia="ja-JP"/>
        </w:rPr>
        <w:t>.</w:t>
      </w:r>
    </w:p>
    <w:p w14:paraId="774F227D" w14:textId="4CE97D9A" w:rsidR="0054447A" w:rsidRPr="009934FA" w:rsidRDefault="0054447A" w:rsidP="00FC2671">
      <w:pPr>
        <w:pStyle w:val="Tabletitle0"/>
        <w:rPr>
          <w:lang w:eastAsia="ja-JP"/>
        </w:rPr>
      </w:pPr>
      <w:bookmarkStart w:id="108" w:name="_Toc479321699"/>
      <w:r w:rsidRPr="009934FA">
        <w:rPr>
          <w:lang w:eastAsia="ja-JP"/>
        </w:rPr>
        <w:t>Table</w:t>
      </w:r>
      <w:r w:rsidR="00FC2671">
        <w:rPr>
          <w:lang w:eastAsia="ja-JP"/>
        </w:rPr>
        <w:t xml:space="preserve"> 7</w:t>
      </w:r>
      <w:r w:rsidR="006C50FE">
        <w:rPr>
          <w:lang w:eastAsia="ja-JP"/>
        </w:rPr>
        <w:t>:</w:t>
      </w:r>
      <w:r w:rsidR="006C50FE" w:rsidRPr="009934FA">
        <w:rPr>
          <w:lang w:eastAsia="ja-JP"/>
        </w:rPr>
        <w:t xml:space="preserve"> </w:t>
      </w:r>
      <w:r w:rsidRPr="009934FA">
        <w:rPr>
          <w:lang w:eastAsia="ja-JP"/>
        </w:rPr>
        <w:t>Exposure in all completed trials for IDeg and IDegAsp</w:t>
      </w:r>
      <w:bookmarkEnd w:id="108"/>
    </w:p>
    <w:p w14:paraId="31EB055B" w14:textId="77777777" w:rsidR="0054447A" w:rsidRPr="009934FA" w:rsidRDefault="0054447A" w:rsidP="0054447A">
      <w:pPr>
        <w:rPr>
          <w:lang w:eastAsia="ja-JP"/>
        </w:rPr>
      </w:pPr>
      <w:bookmarkStart w:id="109" w:name="_GoBack"/>
      <w:r w:rsidRPr="009934FA">
        <w:rPr>
          <w:noProof/>
          <w:lang w:eastAsia="en-AU"/>
        </w:rPr>
        <w:drawing>
          <wp:inline distT="0" distB="0" distL="0" distR="0" wp14:anchorId="35EB2773" wp14:editId="0BD9AD35">
            <wp:extent cx="4751173" cy="3833081"/>
            <wp:effectExtent l="0" t="0" r="0" b="0"/>
            <wp:docPr id="7" name="Picture 7" descr="Exposure in all completed trials for IDeg and IDegAsp&#10;" title="Exposure in all completed trials for IDeg and IDegAs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3877" t="9137" r="3807" b="4766"/>
                    <a:stretch/>
                  </pic:blipFill>
                  <pic:spPr bwMode="auto">
                    <a:xfrm>
                      <a:off x="0" y="0"/>
                      <a:ext cx="4779567" cy="3855989"/>
                    </a:xfrm>
                    <a:prstGeom prst="rect">
                      <a:avLst/>
                    </a:prstGeom>
                    <a:noFill/>
                    <a:ln>
                      <a:noFill/>
                    </a:ln>
                    <a:extLst>
                      <a:ext uri="{53640926-AAD7-44D8-BBD7-CCE9431645EC}">
                        <a14:shadowObscured xmlns:a14="http://schemas.microsoft.com/office/drawing/2010/main"/>
                      </a:ext>
                    </a:extLst>
                  </pic:spPr>
                </pic:pic>
              </a:graphicData>
            </a:graphic>
          </wp:inline>
        </w:drawing>
      </w:r>
      <w:bookmarkEnd w:id="109"/>
    </w:p>
    <w:p w14:paraId="203935EC" w14:textId="061E0A18" w:rsidR="0054447A" w:rsidRPr="009934FA" w:rsidRDefault="0054447A" w:rsidP="0054447A">
      <w:pPr>
        <w:rPr>
          <w:lang w:eastAsia="ja-JP"/>
        </w:rPr>
      </w:pPr>
      <w:r w:rsidRPr="009934FA">
        <w:rPr>
          <w:lang w:eastAsia="ja-JP"/>
        </w:rPr>
        <w:t>It is noted that subjects who participated in both main and extension trial parts were counted only once for subject exposure. It is also noted that some trials included only IDeg and IDegAsp and no other comparator. It is also noted that ‘</w:t>
      </w:r>
      <w:r w:rsidR="00642B76">
        <w:rPr>
          <w:lang w:eastAsia="ja-JP"/>
        </w:rPr>
        <w:t>O</w:t>
      </w:r>
      <w:r w:rsidR="00642B76" w:rsidRPr="009934FA">
        <w:rPr>
          <w:lang w:eastAsia="ja-JP"/>
        </w:rPr>
        <w:t xml:space="preserve">ther </w:t>
      </w:r>
      <w:r w:rsidRPr="009934FA">
        <w:rPr>
          <w:lang w:eastAsia="ja-JP"/>
        </w:rPr>
        <w:t>therapeutic trials’ included 3 trials which were crossover trials and one that had only a single arm, which presumably accounts for the similar numbers of subjects in the IDeg arm, the comparator arm and total number.</w:t>
      </w:r>
    </w:p>
    <w:p w14:paraId="70CE1D0A" w14:textId="348454B0" w:rsidR="0054447A" w:rsidRDefault="0054447A" w:rsidP="0054447A">
      <w:pPr>
        <w:rPr>
          <w:lang w:eastAsia="ja-JP"/>
        </w:rPr>
      </w:pPr>
      <w:r w:rsidRPr="009934FA">
        <w:rPr>
          <w:lang w:eastAsia="ja-JP"/>
        </w:rPr>
        <w:t>Compared to the data set available in the original Integrated Safety Summary</w:t>
      </w:r>
      <w:r w:rsidRPr="009934FA" w:rsidDel="00316EBC">
        <w:rPr>
          <w:lang w:eastAsia="ja-JP"/>
        </w:rPr>
        <w:t xml:space="preserve"> </w:t>
      </w:r>
      <w:r w:rsidRPr="009934FA">
        <w:rPr>
          <w:lang w:eastAsia="ja-JP"/>
        </w:rPr>
        <w:t>(</w:t>
      </w:r>
      <w:r w:rsidR="006C50FE" w:rsidRPr="009934FA">
        <w:rPr>
          <w:lang w:eastAsia="ja-JP"/>
        </w:rPr>
        <w:t>cut-off</w:t>
      </w:r>
      <w:r w:rsidRPr="009934FA">
        <w:rPr>
          <w:lang w:eastAsia="ja-JP"/>
        </w:rPr>
        <w:t xml:space="preserve"> date of 31 January 2011), there is now data for 2229 more subjects who received IDeg and 4063 more subjects in total. The majority of the new IDeg subjects participated in Phase III T2DM trials (1931 subjects).</w:t>
      </w:r>
    </w:p>
    <w:p w14:paraId="1D459F7E" w14:textId="221BD07F" w:rsidR="00B54BF1" w:rsidRPr="009934FA" w:rsidRDefault="00B54BF1" w:rsidP="0054447A">
      <w:pPr>
        <w:rPr>
          <w:lang w:eastAsia="ja-JP"/>
        </w:rPr>
      </w:pPr>
      <w:r>
        <w:rPr>
          <w:lang w:eastAsia="ja-JP"/>
        </w:rPr>
        <w:t xml:space="preserve">Table 8 (below) </w:t>
      </w:r>
      <w:r w:rsidR="0054780B">
        <w:rPr>
          <w:lang w:eastAsia="ja-JP"/>
        </w:rPr>
        <w:t xml:space="preserve">is based on the interim analysis of Study </w:t>
      </w:r>
      <w:r w:rsidR="00161BE3">
        <w:rPr>
          <w:lang w:eastAsia="ja-JP"/>
        </w:rPr>
        <w:t>EX 1250-4080 (the DEVOTE</w:t>
      </w:r>
      <w:r w:rsidR="0054780B" w:rsidRPr="0054780B">
        <w:rPr>
          <w:lang w:eastAsia="ja-JP"/>
        </w:rPr>
        <w:t xml:space="preserve"> trial), </w:t>
      </w:r>
      <w:r w:rsidR="0054780B">
        <w:rPr>
          <w:lang w:eastAsia="ja-JP"/>
        </w:rPr>
        <w:t xml:space="preserve">the </w:t>
      </w:r>
      <w:r w:rsidR="0054780B" w:rsidRPr="0054780B">
        <w:rPr>
          <w:lang w:eastAsia="ja-JP"/>
        </w:rPr>
        <w:t xml:space="preserve">dedicated </w:t>
      </w:r>
      <w:r w:rsidR="0054780B">
        <w:rPr>
          <w:lang w:eastAsia="ja-JP"/>
        </w:rPr>
        <w:t>CV</w:t>
      </w:r>
      <w:r w:rsidR="0054780B" w:rsidRPr="0054780B">
        <w:rPr>
          <w:lang w:eastAsia="ja-JP"/>
        </w:rPr>
        <w:t xml:space="preserve"> outcomes study su</w:t>
      </w:r>
      <w:r w:rsidR="0054780B">
        <w:rPr>
          <w:lang w:eastAsia="ja-JP"/>
        </w:rPr>
        <w:t xml:space="preserve">bmitted as full interim report considered pivotal to evaluation of </w:t>
      </w:r>
      <w:r w:rsidR="004532C5">
        <w:rPr>
          <w:lang w:eastAsia="ja-JP"/>
        </w:rPr>
        <w:t xml:space="preserve">CV </w:t>
      </w:r>
      <w:r w:rsidR="0054780B">
        <w:rPr>
          <w:lang w:eastAsia="ja-JP"/>
        </w:rPr>
        <w:t>safety in this submission.</w:t>
      </w:r>
    </w:p>
    <w:p w14:paraId="01C63D5B" w14:textId="53B1B250" w:rsidR="0054447A" w:rsidRPr="009934FA" w:rsidRDefault="0054447A" w:rsidP="0054447A">
      <w:pPr>
        <w:pStyle w:val="Tabletitle0"/>
        <w:rPr>
          <w:lang w:eastAsia="ja-JP"/>
        </w:rPr>
      </w:pPr>
      <w:bookmarkStart w:id="110" w:name="_Toc479321691"/>
      <w:r w:rsidRPr="009934FA">
        <w:rPr>
          <w:lang w:eastAsia="ja-JP"/>
        </w:rPr>
        <w:lastRenderedPageBreak/>
        <w:t xml:space="preserve">Table </w:t>
      </w:r>
      <w:r w:rsidR="00FC2671">
        <w:rPr>
          <w:lang w:eastAsia="ja-JP"/>
        </w:rPr>
        <w:t>8</w:t>
      </w:r>
      <w:r w:rsidR="006C50FE">
        <w:rPr>
          <w:lang w:eastAsia="ja-JP"/>
        </w:rPr>
        <w:t>:</w:t>
      </w:r>
      <w:r w:rsidR="006C50FE" w:rsidRPr="009934FA">
        <w:rPr>
          <w:lang w:eastAsia="ja-JP"/>
        </w:rPr>
        <w:t xml:space="preserve"> </w:t>
      </w:r>
      <w:r w:rsidRPr="009934FA">
        <w:rPr>
          <w:lang w:eastAsia="ja-JP"/>
        </w:rPr>
        <w:t>Summary of the subjects who participated in the interim analysis</w:t>
      </w:r>
      <w:bookmarkEnd w:id="110"/>
    </w:p>
    <w:tbl>
      <w:tblPr>
        <w:tblStyle w:val="TableTGAblue"/>
        <w:tblW w:w="9380" w:type="dxa"/>
        <w:tblLook w:val="04A0" w:firstRow="1" w:lastRow="0" w:firstColumn="1" w:lastColumn="0" w:noHBand="0" w:noVBand="1"/>
        <w:tblDescription w:val="Table 8: Summary of the subjects who participated in the interim analysis"/>
      </w:tblPr>
      <w:tblGrid>
        <w:gridCol w:w="4250"/>
        <w:gridCol w:w="1710"/>
        <w:gridCol w:w="1710"/>
        <w:gridCol w:w="1710"/>
      </w:tblGrid>
      <w:tr w:rsidR="004532C5" w:rsidRPr="009934FA" w14:paraId="2B7716D2" w14:textId="77777777" w:rsidTr="004532C5">
        <w:trPr>
          <w:cnfStyle w:val="100000000000" w:firstRow="1" w:lastRow="0" w:firstColumn="0" w:lastColumn="0" w:oddVBand="0" w:evenVBand="0" w:oddHBand="0" w:evenHBand="0" w:firstRowFirstColumn="0" w:firstRowLastColumn="0" w:lastRowFirstColumn="0" w:lastRowLastColumn="0"/>
        </w:trPr>
        <w:tc>
          <w:tcPr>
            <w:tcW w:w="4250" w:type="dxa"/>
          </w:tcPr>
          <w:p w14:paraId="2D2C7831" w14:textId="77777777" w:rsidR="0054447A" w:rsidRPr="004532C5" w:rsidRDefault="0054447A" w:rsidP="00451FDB">
            <w:pPr>
              <w:rPr>
                <w:szCs w:val="22"/>
                <w:lang w:eastAsia="ja-JP"/>
              </w:rPr>
            </w:pPr>
            <w:r w:rsidRPr="004532C5">
              <w:rPr>
                <w:szCs w:val="22"/>
                <w:lang w:eastAsia="ja-JP"/>
              </w:rPr>
              <w:t>Subjects</w:t>
            </w:r>
          </w:p>
        </w:tc>
        <w:tc>
          <w:tcPr>
            <w:tcW w:w="1710" w:type="dxa"/>
          </w:tcPr>
          <w:p w14:paraId="1E0BC91F" w14:textId="77777777" w:rsidR="0054447A" w:rsidRPr="004532C5" w:rsidRDefault="0054447A" w:rsidP="00451FDB">
            <w:pPr>
              <w:rPr>
                <w:szCs w:val="22"/>
                <w:lang w:eastAsia="ja-JP"/>
              </w:rPr>
            </w:pPr>
            <w:r w:rsidRPr="004532C5">
              <w:rPr>
                <w:szCs w:val="22"/>
                <w:lang w:eastAsia="ja-JP"/>
              </w:rPr>
              <w:t>IDeg</w:t>
            </w:r>
          </w:p>
        </w:tc>
        <w:tc>
          <w:tcPr>
            <w:tcW w:w="1710" w:type="dxa"/>
          </w:tcPr>
          <w:p w14:paraId="452F6229" w14:textId="697BA140" w:rsidR="0054447A" w:rsidRPr="004532C5" w:rsidRDefault="0054447A" w:rsidP="00451FDB">
            <w:pPr>
              <w:rPr>
                <w:szCs w:val="22"/>
                <w:vertAlign w:val="superscript"/>
                <w:lang w:eastAsia="ja-JP"/>
              </w:rPr>
            </w:pPr>
            <w:r w:rsidRPr="004532C5">
              <w:rPr>
                <w:szCs w:val="22"/>
                <w:lang w:eastAsia="ja-JP"/>
              </w:rPr>
              <w:t>IGlar</w:t>
            </w:r>
            <w:r w:rsidR="004532C5">
              <w:rPr>
                <w:szCs w:val="22"/>
                <w:vertAlign w:val="superscript"/>
                <w:lang w:eastAsia="ja-JP"/>
              </w:rPr>
              <w:t>1</w:t>
            </w:r>
          </w:p>
        </w:tc>
        <w:tc>
          <w:tcPr>
            <w:tcW w:w="1710" w:type="dxa"/>
          </w:tcPr>
          <w:p w14:paraId="45D585B4" w14:textId="77777777" w:rsidR="0054447A" w:rsidRPr="004532C5" w:rsidRDefault="0054447A" w:rsidP="00451FDB">
            <w:pPr>
              <w:rPr>
                <w:szCs w:val="22"/>
                <w:lang w:eastAsia="ja-JP"/>
              </w:rPr>
            </w:pPr>
            <w:r w:rsidRPr="004532C5">
              <w:rPr>
                <w:szCs w:val="22"/>
                <w:lang w:eastAsia="ja-JP"/>
              </w:rPr>
              <w:t>Total</w:t>
            </w:r>
          </w:p>
        </w:tc>
      </w:tr>
      <w:tr w:rsidR="004532C5" w:rsidRPr="009934FA" w14:paraId="169608E5" w14:textId="77777777" w:rsidTr="004532C5">
        <w:tc>
          <w:tcPr>
            <w:tcW w:w="4250" w:type="dxa"/>
          </w:tcPr>
          <w:p w14:paraId="12B33442" w14:textId="77777777" w:rsidR="0054447A" w:rsidRPr="009934FA" w:rsidRDefault="0054447A" w:rsidP="00451FDB">
            <w:pPr>
              <w:rPr>
                <w:szCs w:val="22"/>
                <w:lang w:eastAsia="ja-JP"/>
              </w:rPr>
            </w:pPr>
            <w:r w:rsidRPr="009934FA">
              <w:rPr>
                <w:szCs w:val="22"/>
                <w:lang w:eastAsia="ja-JP"/>
              </w:rPr>
              <w:t>Number of subjects screened</w:t>
            </w:r>
          </w:p>
        </w:tc>
        <w:tc>
          <w:tcPr>
            <w:tcW w:w="3420" w:type="dxa"/>
            <w:gridSpan w:val="2"/>
          </w:tcPr>
          <w:p w14:paraId="7FE883C4" w14:textId="77777777" w:rsidR="0054447A" w:rsidRPr="009934FA" w:rsidRDefault="0054447A" w:rsidP="004532C5">
            <w:pPr>
              <w:ind w:left="0" w:right="0"/>
              <w:rPr>
                <w:szCs w:val="22"/>
                <w:lang w:eastAsia="ja-JP"/>
              </w:rPr>
            </w:pPr>
          </w:p>
        </w:tc>
        <w:tc>
          <w:tcPr>
            <w:tcW w:w="1710" w:type="dxa"/>
          </w:tcPr>
          <w:p w14:paraId="1613F476" w14:textId="77777777" w:rsidR="0054447A" w:rsidRPr="009934FA" w:rsidRDefault="0054447A" w:rsidP="004532C5">
            <w:pPr>
              <w:ind w:left="0" w:right="0"/>
              <w:rPr>
                <w:szCs w:val="22"/>
                <w:lang w:eastAsia="ja-JP"/>
              </w:rPr>
            </w:pPr>
            <w:r w:rsidRPr="009934FA">
              <w:rPr>
                <w:szCs w:val="22"/>
                <w:lang w:eastAsia="ja-JP"/>
              </w:rPr>
              <w:t>8203</w:t>
            </w:r>
          </w:p>
        </w:tc>
      </w:tr>
      <w:tr w:rsidR="004532C5" w:rsidRPr="009934FA" w14:paraId="38531709" w14:textId="77777777" w:rsidTr="004532C5">
        <w:trPr>
          <w:trHeight w:val="532"/>
        </w:trPr>
        <w:tc>
          <w:tcPr>
            <w:tcW w:w="4250" w:type="dxa"/>
          </w:tcPr>
          <w:p w14:paraId="14DFEB3F" w14:textId="28CC4F76" w:rsidR="0054447A" w:rsidRPr="009934FA" w:rsidRDefault="00EA5C2D" w:rsidP="00451FDB">
            <w:pPr>
              <w:rPr>
                <w:szCs w:val="22"/>
                <w:lang w:eastAsia="ja-JP"/>
              </w:rPr>
            </w:pPr>
            <w:r>
              <w:rPr>
                <w:szCs w:val="22"/>
                <w:lang w:eastAsia="ja-JP"/>
              </w:rPr>
              <w:t>Number of subjects randomised</w:t>
            </w:r>
          </w:p>
        </w:tc>
        <w:tc>
          <w:tcPr>
            <w:tcW w:w="1710" w:type="dxa"/>
          </w:tcPr>
          <w:p w14:paraId="6D50903F" w14:textId="77777777" w:rsidR="0054447A" w:rsidRPr="009934FA" w:rsidRDefault="0054447A" w:rsidP="004532C5">
            <w:pPr>
              <w:ind w:left="0" w:right="0"/>
              <w:rPr>
                <w:szCs w:val="22"/>
                <w:lang w:eastAsia="ja-JP"/>
              </w:rPr>
            </w:pPr>
            <w:r w:rsidRPr="009934FA">
              <w:rPr>
                <w:szCs w:val="22"/>
                <w:lang w:eastAsia="ja-JP"/>
              </w:rPr>
              <w:t>3818</w:t>
            </w:r>
          </w:p>
        </w:tc>
        <w:tc>
          <w:tcPr>
            <w:tcW w:w="1710" w:type="dxa"/>
          </w:tcPr>
          <w:p w14:paraId="46BAC236" w14:textId="77777777" w:rsidR="0054447A" w:rsidRPr="009934FA" w:rsidRDefault="0054447A" w:rsidP="004532C5">
            <w:pPr>
              <w:ind w:left="0" w:right="0"/>
              <w:rPr>
                <w:szCs w:val="22"/>
                <w:lang w:eastAsia="ja-JP"/>
              </w:rPr>
            </w:pPr>
            <w:r w:rsidRPr="009934FA">
              <w:rPr>
                <w:szCs w:val="22"/>
                <w:lang w:eastAsia="ja-JP"/>
              </w:rPr>
              <w:t>3820</w:t>
            </w:r>
          </w:p>
        </w:tc>
        <w:tc>
          <w:tcPr>
            <w:tcW w:w="1710" w:type="dxa"/>
          </w:tcPr>
          <w:p w14:paraId="05B97F3E" w14:textId="77777777" w:rsidR="0054447A" w:rsidRPr="009934FA" w:rsidRDefault="0054447A" w:rsidP="004532C5">
            <w:pPr>
              <w:ind w:left="0" w:right="0"/>
              <w:rPr>
                <w:szCs w:val="22"/>
                <w:lang w:eastAsia="ja-JP"/>
              </w:rPr>
            </w:pPr>
            <w:r w:rsidRPr="009934FA">
              <w:rPr>
                <w:szCs w:val="22"/>
                <w:lang w:eastAsia="ja-JP"/>
              </w:rPr>
              <w:t>7638</w:t>
            </w:r>
          </w:p>
        </w:tc>
      </w:tr>
      <w:tr w:rsidR="004532C5" w:rsidRPr="009934FA" w14:paraId="5F6CBF72" w14:textId="77777777" w:rsidTr="004532C5">
        <w:tc>
          <w:tcPr>
            <w:tcW w:w="4250" w:type="dxa"/>
          </w:tcPr>
          <w:p w14:paraId="66A77FDF" w14:textId="77777777" w:rsidR="0054447A" w:rsidRPr="009934FA" w:rsidRDefault="0054447A" w:rsidP="00451FDB">
            <w:pPr>
              <w:rPr>
                <w:szCs w:val="22"/>
                <w:lang w:eastAsia="ja-JP"/>
              </w:rPr>
            </w:pPr>
            <w:r w:rsidRPr="009934FA">
              <w:rPr>
                <w:szCs w:val="22"/>
                <w:lang w:eastAsia="ja-JP"/>
              </w:rPr>
              <w:t>Number of subjects exposed to study drug</w:t>
            </w:r>
          </w:p>
        </w:tc>
        <w:tc>
          <w:tcPr>
            <w:tcW w:w="1710" w:type="dxa"/>
          </w:tcPr>
          <w:p w14:paraId="42E1726A" w14:textId="77777777" w:rsidR="0054447A" w:rsidRPr="009934FA" w:rsidRDefault="0054447A" w:rsidP="004532C5">
            <w:pPr>
              <w:ind w:left="0" w:right="0"/>
              <w:rPr>
                <w:szCs w:val="22"/>
                <w:lang w:eastAsia="ja-JP"/>
              </w:rPr>
            </w:pPr>
            <w:r w:rsidRPr="009934FA">
              <w:rPr>
                <w:szCs w:val="22"/>
                <w:lang w:eastAsia="ja-JP"/>
              </w:rPr>
              <w:t>3807 (99.7%)</w:t>
            </w:r>
          </w:p>
        </w:tc>
        <w:tc>
          <w:tcPr>
            <w:tcW w:w="1710" w:type="dxa"/>
          </w:tcPr>
          <w:p w14:paraId="5DEF35A1" w14:textId="77777777" w:rsidR="0054447A" w:rsidRPr="009934FA" w:rsidRDefault="0054447A" w:rsidP="004532C5">
            <w:pPr>
              <w:ind w:left="0" w:right="0"/>
              <w:rPr>
                <w:szCs w:val="22"/>
                <w:lang w:eastAsia="ja-JP"/>
              </w:rPr>
            </w:pPr>
            <w:r w:rsidRPr="009934FA">
              <w:rPr>
                <w:szCs w:val="22"/>
                <w:lang w:eastAsia="ja-JP"/>
              </w:rPr>
              <w:t>3802 (99.5%)</w:t>
            </w:r>
          </w:p>
        </w:tc>
        <w:tc>
          <w:tcPr>
            <w:tcW w:w="1710" w:type="dxa"/>
          </w:tcPr>
          <w:p w14:paraId="3CE95B9F" w14:textId="77777777" w:rsidR="0054447A" w:rsidRPr="009934FA" w:rsidRDefault="0054447A" w:rsidP="004532C5">
            <w:pPr>
              <w:ind w:left="0" w:right="0"/>
              <w:rPr>
                <w:szCs w:val="22"/>
                <w:lang w:eastAsia="ja-JP"/>
              </w:rPr>
            </w:pPr>
            <w:r w:rsidRPr="009934FA">
              <w:rPr>
                <w:szCs w:val="22"/>
                <w:lang w:eastAsia="ja-JP"/>
              </w:rPr>
              <w:t>7609 (99.6%)</w:t>
            </w:r>
          </w:p>
        </w:tc>
      </w:tr>
      <w:tr w:rsidR="004532C5" w:rsidRPr="009934FA" w14:paraId="19619606" w14:textId="77777777" w:rsidTr="004532C5">
        <w:tc>
          <w:tcPr>
            <w:tcW w:w="4250" w:type="dxa"/>
          </w:tcPr>
          <w:p w14:paraId="69F96CB3" w14:textId="77777777" w:rsidR="0054447A" w:rsidRPr="009934FA" w:rsidRDefault="0054447A" w:rsidP="00451FDB">
            <w:pPr>
              <w:rPr>
                <w:szCs w:val="22"/>
                <w:lang w:eastAsia="ja-JP"/>
              </w:rPr>
            </w:pPr>
            <w:r w:rsidRPr="009934FA">
              <w:rPr>
                <w:szCs w:val="22"/>
                <w:lang w:eastAsia="ja-JP"/>
              </w:rPr>
              <w:t>Proportion of days on treatment (of the total time in trial)</w:t>
            </w:r>
          </w:p>
        </w:tc>
        <w:tc>
          <w:tcPr>
            <w:tcW w:w="1710" w:type="dxa"/>
          </w:tcPr>
          <w:p w14:paraId="20CC0BA3" w14:textId="77777777" w:rsidR="0054447A" w:rsidRPr="009934FA" w:rsidRDefault="0054447A" w:rsidP="004532C5">
            <w:pPr>
              <w:ind w:left="0" w:right="0"/>
              <w:rPr>
                <w:szCs w:val="22"/>
                <w:lang w:eastAsia="ja-JP"/>
              </w:rPr>
            </w:pPr>
            <w:r w:rsidRPr="009934FA">
              <w:rPr>
                <w:szCs w:val="22"/>
                <w:lang w:eastAsia="ja-JP"/>
              </w:rPr>
              <w:t>98.1%</w:t>
            </w:r>
          </w:p>
        </w:tc>
        <w:tc>
          <w:tcPr>
            <w:tcW w:w="1710" w:type="dxa"/>
          </w:tcPr>
          <w:p w14:paraId="4EE72250" w14:textId="77777777" w:rsidR="0054447A" w:rsidRPr="009934FA" w:rsidRDefault="0054447A" w:rsidP="004532C5">
            <w:pPr>
              <w:ind w:left="0" w:right="0"/>
              <w:rPr>
                <w:szCs w:val="22"/>
                <w:lang w:eastAsia="ja-JP"/>
              </w:rPr>
            </w:pPr>
            <w:r w:rsidRPr="009934FA">
              <w:rPr>
                <w:szCs w:val="22"/>
                <w:lang w:eastAsia="ja-JP"/>
              </w:rPr>
              <w:t>97.9%</w:t>
            </w:r>
          </w:p>
        </w:tc>
        <w:tc>
          <w:tcPr>
            <w:tcW w:w="1710" w:type="dxa"/>
          </w:tcPr>
          <w:p w14:paraId="141C3673" w14:textId="77777777" w:rsidR="0054447A" w:rsidRPr="009934FA" w:rsidRDefault="0054447A" w:rsidP="004532C5">
            <w:pPr>
              <w:ind w:left="0" w:right="0"/>
              <w:rPr>
                <w:szCs w:val="22"/>
                <w:lang w:eastAsia="ja-JP"/>
              </w:rPr>
            </w:pPr>
          </w:p>
        </w:tc>
      </w:tr>
      <w:tr w:rsidR="004532C5" w:rsidRPr="009934FA" w14:paraId="1A520A3D" w14:textId="77777777" w:rsidTr="004532C5">
        <w:tc>
          <w:tcPr>
            <w:tcW w:w="4250" w:type="dxa"/>
          </w:tcPr>
          <w:p w14:paraId="4FC51927" w14:textId="77777777" w:rsidR="0054447A" w:rsidRPr="009934FA" w:rsidRDefault="0054447A" w:rsidP="00451FDB">
            <w:pPr>
              <w:rPr>
                <w:szCs w:val="22"/>
                <w:lang w:eastAsia="ja-JP"/>
              </w:rPr>
            </w:pPr>
            <w:r w:rsidRPr="009934FA">
              <w:rPr>
                <w:szCs w:val="22"/>
                <w:lang w:eastAsia="ja-JP"/>
              </w:rPr>
              <w:t>Number of subjects on a treatment pause (temporary or permanent) at time of interim analysis database lock</w:t>
            </w:r>
          </w:p>
        </w:tc>
        <w:tc>
          <w:tcPr>
            <w:tcW w:w="1710" w:type="dxa"/>
          </w:tcPr>
          <w:p w14:paraId="5762D71E" w14:textId="77777777" w:rsidR="0054447A" w:rsidRPr="009934FA" w:rsidRDefault="0054447A" w:rsidP="004532C5">
            <w:pPr>
              <w:ind w:left="0" w:right="0"/>
              <w:rPr>
                <w:szCs w:val="22"/>
                <w:lang w:eastAsia="ja-JP"/>
              </w:rPr>
            </w:pPr>
            <w:r w:rsidRPr="009934FA">
              <w:rPr>
                <w:szCs w:val="22"/>
                <w:lang w:eastAsia="ja-JP"/>
              </w:rPr>
              <w:t>116 (3.0%)</w:t>
            </w:r>
          </w:p>
        </w:tc>
        <w:tc>
          <w:tcPr>
            <w:tcW w:w="1710" w:type="dxa"/>
          </w:tcPr>
          <w:p w14:paraId="05E36D99" w14:textId="77777777" w:rsidR="0054447A" w:rsidRPr="009934FA" w:rsidRDefault="0054447A" w:rsidP="004532C5">
            <w:pPr>
              <w:ind w:left="0" w:right="0"/>
              <w:rPr>
                <w:szCs w:val="22"/>
                <w:lang w:eastAsia="ja-JP"/>
              </w:rPr>
            </w:pPr>
            <w:r w:rsidRPr="009934FA">
              <w:rPr>
                <w:szCs w:val="22"/>
                <w:lang w:eastAsia="ja-JP"/>
              </w:rPr>
              <w:t>136 (3.6%)</w:t>
            </w:r>
          </w:p>
        </w:tc>
        <w:tc>
          <w:tcPr>
            <w:tcW w:w="1710" w:type="dxa"/>
          </w:tcPr>
          <w:p w14:paraId="00F035F1" w14:textId="77777777" w:rsidR="0054447A" w:rsidRPr="009934FA" w:rsidRDefault="0054447A" w:rsidP="004532C5">
            <w:pPr>
              <w:ind w:left="0" w:right="0"/>
              <w:rPr>
                <w:szCs w:val="22"/>
                <w:lang w:eastAsia="ja-JP"/>
              </w:rPr>
            </w:pPr>
            <w:r w:rsidRPr="009934FA">
              <w:rPr>
                <w:szCs w:val="22"/>
                <w:lang w:eastAsia="ja-JP"/>
              </w:rPr>
              <w:t>252 (3.3%)</w:t>
            </w:r>
          </w:p>
        </w:tc>
      </w:tr>
      <w:tr w:rsidR="004532C5" w:rsidRPr="009934FA" w14:paraId="102FE74A" w14:textId="77777777" w:rsidTr="004532C5">
        <w:tc>
          <w:tcPr>
            <w:tcW w:w="4250" w:type="dxa"/>
          </w:tcPr>
          <w:p w14:paraId="585F75AA" w14:textId="77777777" w:rsidR="0054447A" w:rsidRPr="009934FA" w:rsidRDefault="0054447A" w:rsidP="00451FDB">
            <w:pPr>
              <w:rPr>
                <w:szCs w:val="22"/>
                <w:lang w:eastAsia="ja-JP"/>
              </w:rPr>
            </w:pPr>
            <w:r w:rsidRPr="009934FA">
              <w:rPr>
                <w:szCs w:val="22"/>
                <w:lang w:eastAsia="ja-JP"/>
              </w:rPr>
              <w:t>Number of subjects on treatment at time of interim analysis database lock</w:t>
            </w:r>
          </w:p>
        </w:tc>
        <w:tc>
          <w:tcPr>
            <w:tcW w:w="1710" w:type="dxa"/>
          </w:tcPr>
          <w:p w14:paraId="6131E63E" w14:textId="77777777" w:rsidR="0054447A" w:rsidRPr="009934FA" w:rsidRDefault="0054447A" w:rsidP="004532C5">
            <w:pPr>
              <w:ind w:left="0" w:right="0"/>
              <w:rPr>
                <w:szCs w:val="22"/>
                <w:lang w:eastAsia="ja-JP"/>
              </w:rPr>
            </w:pPr>
            <w:r w:rsidRPr="009934FA">
              <w:rPr>
                <w:szCs w:val="22"/>
                <w:lang w:eastAsia="ja-JP"/>
              </w:rPr>
              <w:t>3655 (95.7%)</w:t>
            </w:r>
          </w:p>
        </w:tc>
        <w:tc>
          <w:tcPr>
            <w:tcW w:w="1710" w:type="dxa"/>
          </w:tcPr>
          <w:p w14:paraId="525AB4D6" w14:textId="77777777" w:rsidR="0054447A" w:rsidRPr="009934FA" w:rsidRDefault="0054447A" w:rsidP="004532C5">
            <w:pPr>
              <w:ind w:left="0" w:right="0"/>
              <w:rPr>
                <w:szCs w:val="22"/>
                <w:lang w:eastAsia="ja-JP"/>
              </w:rPr>
            </w:pPr>
            <w:r w:rsidRPr="009934FA">
              <w:rPr>
                <w:szCs w:val="22"/>
                <w:lang w:eastAsia="ja-JP"/>
              </w:rPr>
              <w:t>3618 (94.7%)</w:t>
            </w:r>
          </w:p>
        </w:tc>
        <w:tc>
          <w:tcPr>
            <w:tcW w:w="1710" w:type="dxa"/>
          </w:tcPr>
          <w:p w14:paraId="7CD84730" w14:textId="77777777" w:rsidR="0054447A" w:rsidRPr="009934FA" w:rsidRDefault="0054447A" w:rsidP="004532C5">
            <w:pPr>
              <w:ind w:left="0" w:right="0"/>
              <w:rPr>
                <w:szCs w:val="22"/>
                <w:lang w:eastAsia="ja-JP"/>
              </w:rPr>
            </w:pPr>
            <w:r w:rsidRPr="009934FA">
              <w:rPr>
                <w:szCs w:val="22"/>
                <w:lang w:eastAsia="ja-JP"/>
              </w:rPr>
              <w:t>7273 (95.2%)</w:t>
            </w:r>
          </w:p>
        </w:tc>
      </w:tr>
      <w:tr w:rsidR="004532C5" w:rsidRPr="009934FA" w14:paraId="66327B3C" w14:textId="77777777" w:rsidTr="004532C5">
        <w:tc>
          <w:tcPr>
            <w:tcW w:w="4250" w:type="dxa"/>
          </w:tcPr>
          <w:p w14:paraId="18C8B643" w14:textId="77777777" w:rsidR="0054447A" w:rsidRPr="009934FA" w:rsidRDefault="0054447A" w:rsidP="00451FDB">
            <w:pPr>
              <w:rPr>
                <w:szCs w:val="22"/>
                <w:lang w:eastAsia="ja-JP"/>
              </w:rPr>
            </w:pPr>
            <w:r w:rsidRPr="009934FA">
              <w:rPr>
                <w:szCs w:val="22"/>
                <w:lang w:eastAsia="ja-JP"/>
              </w:rPr>
              <w:t>Number of deaths</w:t>
            </w:r>
          </w:p>
        </w:tc>
        <w:tc>
          <w:tcPr>
            <w:tcW w:w="1710" w:type="dxa"/>
          </w:tcPr>
          <w:p w14:paraId="6704DA8A" w14:textId="77777777" w:rsidR="0054447A" w:rsidRPr="009934FA" w:rsidRDefault="0054447A" w:rsidP="004532C5">
            <w:pPr>
              <w:ind w:left="0" w:right="0"/>
              <w:rPr>
                <w:szCs w:val="22"/>
                <w:lang w:eastAsia="ja-JP"/>
              </w:rPr>
            </w:pPr>
            <w:r w:rsidRPr="009934FA">
              <w:rPr>
                <w:szCs w:val="22"/>
                <w:lang w:eastAsia="ja-JP"/>
              </w:rPr>
              <w:t>30 (0.8%)</w:t>
            </w:r>
          </w:p>
        </w:tc>
        <w:tc>
          <w:tcPr>
            <w:tcW w:w="1710" w:type="dxa"/>
          </w:tcPr>
          <w:p w14:paraId="4040D4CC" w14:textId="77777777" w:rsidR="0054447A" w:rsidRPr="009934FA" w:rsidRDefault="0054447A" w:rsidP="004532C5">
            <w:pPr>
              <w:ind w:left="0" w:right="0"/>
              <w:rPr>
                <w:szCs w:val="22"/>
                <w:lang w:eastAsia="ja-JP"/>
              </w:rPr>
            </w:pPr>
            <w:r w:rsidRPr="009934FA">
              <w:rPr>
                <w:szCs w:val="22"/>
                <w:lang w:eastAsia="ja-JP"/>
              </w:rPr>
              <w:t>45 (1.2%)</w:t>
            </w:r>
          </w:p>
        </w:tc>
        <w:tc>
          <w:tcPr>
            <w:tcW w:w="1710" w:type="dxa"/>
          </w:tcPr>
          <w:p w14:paraId="123068D5" w14:textId="77777777" w:rsidR="0054447A" w:rsidRPr="009934FA" w:rsidRDefault="0054447A" w:rsidP="004532C5">
            <w:pPr>
              <w:ind w:left="0" w:right="0"/>
              <w:rPr>
                <w:szCs w:val="22"/>
                <w:lang w:eastAsia="ja-JP"/>
              </w:rPr>
            </w:pPr>
            <w:r w:rsidRPr="009934FA">
              <w:rPr>
                <w:szCs w:val="22"/>
                <w:lang w:eastAsia="ja-JP"/>
              </w:rPr>
              <w:t>75 (1.0)</w:t>
            </w:r>
          </w:p>
        </w:tc>
      </w:tr>
      <w:tr w:rsidR="004532C5" w:rsidRPr="009934FA" w14:paraId="6E0F184D" w14:textId="77777777" w:rsidTr="004532C5">
        <w:tc>
          <w:tcPr>
            <w:tcW w:w="4250" w:type="dxa"/>
          </w:tcPr>
          <w:p w14:paraId="39AE8E0E" w14:textId="77777777" w:rsidR="0054447A" w:rsidRPr="009934FA" w:rsidRDefault="0054447A" w:rsidP="00451FDB">
            <w:pPr>
              <w:rPr>
                <w:szCs w:val="22"/>
                <w:lang w:eastAsia="ja-JP"/>
              </w:rPr>
            </w:pPr>
            <w:r w:rsidRPr="009934FA">
              <w:rPr>
                <w:szCs w:val="22"/>
                <w:lang w:eastAsia="ja-JP"/>
              </w:rPr>
              <w:t>Number of subjects withdrawn from the trial at time of interim analysis database lock (not including deaths)</w:t>
            </w:r>
          </w:p>
        </w:tc>
        <w:tc>
          <w:tcPr>
            <w:tcW w:w="1710" w:type="dxa"/>
          </w:tcPr>
          <w:p w14:paraId="788C8015" w14:textId="77777777" w:rsidR="0054447A" w:rsidRPr="009934FA" w:rsidRDefault="0054447A" w:rsidP="004532C5">
            <w:pPr>
              <w:ind w:left="0" w:right="0"/>
              <w:rPr>
                <w:szCs w:val="22"/>
                <w:lang w:eastAsia="ja-JP"/>
              </w:rPr>
            </w:pPr>
            <w:r w:rsidRPr="009934FA">
              <w:rPr>
                <w:szCs w:val="22"/>
                <w:lang w:eastAsia="ja-JP"/>
              </w:rPr>
              <w:t>6 (0.2%)</w:t>
            </w:r>
          </w:p>
        </w:tc>
        <w:tc>
          <w:tcPr>
            <w:tcW w:w="1710" w:type="dxa"/>
          </w:tcPr>
          <w:p w14:paraId="411A8D08" w14:textId="77777777" w:rsidR="0054447A" w:rsidRPr="009934FA" w:rsidRDefault="0054447A" w:rsidP="004532C5">
            <w:pPr>
              <w:ind w:left="0" w:right="0"/>
              <w:rPr>
                <w:szCs w:val="22"/>
                <w:lang w:eastAsia="ja-JP"/>
              </w:rPr>
            </w:pPr>
            <w:r w:rsidRPr="009934FA">
              <w:rPr>
                <w:szCs w:val="22"/>
                <w:lang w:eastAsia="ja-JP"/>
              </w:rPr>
              <w:t>3 (0.1%)</w:t>
            </w:r>
          </w:p>
        </w:tc>
        <w:tc>
          <w:tcPr>
            <w:tcW w:w="1710" w:type="dxa"/>
          </w:tcPr>
          <w:p w14:paraId="32A138DC" w14:textId="77777777" w:rsidR="0054447A" w:rsidRPr="009934FA" w:rsidRDefault="0054447A" w:rsidP="004532C5">
            <w:pPr>
              <w:ind w:left="0" w:right="0"/>
              <w:rPr>
                <w:szCs w:val="22"/>
                <w:lang w:eastAsia="ja-JP"/>
              </w:rPr>
            </w:pPr>
            <w:r w:rsidRPr="009934FA">
              <w:rPr>
                <w:szCs w:val="22"/>
                <w:lang w:eastAsia="ja-JP"/>
              </w:rPr>
              <w:t>9 (0.1%)</w:t>
            </w:r>
          </w:p>
        </w:tc>
      </w:tr>
      <w:tr w:rsidR="004532C5" w:rsidRPr="009934FA" w14:paraId="67D43D88" w14:textId="77777777" w:rsidTr="004532C5">
        <w:tc>
          <w:tcPr>
            <w:tcW w:w="4250" w:type="dxa"/>
          </w:tcPr>
          <w:p w14:paraId="54242DA5" w14:textId="77777777" w:rsidR="0054447A" w:rsidRPr="009934FA" w:rsidRDefault="0054447A" w:rsidP="00451FDB">
            <w:pPr>
              <w:rPr>
                <w:szCs w:val="22"/>
                <w:lang w:eastAsia="ja-JP"/>
              </w:rPr>
            </w:pPr>
            <w:r w:rsidRPr="009934FA">
              <w:rPr>
                <w:szCs w:val="22"/>
                <w:lang w:eastAsia="ja-JP"/>
              </w:rPr>
              <w:t>Total patient years on trial treatment at interim analysis database lock (Patient years of exposure)</w:t>
            </w:r>
          </w:p>
        </w:tc>
        <w:tc>
          <w:tcPr>
            <w:tcW w:w="1710" w:type="dxa"/>
          </w:tcPr>
          <w:p w14:paraId="0AF7ED89" w14:textId="77777777" w:rsidR="0054447A" w:rsidRPr="009934FA" w:rsidRDefault="0054447A" w:rsidP="004532C5">
            <w:pPr>
              <w:ind w:left="0" w:right="0"/>
              <w:rPr>
                <w:szCs w:val="22"/>
                <w:lang w:eastAsia="ja-JP"/>
              </w:rPr>
            </w:pPr>
            <w:r w:rsidRPr="009934FA">
              <w:rPr>
                <w:szCs w:val="22"/>
                <w:lang w:eastAsia="ja-JP"/>
              </w:rPr>
              <w:t>1830.9</w:t>
            </w:r>
          </w:p>
        </w:tc>
        <w:tc>
          <w:tcPr>
            <w:tcW w:w="1710" w:type="dxa"/>
          </w:tcPr>
          <w:p w14:paraId="64604508" w14:textId="77777777" w:rsidR="0054447A" w:rsidRPr="009934FA" w:rsidRDefault="0054447A" w:rsidP="004532C5">
            <w:pPr>
              <w:ind w:left="0" w:right="0"/>
              <w:rPr>
                <w:szCs w:val="22"/>
                <w:lang w:eastAsia="ja-JP"/>
              </w:rPr>
            </w:pPr>
            <w:r w:rsidRPr="009934FA">
              <w:rPr>
                <w:szCs w:val="22"/>
                <w:lang w:eastAsia="ja-JP"/>
              </w:rPr>
              <w:t>1824.5</w:t>
            </w:r>
          </w:p>
        </w:tc>
        <w:tc>
          <w:tcPr>
            <w:tcW w:w="1710" w:type="dxa"/>
          </w:tcPr>
          <w:p w14:paraId="5C4540CF" w14:textId="77777777" w:rsidR="0054447A" w:rsidRPr="009934FA" w:rsidRDefault="0054447A" w:rsidP="004532C5">
            <w:pPr>
              <w:ind w:left="0" w:right="0"/>
              <w:rPr>
                <w:szCs w:val="22"/>
                <w:lang w:eastAsia="ja-JP"/>
              </w:rPr>
            </w:pPr>
            <w:r w:rsidRPr="009934FA">
              <w:rPr>
                <w:szCs w:val="22"/>
                <w:lang w:eastAsia="ja-JP"/>
              </w:rPr>
              <w:t>3655.4</w:t>
            </w:r>
          </w:p>
        </w:tc>
      </w:tr>
    </w:tbl>
    <w:p w14:paraId="46E6029F" w14:textId="16F5184C" w:rsidR="004532C5" w:rsidRDefault="004532C5" w:rsidP="000C61AE">
      <w:pPr>
        <w:pStyle w:val="TableDescription"/>
      </w:pPr>
      <w:r>
        <w:t xml:space="preserve">IGlar (comparator) </w:t>
      </w:r>
      <w:r w:rsidR="000C61AE">
        <w:t>= insulin glargine</w:t>
      </w:r>
    </w:p>
    <w:p w14:paraId="7462B35E" w14:textId="77777777" w:rsidR="00605AD4" w:rsidRPr="009934FA" w:rsidRDefault="00605AD4" w:rsidP="0054447A">
      <w:pPr>
        <w:pStyle w:val="Heading4"/>
      </w:pPr>
      <w:r w:rsidRPr="009934FA">
        <w:t>Safety issues with the potential for major regulatory impact</w:t>
      </w:r>
    </w:p>
    <w:p w14:paraId="09C52ED2" w14:textId="4C53E4EE" w:rsidR="00B861F7" w:rsidRPr="009934FA" w:rsidRDefault="00B861F7" w:rsidP="00B861F7">
      <w:r w:rsidRPr="009934FA">
        <w:t xml:space="preserve">The focus of this resubmission is </w:t>
      </w:r>
      <w:r w:rsidR="000C61AE">
        <w:t>CV</w:t>
      </w:r>
      <w:r w:rsidRPr="009934FA">
        <w:t xml:space="preserve"> safet</w:t>
      </w:r>
      <w:r w:rsidR="002959C8">
        <w:t>y</w:t>
      </w:r>
      <w:r w:rsidR="000C61AE">
        <w:t xml:space="preserve">. This is discussed in the </w:t>
      </w:r>
      <w:r w:rsidR="00642B76">
        <w:t>F</w:t>
      </w:r>
      <w:r w:rsidR="00642B76" w:rsidRPr="009934FA">
        <w:t xml:space="preserve">irst </w:t>
      </w:r>
      <w:r w:rsidRPr="009934FA">
        <w:t xml:space="preserve">round benefit-risk assessment and Delegate’s </w:t>
      </w:r>
      <w:r w:rsidR="00161BE3">
        <w:t>overview (</w:t>
      </w:r>
      <w:r w:rsidR="00642B76">
        <w:t xml:space="preserve">Overall conclusions and benefit-risk assessment </w:t>
      </w:r>
      <w:r w:rsidR="00161BE3">
        <w:t>below)</w:t>
      </w:r>
      <w:r w:rsidR="00394E04" w:rsidRPr="009934FA">
        <w:t xml:space="preserve"> and </w:t>
      </w:r>
      <w:r w:rsidR="002959C8">
        <w:t xml:space="preserve">further </w:t>
      </w:r>
      <w:r w:rsidR="00394E04" w:rsidRPr="009934FA">
        <w:t>ev</w:t>
      </w:r>
      <w:r w:rsidR="002959C8">
        <w:t>aluated in detail in Attachment </w:t>
      </w:r>
      <w:r w:rsidR="00394E04" w:rsidRPr="009934FA">
        <w:t>2.</w:t>
      </w:r>
    </w:p>
    <w:p w14:paraId="09880694" w14:textId="77777777" w:rsidR="00605AD4" w:rsidRDefault="00605AD4" w:rsidP="00605AD4">
      <w:pPr>
        <w:pStyle w:val="Heading4"/>
      </w:pPr>
      <w:r w:rsidRPr="009934FA">
        <w:t>Postmarketing data</w:t>
      </w:r>
    </w:p>
    <w:p w14:paraId="07F076D9" w14:textId="78118035" w:rsidR="00DE5607" w:rsidRPr="00DE5607" w:rsidRDefault="00DE5607" w:rsidP="00DE5607">
      <w:r>
        <w:t>The following summary</w:t>
      </w:r>
      <w:r w:rsidR="002959C8">
        <w:t xml:space="preserve"> </w:t>
      </w:r>
      <w:r w:rsidR="00F37D55">
        <w:t xml:space="preserve">is </w:t>
      </w:r>
      <w:r w:rsidR="002959C8">
        <w:t>taken from the clinical evaluation report</w:t>
      </w:r>
      <w:r>
        <w:t xml:space="preserve"> regarding postmarketing exposur</w:t>
      </w:r>
      <w:r w:rsidR="002959C8">
        <w:t>e and data; for further details</w:t>
      </w:r>
      <w:r>
        <w:t xml:space="preserve"> see Attachment 2.</w:t>
      </w:r>
    </w:p>
    <w:p w14:paraId="30BEE401" w14:textId="77777777" w:rsidR="00610C61" w:rsidRPr="00AA4C4E" w:rsidRDefault="00610C61" w:rsidP="00DE5607">
      <w:pPr>
        <w:pStyle w:val="ListBullet"/>
        <w:rPr>
          <w:lang w:eastAsia="ja-JP"/>
        </w:rPr>
      </w:pPr>
      <w:r w:rsidRPr="00AA4C4E">
        <w:rPr>
          <w:lang w:eastAsia="ja-JP"/>
        </w:rPr>
        <w:t>IDeg is approved in more than 60 countries, and marke</w:t>
      </w:r>
      <w:r>
        <w:rPr>
          <w:lang w:eastAsia="ja-JP"/>
        </w:rPr>
        <w:t>ted in more than 30 countries.</w:t>
      </w:r>
    </w:p>
    <w:p w14:paraId="48696090" w14:textId="089E023B" w:rsidR="006A343A" w:rsidRPr="00AA4C4E" w:rsidRDefault="006A343A" w:rsidP="00DE5607">
      <w:pPr>
        <w:pStyle w:val="ListBullet"/>
        <w:rPr>
          <w:lang w:eastAsia="ja-JP"/>
        </w:rPr>
      </w:pPr>
      <w:r w:rsidRPr="00AA4C4E">
        <w:rPr>
          <w:lang w:eastAsia="ja-JP"/>
        </w:rPr>
        <w:t>It is estimated that there has been 317</w:t>
      </w:r>
      <w:r>
        <w:rPr>
          <w:lang w:eastAsia="ja-JP"/>
        </w:rPr>
        <w:t>,</w:t>
      </w:r>
      <w:r w:rsidRPr="00AA4C4E">
        <w:rPr>
          <w:lang w:eastAsia="ja-JP"/>
        </w:rPr>
        <w:t>433 patient yea</w:t>
      </w:r>
      <w:r>
        <w:rPr>
          <w:lang w:eastAsia="ja-JP"/>
        </w:rPr>
        <w:t>rs of exposure to IDeg up until 30 </w:t>
      </w:r>
      <w:r w:rsidRPr="00AA4C4E">
        <w:rPr>
          <w:lang w:eastAsia="ja-JP"/>
        </w:rPr>
        <w:t>September 2015 (‘cumulative exposure’), and 69% of that exposure occurred during the</w:t>
      </w:r>
      <w:r>
        <w:rPr>
          <w:lang w:eastAsia="ja-JP"/>
        </w:rPr>
        <w:t xml:space="preserve"> current PSUR reporting period.</w:t>
      </w:r>
      <w:r>
        <w:rPr>
          <w:rStyle w:val="FootnoteReference"/>
          <w:lang w:eastAsia="ja-JP"/>
        </w:rPr>
        <w:footnoteReference w:id="13"/>
      </w:r>
    </w:p>
    <w:p w14:paraId="0DAA5918" w14:textId="77777777" w:rsidR="006A343A" w:rsidRPr="00AA4C4E" w:rsidRDefault="006A343A" w:rsidP="00DE5607">
      <w:pPr>
        <w:pStyle w:val="ListBullet"/>
        <w:rPr>
          <w:lang w:eastAsia="ja-JP"/>
        </w:rPr>
      </w:pPr>
      <w:r w:rsidRPr="00AA4C4E">
        <w:rPr>
          <w:lang w:eastAsia="ja-JP"/>
        </w:rPr>
        <w:t>Cumulatively, 2934 adverse drug reactions have been reported in 1700 spontaneous case reports, of which 16% were serious. 1645 adverse drug reactions, of which 146 were serious, wer</w:t>
      </w:r>
      <w:r>
        <w:rPr>
          <w:lang w:eastAsia="ja-JP"/>
        </w:rPr>
        <w:t>e reported in this PSUR period.</w:t>
      </w:r>
    </w:p>
    <w:p w14:paraId="5AC9E759" w14:textId="0EBD1C39" w:rsidR="00DE5607" w:rsidRDefault="006A343A" w:rsidP="00DE5607">
      <w:pPr>
        <w:pStyle w:val="ListBullet"/>
        <w:rPr>
          <w:lang w:eastAsia="ja-JP"/>
        </w:rPr>
      </w:pPr>
      <w:r w:rsidRPr="00AA4C4E">
        <w:rPr>
          <w:lang w:eastAsia="ja-JP"/>
        </w:rPr>
        <w:lastRenderedPageBreak/>
        <w:t>281 events in 185 serious case reports were reported for this PSUR period (of a total 300 adverse events in 197 case report</w:t>
      </w:r>
      <w:r w:rsidR="00DE5607">
        <w:rPr>
          <w:lang w:eastAsia="ja-JP"/>
        </w:rPr>
        <w:t>s) from non-interventional post</w:t>
      </w:r>
      <w:r w:rsidRPr="00AA4C4E">
        <w:rPr>
          <w:lang w:eastAsia="ja-JP"/>
        </w:rPr>
        <w:t>marketing studies and other solicited sources and of these, 57 events</w:t>
      </w:r>
      <w:r w:rsidR="00DE5607">
        <w:rPr>
          <w:lang w:eastAsia="ja-JP"/>
        </w:rPr>
        <w:t xml:space="preserve"> were considered to be serious.</w:t>
      </w:r>
    </w:p>
    <w:p w14:paraId="36F1F8C9" w14:textId="7BE2156D" w:rsidR="00DE5607" w:rsidRDefault="00DE5607" w:rsidP="00DE5607">
      <w:pPr>
        <w:pStyle w:val="ListBullet"/>
        <w:rPr>
          <w:lang w:eastAsia="ja-JP"/>
        </w:rPr>
      </w:pPr>
      <w:r w:rsidRPr="00AA4C4E">
        <w:rPr>
          <w:lang w:eastAsia="ja-JP"/>
        </w:rPr>
        <w:t xml:space="preserve">No new potential or important risks have been </w:t>
      </w:r>
      <w:r>
        <w:rPr>
          <w:lang w:eastAsia="ja-JP"/>
        </w:rPr>
        <w:t>identified in this PSUR period.</w:t>
      </w:r>
    </w:p>
    <w:p w14:paraId="1C6FE81E" w14:textId="09F6AF03" w:rsidR="00C80D51" w:rsidRPr="00610C61" w:rsidRDefault="00C80D51" w:rsidP="00DE5607">
      <w:pPr>
        <w:pStyle w:val="ListBullet"/>
        <w:rPr>
          <w:lang w:eastAsia="ja-JP"/>
        </w:rPr>
      </w:pPr>
      <w:r>
        <w:rPr>
          <w:lang w:eastAsia="ja-JP"/>
        </w:rPr>
        <w:t>There are 2 ongoing safety evaluations documented in the PSUR.</w:t>
      </w:r>
    </w:p>
    <w:p w14:paraId="4270FEC2" w14:textId="77777777" w:rsidR="00605AD4" w:rsidRPr="009934FA" w:rsidRDefault="00605AD4" w:rsidP="00605AD4">
      <w:pPr>
        <w:pStyle w:val="Heading4"/>
      </w:pPr>
      <w:r w:rsidRPr="009934FA">
        <w:t>Evaluator’s conclusions on safety</w:t>
      </w:r>
    </w:p>
    <w:p w14:paraId="2799233C" w14:textId="631280C0" w:rsidR="005D0492" w:rsidRPr="009934FA" w:rsidRDefault="005D0492" w:rsidP="005D0492">
      <w:r w:rsidRPr="009934FA">
        <w:t>The important identified risks of IDeg as noted in the PSUR/PBRER are hypoglycaemia, immunogenicity related events (allergic reactions) a</w:t>
      </w:r>
      <w:r w:rsidR="00161BE3">
        <w:t xml:space="preserve">nd medication errors due to mix </w:t>
      </w:r>
      <w:r w:rsidRPr="009934FA">
        <w:t xml:space="preserve">up between basal and bolus insulin. A safety related concern arising from the original submission for IDeg related to </w:t>
      </w:r>
      <w:r w:rsidR="00161BE3">
        <w:t>CV</w:t>
      </w:r>
      <w:r w:rsidRPr="009934FA">
        <w:t xml:space="preserve"> outcomes and a core component of the safety data submitted in this resubmission of IDeg was the </w:t>
      </w:r>
      <w:r w:rsidR="00161BE3">
        <w:t>CV outcomes DEVOTE trial</w:t>
      </w:r>
      <w:r w:rsidRPr="009934FA">
        <w:t xml:space="preserve">. This trial was of robust design and the primary endpoint comparing </w:t>
      </w:r>
      <w:r w:rsidR="00161BE3">
        <w:t>IDeg with IGlar was met for non</w:t>
      </w:r>
      <w:r w:rsidR="00161BE3">
        <w:noBreakHyphen/>
      </w:r>
      <w:r w:rsidRPr="009934FA">
        <w:t xml:space="preserve">inferiority in an interim analysis; </w:t>
      </w:r>
      <w:r w:rsidR="006C50FE" w:rsidRPr="009934FA">
        <w:t>therefore,</w:t>
      </w:r>
      <w:r w:rsidRPr="009934FA">
        <w:t xml:space="preserve"> the </w:t>
      </w:r>
      <w:r w:rsidR="00E45A31">
        <w:t>CV</w:t>
      </w:r>
      <w:r w:rsidRPr="009934FA">
        <w:t xml:space="preserve"> signal detected in the Phase III development program in the original submission was not supported. Nevertheless, it is noted that only interim results are presented and final results will provide stronger evidence. Further it is noted the DEVOTE trial does not provide data specific to the T1DM population.</w:t>
      </w:r>
    </w:p>
    <w:p w14:paraId="38E973F6" w14:textId="460A97B5" w:rsidR="005D0492" w:rsidRPr="009934FA" w:rsidRDefault="005D0492" w:rsidP="005D0492">
      <w:r w:rsidRPr="009934FA">
        <w:t xml:space="preserve">New integrated safety data with </w:t>
      </w:r>
      <w:r w:rsidR="006C50FE" w:rsidRPr="009934FA">
        <w:t>cut-off</w:t>
      </w:r>
      <w:r w:rsidRPr="009934FA">
        <w:t xml:space="preserve"> date of 30 September 2014 has been presented for IDeg in the current submission. This data has been compared in the submission documents to the </w:t>
      </w:r>
      <w:r w:rsidR="00FD6431" w:rsidRPr="009934FA">
        <w:t xml:space="preserve">Integrated Safety Summary </w:t>
      </w:r>
      <w:r w:rsidRPr="009934FA">
        <w:t>with</w:t>
      </w:r>
      <w:r w:rsidR="00FD6431">
        <w:t xml:space="preserve"> a </w:t>
      </w:r>
      <w:r w:rsidR="006C50FE">
        <w:t>cut-</w:t>
      </w:r>
      <w:r w:rsidR="006C50FE" w:rsidRPr="009934FA">
        <w:t>off</w:t>
      </w:r>
      <w:r w:rsidRPr="009934FA">
        <w:t xml:space="preserve"> </w:t>
      </w:r>
      <w:r w:rsidR="00FD6431">
        <w:t xml:space="preserve">date </w:t>
      </w:r>
      <w:r w:rsidRPr="009934FA">
        <w:t>of 31 January 2011.</w:t>
      </w:r>
    </w:p>
    <w:p w14:paraId="6F1282ED" w14:textId="1F6ACD8D" w:rsidR="005D0492" w:rsidRPr="009934FA" w:rsidRDefault="005D0492" w:rsidP="005D0492">
      <w:r w:rsidRPr="009934FA">
        <w:t xml:space="preserve">The updated safety dataset contained 34 additional trials, of which 19 were IDeg specific. This included 12 Phase III trials (including 5 extension trials), 5 clinical pharmacology trials and </w:t>
      </w:r>
      <w:r w:rsidR="00E45A31">
        <w:t>2</w:t>
      </w:r>
      <w:r w:rsidRPr="009934FA">
        <w:t xml:space="preserve"> ‘other’ trial. In total, there were 7853 subjects who have been exposed to IDeg across the completed clinical trials as of 30 September 2011 and data for 2229 more subjects who received IDeg compared to the original Integrated Safety Summary (</w:t>
      </w:r>
      <w:r w:rsidR="006C50FE" w:rsidRPr="009934FA">
        <w:t>cut-off</w:t>
      </w:r>
      <w:r w:rsidRPr="009934FA">
        <w:t xml:space="preserve"> date of 31 January 2011).</w:t>
      </w:r>
    </w:p>
    <w:p w14:paraId="3435A0C7" w14:textId="77777777" w:rsidR="005D0492" w:rsidRPr="009934FA" w:rsidRDefault="005D0492" w:rsidP="005D0492">
      <w:r w:rsidRPr="009934FA">
        <w:t>It is noted that there were a variety of patient types included in this integrated dataset: subjects with T1DM and T2DM, and within the T2DM subset, subjects were either insulin naïve or insulin treated. Similarly, the comparator group was an amalgamation of all comparators across a number of trials and patient populations. Therefore, as with all analyses of integrated data, outcomes should be interpreted with some caution given that the population is a somewhat heterogeneous group. Nevertheless, this integrated data has the benefit of bringing together a large number of subjects who have received IDeg.</w:t>
      </w:r>
    </w:p>
    <w:p w14:paraId="0865D4AD" w14:textId="32A113D2" w:rsidR="005D0492" w:rsidRPr="009934FA" w:rsidRDefault="005D0492" w:rsidP="005D0492">
      <w:r w:rsidRPr="009934FA">
        <w:t>Based on the updated data presented, there do not appear to be any new significant safety signals that have emerged since the previous submission in t</w:t>
      </w:r>
      <w:r w:rsidR="00E45A31">
        <w:t>erms of integrated safety data.</w:t>
      </w:r>
    </w:p>
    <w:p w14:paraId="459CB748" w14:textId="77777777" w:rsidR="005D0492" w:rsidRPr="009934FA" w:rsidRDefault="005D0492" w:rsidP="005D0492">
      <w:r w:rsidRPr="009934FA">
        <w:t>From the integrated data, the following is noted regarding hypoglycaemia:</w:t>
      </w:r>
    </w:p>
    <w:p w14:paraId="2830151B" w14:textId="68823348" w:rsidR="005D0492" w:rsidRPr="009934FA" w:rsidRDefault="005D0492" w:rsidP="005D0492">
      <w:pPr>
        <w:pStyle w:val="Numberbullet0"/>
        <w:numPr>
          <w:ilvl w:val="0"/>
          <w:numId w:val="26"/>
        </w:numPr>
      </w:pPr>
      <w:r w:rsidRPr="009934FA">
        <w:t xml:space="preserve">Hypoglycaemia, either as a preferred term or as a group of preferred terms, was one of the most common </w:t>
      </w:r>
      <w:r w:rsidR="00FD6431">
        <w:t>advers</w:t>
      </w:r>
      <w:r w:rsidR="00E45A31">
        <w:t>e</w:t>
      </w:r>
      <w:r w:rsidR="00FD6431">
        <w:t xml:space="preserve"> events</w:t>
      </w:r>
      <w:r w:rsidRPr="009934FA">
        <w:t xml:space="preserve"> and </w:t>
      </w:r>
      <w:r w:rsidR="00FD6431">
        <w:t>serious adverse events</w:t>
      </w:r>
      <w:r w:rsidRPr="009934FA">
        <w:t xml:space="preserve"> reported, events leading to discontinuation and considered to be probably or possibly related to the study drug. This is not surprising given the mechanism of action for IDeg.</w:t>
      </w:r>
    </w:p>
    <w:p w14:paraId="57A67F61" w14:textId="3ABEE870" w:rsidR="005D0492" w:rsidRPr="009934FA" w:rsidRDefault="00FD6431" w:rsidP="005D0492">
      <w:pPr>
        <w:pStyle w:val="Numberbullet0"/>
        <w:numPr>
          <w:ilvl w:val="0"/>
          <w:numId w:val="26"/>
        </w:numPr>
      </w:pPr>
      <w:r>
        <w:t>In terms of adverse events</w:t>
      </w:r>
      <w:r w:rsidR="005D0492" w:rsidRPr="009934FA">
        <w:t xml:space="preserve"> possibly or probably related to study drug, hypoglycaemia as a preferred term is reported at a slightly higher rate in the comparator group compared to IDeg in Phase III trials.</w:t>
      </w:r>
    </w:p>
    <w:p w14:paraId="29718C86" w14:textId="3C7453BE" w:rsidR="005D0492" w:rsidRPr="009934FA" w:rsidRDefault="00FD6431" w:rsidP="005D0492">
      <w:pPr>
        <w:pStyle w:val="Numberbullet0"/>
        <w:numPr>
          <w:ilvl w:val="0"/>
          <w:numId w:val="26"/>
        </w:numPr>
      </w:pPr>
      <w:r>
        <w:t>Serious adverse events</w:t>
      </w:r>
      <w:r w:rsidR="005D0492" w:rsidRPr="009934FA">
        <w:t xml:space="preserve"> that were related to hypoglycaemia (multiple preferred terms) were reported at a similar rate for IDeg and comparators (2.8 events per 100 </w:t>
      </w:r>
      <w:r w:rsidR="00DB779E">
        <w:t xml:space="preserve">patient years of exposure </w:t>
      </w:r>
      <w:r w:rsidR="005D0492" w:rsidRPr="009934FA">
        <w:t>and 2.4 respectively) overall.</w:t>
      </w:r>
    </w:p>
    <w:p w14:paraId="0428B3D2" w14:textId="77777777" w:rsidR="005D0492" w:rsidRPr="009934FA" w:rsidRDefault="005D0492" w:rsidP="005D0492">
      <w:pPr>
        <w:pStyle w:val="Numberbullet0"/>
        <w:numPr>
          <w:ilvl w:val="0"/>
          <w:numId w:val="26"/>
        </w:numPr>
      </w:pPr>
      <w:r w:rsidRPr="009934FA">
        <w:lastRenderedPageBreak/>
        <w:t>In specific analyses for hypoglycaemia, the rate of confirmed, severe and documented symptomatic hypoglycaemia both in terms of all episodes and nocturnal episodes for IDeg occurred at a rate similar or slightly lower than the comparator arm for most parameters. This was the case in all disease subgroups, T1DM, T2DM insulin treated and insulin naïve. The only measurement for which the rate was higher on the IDeg arm was all documented symptomatic episodes in the T1DM subgroup.</w:t>
      </w:r>
    </w:p>
    <w:p w14:paraId="2887292D" w14:textId="77777777" w:rsidR="005D0492" w:rsidRPr="009934FA" w:rsidRDefault="005D0492" w:rsidP="005D0492">
      <w:pPr>
        <w:pStyle w:val="Numberbullet0"/>
        <w:numPr>
          <w:ilvl w:val="0"/>
          <w:numId w:val="26"/>
        </w:numPr>
      </w:pPr>
      <w:r w:rsidRPr="009934FA">
        <w:t>A meta-analysis of hypoglycaemic episodes from Phase III trials of IDeg daily versus IGlar was done: across all categories, statistically significant differences are seen in favour of IDeg, however these differences are small and the clinical significance of these differences is not clear.</w:t>
      </w:r>
    </w:p>
    <w:p w14:paraId="045A49A4" w14:textId="77777777" w:rsidR="0025404D" w:rsidRDefault="005D0492" w:rsidP="005D0492">
      <w:r w:rsidRPr="009934FA">
        <w:t>With regards to the hypoglycaemia outcomes, the heterogeneous group of comparators for the integrated data is noted</w:t>
      </w:r>
      <w:r w:rsidR="006A2272">
        <w:t>.</w:t>
      </w:r>
      <w:r w:rsidRPr="009934FA">
        <w:t xml:space="preserve"> It is also noted that the aetiology of hypoglycaemia can be multifactorial and medication is only one potential contributing factor. Prescriber and patient education is important to ensure appropriate use of IDeg. The sponsor has included hypoglycaemia in the proposed product information as a precaution, as well as information for the patient in the consumer medicines information.</w:t>
      </w:r>
    </w:p>
    <w:p w14:paraId="097D2AC3" w14:textId="0DB21848" w:rsidR="005D0492" w:rsidRPr="009934FA" w:rsidRDefault="005D0492" w:rsidP="005D0492">
      <w:r w:rsidRPr="009934FA">
        <w:t xml:space="preserve">It is also noted that there are </w:t>
      </w:r>
      <w:r w:rsidR="00DB779E">
        <w:t>2</w:t>
      </w:r>
      <w:r w:rsidRPr="009934FA">
        <w:t xml:space="preserve"> ongoing safety evaluations as detailed in the PSUR:</w:t>
      </w:r>
    </w:p>
    <w:p w14:paraId="21DE3F7A" w14:textId="336B8150" w:rsidR="005D0492" w:rsidRPr="009934FA" w:rsidRDefault="005D0492" w:rsidP="005D0492">
      <w:pPr>
        <w:pStyle w:val="Numberbullet0"/>
        <w:numPr>
          <w:ilvl w:val="0"/>
          <w:numId w:val="26"/>
        </w:numPr>
      </w:pPr>
      <w:r w:rsidRPr="009934FA">
        <w:t>Neoplasms/colon cancer: An Evaluation of Authority Request is ongoing regard</w:t>
      </w:r>
      <w:r w:rsidR="00E45A31">
        <w:t>ing neoplasms and colon cancer.</w:t>
      </w:r>
    </w:p>
    <w:p w14:paraId="6635ED7B" w14:textId="64528AC0" w:rsidR="005D0492" w:rsidRPr="009934FA" w:rsidRDefault="00DB779E" w:rsidP="005D0492">
      <w:r>
        <w:t>As described in the clinical evaluation report [see Attachment 2]</w:t>
      </w:r>
      <w:r w:rsidR="005D0492" w:rsidRPr="009934FA">
        <w:t xml:space="preserve">, numerical imbalances were seen in the rate of adverse events reported related to neoplasms in the IDeg group compared to comparator in the updated integrated data set, showing higher rates for IDeg. Following external classification, the largest discrepancies appear to be in the benign neoplasm subset. The reasons for these discrepancies are difficult to ascertain. </w:t>
      </w:r>
      <w:r w:rsidR="005D0492" w:rsidRPr="009934FA" w:rsidDel="003C0F3C">
        <w:t>Ongoing monitoring should be maintained.</w:t>
      </w:r>
    </w:p>
    <w:p w14:paraId="3DE4706F" w14:textId="1F3F9ADC" w:rsidR="005D0492" w:rsidRPr="009934FA" w:rsidRDefault="005D0492" w:rsidP="005D0492">
      <w:pPr>
        <w:pStyle w:val="Numberbullet0"/>
        <w:numPr>
          <w:ilvl w:val="0"/>
          <w:numId w:val="25"/>
        </w:numPr>
      </w:pPr>
      <w:r w:rsidRPr="009934FA">
        <w:t>C</w:t>
      </w:r>
      <w:r w:rsidR="00E45A31">
        <w:t>V</w:t>
      </w:r>
      <w:r w:rsidRPr="009934FA">
        <w:t xml:space="preserve"> events: as previously described.</w:t>
      </w:r>
    </w:p>
    <w:p w14:paraId="03EA2BA7" w14:textId="77FAA870" w:rsidR="00605AD4" w:rsidRPr="009934FA" w:rsidRDefault="005D0492" w:rsidP="00605AD4">
      <w:r w:rsidRPr="009934FA">
        <w:t>It is also noted that medication errors due to mix up between basal and bolus insulin was upgraded from important potential risk to an important identified risk in the PSUR, and that medication errors have been reported as adverse events in the clinical trials.</w:t>
      </w:r>
    </w:p>
    <w:p w14:paraId="49994A9B" w14:textId="77777777" w:rsidR="00605AD4" w:rsidRPr="009934FA" w:rsidRDefault="00605AD4" w:rsidP="00605AD4">
      <w:pPr>
        <w:pStyle w:val="Heading3"/>
        <w:rPr>
          <w:rFonts w:eastAsia="Cambria"/>
        </w:rPr>
      </w:pPr>
      <w:bookmarkStart w:id="111" w:name="_Toc517697108"/>
      <w:r w:rsidRPr="009934FA">
        <w:rPr>
          <w:rFonts w:eastAsia="Cambria"/>
        </w:rPr>
        <w:t>First Round Benefit-Risk Assessment</w:t>
      </w:r>
      <w:bookmarkEnd w:id="111"/>
    </w:p>
    <w:p w14:paraId="18D00B35" w14:textId="77777777" w:rsidR="00605AD4" w:rsidRDefault="00605AD4" w:rsidP="00605AD4">
      <w:pPr>
        <w:pStyle w:val="Heading4"/>
      </w:pPr>
      <w:r w:rsidRPr="009934FA">
        <w:t>First round assessment of benefits</w:t>
      </w:r>
    </w:p>
    <w:p w14:paraId="1A14D145" w14:textId="69484458" w:rsidR="00C80D51" w:rsidRPr="00C80D51" w:rsidRDefault="00C80D51" w:rsidP="00C80D51">
      <w:r>
        <w:t xml:space="preserve">Table 9 (below) </w:t>
      </w:r>
      <w:r w:rsidR="00FA533B">
        <w:t xml:space="preserve">gives </w:t>
      </w:r>
      <w:r w:rsidR="00733757">
        <w:t xml:space="preserve">the clinical evaluator’s </w:t>
      </w:r>
      <w:r>
        <w:t>assessment of the first round</w:t>
      </w:r>
      <w:r w:rsidR="00733757">
        <w:t xml:space="preserve"> benefits of Tresiba FlexTouch/Penfill insulin degludec for the proposed indication.</w:t>
      </w:r>
    </w:p>
    <w:p w14:paraId="363DC9C8" w14:textId="5F5C690C" w:rsidR="005D0492" w:rsidRPr="009934FA" w:rsidRDefault="005D0492" w:rsidP="00C80D51">
      <w:pPr>
        <w:pStyle w:val="Tabletitle0"/>
      </w:pPr>
      <w:bookmarkStart w:id="112" w:name="_Toc479321709"/>
      <w:r w:rsidRPr="009934FA">
        <w:t xml:space="preserve">Table </w:t>
      </w:r>
      <w:r w:rsidR="00C80D51">
        <w:t>9</w:t>
      </w:r>
      <w:r w:rsidR="006C50FE">
        <w:t xml:space="preserve">: </w:t>
      </w:r>
      <w:r w:rsidRPr="009934FA">
        <w:t>First round assessment of benefits</w:t>
      </w:r>
      <w:bookmarkEnd w:id="112"/>
    </w:p>
    <w:tbl>
      <w:tblPr>
        <w:tblStyle w:val="TableTGAblue"/>
        <w:tblW w:w="0" w:type="auto"/>
        <w:tblLook w:val="04A0" w:firstRow="1" w:lastRow="0" w:firstColumn="1" w:lastColumn="0" w:noHBand="0" w:noVBand="1"/>
        <w:tblDescription w:val="Table 9: First round assessment of benefits"/>
      </w:tblPr>
      <w:tblGrid>
        <w:gridCol w:w="4421"/>
        <w:gridCol w:w="4191"/>
      </w:tblGrid>
      <w:tr w:rsidR="005D0492" w:rsidRPr="009934FA" w14:paraId="3EB49F67" w14:textId="77777777" w:rsidTr="00FE5D7F">
        <w:trPr>
          <w:cnfStyle w:val="100000000000" w:firstRow="1" w:lastRow="0" w:firstColumn="0" w:lastColumn="0" w:oddVBand="0" w:evenVBand="0" w:oddHBand="0" w:evenHBand="0" w:firstRowFirstColumn="0" w:firstRowLastColumn="0" w:lastRowFirstColumn="0" w:lastRowLastColumn="0"/>
          <w:cantSplit/>
        </w:trPr>
        <w:tc>
          <w:tcPr>
            <w:tcW w:w="4421" w:type="dxa"/>
          </w:tcPr>
          <w:p w14:paraId="64DD5554" w14:textId="77777777" w:rsidR="005D0492" w:rsidRPr="00C80D51" w:rsidRDefault="005D0492" w:rsidP="00C80D51">
            <w:r w:rsidRPr="00C80D51">
              <w:t>Benefits</w:t>
            </w:r>
          </w:p>
        </w:tc>
        <w:tc>
          <w:tcPr>
            <w:tcW w:w="4191" w:type="dxa"/>
          </w:tcPr>
          <w:p w14:paraId="1A1F52B5" w14:textId="77777777" w:rsidR="005D0492" w:rsidRPr="00C80D51" w:rsidRDefault="005D0492" w:rsidP="00C80D51">
            <w:r w:rsidRPr="00C80D51">
              <w:t>Uncertainties</w:t>
            </w:r>
          </w:p>
        </w:tc>
      </w:tr>
      <w:tr w:rsidR="005D0492" w:rsidRPr="009934FA" w14:paraId="1AB86CEA" w14:textId="77777777" w:rsidTr="00FE5D7F">
        <w:trPr>
          <w:cantSplit/>
        </w:trPr>
        <w:tc>
          <w:tcPr>
            <w:tcW w:w="4421" w:type="dxa"/>
          </w:tcPr>
          <w:p w14:paraId="65D07BA1" w14:textId="6CE7E354" w:rsidR="005D0492" w:rsidRPr="00C80D51" w:rsidRDefault="005D0492" w:rsidP="00C80D51">
            <w:pPr>
              <w:ind w:left="0"/>
              <w:rPr>
                <w:i/>
                <w:szCs w:val="22"/>
                <w:lang w:eastAsia="en-US"/>
              </w:rPr>
            </w:pPr>
            <w:r w:rsidRPr="009934FA">
              <w:rPr>
                <w:szCs w:val="22"/>
                <w:lang w:eastAsia="en-US"/>
              </w:rPr>
              <w:t>Overall, non-inferior efficacy for glycaemic control versus other basal insulins in a treat to target regime for T1DM</w:t>
            </w:r>
            <w:r w:rsidR="00C80D51">
              <w:rPr>
                <w:szCs w:val="22"/>
                <w:lang w:eastAsia="en-US"/>
              </w:rPr>
              <w:t xml:space="preserve"> and T2DM.</w:t>
            </w:r>
          </w:p>
        </w:tc>
        <w:tc>
          <w:tcPr>
            <w:tcW w:w="4191" w:type="dxa"/>
          </w:tcPr>
          <w:p w14:paraId="0A23CE92" w14:textId="77777777" w:rsidR="005D0492" w:rsidRPr="009934FA" w:rsidRDefault="005D0492" w:rsidP="00C80D51">
            <w:pPr>
              <w:ind w:left="0"/>
              <w:rPr>
                <w:szCs w:val="22"/>
                <w:lang w:eastAsia="en-US"/>
              </w:rPr>
            </w:pPr>
            <w:r w:rsidRPr="009934FA">
              <w:rPr>
                <w:szCs w:val="22"/>
                <w:lang w:eastAsia="en-US"/>
              </w:rPr>
              <w:t>The external validity to the real world can be a problem with diabetes trials.</w:t>
            </w:r>
          </w:p>
        </w:tc>
      </w:tr>
      <w:tr w:rsidR="005D0492" w:rsidRPr="009934FA" w14:paraId="7ECFDE36" w14:textId="77777777" w:rsidTr="00FE5D7F">
        <w:trPr>
          <w:cantSplit/>
        </w:trPr>
        <w:tc>
          <w:tcPr>
            <w:tcW w:w="4421" w:type="dxa"/>
          </w:tcPr>
          <w:p w14:paraId="4C8CDF04" w14:textId="6B56BC91" w:rsidR="005D0492" w:rsidRPr="009934FA" w:rsidDel="00780047" w:rsidRDefault="00C80D51" w:rsidP="00C80D51">
            <w:pPr>
              <w:ind w:left="0"/>
              <w:rPr>
                <w:szCs w:val="22"/>
                <w:lang w:eastAsia="en-US"/>
              </w:rPr>
            </w:pPr>
            <w:r>
              <w:rPr>
                <w:szCs w:val="22"/>
                <w:lang w:eastAsia="en-US"/>
              </w:rPr>
              <w:lastRenderedPageBreak/>
              <w:t xml:space="preserve">Unique ultra long acting insulin, </w:t>
            </w:r>
            <w:r w:rsidR="006C50FE">
              <w:rPr>
                <w:szCs w:val="22"/>
                <w:lang w:eastAsia="en-US"/>
              </w:rPr>
              <w:t>half-life</w:t>
            </w:r>
            <w:r>
              <w:rPr>
                <w:szCs w:val="22"/>
                <w:lang w:eastAsia="en-US"/>
              </w:rPr>
              <w:t xml:space="preserve"> of </w:t>
            </w:r>
            <w:r w:rsidR="005D0492" w:rsidRPr="009934FA">
              <w:rPr>
                <w:szCs w:val="22"/>
                <w:lang w:eastAsia="en-US"/>
              </w:rPr>
              <w:t>25 hours, with</w:t>
            </w:r>
            <w:r>
              <w:rPr>
                <w:szCs w:val="22"/>
                <w:lang w:eastAsia="en-US"/>
              </w:rPr>
              <w:t xml:space="preserve"> less intra patient variability.</w:t>
            </w:r>
          </w:p>
        </w:tc>
        <w:tc>
          <w:tcPr>
            <w:tcW w:w="4191" w:type="dxa"/>
          </w:tcPr>
          <w:p w14:paraId="0B8FB3E1" w14:textId="77777777" w:rsidR="0025404D" w:rsidRDefault="005D0492" w:rsidP="00C80D51">
            <w:pPr>
              <w:rPr>
                <w:szCs w:val="22"/>
                <w:lang w:eastAsia="en-US"/>
              </w:rPr>
            </w:pPr>
            <w:r w:rsidRPr="009934FA">
              <w:rPr>
                <w:szCs w:val="22"/>
                <w:lang w:eastAsia="en-US"/>
              </w:rPr>
              <w:t>There is the potential that in patients with poor compliance where insulin m</w:t>
            </w:r>
            <w:r w:rsidR="00C80D51">
              <w:rPr>
                <w:szCs w:val="22"/>
                <w:lang w:eastAsia="en-US"/>
              </w:rPr>
              <w:t>ay not be administered every 24 </w:t>
            </w:r>
            <w:r w:rsidRPr="009934FA">
              <w:rPr>
                <w:szCs w:val="22"/>
                <w:lang w:eastAsia="en-US"/>
              </w:rPr>
              <w:t xml:space="preserve">hours, glycaemic control may be improved. </w:t>
            </w:r>
            <w:r w:rsidR="006C50FE" w:rsidRPr="009934FA">
              <w:rPr>
                <w:szCs w:val="22"/>
                <w:lang w:eastAsia="en-US"/>
              </w:rPr>
              <w:t>However,</w:t>
            </w:r>
            <w:r w:rsidRPr="009934FA">
              <w:rPr>
                <w:szCs w:val="22"/>
                <w:lang w:eastAsia="en-US"/>
              </w:rPr>
              <w:t xml:space="preserve"> this subgroup was not studied.</w:t>
            </w:r>
          </w:p>
          <w:p w14:paraId="6A594C45" w14:textId="16C7D6FF" w:rsidR="005D0492" w:rsidRPr="009934FA" w:rsidRDefault="005D0492" w:rsidP="00C80D51">
            <w:pPr>
              <w:ind w:left="0"/>
              <w:rPr>
                <w:szCs w:val="22"/>
                <w:lang w:eastAsia="en-US"/>
              </w:rPr>
            </w:pPr>
            <w:r w:rsidRPr="009934FA">
              <w:rPr>
                <w:szCs w:val="22"/>
                <w:lang w:eastAsia="en-US"/>
              </w:rPr>
              <w:t xml:space="preserve">The unique </w:t>
            </w:r>
            <w:r w:rsidR="00C80D51">
              <w:rPr>
                <w:szCs w:val="22"/>
                <w:lang w:eastAsia="en-US"/>
              </w:rPr>
              <w:t>pharmacokinetic and pharmacodynamic</w:t>
            </w:r>
            <w:r w:rsidRPr="009934FA">
              <w:rPr>
                <w:szCs w:val="22"/>
                <w:lang w:eastAsia="en-US"/>
              </w:rPr>
              <w:t xml:space="preserve"> profile of IDeg means that education of both prescribers and patients is critical to ensure appropriate use. This is particularly important given the important identified risk of medication errors due to mix up between basal and bolus insulin</w:t>
            </w:r>
            <w:r w:rsidR="00C80D51">
              <w:rPr>
                <w:szCs w:val="22"/>
                <w:lang w:eastAsia="en-US"/>
              </w:rPr>
              <w:t>.</w:t>
            </w:r>
          </w:p>
        </w:tc>
      </w:tr>
      <w:tr w:rsidR="005D0492" w:rsidRPr="009934FA" w14:paraId="6568BAD7" w14:textId="77777777" w:rsidTr="00FE5D7F">
        <w:trPr>
          <w:cantSplit/>
        </w:trPr>
        <w:tc>
          <w:tcPr>
            <w:tcW w:w="4421" w:type="dxa"/>
          </w:tcPr>
          <w:p w14:paraId="078CB415" w14:textId="66A532BD" w:rsidR="005D0492" w:rsidRPr="009934FA" w:rsidDel="00780047" w:rsidRDefault="005D0492" w:rsidP="00C80D51">
            <w:pPr>
              <w:ind w:left="0"/>
              <w:rPr>
                <w:szCs w:val="22"/>
                <w:lang w:eastAsia="en-US"/>
              </w:rPr>
            </w:pPr>
            <w:r w:rsidRPr="009934FA">
              <w:rPr>
                <w:szCs w:val="22"/>
                <w:lang w:eastAsia="en-US"/>
              </w:rPr>
              <w:t>Potential for flexible dosing has been proposed given that IDeg is ultra-long acting. There is a similar efficacy in glycaemic control with this regime (but possibly more hypoglycaemia)</w:t>
            </w:r>
            <w:r w:rsidR="00C80D51">
              <w:rPr>
                <w:szCs w:val="22"/>
                <w:lang w:eastAsia="en-US"/>
              </w:rPr>
              <w:t>.</w:t>
            </w:r>
          </w:p>
        </w:tc>
        <w:tc>
          <w:tcPr>
            <w:tcW w:w="4191" w:type="dxa"/>
          </w:tcPr>
          <w:p w14:paraId="3BE543D9" w14:textId="77777777" w:rsidR="005D0492" w:rsidRPr="009934FA" w:rsidRDefault="005D0492" w:rsidP="00C80D51">
            <w:pPr>
              <w:ind w:left="0"/>
              <w:rPr>
                <w:szCs w:val="22"/>
                <w:lang w:eastAsia="en-US"/>
              </w:rPr>
            </w:pPr>
            <w:r w:rsidRPr="009934FA">
              <w:rPr>
                <w:szCs w:val="22"/>
                <w:lang w:eastAsia="en-US"/>
              </w:rPr>
              <w:t>Flexible dosing has potential to be of benefit to patients, particularly if a dose is forgotten. However, in general, patients with diabetes benefit from routine.</w:t>
            </w:r>
          </w:p>
        </w:tc>
      </w:tr>
      <w:tr w:rsidR="005D0492" w:rsidRPr="009934FA" w14:paraId="4F7CC61A" w14:textId="77777777" w:rsidTr="00FE5D7F">
        <w:trPr>
          <w:cantSplit/>
        </w:trPr>
        <w:tc>
          <w:tcPr>
            <w:tcW w:w="4421" w:type="dxa"/>
          </w:tcPr>
          <w:p w14:paraId="7DD4B03B" w14:textId="13BC60E6" w:rsidR="005D0492" w:rsidRPr="009934FA" w:rsidRDefault="005D0492" w:rsidP="00C80D51">
            <w:pPr>
              <w:ind w:left="0"/>
              <w:rPr>
                <w:szCs w:val="22"/>
                <w:lang w:eastAsia="en-US"/>
              </w:rPr>
            </w:pPr>
            <w:r w:rsidRPr="009934FA">
              <w:rPr>
                <w:szCs w:val="22"/>
                <w:lang w:eastAsia="en-US"/>
              </w:rPr>
              <w:t>Rate of nocturnal hypoglycaemia generally lower f</w:t>
            </w:r>
            <w:r w:rsidR="00C80D51">
              <w:rPr>
                <w:szCs w:val="22"/>
                <w:lang w:eastAsia="en-US"/>
              </w:rPr>
              <w:t>or IDeg compared to comparators.</w:t>
            </w:r>
          </w:p>
        </w:tc>
        <w:tc>
          <w:tcPr>
            <w:tcW w:w="4191" w:type="dxa"/>
          </w:tcPr>
          <w:p w14:paraId="6379B760" w14:textId="77777777" w:rsidR="005D0492" w:rsidRPr="009934FA" w:rsidRDefault="005D0492" w:rsidP="00C80D51">
            <w:pPr>
              <w:ind w:left="0"/>
              <w:rPr>
                <w:szCs w:val="22"/>
                <w:lang w:eastAsia="en-US"/>
              </w:rPr>
            </w:pPr>
          </w:p>
        </w:tc>
      </w:tr>
      <w:tr w:rsidR="005D0492" w:rsidRPr="009934FA" w14:paraId="4C34F11B" w14:textId="77777777" w:rsidTr="00FE5D7F">
        <w:trPr>
          <w:cantSplit/>
        </w:trPr>
        <w:tc>
          <w:tcPr>
            <w:tcW w:w="4421" w:type="dxa"/>
          </w:tcPr>
          <w:p w14:paraId="00C8A053" w14:textId="74269C8B" w:rsidR="005D0492" w:rsidRPr="009934FA" w:rsidDel="00CD19C3" w:rsidRDefault="00C80D51" w:rsidP="00C80D51">
            <w:pPr>
              <w:ind w:left="0"/>
              <w:rPr>
                <w:szCs w:val="22"/>
                <w:lang w:eastAsia="en-US"/>
              </w:rPr>
            </w:pPr>
            <w:r>
              <w:rPr>
                <w:szCs w:val="22"/>
                <w:lang w:eastAsia="en-US"/>
              </w:rPr>
              <w:t xml:space="preserve">The </w:t>
            </w:r>
            <w:r w:rsidR="005D0492" w:rsidRPr="009934FA">
              <w:rPr>
                <w:szCs w:val="22"/>
                <w:lang w:eastAsia="en-US"/>
              </w:rPr>
              <w:t>DEVOTE trial provided supportive evidence for non-inferiority of CV endpoints</w:t>
            </w:r>
            <w:r>
              <w:rPr>
                <w:szCs w:val="22"/>
                <w:lang w:eastAsia="en-US"/>
              </w:rPr>
              <w:t>.</w:t>
            </w:r>
          </w:p>
        </w:tc>
        <w:tc>
          <w:tcPr>
            <w:tcW w:w="4191" w:type="dxa"/>
          </w:tcPr>
          <w:p w14:paraId="2BBB5191" w14:textId="77777777" w:rsidR="005D0492" w:rsidRPr="009934FA" w:rsidDel="000368FE" w:rsidRDefault="005D0492" w:rsidP="00C80D51">
            <w:pPr>
              <w:ind w:left="0"/>
              <w:rPr>
                <w:szCs w:val="22"/>
                <w:lang w:eastAsia="en-US"/>
              </w:rPr>
            </w:pPr>
          </w:p>
        </w:tc>
      </w:tr>
    </w:tbl>
    <w:p w14:paraId="004A9D24" w14:textId="77777777" w:rsidR="00605AD4" w:rsidRDefault="00605AD4" w:rsidP="00605AD4">
      <w:pPr>
        <w:pStyle w:val="Heading4"/>
      </w:pPr>
      <w:r w:rsidRPr="009934FA">
        <w:t>First round assessment of risks</w:t>
      </w:r>
    </w:p>
    <w:p w14:paraId="7B00DBAF" w14:textId="1501B0AC" w:rsidR="00733757" w:rsidRPr="00733757" w:rsidRDefault="00733757" w:rsidP="00733757">
      <w:r>
        <w:t xml:space="preserve">Table 10 (below) </w:t>
      </w:r>
      <w:r w:rsidR="00FA533B">
        <w:t>gives</w:t>
      </w:r>
      <w:r>
        <w:t xml:space="preserve"> the clinical evaluator’s assessment of the first round risks of Tresiba FlexTouch/Penfill insulin degludec for the proposed indication.</w:t>
      </w:r>
    </w:p>
    <w:p w14:paraId="27076BBE" w14:textId="35554E48" w:rsidR="005D0492" w:rsidRPr="009934FA" w:rsidRDefault="005D0492" w:rsidP="00733757">
      <w:pPr>
        <w:pStyle w:val="Tabletitle0"/>
      </w:pPr>
      <w:bookmarkStart w:id="113" w:name="_Toc479321710"/>
      <w:r w:rsidRPr="009934FA">
        <w:lastRenderedPageBreak/>
        <w:t xml:space="preserve">Table </w:t>
      </w:r>
      <w:r w:rsidR="00C80D51">
        <w:t>10</w:t>
      </w:r>
      <w:r w:rsidR="006C50FE">
        <w:t>:</w:t>
      </w:r>
      <w:r w:rsidR="006C50FE" w:rsidRPr="009934FA">
        <w:t xml:space="preserve"> </w:t>
      </w:r>
      <w:r w:rsidRPr="009934FA">
        <w:t>First round assessment of risks</w:t>
      </w:r>
      <w:bookmarkEnd w:id="113"/>
    </w:p>
    <w:tbl>
      <w:tblPr>
        <w:tblStyle w:val="TableTGAblue"/>
        <w:tblW w:w="9017" w:type="dxa"/>
        <w:tblLook w:val="04A0" w:firstRow="1" w:lastRow="0" w:firstColumn="1" w:lastColumn="0" w:noHBand="0" w:noVBand="1"/>
        <w:tblDescription w:val="Table 10: First round assessment of risks"/>
      </w:tblPr>
      <w:tblGrid>
        <w:gridCol w:w="4427"/>
        <w:gridCol w:w="4590"/>
      </w:tblGrid>
      <w:tr w:rsidR="00ED5A4A" w:rsidRPr="009934FA" w14:paraId="4259BAA8" w14:textId="77777777" w:rsidTr="00ED5A4A">
        <w:trPr>
          <w:cnfStyle w:val="100000000000" w:firstRow="1" w:lastRow="0" w:firstColumn="0" w:lastColumn="0" w:oddVBand="0" w:evenVBand="0" w:oddHBand="0" w:evenHBand="0" w:firstRowFirstColumn="0" w:firstRowLastColumn="0" w:lastRowFirstColumn="0" w:lastRowLastColumn="0"/>
        </w:trPr>
        <w:tc>
          <w:tcPr>
            <w:tcW w:w="4427" w:type="dxa"/>
          </w:tcPr>
          <w:p w14:paraId="62BD2EF0" w14:textId="77777777" w:rsidR="005D0492" w:rsidRPr="00733757" w:rsidRDefault="005D0492" w:rsidP="00733757">
            <w:pPr>
              <w:rPr>
                <w:szCs w:val="22"/>
                <w:lang w:eastAsia="en-US"/>
              </w:rPr>
            </w:pPr>
            <w:r w:rsidRPr="00733757">
              <w:rPr>
                <w:szCs w:val="22"/>
                <w:lang w:eastAsia="en-US"/>
              </w:rPr>
              <w:t>Risks</w:t>
            </w:r>
          </w:p>
        </w:tc>
        <w:tc>
          <w:tcPr>
            <w:tcW w:w="4590" w:type="dxa"/>
          </w:tcPr>
          <w:p w14:paraId="0EBEA201" w14:textId="77777777" w:rsidR="005D0492" w:rsidRPr="00733757" w:rsidRDefault="005D0492" w:rsidP="00733757">
            <w:pPr>
              <w:rPr>
                <w:szCs w:val="22"/>
                <w:lang w:eastAsia="en-US"/>
              </w:rPr>
            </w:pPr>
            <w:r w:rsidRPr="00733757">
              <w:rPr>
                <w:szCs w:val="22"/>
                <w:lang w:eastAsia="en-US"/>
              </w:rPr>
              <w:t>Uncertainties</w:t>
            </w:r>
          </w:p>
        </w:tc>
      </w:tr>
      <w:tr w:rsidR="00ED5A4A" w:rsidRPr="009934FA" w14:paraId="4C7830CE" w14:textId="77777777" w:rsidTr="00ED5A4A">
        <w:tc>
          <w:tcPr>
            <w:tcW w:w="4427" w:type="dxa"/>
          </w:tcPr>
          <w:p w14:paraId="3B791FBC" w14:textId="24F779A5" w:rsidR="005D0492" w:rsidRPr="009934FA" w:rsidRDefault="005D0492" w:rsidP="00733757">
            <w:pPr>
              <w:keepNext/>
              <w:ind w:left="0"/>
              <w:rPr>
                <w:szCs w:val="22"/>
                <w:lang w:eastAsia="en-US"/>
              </w:rPr>
            </w:pPr>
            <w:r w:rsidRPr="00C80D51">
              <w:rPr>
                <w:i/>
                <w:szCs w:val="22"/>
                <w:lang w:eastAsia="en-US"/>
              </w:rPr>
              <w:t>Hypoglycaemia</w:t>
            </w:r>
            <w:r w:rsidRPr="009934FA">
              <w:rPr>
                <w:szCs w:val="22"/>
                <w:lang w:eastAsia="en-US"/>
              </w:rPr>
              <w:t>:</w:t>
            </w:r>
            <w:r w:rsidR="00C80D51">
              <w:rPr>
                <w:szCs w:val="22"/>
                <w:lang w:eastAsia="en-US"/>
              </w:rPr>
              <w:t xml:space="preserve"> </w:t>
            </w:r>
            <w:r w:rsidR="00ED71F6" w:rsidRPr="009934FA">
              <w:rPr>
                <w:szCs w:val="22"/>
                <w:lang w:eastAsia="en-US"/>
              </w:rPr>
              <w:t>Hypoglycaemia</w:t>
            </w:r>
            <w:r w:rsidRPr="009934FA">
              <w:rPr>
                <w:szCs w:val="22"/>
                <w:lang w:eastAsia="en-US"/>
              </w:rPr>
              <w:t xml:space="preserve"> and events related to hypoglycaemia, commonly occurred with the use of IDeg in the clinical trials. It is recognised that hypoglycaemia is an inherent risk associated with all insu</w:t>
            </w:r>
            <w:r w:rsidR="00FA533B">
              <w:rPr>
                <w:szCs w:val="22"/>
                <w:lang w:eastAsia="en-US"/>
              </w:rPr>
              <w:t xml:space="preserve">lins, however due to the ‘ultra </w:t>
            </w:r>
            <w:r w:rsidRPr="009934FA">
              <w:rPr>
                <w:szCs w:val="22"/>
                <w:lang w:eastAsia="en-US"/>
              </w:rPr>
              <w:t xml:space="preserve">long’ action of IDeg, the period following a single dose in which hypoglycaemia may occur is longer than other insulins. However, it is also acknowledged that the aetiology of hypoglycaemia is multifactorial and the type of insulin used is only one important component. </w:t>
            </w:r>
            <w:r w:rsidR="006C50FE" w:rsidRPr="009934FA">
              <w:rPr>
                <w:szCs w:val="22"/>
                <w:lang w:eastAsia="en-US"/>
              </w:rPr>
              <w:t>Thus,</w:t>
            </w:r>
            <w:r w:rsidRPr="009934FA">
              <w:rPr>
                <w:szCs w:val="22"/>
                <w:lang w:eastAsia="en-US"/>
              </w:rPr>
              <w:t xml:space="preserve"> education of prescribers and patients again will play an importan</w:t>
            </w:r>
            <w:r w:rsidR="00EA5C2D">
              <w:rPr>
                <w:szCs w:val="22"/>
                <w:lang w:eastAsia="en-US"/>
              </w:rPr>
              <w:t>t part in mitigating this risk.</w:t>
            </w:r>
          </w:p>
        </w:tc>
        <w:tc>
          <w:tcPr>
            <w:tcW w:w="4590" w:type="dxa"/>
          </w:tcPr>
          <w:p w14:paraId="30C33941" w14:textId="77777777" w:rsidR="005D0492" w:rsidRPr="009934FA" w:rsidRDefault="005D0492" w:rsidP="00733757">
            <w:pPr>
              <w:keepNext/>
              <w:ind w:left="0"/>
              <w:rPr>
                <w:szCs w:val="22"/>
                <w:lang w:eastAsia="en-US"/>
              </w:rPr>
            </w:pPr>
          </w:p>
        </w:tc>
      </w:tr>
      <w:tr w:rsidR="00ED5A4A" w:rsidRPr="009934FA" w14:paraId="0FF6F63F" w14:textId="77777777" w:rsidTr="00ED5A4A">
        <w:tc>
          <w:tcPr>
            <w:tcW w:w="4427" w:type="dxa"/>
          </w:tcPr>
          <w:p w14:paraId="39F51F89" w14:textId="093B60E4" w:rsidR="005D0492" w:rsidRPr="009934FA" w:rsidRDefault="005D0492" w:rsidP="00733757">
            <w:pPr>
              <w:ind w:left="0"/>
              <w:rPr>
                <w:szCs w:val="22"/>
                <w:lang w:eastAsia="en-US"/>
              </w:rPr>
            </w:pPr>
            <w:r w:rsidRPr="00733757">
              <w:rPr>
                <w:i/>
                <w:szCs w:val="22"/>
                <w:lang w:eastAsia="en-US"/>
              </w:rPr>
              <w:t>Flexible dosing</w:t>
            </w:r>
            <w:r w:rsidRPr="009934FA">
              <w:rPr>
                <w:szCs w:val="22"/>
                <w:lang w:eastAsia="en-US"/>
              </w:rPr>
              <w:t>: the rate of hypoglycaemia was higher during flexible dosing. The evaluator would not support the extrapolation of the flexible dosing clinical trials to the real world setting due to the differences in patient population and monitoring in a clinical tria</w:t>
            </w:r>
            <w:r w:rsidR="00EA5C2D">
              <w:rPr>
                <w:szCs w:val="22"/>
                <w:lang w:eastAsia="en-US"/>
              </w:rPr>
              <w:t>l setting.</w:t>
            </w:r>
          </w:p>
        </w:tc>
        <w:tc>
          <w:tcPr>
            <w:tcW w:w="4590" w:type="dxa"/>
          </w:tcPr>
          <w:p w14:paraId="02DDBF0D" w14:textId="77777777" w:rsidR="005D0492" w:rsidRPr="009934FA" w:rsidRDefault="005D0492" w:rsidP="00733757">
            <w:pPr>
              <w:ind w:left="0"/>
              <w:rPr>
                <w:szCs w:val="22"/>
                <w:lang w:eastAsia="en-US"/>
              </w:rPr>
            </w:pPr>
          </w:p>
        </w:tc>
      </w:tr>
      <w:tr w:rsidR="00ED5A4A" w:rsidRPr="009934FA" w14:paraId="5F407697" w14:textId="77777777" w:rsidTr="00ED5A4A">
        <w:tc>
          <w:tcPr>
            <w:tcW w:w="4427" w:type="dxa"/>
          </w:tcPr>
          <w:p w14:paraId="10517BED" w14:textId="086BD780" w:rsidR="005D0492" w:rsidRPr="009934FA" w:rsidDel="007049D7" w:rsidRDefault="00733757" w:rsidP="00733757">
            <w:pPr>
              <w:ind w:left="0"/>
              <w:rPr>
                <w:szCs w:val="22"/>
                <w:lang w:eastAsia="en-US"/>
              </w:rPr>
            </w:pPr>
            <w:r>
              <w:rPr>
                <w:szCs w:val="22"/>
                <w:lang w:eastAsia="en-US"/>
              </w:rPr>
              <w:t xml:space="preserve">Medication errors due to mix </w:t>
            </w:r>
            <w:r w:rsidR="005D0492" w:rsidRPr="009934FA">
              <w:rPr>
                <w:szCs w:val="22"/>
                <w:lang w:eastAsia="en-US"/>
              </w:rPr>
              <w:t>up between basal and bolus insulin in both clinical trials and post market setting</w:t>
            </w:r>
          </w:p>
        </w:tc>
        <w:tc>
          <w:tcPr>
            <w:tcW w:w="4590" w:type="dxa"/>
          </w:tcPr>
          <w:p w14:paraId="210BDD96" w14:textId="77777777" w:rsidR="005D0492" w:rsidRPr="009934FA" w:rsidRDefault="005D0492" w:rsidP="00733757">
            <w:pPr>
              <w:ind w:left="0"/>
              <w:rPr>
                <w:szCs w:val="22"/>
                <w:lang w:eastAsia="en-US"/>
              </w:rPr>
            </w:pPr>
          </w:p>
        </w:tc>
      </w:tr>
      <w:tr w:rsidR="00ED5A4A" w:rsidRPr="009934FA" w14:paraId="2D4BBD6E" w14:textId="77777777" w:rsidTr="00ED5A4A">
        <w:tc>
          <w:tcPr>
            <w:tcW w:w="4427" w:type="dxa"/>
          </w:tcPr>
          <w:p w14:paraId="47127A6A" w14:textId="6D9DBDCF" w:rsidR="005D0492" w:rsidRPr="009934FA" w:rsidDel="0035238E" w:rsidRDefault="005D0492" w:rsidP="00733757">
            <w:pPr>
              <w:ind w:left="0"/>
              <w:rPr>
                <w:szCs w:val="22"/>
                <w:lang w:eastAsia="en-US"/>
              </w:rPr>
            </w:pPr>
            <w:r w:rsidRPr="009934FA">
              <w:rPr>
                <w:szCs w:val="22"/>
                <w:lang w:eastAsia="en-US"/>
              </w:rPr>
              <w:t>Exclusion of so</w:t>
            </w:r>
            <w:r w:rsidR="00733757">
              <w:rPr>
                <w:szCs w:val="22"/>
                <w:lang w:eastAsia="en-US"/>
              </w:rPr>
              <w:t>me oral anti-diabetic drugs in Phase III</w:t>
            </w:r>
            <w:r w:rsidRPr="009934FA">
              <w:rPr>
                <w:szCs w:val="22"/>
                <w:lang w:eastAsia="en-US"/>
              </w:rPr>
              <w:t xml:space="preserve"> trials</w:t>
            </w:r>
            <w:r w:rsidR="00733757">
              <w:rPr>
                <w:szCs w:val="22"/>
                <w:lang w:eastAsia="en-US"/>
              </w:rPr>
              <w:t>.</w:t>
            </w:r>
          </w:p>
        </w:tc>
        <w:tc>
          <w:tcPr>
            <w:tcW w:w="4590" w:type="dxa"/>
          </w:tcPr>
          <w:p w14:paraId="2AEEFC24" w14:textId="2065A83B" w:rsidR="005D0492" w:rsidRPr="009934FA" w:rsidRDefault="005D0492" w:rsidP="00733757">
            <w:pPr>
              <w:ind w:left="0"/>
              <w:rPr>
                <w:szCs w:val="22"/>
                <w:lang w:eastAsia="en-US"/>
              </w:rPr>
            </w:pPr>
            <w:r w:rsidRPr="009934FA">
              <w:rPr>
                <w:szCs w:val="22"/>
                <w:lang w:eastAsia="en-US"/>
              </w:rPr>
              <w:t>Use with GLP-1 agonists and SGLT</w:t>
            </w:r>
            <w:r w:rsidR="00FA533B">
              <w:rPr>
                <w:szCs w:val="22"/>
                <w:lang w:eastAsia="en-US"/>
              </w:rPr>
              <w:t>-</w:t>
            </w:r>
            <w:r w:rsidRPr="009934FA">
              <w:rPr>
                <w:szCs w:val="22"/>
                <w:lang w:eastAsia="en-US"/>
              </w:rPr>
              <w:t>2 inhibitors. There is uncertainty regarding the use of these drugs in combination with IDeg since these</w:t>
            </w:r>
            <w:r w:rsidR="00733757">
              <w:rPr>
                <w:szCs w:val="22"/>
                <w:lang w:eastAsia="en-US"/>
              </w:rPr>
              <w:t xml:space="preserve"> drugs were not studied in the Phase III</w:t>
            </w:r>
            <w:r w:rsidRPr="009934FA">
              <w:rPr>
                <w:szCs w:val="22"/>
                <w:lang w:eastAsia="en-US"/>
              </w:rPr>
              <w:t xml:space="preserve"> trials. This should be also noted in the </w:t>
            </w:r>
            <w:r w:rsidR="00733757">
              <w:rPr>
                <w:szCs w:val="22"/>
                <w:lang w:eastAsia="en-US"/>
              </w:rPr>
              <w:t xml:space="preserve">PI. </w:t>
            </w:r>
            <w:r w:rsidR="006C50FE" w:rsidRPr="009934FA">
              <w:rPr>
                <w:szCs w:val="22"/>
                <w:lang w:eastAsia="en-US"/>
              </w:rPr>
              <w:t>However,</w:t>
            </w:r>
            <w:r w:rsidRPr="009934FA">
              <w:rPr>
                <w:szCs w:val="22"/>
                <w:lang w:eastAsia="en-US"/>
              </w:rPr>
              <w:t xml:space="preserve"> drug interactions are unlikely based on known mechanisms of action</w:t>
            </w:r>
          </w:p>
        </w:tc>
      </w:tr>
      <w:tr w:rsidR="00ED5A4A" w:rsidRPr="009934FA" w14:paraId="613865B1" w14:textId="77777777" w:rsidTr="00ED5A4A">
        <w:tc>
          <w:tcPr>
            <w:tcW w:w="4427" w:type="dxa"/>
          </w:tcPr>
          <w:p w14:paraId="4DAF0252" w14:textId="77777777" w:rsidR="005D0492" w:rsidRPr="009934FA" w:rsidRDefault="005D0492" w:rsidP="005D0492">
            <w:pPr>
              <w:rPr>
                <w:szCs w:val="22"/>
                <w:lang w:eastAsia="en-US"/>
              </w:rPr>
            </w:pPr>
          </w:p>
        </w:tc>
        <w:tc>
          <w:tcPr>
            <w:tcW w:w="4590" w:type="dxa"/>
          </w:tcPr>
          <w:p w14:paraId="4DF8EA11" w14:textId="239D5E83" w:rsidR="005D0492" w:rsidRPr="009934FA" w:rsidRDefault="005D0492" w:rsidP="00733757">
            <w:pPr>
              <w:ind w:left="0"/>
              <w:rPr>
                <w:szCs w:val="22"/>
                <w:lang w:eastAsia="en-US"/>
              </w:rPr>
            </w:pPr>
            <w:r w:rsidRPr="00733757">
              <w:rPr>
                <w:i/>
                <w:szCs w:val="22"/>
                <w:lang w:eastAsia="en-US"/>
              </w:rPr>
              <w:t>Neoplasms/colon cancer</w:t>
            </w:r>
            <w:r w:rsidRPr="009934FA">
              <w:rPr>
                <w:szCs w:val="22"/>
                <w:lang w:eastAsia="en-US"/>
              </w:rPr>
              <w:t xml:space="preserve">: In the updated integrated data, some numerical discrepancies in the rates of neoplasms were seen in the IDeg group compared to the comparators. Neoplasms and colon cancer </w:t>
            </w:r>
            <w:proofErr w:type="gramStart"/>
            <w:r w:rsidRPr="009934FA">
              <w:rPr>
                <w:szCs w:val="22"/>
                <w:lang w:eastAsia="en-US"/>
              </w:rPr>
              <w:t>are</w:t>
            </w:r>
            <w:proofErr w:type="gramEnd"/>
            <w:r w:rsidRPr="009934FA">
              <w:rPr>
                <w:szCs w:val="22"/>
                <w:lang w:eastAsia="en-US"/>
              </w:rPr>
              <w:t xml:space="preserve"> the subject of an ongoing evaluation as requested by the EMA and Swissmedic. Further </w:t>
            </w:r>
            <w:r w:rsidR="00EA5C2D">
              <w:rPr>
                <w:szCs w:val="22"/>
                <w:lang w:eastAsia="en-US"/>
              </w:rPr>
              <w:t>monitoring should be continued.</w:t>
            </w:r>
          </w:p>
        </w:tc>
      </w:tr>
      <w:tr w:rsidR="00ED5A4A" w:rsidRPr="009934FA" w14:paraId="3D4D169C" w14:textId="77777777" w:rsidTr="00ED5A4A">
        <w:trPr>
          <w:cantSplit/>
        </w:trPr>
        <w:tc>
          <w:tcPr>
            <w:tcW w:w="4427" w:type="dxa"/>
          </w:tcPr>
          <w:p w14:paraId="245E5968" w14:textId="6C989928" w:rsidR="005D0492" w:rsidRPr="009934FA" w:rsidRDefault="00733757" w:rsidP="00733757">
            <w:pPr>
              <w:ind w:left="0"/>
              <w:rPr>
                <w:szCs w:val="22"/>
                <w:lang w:eastAsia="en-US"/>
              </w:rPr>
            </w:pPr>
            <w:r w:rsidRPr="00733757">
              <w:rPr>
                <w:i/>
                <w:szCs w:val="22"/>
                <w:lang w:eastAsia="en-US"/>
              </w:rPr>
              <w:lastRenderedPageBreak/>
              <w:t>C</w:t>
            </w:r>
            <w:r>
              <w:rPr>
                <w:i/>
                <w:szCs w:val="22"/>
                <w:lang w:eastAsia="en-US"/>
              </w:rPr>
              <w:t>V</w:t>
            </w:r>
            <w:r w:rsidRPr="00733757">
              <w:rPr>
                <w:i/>
                <w:szCs w:val="22"/>
                <w:lang w:eastAsia="en-US"/>
              </w:rPr>
              <w:t xml:space="preserve"> events (MACE)</w:t>
            </w:r>
            <w:r>
              <w:rPr>
                <w:szCs w:val="22"/>
                <w:lang w:eastAsia="en-US"/>
              </w:rPr>
              <w:t xml:space="preserve">: </w:t>
            </w:r>
            <w:r w:rsidR="005D0492" w:rsidRPr="009934FA">
              <w:rPr>
                <w:szCs w:val="22"/>
                <w:lang w:eastAsia="en-US"/>
              </w:rPr>
              <w:t>Although the outcomes of the interim an</w:t>
            </w:r>
            <w:r>
              <w:rPr>
                <w:szCs w:val="22"/>
                <w:lang w:eastAsia="en-US"/>
              </w:rPr>
              <w:t>alysis for the DEVOTE trial</w:t>
            </w:r>
            <w:r w:rsidR="005D0492" w:rsidRPr="009934FA">
              <w:rPr>
                <w:szCs w:val="22"/>
                <w:lang w:eastAsia="en-US"/>
              </w:rPr>
              <w:t xml:space="preserve"> are reassuring with respect to the signal detected in the original evaluation, the final results from this study will allow more robust conclusions and provide long term data. Further monitoring should be continued (including </w:t>
            </w:r>
            <w:r>
              <w:rPr>
                <w:szCs w:val="22"/>
                <w:lang w:eastAsia="en-US"/>
              </w:rPr>
              <w:t>the DEVOTE trial</w:t>
            </w:r>
            <w:r w:rsidR="005D0492" w:rsidRPr="009934FA">
              <w:rPr>
                <w:szCs w:val="22"/>
                <w:lang w:eastAsia="en-US"/>
              </w:rPr>
              <w:t xml:space="preserve"> and the ongoing signal review).</w:t>
            </w:r>
          </w:p>
        </w:tc>
        <w:tc>
          <w:tcPr>
            <w:tcW w:w="4590" w:type="dxa"/>
          </w:tcPr>
          <w:p w14:paraId="4640C186" w14:textId="533ADEC0" w:rsidR="005D0492" w:rsidRPr="009934FA" w:rsidRDefault="005D0492" w:rsidP="00733757">
            <w:pPr>
              <w:ind w:left="0"/>
              <w:rPr>
                <w:szCs w:val="22"/>
                <w:lang w:eastAsia="en-US"/>
              </w:rPr>
            </w:pPr>
            <w:r w:rsidRPr="009934FA">
              <w:rPr>
                <w:szCs w:val="22"/>
                <w:lang w:eastAsia="en-US"/>
              </w:rPr>
              <w:t xml:space="preserve">The DEVOTE trial did not include patients with T1DM and therefore the specific </w:t>
            </w:r>
            <w:r w:rsidR="00733757">
              <w:rPr>
                <w:szCs w:val="22"/>
                <w:lang w:eastAsia="en-US"/>
              </w:rPr>
              <w:t>CV</w:t>
            </w:r>
            <w:r w:rsidRPr="009934FA">
              <w:rPr>
                <w:szCs w:val="22"/>
                <w:lang w:eastAsia="en-US"/>
              </w:rPr>
              <w:t xml:space="preserve"> risk in this disease subset is unknown and can only be extrapolated from the T2DM data. </w:t>
            </w:r>
          </w:p>
        </w:tc>
      </w:tr>
      <w:tr w:rsidR="00ED5A4A" w:rsidRPr="009934FA" w14:paraId="5C6BBB35" w14:textId="77777777" w:rsidTr="00ED5A4A">
        <w:tc>
          <w:tcPr>
            <w:tcW w:w="4427" w:type="dxa"/>
          </w:tcPr>
          <w:p w14:paraId="51692BD9" w14:textId="77777777" w:rsidR="005D0492" w:rsidRPr="009934FA" w:rsidRDefault="005D0492" w:rsidP="00733757">
            <w:pPr>
              <w:ind w:left="0"/>
              <w:rPr>
                <w:szCs w:val="22"/>
                <w:lang w:eastAsia="en-US"/>
              </w:rPr>
            </w:pPr>
          </w:p>
        </w:tc>
        <w:tc>
          <w:tcPr>
            <w:tcW w:w="4590" w:type="dxa"/>
          </w:tcPr>
          <w:p w14:paraId="4AC4011E" w14:textId="77777777" w:rsidR="005D0492" w:rsidRPr="009934FA" w:rsidRDefault="005D0492" w:rsidP="00733757">
            <w:pPr>
              <w:ind w:left="0"/>
              <w:rPr>
                <w:szCs w:val="22"/>
                <w:lang w:eastAsia="en-US"/>
              </w:rPr>
            </w:pPr>
            <w:r w:rsidRPr="009934FA">
              <w:rPr>
                <w:szCs w:val="22"/>
                <w:lang w:eastAsia="en-US"/>
              </w:rPr>
              <w:t>Use in renal impairment</w:t>
            </w:r>
          </w:p>
        </w:tc>
      </w:tr>
    </w:tbl>
    <w:p w14:paraId="497B19FC" w14:textId="77777777" w:rsidR="00605AD4" w:rsidRPr="009934FA" w:rsidRDefault="00605AD4" w:rsidP="00605AD4">
      <w:pPr>
        <w:pStyle w:val="Heading4"/>
      </w:pPr>
      <w:r w:rsidRPr="009934FA">
        <w:t>First round assessment of benefit-risk balance</w:t>
      </w:r>
    </w:p>
    <w:p w14:paraId="12A0C353" w14:textId="60A723BA" w:rsidR="00605AD4" w:rsidRPr="009934FA" w:rsidRDefault="005D0492" w:rsidP="00605AD4">
      <w:r w:rsidRPr="009934FA">
        <w:t xml:space="preserve">The concerns about the </w:t>
      </w:r>
      <w:r w:rsidR="00733757">
        <w:t>CV</w:t>
      </w:r>
      <w:r w:rsidRPr="009934FA">
        <w:t xml:space="preserve"> safety have been adequately addressed in the interim analysis of the DEVOTE </w:t>
      </w:r>
      <w:r w:rsidR="00733757">
        <w:t>trial</w:t>
      </w:r>
      <w:r w:rsidRPr="009934FA">
        <w:t>. Overall, the benefit-risk balance is positive for IDeg if appropriate steps for education of prescribers and patients are undertaken, as well as active ongoing m</w:t>
      </w:r>
      <w:r w:rsidR="00FA533B">
        <w:t>onitoring for detected signals.</w:t>
      </w:r>
    </w:p>
    <w:p w14:paraId="3C7202CC" w14:textId="77777777" w:rsidR="00605AD4" w:rsidRPr="009934FA" w:rsidRDefault="00605AD4" w:rsidP="00605AD4">
      <w:pPr>
        <w:pStyle w:val="Heading3"/>
        <w:rPr>
          <w:rFonts w:eastAsia="Cambria"/>
        </w:rPr>
      </w:pPr>
      <w:bookmarkStart w:id="114" w:name="_Toc517697109"/>
      <w:r w:rsidRPr="009934FA">
        <w:rPr>
          <w:rFonts w:eastAsia="Cambria"/>
        </w:rPr>
        <w:t>First Round Recommendation Regarding Authorisation</w:t>
      </w:r>
      <w:bookmarkEnd w:id="114"/>
    </w:p>
    <w:p w14:paraId="7CE2160F" w14:textId="7CF32F5D" w:rsidR="00605AD4" w:rsidRPr="009934FA" w:rsidRDefault="005D0492" w:rsidP="00605AD4">
      <w:pPr>
        <w:rPr>
          <w:lang w:eastAsia="ja-JP"/>
        </w:rPr>
      </w:pPr>
      <w:r w:rsidRPr="009934FA">
        <w:rPr>
          <w:lang w:eastAsia="ja-JP"/>
        </w:rPr>
        <w:t>At thi</w:t>
      </w:r>
      <w:r w:rsidR="00733757">
        <w:rPr>
          <w:lang w:eastAsia="ja-JP"/>
        </w:rPr>
        <w:t>s stage, the clinical evaluator has</w:t>
      </w:r>
      <w:r w:rsidRPr="009934FA">
        <w:rPr>
          <w:lang w:eastAsia="ja-JP"/>
        </w:rPr>
        <w:t xml:space="preserve"> no major concerns for the approval of the registration of insulin degludec for the treatment of diabetes, providing the sponsor provide a suitable response to the questions and comments regarding the PI and </w:t>
      </w:r>
      <w:r w:rsidR="00ED5A4A">
        <w:rPr>
          <w:lang w:eastAsia="ja-JP"/>
        </w:rPr>
        <w:t>risk management plan (</w:t>
      </w:r>
      <w:r w:rsidRPr="009934FA">
        <w:rPr>
          <w:lang w:eastAsia="ja-JP"/>
        </w:rPr>
        <w:t>RMP</w:t>
      </w:r>
      <w:r w:rsidR="00ED5A4A">
        <w:rPr>
          <w:lang w:eastAsia="ja-JP"/>
        </w:rPr>
        <w:t>)</w:t>
      </w:r>
      <w:r w:rsidRPr="009934FA">
        <w:rPr>
          <w:lang w:eastAsia="ja-JP"/>
        </w:rPr>
        <w:t>.</w:t>
      </w:r>
    </w:p>
    <w:p w14:paraId="0875485F" w14:textId="77777777" w:rsidR="00605AD4" w:rsidRPr="009934FA" w:rsidRDefault="00605AD4" w:rsidP="00605AD4">
      <w:pPr>
        <w:pStyle w:val="Heading3"/>
        <w:rPr>
          <w:rFonts w:eastAsia="Cambria"/>
        </w:rPr>
      </w:pPr>
      <w:bookmarkStart w:id="115" w:name="_Toc517697110"/>
      <w:r w:rsidRPr="009934FA">
        <w:rPr>
          <w:rFonts w:eastAsia="Cambria"/>
        </w:rPr>
        <w:t>Clinical Questions</w:t>
      </w:r>
      <w:bookmarkEnd w:id="115"/>
    </w:p>
    <w:p w14:paraId="16660F00" w14:textId="05C8961D" w:rsidR="00605AD4" w:rsidRPr="009934FA" w:rsidRDefault="005D0492" w:rsidP="00605AD4">
      <w:r w:rsidRPr="009934FA">
        <w:t>For details of the clinical evaluator’s questions for the sponsor, please see Attachment 2.</w:t>
      </w:r>
    </w:p>
    <w:p w14:paraId="1EAAC336" w14:textId="77777777" w:rsidR="00605AD4" w:rsidRPr="009934FA" w:rsidRDefault="00605AD4" w:rsidP="00546154">
      <w:pPr>
        <w:pStyle w:val="Heading3"/>
        <w:rPr>
          <w:rFonts w:eastAsia="Cambria"/>
        </w:rPr>
      </w:pPr>
      <w:bookmarkStart w:id="116" w:name="_Toc517697111"/>
      <w:r w:rsidRPr="009934FA">
        <w:rPr>
          <w:rFonts w:eastAsia="Cambria"/>
        </w:rPr>
        <w:t>Second Round Benefit-Risk Assessment</w:t>
      </w:r>
      <w:bookmarkEnd w:id="116"/>
    </w:p>
    <w:p w14:paraId="180FBAF9" w14:textId="0D3E05A4" w:rsidR="00605AD4" w:rsidRPr="009934FA" w:rsidRDefault="005F6AE0" w:rsidP="00546154">
      <w:r w:rsidRPr="009934FA">
        <w:t>Following the first round</w:t>
      </w:r>
      <w:r w:rsidR="00DB6FFE" w:rsidRPr="009934FA">
        <w:t xml:space="preserve"> evaluation, </w:t>
      </w:r>
      <w:r w:rsidRPr="009934FA">
        <w:t>benefit-</w:t>
      </w:r>
      <w:r w:rsidR="0056397B" w:rsidRPr="009934FA">
        <w:t>risk assessment</w:t>
      </w:r>
      <w:r w:rsidR="003004AD" w:rsidRPr="009934FA">
        <w:t>,</w:t>
      </w:r>
      <w:r w:rsidR="0056397B" w:rsidRPr="009934FA">
        <w:t xml:space="preserve"> and</w:t>
      </w:r>
      <w:r w:rsidR="003004AD" w:rsidRPr="009934FA">
        <w:t xml:space="preserve"> the</w:t>
      </w:r>
      <w:r w:rsidR="0056397B" w:rsidRPr="009934FA">
        <w:t xml:space="preserve"> overall positive opinion regarding the </w:t>
      </w:r>
      <w:r w:rsidR="003004AD" w:rsidRPr="009934FA">
        <w:t>subm</w:t>
      </w:r>
      <w:r w:rsidR="00ED5A4A">
        <w:t xml:space="preserve">ission (see the </w:t>
      </w:r>
      <w:r w:rsidR="00A665A5">
        <w:t>F</w:t>
      </w:r>
      <w:r w:rsidR="00A665A5" w:rsidRPr="009934FA">
        <w:t xml:space="preserve">irst </w:t>
      </w:r>
      <w:r w:rsidR="003004AD" w:rsidRPr="009934FA">
        <w:t xml:space="preserve">round recommendation regarding authorisation, above), the </w:t>
      </w:r>
      <w:r w:rsidR="00A45756" w:rsidRPr="009934FA">
        <w:t xml:space="preserve">evaluation </w:t>
      </w:r>
      <w:r w:rsidR="00FA533B">
        <w:t xml:space="preserve">of this submission </w:t>
      </w:r>
      <w:r w:rsidR="003004AD" w:rsidRPr="009934FA">
        <w:t xml:space="preserve">continued </w:t>
      </w:r>
      <w:r w:rsidR="00FA533B">
        <w:t xml:space="preserve">directly </w:t>
      </w:r>
      <w:r w:rsidR="003004AD" w:rsidRPr="009934FA">
        <w:t xml:space="preserve">to the </w:t>
      </w:r>
      <w:r w:rsidR="00DB6FFE" w:rsidRPr="009934FA">
        <w:t>Delegate’s Overview</w:t>
      </w:r>
      <w:r w:rsidR="00A45756" w:rsidRPr="009934FA">
        <w:t xml:space="preserve"> </w:t>
      </w:r>
      <w:r w:rsidR="00FA533B">
        <w:t xml:space="preserve">phase, given </w:t>
      </w:r>
      <w:r w:rsidR="00A45756" w:rsidRPr="009934FA">
        <w:t>below.</w:t>
      </w:r>
    </w:p>
    <w:p w14:paraId="2E849975" w14:textId="77777777" w:rsidR="008E7846" w:rsidRPr="009934FA" w:rsidRDefault="008E7846" w:rsidP="00546154">
      <w:pPr>
        <w:pStyle w:val="Heading2"/>
      </w:pPr>
      <w:bookmarkStart w:id="117" w:name="_Toc517697112"/>
      <w:r w:rsidRPr="009934FA">
        <w:t>V. Pharmacovigilance findings</w:t>
      </w:r>
      <w:bookmarkEnd w:id="104"/>
      <w:bookmarkEnd w:id="105"/>
      <w:bookmarkEnd w:id="117"/>
    </w:p>
    <w:p w14:paraId="47CD6A29" w14:textId="77777777" w:rsidR="008E7846" w:rsidRPr="009934FA" w:rsidRDefault="00386150" w:rsidP="008E7846">
      <w:pPr>
        <w:pStyle w:val="Heading3"/>
        <w:rPr>
          <w:lang w:eastAsia="en-AU"/>
        </w:rPr>
      </w:pPr>
      <w:bookmarkStart w:id="118" w:name="_Toc247691526"/>
      <w:bookmarkStart w:id="119" w:name="_Toc314842509"/>
      <w:bookmarkStart w:id="120" w:name="_Toc517697113"/>
      <w:r w:rsidRPr="009934FA">
        <w:rPr>
          <w:lang w:eastAsia="en-AU"/>
        </w:rPr>
        <w:t>Risk m</w:t>
      </w:r>
      <w:r w:rsidR="008E7846" w:rsidRPr="009934FA">
        <w:rPr>
          <w:lang w:eastAsia="en-AU"/>
        </w:rPr>
        <w:t xml:space="preserve">anagement </w:t>
      </w:r>
      <w:r w:rsidRPr="009934FA">
        <w:rPr>
          <w:lang w:eastAsia="en-AU"/>
        </w:rPr>
        <w:t>p</w:t>
      </w:r>
      <w:r w:rsidR="008E7846" w:rsidRPr="009934FA">
        <w:rPr>
          <w:lang w:eastAsia="en-AU"/>
        </w:rPr>
        <w:t>lan</w:t>
      </w:r>
      <w:bookmarkEnd w:id="118"/>
      <w:bookmarkEnd w:id="119"/>
      <w:bookmarkEnd w:id="120"/>
    </w:p>
    <w:p w14:paraId="723FC695" w14:textId="71949529" w:rsidR="00085B9D" w:rsidRPr="009934FA" w:rsidRDefault="00085B9D" w:rsidP="00010764">
      <w:pPr>
        <w:pStyle w:val="ListBullet"/>
        <w:rPr>
          <w:lang w:eastAsia="en-AU"/>
        </w:rPr>
      </w:pPr>
      <w:r w:rsidRPr="009934FA">
        <w:rPr>
          <w:lang w:eastAsia="en-AU"/>
        </w:rPr>
        <w:t>The sponsor submitted the following Risk management plan (RMP): EU-RMP version 5.3 (date 14 January 2015; data lock point (DLP) 31 March 2014) and Australian specific annex (ASA) version 1 (date 9 September 2016) in support of this application.</w:t>
      </w:r>
    </w:p>
    <w:p w14:paraId="13B2323A" w14:textId="4C293D47" w:rsidR="00085B9D" w:rsidRPr="009934FA" w:rsidRDefault="00085B9D" w:rsidP="00010764">
      <w:pPr>
        <w:pStyle w:val="ListBullet"/>
        <w:rPr>
          <w:lang w:eastAsia="en-AU"/>
        </w:rPr>
      </w:pPr>
      <w:r w:rsidRPr="009934FA">
        <w:rPr>
          <w:lang w:eastAsia="en-AU"/>
        </w:rPr>
        <w:t>The sponsor submitted an application to the TGA for this product in 2012, and the EU</w:t>
      </w:r>
      <w:r w:rsidRPr="009934FA">
        <w:rPr>
          <w:lang w:eastAsia="en-AU"/>
        </w:rPr>
        <w:noBreakHyphen/>
        <w:t xml:space="preserve">RMP (version 1.0; dated 8 September 2011) and the ASA (version 1.0; dated 6 February 2012) that accompanied this application were evaluated. However, the </w:t>
      </w:r>
      <w:r w:rsidRPr="009934FA">
        <w:rPr>
          <w:lang w:eastAsia="en-AU"/>
        </w:rPr>
        <w:lastRenderedPageBreak/>
        <w:t xml:space="preserve">sponsor withdrew this application because the issues raised regarding </w:t>
      </w:r>
      <w:r w:rsidR="003F6E9A">
        <w:rPr>
          <w:lang w:eastAsia="en-AU"/>
        </w:rPr>
        <w:t>CV</w:t>
      </w:r>
      <w:r w:rsidRPr="009934FA">
        <w:rPr>
          <w:lang w:eastAsia="en-AU"/>
        </w:rPr>
        <w:t xml:space="preserve"> safety of the product was not addressed at that time. The sponsor has made this current submission based on the original dossier submitted in 2012, with new/amended information to demonstrate cardiovascular safety.</w:t>
      </w:r>
    </w:p>
    <w:p w14:paraId="363D845B" w14:textId="2891A8DA" w:rsidR="00085B9D" w:rsidRPr="009934FA" w:rsidRDefault="00085B9D" w:rsidP="00010764">
      <w:pPr>
        <w:pStyle w:val="ListBullet"/>
        <w:rPr>
          <w:lang w:eastAsia="en-AU"/>
        </w:rPr>
      </w:pPr>
      <w:r w:rsidRPr="009934FA">
        <w:rPr>
          <w:lang w:eastAsia="en-AU"/>
        </w:rPr>
        <w:t>With the sponsor’s responses to the first round RMP evaluation, the sponsor provided an updated ASA version 1.1 (dated 2 May 2017).</w:t>
      </w:r>
    </w:p>
    <w:p w14:paraId="710B741E" w14:textId="46EA7799" w:rsidR="00085B9D" w:rsidRDefault="00085B9D" w:rsidP="00010764">
      <w:pPr>
        <w:pStyle w:val="ListBullet"/>
        <w:rPr>
          <w:lang w:eastAsia="en-AU"/>
        </w:rPr>
      </w:pPr>
      <w:r w:rsidRPr="009934FA">
        <w:rPr>
          <w:lang w:eastAsia="en-AU"/>
        </w:rPr>
        <w:t xml:space="preserve">The proposed Summary of Safety Concerns and their associated risk monitoring and </w:t>
      </w:r>
      <w:r w:rsidR="00FA533B">
        <w:rPr>
          <w:lang w:eastAsia="en-AU"/>
        </w:rPr>
        <w:t xml:space="preserve">mitigation strategies in the </w:t>
      </w:r>
      <w:r w:rsidRPr="009934FA">
        <w:rPr>
          <w:lang w:eastAsia="en-AU"/>
        </w:rPr>
        <w:t>RMP</w:t>
      </w:r>
      <w:r w:rsidR="003F6E9A">
        <w:rPr>
          <w:lang w:eastAsia="en-AU"/>
        </w:rPr>
        <w:t xml:space="preserve"> are summarised below in Table 11</w:t>
      </w:r>
      <w:r w:rsidRPr="009934FA">
        <w:rPr>
          <w:lang w:eastAsia="en-AU"/>
        </w:rPr>
        <w:t>.</w:t>
      </w:r>
    </w:p>
    <w:p w14:paraId="10E51471" w14:textId="76F39C0C" w:rsidR="003F6E9A" w:rsidRPr="009934FA" w:rsidRDefault="003F6E9A" w:rsidP="003F6E9A">
      <w:pPr>
        <w:pStyle w:val="Tabletitle0"/>
        <w:rPr>
          <w:lang w:eastAsia="en-AU"/>
        </w:rPr>
      </w:pPr>
      <w:r>
        <w:rPr>
          <w:lang w:eastAsia="en-AU"/>
        </w:rPr>
        <w:t>Table 11</w:t>
      </w:r>
      <w:r w:rsidR="006C50FE">
        <w:rPr>
          <w:lang w:eastAsia="en-AU"/>
        </w:rPr>
        <w:t xml:space="preserve">: </w:t>
      </w:r>
      <w:r>
        <w:rPr>
          <w:lang w:eastAsia="en-AU"/>
        </w:rPr>
        <w:t>Sponsor’s summary of ongoing safety concerns</w:t>
      </w:r>
    </w:p>
    <w:tbl>
      <w:tblPr>
        <w:tblStyle w:val="TableTGAblue"/>
        <w:tblW w:w="9115" w:type="dxa"/>
        <w:tblLayout w:type="fixed"/>
        <w:tblLook w:val="04A0" w:firstRow="1" w:lastRow="0" w:firstColumn="1" w:lastColumn="0" w:noHBand="0" w:noVBand="1"/>
        <w:tblDescription w:val="Table 11: Sponsor’s summary of ongoing safety concerns"/>
      </w:tblPr>
      <w:tblGrid>
        <w:gridCol w:w="1327"/>
        <w:gridCol w:w="3738"/>
        <w:gridCol w:w="990"/>
        <w:gridCol w:w="1080"/>
        <w:gridCol w:w="990"/>
        <w:gridCol w:w="990"/>
      </w:tblGrid>
      <w:tr w:rsidR="00085B9D" w:rsidRPr="00F9740C" w14:paraId="30229B3B" w14:textId="77777777" w:rsidTr="00EA5C2D">
        <w:trPr>
          <w:cnfStyle w:val="100000000000" w:firstRow="1" w:lastRow="0" w:firstColumn="0" w:lastColumn="0" w:oddVBand="0" w:evenVBand="0" w:oddHBand="0" w:evenHBand="0" w:firstRowFirstColumn="0" w:firstRowLastColumn="0" w:lastRowFirstColumn="0" w:lastRowLastColumn="0"/>
          <w:trHeight w:val="131"/>
        </w:trPr>
        <w:tc>
          <w:tcPr>
            <w:tcW w:w="5065" w:type="dxa"/>
            <w:gridSpan w:val="2"/>
            <w:vMerge w:val="restart"/>
          </w:tcPr>
          <w:p w14:paraId="5F7293AA" w14:textId="77777777" w:rsidR="00085B9D" w:rsidRPr="00F9740C" w:rsidRDefault="00085B9D" w:rsidP="00F9740C">
            <w:r w:rsidRPr="00F9740C">
              <w:t>Summary of safety concerns</w:t>
            </w:r>
          </w:p>
        </w:tc>
        <w:tc>
          <w:tcPr>
            <w:tcW w:w="2070" w:type="dxa"/>
            <w:gridSpan w:val="2"/>
          </w:tcPr>
          <w:p w14:paraId="4997C8D5" w14:textId="77777777" w:rsidR="00085B9D" w:rsidRPr="00F9740C" w:rsidRDefault="00085B9D" w:rsidP="00F9740C">
            <w:pPr>
              <w:ind w:left="0" w:right="0"/>
              <w:rPr>
                <w:sz w:val="20"/>
              </w:rPr>
            </w:pPr>
            <w:r w:rsidRPr="00F9740C">
              <w:rPr>
                <w:sz w:val="20"/>
              </w:rPr>
              <w:t>Pharmacovigilance</w:t>
            </w:r>
          </w:p>
        </w:tc>
        <w:tc>
          <w:tcPr>
            <w:tcW w:w="1980" w:type="dxa"/>
            <w:gridSpan w:val="2"/>
          </w:tcPr>
          <w:p w14:paraId="5F0078AE" w14:textId="77777777" w:rsidR="00085B9D" w:rsidRPr="00F9740C" w:rsidRDefault="00085B9D" w:rsidP="00F9740C">
            <w:pPr>
              <w:ind w:left="0" w:right="0"/>
              <w:rPr>
                <w:sz w:val="20"/>
              </w:rPr>
            </w:pPr>
            <w:r w:rsidRPr="00F9740C">
              <w:rPr>
                <w:sz w:val="20"/>
              </w:rPr>
              <w:t>Risk Minimisation</w:t>
            </w:r>
          </w:p>
        </w:tc>
      </w:tr>
      <w:tr w:rsidR="00085B9D" w:rsidRPr="00F9740C" w14:paraId="370BC43C" w14:textId="77777777" w:rsidTr="00EA5C2D">
        <w:trPr>
          <w:cnfStyle w:val="100000000000" w:firstRow="1" w:lastRow="0" w:firstColumn="0" w:lastColumn="0" w:oddVBand="0" w:evenVBand="0" w:oddHBand="0" w:evenHBand="0" w:firstRowFirstColumn="0" w:firstRowLastColumn="0" w:lastRowFirstColumn="0" w:lastRowLastColumn="0"/>
          <w:trHeight w:val="150"/>
        </w:trPr>
        <w:tc>
          <w:tcPr>
            <w:tcW w:w="5065" w:type="dxa"/>
            <w:gridSpan w:val="2"/>
            <w:vMerge/>
          </w:tcPr>
          <w:p w14:paraId="3AA9EF1D" w14:textId="77777777" w:rsidR="00085B9D" w:rsidRPr="00F9740C" w:rsidRDefault="00085B9D" w:rsidP="00F9740C">
            <w:pPr>
              <w:ind w:left="0" w:right="0"/>
              <w:rPr>
                <w:sz w:val="20"/>
              </w:rPr>
            </w:pPr>
          </w:p>
        </w:tc>
        <w:tc>
          <w:tcPr>
            <w:tcW w:w="990" w:type="dxa"/>
          </w:tcPr>
          <w:p w14:paraId="24470CB8" w14:textId="394FACD0" w:rsidR="00085B9D" w:rsidRPr="00F9740C" w:rsidRDefault="00085B9D" w:rsidP="00EA5C2D">
            <w:pPr>
              <w:pStyle w:val="Tabletext"/>
            </w:pPr>
            <w:r w:rsidRPr="00F9740C">
              <w:t>R</w:t>
            </w:r>
          </w:p>
        </w:tc>
        <w:tc>
          <w:tcPr>
            <w:tcW w:w="1080" w:type="dxa"/>
          </w:tcPr>
          <w:p w14:paraId="54BFB8DF" w14:textId="2A0B8AF4" w:rsidR="00085B9D" w:rsidRPr="00F9740C" w:rsidRDefault="00085B9D" w:rsidP="00EA5C2D">
            <w:pPr>
              <w:pStyle w:val="Tabletext"/>
            </w:pPr>
            <w:r w:rsidRPr="00F9740C">
              <w:t>A</w:t>
            </w:r>
          </w:p>
        </w:tc>
        <w:tc>
          <w:tcPr>
            <w:tcW w:w="990" w:type="dxa"/>
          </w:tcPr>
          <w:p w14:paraId="5A242E88" w14:textId="4A84989F" w:rsidR="00085B9D" w:rsidRPr="00F9740C" w:rsidRDefault="00085B9D" w:rsidP="00EA5C2D">
            <w:pPr>
              <w:pStyle w:val="Tabletext"/>
            </w:pPr>
            <w:r w:rsidRPr="00F9740C">
              <w:t>R</w:t>
            </w:r>
          </w:p>
        </w:tc>
        <w:tc>
          <w:tcPr>
            <w:tcW w:w="990" w:type="dxa"/>
          </w:tcPr>
          <w:p w14:paraId="391A0A59" w14:textId="37BD1384" w:rsidR="00085B9D" w:rsidRPr="00F9740C" w:rsidRDefault="00085B9D" w:rsidP="00EA5C2D">
            <w:pPr>
              <w:pStyle w:val="Tabletext"/>
            </w:pPr>
            <w:r w:rsidRPr="00F9740C">
              <w:t>A</w:t>
            </w:r>
          </w:p>
        </w:tc>
      </w:tr>
      <w:tr w:rsidR="00085B9D" w:rsidRPr="00F9740C" w14:paraId="1C605B65" w14:textId="77777777" w:rsidTr="00EA5C2D">
        <w:trPr>
          <w:trHeight w:val="137"/>
        </w:trPr>
        <w:tc>
          <w:tcPr>
            <w:tcW w:w="1327" w:type="dxa"/>
            <w:vMerge w:val="restart"/>
          </w:tcPr>
          <w:p w14:paraId="59740BB6" w14:textId="77777777" w:rsidR="00085B9D" w:rsidRPr="00F9740C" w:rsidRDefault="00085B9D" w:rsidP="00EA5C2D">
            <w:pPr>
              <w:pStyle w:val="Tabletext"/>
            </w:pPr>
            <w:r w:rsidRPr="00F9740C">
              <w:t>Important identified risks</w:t>
            </w:r>
          </w:p>
        </w:tc>
        <w:tc>
          <w:tcPr>
            <w:tcW w:w="3738" w:type="dxa"/>
          </w:tcPr>
          <w:p w14:paraId="53F21DC2" w14:textId="77777777" w:rsidR="00085B9D" w:rsidRPr="00F9740C" w:rsidRDefault="00085B9D" w:rsidP="00EA5C2D">
            <w:pPr>
              <w:pStyle w:val="Tabletext"/>
            </w:pPr>
            <w:r w:rsidRPr="00F9740C">
              <w:t>Hypoglycaemia</w:t>
            </w:r>
          </w:p>
        </w:tc>
        <w:tc>
          <w:tcPr>
            <w:tcW w:w="990" w:type="dxa"/>
          </w:tcPr>
          <w:p w14:paraId="0A6C70C0"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7D2E1DFC" w14:textId="77777777" w:rsidR="00085B9D" w:rsidRPr="00F9740C" w:rsidRDefault="00085B9D" w:rsidP="00010764">
            <w:pPr>
              <w:ind w:left="0" w:right="0"/>
              <w:jc w:val="center"/>
              <w:rPr>
                <w:sz w:val="20"/>
              </w:rPr>
            </w:pPr>
            <w:r w:rsidRPr="00F9740C">
              <w:rPr>
                <w:sz w:val="20"/>
              </w:rPr>
              <w:t>–</w:t>
            </w:r>
          </w:p>
        </w:tc>
        <w:tc>
          <w:tcPr>
            <w:tcW w:w="990" w:type="dxa"/>
          </w:tcPr>
          <w:p w14:paraId="6D413B23"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7A86B1CF" w14:textId="77777777" w:rsidR="00085B9D" w:rsidRPr="00F9740C" w:rsidRDefault="00085B9D" w:rsidP="00010764">
            <w:pPr>
              <w:ind w:left="0" w:right="0"/>
              <w:jc w:val="center"/>
              <w:rPr>
                <w:sz w:val="20"/>
              </w:rPr>
            </w:pPr>
            <w:r w:rsidRPr="00F9740C">
              <w:rPr>
                <w:sz w:val="20"/>
              </w:rPr>
              <w:t>–</w:t>
            </w:r>
          </w:p>
        </w:tc>
      </w:tr>
      <w:tr w:rsidR="00085B9D" w:rsidRPr="00F9740C" w14:paraId="443287EF" w14:textId="77777777" w:rsidTr="00EA5C2D">
        <w:trPr>
          <w:trHeight w:val="187"/>
        </w:trPr>
        <w:tc>
          <w:tcPr>
            <w:tcW w:w="1327" w:type="dxa"/>
            <w:vMerge/>
          </w:tcPr>
          <w:p w14:paraId="379EFBA5" w14:textId="77777777" w:rsidR="00085B9D" w:rsidRPr="00F9740C" w:rsidRDefault="00085B9D" w:rsidP="00EA5C2D">
            <w:pPr>
              <w:pStyle w:val="Tabletext"/>
            </w:pPr>
          </w:p>
        </w:tc>
        <w:tc>
          <w:tcPr>
            <w:tcW w:w="3738" w:type="dxa"/>
          </w:tcPr>
          <w:p w14:paraId="6928CD7E" w14:textId="77777777" w:rsidR="00085B9D" w:rsidRPr="00F9740C" w:rsidRDefault="00085B9D" w:rsidP="00EA5C2D">
            <w:pPr>
              <w:pStyle w:val="Tabletext"/>
            </w:pPr>
            <w:r w:rsidRPr="00F9740C">
              <w:t>Immunogenicity-related events (allergic reactions)</w:t>
            </w:r>
          </w:p>
        </w:tc>
        <w:tc>
          <w:tcPr>
            <w:tcW w:w="990" w:type="dxa"/>
          </w:tcPr>
          <w:p w14:paraId="5D6051D5"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53304A45" w14:textId="77777777" w:rsidR="00085B9D" w:rsidRPr="00F9740C" w:rsidRDefault="00085B9D" w:rsidP="00010764">
            <w:pPr>
              <w:ind w:left="0" w:right="0"/>
              <w:jc w:val="center"/>
              <w:rPr>
                <w:sz w:val="20"/>
              </w:rPr>
            </w:pPr>
            <w:r w:rsidRPr="00F9740C">
              <w:rPr>
                <w:sz w:val="20"/>
              </w:rPr>
              <w:t>–</w:t>
            </w:r>
          </w:p>
        </w:tc>
        <w:tc>
          <w:tcPr>
            <w:tcW w:w="990" w:type="dxa"/>
          </w:tcPr>
          <w:p w14:paraId="7E9E1680"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11D219C0" w14:textId="77777777" w:rsidR="00085B9D" w:rsidRPr="00F9740C" w:rsidRDefault="00085B9D" w:rsidP="00010764">
            <w:pPr>
              <w:ind w:left="0" w:right="0"/>
              <w:jc w:val="center"/>
              <w:rPr>
                <w:sz w:val="20"/>
              </w:rPr>
            </w:pPr>
            <w:r w:rsidRPr="00F9740C">
              <w:rPr>
                <w:sz w:val="20"/>
              </w:rPr>
              <w:t>–</w:t>
            </w:r>
          </w:p>
        </w:tc>
      </w:tr>
      <w:tr w:rsidR="00085B9D" w:rsidRPr="00F9740C" w14:paraId="51D5009F" w14:textId="77777777" w:rsidTr="00EA5C2D">
        <w:trPr>
          <w:trHeight w:val="187"/>
        </w:trPr>
        <w:tc>
          <w:tcPr>
            <w:tcW w:w="1327" w:type="dxa"/>
            <w:vMerge/>
          </w:tcPr>
          <w:p w14:paraId="6195A39B" w14:textId="77777777" w:rsidR="00085B9D" w:rsidRPr="00F9740C" w:rsidRDefault="00085B9D" w:rsidP="00EA5C2D">
            <w:pPr>
              <w:pStyle w:val="Tabletext"/>
            </w:pPr>
          </w:p>
        </w:tc>
        <w:tc>
          <w:tcPr>
            <w:tcW w:w="3738" w:type="dxa"/>
          </w:tcPr>
          <w:p w14:paraId="44B24B99" w14:textId="7068F14E" w:rsidR="00085B9D" w:rsidRPr="00F9740C" w:rsidRDefault="00085B9D" w:rsidP="00EA5C2D">
            <w:pPr>
              <w:pStyle w:val="Tabletext"/>
              <w:rPr>
                <w:vertAlign w:val="superscript"/>
              </w:rPr>
            </w:pPr>
            <w:r w:rsidRPr="00F9740C">
              <w:t>Medication errors due to mix-up between basal and bolus insulin</w:t>
            </w:r>
            <w:r w:rsidR="00F9740C">
              <w:rPr>
                <w:vertAlign w:val="superscript"/>
              </w:rPr>
              <w:t>1</w:t>
            </w:r>
          </w:p>
        </w:tc>
        <w:tc>
          <w:tcPr>
            <w:tcW w:w="990" w:type="dxa"/>
          </w:tcPr>
          <w:p w14:paraId="070B01B4"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4C4D170E" w14:textId="77777777" w:rsidR="00085B9D" w:rsidRPr="00F9740C" w:rsidRDefault="00085B9D" w:rsidP="00010764">
            <w:pPr>
              <w:ind w:left="0" w:right="0"/>
              <w:jc w:val="center"/>
              <w:rPr>
                <w:sz w:val="20"/>
              </w:rPr>
            </w:pPr>
            <w:r w:rsidRPr="00F9740C">
              <w:rPr>
                <w:sz w:val="20"/>
              </w:rPr>
              <w:t>–</w:t>
            </w:r>
          </w:p>
        </w:tc>
        <w:tc>
          <w:tcPr>
            <w:tcW w:w="990" w:type="dxa"/>
          </w:tcPr>
          <w:p w14:paraId="447A448F"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21A4FEF0" w14:textId="77777777" w:rsidR="00085B9D" w:rsidRPr="00F9740C" w:rsidRDefault="00085B9D" w:rsidP="00010764">
            <w:pPr>
              <w:ind w:left="0" w:right="0"/>
              <w:jc w:val="center"/>
              <w:rPr>
                <w:sz w:val="20"/>
              </w:rPr>
            </w:pPr>
            <w:r w:rsidRPr="00F9740C">
              <w:rPr>
                <w:sz w:val="20"/>
              </w:rPr>
              <w:t>–</w:t>
            </w:r>
          </w:p>
        </w:tc>
      </w:tr>
      <w:tr w:rsidR="00085B9D" w:rsidRPr="00F9740C" w14:paraId="5A4B00A7" w14:textId="77777777" w:rsidTr="00EA5C2D">
        <w:trPr>
          <w:trHeight w:val="159"/>
        </w:trPr>
        <w:tc>
          <w:tcPr>
            <w:tcW w:w="1327" w:type="dxa"/>
            <w:vMerge w:val="restart"/>
          </w:tcPr>
          <w:p w14:paraId="7385BFE1" w14:textId="77777777" w:rsidR="00085B9D" w:rsidRPr="00F9740C" w:rsidRDefault="00085B9D" w:rsidP="00EA5C2D">
            <w:pPr>
              <w:pStyle w:val="Tabletext"/>
            </w:pPr>
            <w:r w:rsidRPr="00F9740C">
              <w:t>Important potential risks</w:t>
            </w:r>
          </w:p>
        </w:tc>
        <w:tc>
          <w:tcPr>
            <w:tcW w:w="3738" w:type="dxa"/>
          </w:tcPr>
          <w:p w14:paraId="6D1F1F0F" w14:textId="77777777" w:rsidR="00085B9D" w:rsidRPr="00F9740C" w:rsidRDefault="00085B9D" w:rsidP="00EA5C2D">
            <w:pPr>
              <w:pStyle w:val="Tabletext"/>
            </w:pPr>
            <w:r w:rsidRPr="00F9740C">
              <w:t>Medication errors due to mix-up between basal and bolus insulin</w:t>
            </w:r>
          </w:p>
        </w:tc>
        <w:tc>
          <w:tcPr>
            <w:tcW w:w="990" w:type="dxa"/>
          </w:tcPr>
          <w:p w14:paraId="5DF77A42"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7A1A20E5" w14:textId="77777777" w:rsidR="00085B9D" w:rsidRPr="00F9740C" w:rsidRDefault="00085B9D" w:rsidP="00010764">
            <w:pPr>
              <w:ind w:left="0" w:right="0"/>
              <w:jc w:val="center"/>
              <w:rPr>
                <w:sz w:val="20"/>
              </w:rPr>
            </w:pPr>
            <w:r w:rsidRPr="00F9740C">
              <w:rPr>
                <w:sz w:val="20"/>
              </w:rPr>
              <w:t>–</w:t>
            </w:r>
          </w:p>
        </w:tc>
        <w:tc>
          <w:tcPr>
            <w:tcW w:w="990" w:type="dxa"/>
          </w:tcPr>
          <w:p w14:paraId="576CF91C"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0A9D9432" w14:textId="77777777" w:rsidR="00085B9D" w:rsidRPr="00F9740C" w:rsidRDefault="00085B9D" w:rsidP="00010764">
            <w:pPr>
              <w:ind w:left="0" w:right="0"/>
              <w:jc w:val="center"/>
              <w:rPr>
                <w:sz w:val="20"/>
              </w:rPr>
            </w:pPr>
            <w:r w:rsidRPr="00F9740C">
              <w:rPr>
                <w:sz w:val="20"/>
              </w:rPr>
              <w:t>–</w:t>
            </w:r>
          </w:p>
        </w:tc>
      </w:tr>
      <w:tr w:rsidR="00085B9D" w:rsidRPr="00F9740C" w14:paraId="13E43B8F" w14:textId="77777777" w:rsidTr="00EA5C2D">
        <w:trPr>
          <w:trHeight w:val="122"/>
        </w:trPr>
        <w:tc>
          <w:tcPr>
            <w:tcW w:w="1327" w:type="dxa"/>
            <w:vMerge/>
          </w:tcPr>
          <w:p w14:paraId="0A64F33E" w14:textId="77777777" w:rsidR="00085B9D" w:rsidRPr="00F9740C" w:rsidRDefault="00085B9D" w:rsidP="00EA5C2D">
            <w:pPr>
              <w:pStyle w:val="Tabletext"/>
            </w:pPr>
          </w:p>
        </w:tc>
        <w:tc>
          <w:tcPr>
            <w:tcW w:w="3738" w:type="dxa"/>
          </w:tcPr>
          <w:p w14:paraId="5DD44C91" w14:textId="5877DA91" w:rsidR="00085B9D" w:rsidRPr="00F9740C" w:rsidRDefault="00085B9D" w:rsidP="00EA5C2D">
            <w:pPr>
              <w:pStyle w:val="Tabletext"/>
            </w:pPr>
            <w:r w:rsidRPr="00F9740C">
              <w:t>Medication errors due to mix-up between the diff</w:t>
            </w:r>
            <w:r w:rsidR="00F9740C">
              <w:t>erent concentrations of Tresiba</w:t>
            </w:r>
          </w:p>
        </w:tc>
        <w:tc>
          <w:tcPr>
            <w:tcW w:w="990" w:type="dxa"/>
          </w:tcPr>
          <w:p w14:paraId="348A359C"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353780D5" w14:textId="77777777" w:rsidR="00085B9D" w:rsidRPr="00F9740C" w:rsidRDefault="00085B9D" w:rsidP="00010764">
            <w:pPr>
              <w:ind w:left="0" w:right="0"/>
              <w:jc w:val="center"/>
              <w:rPr>
                <w:sz w:val="20"/>
              </w:rPr>
            </w:pPr>
            <w:r w:rsidRPr="00F9740C">
              <w:rPr>
                <w:sz w:val="20"/>
              </w:rPr>
              <w:t>–</w:t>
            </w:r>
          </w:p>
        </w:tc>
        <w:tc>
          <w:tcPr>
            <w:tcW w:w="990" w:type="dxa"/>
          </w:tcPr>
          <w:p w14:paraId="2D563915"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5FD89BF7" w14:textId="77777777" w:rsidR="00085B9D" w:rsidRPr="00F9740C" w:rsidRDefault="00085B9D" w:rsidP="00010764">
            <w:pPr>
              <w:ind w:left="0" w:right="0"/>
              <w:jc w:val="center"/>
              <w:rPr>
                <w:sz w:val="20"/>
              </w:rPr>
            </w:pPr>
            <w:r w:rsidRPr="00F9740C">
              <w:rPr>
                <w:sz w:val="20"/>
              </w:rPr>
              <w:sym w:font="Wingdings" w:char="F0FC"/>
            </w:r>
          </w:p>
        </w:tc>
      </w:tr>
      <w:tr w:rsidR="00085B9D" w:rsidRPr="00F9740C" w14:paraId="34A7FC01" w14:textId="77777777" w:rsidTr="00EA5C2D">
        <w:trPr>
          <w:trHeight w:val="112"/>
        </w:trPr>
        <w:tc>
          <w:tcPr>
            <w:tcW w:w="1327" w:type="dxa"/>
            <w:vMerge/>
          </w:tcPr>
          <w:p w14:paraId="35CD94D9" w14:textId="77777777" w:rsidR="00085B9D" w:rsidRPr="00F9740C" w:rsidRDefault="00085B9D" w:rsidP="00EA5C2D">
            <w:pPr>
              <w:pStyle w:val="Tabletext"/>
            </w:pPr>
          </w:p>
        </w:tc>
        <w:tc>
          <w:tcPr>
            <w:tcW w:w="3738" w:type="dxa"/>
          </w:tcPr>
          <w:p w14:paraId="2AD40FA4" w14:textId="55043F36" w:rsidR="00085B9D" w:rsidRPr="00F9740C" w:rsidRDefault="00FA533B" w:rsidP="00EA5C2D">
            <w:pPr>
              <w:pStyle w:val="Tabletext"/>
            </w:pPr>
            <w:r>
              <w:t>Immunological events:</w:t>
            </w:r>
            <w:r w:rsidR="00085B9D" w:rsidRPr="00F9740C">
              <w:t xml:space="preserve"> formation of neutralising insulin antibodies</w:t>
            </w:r>
          </w:p>
        </w:tc>
        <w:tc>
          <w:tcPr>
            <w:tcW w:w="990" w:type="dxa"/>
          </w:tcPr>
          <w:p w14:paraId="2468D302"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6473B1B1" w14:textId="77777777" w:rsidR="00085B9D" w:rsidRPr="00F9740C" w:rsidRDefault="00085B9D" w:rsidP="00010764">
            <w:pPr>
              <w:ind w:left="0" w:right="0"/>
              <w:jc w:val="center"/>
              <w:rPr>
                <w:sz w:val="20"/>
              </w:rPr>
            </w:pPr>
            <w:r w:rsidRPr="00F9740C">
              <w:rPr>
                <w:sz w:val="20"/>
              </w:rPr>
              <w:t>–</w:t>
            </w:r>
          </w:p>
        </w:tc>
        <w:tc>
          <w:tcPr>
            <w:tcW w:w="990" w:type="dxa"/>
          </w:tcPr>
          <w:p w14:paraId="4574B575"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29622166" w14:textId="77777777" w:rsidR="00085B9D" w:rsidRPr="00F9740C" w:rsidRDefault="00085B9D" w:rsidP="00010764">
            <w:pPr>
              <w:ind w:left="0" w:right="0"/>
              <w:jc w:val="center"/>
              <w:rPr>
                <w:sz w:val="20"/>
              </w:rPr>
            </w:pPr>
            <w:r w:rsidRPr="00F9740C">
              <w:rPr>
                <w:sz w:val="20"/>
              </w:rPr>
              <w:t>–</w:t>
            </w:r>
          </w:p>
        </w:tc>
      </w:tr>
      <w:tr w:rsidR="00085B9D" w:rsidRPr="00F9740C" w14:paraId="3ABDE82D" w14:textId="77777777" w:rsidTr="00EA5C2D">
        <w:trPr>
          <w:trHeight w:val="178"/>
        </w:trPr>
        <w:tc>
          <w:tcPr>
            <w:tcW w:w="1327" w:type="dxa"/>
            <w:vMerge w:val="restart"/>
          </w:tcPr>
          <w:p w14:paraId="2B7B83D0" w14:textId="77777777" w:rsidR="00085B9D" w:rsidRPr="00F9740C" w:rsidRDefault="00085B9D" w:rsidP="00EA5C2D">
            <w:pPr>
              <w:pStyle w:val="Tabletext"/>
            </w:pPr>
            <w:r w:rsidRPr="00F9740C">
              <w:t>Missing information</w:t>
            </w:r>
          </w:p>
        </w:tc>
        <w:tc>
          <w:tcPr>
            <w:tcW w:w="3738" w:type="dxa"/>
          </w:tcPr>
          <w:p w14:paraId="3C7C870C" w14:textId="77777777" w:rsidR="00085B9D" w:rsidRPr="00F9740C" w:rsidRDefault="00085B9D" w:rsidP="00EA5C2D">
            <w:pPr>
              <w:pStyle w:val="Tabletext"/>
            </w:pPr>
            <w:r w:rsidRPr="00F9740C">
              <w:t>Pregnant and lactating women</w:t>
            </w:r>
          </w:p>
        </w:tc>
        <w:tc>
          <w:tcPr>
            <w:tcW w:w="990" w:type="dxa"/>
          </w:tcPr>
          <w:p w14:paraId="1055B1F3"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429881E8" w14:textId="77777777" w:rsidR="00085B9D" w:rsidRPr="00F9740C" w:rsidRDefault="00085B9D" w:rsidP="00010764">
            <w:pPr>
              <w:ind w:left="0" w:right="0"/>
              <w:jc w:val="center"/>
              <w:rPr>
                <w:sz w:val="20"/>
              </w:rPr>
            </w:pPr>
            <w:r w:rsidRPr="00F9740C">
              <w:rPr>
                <w:sz w:val="20"/>
              </w:rPr>
              <w:t>–</w:t>
            </w:r>
          </w:p>
        </w:tc>
        <w:tc>
          <w:tcPr>
            <w:tcW w:w="990" w:type="dxa"/>
          </w:tcPr>
          <w:p w14:paraId="6FBC77D2"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2C4DABA0" w14:textId="77777777" w:rsidR="00085B9D" w:rsidRPr="00F9740C" w:rsidRDefault="00085B9D" w:rsidP="00010764">
            <w:pPr>
              <w:ind w:left="0" w:right="0"/>
              <w:jc w:val="center"/>
              <w:rPr>
                <w:sz w:val="20"/>
              </w:rPr>
            </w:pPr>
            <w:r w:rsidRPr="00F9740C">
              <w:rPr>
                <w:sz w:val="20"/>
              </w:rPr>
              <w:t>–</w:t>
            </w:r>
          </w:p>
        </w:tc>
      </w:tr>
      <w:tr w:rsidR="00085B9D" w:rsidRPr="00F9740C" w14:paraId="1B2E0FBE" w14:textId="77777777" w:rsidTr="00EA5C2D">
        <w:trPr>
          <w:trHeight w:val="103"/>
        </w:trPr>
        <w:tc>
          <w:tcPr>
            <w:tcW w:w="1327" w:type="dxa"/>
            <w:vMerge/>
          </w:tcPr>
          <w:p w14:paraId="2280D207" w14:textId="77777777" w:rsidR="00085B9D" w:rsidRPr="00F9740C" w:rsidRDefault="00085B9D" w:rsidP="00EA5C2D">
            <w:pPr>
              <w:pStyle w:val="Tabletext"/>
            </w:pPr>
          </w:p>
        </w:tc>
        <w:tc>
          <w:tcPr>
            <w:tcW w:w="3738" w:type="dxa"/>
          </w:tcPr>
          <w:p w14:paraId="43061B8D" w14:textId="2BFB0532" w:rsidR="00085B9D" w:rsidRPr="00F9740C" w:rsidRDefault="00085B9D" w:rsidP="00EA5C2D">
            <w:pPr>
              <w:pStyle w:val="Tabletext"/>
              <w:rPr>
                <w:vertAlign w:val="superscript"/>
              </w:rPr>
            </w:pPr>
            <w:r w:rsidRPr="00F9740C">
              <w:t>Neonat</w:t>
            </w:r>
            <w:r w:rsidR="00F9740C">
              <w:t>es and infants (&lt;</w:t>
            </w:r>
            <w:r w:rsidR="00FA533B">
              <w:t xml:space="preserve"> </w:t>
            </w:r>
            <w:r w:rsidR="00F9740C">
              <w:t>1 year of age)</w:t>
            </w:r>
            <w:r w:rsidR="00F9740C">
              <w:rPr>
                <w:vertAlign w:val="superscript"/>
              </w:rPr>
              <w:t>2</w:t>
            </w:r>
          </w:p>
        </w:tc>
        <w:tc>
          <w:tcPr>
            <w:tcW w:w="990" w:type="dxa"/>
          </w:tcPr>
          <w:p w14:paraId="5C5BD539"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4A0FE637" w14:textId="77777777" w:rsidR="00085B9D" w:rsidRPr="00F9740C" w:rsidRDefault="00085B9D" w:rsidP="00010764">
            <w:pPr>
              <w:ind w:left="0" w:right="0"/>
              <w:jc w:val="center"/>
              <w:rPr>
                <w:sz w:val="20"/>
              </w:rPr>
            </w:pPr>
            <w:r w:rsidRPr="00F9740C">
              <w:rPr>
                <w:sz w:val="20"/>
              </w:rPr>
              <w:t>–</w:t>
            </w:r>
          </w:p>
        </w:tc>
        <w:tc>
          <w:tcPr>
            <w:tcW w:w="990" w:type="dxa"/>
          </w:tcPr>
          <w:p w14:paraId="5EFFA525"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106F5C21" w14:textId="77777777" w:rsidR="00085B9D" w:rsidRPr="00F9740C" w:rsidRDefault="00085B9D" w:rsidP="00010764">
            <w:pPr>
              <w:ind w:left="0" w:right="0"/>
              <w:jc w:val="center"/>
              <w:rPr>
                <w:sz w:val="20"/>
              </w:rPr>
            </w:pPr>
            <w:r w:rsidRPr="00F9740C">
              <w:rPr>
                <w:sz w:val="20"/>
              </w:rPr>
              <w:t>–</w:t>
            </w:r>
          </w:p>
        </w:tc>
      </w:tr>
      <w:tr w:rsidR="00085B9D" w:rsidRPr="00F9740C" w14:paraId="5832CC16" w14:textId="77777777" w:rsidTr="00EA5C2D">
        <w:trPr>
          <w:trHeight w:val="103"/>
        </w:trPr>
        <w:tc>
          <w:tcPr>
            <w:tcW w:w="1327" w:type="dxa"/>
            <w:vMerge/>
          </w:tcPr>
          <w:p w14:paraId="511EB6E0" w14:textId="77777777" w:rsidR="00085B9D" w:rsidRPr="00F9740C" w:rsidRDefault="00085B9D" w:rsidP="00EA5C2D">
            <w:pPr>
              <w:pStyle w:val="Tabletext"/>
            </w:pPr>
          </w:p>
        </w:tc>
        <w:tc>
          <w:tcPr>
            <w:tcW w:w="3738" w:type="dxa"/>
          </w:tcPr>
          <w:p w14:paraId="225A9AD3" w14:textId="77777777" w:rsidR="00085B9D" w:rsidRPr="00F9740C" w:rsidRDefault="00085B9D" w:rsidP="00EA5C2D">
            <w:pPr>
              <w:pStyle w:val="Tabletext"/>
            </w:pPr>
            <w:r w:rsidRPr="00F9740C">
              <w:t>Hepatic impairment</w:t>
            </w:r>
          </w:p>
        </w:tc>
        <w:tc>
          <w:tcPr>
            <w:tcW w:w="990" w:type="dxa"/>
          </w:tcPr>
          <w:p w14:paraId="08F25644"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53E4185D" w14:textId="77777777" w:rsidR="00085B9D" w:rsidRPr="00F9740C" w:rsidRDefault="00085B9D" w:rsidP="00010764">
            <w:pPr>
              <w:ind w:left="0" w:right="0"/>
              <w:jc w:val="center"/>
              <w:rPr>
                <w:sz w:val="20"/>
              </w:rPr>
            </w:pPr>
            <w:r w:rsidRPr="00F9740C">
              <w:rPr>
                <w:sz w:val="20"/>
              </w:rPr>
              <w:t>–</w:t>
            </w:r>
          </w:p>
        </w:tc>
        <w:tc>
          <w:tcPr>
            <w:tcW w:w="990" w:type="dxa"/>
          </w:tcPr>
          <w:p w14:paraId="70878152"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19792951" w14:textId="77777777" w:rsidR="00085B9D" w:rsidRPr="00F9740C" w:rsidRDefault="00085B9D" w:rsidP="00010764">
            <w:pPr>
              <w:ind w:left="0" w:right="0"/>
              <w:jc w:val="center"/>
              <w:rPr>
                <w:sz w:val="20"/>
              </w:rPr>
            </w:pPr>
            <w:r w:rsidRPr="00F9740C">
              <w:rPr>
                <w:sz w:val="20"/>
              </w:rPr>
              <w:t>–</w:t>
            </w:r>
          </w:p>
        </w:tc>
      </w:tr>
      <w:tr w:rsidR="00085B9D" w:rsidRPr="00F9740C" w14:paraId="05CFC7C0" w14:textId="77777777" w:rsidTr="00EA5C2D">
        <w:trPr>
          <w:trHeight w:val="103"/>
        </w:trPr>
        <w:tc>
          <w:tcPr>
            <w:tcW w:w="1327" w:type="dxa"/>
            <w:vMerge/>
          </w:tcPr>
          <w:p w14:paraId="2FCC42A8" w14:textId="77777777" w:rsidR="00085B9D" w:rsidRPr="00F9740C" w:rsidRDefault="00085B9D" w:rsidP="00EA5C2D">
            <w:pPr>
              <w:pStyle w:val="Tabletext"/>
            </w:pPr>
          </w:p>
        </w:tc>
        <w:tc>
          <w:tcPr>
            <w:tcW w:w="3738" w:type="dxa"/>
          </w:tcPr>
          <w:p w14:paraId="4A25F8A1" w14:textId="0DB20EFE" w:rsidR="00085B9D" w:rsidRPr="00F9740C" w:rsidRDefault="00085B9D" w:rsidP="00EA5C2D">
            <w:pPr>
              <w:pStyle w:val="Tabletext"/>
              <w:rPr>
                <w:vertAlign w:val="superscript"/>
              </w:rPr>
            </w:pPr>
            <w:r w:rsidRPr="00F9740C">
              <w:t>Moderate</w:t>
            </w:r>
            <w:r w:rsidR="00F9740C">
              <w:t xml:space="preserve"> and severe renal impairment</w:t>
            </w:r>
            <w:r w:rsidR="00F9740C">
              <w:rPr>
                <w:vertAlign w:val="superscript"/>
              </w:rPr>
              <w:t>3</w:t>
            </w:r>
          </w:p>
        </w:tc>
        <w:tc>
          <w:tcPr>
            <w:tcW w:w="990" w:type="dxa"/>
          </w:tcPr>
          <w:p w14:paraId="2DC00AE9"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3B6F5EFE" w14:textId="77777777" w:rsidR="00085B9D" w:rsidRPr="00F9740C" w:rsidRDefault="00085B9D" w:rsidP="00010764">
            <w:pPr>
              <w:ind w:left="0" w:right="0"/>
              <w:jc w:val="center"/>
              <w:rPr>
                <w:sz w:val="20"/>
              </w:rPr>
            </w:pPr>
            <w:r w:rsidRPr="00F9740C">
              <w:rPr>
                <w:sz w:val="20"/>
              </w:rPr>
              <w:t>–</w:t>
            </w:r>
          </w:p>
        </w:tc>
        <w:tc>
          <w:tcPr>
            <w:tcW w:w="990" w:type="dxa"/>
          </w:tcPr>
          <w:p w14:paraId="3A9C01A7"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0DF8332C" w14:textId="77777777" w:rsidR="00085B9D" w:rsidRPr="00F9740C" w:rsidRDefault="00085B9D" w:rsidP="00010764">
            <w:pPr>
              <w:ind w:left="0" w:right="0"/>
              <w:jc w:val="center"/>
              <w:rPr>
                <w:sz w:val="20"/>
              </w:rPr>
            </w:pPr>
            <w:r w:rsidRPr="00F9740C">
              <w:rPr>
                <w:sz w:val="20"/>
              </w:rPr>
              <w:t>–</w:t>
            </w:r>
          </w:p>
        </w:tc>
      </w:tr>
      <w:tr w:rsidR="00085B9D" w:rsidRPr="00F9740C" w14:paraId="292D433C" w14:textId="77777777" w:rsidTr="00EA5C2D">
        <w:trPr>
          <w:trHeight w:val="140"/>
        </w:trPr>
        <w:tc>
          <w:tcPr>
            <w:tcW w:w="1327" w:type="dxa"/>
            <w:vMerge/>
          </w:tcPr>
          <w:p w14:paraId="0F2EBD09" w14:textId="77777777" w:rsidR="00085B9D" w:rsidRPr="00F9740C" w:rsidRDefault="00085B9D" w:rsidP="00EA5C2D">
            <w:pPr>
              <w:pStyle w:val="Tabletext"/>
            </w:pPr>
          </w:p>
        </w:tc>
        <w:tc>
          <w:tcPr>
            <w:tcW w:w="3738" w:type="dxa"/>
          </w:tcPr>
          <w:p w14:paraId="0F16C329" w14:textId="5803161F" w:rsidR="00085B9D" w:rsidRPr="00F9740C" w:rsidRDefault="00085B9D" w:rsidP="00EA5C2D">
            <w:pPr>
              <w:pStyle w:val="Tabletext"/>
            </w:pPr>
            <w:r w:rsidRPr="00F9740C">
              <w:t>Elderly patients (&gt;</w:t>
            </w:r>
            <w:r w:rsidR="00FA533B">
              <w:t xml:space="preserve"> </w:t>
            </w:r>
            <w:r w:rsidRPr="00F9740C">
              <w:t>75 years) with T1DM</w:t>
            </w:r>
          </w:p>
        </w:tc>
        <w:tc>
          <w:tcPr>
            <w:tcW w:w="990" w:type="dxa"/>
          </w:tcPr>
          <w:p w14:paraId="7749BAE8" w14:textId="77777777" w:rsidR="00085B9D" w:rsidRPr="00F9740C" w:rsidRDefault="00085B9D" w:rsidP="00010764">
            <w:pPr>
              <w:ind w:left="0" w:right="0"/>
              <w:jc w:val="center"/>
              <w:rPr>
                <w:sz w:val="20"/>
              </w:rPr>
            </w:pPr>
            <w:r w:rsidRPr="00F9740C">
              <w:rPr>
                <w:sz w:val="20"/>
              </w:rPr>
              <w:sym w:font="Wingdings" w:char="F0FC"/>
            </w:r>
          </w:p>
        </w:tc>
        <w:tc>
          <w:tcPr>
            <w:tcW w:w="1080" w:type="dxa"/>
          </w:tcPr>
          <w:p w14:paraId="62944D44" w14:textId="77777777" w:rsidR="00085B9D" w:rsidRPr="00F9740C" w:rsidRDefault="00085B9D" w:rsidP="00010764">
            <w:pPr>
              <w:ind w:left="0" w:right="0"/>
              <w:jc w:val="center"/>
              <w:rPr>
                <w:sz w:val="20"/>
              </w:rPr>
            </w:pPr>
            <w:r w:rsidRPr="00F9740C">
              <w:rPr>
                <w:sz w:val="20"/>
              </w:rPr>
              <w:t>–</w:t>
            </w:r>
          </w:p>
        </w:tc>
        <w:tc>
          <w:tcPr>
            <w:tcW w:w="990" w:type="dxa"/>
          </w:tcPr>
          <w:p w14:paraId="6E6514A0" w14:textId="77777777" w:rsidR="00085B9D" w:rsidRPr="00F9740C" w:rsidRDefault="00085B9D" w:rsidP="00010764">
            <w:pPr>
              <w:ind w:left="0" w:right="0"/>
              <w:jc w:val="center"/>
              <w:rPr>
                <w:sz w:val="20"/>
              </w:rPr>
            </w:pPr>
            <w:r w:rsidRPr="00F9740C">
              <w:rPr>
                <w:sz w:val="20"/>
              </w:rPr>
              <w:sym w:font="Wingdings" w:char="F0FC"/>
            </w:r>
          </w:p>
        </w:tc>
        <w:tc>
          <w:tcPr>
            <w:tcW w:w="990" w:type="dxa"/>
          </w:tcPr>
          <w:p w14:paraId="36D51FAF" w14:textId="77777777" w:rsidR="00085B9D" w:rsidRPr="00F9740C" w:rsidRDefault="00085B9D" w:rsidP="00010764">
            <w:pPr>
              <w:ind w:left="0" w:right="0"/>
              <w:jc w:val="center"/>
              <w:rPr>
                <w:sz w:val="20"/>
              </w:rPr>
            </w:pPr>
            <w:r w:rsidRPr="00F9740C">
              <w:rPr>
                <w:sz w:val="20"/>
              </w:rPr>
              <w:t>–</w:t>
            </w:r>
          </w:p>
        </w:tc>
      </w:tr>
    </w:tbl>
    <w:p w14:paraId="58EAC3D8" w14:textId="7AB68209" w:rsidR="00010764" w:rsidRDefault="00F9740C" w:rsidP="00010764">
      <w:pPr>
        <w:pStyle w:val="TableDescription"/>
        <w:rPr>
          <w:lang w:eastAsia="en-AU"/>
        </w:rPr>
      </w:pPr>
      <w:r>
        <w:rPr>
          <w:lang w:eastAsia="en-AU"/>
        </w:rPr>
        <w:t xml:space="preserve">Notes: R = routine; A = additional. 1) </w:t>
      </w:r>
      <w:r w:rsidR="00085B9D" w:rsidRPr="009934FA">
        <w:rPr>
          <w:lang w:eastAsia="en-AU"/>
        </w:rPr>
        <w:t>Medication errors due to mix-up between basal and bolus insulin is categorised as an Impor</w:t>
      </w:r>
      <w:r>
        <w:rPr>
          <w:lang w:eastAsia="en-AU"/>
        </w:rPr>
        <w:t xml:space="preserve">tant </w:t>
      </w:r>
      <w:r w:rsidR="006C50FE">
        <w:rPr>
          <w:lang w:eastAsia="en-AU"/>
        </w:rPr>
        <w:t>Identified</w:t>
      </w:r>
      <w:r>
        <w:rPr>
          <w:lang w:eastAsia="en-AU"/>
        </w:rPr>
        <w:t xml:space="preserve"> Risk in the ASA; 2) </w:t>
      </w:r>
      <w:r w:rsidR="00085B9D" w:rsidRPr="009934FA">
        <w:rPr>
          <w:lang w:eastAsia="en-AU"/>
        </w:rPr>
        <w:t>Missing information ‘Neonates and infants (&lt;</w:t>
      </w:r>
      <w:r>
        <w:rPr>
          <w:lang w:eastAsia="en-AU"/>
        </w:rPr>
        <w:t> 1 </w:t>
      </w:r>
      <w:r w:rsidR="00085B9D" w:rsidRPr="009934FA">
        <w:rPr>
          <w:lang w:eastAsia="en-AU"/>
        </w:rPr>
        <w:t>year of age)’ has been replaced with ‘Children and adolescent &lt;</w:t>
      </w:r>
      <w:r>
        <w:rPr>
          <w:lang w:eastAsia="en-AU"/>
        </w:rPr>
        <w:t> </w:t>
      </w:r>
      <w:r w:rsidR="00085B9D" w:rsidRPr="009934FA">
        <w:rPr>
          <w:lang w:eastAsia="en-AU"/>
        </w:rPr>
        <w:t>1</w:t>
      </w:r>
      <w:r>
        <w:rPr>
          <w:lang w:eastAsia="en-AU"/>
        </w:rPr>
        <w:t>8 years’ as missing information; 3) ‘</w:t>
      </w:r>
      <w:r w:rsidR="00085B9D" w:rsidRPr="00F9740C">
        <w:rPr>
          <w:i/>
        </w:rPr>
        <w:t>Moderate</w:t>
      </w:r>
      <w:r w:rsidRPr="00F9740C">
        <w:rPr>
          <w:i/>
        </w:rPr>
        <w:t>’</w:t>
      </w:r>
      <w:r w:rsidR="00085B9D" w:rsidRPr="009934FA">
        <w:rPr>
          <w:lang w:eastAsia="en-AU"/>
        </w:rPr>
        <w:t xml:space="preserve"> renal impairment has bee</w:t>
      </w:r>
      <w:r w:rsidR="00010764">
        <w:rPr>
          <w:lang w:eastAsia="en-AU"/>
        </w:rPr>
        <w:t>n added as missing information.</w:t>
      </w:r>
    </w:p>
    <w:p w14:paraId="4FCB50ED" w14:textId="13AF7AAB" w:rsidR="00085B9D" w:rsidRPr="009934FA" w:rsidRDefault="00085B9D" w:rsidP="00010764">
      <w:pPr>
        <w:pStyle w:val="ListBullet"/>
        <w:rPr>
          <w:lang w:eastAsia="en-AU"/>
        </w:rPr>
      </w:pPr>
      <w:r w:rsidRPr="009934FA">
        <w:rPr>
          <w:lang w:eastAsia="en-AU"/>
        </w:rPr>
        <w:t>A Dear Healthcare Professional (DHCP) letter and a patient education leaflet are proposed as additional risk minimisation measures</w:t>
      </w:r>
      <w:r w:rsidR="00E74CFA" w:rsidRPr="009934FA">
        <w:rPr>
          <w:lang w:eastAsia="en-AU"/>
        </w:rPr>
        <w:t>.</w:t>
      </w:r>
    </w:p>
    <w:p w14:paraId="45EC77AD" w14:textId="772F7936" w:rsidR="00085B9D" w:rsidRPr="009934FA" w:rsidRDefault="00E74CFA" w:rsidP="00E74CFA">
      <w:pPr>
        <w:pStyle w:val="Heading4"/>
        <w:rPr>
          <w:lang w:eastAsia="en-AU"/>
        </w:rPr>
      </w:pPr>
      <w:bookmarkStart w:id="121" w:name="_Toc457548213"/>
      <w:r w:rsidRPr="009934FA">
        <w:rPr>
          <w:lang w:eastAsia="en-AU"/>
        </w:rPr>
        <w:lastRenderedPageBreak/>
        <w:t>Second round n</w:t>
      </w:r>
      <w:r w:rsidR="00085B9D" w:rsidRPr="009934FA">
        <w:rPr>
          <w:lang w:eastAsia="en-AU"/>
        </w:rPr>
        <w:t>ew and outstanding recommendations</w:t>
      </w:r>
      <w:bookmarkEnd w:id="121"/>
    </w:p>
    <w:p w14:paraId="1BB8110D" w14:textId="516AC83F" w:rsidR="00085B9D" w:rsidRPr="009934FA" w:rsidRDefault="00E74CFA" w:rsidP="00085B9D">
      <w:pPr>
        <w:rPr>
          <w:lang w:eastAsia="en-AU"/>
        </w:rPr>
      </w:pPr>
      <w:bookmarkStart w:id="122" w:name="_Toc457548214"/>
      <w:r w:rsidRPr="009934FA">
        <w:rPr>
          <w:lang w:eastAsia="en-AU"/>
        </w:rPr>
        <w:t>The s</w:t>
      </w:r>
      <w:r w:rsidR="00085B9D" w:rsidRPr="009934FA">
        <w:rPr>
          <w:lang w:eastAsia="en-AU"/>
        </w:rPr>
        <w:t xml:space="preserve">ponsor has adequately addressed most of the recommendations made during </w:t>
      </w:r>
      <w:r w:rsidRPr="009934FA">
        <w:rPr>
          <w:lang w:eastAsia="en-AU"/>
        </w:rPr>
        <w:t>the first round RMP evaluation. The s</w:t>
      </w:r>
      <w:r w:rsidR="00085B9D" w:rsidRPr="009934FA">
        <w:rPr>
          <w:lang w:eastAsia="en-AU"/>
        </w:rPr>
        <w:t>ponsor is requested to include the distribution strategy of the patient education leaflet in the ASA during the next revision of the ASA and report to the TGA, in an update to the ASA, on the implementation of the DHCP letter and patient education leaflet in Australia.</w:t>
      </w:r>
    </w:p>
    <w:p w14:paraId="7F72D418" w14:textId="77777777" w:rsidR="00085B9D" w:rsidRPr="009934FA" w:rsidRDefault="00085B9D" w:rsidP="00E74CFA">
      <w:pPr>
        <w:pStyle w:val="Heading4"/>
        <w:rPr>
          <w:lang w:eastAsia="en-AU"/>
        </w:rPr>
      </w:pPr>
      <w:r w:rsidRPr="009934FA">
        <w:rPr>
          <w:lang w:eastAsia="en-AU"/>
        </w:rPr>
        <w:t>Wording for conditions of registration</w:t>
      </w:r>
      <w:bookmarkEnd w:id="122"/>
    </w:p>
    <w:p w14:paraId="733F9BA5" w14:textId="3C6353BE" w:rsidR="00085B9D" w:rsidRPr="009934FA" w:rsidRDefault="00085B9D" w:rsidP="00085B9D">
      <w:pPr>
        <w:rPr>
          <w:lang w:eastAsia="en-AU"/>
        </w:rPr>
      </w:pPr>
      <w:r w:rsidRPr="009934FA">
        <w:rPr>
          <w:lang w:eastAsia="en-AU"/>
        </w:rP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E74CFA" w:rsidRPr="009934FA">
        <w:rPr>
          <w:lang w:eastAsia="en-AU"/>
        </w:rPr>
        <w:t>.</w:t>
      </w:r>
    </w:p>
    <w:p w14:paraId="453B74FE" w14:textId="77777777" w:rsidR="00E74CFA" w:rsidRPr="009934FA" w:rsidRDefault="00E74CFA" w:rsidP="00085B9D">
      <w:pPr>
        <w:rPr>
          <w:lang w:eastAsia="en-AU"/>
        </w:rPr>
      </w:pPr>
      <w:r w:rsidRPr="009934FA">
        <w:rPr>
          <w:lang w:eastAsia="en-AU"/>
        </w:rPr>
        <w:t>The suggested wording is:</w:t>
      </w:r>
    </w:p>
    <w:p w14:paraId="3F20C3EB" w14:textId="57FFF856" w:rsidR="004E0DB8" w:rsidRPr="00010764" w:rsidRDefault="00085B9D" w:rsidP="00C76A7B">
      <w:pPr>
        <w:pStyle w:val="ListBullet"/>
        <w:rPr>
          <w:lang w:eastAsia="en-AU"/>
        </w:rPr>
      </w:pPr>
      <w:r w:rsidRPr="00010764">
        <w:rPr>
          <w:lang w:eastAsia="en-AU"/>
        </w:rPr>
        <w:t xml:space="preserve">Implement EU-RMP (version 5.3, date 14 January 2015, </w:t>
      </w:r>
      <w:r w:rsidR="00C76A7B">
        <w:rPr>
          <w:lang w:eastAsia="en-AU"/>
        </w:rPr>
        <w:t>DLP</w:t>
      </w:r>
      <w:r w:rsidRPr="00010764">
        <w:rPr>
          <w:lang w:eastAsia="en-AU"/>
        </w:rPr>
        <w:t xml:space="preserve"> 31 March 2014) with Australian Specific Annex (version 1.1, date 2 May 2017) and any future updates</w:t>
      </w:r>
      <w:r w:rsidR="00C76A7B">
        <w:rPr>
          <w:lang w:eastAsia="en-AU"/>
        </w:rPr>
        <w:t xml:space="preserve"> as a condition of registration</w:t>
      </w:r>
      <w:r w:rsidR="00E74CFA" w:rsidRPr="00010764">
        <w:rPr>
          <w:lang w:eastAsia="en-AU"/>
        </w:rPr>
        <w:t>.</w:t>
      </w:r>
    </w:p>
    <w:p w14:paraId="6EFB3117" w14:textId="77777777" w:rsidR="008E7846" w:rsidRPr="009934FA" w:rsidRDefault="008E7846" w:rsidP="008E7846">
      <w:pPr>
        <w:pStyle w:val="Heading2"/>
      </w:pPr>
      <w:bookmarkStart w:id="123" w:name="_Toc247691527"/>
      <w:bookmarkStart w:id="124" w:name="_Toc314842510"/>
      <w:bookmarkStart w:id="125" w:name="_Toc517697114"/>
      <w:r w:rsidRPr="009934FA">
        <w:t>VI. Overall conclusion and risk/benefit assessment</w:t>
      </w:r>
      <w:bookmarkEnd w:id="106"/>
      <w:bookmarkEnd w:id="123"/>
      <w:bookmarkEnd w:id="124"/>
      <w:bookmarkEnd w:id="125"/>
    </w:p>
    <w:p w14:paraId="35973BBD" w14:textId="77777777" w:rsidR="0041497A" w:rsidRPr="009934FA" w:rsidRDefault="0041497A" w:rsidP="0041497A">
      <w:r w:rsidRPr="009934FA">
        <w:t>The submission was summarised in the following Delegate’s overview and recommendations.</w:t>
      </w:r>
    </w:p>
    <w:p w14:paraId="0FAE5E2E" w14:textId="77777777" w:rsidR="008E7846" w:rsidRPr="009934FA" w:rsidRDefault="008E7846" w:rsidP="008E7846">
      <w:pPr>
        <w:pStyle w:val="Heading3"/>
      </w:pPr>
      <w:bookmarkStart w:id="126" w:name="_Toc247691528"/>
      <w:bookmarkStart w:id="127" w:name="_Toc314842511"/>
      <w:bookmarkStart w:id="128" w:name="_Toc517697115"/>
      <w:r w:rsidRPr="009934FA">
        <w:t>Quality</w:t>
      </w:r>
      <w:bookmarkEnd w:id="126"/>
      <w:bookmarkEnd w:id="127"/>
      <w:bookmarkEnd w:id="128"/>
    </w:p>
    <w:p w14:paraId="2F5FBCD7" w14:textId="77777777" w:rsidR="0041497A" w:rsidRDefault="0041497A" w:rsidP="0041497A">
      <w:r w:rsidRPr="009934FA">
        <w:t>There were no major concerns about the quality.</w:t>
      </w:r>
    </w:p>
    <w:p w14:paraId="7AA78470" w14:textId="5939DA0F" w:rsidR="00010764" w:rsidRDefault="00010764" w:rsidP="00010764">
      <w:r w:rsidRPr="009934FA">
        <w:t xml:space="preserve">The primary packaging is a Penfill 3 mL cartridge. The Penfill 3 mL cartridge can be assembled into a pre-filled disposable device, a PDS290 pen injector (FlexTouch). The PDS290 device is already approved for use with </w:t>
      </w:r>
      <w:r w:rsidR="00A51C17">
        <w:t>NovoR</w:t>
      </w:r>
      <w:r w:rsidR="00A51C17" w:rsidRPr="009934FA">
        <w:t>apid</w:t>
      </w:r>
      <w:r w:rsidRPr="009934FA">
        <w:t>. The Penfill 3 mL cartridge is approved for use in other insulin products</w:t>
      </w:r>
      <w:r w:rsidR="00C76A7B">
        <w:t xml:space="preserve"> currently licensed by the same sponsor</w:t>
      </w:r>
      <w:r w:rsidRPr="009934FA">
        <w:t>. It consists of Type 1 glass, with a plunger (halobutyl) and a stopper (halobutyl/isoprene). These materials have all been previously evaluated and found to be satisfactory.</w:t>
      </w:r>
    </w:p>
    <w:p w14:paraId="39B4BF3E" w14:textId="77777777" w:rsidR="008E7846" w:rsidRPr="009934FA" w:rsidRDefault="008E7846" w:rsidP="008E7846">
      <w:pPr>
        <w:pStyle w:val="Heading3"/>
      </w:pPr>
      <w:bookmarkStart w:id="129" w:name="_Toc314842512"/>
      <w:bookmarkStart w:id="130" w:name="_Toc517697116"/>
      <w:r w:rsidRPr="009934FA">
        <w:t>Nonclinical</w:t>
      </w:r>
      <w:bookmarkEnd w:id="129"/>
      <w:bookmarkEnd w:id="130"/>
    </w:p>
    <w:p w14:paraId="66199320" w14:textId="352C2CD9" w:rsidR="00E867D7" w:rsidRPr="009934FA" w:rsidRDefault="00E867D7" w:rsidP="00E867D7">
      <w:r w:rsidRPr="009934FA">
        <w:t xml:space="preserve">The submitted nonclinical data contained no major deficiencies. There were no objections to registration. </w:t>
      </w:r>
      <w:r w:rsidR="00010764">
        <w:t>Pregnancy c</w:t>
      </w:r>
      <w:r w:rsidRPr="00010764">
        <w:t>ategory B3</w:t>
      </w:r>
      <w:r w:rsidRPr="009934FA">
        <w:t xml:space="preserve"> has been recommended.</w:t>
      </w:r>
      <w:r w:rsidR="00010764" w:rsidRPr="00010764">
        <w:rPr>
          <w:vertAlign w:val="superscript"/>
        </w:rPr>
        <w:fldChar w:fldCharType="begin"/>
      </w:r>
      <w:r w:rsidR="00010764" w:rsidRPr="00010764">
        <w:rPr>
          <w:vertAlign w:val="superscript"/>
        </w:rPr>
        <w:instrText xml:space="preserve"> NOTEREF _Ref510032362 \h </w:instrText>
      </w:r>
      <w:r w:rsidR="00010764">
        <w:rPr>
          <w:vertAlign w:val="superscript"/>
        </w:rPr>
        <w:instrText xml:space="preserve"> \* MERGEFORMAT </w:instrText>
      </w:r>
      <w:r w:rsidR="00010764" w:rsidRPr="00010764">
        <w:rPr>
          <w:vertAlign w:val="superscript"/>
        </w:rPr>
      </w:r>
      <w:r w:rsidR="00010764" w:rsidRPr="00010764">
        <w:rPr>
          <w:vertAlign w:val="superscript"/>
        </w:rPr>
        <w:fldChar w:fldCharType="separate"/>
      </w:r>
      <w:r w:rsidR="002B3E71">
        <w:rPr>
          <w:vertAlign w:val="superscript"/>
        </w:rPr>
        <w:t>11</w:t>
      </w:r>
      <w:r w:rsidR="00010764" w:rsidRPr="00010764">
        <w:rPr>
          <w:vertAlign w:val="superscript"/>
        </w:rPr>
        <w:fldChar w:fldCharType="end"/>
      </w:r>
    </w:p>
    <w:p w14:paraId="7E2E1826" w14:textId="77777777" w:rsidR="00E867D7" w:rsidRPr="009934FA" w:rsidRDefault="00E867D7" w:rsidP="00E867D7">
      <w:r w:rsidRPr="009934FA">
        <w:rPr>
          <w:iCs/>
        </w:rPr>
        <w:t>In vitro</w:t>
      </w:r>
      <w:r w:rsidRPr="009934FA">
        <w:rPr>
          <w:i/>
          <w:iCs/>
        </w:rPr>
        <w:t xml:space="preserve"> </w:t>
      </w:r>
      <w:r w:rsidRPr="009934FA">
        <w:t>studies showed insulin degludec binds to the human insulin receptor with lower affinity compared with</w:t>
      </w:r>
      <w:r w:rsidRPr="009934FA">
        <w:rPr>
          <w:i/>
          <w:iCs/>
        </w:rPr>
        <w:t xml:space="preserve"> </w:t>
      </w:r>
      <w:r w:rsidRPr="009934FA">
        <w:t>human insulin, influenced by the presence of albumin. There was no significant difference in the association and dissociation rates for binding to the receptor between insulin degludec and human insulin. Full agonism of the insulin receptor was shown in various cell based functional assays.</w:t>
      </w:r>
    </w:p>
    <w:p w14:paraId="49616EBA" w14:textId="77777777" w:rsidR="00E867D7" w:rsidRPr="009934FA" w:rsidRDefault="00E867D7" w:rsidP="00E867D7">
      <w:r w:rsidRPr="009934FA">
        <w:t xml:space="preserve">Insulin degludec has greater selectivity for the insulin receptor over the IGF-1 receptor </w:t>
      </w:r>
      <w:r w:rsidRPr="009934FA">
        <w:rPr>
          <w:iCs/>
        </w:rPr>
        <w:t>compared with</w:t>
      </w:r>
      <w:r w:rsidRPr="009934FA">
        <w:rPr>
          <w:i/>
          <w:iCs/>
        </w:rPr>
        <w:t xml:space="preserve"> </w:t>
      </w:r>
      <w:r w:rsidRPr="009934FA">
        <w:t>human insulin, and functional assays demonstrated comparable or lower relative proliferative: metabolic potency. No other significant secondary pharmacodynamic activities were found.</w:t>
      </w:r>
    </w:p>
    <w:p w14:paraId="39E1B867" w14:textId="7AC13F65" w:rsidR="00E867D7" w:rsidRPr="009934FA" w:rsidRDefault="00E867D7" w:rsidP="008E7846">
      <w:r w:rsidRPr="009934FA">
        <w:t xml:space="preserve">A thorough nonclinical investigation of cardiovascular effects of IDeg has been made. Safety pharmacology studies including </w:t>
      </w:r>
      <w:r w:rsidRPr="009934FA">
        <w:rPr>
          <w:iCs/>
        </w:rPr>
        <w:t>in vitro</w:t>
      </w:r>
      <w:r w:rsidRPr="009934FA">
        <w:rPr>
          <w:i/>
          <w:iCs/>
        </w:rPr>
        <w:t xml:space="preserve"> </w:t>
      </w:r>
      <w:r w:rsidRPr="009934FA">
        <w:t xml:space="preserve">inhibition of potassium channels (hERG) binding, effect on action potential in rabbit isolated cardiac Purkinje fibres as well as </w:t>
      </w:r>
      <w:r w:rsidR="00FE5D7F">
        <w:rPr>
          <w:iCs/>
        </w:rPr>
        <w:lastRenderedPageBreak/>
        <w:t>in </w:t>
      </w:r>
      <w:r w:rsidRPr="009934FA">
        <w:rPr>
          <w:iCs/>
        </w:rPr>
        <w:t xml:space="preserve">vivo </w:t>
      </w:r>
      <w:r w:rsidRPr="009934FA">
        <w:t xml:space="preserve">effect on cardiovascular function (blood pressure, heart rate and </w:t>
      </w:r>
      <w:r w:rsidRPr="00FE5D7F">
        <w:t>QT</w:t>
      </w:r>
      <w:r w:rsidRPr="009934FA">
        <w:t xml:space="preserve"> interval) in telemetered conscious and glucose clamped anaesthetised dogs showed no effect of IDeg on CV endpoints. In the general toxicity studies in rat and dog, a range of direct and indirect CV endpoints have been evaluated, including effect on </w:t>
      </w:r>
      <w:r w:rsidR="00CA2172">
        <w:t>the electrocardiogram (</w:t>
      </w:r>
      <w:r w:rsidRPr="009934FA">
        <w:t>ECG</w:t>
      </w:r>
      <w:r w:rsidR="00CA2172">
        <w:t>)</w:t>
      </w:r>
      <w:r w:rsidRPr="009934FA">
        <w:t>, heart weight, macroscopic and microscopic changes of heart, aorta and vascular system.</w:t>
      </w:r>
    </w:p>
    <w:p w14:paraId="236C114D" w14:textId="77777777" w:rsidR="008E7846" w:rsidRPr="009934FA" w:rsidRDefault="008E7846" w:rsidP="008E7846">
      <w:pPr>
        <w:pStyle w:val="Heading3"/>
      </w:pPr>
      <w:bookmarkStart w:id="131" w:name="_Toc247691530"/>
      <w:bookmarkStart w:id="132" w:name="_Toc314842513"/>
      <w:bookmarkStart w:id="133" w:name="_Toc517697117"/>
      <w:r w:rsidRPr="009934FA">
        <w:t>Clinical</w:t>
      </w:r>
      <w:bookmarkEnd w:id="131"/>
      <w:bookmarkEnd w:id="132"/>
      <w:bookmarkEnd w:id="133"/>
    </w:p>
    <w:p w14:paraId="03E06E33" w14:textId="77777777" w:rsidR="00E867D7" w:rsidRDefault="00E867D7" w:rsidP="00E867D7">
      <w:pPr>
        <w:pStyle w:val="Heading4"/>
      </w:pPr>
      <w:r w:rsidRPr="009934FA">
        <w:t>Pharmacology</w:t>
      </w:r>
    </w:p>
    <w:p w14:paraId="56C06954" w14:textId="569D750B" w:rsidR="00C76A7B" w:rsidRPr="00C76A7B" w:rsidRDefault="00C76A7B" w:rsidP="00C76A7B">
      <w:r>
        <w:t>Taken from the original withdrawn submission:</w:t>
      </w:r>
    </w:p>
    <w:p w14:paraId="442CB6B3" w14:textId="0A35AA6F" w:rsidR="00E867D7" w:rsidRPr="009934FA" w:rsidRDefault="00E867D7" w:rsidP="00E867D7">
      <w:r w:rsidRPr="009934FA">
        <w:t>Following subcutaneous administration, multihexamers are formed. Compared to insulin glargine, the mean insulin infusion rate of IDeg after dosing is more equally distributed between the 0</w:t>
      </w:r>
      <w:r w:rsidR="00CD0601" w:rsidRPr="009934FA">
        <w:t xml:space="preserve"> to </w:t>
      </w:r>
      <w:r w:rsidRPr="009934FA">
        <w:t>12</w:t>
      </w:r>
      <w:r w:rsidR="00CD0601" w:rsidRPr="009934FA">
        <w:t xml:space="preserve"> hour and 12 to 24 hour time periods</w:t>
      </w:r>
      <w:r w:rsidR="00C76A7B">
        <w:t xml:space="preserve"> (see Figure 3</w:t>
      </w:r>
      <w:r w:rsidR="002D6993">
        <w:t xml:space="preserve">, below). The </w:t>
      </w:r>
      <w:r w:rsidR="006C50FE">
        <w:t>half-</w:t>
      </w:r>
      <w:r w:rsidR="006C50FE" w:rsidRPr="009934FA">
        <w:t>life</w:t>
      </w:r>
      <w:r w:rsidR="00CD0601" w:rsidRPr="009934FA">
        <w:t xml:space="preserve"> is reached after 2 to 3 days. The excretion </w:t>
      </w:r>
      <w:r w:rsidR="006C50FE" w:rsidRPr="009934FA">
        <w:t>half-life</w:t>
      </w:r>
      <w:r w:rsidRPr="009934FA">
        <w:t xml:space="preserve"> is 25 hours. Duration of action extends to 42 hours. IDeg also has less day to day variability (</w:t>
      </w:r>
      <w:r w:rsidR="0098460F" w:rsidRPr="0098460F">
        <w:t xml:space="preserve">coefficient of variation </w:t>
      </w:r>
      <w:r w:rsidR="002D6993">
        <w:t>(</w:t>
      </w:r>
      <w:proofErr w:type="gramStart"/>
      <w:r w:rsidR="002D6993">
        <w:t>CV</w:t>
      </w:r>
      <w:r w:rsidR="00C76A7B">
        <w:t>%</w:t>
      </w:r>
      <w:proofErr w:type="gramEnd"/>
      <w:r w:rsidR="002D6993">
        <w:t>) </w:t>
      </w:r>
      <w:r w:rsidR="0098460F" w:rsidRPr="0098460F">
        <w:t>=</w:t>
      </w:r>
      <w:r w:rsidRPr="009934FA">
        <w:t xml:space="preserve"> 22%) compared to glargine (CV </w:t>
      </w:r>
      <w:r w:rsidR="0098460F">
        <w:t xml:space="preserve">= </w:t>
      </w:r>
      <w:r w:rsidRPr="009934FA">
        <w:t>92%)</w:t>
      </w:r>
      <w:r w:rsidR="002D6993">
        <w:t xml:space="preserve"> (</w:t>
      </w:r>
      <w:proofErr w:type="gramStart"/>
      <w:r w:rsidR="002D6993">
        <w:t>see</w:t>
      </w:r>
      <w:proofErr w:type="gramEnd"/>
      <w:r w:rsidR="002D6993">
        <w:t xml:space="preserve"> Tables 12 and 13, below)</w:t>
      </w:r>
      <w:r w:rsidRPr="009934FA">
        <w:t>.</w:t>
      </w:r>
    </w:p>
    <w:p w14:paraId="0269D1FD" w14:textId="47D81DDF" w:rsidR="00CD0601" w:rsidRPr="009934FA" w:rsidRDefault="00C76A7B" w:rsidP="0098460F">
      <w:pPr>
        <w:pStyle w:val="FigureTitle"/>
      </w:pPr>
      <w:r>
        <w:t>Figure 3</w:t>
      </w:r>
      <w:r w:rsidR="006C50FE">
        <w:t xml:space="preserve">: </w:t>
      </w:r>
      <w:r w:rsidR="0098460F">
        <w:t xml:space="preserve">Mean </w:t>
      </w:r>
      <w:proofErr w:type="spellStart"/>
      <w:r w:rsidR="0098460F">
        <w:t>iDeg</w:t>
      </w:r>
      <w:proofErr w:type="spellEnd"/>
      <w:r w:rsidR="0098460F">
        <w:t xml:space="preserve"> infusion rate from dosing to 24 hours</w:t>
      </w:r>
    </w:p>
    <w:p w14:paraId="30A98C09" w14:textId="77777777" w:rsidR="00CD0601" w:rsidRPr="009934FA" w:rsidRDefault="00CD0601" w:rsidP="00E867D7">
      <w:r w:rsidRPr="009934FA">
        <w:rPr>
          <w:noProof/>
          <w:lang w:eastAsia="en-AU"/>
        </w:rPr>
        <w:drawing>
          <wp:inline distT="0" distB="0" distL="0" distR="0" wp14:anchorId="68523709" wp14:editId="63F842F7">
            <wp:extent cx="2773680" cy="1920240"/>
            <wp:effectExtent l="0" t="0" r="0" b="10160"/>
            <wp:docPr id="25" name="Picture 25" descr="Mean iDeg infusion rate from dosing to 24 hours" title="Mean iDeg infusion rate from dosing to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680" cy="1920240"/>
                    </a:xfrm>
                    <a:prstGeom prst="rect">
                      <a:avLst/>
                    </a:prstGeom>
                    <a:noFill/>
                  </pic:spPr>
                </pic:pic>
              </a:graphicData>
            </a:graphic>
          </wp:inline>
        </w:drawing>
      </w:r>
    </w:p>
    <w:p w14:paraId="5F077C33" w14:textId="48FEC62C" w:rsidR="009B7481" w:rsidRPr="009934FA" w:rsidRDefault="009B7481" w:rsidP="002D6993">
      <w:pPr>
        <w:pStyle w:val="Tabletitle0"/>
      </w:pPr>
      <w:r w:rsidRPr="002D6993">
        <w:t>Table</w:t>
      </w:r>
      <w:r w:rsidR="002D6993">
        <w:t xml:space="preserve"> 12</w:t>
      </w:r>
      <w:r w:rsidR="006C50FE">
        <w:t>:</w:t>
      </w:r>
      <w:r w:rsidR="006C50FE" w:rsidRPr="002D6993">
        <w:t xml:space="preserve"> </w:t>
      </w:r>
      <w:r w:rsidRPr="002D6993">
        <w:t>Study NN1250-1987 IDeg U100 versus U200 PK endpoints at steady state, geometric mean and CV</w:t>
      </w:r>
      <w:r w:rsidR="00C76A7B">
        <w:t>%</w:t>
      </w:r>
    </w:p>
    <w:tbl>
      <w:tblPr>
        <w:tblStyle w:val="TableTGAblue"/>
        <w:tblW w:w="9107" w:type="dxa"/>
        <w:tblLook w:val="04A0" w:firstRow="1" w:lastRow="0" w:firstColumn="1" w:lastColumn="0" w:noHBand="0" w:noVBand="1"/>
        <w:tblDescription w:val="Table 12: Study NN1250-1987 IDeg U100 versus U200 PK endpoints at steady state, geometric mean and CV%"/>
      </w:tblPr>
      <w:tblGrid>
        <w:gridCol w:w="2904"/>
        <w:gridCol w:w="2070"/>
        <w:gridCol w:w="2070"/>
        <w:gridCol w:w="2063"/>
      </w:tblGrid>
      <w:tr w:rsidR="009B7481" w:rsidRPr="009934FA" w14:paraId="0949DBDB" w14:textId="77777777" w:rsidTr="002D6993">
        <w:trPr>
          <w:cnfStyle w:val="100000000000" w:firstRow="1" w:lastRow="0" w:firstColumn="0" w:lastColumn="0" w:oddVBand="0" w:evenVBand="0" w:oddHBand="0" w:evenHBand="0" w:firstRowFirstColumn="0" w:firstRowLastColumn="0" w:lastRowFirstColumn="0" w:lastRowLastColumn="0"/>
        </w:trPr>
        <w:tc>
          <w:tcPr>
            <w:tcW w:w="2904" w:type="dxa"/>
          </w:tcPr>
          <w:p w14:paraId="3D34A471" w14:textId="77777777" w:rsidR="006B38C6" w:rsidRPr="009934FA" w:rsidRDefault="006B38C6" w:rsidP="00825198"/>
        </w:tc>
        <w:tc>
          <w:tcPr>
            <w:tcW w:w="2070" w:type="dxa"/>
          </w:tcPr>
          <w:p w14:paraId="27955CD1" w14:textId="77777777" w:rsidR="006B38C6" w:rsidRPr="009934FA" w:rsidRDefault="006B38C6" w:rsidP="00825198">
            <w:pPr>
              <w:ind w:left="0"/>
            </w:pPr>
            <w:r w:rsidRPr="009934FA">
              <w:t>U100 (0.6 U/kg)</w:t>
            </w:r>
          </w:p>
        </w:tc>
        <w:tc>
          <w:tcPr>
            <w:tcW w:w="2070" w:type="dxa"/>
          </w:tcPr>
          <w:p w14:paraId="281688A2" w14:textId="77777777" w:rsidR="006B38C6" w:rsidRPr="009934FA" w:rsidRDefault="006B38C6" w:rsidP="00825198">
            <w:pPr>
              <w:ind w:left="0"/>
            </w:pPr>
            <w:r w:rsidRPr="009934FA">
              <w:t>U200 (0.6 U/kg)</w:t>
            </w:r>
          </w:p>
        </w:tc>
        <w:tc>
          <w:tcPr>
            <w:tcW w:w="2063" w:type="dxa"/>
          </w:tcPr>
          <w:p w14:paraId="03846601" w14:textId="77777777" w:rsidR="006B38C6" w:rsidRPr="009934FA" w:rsidRDefault="006B38C6" w:rsidP="00825198">
            <w:pPr>
              <w:ind w:left="0"/>
            </w:pPr>
            <w:r w:rsidRPr="009934FA">
              <w:t>Mean 200/100</w:t>
            </w:r>
          </w:p>
        </w:tc>
      </w:tr>
      <w:tr w:rsidR="009B7481" w:rsidRPr="009934FA" w14:paraId="168AF3C8" w14:textId="77777777" w:rsidTr="002D6993">
        <w:tc>
          <w:tcPr>
            <w:tcW w:w="2904" w:type="dxa"/>
          </w:tcPr>
          <w:p w14:paraId="71840977" w14:textId="77777777" w:rsidR="006B38C6" w:rsidRPr="009934FA" w:rsidRDefault="006B38C6" w:rsidP="00825198">
            <w:r w:rsidRPr="009934FA">
              <w:t>AUC</w:t>
            </w:r>
            <w:r w:rsidRPr="009934FA">
              <w:rPr>
                <w:vertAlign w:val="subscript"/>
              </w:rPr>
              <w:t>0-12</w:t>
            </w:r>
            <w:r w:rsidRPr="009934FA">
              <w:t xml:space="preserve"> pmol*h/L</w:t>
            </w:r>
          </w:p>
        </w:tc>
        <w:tc>
          <w:tcPr>
            <w:tcW w:w="2070" w:type="dxa"/>
          </w:tcPr>
          <w:p w14:paraId="716C212C" w14:textId="77777777" w:rsidR="006B38C6" w:rsidRPr="009934FA" w:rsidRDefault="006B38C6" w:rsidP="00825198">
            <w:r w:rsidRPr="009934FA">
              <w:t>68238.6 (24.2)</w:t>
            </w:r>
          </w:p>
        </w:tc>
        <w:tc>
          <w:tcPr>
            <w:tcW w:w="2070" w:type="dxa"/>
          </w:tcPr>
          <w:p w14:paraId="5C419A6E" w14:textId="77777777" w:rsidR="006B38C6" w:rsidRPr="009934FA" w:rsidRDefault="006B38C6" w:rsidP="00825198">
            <w:r w:rsidRPr="009934FA">
              <w:t>56702.3 (19.8)</w:t>
            </w:r>
          </w:p>
        </w:tc>
        <w:tc>
          <w:tcPr>
            <w:tcW w:w="2063" w:type="dxa"/>
          </w:tcPr>
          <w:p w14:paraId="5BCE5B21" w14:textId="77777777" w:rsidR="006B38C6" w:rsidRPr="009934FA" w:rsidRDefault="006B38C6" w:rsidP="00825198">
            <w:r w:rsidRPr="009934FA">
              <w:t>0.831</w:t>
            </w:r>
          </w:p>
        </w:tc>
      </w:tr>
      <w:tr w:rsidR="009B7481" w:rsidRPr="009934FA" w14:paraId="4E4616E5" w14:textId="77777777" w:rsidTr="002D6993">
        <w:tc>
          <w:tcPr>
            <w:tcW w:w="2904" w:type="dxa"/>
          </w:tcPr>
          <w:p w14:paraId="6BB6FD9F" w14:textId="77777777" w:rsidR="006B38C6" w:rsidRPr="009934FA" w:rsidRDefault="006B38C6" w:rsidP="00825198">
            <w:r w:rsidRPr="009934FA">
              <w:t>C</w:t>
            </w:r>
            <w:r w:rsidRPr="009934FA">
              <w:rPr>
                <w:vertAlign w:val="subscript"/>
              </w:rPr>
              <w:t>max</w:t>
            </w:r>
            <w:r w:rsidRPr="009934FA">
              <w:t xml:space="preserve"> pmol/h</w:t>
            </w:r>
          </w:p>
        </w:tc>
        <w:tc>
          <w:tcPr>
            <w:tcW w:w="2070" w:type="dxa"/>
          </w:tcPr>
          <w:p w14:paraId="662C9EEA" w14:textId="77777777" w:rsidR="006B38C6" w:rsidRPr="009934FA" w:rsidRDefault="006B38C6" w:rsidP="00825198">
            <w:r w:rsidRPr="009934FA">
              <w:t>6592.4 (22.6)</w:t>
            </w:r>
          </w:p>
        </w:tc>
        <w:tc>
          <w:tcPr>
            <w:tcW w:w="2070" w:type="dxa"/>
          </w:tcPr>
          <w:p w14:paraId="58D97569" w14:textId="77777777" w:rsidR="006B38C6" w:rsidRPr="009934FA" w:rsidRDefault="006B38C6" w:rsidP="00825198">
            <w:r w:rsidRPr="009934FA">
              <w:t>5365.3 (22.5)</w:t>
            </w:r>
          </w:p>
        </w:tc>
        <w:tc>
          <w:tcPr>
            <w:tcW w:w="2063" w:type="dxa"/>
          </w:tcPr>
          <w:p w14:paraId="297A2765" w14:textId="77777777" w:rsidR="006B38C6" w:rsidRPr="009934FA" w:rsidRDefault="006B38C6" w:rsidP="00825198">
            <w:r w:rsidRPr="009934FA">
              <w:t>0.81</w:t>
            </w:r>
          </w:p>
        </w:tc>
      </w:tr>
      <w:tr w:rsidR="009B7481" w:rsidRPr="009934FA" w14:paraId="655ED292" w14:textId="77777777" w:rsidTr="002D6993">
        <w:tc>
          <w:tcPr>
            <w:tcW w:w="2904" w:type="dxa"/>
          </w:tcPr>
          <w:p w14:paraId="71E93AC9" w14:textId="77777777" w:rsidR="006B38C6" w:rsidRPr="009934FA" w:rsidRDefault="006B38C6" w:rsidP="00825198">
            <w:r w:rsidRPr="009934FA">
              <w:t>T</w:t>
            </w:r>
            <w:r w:rsidRPr="009934FA">
              <w:rPr>
                <w:vertAlign w:val="subscript"/>
              </w:rPr>
              <w:t>max</w:t>
            </w:r>
            <w:r w:rsidRPr="009934FA">
              <w:t xml:space="preserve"> (hours)</w:t>
            </w:r>
          </w:p>
        </w:tc>
        <w:tc>
          <w:tcPr>
            <w:tcW w:w="2070" w:type="dxa"/>
          </w:tcPr>
          <w:p w14:paraId="1B812AEE" w14:textId="77777777" w:rsidR="006B38C6" w:rsidRPr="009934FA" w:rsidRDefault="006B38C6" w:rsidP="00825198">
            <w:r w:rsidRPr="009934FA">
              <w:t>9</w:t>
            </w:r>
          </w:p>
        </w:tc>
        <w:tc>
          <w:tcPr>
            <w:tcW w:w="2070" w:type="dxa"/>
          </w:tcPr>
          <w:p w14:paraId="4558B451" w14:textId="77777777" w:rsidR="006B38C6" w:rsidRPr="009934FA" w:rsidRDefault="006B38C6" w:rsidP="00825198">
            <w:r w:rsidRPr="009934FA">
              <w:t>7.5</w:t>
            </w:r>
          </w:p>
        </w:tc>
        <w:tc>
          <w:tcPr>
            <w:tcW w:w="2063" w:type="dxa"/>
          </w:tcPr>
          <w:p w14:paraId="770A68AE" w14:textId="77777777" w:rsidR="006B38C6" w:rsidRPr="009934FA" w:rsidRDefault="006B38C6" w:rsidP="00825198"/>
        </w:tc>
      </w:tr>
    </w:tbl>
    <w:p w14:paraId="01C11285" w14:textId="71055328" w:rsidR="006B38C6" w:rsidRPr="009934FA" w:rsidRDefault="009B7481" w:rsidP="00402097">
      <w:pPr>
        <w:pStyle w:val="Tabletitle0"/>
      </w:pPr>
      <w:r w:rsidRPr="002D6993">
        <w:t>Table</w:t>
      </w:r>
      <w:r w:rsidR="002D6993">
        <w:t xml:space="preserve"> 13</w:t>
      </w:r>
      <w:r w:rsidR="006C50FE">
        <w:t>:</w:t>
      </w:r>
      <w:r w:rsidR="006C50FE" w:rsidRPr="002D6993">
        <w:t xml:space="preserve"> </w:t>
      </w:r>
      <w:r w:rsidRPr="002D6993">
        <w:t>Study NN1250-3678:  U10</w:t>
      </w:r>
      <w:r w:rsidR="002D6993">
        <w:t>0 versus U200 after single dose,</w:t>
      </w:r>
      <w:r w:rsidRPr="002D6993">
        <w:t xml:space="preserve"> geometric mean and CV</w:t>
      </w:r>
      <w:r w:rsidR="00C76A7B">
        <w:t>%</w:t>
      </w:r>
    </w:p>
    <w:tbl>
      <w:tblPr>
        <w:tblStyle w:val="TableTGAblue"/>
        <w:tblW w:w="9107" w:type="dxa"/>
        <w:tblLook w:val="04A0" w:firstRow="1" w:lastRow="0" w:firstColumn="1" w:lastColumn="0" w:noHBand="0" w:noVBand="1"/>
        <w:tblDescription w:val="Table 13: Study NN1250-3678:  U100 versus U200 after single dose, geometric mean and CV%"/>
      </w:tblPr>
      <w:tblGrid>
        <w:gridCol w:w="2904"/>
        <w:gridCol w:w="2070"/>
        <w:gridCol w:w="2070"/>
        <w:gridCol w:w="2063"/>
      </w:tblGrid>
      <w:tr w:rsidR="009B7481" w:rsidRPr="009934FA" w14:paraId="65B542B6" w14:textId="77777777" w:rsidTr="002D6993">
        <w:trPr>
          <w:cnfStyle w:val="100000000000" w:firstRow="1" w:lastRow="0" w:firstColumn="0" w:lastColumn="0" w:oddVBand="0" w:evenVBand="0" w:oddHBand="0" w:evenHBand="0" w:firstRowFirstColumn="0" w:firstRowLastColumn="0" w:lastRowFirstColumn="0" w:lastRowLastColumn="0"/>
        </w:trPr>
        <w:tc>
          <w:tcPr>
            <w:tcW w:w="2904" w:type="dxa"/>
          </w:tcPr>
          <w:p w14:paraId="66F025DF" w14:textId="77777777" w:rsidR="00CD0601" w:rsidRPr="009934FA" w:rsidRDefault="00CD0601" w:rsidP="009B7481"/>
        </w:tc>
        <w:tc>
          <w:tcPr>
            <w:tcW w:w="2070" w:type="dxa"/>
          </w:tcPr>
          <w:p w14:paraId="25E9C6A4" w14:textId="77777777" w:rsidR="00CD0601" w:rsidRPr="009934FA" w:rsidRDefault="00CD0601" w:rsidP="009B7481">
            <w:pPr>
              <w:ind w:left="0"/>
            </w:pPr>
            <w:r w:rsidRPr="009934FA">
              <w:t>U100 (0.4</w:t>
            </w:r>
            <w:r w:rsidR="009B7481" w:rsidRPr="009934FA">
              <w:t> U</w:t>
            </w:r>
            <w:r w:rsidRPr="009934FA">
              <w:t>/kg)</w:t>
            </w:r>
          </w:p>
        </w:tc>
        <w:tc>
          <w:tcPr>
            <w:tcW w:w="2070" w:type="dxa"/>
          </w:tcPr>
          <w:p w14:paraId="147637E7" w14:textId="77777777" w:rsidR="00CD0601" w:rsidRPr="009934FA" w:rsidRDefault="00CD0601" w:rsidP="009B7481">
            <w:pPr>
              <w:ind w:left="0"/>
            </w:pPr>
            <w:r w:rsidRPr="009934FA">
              <w:t>U200 (0.4</w:t>
            </w:r>
            <w:r w:rsidR="009B7481" w:rsidRPr="009934FA">
              <w:t> </w:t>
            </w:r>
            <w:r w:rsidRPr="009934FA">
              <w:t>U/kg)</w:t>
            </w:r>
          </w:p>
        </w:tc>
        <w:tc>
          <w:tcPr>
            <w:tcW w:w="2063" w:type="dxa"/>
          </w:tcPr>
          <w:p w14:paraId="164B66D9" w14:textId="66D70F4C" w:rsidR="00CD0601" w:rsidRPr="009934FA" w:rsidRDefault="002D6993" w:rsidP="009B7481">
            <w:r>
              <w:t>Mean 200/100</w:t>
            </w:r>
          </w:p>
        </w:tc>
      </w:tr>
      <w:tr w:rsidR="009B7481" w:rsidRPr="009934FA" w14:paraId="599BEE86" w14:textId="77777777" w:rsidTr="002D6993">
        <w:tc>
          <w:tcPr>
            <w:tcW w:w="2904" w:type="dxa"/>
          </w:tcPr>
          <w:p w14:paraId="75CD1C93" w14:textId="77777777" w:rsidR="00CD0601" w:rsidRPr="009934FA" w:rsidRDefault="00CD0601" w:rsidP="009B7481">
            <w:r w:rsidRPr="009934FA">
              <w:t>AUC</w:t>
            </w:r>
            <w:r w:rsidRPr="009934FA">
              <w:rPr>
                <w:vertAlign w:val="subscript"/>
              </w:rPr>
              <w:t>0-24</w:t>
            </w:r>
            <w:r w:rsidR="009B7481" w:rsidRPr="009934FA">
              <w:t xml:space="preserve"> </w:t>
            </w:r>
            <w:r w:rsidRPr="009934FA">
              <w:t>pmol*h/L</w:t>
            </w:r>
          </w:p>
        </w:tc>
        <w:tc>
          <w:tcPr>
            <w:tcW w:w="2070" w:type="dxa"/>
          </w:tcPr>
          <w:p w14:paraId="58CE3926" w14:textId="77777777" w:rsidR="00CD0601" w:rsidRPr="009934FA" w:rsidRDefault="00CD0601" w:rsidP="009B7481">
            <w:r w:rsidRPr="009934FA">
              <w:t>63015 (29.6)</w:t>
            </w:r>
          </w:p>
        </w:tc>
        <w:tc>
          <w:tcPr>
            <w:tcW w:w="2070" w:type="dxa"/>
          </w:tcPr>
          <w:p w14:paraId="7A73497B" w14:textId="77777777" w:rsidR="00CD0601" w:rsidRPr="009934FA" w:rsidRDefault="00CD0601" w:rsidP="009B7481">
            <w:r w:rsidRPr="009934FA">
              <w:t>46415 (36.4)</w:t>
            </w:r>
          </w:p>
        </w:tc>
        <w:tc>
          <w:tcPr>
            <w:tcW w:w="2063" w:type="dxa"/>
          </w:tcPr>
          <w:p w14:paraId="33D6FC5B" w14:textId="77777777" w:rsidR="00CD0601" w:rsidRPr="009934FA" w:rsidRDefault="00CD0601" w:rsidP="009B7481">
            <w:r w:rsidRPr="009934FA">
              <w:t>0.737</w:t>
            </w:r>
          </w:p>
        </w:tc>
      </w:tr>
      <w:tr w:rsidR="009B7481" w:rsidRPr="009934FA" w14:paraId="4F111ADE" w14:textId="77777777" w:rsidTr="002D6993">
        <w:tc>
          <w:tcPr>
            <w:tcW w:w="2904" w:type="dxa"/>
          </w:tcPr>
          <w:p w14:paraId="4E1A5EC0" w14:textId="77777777" w:rsidR="00CD0601" w:rsidRPr="009934FA" w:rsidRDefault="00CD0601" w:rsidP="009B7481">
            <w:r w:rsidRPr="009934FA">
              <w:t>C</w:t>
            </w:r>
            <w:r w:rsidRPr="009934FA">
              <w:rPr>
                <w:vertAlign w:val="subscript"/>
              </w:rPr>
              <w:t>max</w:t>
            </w:r>
            <w:r w:rsidRPr="009934FA">
              <w:t xml:space="preserve"> pmol/h</w:t>
            </w:r>
          </w:p>
        </w:tc>
        <w:tc>
          <w:tcPr>
            <w:tcW w:w="2070" w:type="dxa"/>
          </w:tcPr>
          <w:p w14:paraId="64B1BDF2" w14:textId="77777777" w:rsidR="00CD0601" w:rsidRPr="009934FA" w:rsidRDefault="00CD0601" w:rsidP="009B7481">
            <w:r w:rsidRPr="009934FA">
              <w:t>4037(32)</w:t>
            </w:r>
          </w:p>
        </w:tc>
        <w:tc>
          <w:tcPr>
            <w:tcW w:w="2070" w:type="dxa"/>
          </w:tcPr>
          <w:p w14:paraId="11D0D0B9" w14:textId="77777777" w:rsidR="00CD0601" w:rsidRPr="009934FA" w:rsidRDefault="00CD0601" w:rsidP="009B7481">
            <w:r w:rsidRPr="009934FA">
              <w:t>3089(40)</w:t>
            </w:r>
          </w:p>
        </w:tc>
        <w:tc>
          <w:tcPr>
            <w:tcW w:w="2063" w:type="dxa"/>
          </w:tcPr>
          <w:p w14:paraId="12E3FA96" w14:textId="77777777" w:rsidR="00CD0601" w:rsidRPr="009934FA" w:rsidRDefault="00CD0601" w:rsidP="009B7481">
            <w:r w:rsidRPr="009934FA">
              <w:t>0.766</w:t>
            </w:r>
          </w:p>
        </w:tc>
      </w:tr>
      <w:tr w:rsidR="009B7481" w:rsidRPr="009934FA" w14:paraId="060DC0E3" w14:textId="77777777" w:rsidTr="002D6993">
        <w:tc>
          <w:tcPr>
            <w:tcW w:w="2904" w:type="dxa"/>
          </w:tcPr>
          <w:p w14:paraId="5E409056" w14:textId="77777777" w:rsidR="00CD0601" w:rsidRPr="009934FA" w:rsidRDefault="00CD0601" w:rsidP="009B7481">
            <w:r w:rsidRPr="009934FA">
              <w:lastRenderedPageBreak/>
              <w:t>T</w:t>
            </w:r>
            <w:r w:rsidRPr="009934FA">
              <w:rPr>
                <w:vertAlign w:val="subscript"/>
              </w:rPr>
              <w:t>max</w:t>
            </w:r>
            <w:r w:rsidR="009B7481" w:rsidRPr="009934FA">
              <w:t xml:space="preserve"> </w:t>
            </w:r>
            <w:r w:rsidRPr="009934FA">
              <w:t>(hours)</w:t>
            </w:r>
          </w:p>
        </w:tc>
        <w:tc>
          <w:tcPr>
            <w:tcW w:w="2070" w:type="dxa"/>
          </w:tcPr>
          <w:p w14:paraId="6DEE1D57" w14:textId="77777777" w:rsidR="00CD0601" w:rsidRPr="009934FA" w:rsidRDefault="00CD0601" w:rsidP="009B7481">
            <w:r w:rsidRPr="009934FA">
              <w:t>12</w:t>
            </w:r>
          </w:p>
        </w:tc>
        <w:tc>
          <w:tcPr>
            <w:tcW w:w="2070" w:type="dxa"/>
          </w:tcPr>
          <w:p w14:paraId="62E8743C" w14:textId="77777777" w:rsidR="00CD0601" w:rsidRPr="009934FA" w:rsidRDefault="00CD0601" w:rsidP="009B7481">
            <w:r w:rsidRPr="009934FA">
              <w:t>14</w:t>
            </w:r>
          </w:p>
        </w:tc>
        <w:tc>
          <w:tcPr>
            <w:tcW w:w="2063" w:type="dxa"/>
          </w:tcPr>
          <w:p w14:paraId="0AC015B7" w14:textId="77777777" w:rsidR="00CD0601" w:rsidRPr="009934FA" w:rsidRDefault="00CD0601" w:rsidP="009B7481"/>
        </w:tc>
      </w:tr>
      <w:tr w:rsidR="009B7481" w:rsidRPr="009934FA" w14:paraId="24EB40EB" w14:textId="77777777" w:rsidTr="002D6993">
        <w:tc>
          <w:tcPr>
            <w:tcW w:w="2904" w:type="dxa"/>
          </w:tcPr>
          <w:p w14:paraId="58AD68CE" w14:textId="77777777" w:rsidR="00CD0601" w:rsidRPr="009934FA" w:rsidRDefault="00CD0601" w:rsidP="009B7481">
            <w:r w:rsidRPr="009934FA">
              <w:t>Onset</w:t>
            </w:r>
            <w:r w:rsidR="009B7481" w:rsidRPr="009934FA">
              <w:t xml:space="preserve"> </w:t>
            </w:r>
            <w:r w:rsidRPr="009934FA">
              <w:t>(min)</w:t>
            </w:r>
          </w:p>
        </w:tc>
        <w:tc>
          <w:tcPr>
            <w:tcW w:w="2070" w:type="dxa"/>
          </w:tcPr>
          <w:p w14:paraId="0F9A845A" w14:textId="77777777" w:rsidR="00CD0601" w:rsidRPr="009934FA" w:rsidRDefault="00CD0601" w:rsidP="009B7481">
            <w:r w:rsidRPr="009934FA">
              <w:t>48</w:t>
            </w:r>
          </w:p>
        </w:tc>
        <w:tc>
          <w:tcPr>
            <w:tcW w:w="2070" w:type="dxa"/>
          </w:tcPr>
          <w:p w14:paraId="35D4182F" w14:textId="77777777" w:rsidR="00CD0601" w:rsidRPr="009934FA" w:rsidRDefault="00CD0601" w:rsidP="009B7481">
            <w:r w:rsidRPr="009934FA">
              <w:t>70</w:t>
            </w:r>
          </w:p>
        </w:tc>
        <w:tc>
          <w:tcPr>
            <w:tcW w:w="2063" w:type="dxa"/>
          </w:tcPr>
          <w:p w14:paraId="24B0925A" w14:textId="77777777" w:rsidR="00CD0601" w:rsidRPr="009934FA" w:rsidRDefault="00CD0601" w:rsidP="009B7481"/>
        </w:tc>
      </w:tr>
    </w:tbl>
    <w:p w14:paraId="70263004" w14:textId="6FAFE066" w:rsidR="00DA1E22" w:rsidRPr="009934FA" w:rsidRDefault="002D6993" w:rsidP="00DA1E22">
      <w:r>
        <w:t>The pharmacokinetic</w:t>
      </w:r>
      <w:r w:rsidR="00DA1E22" w:rsidRPr="009934FA">
        <w:t xml:space="preserve"> parameters of</w:t>
      </w:r>
      <w:r>
        <w:t xml:space="preserve"> 100 U/mL versus </w:t>
      </w:r>
      <w:r w:rsidR="00DA1E22" w:rsidRPr="009934FA">
        <w:t>200</w:t>
      </w:r>
      <w:r>
        <w:t xml:space="preserve"> U/mL</w:t>
      </w:r>
      <w:r w:rsidR="001D74C4">
        <w:t xml:space="preserve"> IDeg suggest the 200 U/mL </w:t>
      </w:r>
      <w:r w:rsidR="00DA1E22" w:rsidRPr="009934FA">
        <w:t>formulation has a slower onset of action, longer T</w:t>
      </w:r>
      <w:r w:rsidR="00DA1E22" w:rsidRPr="009934FA">
        <w:rPr>
          <w:vertAlign w:val="subscript"/>
        </w:rPr>
        <w:t>max</w:t>
      </w:r>
      <w:r w:rsidR="00DA1E22" w:rsidRPr="009934FA">
        <w:t xml:space="preserve"> and lower C</w:t>
      </w:r>
      <w:r w:rsidR="00DA1E22" w:rsidRPr="009934FA">
        <w:rPr>
          <w:vertAlign w:val="subscript"/>
        </w:rPr>
        <w:t>max</w:t>
      </w:r>
      <w:r w:rsidR="001D74C4">
        <w:t xml:space="preserve"> and AUC. </w:t>
      </w:r>
      <w:r w:rsidR="006C50FE">
        <w:t>However,</w:t>
      </w:r>
      <w:r w:rsidR="001D74C4">
        <w:t xml:space="preserve"> the pharmacodynamic</w:t>
      </w:r>
      <w:r w:rsidR="00DA1E22" w:rsidRPr="009934FA">
        <w:t xml:space="preserve"> parameters between the 2 formulations were similar.</w:t>
      </w:r>
    </w:p>
    <w:p w14:paraId="040CEF96" w14:textId="4C2F2E40" w:rsidR="009B7481" w:rsidRPr="00EE1CAC" w:rsidRDefault="00DA1E22" w:rsidP="00EE1CAC">
      <w:pPr>
        <w:rPr>
          <w:lang w:val="en-GB"/>
        </w:rPr>
      </w:pPr>
      <w:r w:rsidRPr="009934FA">
        <w:t xml:space="preserve">Mean </w:t>
      </w:r>
      <w:r w:rsidR="00EE1CAC" w:rsidRPr="00EE1CAC">
        <w:rPr>
          <w:lang w:val="en-GB"/>
        </w:rPr>
        <w:t>area u</w:t>
      </w:r>
      <w:r w:rsidR="00EE1CAC">
        <w:rPr>
          <w:lang w:val="en-GB"/>
        </w:rPr>
        <w:t>nder the glucose infusion rate (GIR)</w:t>
      </w:r>
      <w:r w:rsidR="00EE1CAC" w:rsidRPr="00EE1CAC">
        <w:rPr>
          <w:lang w:val="en-GB"/>
        </w:rPr>
        <w:t xml:space="preserve"> cu</w:t>
      </w:r>
      <w:r w:rsidR="00EE1CAC">
        <w:rPr>
          <w:lang w:val="en-GB"/>
        </w:rPr>
        <w:t xml:space="preserve">rve during </w:t>
      </w:r>
      <w:r w:rsidR="008D3BBD">
        <w:rPr>
          <w:lang w:val="en-GB"/>
        </w:rPr>
        <w:t xml:space="preserve">1 </w:t>
      </w:r>
      <w:r w:rsidR="00EE1CAC">
        <w:rPr>
          <w:lang w:val="en-GB"/>
        </w:rPr>
        <w:t>dosing interval (</w:t>
      </w:r>
      <w:r w:rsidR="00E611C1" w:rsidRPr="00E611C1">
        <w:rPr>
          <w:vertAlign w:val="subscript"/>
          <w:lang w:val="en-GB"/>
        </w:rPr>
        <w:t>τ</w:t>
      </w:r>
      <w:proofErr w:type="gramStart"/>
      <w:r w:rsidR="00E611C1" w:rsidRPr="00E611C1">
        <w:rPr>
          <w:vertAlign w:val="subscript"/>
          <w:lang w:val="en-GB"/>
        </w:rPr>
        <w:t>,0</w:t>
      </w:r>
      <w:proofErr w:type="gramEnd"/>
      <w:r w:rsidR="00E611C1" w:rsidRPr="00E611C1">
        <w:rPr>
          <w:vertAlign w:val="subscript"/>
          <w:lang w:val="en-GB"/>
        </w:rPr>
        <w:t>-24</w:t>
      </w:r>
      <w:r w:rsidR="00EE1CAC" w:rsidRPr="00E611C1">
        <w:rPr>
          <w:vertAlign w:val="subscript"/>
          <w:lang w:val="en-GB"/>
        </w:rPr>
        <w:t>h</w:t>
      </w:r>
      <w:r w:rsidR="00EE1CAC">
        <w:rPr>
          <w:lang w:val="en-GB"/>
        </w:rPr>
        <w:t>)</w:t>
      </w:r>
      <w:r w:rsidR="00EE1CAC" w:rsidRPr="00EE1CAC">
        <w:rPr>
          <w:lang w:val="en-GB"/>
        </w:rPr>
        <w:t xml:space="preserve"> at steady state</w:t>
      </w:r>
      <w:r w:rsidR="00EE1CAC">
        <w:rPr>
          <w:lang w:val="en-GB"/>
        </w:rPr>
        <w:t xml:space="preserve"> (</w:t>
      </w:r>
      <w:r w:rsidRPr="009934FA">
        <w:t>AUC</w:t>
      </w:r>
      <w:r w:rsidRPr="009934FA">
        <w:rPr>
          <w:vertAlign w:val="subscript"/>
        </w:rPr>
        <w:t>GIR,τ SS</w:t>
      </w:r>
      <w:r w:rsidR="00EE1CAC">
        <w:t xml:space="preserve">) </w:t>
      </w:r>
      <w:r w:rsidRPr="009934FA">
        <w:t>was similar for IDeg 100 U/mL and IDeg 200 U/mL (estimated ratio 200 </w:t>
      </w:r>
      <w:r w:rsidR="00EE1CAC">
        <w:t xml:space="preserve">U/mL/100 U/mL: 0.94 (0.86; </w:t>
      </w:r>
      <w:r w:rsidR="006C50FE">
        <w:t>1.03</w:t>
      </w:r>
      <w:r w:rsidR="006C50FE" w:rsidRPr="009934FA">
        <w:t>) in</w:t>
      </w:r>
      <w:r w:rsidRPr="009934FA">
        <w:t xml:space="preserve"> subjects with T1DM. Based on descriptive data (AUC</w:t>
      </w:r>
      <w:r w:rsidRPr="009934FA">
        <w:rPr>
          <w:vertAlign w:val="subscript"/>
        </w:rPr>
        <w:t>GIR</w:t>
      </w:r>
      <w:proofErr w:type="gramStart"/>
      <w:r w:rsidRPr="009934FA">
        <w:rPr>
          <w:vertAlign w:val="subscript"/>
        </w:rPr>
        <w:t>,0</w:t>
      </w:r>
      <w:proofErr w:type="gramEnd"/>
      <w:r w:rsidRPr="009934FA">
        <w:rPr>
          <w:vertAlign w:val="subscript"/>
        </w:rPr>
        <w:t>-12h,SS</w:t>
      </w:r>
      <w:r w:rsidRPr="009934FA">
        <w:t xml:space="preserve"> and </w:t>
      </w:r>
      <w:r w:rsidRPr="00A51C17">
        <w:t>GIR</w:t>
      </w:r>
      <w:r w:rsidRPr="00A51C17">
        <w:rPr>
          <w:vertAlign w:val="subscript"/>
        </w:rPr>
        <w:t>max,SS</w:t>
      </w:r>
      <w:r w:rsidRPr="00A51C17">
        <w:t>),</w:t>
      </w:r>
      <w:r w:rsidRPr="009934FA">
        <w:t xml:space="preserve"> IDeg 100 U/mL and IDeg 200 U/mL provided similar glucose lowering effect in subjects with type 1 diabet</w:t>
      </w:r>
      <w:r w:rsidR="00402097">
        <w:t xml:space="preserve">es at steady-state. The glucose </w:t>
      </w:r>
      <w:r w:rsidRPr="009934FA">
        <w:t>lowering effect of IDeg 100 U/mL and IDeg 200 U/mL extended beyond 26 hours at a clinically relevant dose.</w:t>
      </w:r>
    </w:p>
    <w:p w14:paraId="7F4FF0C8" w14:textId="77777777" w:rsidR="00DA1E22" w:rsidRPr="009934FA" w:rsidRDefault="00DA1E22" w:rsidP="00DA1E22">
      <w:pPr>
        <w:pStyle w:val="Heading4"/>
      </w:pPr>
      <w:r w:rsidRPr="009934FA">
        <w:t>Clinical data</w:t>
      </w:r>
    </w:p>
    <w:p w14:paraId="61FB0F5C" w14:textId="77777777" w:rsidR="00DA1E22" w:rsidRPr="009934FA" w:rsidRDefault="00DA1E22" w:rsidP="00DA1E22">
      <w:r w:rsidRPr="009934FA">
        <w:t>In the initial application, there were 3 clinical trials in T1DM and 6 in T2DM.</w:t>
      </w:r>
    </w:p>
    <w:p w14:paraId="77891462" w14:textId="208B6E84" w:rsidR="00DA1E22" w:rsidRPr="009934FA" w:rsidRDefault="00DA1E22" w:rsidP="00DA1E22">
      <w:r w:rsidRPr="009934FA">
        <w:t xml:space="preserve">In T1DM, the clinical trials were randomised, non-blinded, non-inferiority trials comparing IDeg to insulin glargine or levemir. There was no difference in HbA1c or fasting plasma glucose comparing IDeg to glargine or levemir. There were less confirmed </w:t>
      </w:r>
      <w:r w:rsidR="008D3BBD" w:rsidRPr="009934FA">
        <w:t xml:space="preserve">nocturnal </w:t>
      </w:r>
      <w:r w:rsidR="00402097">
        <w:t xml:space="preserve">hypoglycaemic episodes </w:t>
      </w:r>
      <w:r w:rsidRPr="009934FA">
        <w:t>with IDeg.</w:t>
      </w:r>
    </w:p>
    <w:p w14:paraId="60DFFD3E" w14:textId="4874C581" w:rsidR="00DA1E22" w:rsidRDefault="00DA1E22" w:rsidP="00DA1E22">
      <w:r w:rsidRPr="009934FA">
        <w:t xml:space="preserve">In Study 3770, the flexible dosing regimen consisted of alternating morning and evening doses, thus was not entirely flexible. Compliance with this schedule was 80 to 98%. Mealtime insulin aspart was titrated according to </w:t>
      </w:r>
      <w:r w:rsidR="00402097">
        <w:t>bloody glucose</w:t>
      </w:r>
      <w:r w:rsidRPr="009934FA">
        <w:t xml:space="preserve">, thus any variability in </w:t>
      </w:r>
      <w:r w:rsidR="00402097">
        <w:t>blood glucose</w:t>
      </w:r>
      <w:r w:rsidRPr="009934FA">
        <w:t xml:space="preserve"> from the flexible dosing could be minimised adjusting mealtime insulin. Flexible dosing of IDeg resulted in similar fall in HbA1c. Flexible dosing had </w:t>
      </w:r>
      <w:r w:rsidR="00402097">
        <w:t xml:space="preserve">lower nocturnal confirmed hypoglycaemic episodes </w:t>
      </w:r>
      <w:r w:rsidRPr="009934FA">
        <w:t xml:space="preserve">than fixed dosing but </w:t>
      </w:r>
      <w:r w:rsidR="00402097">
        <w:t>similar overall confirmed hypoglycaemic episodes.</w:t>
      </w:r>
    </w:p>
    <w:p w14:paraId="42C9C59F" w14:textId="490E2152" w:rsidR="00402097" w:rsidRPr="009934FA" w:rsidRDefault="00402097" w:rsidP="00402097">
      <w:pPr>
        <w:pStyle w:val="Tabletitle0"/>
      </w:pPr>
      <w:r>
        <w:t>Table 14</w:t>
      </w:r>
      <w:r w:rsidR="006C50FE">
        <w:t xml:space="preserve">: </w:t>
      </w:r>
      <w:r>
        <w:t>T1DM study summaries</w:t>
      </w:r>
    </w:p>
    <w:tbl>
      <w:tblPr>
        <w:tblStyle w:val="TableTGAblue"/>
        <w:tblW w:w="9106" w:type="dxa"/>
        <w:tblLayout w:type="fixed"/>
        <w:tblLook w:val="04A0" w:firstRow="1" w:lastRow="0" w:firstColumn="1" w:lastColumn="0" w:noHBand="0" w:noVBand="1"/>
        <w:tblDescription w:val="Table 14: T1DM study summaries"/>
      </w:tblPr>
      <w:tblGrid>
        <w:gridCol w:w="1634"/>
        <w:gridCol w:w="992"/>
        <w:gridCol w:w="1169"/>
        <w:gridCol w:w="1262"/>
        <w:gridCol w:w="1170"/>
        <w:gridCol w:w="1079"/>
        <w:gridCol w:w="900"/>
        <w:gridCol w:w="900"/>
      </w:tblGrid>
      <w:tr w:rsidR="002901B9" w:rsidRPr="009934FA" w14:paraId="30B8982B" w14:textId="77777777" w:rsidTr="00402097">
        <w:trPr>
          <w:cnfStyle w:val="100000000000" w:firstRow="1" w:lastRow="0" w:firstColumn="0" w:lastColumn="0" w:oddVBand="0" w:evenVBand="0" w:oddHBand="0" w:evenHBand="0" w:firstRowFirstColumn="0" w:firstRowLastColumn="0" w:lastRowFirstColumn="0" w:lastRowLastColumn="0"/>
          <w:trHeight w:val="477"/>
        </w:trPr>
        <w:tc>
          <w:tcPr>
            <w:tcW w:w="1634" w:type="dxa"/>
          </w:tcPr>
          <w:p w14:paraId="0C03274B" w14:textId="77777777" w:rsidR="00DA1E22" w:rsidRPr="009934FA" w:rsidRDefault="00DA1E22" w:rsidP="00DA1E22">
            <w:pPr>
              <w:ind w:left="0"/>
            </w:pPr>
            <w:r w:rsidRPr="009934FA">
              <w:t>Parameter</w:t>
            </w:r>
          </w:p>
        </w:tc>
        <w:tc>
          <w:tcPr>
            <w:tcW w:w="2161" w:type="dxa"/>
            <w:gridSpan w:val="2"/>
          </w:tcPr>
          <w:p w14:paraId="70070DB5" w14:textId="77777777" w:rsidR="00DA1E22" w:rsidRPr="009934FA" w:rsidRDefault="00DA1E22" w:rsidP="00DA1E22">
            <w:r w:rsidRPr="009934FA">
              <w:t>Study 3583</w:t>
            </w:r>
          </w:p>
        </w:tc>
        <w:tc>
          <w:tcPr>
            <w:tcW w:w="2432" w:type="dxa"/>
            <w:gridSpan w:val="2"/>
          </w:tcPr>
          <w:p w14:paraId="59A5D210" w14:textId="77777777" w:rsidR="00DA1E22" w:rsidRPr="009934FA" w:rsidRDefault="00DA1E22" w:rsidP="00DA1E22">
            <w:r w:rsidRPr="009934FA">
              <w:t>Study 3585</w:t>
            </w:r>
          </w:p>
        </w:tc>
        <w:tc>
          <w:tcPr>
            <w:tcW w:w="2879" w:type="dxa"/>
            <w:gridSpan w:val="3"/>
          </w:tcPr>
          <w:p w14:paraId="49788CA6" w14:textId="77777777" w:rsidR="00DA1E22" w:rsidRPr="009934FA" w:rsidRDefault="00DA1E22" w:rsidP="00DA1E22">
            <w:r w:rsidRPr="009934FA">
              <w:t>Study 3770</w:t>
            </w:r>
          </w:p>
        </w:tc>
      </w:tr>
      <w:tr w:rsidR="002901B9" w:rsidRPr="009934FA" w14:paraId="1B712FBC" w14:textId="77777777" w:rsidTr="00402097">
        <w:trPr>
          <w:trHeight w:val="1932"/>
        </w:trPr>
        <w:tc>
          <w:tcPr>
            <w:tcW w:w="1634" w:type="dxa"/>
          </w:tcPr>
          <w:p w14:paraId="34B2779F" w14:textId="77777777" w:rsidR="00DA1E22" w:rsidRPr="009934FA" w:rsidRDefault="00DA1E22" w:rsidP="00035EFF">
            <w:pPr>
              <w:ind w:left="0" w:right="0"/>
            </w:pPr>
            <w:r w:rsidRPr="009934FA">
              <w:t>Design</w:t>
            </w:r>
          </w:p>
        </w:tc>
        <w:tc>
          <w:tcPr>
            <w:tcW w:w="2161" w:type="dxa"/>
            <w:gridSpan w:val="2"/>
          </w:tcPr>
          <w:p w14:paraId="3DA3EBF9" w14:textId="57282686" w:rsidR="00DA1E22" w:rsidRPr="009934FA" w:rsidRDefault="00DA1E22" w:rsidP="00035EFF">
            <w:pPr>
              <w:ind w:left="0" w:right="0"/>
            </w:pPr>
            <w:r w:rsidRPr="009934FA">
              <w:t xml:space="preserve">52 week efficacy and safety study comparing </w:t>
            </w:r>
            <w:r w:rsidR="00987ED8">
              <w:t xml:space="preserve">IDeg OD and IGlar OD in a basal </w:t>
            </w:r>
            <w:r w:rsidRPr="009934FA">
              <w:t>bolus regimen with IAsp in adult subjects with T1DM.</w:t>
            </w:r>
          </w:p>
        </w:tc>
        <w:tc>
          <w:tcPr>
            <w:tcW w:w="2432" w:type="dxa"/>
            <w:gridSpan w:val="2"/>
          </w:tcPr>
          <w:p w14:paraId="54A087CC" w14:textId="6E5A99D6" w:rsidR="00DA1E22" w:rsidRPr="009934FA" w:rsidRDefault="00DA1E22" w:rsidP="00035EFF">
            <w:pPr>
              <w:ind w:left="0" w:right="0"/>
            </w:pPr>
            <w:r w:rsidRPr="009934FA">
              <w:t>26 week efficacy and safety study comparing IDeg OD v</w:t>
            </w:r>
            <w:r w:rsidR="00987ED8">
              <w:t xml:space="preserve">ersus IDet in a basal </w:t>
            </w:r>
            <w:r w:rsidRPr="009934FA">
              <w:t>bolus regimen with IAsp in adult subjects with T1DM.</w:t>
            </w:r>
          </w:p>
        </w:tc>
        <w:tc>
          <w:tcPr>
            <w:tcW w:w="2879" w:type="dxa"/>
            <w:gridSpan w:val="3"/>
          </w:tcPr>
          <w:p w14:paraId="2D867CDF" w14:textId="77777777" w:rsidR="00DA1E22" w:rsidRPr="009934FA" w:rsidRDefault="00DA1E22" w:rsidP="00035EFF">
            <w:pPr>
              <w:ind w:left="0" w:right="0"/>
            </w:pPr>
            <w:r w:rsidRPr="009934FA">
              <w:t>26 week efficacy and safety study comparing IDeg once daily in flexible dosing schedule with IDeg OD with main evening meal and IGlar OD in adult subjects with T1DM.</w:t>
            </w:r>
          </w:p>
        </w:tc>
      </w:tr>
      <w:tr w:rsidR="002901B9" w:rsidRPr="009934FA" w14:paraId="3DEBCAE3" w14:textId="77777777" w:rsidTr="00402097">
        <w:trPr>
          <w:trHeight w:val="3259"/>
        </w:trPr>
        <w:tc>
          <w:tcPr>
            <w:tcW w:w="1634" w:type="dxa"/>
          </w:tcPr>
          <w:p w14:paraId="60410607" w14:textId="77777777" w:rsidR="00DA1E22" w:rsidRPr="009934FA" w:rsidRDefault="00DA1E22" w:rsidP="00035EFF">
            <w:pPr>
              <w:ind w:left="0" w:right="0"/>
            </w:pPr>
            <w:r w:rsidRPr="009934FA">
              <w:lastRenderedPageBreak/>
              <w:t>Treatment administration</w:t>
            </w:r>
          </w:p>
        </w:tc>
        <w:tc>
          <w:tcPr>
            <w:tcW w:w="2161" w:type="dxa"/>
            <w:gridSpan w:val="2"/>
          </w:tcPr>
          <w:p w14:paraId="3991265E" w14:textId="0F4DB2CE" w:rsidR="00DA1E22" w:rsidRPr="009934FA" w:rsidRDefault="00DA1E22" w:rsidP="00035EFF">
            <w:pPr>
              <w:ind w:left="0" w:right="0"/>
            </w:pPr>
            <w:r w:rsidRPr="009934FA">
              <w:t>IDeg OD 100 U/mL with main evening meal or IGlar OD according to local label</w:t>
            </w:r>
            <w:r w:rsidR="00402097">
              <w:t>.</w:t>
            </w:r>
          </w:p>
          <w:p w14:paraId="1079A63D" w14:textId="32D14441" w:rsidR="00DA1E22" w:rsidRPr="009934FA" w:rsidRDefault="00DA1E22" w:rsidP="00035EFF">
            <w:pPr>
              <w:ind w:left="0" w:right="0"/>
            </w:pPr>
            <w:r w:rsidRPr="009934FA">
              <w:t>IAsp as bolus mealtime insulin</w:t>
            </w:r>
            <w:r w:rsidR="00402097">
              <w:t>.</w:t>
            </w:r>
          </w:p>
        </w:tc>
        <w:tc>
          <w:tcPr>
            <w:tcW w:w="2432" w:type="dxa"/>
            <w:gridSpan w:val="2"/>
          </w:tcPr>
          <w:p w14:paraId="25EB2D95" w14:textId="77777777" w:rsidR="00DA1E22" w:rsidRPr="009934FA" w:rsidRDefault="00DA1E22" w:rsidP="00035EFF">
            <w:pPr>
              <w:ind w:left="0" w:right="0"/>
            </w:pPr>
            <w:r w:rsidRPr="009934FA">
              <w:t>IDeg 100 U/mL OD or IDet OD with main evening meal.</w:t>
            </w:r>
          </w:p>
          <w:p w14:paraId="4A40622E" w14:textId="77777777" w:rsidR="00DA1E22" w:rsidRPr="009934FA" w:rsidRDefault="00DA1E22" w:rsidP="00035EFF">
            <w:pPr>
              <w:ind w:left="0" w:right="0"/>
            </w:pPr>
            <w:r w:rsidRPr="009934FA">
              <w:t>IAsp as bolus mealtime insulin.</w:t>
            </w:r>
          </w:p>
        </w:tc>
        <w:tc>
          <w:tcPr>
            <w:tcW w:w="2879" w:type="dxa"/>
            <w:gridSpan w:val="3"/>
          </w:tcPr>
          <w:p w14:paraId="23034944" w14:textId="77777777" w:rsidR="00DA1E22" w:rsidRPr="009934FA" w:rsidRDefault="00DA1E22" w:rsidP="00035EFF">
            <w:pPr>
              <w:ind w:left="0" w:right="0"/>
            </w:pPr>
            <w:r w:rsidRPr="009934FA">
              <w:t>IDeg 100 U/mL OD in flexible dosing schedule with 8-40h between doses** or IDeg OD with main evening meal or IGlar OD according to local labelling.</w:t>
            </w:r>
          </w:p>
          <w:p w14:paraId="501E8547" w14:textId="77777777" w:rsidR="00DA1E22" w:rsidRPr="009934FA" w:rsidRDefault="00DA1E22" w:rsidP="00035EFF">
            <w:pPr>
              <w:ind w:left="0" w:right="0"/>
            </w:pPr>
            <w:r w:rsidRPr="009934FA">
              <w:t>IAsp as bolus mealtime insulin.</w:t>
            </w:r>
          </w:p>
        </w:tc>
      </w:tr>
      <w:tr w:rsidR="002901B9" w:rsidRPr="009934FA" w14:paraId="4C8C27A9" w14:textId="77777777" w:rsidTr="00402097">
        <w:trPr>
          <w:trHeight w:val="1111"/>
        </w:trPr>
        <w:tc>
          <w:tcPr>
            <w:tcW w:w="1634" w:type="dxa"/>
            <w:vMerge w:val="restart"/>
          </w:tcPr>
          <w:p w14:paraId="19D334FE" w14:textId="77777777" w:rsidR="00DA1E22" w:rsidRPr="009934FA" w:rsidRDefault="00DA1E22" w:rsidP="00035EFF">
            <w:pPr>
              <w:ind w:left="0" w:right="0"/>
            </w:pPr>
            <w:r w:rsidRPr="009934FA">
              <w:t>Primary efficacy</w:t>
            </w:r>
          </w:p>
        </w:tc>
        <w:tc>
          <w:tcPr>
            <w:tcW w:w="2161" w:type="dxa"/>
            <w:gridSpan w:val="2"/>
          </w:tcPr>
          <w:p w14:paraId="56A4B589" w14:textId="4001F67C" w:rsidR="00DA1E22" w:rsidRPr="009934FA" w:rsidRDefault="002C4648" w:rsidP="00035EFF">
            <w:pPr>
              <w:ind w:left="0" w:right="0"/>
            </w:pPr>
            <w:r w:rsidRPr="009934FA">
              <w:rPr>
                <w:b/>
              </w:rPr>
              <w:t>Mean change from B</w:t>
            </w:r>
            <w:r w:rsidR="00DA1E22" w:rsidRPr="009934FA">
              <w:rPr>
                <w:b/>
              </w:rPr>
              <w:t>aseline in HbA1c after 52 weeks of treatment (%)</w:t>
            </w:r>
          </w:p>
        </w:tc>
        <w:tc>
          <w:tcPr>
            <w:tcW w:w="2432" w:type="dxa"/>
            <w:gridSpan w:val="2"/>
          </w:tcPr>
          <w:p w14:paraId="07D52AA1" w14:textId="1138C786" w:rsidR="00DA1E22" w:rsidRPr="009934FA" w:rsidRDefault="002C4648" w:rsidP="00035EFF">
            <w:pPr>
              <w:ind w:left="0" w:right="0"/>
              <w:rPr>
                <w:b/>
              </w:rPr>
            </w:pPr>
            <w:r w:rsidRPr="009934FA">
              <w:rPr>
                <w:b/>
              </w:rPr>
              <w:t>Mean change from B</w:t>
            </w:r>
            <w:r w:rsidR="00DA1E22" w:rsidRPr="009934FA">
              <w:rPr>
                <w:b/>
              </w:rPr>
              <w:t>aseline in HbA1c after 26 weeks of treatment (%)</w:t>
            </w:r>
          </w:p>
        </w:tc>
        <w:tc>
          <w:tcPr>
            <w:tcW w:w="2879" w:type="dxa"/>
            <w:gridSpan w:val="3"/>
          </w:tcPr>
          <w:p w14:paraId="17D11E82" w14:textId="0EDB486E" w:rsidR="00DA1E22" w:rsidRPr="009934FA" w:rsidRDefault="002C4648" w:rsidP="00035EFF">
            <w:pPr>
              <w:ind w:left="0" w:right="0"/>
              <w:rPr>
                <w:b/>
              </w:rPr>
            </w:pPr>
            <w:r w:rsidRPr="009934FA">
              <w:rPr>
                <w:b/>
              </w:rPr>
              <w:t>Mean change from B</w:t>
            </w:r>
            <w:r w:rsidR="00DA1E22" w:rsidRPr="009934FA">
              <w:rPr>
                <w:b/>
              </w:rPr>
              <w:t>aseline in HbA1c after 26 weeks of treatment (%)</w:t>
            </w:r>
          </w:p>
        </w:tc>
      </w:tr>
      <w:tr w:rsidR="00791011" w:rsidRPr="009934FA" w14:paraId="065138A1" w14:textId="77777777" w:rsidTr="00402097">
        <w:trPr>
          <w:trHeight w:val="537"/>
        </w:trPr>
        <w:tc>
          <w:tcPr>
            <w:tcW w:w="1634" w:type="dxa"/>
            <w:vMerge/>
          </w:tcPr>
          <w:p w14:paraId="37DA4E58" w14:textId="77777777" w:rsidR="00DA1E22" w:rsidRPr="009934FA" w:rsidRDefault="00DA1E22" w:rsidP="00035EFF">
            <w:pPr>
              <w:ind w:right="0"/>
            </w:pPr>
          </w:p>
        </w:tc>
        <w:tc>
          <w:tcPr>
            <w:tcW w:w="992" w:type="dxa"/>
          </w:tcPr>
          <w:p w14:paraId="4CFC588A" w14:textId="77777777" w:rsidR="00DA1E22" w:rsidRPr="009934FA" w:rsidRDefault="00DA1E22" w:rsidP="00035EFF">
            <w:pPr>
              <w:ind w:left="0" w:right="0"/>
            </w:pPr>
            <w:r w:rsidRPr="009934FA">
              <w:t>IDeg</w:t>
            </w:r>
          </w:p>
        </w:tc>
        <w:tc>
          <w:tcPr>
            <w:tcW w:w="1169" w:type="dxa"/>
          </w:tcPr>
          <w:p w14:paraId="07DD866B" w14:textId="77777777" w:rsidR="00DA1E22" w:rsidRPr="009934FA" w:rsidRDefault="00DA1E22" w:rsidP="00035EFF">
            <w:pPr>
              <w:ind w:left="0" w:right="0"/>
            </w:pPr>
            <w:r w:rsidRPr="009934FA">
              <w:t>IGlar</w:t>
            </w:r>
          </w:p>
        </w:tc>
        <w:tc>
          <w:tcPr>
            <w:tcW w:w="1262" w:type="dxa"/>
          </w:tcPr>
          <w:p w14:paraId="587A7A01" w14:textId="77777777" w:rsidR="00DA1E22" w:rsidRPr="009934FA" w:rsidRDefault="00DA1E22" w:rsidP="00035EFF">
            <w:pPr>
              <w:ind w:left="0" w:right="0"/>
            </w:pPr>
            <w:r w:rsidRPr="009934FA">
              <w:t>IDeg</w:t>
            </w:r>
          </w:p>
        </w:tc>
        <w:tc>
          <w:tcPr>
            <w:tcW w:w="1170" w:type="dxa"/>
          </w:tcPr>
          <w:p w14:paraId="6DA76EF9" w14:textId="77777777" w:rsidR="00DA1E22" w:rsidRPr="009934FA" w:rsidRDefault="00DA1E22" w:rsidP="00035EFF">
            <w:pPr>
              <w:ind w:left="0" w:right="0"/>
            </w:pPr>
            <w:r w:rsidRPr="009934FA">
              <w:t>IDet</w:t>
            </w:r>
          </w:p>
        </w:tc>
        <w:tc>
          <w:tcPr>
            <w:tcW w:w="1079" w:type="dxa"/>
          </w:tcPr>
          <w:p w14:paraId="4B5934E7" w14:textId="77777777" w:rsidR="00DA1E22" w:rsidRPr="009934FA" w:rsidRDefault="00DA1E22" w:rsidP="00035EFF">
            <w:pPr>
              <w:ind w:left="0" w:right="0"/>
            </w:pPr>
            <w:r w:rsidRPr="009934FA">
              <w:t>IDeg Flex</w:t>
            </w:r>
          </w:p>
        </w:tc>
        <w:tc>
          <w:tcPr>
            <w:tcW w:w="900" w:type="dxa"/>
          </w:tcPr>
          <w:p w14:paraId="384F51DE" w14:textId="77777777" w:rsidR="00DA1E22" w:rsidRPr="009934FA" w:rsidRDefault="00DA1E22" w:rsidP="00035EFF">
            <w:pPr>
              <w:ind w:left="0" w:right="0"/>
            </w:pPr>
            <w:r w:rsidRPr="009934FA">
              <w:t>IDeg OD</w:t>
            </w:r>
          </w:p>
        </w:tc>
        <w:tc>
          <w:tcPr>
            <w:tcW w:w="900" w:type="dxa"/>
          </w:tcPr>
          <w:p w14:paraId="56048438" w14:textId="77777777" w:rsidR="00DA1E22" w:rsidRPr="009934FA" w:rsidRDefault="00DA1E22" w:rsidP="00035EFF">
            <w:pPr>
              <w:ind w:left="0" w:right="0"/>
            </w:pPr>
            <w:r w:rsidRPr="009934FA">
              <w:t>IGlar OD</w:t>
            </w:r>
          </w:p>
        </w:tc>
      </w:tr>
      <w:tr w:rsidR="00791011" w:rsidRPr="009934FA" w14:paraId="460C7EDE" w14:textId="77777777" w:rsidTr="00402097">
        <w:trPr>
          <w:trHeight w:val="390"/>
        </w:trPr>
        <w:tc>
          <w:tcPr>
            <w:tcW w:w="1634" w:type="dxa"/>
            <w:vMerge/>
          </w:tcPr>
          <w:p w14:paraId="74F63B9F" w14:textId="77777777" w:rsidR="00DA1E22" w:rsidRPr="009934FA" w:rsidRDefault="00DA1E22" w:rsidP="00035EFF">
            <w:pPr>
              <w:ind w:right="0"/>
            </w:pPr>
          </w:p>
        </w:tc>
        <w:tc>
          <w:tcPr>
            <w:tcW w:w="992" w:type="dxa"/>
          </w:tcPr>
          <w:p w14:paraId="255A3960" w14:textId="77777777" w:rsidR="00DA1E22" w:rsidRPr="009934FA" w:rsidRDefault="00035EFF" w:rsidP="00035EFF">
            <w:pPr>
              <w:ind w:left="0" w:right="0"/>
            </w:pPr>
            <w:r w:rsidRPr="009934FA">
              <w:t>-</w:t>
            </w:r>
            <w:r w:rsidR="00DA1E22" w:rsidRPr="009934FA">
              <w:t>0.36</w:t>
            </w:r>
          </w:p>
        </w:tc>
        <w:tc>
          <w:tcPr>
            <w:tcW w:w="1169" w:type="dxa"/>
          </w:tcPr>
          <w:p w14:paraId="1157E009" w14:textId="77777777" w:rsidR="00DA1E22" w:rsidRPr="009934FA" w:rsidRDefault="00DA1E22" w:rsidP="00035EFF">
            <w:pPr>
              <w:ind w:left="0" w:right="0"/>
            </w:pPr>
            <w:r w:rsidRPr="009934FA">
              <w:t>-0.34</w:t>
            </w:r>
          </w:p>
        </w:tc>
        <w:tc>
          <w:tcPr>
            <w:tcW w:w="1262" w:type="dxa"/>
          </w:tcPr>
          <w:p w14:paraId="733A69AC" w14:textId="77777777" w:rsidR="00DA1E22" w:rsidRPr="009934FA" w:rsidRDefault="00DA1E22" w:rsidP="00035EFF">
            <w:pPr>
              <w:ind w:left="0" w:right="0"/>
            </w:pPr>
            <w:r w:rsidRPr="009934FA">
              <w:t>-0.71</w:t>
            </w:r>
          </w:p>
        </w:tc>
        <w:tc>
          <w:tcPr>
            <w:tcW w:w="1170" w:type="dxa"/>
          </w:tcPr>
          <w:p w14:paraId="22F4D25D" w14:textId="77777777" w:rsidR="00DA1E22" w:rsidRPr="009934FA" w:rsidRDefault="00DA1E22" w:rsidP="00035EFF">
            <w:pPr>
              <w:ind w:left="0" w:right="0"/>
            </w:pPr>
            <w:r w:rsidRPr="009934FA">
              <w:t>-0.61</w:t>
            </w:r>
          </w:p>
        </w:tc>
        <w:tc>
          <w:tcPr>
            <w:tcW w:w="1079" w:type="dxa"/>
          </w:tcPr>
          <w:p w14:paraId="2536FC66" w14:textId="77777777" w:rsidR="00DA1E22" w:rsidRPr="009934FA" w:rsidRDefault="00DA1E22" w:rsidP="00035EFF">
            <w:pPr>
              <w:ind w:left="0" w:right="0"/>
            </w:pPr>
            <w:r w:rsidRPr="009934FA">
              <w:t>-0.40</w:t>
            </w:r>
          </w:p>
        </w:tc>
        <w:tc>
          <w:tcPr>
            <w:tcW w:w="900" w:type="dxa"/>
          </w:tcPr>
          <w:p w14:paraId="497D9AE3" w14:textId="77777777" w:rsidR="00DA1E22" w:rsidRPr="009934FA" w:rsidRDefault="00DA1E22" w:rsidP="00035EFF">
            <w:pPr>
              <w:ind w:left="0" w:right="0"/>
            </w:pPr>
            <w:r w:rsidRPr="009934FA">
              <w:t>-0.41</w:t>
            </w:r>
          </w:p>
        </w:tc>
        <w:tc>
          <w:tcPr>
            <w:tcW w:w="900" w:type="dxa"/>
          </w:tcPr>
          <w:p w14:paraId="72ABDB64" w14:textId="77777777" w:rsidR="00DA1E22" w:rsidRPr="009934FA" w:rsidRDefault="00DA1E22" w:rsidP="00035EFF">
            <w:pPr>
              <w:ind w:left="0" w:right="0"/>
            </w:pPr>
            <w:r w:rsidRPr="009934FA">
              <w:t>-0.57</w:t>
            </w:r>
          </w:p>
        </w:tc>
      </w:tr>
      <w:tr w:rsidR="002901B9" w:rsidRPr="009934FA" w14:paraId="7E702BD7" w14:textId="77777777" w:rsidTr="00402097">
        <w:trPr>
          <w:trHeight w:val="784"/>
        </w:trPr>
        <w:tc>
          <w:tcPr>
            <w:tcW w:w="1634" w:type="dxa"/>
            <w:vMerge/>
          </w:tcPr>
          <w:p w14:paraId="686BE815" w14:textId="77777777" w:rsidR="00DA1E22" w:rsidRPr="009934FA" w:rsidRDefault="00DA1E22" w:rsidP="00035EFF">
            <w:pPr>
              <w:ind w:right="0"/>
            </w:pPr>
          </w:p>
        </w:tc>
        <w:tc>
          <w:tcPr>
            <w:tcW w:w="2161" w:type="dxa"/>
            <w:gridSpan w:val="2"/>
          </w:tcPr>
          <w:p w14:paraId="11B216C6" w14:textId="65B1B292" w:rsidR="00DA1E22" w:rsidRPr="009934FA" w:rsidRDefault="00DA1E22" w:rsidP="00035EFF">
            <w:pPr>
              <w:ind w:left="0" w:right="0"/>
            </w:pPr>
            <w:r w:rsidRPr="009934FA">
              <w:t>M</w:t>
            </w:r>
            <w:r w:rsidR="00035EFF" w:rsidRPr="009934FA">
              <w:t>ean treatment difference (IDeg minus</w:t>
            </w:r>
            <w:r w:rsidR="00791011" w:rsidRPr="009934FA">
              <w:t xml:space="preserve"> IGlar) = </w:t>
            </w:r>
            <w:r w:rsidR="00791011" w:rsidRPr="009934FA">
              <w:noBreakHyphen/>
            </w:r>
            <w:r w:rsidR="00035EFF" w:rsidRPr="009934FA">
              <w:t>0.01% (95% </w:t>
            </w:r>
            <w:r w:rsidR="00791011" w:rsidRPr="009934FA">
              <w:t xml:space="preserve">CI: </w:t>
            </w:r>
            <w:r w:rsidR="00791011" w:rsidRPr="009934FA">
              <w:noBreakHyphen/>
            </w:r>
            <w:r w:rsidRPr="009934FA">
              <w:t>0.14, 0.11).</w:t>
            </w:r>
            <w:r w:rsidR="00987ED8">
              <w:t xml:space="preserve"> </w:t>
            </w:r>
            <w:r w:rsidR="00E6564B">
              <w:t>Non</w:t>
            </w:r>
            <w:r w:rsidR="00E6564B">
              <w:noBreakHyphen/>
            </w:r>
            <w:r w:rsidRPr="009934FA">
              <w:t>inferiority confirmed.</w:t>
            </w:r>
          </w:p>
        </w:tc>
        <w:tc>
          <w:tcPr>
            <w:tcW w:w="2432" w:type="dxa"/>
            <w:gridSpan w:val="2"/>
          </w:tcPr>
          <w:p w14:paraId="0DA08577" w14:textId="77DDA04F" w:rsidR="00DA1E22" w:rsidRPr="009934FA" w:rsidRDefault="00DA1E22" w:rsidP="00035EFF">
            <w:pPr>
              <w:ind w:left="0" w:right="0"/>
            </w:pPr>
            <w:r w:rsidRPr="009934FA">
              <w:t>M</w:t>
            </w:r>
            <w:r w:rsidR="00035EFF" w:rsidRPr="009934FA">
              <w:t>ean treatment difference (IDeg minus IDet) = -0.09% (95% CI: </w:t>
            </w:r>
            <w:r w:rsidRPr="009934FA">
              <w:t>-0.23, 0.05).</w:t>
            </w:r>
            <w:r w:rsidR="00E6564B">
              <w:t xml:space="preserve"> </w:t>
            </w:r>
            <w:r w:rsidRPr="009934FA">
              <w:t xml:space="preserve">Non-inferiority confirmed. </w:t>
            </w:r>
          </w:p>
        </w:tc>
        <w:tc>
          <w:tcPr>
            <w:tcW w:w="2879" w:type="dxa"/>
            <w:gridSpan w:val="3"/>
          </w:tcPr>
          <w:p w14:paraId="49DB559C" w14:textId="5C5CF099" w:rsidR="00DA1E22" w:rsidRPr="009934FA" w:rsidRDefault="00DA1E22" w:rsidP="00035EFF">
            <w:pPr>
              <w:ind w:left="0" w:right="0"/>
            </w:pPr>
            <w:r w:rsidRPr="009934FA">
              <w:t>Mean t</w:t>
            </w:r>
            <w:r w:rsidR="00035EFF" w:rsidRPr="009934FA">
              <w:t>reatment difference (IDeg Flex minus IGlar OD) = 0.17% (95% CI: </w:t>
            </w:r>
            <w:r w:rsidRPr="009934FA">
              <w:t>0.04, 0.30)</w:t>
            </w:r>
            <w:r w:rsidR="00E6564B">
              <w:t>. Non</w:t>
            </w:r>
            <w:r w:rsidR="00E6564B">
              <w:noBreakHyphen/>
            </w:r>
            <w:r w:rsidRPr="009934FA">
              <w:t>inferiority confirmed.</w:t>
            </w:r>
            <w:r w:rsidR="00E6564B">
              <w:t xml:space="preserve"> </w:t>
            </w:r>
            <w:r w:rsidRPr="009934FA">
              <w:t>Mean treatment differenc</w:t>
            </w:r>
            <w:r w:rsidR="002901B9" w:rsidRPr="009934FA">
              <w:t>e (IDeg Flex minus IDeg OD) = </w:t>
            </w:r>
            <w:r w:rsidR="00791011" w:rsidRPr="009934FA">
              <w:t xml:space="preserve">0.01% (95% CI: </w:t>
            </w:r>
            <w:r w:rsidR="00791011" w:rsidRPr="009934FA">
              <w:noBreakHyphen/>
            </w:r>
            <w:r w:rsidRPr="009934FA">
              <w:t>0.13, 0.14).</w:t>
            </w:r>
            <w:r w:rsidR="00E6564B">
              <w:t xml:space="preserve"> Non</w:t>
            </w:r>
            <w:r w:rsidR="00E6564B">
              <w:noBreakHyphen/>
            </w:r>
            <w:r w:rsidRPr="009934FA">
              <w:t>inferiority confirmed.</w:t>
            </w:r>
          </w:p>
        </w:tc>
      </w:tr>
      <w:tr w:rsidR="00791011" w:rsidRPr="009934FA" w14:paraId="03D1695E" w14:textId="77777777" w:rsidTr="00402097">
        <w:trPr>
          <w:trHeight w:val="371"/>
        </w:trPr>
        <w:tc>
          <w:tcPr>
            <w:tcW w:w="1634" w:type="dxa"/>
            <w:vMerge w:val="restart"/>
          </w:tcPr>
          <w:p w14:paraId="304EE612" w14:textId="77777777" w:rsidR="00DA1E22" w:rsidRPr="009934FA" w:rsidRDefault="00DA1E22" w:rsidP="00035EFF">
            <w:pPr>
              <w:ind w:left="0" w:right="0"/>
            </w:pPr>
            <w:r w:rsidRPr="009934FA">
              <w:t>Safety endpoint</w:t>
            </w:r>
          </w:p>
        </w:tc>
        <w:tc>
          <w:tcPr>
            <w:tcW w:w="7472" w:type="dxa"/>
            <w:gridSpan w:val="7"/>
          </w:tcPr>
          <w:p w14:paraId="5DDD09E4" w14:textId="6E7BD018" w:rsidR="00DA1E22" w:rsidRPr="009934FA" w:rsidRDefault="00DA1E22" w:rsidP="00035EFF">
            <w:pPr>
              <w:ind w:left="0" w:right="0"/>
            </w:pPr>
            <w:r w:rsidRPr="009934FA">
              <w:rPr>
                <w:b/>
              </w:rPr>
              <w:t>Rate of nocturnal confirmed hypoglycaemic episodes per 100 PYE</w:t>
            </w:r>
          </w:p>
        </w:tc>
      </w:tr>
      <w:tr w:rsidR="00402097" w:rsidRPr="009934FA" w14:paraId="102110F0" w14:textId="77777777" w:rsidTr="00402097">
        <w:trPr>
          <w:trHeight w:val="431"/>
        </w:trPr>
        <w:tc>
          <w:tcPr>
            <w:tcW w:w="1634" w:type="dxa"/>
            <w:vMerge/>
          </w:tcPr>
          <w:p w14:paraId="13C3E017" w14:textId="77777777" w:rsidR="00DA1E22" w:rsidRPr="009934FA" w:rsidRDefault="00DA1E22" w:rsidP="00035EFF">
            <w:pPr>
              <w:ind w:left="0" w:right="0"/>
            </w:pPr>
          </w:p>
        </w:tc>
        <w:tc>
          <w:tcPr>
            <w:tcW w:w="992" w:type="dxa"/>
          </w:tcPr>
          <w:p w14:paraId="5C789AE2" w14:textId="77777777" w:rsidR="00DA1E22" w:rsidRPr="009934FA" w:rsidRDefault="00DA1E22" w:rsidP="00035EFF">
            <w:pPr>
              <w:ind w:left="0" w:right="0"/>
            </w:pPr>
            <w:r w:rsidRPr="009934FA">
              <w:t>IDeg</w:t>
            </w:r>
          </w:p>
        </w:tc>
        <w:tc>
          <w:tcPr>
            <w:tcW w:w="1169" w:type="dxa"/>
          </w:tcPr>
          <w:p w14:paraId="19DAC9B6" w14:textId="77777777" w:rsidR="00DA1E22" w:rsidRPr="009934FA" w:rsidRDefault="00DA1E22" w:rsidP="00035EFF">
            <w:pPr>
              <w:ind w:left="0" w:right="0"/>
            </w:pPr>
            <w:r w:rsidRPr="009934FA">
              <w:t>IGlar</w:t>
            </w:r>
          </w:p>
        </w:tc>
        <w:tc>
          <w:tcPr>
            <w:tcW w:w="1262" w:type="dxa"/>
          </w:tcPr>
          <w:p w14:paraId="79791D63" w14:textId="77777777" w:rsidR="00DA1E22" w:rsidRPr="009934FA" w:rsidRDefault="00DA1E22" w:rsidP="00035EFF">
            <w:pPr>
              <w:ind w:left="0" w:right="0"/>
            </w:pPr>
            <w:r w:rsidRPr="009934FA">
              <w:t>IDeg</w:t>
            </w:r>
          </w:p>
        </w:tc>
        <w:tc>
          <w:tcPr>
            <w:tcW w:w="1170" w:type="dxa"/>
          </w:tcPr>
          <w:p w14:paraId="366949BD" w14:textId="77777777" w:rsidR="00DA1E22" w:rsidRPr="009934FA" w:rsidRDefault="00DA1E22" w:rsidP="00035EFF">
            <w:pPr>
              <w:ind w:left="0" w:right="0"/>
            </w:pPr>
            <w:r w:rsidRPr="009934FA">
              <w:t>IDet</w:t>
            </w:r>
          </w:p>
        </w:tc>
        <w:tc>
          <w:tcPr>
            <w:tcW w:w="1079" w:type="dxa"/>
          </w:tcPr>
          <w:p w14:paraId="003EAB5C" w14:textId="77777777" w:rsidR="00DA1E22" w:rsidRPr="009934FA" w:rsidRDefault="00DA1E22" w:rsidP="00035EFF">
            <w:pPr>
              <w:ind w:left="0" w:right="0"/>
            </w:pPr>
            <w:r w:rsidRPr="009934FA">
              <w:t>IDeg Flex</w:t>
            </w:r>
          </w:p>
        </w:tc>
        <w:tc>
          <w:tcPr>
            <w:tcW w:w="900" w:type="dxa"/>
          </w:tcPr>
          <w:p w14:paraId="7F4097C6" w14:textId="77777777" w:rsidR="00DA1E22" w:rsidRPr="009934FA" w:rsidRDefault="00DA1E22" w:rsidP="00035EFF">
            <w:pPr>
              <w:ind w:left="0" w:right="0"/>
            </w:pPr>
            <w:r w:rsidRPr="009934FA">
              <w:t>IDeg OD</w:t>
            </w:r>
          </w:p>
        </w:tc>
        <w:tc>
          <w:tcPr>
            <w:tcW w:w="900" w:type="dxa"/>
          </w:tcPr>
          <w:p w14:paraId="6C0B7F57" w14:textId="77777777" w:rsidR="00DA1E22" w:rsidRPr="009934FA" w:rsidRDefault="00DA1E22" w:rsidP="00035EFF">
            <w:pPr>
              <w:ind w:left="0" w:right="0"/>
            </w:pPr>
            <w:r w:rsidRPr="009934FA">
              <w:t>IGlar OD</w:t>
            </w:r>
          </w:p>
        </w:tc>
      </w:tr>
      <w:tr w:rsidR="00402097" w:rsidRPr="009934FA" w14:paraId="4E9B9CCA" w14:textId="77777777" w:rsidTr="00402097">
        <w:trPr>
          <w:trHeight w:val="343"/>
        </w:trPr>
        <w:tc>
          <w:tcPr>
            <w:tcW w:w="1634" w:type="dxa"/>
            <w:vMerge/>
          </w:tcPr>
          <w:p w14:paraId="5F93830E" w14:textId="77777777" w:rsidR="00DA1E22" w:rsidRPr="009934FA" w:rsidRDefault="00DA1E22" w:rsidP="00035EFF">
            <w:pPr>
              <w:ind w:left="0" w:right="0"/>
            </w:pPr>
          </w:p>
        </w:tc>
        <w:tc>
          <w:tcPr>
            <w:tcW w:w="992" w:type="dxa"/>
          </w:tcPr>
          <w:p w14:paraId="39178EF2" w14:textId="77777777" w:rsidR="00DA1E22" w:rsidRPr="009934FA" w:rsidRDefault="00DA1E22" w:rsidP="00035EFF">
            <w:pPr>
              <w:ind w:left="0" w:right="0"/>
            </w:pPr>
            <w:r w:rsidRPr="009934FA">
              <w:t>441</w:t>
            </w:r>
          </w:p>
        </w:tc>
        <w:tc>
          <w:tcPr>
            <w:tcW w:w="1169" w:type="dxa"/>
          </w:tcPr>
          <w:p w14:paraId="57D3B21B" w14:textId="77777777" w:rsidR="00DA1E22" w:rsidRPr="009934FA" w:rsidRDefault="00DA1E22" w:rsidP="00035EFF">
            <w:pPr>
              <w:ind w:left="0" w:right="0"/>
            </w:pPr>
            <w:r w:rsidRPr="009934FA">
              <w:t>586</w:t>
            </w:r>
          </w:p>
        </w:tc>
        <w:tc>
          <w:tcPr>
            <w:tcW w:w="1262" w:type="dxa"/>
          </w:tcPr>
          <w:p w14:paraId="6F6487A1" w14:textId="77777777" w:rsidR="00DA1E22" w:rsidRPr="009934FA" w:rsidRDefault="00DA1E22" w:rsidP="00035EFF">
            <w:pPr>
              <w:ind w:left="0" w:right="0"/>
            </w:pPr>
            <w:r w:rsidRPr="009934FA">
              <w:t>414</w:t>
            </w:r>
          </w:p>
        </w:tc>
        <w:tc>
          <w:tcPr>
            <w:tcW w:w="1170" w:type="dxa"/>
          </w:tcPr>
          <w:p w14:paraId="7EB412D0" w14:textId="77777777" w:rsidR="00DA1E22" w:rsidRPr="009934FA" w:rsidRDefault="00DA1E22" w:rsidP="00035EFF">
            <w:pPr>
              <w:ind w:left="0" w:right="0"/>
            </w:pPr>
            <w:r w:rsidRPr="009934FA">
              <w:t>593</w:t>
            </w:r>
          </w:p>
        </w:tc>
        <w:tc>
          <w:tcPr>
            <w:tcW w:w="1079" w:type="dxa"/>
          </w:tcPr>
          <w:p w14:paraId="5D42A1FB" w14:textId="77777777" w:rsidR="00DA1E22" w:rsidRPr="009934FA" w:rsidRDefault="00DA1E22" w:rsidP="00035EFF">
            <w:pPr>
              <w:ind w:left="0" w:right="0"/>
            </w:pPr>
            <w:r w:rsidRPr="009934FA">
              <w:t>623</w:t>
            </w:r>
          </w:p>
        </w:tc>
        <w:tc>
          <w:tcPr>
            <w:tcW w:w="900" w:type="dxa"/>
          </w:tcPr>
          <w:p w14:paraId="604D1417" w14:textId="77777777" w:rsidR="00DA1E22" w:rsidRPr="009934FA" w:rsidRDefault="00DA1E22" w:rsidP="00035EFF">
            <w:pPr>
              <w:ind w:left="0" w:right="0"/>
            </w:pPr>
            <w:r w:rsidRPr="009934FA">
              <w:t>961</w:t>
            </w:r>
          </w:p>
        </w:tc>
        <w:tc>
          <w:tcPr>
            <w:tcW w:w="900" w:type="dxa"/>
          </w:tcPr>
          <w:p w14:paraId="0808A481" w14:textId="77777777" w:rsidR="00DA1E22" w:rsidRPr="009934FA" w:rsidRDefault="00DA1E22" w:rsidP="00035EFF">
            <w:pPr>
              <w:ind w:left="0" w:right="0"/>
            </w:pPr>
            <w:r w:rsidRPr="009934FA">
              <w:t>996</w:t>
            </w:r>
          </w:p>
        </w:tc>
      </w:tr>
      <w:tr w:rsidR="00791011" w:rsidRPr="009934FA" w14:paraId="74DA2283" w14:textId="77777777" w:rsidTr="00402097">
        <w:trPr>
          <w:trHeight w:val="416"/>
        </w:trPr>
        <w:tc>
          <w:tcPr>
            <w:tcW w:w="1634" w:type="dxa"/>
            <w:vMerge w:val="restart"/>
          </w:tcPr>
          <w:p w14:paraId="42DAC680" w14:textId="77777777" w:rsidR="00DA1E22" w:rsidRPr="009934FA" w:rsidRDefault="00DA1E22" w:rsidP="00035EFF">
            <w:pPr>
              <w:ind w:left="0" w:right="0"/>
            </w:pPr>
            <w:r w:rsidRPr="009934FA">
              <w:t>Safety endpoint</w:t>
            </w:r>
          </w:p>
        </w:tc>
        <w:tc>
          <w:tcPr>
            <w:tcW w:w="7472" w:type="dxa"/>
            <w:gridSpan w:val="7"/>
          </w:tcPr>
          <w:p w14:paraId="5DFE0386" w14:textId="21344D07" w:rsidR="00DA1E22" w:rsidRPr="009934FA" w:rsidRDefault="00DA1E22" w:rsidP="00035EFF">
            <w:pPr>
              <w:ind w:left="0" w:right="0"/>
              <w:rPr>
                <w:b/>
              </w:rPr>
            </w:pPr>
            <w:r w:rsidRPr="009934FA">
              <w:rPr>
                <w:b/>
              </w:rPr>
              <w:t>Rate of confirmed hypoglycaemic episodes per 100 PYE</w:t>
            </w:r>
          </w:p>
        </w:tc>
      </w:tr>
      <w:tr w:rsidR="00402097" w:rsidRPr="009934FA" w14:paraId="7121CA95" w14:textId="77777777" w:rsidTr="00402097">
        <w:trPr>
          <w:trHeight w:val="274"/>
        </w:trPr>
        <w:tc>
          <w:tcPr>
            <w:tcW w:w="1634" w:type="dxa"/>
            <w:vMerge/>
          </w:tcPr>
          <w:p w14:paraId="6F6AFEF0" w14:textId="77777777" w:rsidR="00DA1E22" w:rsidRPr="009934FA" w:rsidRDefault="00DA1E22" w:rsidP="00035EFF">
            <w:pPr>
              <w:ind w:left="0" w:right="0"/>
            </w:pPr>
          </w:p>
        </w:tc>
        <w:tc>
          <w:tcPr>
            <w:tcW w:w="992" w:type="dxa"/>
          </w:tcPr>
          <w:p w14:paraId="76C3270F" w14:textId="77777777" w:rsidR="00DA1E22" w:rsidRPr="009934FA" w:rsidRDefault="00DA1E22" w:rsidP="00035EFF">
            <w:pPr>
              <w:ind w:left="0" w:right="0"/>
            </w:pPr>
            <w:r w:rsidRPr="009934FA">
              <w:t>IDeg</w:t>
            </w:r>
          </w:p>
        </w:tc>
        <w:tc>
          <w:tcPr>
            <w:tcW w:w="1169" w:type="dxa"/>
          </w:tcPr>
          <w:p w14:paraId="37BE5D9D" w14:textId="77777777" w:rsidR="00DA1E22" w:rsidRPr="009934FA" w:rsidRDefault="00DA1E22" w:rsidP="00035EFF">
            <w:pPr>
              <w:ind w:left="0" w:right="0"/>
            </w:pPr>
            <w:r w:rsidRPr="009934FA">
              <w:t>IGlar</w:t>
            </w:r>
          </w:p>
        </w:tc>
        <w:tc>
          <w:tcPr>
            <w:tcW w:w="1262" w:type="dxa"/>
          </w:tcPr>
          <w:p w14:paraId="1D1A30EB" w14:textId="77777777" w:rsidR="00DA1E22" w:rsidRPr="009934FA" w:rsidRDefault="00DA1E22" w:rsidP="00035EFF">
            <w:pPr>
              <w:ind w:left="0" w:right="0"/>
            </w:pPr>
            <w:r w:rsidRPr="009934FA">
              <w:t>IDeg</w:t>
            </w:r>
          </w:p>
        </w:tc>
        <w:tc>
          <w:tcPr>
            <w:tcW w:w="1170" w:type="dxa"/>
          </w:tcPr>
          <w:p w14:paraId="10D37BE5" w14:textId="77777777" w:rsidR="00DA1E22" w:rsidRPr="009934FA" w:rsidRDefault="00DA1E22" w:rsidP="00035EFF">
            <w:pPr>
              <w:ind w:left="0" w:right="0"/>
            </w:pPr>
            <w:r w:rsidRPr="009934FA">
              <w:t>IDet</w:t>
            </w:r>
          </w:p>
        </w:tc>
        <w:tc>
          <w:tcPr>
            <w:tcW w:w="1079" w:type="dxa"/>
          </w:tcPr>
          <w:p w14:paraId="1C44AF79" w14:textId="77777777" w:rsidR="00DA1E22" w:rsidRPr="009934FA" w:rsidRDefault="00DA1E22" w:rsidP="00035EFF">
            <w:pPr>
              <w:ind w:left="0" w:right="0"/>
            </w:pPr>
            <w:r w:rsidRPr="009934FA">
              <w:t>IDeg Flex</w:t>
            </w:r>
          </w:p>
        </w:tc>
        <w:tc>
          <w:tcPr>
            <w:tcW w:w="900" w:type="dxa"/>
          </w:tcPr>
          <w:p w14:paraId="120C800A" w14:textId="77777777" w:rsidR="00DA1E22" w:rsidRPr="009934FA" w:rsidRDefault="00DA1E22" w:rsidP="00035EFF">
            <w:pPr>
              <w:ind w:left="0" w:right="0"/>
            </w:pPr>
            <w:r w:rsidRPr="009934FA">
              <w:t>IDeg OD</w:t>
            </w:r>
          </w:p>
        </w:tc>
        <w:tc>
          <w:tcPr>
            <w:tcW w:w="900" w:type="dxa"/>
          </w:tcPr>
          <w:p w14:paraId="0498B343" w14:textId="77777777" w:rsidR="00DA1E22" w:rsidRPr="009934FA" w:rsidRDefault="00DA1E22" w:rsidP="00035EFF">
            <w:pPr>
              <w:ind w:left="0" w:right="0"/>
            </w:pPr>
            <w:r w:rsidRPr="009934FA">
              <w:t>IGlar OD</w:t>
            </w:r>
          </w:p>
        </w:tc>
      </w:tr>
      <w:tr w:rsidR="00402097" w:rsidRPr="009934FA" w14:paraId="2DFF9717" w14:textId="77777777" w:rsidTr="00402097">
        <w:trPr>
          <w:trHeight w:val="264"/>
        </w:trPr>
        <w:tc>
          <w:tcPr>
            <w:tcW w:w="1634" w:type="dxa"/>
            <w:vMerge/>
          </w:tcPr>
          <w:p w14:paraId="3865ADA4" w14:textId="77777777" w:rsidR="00DA1E22" w:rsidRPr="009934FA" w:rsidRDefault="00DA1E22" w:rsidP="00035EFF">
            <w:pPr>
              <w:ind w:left="0" w:right="0"/>
            </w:pPr>
          </w:p>
        </w:tc>
        <w:tc>
          <w:tcPr>
            <w:tcW w:w="992" w:type="dxa"/>
          </w:tcPr>
          <w:p w14:paraId="2FC33BA1" w14:textId="77777777" w:rsidR="00DA1E22" w:rsidRPr="009934FA" w:rsidRDefault="00DA1E22" w:rsidP="00035EFF">
            <w:pPr>
              <w:ind w:left="0" w:right="0"/>
            </w:pPr>
            <w:r w:rsidRPr="009934FA">
              <w:t>4254</w:t>
            </w:r>
          </w:p>
        </w:tc>
        <w:tc>
          <w:tcPr>
            <w:tcW w:w="1169" w:type="dxa"/>
          </w:tcPr>
          <w:p w14:paraId="6FD35B2A" w14:textId="77777777" w:rsidR="00DA1E22" w:rsidRPr="009934FA" w:rsidRDefault="00DA1E22" w:rsidP="00035EFF">
            <w:pPr>
              <w:ind w:left="0" w:right="0"/>
            </w:pPr>
            <w:r w:rsidRPr="009934FA">
              <w:t>4018</w:t>
            </w:r>
          </w:p>
        </w:tc>
        <w:tc>
          <w:tcPr>
            <w:tcW w:w="1262" w:type="dxa"/>
          </w:tcPr>
          <w:p w14:paraId="1A5D45A2" w14:textId="77777777" w:rsidR="00DA1E22" w:rsidRPr="009934FA" w:rsidRDefault="00DA1E22" w:rsidP="00035EFF">
            <w:pPr>
              <w:ind w:left="0" w:right="0"/>
            </w:pPr>
            <w:r w:rsidRPr="009934FA">
              <w:t>4583</w:t>
            </w:r>
          </w:p>
        </w:tc>
        <w:tc>
          <w:tcPr>
            <w:tcW w:w="1170" w:type="dxa"/>
          </w:tcPr>
          <w:p w14:paraId="07451692" w14:textId="77777777" w:rsidR="00DA1E22" w:rsidRPr="009934FA" w:rsidRDefault="00DA1E22" w:rsidP="00035EFF">
            <w:pPr>
              <w:ind w:left="0" w:right="0"/>
            </w:pPr>
            <w:r w:rsidRPr="009934FA">
              <w:t>4569</w:t>
            </w:r>
          </w:p>
        </w:tc>
        <w:tc>
          <w:tcPr>
            <w:tcW w:w="1079" w:type="dxa"/>
          </w:tcPr>
          <w:p w14:paraId="007F93CB" w14:textId="77777777" w:rsidR="00DA1E22" w:rsidRPr="009934FA" w:rsidRDefault="00DA1E22" w:rsidP="00035EFF">
            <w:pPr>
              <w:ind w:left="0" w:right="0"/>
            </w:pPr>
            <w:r w:rsidRPr="009934FA">
              <w:t>8238</w:t>
            </w:r>
          </w:p>
        </w:tc>
        <w:tc>
          <w:tcPr>
            <w:tcW w:w="900" w:type="dxa"/>
          </w:tcPr>
          <w:p w14:paraId="3955816D" w14:textId="77777777" w:rsidR="00DA1E22" w:rsidRPr="009934FA" w:rsidRDefault="00DA1E22" w:rsidP="00035EFF">
            <w:pPr>
              <w:ind w:left="0" w:right="0"/>
            </w:pPr>
            <w:r w:rsidRPr="009934FA">
              <w:t>8825</w:t>
            </w:r>
          </w:p>
        </w:tc>
        <w:tc>
          <w:tcPr>
            <w:tcW w:w="900" w:type="dxa"/>
          </w:tcPr>
          <w:p w14:paraId="205312A9" w14:textId="77777777" w:rsidR="00DA1E22" w:rsidRPr="009934FA" w:rsidRDefault="00DA1E22" w:rsidP="00035EFF">
            <w:pPr>
              <w:ind w:left="0" w:right="0"/>
            </w:pPr>
            <w:r w:rsidRPr="009934FA">
              <w:t>7973</w:t>
            </w:r>
          </w:p>
        </w:tc>
      </w:tr>
    </w:tbl>
    <w:p w14:paraId="26C8E564" w14:textId="0414E4DB" w:rsidR="00213303" w:rsidRDefault="00213303" w:rsidP="00606A05">
      <w:pPr>
        <w:pStyle w:val="TableDescription"/>
      </w:pPr>
      <w:r>
        <w:t>OD=once daily</w:t>
      </w:r>
    </w:p>
    <w:p w14:paraId="768B910B" w14:textId="626816B1" w:rsidR="003516D7" w:rsidRPr="009934FA" w:rsidRDefault="003516D7" w:rsidP="003516D7">
      <w:r w:rsidRPr="009934FA">
        <w:t>The clinical trials in T2DM included both patients who were insulin naïve and those previously been treated with insulin. IDeg was used in combination with metformin and a variety of other oral hypoglycaemic agents includ</w:t>
      </w:r>
      <w:r w:rsidR="008D3BBD">
        <w:t>ing sulphonylurea or glinide, DP</w:t>
      </w:r>
      <w:r w:rsidRPr="009934FA">
        <w:t xml:space="preserve">P-4 </w:t>
      </w:r>
      <w:r w:rsidRPr="009934FA">
        <w:lastRenderedPageBreak/>
        <w:t>inhibitors, pioglitazone and alpha glucosidase inhibitors. The studies did not include patients treated with GLP-</w:t>
      </w:r>
      <w:r w:rsidR="008D3BBD">
        <w:t>1 agonists or SGLT-2 inhibitors.</w:t>
      </w:r>
    </w:p>
    <w:p w14:paraId="63484243" w14:textId="5A3AB2D9" w:rsidR="003516D7" w:rsidRPr="009934FA" w:rsidRDefault="003516D7" w:rsidP="003516D7">
      <w:r w:rsidRPr="009934FA">
        <w:t>The studies successfully met the non-inferiority criteria for the primar</w:t>
      </w:r>
      <w:r w:rsidR="008D3BBD">
        <w:t>y efficacy outcome change from b</w:t>
      </w:r>
      <w:r w:rsidRPr="009934FA">
        <w:t>aseline HbA1c also in the secondary criteria change in fasting plasma glucose and the proportion of subjects with HbA1c &lt; 7% without confirmed hypoglycaemia. There were numerically less nocturnal and overall confirmed hypos with IDeg compared to other basal insulins.</w:t>
      </w:r>
    </w:p>
    <w:p w14:paraId="6622FA80" w14:textId="3CD79C01" w:rsidR="003516D7" w:rsidRPr="009934FA" w:rsidRDefault="003516D7" w:rsidP="003516D7">
      <w:r w:rsidRPr="009934FA">
        <w:t>No differences were observed between IDeg and comparators in terms of vital signs, lipid profiles, CV biomarkers and QTc/ECG changes.</w:t>
      </w:r>
      <w:r w:rsidR="00BD4CFD">
        <w:rPr>
          <w:rStyle w:val="FootnoteReference"/>
        </w:rPr>
        <w:footnoteReference w:id="14"/>
      </w:r>
    </w:p>
    <w:p w14:paraId="66F0EB7F" w14:textId="0CE0747A" w:rsidR="003516D7" w:rsidRDefault="003516D7" w:rsidP="003516D7">
      <w:r w:rsidRPr="009934FA">
        <w:t>In Study 3580 of the flexible regime in T2DM, 58% of subjects did not alter their injection time, 19% changed the dosing time once and 22% changed the dosing time 3 or more times. This raises questions of the internal and external validity of the results.</w:t>
      </w:r>
    </w:p>
    <w:p w14:paraId="0BA6C85C" w14:textId="186138FB" w:rsidR="002F5D00" w:rsidRDefault="002F5D00" w:rsidP="003516D7">
      <w:r>
        <w:t>T2DM studies are summarised below in Table 15.</w:t>
      </w:r>
    </w:p>
    <w:p w14:paraId="199FC337" w14:textId="3E2118FC" w:rsidR="00987ED8" w:rsidRPr="009934FA" w:rsidRDefault="00987ED8" w:rsidP="00987ED8">
      <w:pPr>
        <w:pStyle w:val="Tabletitle0"/>
      </w:pPr>
      <w:r>
        <w:t>Table 15</w:t>
      </w:r>
      <w:r w:rsidR="006C50FE">
        <w:t xml:space="preserve">: </w:t>
      </w:r>
      <w:r>
        <w:t>T2DM study summaries</w:t>
      </w:r>
    </w:p>
    <w:tbl>
      <w:tblPr>
        <w:tblStyle w:val="TableGrid"/>
        <w:tblW w:w="9543" w:type="dxa"/>
        <w:tblInd w:w="-164" w:type="dxa"/>
        <w:tblLayout w:type="fixed"/>
        <w:tblLook w:val="04A0" w:firstRow="1" w:lastRow="0" w:firstColumn="1" w:lastColumn="0" w:noHBand="0" w:noVBand="1"/>
        <w:tblDescription w:val="Table 15: T2DM study summaries"/>
      </w:tblPr>
      <w:tblGrid>
        <w:gridCol w:w="1171"/>
        <w:gridCol w:w="719"/>
        <w:gridCol w:w="630"/>
        <w:gridCol w:w="633"/>
        <w:gridCol w:w="630"/>
        <w:gridCol w:w="630"/>
        <w:gridCol w:w="630"/>
        <w:gridCol w:w="630"/>
        <w:gridCol w:w="630"/>
        <w:gridCol w:w="630"/>
        <w:gridCol w:w="630"/>
        <w:gridCol w:w="630"/>
        <w:gridCol w:w="630"/>
        <w:gridCol w:w="720"/>
      </w:tblGrid>
      <w:tr w:rsidR="00E00989" w:rsidRPr="009934FA" w14:paraId="37ED3739" w14:textId="77777777" w:rsidTr="002F5D00">
        <w:trPr>
          <w:cantSplit/>
          <w:trHeight w:val="365"/>
          <w:tblHeader/>
        </w:trPr>
        <w:tc>
          <w:tcPr>
            <w:tcW w:w="1171" w:type="dxa"/>
            <w:shd w:val="clear" w:color="auto" w:fill="0070B5" w:themeFill="text2" w:themeFillTint="BF"/>
          </w:tcPr>
          <w:p w14:paraId="2CC04B24" w14:textId="77777777" w:rsidR="002C4648" w:rsidRPr="002E6E17" w:rsidRDefault="002C4648" w:rsidP="002C4648">
            <w:pPr>
              <w:rPr>
                <w:b/>
                <w:color w:val="FFFFFF" w:themeColor="background1"/>
                <w:sz w:val="18"/>
                <w:szCs w:val="20"/>
              </w:rPr>
            </w:pPr>
            <w:r w:rsidRPr="002E6E17">
              <w:rPr>
                <w:b/>
                <w:color w:val="FFFFFF" w:themeColor="background1"/>
                <w:sz w:val="18"/>
                <w:szCs w:val="20"/>
              </w:rPr>
              <w:t>Parameter</w:t>
            </w:r>
          </w:p>
        </w:tc>
        <w:tc>
          <w:tcPr>
            <w:tcW w:w="1349" w:type="dxa"/>
            <w:gridSpan w:val="2"/>
            <w:shd w:val="clear" w:color="auto" w:fill="0070B5" w:themeFill="text2" w:themeFillTint="BF"/>
          </w:tcPr>
          <w:p w14:paraId="680F779F" w14:textId="77777777" w:rsidR="002C4648" w:rsidRPr="002E6E17" w:rsidRDefault="002C4648" w:rsidP="002C4648">
            <w:pPr>
              <w:rPr>
                <w:b/>
                <w:color w:val="FFFFFF" w:themeColor="background1"/>
                <w:sz w:val="18"/>
                <w:szCs w:val="20"/>
              </w:rPr>
            </w:pPr>
            <w:r w:rsidRPr="002E6E17">
              <w:rPr>
                <w:b/>
                <w:color w:val="FFFFFF" w:themeColor="background1"/>
                <w:sz w:val="18"/>
                <w:szCs w:val="20"/>
              </w:rPr>
              <w:t>Study 3582</w:t>
            </w:r>
          </w:p>
        </w:tc>
        <w:tc>
          <w:tcPr>
            <w:tcW w:w="1263" w:type="dxa"/>
            <w:gridSpan w:val="2"/>
            <w:shd w:val="clear" w:color="auto" w:fill="0070B5" w:themeFill="text2" w:themeFillTint="BF"/>
          </w:tcPr>
          <w:p w14:paraId="346CFCE8" w14:textId="77777777" w:rsidR="002C4648" w:rsidRPr="002E6E17" w:rsidRDefault="002C4648" w:rsidP="002C4648">
            <w:pPr>
              <w:rPr>
                <w:b/>
                <w:color w:val="FFFFFF" w:themeColor="background1"/>
                <w:sz w:val="18"/>
                <w:szCs w:val="20"/>
              </w:rPr>
            </w:pPr>
            <w:r w:rsidRPr="002E6E17">
              <w:rPr>
                <w:b/>
                <w:color w:val="FFFFFF" w:themeColor="background1"/>
                <w:sz w:val="18"/>
                <w:szCs w:val="20"/>
              </w:rPr>
              <w:t>Study 3579</w:t>
            </w:r>
          </w:p>
        </w:tc>
        <w:tc>
          <w:tcPr>
            <w:tcW w:w="1260" w:type="dxa"/>
            <w:gridSpan w:val="2"/>
            <w:shd w:val="clear" w:color="auto" w:fill="0070B5" w:themeFill="text2" w:themeFillTint="BF"/>
          </w:tcPr>
          <w:p w14:paraId="542F2A92" w14:textId="77777777" w:rsidR="002C4648" w:rsidRPr="002E6E17" w:rsidRDefault="002C4648" w:rsidP="002C4648">
            <w:pPr>
              <w:rPr>
                <w:b/>
                <w:color w:val="FFFFFF" w:themeColor="background1"/>
                <w:sz w:val="18"/>
                <w:szCs w:val="20"/>
              </w:rPr>
            </w:pPr>
            <w:r w:rsidRPr="002E6E17">
              <w:rPr>
                <w:b/>
                <w:color w:val="FFFFFF" w:themeColor="background1"/>
                <w:sz w:val="18"/>
                <w:szCs w:val="20"/>
              </w:rPr>
              <w:t>Study 3672</w:t>
            </w:r>
          </w:p>
        </w:tc>
        <w:tc>
          <w:tcPr>
            <w:tcW w:w="1260" w:type="dxa"/>
            <w:gridSpan w:val="2"/>
            <w:shd w:val="clear" w:color="auto" w:fill="0070B5" w:themeFill="text2" w:themeFillTint="BF"/>
          </w:tcPr>
          <w:p w14:paraId="3080F829" w14:textId="57F5988F" w:rsidR="002C4648" w:rsidRPr="002E6E17" w:rsidRDefault="002C4648" w:rsidP="002C4648">
            <w:pPr>
              <w:rPr>
                <w:b/>
                <w:color w:val="FFFFFF" w:themeColor="background1"/>
                <w:sz w:val="18"/>
                <w:szCs w:val="20"/>
              </w:rPr>
            </w:pPr>
            <w:r w:rsidRPr="002E6E17">
              <w:rPr>
                <w:b/>
                <w:color w:val="FFFFFF" w:themeColor="background1"/>
                <w:sz w:val="18"/>
                <w:szCs w:val="20"/>
              </w:rPr>
              <w:t>Study 3586</w:t>
            </w:r>
          </w:p>
        </w:tc>
        <w:tc>
          <w:tcPr>
            <w:tcW w:w="1890" w:type="dxa"/>
            <w:gridSpan w:val="3"/>
            <w:shd w:val="clear" w:color="auto" w:fill="0070B5" w:themeFill="text2" w:themeFillTint="BF"/>
          </w:tcPr>
          <w:p w14:paraId="5EBCFD8E" w14:textId="77777777" w:rsidR="002C4648" w:rsidRPr="002E6E17" w:rsidRDefault="002C4648" w:rsidP="002C4648">
            <w:pPr>
              <w:rPr>
                <w:b/>
                <w:color w:val="FFFFFF" w:themeColor="background1"/>
                <w:sz w:val="18"/>
                <w:szCs w:val="20"/>
              </w:rPr>
            </w:pPr>
            <w:r w:rsidRPr="002E6E17">
              <w:rPr>
                <w:b/>
                <w:color w:val="FFFFFF" w:themeColor="background1"/>
                <w:sz w:val="18"/>
                <w:szCs w:val="20"/>
              </w:rPr>
              <w:t>Study 3668</w:t>
            </w:r>
          </w:p>
        </w:tc>
        <w:tc>
          <w:tcPr>
            <w:tcW w:w="1350" w:type="dxa"/>
            <w:gridSpan w:val="2"/>
            <w:shd w:val="clear" w:color="auto" w:fill="0070B5" w:themeFill="text2" w:themeFillTint="BF"/>
          </w:tcPr>
          <w:p w14:paraId="1358276D" w14:textId="7FC26C97" w:rsidR="002C4648" w:rsidRPr="002E6E17" w:rsidRDefault="00987ED8" w:rsidP="002C4648">
            <w:pPr>
              <w:rPr>
                <w:b/>
                <w:color w:val="FFFFFF" w:themeColor="background1"/>
                <w:sz w:val="18"/>
                <w:szCs w:val="20"/>
              </w:rPr>
            </w:pPr>
            <w:r>
              <w:rPr>
                <w:b/>
                <w:color w:val="FFFFFF" w:themeColor="background1"/>
                <w:sz w:val="18"/>
                <w:szCs w:val="20"/>
              </w:rPr>
              <w:t>Study 3580</w:t>
            </w:r>
          </w:p>
        </w:tc>
      </w:tr>
      <w:tr w:rsidR="005A30C6" w:rsidRPr="009934FA" w14:paraId="4738CFA1" w14:textId="77777777" w:rsidTr="002E6E17">
        <w:trPr>
          <w:trHeight w:val="365"/>
        </w:trPr>
        <w:tc>
          <w:tcPr>
            <w:tcW w:w="1171" w:type="dxa"/>
          </w:tcPr>
          <w:p w14:paraId="226C4925" w14:textId="77777777" w:rsidR="002C4648" w:rsidRPr="00EA5C2D" w:rsidRDefault="002C4648" w:rsidP="00EA5C2D">
            <w:pPr>
              <w:pStyle w:val="Tabletext"/>
            </w:pPr>
            <w:r w:rsidRPr="00EA5C2D">
              <w:t>Design</w:t>
            </w:r>
          </w:p>
        </w:tc>
        <w:tc>
          <w:tcPr>
            <w:tcW w:w="1349" w:type="dxa"/>
            <w:gridSpan w:val="2"/>
          </w:tcPr>
          <w:p w14:paraId="18AC407D" w14:textId="16CD7335" w:rsidR="002C4648" w:rsidRPr="00EA5C2D" w:rsidRDefault="002C4648" w:rsidP="00EA5C2D">
            <w:pPr>
              <w:pStyle w:val="Tabletext"/>
            </w:pPr>
            <w:r w:rsidRPr="00EA5C2D">
              <w:t xml:space="preserve">52 week efficacy and safety study comparing </w:t>
            </w:r>
            <w:proofErr w:type="spellStart"/>
            <w:r w:rsidR="002E6E17" w:rsidRPr="00EA5C2D">
              <w:t>IDeg</w:t>
            </w:r>
            <w:proofErr w:type="spellEnd"/>
            <w:r w:rsidR="002E6E17" w:rsidRPr="00EA5C2D">
              <w:t xml:space="preserve"> OD and </w:t>
            </w:r>
            <w:proofErr w:type="spellStart"/>
            <w:r w:rsidR="002E6E17" w:rsidRPr="00EA5C2D">
              <w:t>IGlar</w:t>
            </w:r>
            <w:proofErr w:type="spellEnd"/>
            <w:r w:rsidR="002E6E17" w:rsidRPr="00EA5C2D">
              <w:t xml:space="preserve"> OD in a basal </w:t>
            </w:r>
            <w:r w:rsidRPr="00EA5C2D">
              <w:t>bolus regimen w</w:t>
            </w:r>
            <w:r w:rsidR="002E6E17" w:rsidRPr="00EA5C2D">
              <w:t xml:space="preserve">ith </w:t>
            </w:r>
            <w:proofErr w:type="spellStart"/>
            <w:r w:rsidR="002E6E17" w:rsidRPr="00EA5C2D">
              <w:t>IAsp</w:t>
            </w:r>
            <w:proofErr w:type="spellEnd"/>
            <w:r w:rsidR="002E6E17" w:rsidRPr="00EA5C2D">
              <w:t xml:space="preserve"> in insulin; treated adult subjects ± OADs: </w:t>
            </w:r>
            <w:r w:rsidRPr="00EA5C2D">
              <w:t>±</w:t>
            </w:r>
            <w:r w:rsidR="002E6E17" w:rsidRPr="00EA5C2D">
              <w:t> metformin ± pioglitazone</w:t>
            </w:r>
          </w:p>
        </w:tc>
        <w:tc>
          <w:tcPr>
            <w:tcW w:w="1263" w:type="dxa"/>
            <w:gridSpan w:val="2"/>
          </w:tcPr>
          <w:p w14:paraId="6EE418AA" w14:textId="0FCAE551" w:rsidR="002C4648" w:rsidRPr="00EA5C2D" w:rsidRDefault="002C4648" w:rsidP="00EA5C2D">
            <w:pPr>
              <w:pStyle w:val="Tabletext"/>
            </w:pPr>
            <w:r w:rsidRPr="00EA5C2D">
              <w:t xml:space="preserve">52 week efficacy and safety study comparing </w:t>
            </w:r>
            <w:proofErr w:type="spellStart"/>
            <w:r w:rsidRPr="00EA5C2D">
              <w:t>IDeg</w:t>
            </w:r>
            <w:proofErr w:type="spellEnd"/>
            <w:r w:rsidRPr="00EA5C2D">
              <w:t xml:space="preserve"> OD and </w:t>
            </w:r>
            <w:proofErr w:type="spellStart"/>
            <w:r w:rsidRPr="00EA5C2D">
              <w:t>IGlar</w:t>
            </w:r>
            <w:proofErr w:type="spellEnd"/>
            <w:r w:rsidRPr="00EA5C2D">
              <w:t xml:space="preserve"> OD in insulin-naïve subje</w:t>
            </w:r>
            <w:r w:rsidR="002E6E17" w:rsidRPr="00EA5C2D">
              <w:t xml:space="preserve">cts with T2DM treated with OADs: </w:t>
            </w:r>
            <w:r w:rsidRPr="00EA5C2D">
              <w:t>metformin ±</w:t>
            </w:r>
            <w:r w:rsidR="00E00989" w:rsidRPr="00EA5C2D">
              <w:t xml:space="preserve"> </w:t>
            </w:r>
            <w:r w:rsidRPr="00EA5C2D">
              <w:t>DDP-4I</w:t>
            </w:r>
          </w:p>
        </w:tc>
        <w:tc>
          <w:tcPr>
            <w:tcW w:w="1260" w:type="dxa"/>
            <w:gridSpan w:val="2"/>
          </w:tcPr>
          <w:p w14:paraId="0889AED0" w14:textId="5C05C24D" w:rsidR="002C4648" w:rsidRPr="00EA5C2D" w:rsidRDefault="002C4648" w:rsidP="00EA5C2D">
            <w:pPr>
              <w:pStyle w:val="Tabletext"/>
            </w:pPr>
            <w:r w:rsidRPr="00EA5C2D">
              <w:t xml:space="preserve">26 week efficacy and safety study comparing </w:t>
            </w:r>
            <w:proofErr w:type="spellStart"/>
            <w:r w:rsidRPr="00EA5C2D">
              <w:t>IDeg</w:t>
            </w:r>
            <w:proofErr w:type="spellEnd"/>
            <w:r w:rsidRPr="00EA5C2D">
              <w:t xml:space="preserve"> OD (200 U/mL) and </w:t>
            </w:r>
            <w:proofErr w:type="spellStart"/>
            <w:r w:rsidRPr="00EA5C2D">
              <w:t>IGlar</w:t>
            </w:r>
            <w:proofErr w:type="spellEnd"/>
            <w:r w:rsidRPr="00EA5C2D">
              <w:t xml:space="preserve"> OD in insulin-naïve subjec</w:t>
            </w:r>
            <w:r w:rsidR="002E6E17" w:rsidRPr="00EA5C2D">
              <w:t xml:space="preserve">ts with T2DM treated with OADs: </w:t>
            </w:r>
            <w:r w:rsidRPr="00EA5C2D">
              <w:t>metformin ±</w:t>
            </w:r>
            <w:r w:rsidR="005A30C6" w:rsidRPr="00EA5C2D">
              <w:t xml:space="preserve"> </w:t>
            </w:r>
            <w:r w:rsidRPr="00EA5C2D">
              <w:t>DDP-4I</w:t>
            </w:r>
          </w:p>
        </w:tc>
        <w:tc>
          <w:tcPr>
            <w:tcW w:w="1260" w:type="dxa"/>
            <w:gridSpan w:val="2"/>
          </w:tcPr>
          <w:p w14:paraId="25041FC1" w14:textId="02A0B97A" w:rsidR="002C4648" w:rsidRPr="00EA5C2D" w:rsidRDefault="002C4648" w:rsidP="00EA5C2D">
            <w:pPr>
              <w:pStyle w:val="Tabletext"/>
            </w:pPr>
            <w:r w:rsidRPr="00EA5C2D">
              <w:t xml:space="preserve">26 week Pan Asian efficacy and safety study comparing </w:t>
            </w:r>
            <w:proofErr w:type="spellStart"/>
            <w:r w:rsidRPr="00EA5C2D">
              <w:t>IDeg</w:t>
            </w:r>
            <w:proofErr w:type="spellEnd"/>
            <w:r w:rsidRPr="00EA5C2D">
              <w:t xml:space="preserve"> OD and </w:t>
            </w:r>
            <w:proofErr w:type="spellStart"/>
            <w:r w:rsidRPr="00EA5C2D">
              <w:t>IGlar</w:t>
            </w:r>
            <w:proofErr w:type="spellEnd"/>
            <w:r w:rsidRPr="00EA5C2D">
              <w:t xml:space="preserve"> OD in insulin-naïve subjects with T2DM treated with OADs</w:t>
            </w:r>
            <w:r w:rsidR="002E6E17" w:rsidRPr="00EA5C2D">
              <w:t>: ± </w:t>
            </w:r>
            <w:r w:rsidRPr="00EA5C2D">
              <w:t xml:space="preserve">metformin ± insulin </w:t>
            </w:r>
            <w:proofErr w:type="spellStart"/>
            <w:r w:rsidRPr="00EA5C2D">
              <w:t>secretogogue</w:t>
            </w:r>
            <w:proofErr w:type="spellEnd"/>
            <w:r w:rsidRPr="00EA5C2D">
              <w:t xml:space="preserve"> ± α-GI</w:t>
            </w:r>
          </w:p>
        </w:tc>
        <w:tc>
          <w:tcPr>
            <w:tcW w:w="1890" w:type="dxa"/>
            <w:gridSpan w:val="3"/>
          </w:tcPr>
          <w:p w14:paraId="675C9A17" w14:textId="44572533" w:rsidR="002C4648" w:rsidRPr="00EA5C2D" w:rsidRDefault="002C4648" w:rsidP="00EA5C2D">
            <w:pPr>
              <w:pStyle w:val="Tabletext"/>
            </w:pPr>
            <w:r w:rsidRPr="00EA5C2D">
              <w:t xml:space="preserve">26 week efficacy and safety study comparing </w:t>
            </w:r>
            <w:proofErr w:type="spellStart"/>
            <w:r w:rsidRPr="00EA5C2D">
              <w:t>IDeg</w:t>
            </w:r>
            <w:proofErr w:type="spellEnd"/>
            <w:r w:rsidRPr="00EA5C2D">
              <w:t xml:space="preserve"> flexible dosing vs. </w:t>
            </w:r>
            <w:proofErr w:type="spellStart"/>
            <w:r w:rsidRPr="00EA5C2D">
              <w:t>IGlar</w:t>
            </w:r>
            <w:proofErr w:type="spellEnd"/>
            <w:r w:rsidRPr="00EA5C2D">
              <w:t xml:space="preserve"> and </w:t>
            </w:r>
            <w:proofErr w:type="spellStart"/>
            <w:r w:rsidRPr="00EA5C2D">
              <w:t>IDeg</w:t>
            </w:r>
            <w:proofErr w:type="spellEnd"/>
            <w:r w:rsidRPr="00EA5C2D">
              <w:t xml:space="preserve"> OD vs. </w:t>
            </w:r>
            <w:proofErr w:type="spellStart"/>
            <w:r w:rsidRPr="00EA5C2D">
              <w:t>IGlar</w:t>
            </w:r>
            <w:proofErr w:type="spellEnd"/>
            <w:r w:rsidRPr="00EA5C2D">
              <w:t xml:space="preserve"> OD in subjects with T2DM treated with OADs</w:t>
            </w:r>
            <w:r w:rsidR="002E6E17" w:rsidRPr="00EA5C2D">
              <w:t xml:space="preserve"> alone or basal insulin ± OADs: </w:t>
            </w:r>
            <w:r w:rsidRPr="00EA5C2D">
              <w:t>± met</w:t>
            </w:r>
            <w:r w:rsidR="002E6E17" w:rsidRPr="00EA5C2D">
              <w:t xml:space="preserve">formin ± insulin </w:t>
            </w:r>
            <w:proofErr w:type="spellStart"/>
            <w:r w:rsidR="002E6E17" w:rsidRPr="00EA5C2D">
              <w:t>secretogogue</w:t>
            </w:r>
            <w:proofErr w:type="spellEnd"/>
            <w:r w:rsidR="002E6E17" w:rsidRPr="00EA5C2D">
              <w:t xml:space="preserve"> ± </w:t>
            </w:r>
            <w:r w:rsidRPr="00EA5C2D">
              <w:t>pioglitazone</w:t>
            </w:r>
          </w:p>
        </w:tc>
        <w:tc>
          <w:tcPr>
            <w:tcW w:w="1350" w:type="dxa"/>
            <w:gridSpan w:val="2"/>
          </w:tcPr>
          <w:p w14:paraId="669041CA" w14:textId="18705EA1" w:rsidR="002C4648" w:rsidRPr="00EA5C2D" w:rsidRDefault="002C4648" w:rsidP="00EA5C2D">
            <w:pPr>
              <w:pStyle w:val="Tabletext"/>
            </w:pPr>
            <w:r w:rsidRPr="00EA5C2D">
              <w:t xml:space="preserve">26 week efficacy and safety study comparing </w:t>
            </w:r>
            <w:proofErr w:type="spellStart"/>
            <w:r w:rsidRPr="00EA5C2D">
              <w:t>IDeg</w:t>
            </w:r>
            <w:proofErr w:type="spellEnd"/>
            <w:r w:rsidRPr="00EA5C2D">
              <w:t xml:space="preserve"> OD with </w:t>
            </w:r>
            <w:proofErr w:type="spellStart"/>
            <w:r w:rsidRPr="00EA5C2D">
              <w:t>sitagliptin</w:t>
            </w:r>
            <w:proofErr w:type="spellEnd"/>
            <w:r w:rsidRPr="00EA5C2D">
              <w:t xml:space="preserve"> in insulin-naïve subjects with T2DM treate</w:t>
            </w:r>
            <w:r w:rsidR="002E6E17" w:rsidRPr="00EA5C2D">
              <w:t>d with 1-2 OADs (metformin, SU/</w:t>
            </w:r>
            <w:proofErr w:type="spellStart"/>
            <w:r w:rsidRPr="00EA5C2D">
              <w:t>glinide</w:t>
            </w:r>
            <w:proofErr w:type="spellEnd"/>
            <w:r w:rsidRPr="00EA5C2D">
              <w:t xml:space="preserve"> or pioglitazone) qualifying for intensified treatment. </w:t>
            </w:r>
          </w:p>
        </w:tc>
      </w:tr>
      <w:tr w:rsidR="005A30C6" w:rsidRPr="009934FA" w14:paraId="01C8874B" w14:textId="77777777" w:rsidTr="002E6E17">
        <w:trPr>
          <w:trHeight w:val="365"/>
        </w:trPr>
        <w:tc>
          <w:tcPr>
            <w:tcW w:w="1171" w:type="dxa"/>
          </w:tcPr>
          <w:p w14:paraId="698226E2" w14:textId="7AFD2002" w:rsidR="002C4648" w:rsidRPr="00EA5C2D" w:rsidRDefault="002C4648" w:rsidP="00EA5C2D">
            <w:pPr>
              <w:pStyle w:val="Tabletext"/>
            </w:pPr>
            <w:r w:rsidRPr="00EA5C2D">
              <w:t>Treatment</w:t>
            </w:r>
          </w:p>
        </w:tc>
        <w:tc>
          <w:tcPr>
            <w:tcW w:w="1349" w:type="dxa"/>
            <w:gridSpan w:val="2"/>
          </w:tcPr>
          <w:p w14:paraId="1E4FC28B" w14:textId="7551CBA4" w:rsidR="002C4648" w:rsidRPr="00EA5C2D" w:rsidRDefault="0076594B" w:rsidP="00EA5C2D">
            <w:pPr>
              <w:pStyle w:val="Tabletext"/>
            </w:pPr>
            <w:proofErr w:type="spellStart"/>
            <w:r w:rsidRPr="00EA5C2D">
              <w:t>IDeg</w:t>
            </w:r>
            <w:proofErr w:type="spellEnd"/>
            <w:r w:rsidRPr="00EA5C2D">
              <w:t xml:space="preserve"> 100 </w:t>
            </w:r>
            <w:r w:rsidR="002C4648" w:rsidRPr="00EA5C2D">
              <w:t xml:space="preserve">U/mL OD with main evening meal or </w:t>
            </w:r>
            <w:proofErr w:type="spellStart"/>
            <w:r w:rsidR="002C4648" w:rsidRPr="00EA5C2D">
              <w:t>IGlar</w:t>
            </w:r>
            <w:proofErr w:type="spellEnd"/>
            <w:r w:rsidR="002C4648" w:rsidRPr="00EA5C2D">
              <w:t xml:space="preserve"> OD according to local label</w:t>
            </w:r>
            <w:r w:rsidRPr="00EA5C2D">
              <w:t>.</w:t>
            </w:r>
            <w:r w:rsidR="00987ED8" w:rsidRPr="00EA5C2D">
              <w:t xml:space="preserve"> </w:t>
            </w:r>
            <w:proofErr w:type="spellStart"/>
            <w:r w:rsidR="00987ED8" w:rsidRPr="00EA5C2D">
              <w:t>IAsp</w:t>
            </w:r>
            <w:proofErr w:type="spellEnd"/>
            <w:r w:rsidR="00987ED8" w:rsidRPr="00EA5C2D">
              <w:t xml:space="preserve"> as bolus mealtime insulin, ± </w:t>
            </w:r>
            <w:r w:rsidRPr="00EA5C2D">
              <w:t>metformin</w:t>
            </w:r>
            <w:r w:rsidR="00987ED8" w:rsidRPr="00EA5C2D">
              <w:t xml:space="preserve">, </w:t>
            </w:r>
            <w:r w:rsidR="002C4648" w:rsidRPr="00EA5C2D">
              <w:t>± pioglitazone</w:t>
            </w:r>
          </w:p>
        </w:tc>
        <w:tc>
          <w:tcPr>
            <w:tcW w:w="1263" w:type="dxa"/>
            <w:gridSpan w:val="2"/>
          </w:tcPr>
          <w:p w14:paraId="5E29D382" w14:textId="583C3A91" w:rsidR="002C4648" w:rsidRPr="00EA5C2D" w:rsidRDefault="002C4648" w:rsidP="00EA5C2D">
            <w:pPr>
              <w:pStyle w:val="Tabletext"/>
            </w:pPr>
            <w:proofErr w:type="spellStart"/>
            <w:r w:rsidRPr="00EA5C2D">
              <w:t>IDeg</w:t>
            </w:r>
            <w:proofErr w:type="spellEnd"/>
            <w:r w:rsidRPr="00EA5C2D">
              <w:t xml:space="preserve"> 100 U/mL OD with main evening meal or </w:t>
            </w:r>
            <w:proofErr w:type="spellStart"/>
            <w:r w:rsidRPr="00EA5C2D">
              <w:t>IGlar</w:t>
            </w:r>
            <w:proofErr w:type="spellEnd"/>
            <w:r w:rsidR="0076594B" w:rsidRPr="00EA5C2D">
              <w:t xml:space="preserve"> OD according to local label</w:t>
            </w:r>
            <w:r w:rsidR="00E00989" w:rsidRPr="00EA5C2D">
              <w:t>.</w:t>
            </w:r>
            <w:r w:rsidR="00987ED8" w:rsidRPr="00EA5C2D">
              <w:t xml:space="preserve"> ± m</w:t>
            </w:r>
            <w:r w:rsidRPr="00EA5C2D">
              <w:t>etformin</w:t>
            </w:r>
            <w:r w:rsidR="00987ED8" w:rsidRPr="00EA5C2D">
              <w:t xml:space="preserve"> </w:t>
            </w:r>
            <w:r w:rsidRPr="00EA5C2D">
              <w:t>± DDP-4I</w:t>
            </w:r>
          </w:p>
        </w:tc>
        <w:tc>
          <w:tcPr>
            <w:tcW w:w="1260" w:type="dxa"/>
            <w:gridSpan w:val="2"/>
          </w:tcPr>
          <w:p w14:paraId="7D6B850E" w14:textId="4C6CE4FF" w:rsidR="002C4648" w:rsidRPr="00EA5C2D" w:rsidRDefault="002C4648" w:rsidP="00EA5C2D">
            <w:pPr>
              <w:pStyle w:val="Tabletext"/>
            </w:pPr>
            <w:proofErr w:type="spellStart"/>
            <w:r w:rsidRPr="00EA5C2D">
              <w:t>IDeg</w:t>
            </w:r>
            <w:proofErr w:type="spellEnd"/>
            <w:r w:rsidRPr="00EA5C2D">
              <w:t xml:space="preserve"> 2</w:t>
            </w:r>
            <w:r w:rsidR="0076594B" w:rsidRPr="00EA5C2D">
              <w:t>00 </w:t>
            </w:r>
            <w:r w:rsidRPr="00EA5C2D">
              <w:t xml:space="preserve">U/mL OD with main evening meal or </w:t>
            </w:r>
            <w:proofErr w:type="spellStart"/>
            <w:r w:rsidRPr="00EA5C2D">
              <w:t>IGlar</w:t>
            </w:r>
            <w:proofErr w:type="spellEnd"/>
            <w:r w:rsidRPr="00EA5C2D">
              <w:t xml:space="preserve"> OD according to local l</w:t>
            </w:r>
            <w:r w:rsidR="0076594B" w:rsidRPr="00EA5C2D">
              <w:t>abel at the same time each day.</w:t>
            </w:r>
            <w:r w:rsidR="00987ED8" w:rsidRPr="00EA5C2D">
              <w:t xml:space="preserve"> M</w:t>
            </w:r>
            <w:r w:rsidRPr="00EA5C2D">
              <w:t>etformin</w:t>
            </w:r>
            <w:r w:rsidR="00987ED8" w:rsidRPr="00EA5C2D">
              <w:t xml:space="preserve"> ± </w:t>
            </w:r>
            <w:r w:rsidRPr="00EA5C2D">
              <w:t>DDP-4I</w:t>
            </w:r>
          </w:p>
        </w:tc>
        <w:tc>
          <w:tcPr>
            <w:tcW w:w="1260" w:type="dxa"/>
            <w:gridSpan w:val="2"/>
          </w:tcPr>
          <w:p w14:paraId="69B9186D" w14:textId="5B468468" w:rsidR="002C4648" w:rsidRPr="00EA5C2D" w:rsidRDefault="002C4648" w:rsidP="00EA5C2D">
            <w:pPr>
              <w:pStyle w:val="Tabletext"/>
            </w:pPr>
            <w:proofErr w:type="spellStart"/>
            <w:r w:rsidRPr="00EA5C2D">
              <w:t>IDeg</w:t>
            </w:r>
            <w:proofErr w:type="spellEnd"/>
            <w:r w:rsidRPr="00EA5C2D">
              <w:t xml:space="preserve"> 100 U/mL OD in the evening (start of main evening meal to bedtime)</w:t>
            </w:r>
            <w:r w:rsidR="0076594B" w:rsidRPr="00EA5C2D">
              <w:t>; or</w:t>
            </w:r>
            <w:r w:rsidRPr="00EA5C2D">
              <w:t xml:space="preserve"> </w:t>
            </w:r>
            <w:proofErr w:type="spellStart"/>
            <w:r w:rsidRPr="00EA5C2D">
              <w:t>IGlar</w:t>
            </w:r>
            <w:proofErr w:type="spellEnd"/>
            <w:r w:rsidR="00E00989" w:rsidRPr="00EA5C2D">
              <w:t xml:space="preserve"> OD according to local label.</w:t>
            </w:r>
            <w:r w:rsidR="002E6E17" w:rsidRPr="00EA5C2D">
              <w:t xml:space="preserve"> ± </w:t>
            </w:r>
            <w:r w:rsidRPr="00EA5C2D">
              <w:t>metformin</w:t>
            </w:r>
            <w:r w:rsidR="00E00989" w:rsidRPr="00EA5C2D">
              <w:t xml:space="preserve">± SU or </w:t>
            </w:r>
            <w:proofErr w:type="spellStart"/>
            <w:r w:rsidRPr="00EA5C2D">
              <w:t>glinide</w:t>
            </w:r>
            <w:proofErr w:type="spellEnd"/>
            <w:r w:rsidR="002E6E17" w:rsidRPr="00EA5C2D">
              <w:t xml:space="preserve"> </w:t>
            </w:r>
            <w:r w:rsidRPr="00EA5C2D">
              <w:t>± α-GI</w:t>
            </w:r>
          </w:p>
        </w:tc>
        <w:tc>
          <w:tcPr>
            <w:tcW w:w="1890" w:type="dxa"/>
            <w:gridSpan w:val="3"/>
          </w:tcPr>
          <w:p w14:paraId="55D747E7" w14:textId="10591C91" w:rsidR="002C4648" w:rsidRPr="00EA5C2D" w:rsidRDefault="002C4648" w:rsidP="00EA5C2D">
            <w:pPr>
              <w:pStyle w:val="Tabletext"/>
            </w:pPr>
            <w:proofErr w:type="spellStart"/>
            <w:r w:rsidRPr="00EA5C2D">
              <w:t>IDeg</w:t>
            </w:r>
            <w:proofErr w:type="spellEnd"/>
            <w:r w:rsidRPr="00EA5C2D">
              <w:t xml:space="preserve"> 100 U/mL OD with alternating morning and evening doses* or </w:t>
            </w:r>
            <w:proofErr w:type="spellStart"/>
            <w:r w:rsidRPr="00EA5C2D">
              <w:t>IDeg</w:t>
            </w:r>
            <w:proofErr w:type="spellEnd"/>
            <w:r w:rsidRPr="00EA5C2D">
              <w:t xml:space="preserve"> 100 U/mL OD with the evening meal or </w:t>
            </w:r>
            <w:proofErr w:type="spellStart"/>
            <w:r w:rsidRPr="00EA5C2D">
              <w:t>IGlar</w:t>
            </w:r>
            <w:proofErr w:type="spellEnd"/>
            <w:r w:rsidR="00E00989" w:rsidRPr="00EA5C2D">
              <w:t xml:space="preserve"> OD according to local label.</w:t>
            </w:r>
            <w:r w:rsidR="00987ED8" w:rsidRPr="00EA5C2D">
              <w:t xml:space="preserve"> </w:t>
            </w:r>
            <w:r w:rsidRPr="00EA5C2D">
              <w:t>± metformin</w:t>
            </w:r>
            <w:r w:rsidR="00987ED8" w:rsidRPr="00EA5C2D">
              <w:t>, ± </w:t>
            </w:r>
            <w:r w:rsidRPr="00EA5C2D">
              <w:t>SU/</w:t>
            </w:r>
            <w:proofErr w:type="spellStart"/>
            <w:r w:rsidRPr="00EA5C2D">
              <w:t>glinide</w:t>
            </w:r>
            <w:proofErr w:type="spellEnd"/>
            <w:r w:rsidR="00987ED8" w:rsidRPr="00EA5C2D">
              <w:t>, ± </w:t>
            </w:r>
            <w:r w:rsidRPr="00EA5C2D">
              <w:t>pioglitazone</w:t>
            </w:r>
          </w:p>
        </w:tc>
        <w:tc>
          <w:tcPr>
            <w:tcW w:w="1350" w:type="dxa"/>
            <w:gridSpan w:val="2"/>
          </w:tcPr>
          <w:p w14:paraId="3EEE46CE" w14:textId="29462ABD" w:rsidR="002C4648" w:rsidRPr="00EA5C2D" w:rsidRDefault="002C4648" w:rsidP="00EA5C2D">
            <w:pPr>
              <w:pStyle w:val="Tabletext"/>
            </w:pPr>
            <w:proofErr w:type="spellStart"/>
            <w:r w:rsidRPr="00EA5C2D">
              <w:t>IDeg</w:t>
            </w:r>
            <w:proofErr w:type="spellEnd"/>
            <w:r w:rsidR="00E00989" w:rsidRPr="00EA5C2D">
              <w:t xml:space="preserve"> OD flexible dosing schedule (8 to </w:t>
            </w:r>
            <w:r w:rsidRPr="00EA5C2D">
              <w:t xml:space="preserve">40 hours between injections) or </w:t>
            </w:r>
            <w:proofErr w:type="spellStart"/>
            <w:r w:rsidR="00E00989" w:rsidRPr="00EA5C2D">
              <w:t>s</w:t>
            </w:r>
            <w:r w:rsidRPr="00EA5C2D">
              <w:t>itagliptin</w:t>
            </w:r>
            <w:proofErr w:type="spellEnd"/>
            <w:r w:rsidRPr="00EA5C2D">
              <w:t xml:space="preserve"> 100 mg PO daily</w:t>
            </w:r>
            <w:r w:rsidR="00E00989" w:rsidRPr="00EA5C2D">
              <w:t>.</w:t>
            </w:r>
          </w:p>
          <w:p w14:paraId="561F172A" w14:textId="0289D259" w:rsidR="002C4648" w:rsidRPr="00EA5C2D" w:rsidRDefault="00E00989" w:rsidP="00EA5C2D">
            <w:pPr>
              <w:pStyle w:val="Tabletext"/>
            </w:pPr>
            <w:r w:rsidRPr="00EA5C2D">
              <w:t xml:space="preserve">+ 1 or </w:t>
            </w:r>
            <w:r w:rsidR="002C4648" w:rsidRPr="00EA5C2D">
              <w:t>2 OADs (metformin, SU/</w:t>
            </w:r>
            <w:proofErr w:type="spellStart"/>
            <w:r w:rsidR="002C4648" w:rsidRPr="00EA5C2D">
              <w:t>glinide</w:t>
            </w:r>
            <w:proofErr w:type="spellEnd"/>
            <w:r w:rsidR="002C4648" w:rsidRPr="00EA5C2D">
              <w:t>, pioglitazone)</w:t>
            </w:r>
          </w:p>
        </w:tc>
      </w:tr>
      <w:tr w:rsidR="005A30C6" w:rsidRPr="009934FA" w14:paraId="2AF8A996" w14:textId="77777777" w:rsidTr="002E6E17">
        <w:trPr>
          <w:trHeight w:val="481"/>
        </w:trPr>
        <w:tc>
          <w:tcPr>
            <w:tcW w:w="1171" w:type="dxa"/>
            <w:vMerge w:val="restart"/>
          </w:tcPr>
          <w:p w14:paraId="04FB0458" w14:textId="77777777" w:rsidR="002C4648" w:rsidRPr="00EA5C2D" w:rsidRDefault="002C4648" w:rsidP="00EA5C2D">
            <w:pPr>
              <w:pStyle w:val="Tabletext"/>
            </w:pPr>
            <w:r w:rsidRPr="00EA5C2D">
              <w:lastRenderedPageBreak/>
              <w:t>Primary efficacy</w:t>
            </w:r>
          </w:p>
        </w:tc>
        <w:tc>
          <w:tcPr>
            <w:tcW w:w="1349" w:type="dxa"/>
            <w:gridSpan w:val="2"/>
          </w:tcPr>
          <w:p w14:paraId="2CE24B03" w14:textId="351DAEFE" w:rsidR="002C4648" w:rsidRPr="00EA5C2D" w:rsidRDefault="002E6E17" w:rsidP="00EA5C2D">
            <w:pPr>
              <w:pStyle w:val="Tabletext"/>
              <w:rPr>
                <w:b/>
              </w:rPr>
            </w:pPr>
            <w:r w:rsidRPr="00EA5C2D">
              <w:rPr>
                <w:b/>
              </w:rPr>
              <w:t>Mean change from B</w:t>
            </w:r>
            <w:r w:rsidR="002C4648" w:rsidRPr="00EA5C2D">
              <w:rPr>
                <w:b/>
              </w:rPr>
              <w:t>aseline in HbA1c after 52 weeks of treatment (%)</w:t>
            </w:r>
          </w:p>
        </w:tc>
        <w:tc>
          <w:tcPr>
            <w:tcW w:w="1263" w:type="dxa"/>
            <w:gridSpan w:val="2"/>
          </w:tcPr>
          <w:p w14:paraId="00646E8D" w14:textId="75BB2549" w:rsidR="002C4648" w:rsidRPr="00EA5C2D" w:rsidRDefault="002E6E17" w:rsidP="00EA5C2D">
            <w:pPr>
              <w:pStyle w:val="Tabletext"/>
              <w:rPr>
                <w:b/>
              </w:rPr>
            </w:pPr>
            <w:r w:rsidRPr="00EA5C2D">
              <w:rPr>
                <w:b/>
              </w:rPr>
              <w:t>Mean change from B</w:t>
            </w:r>
            <w:r w:rsidR="002C4648" w:rsidRPr="00EA5C2D">
              <w:rPr>
                <w:b/>
              </w:rPr>
              <w:t>aseline in HbA1c after 52 weeks of treatment (%)</w:t>
            </w:r>
          </w:p>
        </w:tc>
        <w:tc>
          <w:tcPr>
            <w:tcW w:w="1260" w:type="dxa"/>
            <w:gridSpan w:val="2"/>
          </w:tcPr>
          <w:p w14:paraId="27F1D1DB" w14:textId="6CFD135A" w:rsidR="002C4648" w:rsidRPr="00EA5C2D" w:rsidRDefault="002E6E17" w:rsidP="00EA5C2D">
            <w:pPr>
              <w:pStyle w:val="Tabletext"/>
              <w:rPr>
                <w:b/>
              </w:rPr>
            </w:pPr>
            <w:r w:rsidRPr="00EA5C2D">
              <w:rPr>
                <w:b/>
              </w:rPr>
              <w:t>Mean change from B</w:t>
            </w:r>
            <w:r w:rsidR="002C4648" w:rsidRPr="00EA5C2D">
              <w:rPr>
                <w:b/>
              </w:rPr>
              <w:t>aseline in HbA1c after 26 weeks of treatment (%)</w:t>
            </w:r>
          </w:p>
        </w:tc>
        <w:tc>
          <w:tcPr>
            <w:tcW w:w="1260" w:type="dxa"/>
            <w:gridSpan w:val="2"/>
          </w:tcPr>
          <w:p w14:paraId="030C8A5B" w14:textId="18AD90A3" w:rsidR="002C4648" w:rsidRPr="00EA5C2D" w:rsidRDefault="002C4648" w:rsidP="00EA5C2D">
            <w:pPr>
              <w:pStyle w:val="Tabletext"/>
              <w:rPr>
                <w:b/>
              </w:rPr>
            </w:pPr>
            <w:r w:rsidRPr="00EA5C2D">
              <w:rPr>
                <w:b/>
              </w:rPr>
              <w:t>Mean</w:t>
            </w:r>
            <w:r w:rsidR="002E6E17" w:rsidRPr="00EA5C2D">
              <w:rPr>
                <w:b/>
              </w:rPr>
              <w:t xml:space="preserve"> change from B</w:t>
            </w:r>
            <w:r w:rsidRPr="00EA5C2D">
              <w:rPr>
                <w:b/>
              </w:rPr>
              <w:t>aseline in HbA1c after 26 weeks of treatment (%)</w:t>
            </w:r>
          </w:p>
        </w:tc>
        <w:tc>
          <w:tcPr>
            <w:tcW w:w="1890" w:type="dxa"/>
            <w:gridSpan w:val="3"/>
          </w:tcPr>
          <w:p w14:paraId="1324695D" w14:textId="39CBA4A4" w:rsidR="002C4648" w:rsidRPr="00EA5C2D" w:rsidRDefault="002E6E17" w:rsidP="00EA5C2D">
            <w:pPr>
              <w:pStyle w:val="Tabletext"/>
              <w:rPr>
                <w:b/>
              </w:rPr>
            </w:pPr>
            <w:r w:rsidRPr="00EA5C2D">
              <w:rPr>
                <w:b/>
              </w:rPr>
              <w:t>Mean change from B</w:t>
            </w:r>
            <w:r w:rsidR="002C4648" w:rsidRPr="00EA5C2D">
              <w:rPr>
                <w:b/>
              </w:rPr>
              <w:t>aseline in HbA1c after 26 weeks of treatment (%)</w:t>
            </w:r>
          </w:p>
        </w:tc>
        <w:tc>
          <w:tcPr>
            <w:tcW w:w="1350" w:type="dxa"/>
            <w:gridSpan w:val="2"/>
          </w:tcPr>
          <w:p w14:paraId="76EADBA1" w14:textId="7A77710F" w:rsidR="002C4648" w:rsidRPr="00EA5C2D" w:rsidRDefault="002E6E17" w:rsidP="00EA5C2D">
            <w:pPr>
              <w:pStyle w:val="Tabletext"/>
              <w:rPr>
                <w:b/>
              </w:rPr>
            </w:pPr>
            <w:r w:rsidRPr="00EA5C2D">
              <w:rPr>
                <w:b/>
              </w:rPr>
              <w:t>Mean change from B</w:t>
            </w:r>
            <w:r w:rsidR="002C4648" w:rsidRPr="00EA5C2D">
              <w:rPr>
                <w:b/>
              </w:rPr>
              <w:t>aseline in HbA1c after 26 weeks of treatment (%)</w:t>
            </w:r>
          </w:p>
        </w:tc>
      </w:tr>
      <w:tr w:rsidR="00E00989" w:rsidRPr="009934FA" w14:paraId="2229C852" w14:textId="77777777" w:rsidTr="002E6E17">
        <w:trPr>
          <w:trHeight w:val="827"/>
        </w:trPr>
        <w:tc>
          <w:tcPr>
            <w:tcW w:w="1171" w:type="dxa"/>
            <w:vMerge/>
          </w:tcPr>
          <w:p w14:paraId="208EA58D" w14:textId="77777777" w:rsidR="002C4648" w:rsidRPr="00EA5C2D" w:rsidRDefault="002C4648" w:rsidP="00EA5C2D">
            <w:pPr>
              <w:pStyle w:val="Tabletext"/>
            </w:pPr>
          </w:p>
        </w:tc>
        <w:tc>
          <w:tcPr>
            <w:tcW w:w="719" w:type="dxa"/>
          </w:tcPr>
          <w:p w14:paraId="1B71E5B2" w14:textId="77777777" w:rsidR="002C4648" w:rsidRPr="00EA5C2D" w:rsidRDefault="002C4648" w:rsidP="00EA5C2D">
            <w:pPr>
              <w:pStyle w:val="Tabletext"/>
            </w:pPr>
            <w:proofErr w:type="spellStart"/>
            <w:r w:rsidRPr="00EA5C2D">
              <w:t>IDeg</w:t>
            </w:r>
            <w:proofErr w:type="spellEnd"/>
          </w:p>
        </w:tc>
        <w:tc>
          <w:tcPr>
            <w:tcW w:w="630" w:type="dxa"/>
          </w:tcPr>
          <w:p w14:paraId="7B859E79" w14:textId="77777777" w:rsidR="002C4648" w:rsidRPr="00EA5C2D" w:rsidRDefault="002C4648" w:rsidP="00EA5C2D">
            <w:pPr>
              <w:pStyle w:val="Tabletext"/>
            </w:pPr>
            <w:proofErr w:type="spellStart"/>
            <w:r w:rsidRPr="00EA5C2D">
              <w:t>IGlar</w:t>
            </w:r>
            <w:proofErr w:type="spellEnd"/>
          </w:p>
        </w:tc>
        <w:tc>
          <w:tcPr>
            <w:tcW w:w="633" w:type="dxa"/>
          </w:tcPr>
          <w:p w14:paraId="501D8CBB" w14:textId="77777777" w:rsidR="002C4648" w:rsidRPr="00EA5C2D" w:rsidRDefault="002C4648" w:rsidP="00EA5C2D">
            <w:pPr>
              <w:pStyle w:val="Tabletext"/>
            </w:pPr>
            <w:proofErr w:type="spellStart"/>
            <w:r w:rsidRPr="00EA5C2D">
              <w:t>IDeg</w:t>
            </w:r>
            <w:proofErr w:type="spellEnd"/>
          </w:p>
        </w:tc>
        <w:tc>
          <w:tcPr>
            <w:tcW w:w="630" w:type="dxa"/>
          </w:tcPr>
          <w:p w14:paraId="34E8F566" w14:textId="5BC1EF07" w:rsidR="002C4648" w:rsidRPr="00EA5C2D" w:rsidRDefault="002C4648" w:rsidP="00EA5C2D">
            <w:pPr>
              <w:pStyle w:val="Tabletext"/>
            </w:pPr>
            <w:proofErr w:type="spellStart"/>
            <w:r w:rsidRPr="00EA5C2D">
              <w:t>IGlar</w:t>
            </w:r>
            <w:proofErr w:type="spellEnd"/>
          </w:p>
        </w:tc>
        <w:tc>
          <w:tcPr>
            <w:tcW w:w="630" w:type="dxa"/>
          </w:tcPr>
          <w:p w14:paraId="702C48AD" w14:textId="319E5D8A" w:rsidR="002C4648" w:rsidRPr="00EA5C2D" w:rsidRDefault="00897FA4" w:rsidP="00EA5C2D">
            <w:pPr>
              <w:pStyle w:val="Tabletext"/>
            </w:pPr>
            <w:proofErr w:type="spellStart"/>
            <w:r w:rsidRPr="00EA5C2D">
              <w:t>IDeg</w:t>
            </w:r>
            <w:proofErr w:type="spellEnd"/>
          </w:p>
        </w:tc>
        <w:tc>
          <w:tcPr>
            <w:tcW w:w="630" w:type="dxa"/>
          </w:tcPr>
          <w:p w14:paraId="6DED1041" w14:textId="77777777" w:rsidR="002C4648" w:rsidRPr="00EA5C2D" w:rsidRDefault="002C4648" w:rsidP="00EA5C2D">
            <w:pPr>
              <w:pStyle w:val="Tabletext"/>
            </w:pPr>
            <w:proofErr w:type="spellStart"/>
            <w:r w:rsidRPr="00EA5C2D">
              <w:t>IGlar</w:t>
            </w:r>
            <w:proofErr w:type="spellEnd"/>
          </w:p>
        </w:tc>
        <w:tc>
          <w:tcPr>
            <w:tcW w:w="630" w:type="dxa"/>
          </w:tcPr>
          <w:p w14:paraId="11A01407" w14:textId="68E0655D" w:rsidR="002C4648" w:rsidRPr="00EA5C2D" w:rsidRDefault="00897FA4" w:rsidP="00EA5C2D">
            <w:pPr>
              <w:pStyle w:val="Tabletext"/>
            </w:pPr>
            <w:proofErr w:type="spellStart"/>
            <w:r w:rsidRPr="00EA5C2D">
              <w:t>IDeg</w:t>
            </w:r>
            <w:proofErr w:type="spellEnd"/>
          </w:p>
        </w:tc>
        <w:tc>
          <w:tcPr>
            <w:tcW w:w="630" w:type="dxa"/>
          </w:tcPr>
          <w:p w14:paraId="452D09A3" w14:textId="77777777" w:rsidR="002C4648" w:rsidRPr="00EA5C2D" w:rsidRDefault="002C4648" w:rsidP="00EA5C2D">
            <w:pPr>
              <w:pStyle w:val="Tabletext"/>
            </w:pPr>
            <w:proofErr w:type="spellStart"/>
            <w:r w:rsidRPr="00EA5C2D">
              <w:t>IGlar</w:t>
            </w:r>
            <w:proofErr w:type="spellEnd"/>
          </w:p>
        </w:tc>
        <w:tc>
          <w:tcPr>
            <w:tcW w:w="630" w:type="dxa"/>
          </w:tcPr>
          <w:p w14:paraId="6BD79BC9" w14:textId="77777777" w:rsidR="002C4648" w:rsidRPr="00EA5C2D" w:rsidRDefault="002C4648" w:rsidP="00EA5C2D">
            <w:pPr>
              <w:pStyle w:val="Tabletext"/>
            </w:pPr>
            <w:proofErr w:type="spellStart"/>
            <w:r w:rsidRPr="00EA5C2D">
              <w:t>IDeg</w:t>
            </w:r>
            <w:proofErr w:type="spellEnd"/>
            <w:r w:rsidRPr="00EA5C2D">
              <w:t xml:space="preserve"> Flex</w:t>
            </w:r>
          </w:p>
        </w:tc>
        <w:tc>
          <w:tcPr>
            <w:tcW w:w="630" w:type="dxa"/>
          </w:tcPr>
          <w:p w14:paraId="49806B99" w14:textId="77777777" w:rsidR="002C4648" w:rsidRPr="00EA5C2D" w:rsidRDefault="002C4648" w:rsidP="00EA5C2D">
            <w:pPr>
              <w:pStyle w:val="Tabletext"/>
            </w:pPr>
            <w:proofErr w:type="spellStart"/>
            <w:r w:rsidRPr="00EA5C2D">
              <w:t>IDeg</w:t>
            </w:r>
            <w:proofErr w:type="spellEnd"/>
            <w:r w:rsidRPr="00EA5C2D">
              <w:t xml:space="preserve"> OD</w:t>
            </w:r>
          </w:p>
        </w:tc>
        <w:tc>
          <w:tcPr>
            <w:tcW w:w="630" w:type="dxa"/>
          </w:tcPr>
          <w:p w14:paraId="5EACB6E7" w14:textId="77777777" w:rsidR="002C4648" w:rsidRPr="00EA5C2D" w:rsidRDefault="002C4648" w:rsidP="00EA5C2D">
            <w:pPr>
              <w:pStyle w:val="Tabletext"/>
            </w:pPr>
            <w:proofErr w:type="spellStart"/>
            <w:r w:rsidRPr="00EA5C2D">
              <w:t>IGlar</w:t>
            </w:r>
            <w:proofErr w:type="spellEnd"/>
          </w:p>
        </w:tc>
        <w:tc>
          <w:tcPr>
            <w:tcW w:w="630" w:type="dxa"/>
          </w:tcPr>
          <w:p w14:paraId="22F1B275" w14:textId="77777777" w:rsidR="002C4648" w:rsidRPr="00EA5C2D" w:rsidRDefault="002C4648" w:rsidP="00EA5C2D">
            <w:pPr>
              <w:pStyle w:val="Tabletext"/>
            </w:pPr>
            <w:proofErr w:type="spellStart"/>
            <w:r w:rsidRPr="00EA5C2D">
              <w:t>IDeg</w:t>
            </w:r>
            <w:proofErr w:type="spellEnd"/>
          </w:p>
        </w:tc>
        <w:tc>
          <w:tcPr>
            <w:tcW w:w="720" w:type="dxa"/>
          </w:tcPr>
          <w:p w14:paraId="2D57F39E" w14:textId="77777777" w:rsidR="002C4648" w:rsidRPr="00EA5C2D" w:rsidRDefault="002C4648" w:rsidP="00EA5C2D">
            <w:pPr>
              <w:pStyle w:val="Tabletext"/>
            </w:pPr>
            <w:proofErr w:type="spellStart"/>
            <w:r w:rsidRPr="00EA5C2D">
              <w:t>Sita</w:t>
            </w:r>
            <w:proofErr w:type="spellEnd"/>
          </w:p>
        </w:tc>
      </w:tr>
      <w:tr w:rsidR="00E00989" w:rsidRPr="009934FA" w14:paraId="7119841A" w14:textId="77777777" w:rsidTr="002E6E17">
        <w:trPr>
          <w:trHeight w:val="706"/>
        </w:trPr>
        <w:tc>
          <w:tcPr>
            <w:tcW w:w="1171" w:type="dxa"/>
            <w:vMerge/>
          </w:tcPr>
          <w:p w14:paraId="37F6B60D" w14:textId="77777777" w:rsidR="002C4648" w:rsidRPr="00EA5C2D" w:rsidRDefault="002C4648" w:rsidP="00EA5C2D">
            <w:pPr>
              <w:pStyle w:val="Tabletext"/>
            </w:pPr>
          </w:p>
        </w:tc>
        <w:tc>
          <w:tcPr>
            <w:tcW w:w="719" w:type="dxa"/>
          </w:tcPr>
          <w:p w14:paraId="0EB2D669" w14:textId="77777777" w:rsidR="002C4648" w:rsidRPr="00EA5C2D" w:rsidRDefault="002C4648" w:rsidP="00EA5C2D">
            <w:pPr>
              <w:pStyle w:val="Tabletext"/>
            </w:pPr>
            <w:r w:rsidRPr="00EA5C2D">
              <w:t>-1.10</w:t>
            </w:r>
          </w:p>
        </w:tc>
        <w:tc>
          <w:tcPr>
            <w:tcW w:w="630" w:type="dxa"/>
          </w:tcPr>
          <w:p w14:paraId="7DD82AC5" w14:textId="77777777" w:rsidR="002C4648" w:rsidRPr="00EA5C2D" w:rsidRDefault="002C4648" w:rsidP="00EA5C2D">
            <w:pPr>
              <w:pStyle w:val="Tabletext"/>
            </w:pPr>
            <w:r w:rsidRPr="00EA5C2D">
              <w:t>-1.18</w:t>
            </w:r>
          </w:p>
        </w:tc>
        <w:tc>
          <w:tcPr>
            <w:tcW w:w="633" w:type="dxa"/>
          </w:tcPr>
          <w:p w14:paraId="68EDC359" w14:textId="77777777" w:rsidR="002C4648" w:rsidRPr="00EA5C2D" w:rsidRDefault="002C4648" w:rsidP="00EA5C2D">
            <w:pPr>
              <w:pStyle w:val="Tabletext"/>
            </w:pPr>
            <w:r w:rsidRPr="00EA5C2D">
              <w:t>-1.06</w:t>
            </w:r>
          </w:p>
        </w:tc>
        <w:tc>
          <w:tcPr>
            <w:tcW w:w="630" w:type="dxa"/>
          </w:tcPr>
          <w:p w14:paraId="046C09DF" w14:textId="77777777" w:rsidR="002C4648" w:rsidRPr="00EA5C2D" w:rsidRDefault="002C4648" w:rsidP="00EA5C2D">
            <w:pPr>
              <w:pStyle w:val="Tabletext"/>
            </w:pPr>
            <w:r w:rsidRPr="00EA5C2D">
              <w:t>-1.15</w:t>
            </w:r>
          </w:p>
        </w:tc>
        <w:tc>
          <w:tcPr>
            <w:tcW w:w="630" w:type="dxa"/>
          </w:tcPr>
          <w:p w14:paraId="3FC37000" w14:textId="39FBB496" w:rsidR="002C4648" w:rsidRPr="00EA5C2D" w:rsidRDefault="002C4648" w:rsidP="00EA5C2D">
            <w:pPr>
              <w:pStyle w:val="Tabletext"/>
            </w:pPr>
            <w:r w:rsidRPr="00EA5C2D">
              <w:t>-1.18</w:t>
            </w:r>
          </w:p>
        </w:tc>
        <w:tc>
          <w:tcPr>
            <w:tcW w:w="630" w:type="dxa"/>
          </w:tcPr>
          <w:p w14:paraId="47AC8E7C" w14:textId="23773E18" w:rsidR="002C4648" w:rsidRPr="00EA5C2D" w:rsidRDefault="002C4648" w:rsidP="00EA5C2D">
            <w:pPr>
              <w:pStyle w:val="Tabletext"/>
            </w:pPr>
            <w:r w:rsidRPr="00EA5C2D">
              <w:t>-1.22</w:t>
            </w:r>
          </w:p>
        </w:tc>
        <w:tc>
          <w:tcPr>
            <w:tcW w:w="630" w:type="dxa"/>
          </w:tcPr>
          <w:p w14:paraId="41E306C2" w14:textId="77777777" w:rsidR="002C4648" w:rsidRPr="00EA5C2D" w:rsidRDefault="002C4648" w:rsidP="00EA5C2D">
            <w:pPr>
              <w:pStyle w:val="Tabletext"/>
            </w:pPr>
            <w:r w:rsidRPr="00EA5C2D">
              <w:t>-1.42</w:t>
            </w:r>
          </w:p>
        </w:tc>
        <w:tc>
          <w:tcPr>
            <w:tcW w:w="630" w:type="dxa"/>
          </w:tcPr>
          <w:p w14:paraId="3D8726E7" w14:textId="77777777" w:rsidR="002C4648" w:rsidRPr="00EA5C2D" w:rsidRDefault="002C4648" w:rsidP="00EA5C2D">
            <w:pPr>
              <w:pStyle w:val="Tabletext"/>
            </w:pPr>
            <w:r w:rsidRPr="00EA5C2D">
              <w:t>-1.52</w:t>
            </w:r>
          </w:p>
        </w:tc>
        <w:tc>
          <w:tcPr>
            <w:tcW w:w="630" w:type="dxa"/>
          </w:tcPr>
          <w:p w14:paraId="04EC5160" w14:textId="77777777" w:rsidR="002C4648" w:rsidRPr="00EA5C2D" w:rsidRDefault="002C4648" w:rsidP="00EA5C2D">
            <w:pPr>
              <w:pStyle w:val="Tabletext"/>
            </w:pPr>
            <w:r w:rsidRPr="00EA5C2D">
              <w:t>-1.17</w:t>
            </w:r>
          </w:p>
        </w:tc>
        <w:tc>
          <w:tcPr>
            <w:tcW w:w="630" w:type="dxa"/>
          </w:tcPr>
          <w:p w14:paraId="78FA811A" w14:textId="77777777" w:rsidR="002C4648" w:rsidRPr="00EA5C2D" w:rsidRDefault="002C4648" w:rsidP="00EA5C2D">
            <w:pPr>
              <w:pStyle w:val="Tabletext"/>
            </w:pPr>
            <w:r w:rsidRPr="00EA5C2D">
              <w:t>-1.03</w:t>
            </w:r>
          </w:p>
        </w:tc>
        <w:tc>
          <w:tcPr>
            <w:tcW w:w="630" w:type="dxa"/>
          </w:tcPr>
          <w:p w14:paraId="3D37A93F" w14:textId="77777777" w:rsidR="002C4648" w:rsidRPr="00EA5C2D" w:rsidRDefault="002C4648" w:rsidP="00EA5C2D">
            <w:pPr>
              <w:pStyle w:val="Tabletext"/>
            </w:pPr>
            <w:r w:rsidRPr="00EA5C2D">
              <w:t>-1.21</w:t>
            </w:r>
          </w:p>
        </w:tc>
        <w:tc>
          <w:tcPr>
            <w:tcW w:w="630" w:type="dxa"/>
          </w:tcPr>
          <w:p w14:paraId="1B64B7D2" w14:textId="77777777" w:rsidR="002C4648" w:rsidRPr="00EA5C2D" w:rsidRDefault="002C4648" w:rsidP="00EA5C2D">
            <w:pPr>
              <w:pStyle w:val="Tabletext"/>
            </w:pPr>
            <w:r w:rsidRPr="00EA5C2D">
              <w:t>-1.52</w:t>
            </w:r>
          </w:p>
        </w:tc>
        <w:tc>
          <w:tcPr>
            <w:tcW w:w="720" w:type="dxa"/>
          </w:tcPr>
          <w:p w14:paraId="01ECB647" w14:textId="77777777" w:rsidR="002C4648" w:rsidRPr="00EA5C2D" w:rsidRDefault="002C4648" w:rsidP="00EA5C2D">
            <w:pPr>
              <w:pStyle w:val="Tabletext"/>
            </w:pPr>
            <w:r w:rsidRPr="00EA5C2D">
              <w:t>-1.09</w:t>
            </w:r>
          </w:p>
        </w:tc>
      </w:tr>
      <w:tr w:rsidR="005A30C6" w:rsidRPr="009934FA" w14:paraId="46D6D58A" w14:textId="77777777" w:rsidTr="002E6E17">
        <w:trPr>
          <w:trHeight w:val="911"/>
        </w:trPr>
        <w:tc>
          <w:tcPr>
            <w:tcW w:w="1171" w:type="dxa"/>
            <w:vMerge/>
          </w:tcPr>
          <w:p w14:paraId="7AEDD021" w14:textId="77777777" w:rsidR="002C4648" w:rsidRPr="00EA5C2D" w:rsidRDefault="002C4648" w:rsidP="00EA5C2D">
            <w:pPr>
              <w:pStyle w:val="Tabletext"/>
            </w:pPr>
          </w:p>
        </w:tc>
        <w:tc>
          <w:tcPr>
            <w:tcW w:w="1349" w:type="dxa"/>
            <w:gridSpan w:val="2"/>
          </w:tcPr>
          <w:p w14:paraId="10568E7B"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 </w:t>
            </w:r>
            <w:proofErr w:type="spellStart"/>
            <w:r w:rsidRPr="00EA5C2D">
              <w:t>IGlar</w:t>
            </w:r>
            <w:proofErr w:type="spellEnd"/>
            <w:r w:rsidRPr="00EA5C2D">
              <w:t>) = 0.08% (95% CI: -0.05, 0.21)</w:t>
            </w:r>
          </w:p>
          <w:p w14:paraId="63A4CE56" w14:textId="77777777" w:rsidR="002C4648" w:rsidRPr="00EA5C2D" w:rsidRDefault="002C4648" w:rsidP="00EA5C2D">
            <w:pPr>
              <w:pStyle w:val="Tabletext"/>
            </w:pPr>
            <w:r w:rsidRPr="00EA5C2D">
              <w:t>Non-inferiority confirmed</w:t>
            </w:r>
          </w:p>
        </w:tc>
        <w:tc>
          <w:tcPr>
            <w:tcW w:w="1263" w:type="dxa"/>
            <w:gridSpan w:val="2"/>
          </w:tcPr>
          <w:p w14:paraId="448CA849"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 </w:t>
            </w:r>
            <w:proofErr w:type="spellStart"/>
            <w:r w:rsidRPr="00EA5C2D">
              <w:t>IGlar</w:t>
            </w:r>
            <w:proofErr w:type="spellEnd"/>
            <w:r w:rsidRPr="00EA5C2D">
              <w:t>) = 0.09% (95% CI: -0.04, 0.22)</w:t>
            </w:r>
          </w:p>
          <w:p w14:paraId="6320D9B3" w14:textId="77777777" w:rsidR="002C4648" w:rsidRPr="00EA5C2D" w:rsidRDefault="002C4648" w:rsidP="00EA5C2D">
            <w:pPr>
              <w:pStyle w:val="Tabletext"/>
            </w:pPr>
            <w:r w:rsidRPr="00EA5C2D">
              <w:t>Non-inferiority confirmed</w:t>
            </w:r>
          </w:p>
        </w:tc>
        <w:tc>
          <w:tcPr>
            <w:tcW w:w="1260" w:type="dxa"/>
            <w:gridSpan w:val="2"/>
          </w:tcPr>
          <w:p w14:paraId="7E4C986B"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w:t>
            </w:r>
            <w:proofErr w:type="spellStart"/>
            <w:r w:rsidRPr="00EA5C2D">
              <w:t>IGlar</w:t>
            </w:r>
            <w:proofErr w:type="spellEnd"/>
            <w:r w:rsidRPr="00EA5C2D">
              <w:t>) = 0.04 % (95% CI: -0.11, 0.19)</w:t>
            </w:r>
          </w:p>
          <w:p w14:paraId="5B802C64" w14:textId="77777777" w:rsidR="002C4648" w:rsidRPr="00EA5C2D" w:rsidRDefault="002C4648" w:rsidP="00EA5C2D">
            <w:pPr>
              <w:pStyle w:val="Tabletext"/>
            </w:pPr>
            <w:r w:rsidRPr="00EA5C2D">
              <w:t>Non-inferiority confirmed</w:t>
            </w:r>
          </w:p>
        </w:tc>
        <w:tc>
          <w:tcPr>
            <w:tcW w:w="1260" w:type="dxa"/>
            <w:gridSpan w:val="2"/>
          </w:tcPr>
          <w:p w14:paraId="5F33EB57"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w:t>
            </w:r>
            <w:proofErr w:type="spellStart"/>
            <w:r w:rsidRPr="00EA5C2D">
              <w:t>IGlar</w:t>
            </w:r>
            <w:proofErr w:type="spellEnd"/>
            <w:r w:rsidRPr="00EA5C2D">
              <w:t>) = 0.11% (95% CI: -0.03, 0.24)</w:t>
            </w:r>
          </w:p>
          <w:p w14:paraId="65D861D6" w14:textId="77777777" w:rsidR="002C4648" w:rsidRPr="00EA5C2D" w:rsidRDefault="002C4648" w:rsidP="00EA5C2D">
            <w:pPr>
              <w:pStyle w:val="Tabletext"/>
            </w:pPr>
            <w:r w:rsidRPr="00EA5C2D">
              <w:t>Non-inferiority confirmed</w:t>
            </w:r>
          </w:p>
        </w:tc>
        <w:tc>
          <w:tcPr>
            <w:tcW w:w="1890" w:type="dxa"/>
            <w:gridSpan w:val="3"/>
          </w:tcPr>
          <w:p w14:paraId="392E4AE6"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Flex – </w:t>
            </w:r>
            <w:proofErr w:type="spellStart"/>
            <w:r w:rsidRPr="00EA5C2D">
              <w:t>IGlar</w:t>
            </w:r>
            <w:proofErr w:type="spellEnd"/>
            <w:r w:rsidRPr="00EA5C2D">
              <w:t>) = 0.04% (95% CI: -0.12, 0.20)</w:t>
            </w:r>
          </w:p>
          <w:p w14:paraId="3FFC3292" w14:textId="77777777" w:rsidR="002C4648" w:rsidRPr="00EA5C2D" w:rsidRDefault="002C4648" w:rsidP="00EA5C2D">
            <w:pPr>
              <w:pStyle w:val="Tabletext"/>
            </w:pPr>
            <w:r w:rsidRPr="00EA5C2D">
              <w:t>Non-inferiority confirmed</w:t>
            </w:r>
          </w:p>
          <w:p w14:paraId="492CDCC9"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Flex – </w:t>
            </w:r>
            <w:proofErr w:type="spellStart"/>
            <w:r w:rsidRPr="00EA5C2D">
              <w:t>IDeg</w:t>
            </w:r>
            <w:proofErr w:type="spellEnd"/>
            <w:r w:rsidRPr="00EA5C2D">
              <w:t xml:space="preserve"> OD) = -0.13% (95% CI: -0.29, 0.03)</w:t>
            </w:r>
          </w:p>
          <w:p w14:paraId="591EEB60" w14:textId="77777777" w:rsidR="002C4648" w:rsidRPr="00EA5C2D" w:rsidRDefault="002C4648" w:rsidP="00EA5C2D">
            <w:pPr>
              <w:pStyle w:val="Tabletext"/>
            </w:pPr>
            <w:r w:rsidRPr="00EA5C2D">
              <w:t>Non-inferiority confirmed</w:t>
            </w:r>
          </w:p>
        </w:tc>
        <w:tc>
          <w:tcPr>
            <w:tcW w:w="1350" w:type="dxa"/>
            <w:gridSpan w:val="2"/>
          </w:tcPr>
          <w:p w14:paraId="1238B258" w14:textId="77777777" w:rsidR="002C4648" w:rsidRPr="00EA5C2D" w:rsidRDefault="002C4648" w:rsidP="00EA5C2D">
            <w:pPr>
              <w:pStyle w:val="Tabletext"/>
            </w:pPr>
            <w:r w:rsidRPr="00EA5C2D">
              <w:t>Mean treatment difference (</w:t>
            </w:r>
            <w:proofErr w:type="spellStart"/>
            <w:r w:rsidRPr="00EA5C2D">
              <w:t>IDeg</w:t>
            </w:r>
            <w:proofErr w:type="spellEnd"/>
            <w:r w:rsidRPr="00EA5C2D">
              <w:t xml:space="preserve"> – </w:t>
            </w:r>
            <w:proofErr w:type="spellStart"/>
            <w:r w:rsidRPr="00EA5C2D">
              <w:t>Sita</w:t>
            </w:r>
            <w:proofErr w:type="spellEnd"/>
            <w:r w:rsidRPr="00EA5C2D">
              <w:t>) = -0.43% (95% CI: -0.61, -0.24)</w:t>
            </w:r>
          </w:p>
          <w:p w14:paraId="241EA619" w14:textId="77777777" w:rsidR="002C4648" w:rsidRPr="00EA5C2D" w:rsidRDefault="002C4648" w:rsidP="00EA5C2D">
            <w:pPr>
              <w:pStyle w:val="Tabletext"/>
            </w:pPr>
            <w:r w:rsidRPr="00EA5C2D">
              <w:t>Superiority confirmed</w:t>
            </w:r>
          </w:p>
        </w:tc>
      </w:tr>
      <w:tr w:rsidR="005A30C6" w:rsidRPr="009934FA" w14:paraId="5E6C9BC3" w14:textId="77777777" w:rsidTr="002E6E17">
        <w:trPr>
          <w:trHeight w:val="120"/>
        </w:trPr>
        <w:tc>
          <w:tcPr>
            <w:tcW w:w="1171" w:type="dxa"/>
            <w:vMerge w:val="restart"/>
          </w:tcPr>
          <w:p w14:paraId="3ACADB69" w14:textId="77777777" w:rsidR="002C4648" w:rsidRPr="00EA5C2D" w:rsidRDefault="002C4648" w:rsidP="00EA5C2D">
            <w:pPr>
              <w:pStyle w:val="Tabletext"/>
            </w:pPr>
            <w:r w:rsidRPr="00EA5C2D">
              <w:t>Safety endpoint</w:t>
            </w:r>
          </w:p>
        </w:tc>
        <w:tc>
          <w:tcPr>
            <w:tcW w:w="7022" w:type="dxa"/>
            <w:gridSpan w:val="11"/>
          </w:tcPr>
          <w:p w14:paraId="1350218A" w14:textId="77777777" w:rsidR="002C4648" w:rsidRPr="00EA5C2D" w:rsidRDefault="002C4648" w:rsidP="00EA5C2D">
            <w:pPr>
              <w:pStyle w:val="Tabletext"/>
              <w:rPr>
                <w:b/>
              </w:rPr>
            </w:pPr>
            <w:r w:rsidRPr="00EA5C2D">
              <w:rPr>
                <w:b/>
              </w:rPr>
              <w:t>Rate of nocturnal confirmed hypoglycaemic episodes per 100 PYE</w:t>
            </w:r>
          </w:p>
        </w:tc>
        <w:tc>
          <w:tcPr>
            <w:tcW w:w="1350" w:type="dxa"/>
            <w:gridSpan w:val="2"/>
          </w:tcPr>
          <w:p w14:paraId="04236F2C" w14:textId="77777777" w:rsidR="002C4648" w:rsidRPr="002E6E17" w:rsidRDefault="002C4648" w:rsidP="002C4648">
            <w:pPr>
              <w:rPr>
                <w:sz w:val="18"/>
                <w:szCs w:val="20"/>
              </w:rPr>
            </w:pPr>
          </w:p>
        </w:tc>
      </w:tr>
      <w:tr w:rsidR="00E00989" w:rsidRPr="009934FA" w14:paraId="3AE980C4" w14:textId="77777777" w:rsidTr="002E6E17">
        <w:trPr>
          <w:trHeight w:val="120"/>
        </w:trPr>
        <w:tc>
          <w:tcPr>
            <w:tcW w:w="1171" w:type="dxa"/>
            <w:vMerge/>
          </w:tcPr>
          <w:p w14:paraId="07A06B33" w14:textId="77777777" w:rsidR="002C4648" w:rsidRPr="00EA5C2D" w:rsidRDefault="002C4648" w:rsidP="00EA5C2D">
            <w:pPr>
              <w:pStyle w:val="Tabletext"/>
            </w:pPr>
          </w:p>
        </w:tc>
        <w:tc>
          <w:tcPr>
            <w:tcW w:w="719" w:type="dxa"/>
          </w:tcPr>
          <w:p w14:paraId="303D3176" w14:textId="77777777" w:rsidR="002C4648" w:rsidRPr="002E6E17" w:rsidRDefault="002C4648" w:rsidP="00EA5C2D">
            <w:pPr>
              <w:pStyle w:val="Tabletext"/>
            </w:pPr>
            <w:proofErr w:type="spellStart"/>
            <w:r w:rsidRPr="002E6E17">
              <w:t>IDeg</w:t>
            </w:r>
            <w:proofErr w:type="spellEnd"/>
          </w:p>
        </w:tc>
        <w:tc>
          <w:tcPr>
            <w:tcW w:w="630" w:type="dxa"/>
          </w:tcPr>
          <w:p w14:paraId="369F3C9B" w14:textId="77777777" w:rsidR="002C4648" w:rsidRPr="002E6E17" w:rsidRDefault="002C4648" w:rsidP="00EA5C2D">
            <w:pPr>
              <w:pStyle w:val="Tabletext"/>
            </w:pPr>
            <w:r w:rsidRPr="002E6E17">
              <w:t>IGlar</w:t>
            </w:r>
          </w:p>
        </w:tc>
        <w:tc>
          <w:tcPr>
            <w:tcW w:w="633" w:type="dxa"/>
          </w:tcPr>
          <w:p w14:paraId="15E4DDC1" w14:textId="77777777" w:rsidR="002C4648" w:rsidRPr="002E6E17" w:rsidRDefault="002C4648" w:rsidP="00EA5C2D">
            <w:pPr>
              <w:pStyle w:val="Tabletext"/>
            </w:pPr>
            <w:r w:rsidRPr="002E6E17">
              <w:t>IDeg</w:t>
            </w:r>
          </w:p>
        </w:tc>
        <w:tc>
          <w:tcPr>
            <w:tcW w:w="630" w:type="dxa"/>
          </w:tcPr>
          <w:p w14:paraId="081BE79E" w14:textId="77777777" w:rsidR="002C4648" w:rsidRPr="002E6E17" w:rsidRDefault="002C4648" w:rsidP="00EA5C2D">
            <w:pPr>
              <w:pStyle w:val="Tabletext"/>
            </w:pPr>
            <w:r w:rsidRPr="002E6E17">
              <w:t>IGlar</w:t>
            </w:r>
          </w:p>
        </w:tc>
        <w:tc>
          <w:tcPr>
            <w:tcW w:w="630" w:type="dxa"/>
          </w:tcPr>
          <w:p w14:paraId="31915C36" w14:textId="77777777" w:rsidR="002C4648" w:rsidRPr="002E6E17" w:rsidRDefault="002C4648" w:rsidP="00EA5C2D">
            <w:pPr>
              <w:pStyle w:val="Tabletext"/>
            </w:pPr>
            <w:r w:rsidRPr="002E6E17">
              <w:t>IDeg</w:t>
            </w:r>
          </w:p>
        </w:tc>
        <w:tc>
          <w:tcPr>
            <w:tcW w:w="630" w:type="dxa"/>
          </w:tcPr>
          <w:p w14:paraId="308B45DB" w14:textId="77777777" w:rsidR="002C4648" w:rsidRPr="002E6E17" w:rsidRDefault="002C4648" w:rsidP="00EA5C2D">
            <w:pPr>
              <w:pStyle w:val="Tabletext"/>
            </w:pPr>
            <w:r w:rsidRPr="002E6E17">
              <w:t>IGlar</w:t>
            </w:r>
          </w:p>
        </w:tc>
        <w:tc>
          <w:tcPr>
            <w:tcW w:w="630" w:type="dxa"/>
          </w:tcPr>
          <w:p w14:paraId="6A03ABE9" w14:textId="77777777" w:rsidR="002C4648" w:rsidRPr="002E6E17" w:rsidRDefault="002C4648" w:rsidP="00EA5C2D">
            <w:pPr>
              <w:pStyle w:val="Tabletext"/>
            </w:pPr>
            <w:r w:rsidRPr="002E6E17">
              <w:t>IDeg</w:t>
            </w:r>
          </w:p>
        </w:tc>
        <w:tc>
          <w:tcPr>
            <w:tcW w:w="630" w:type="dxa"/>
          </w:tcPr>
          <w:p w14:paraId="29E7032E" w14:textId="77777777" w:rsidR="002C4648" w:rsidRPr="002E6E17" w:rsidRDefault="002C4648" w:rsidP="00EA5C2D">
            <w:pPr>
              <w:pStyle w:val="Tabletext"/>
            </w:pPr>
            <w:r w:rsidRPr="002E6E17">
              <w:t>IGlar</w:t>
            </w:r>
          </w:p>
        </w:tc>
        <w:tc>
          <w:tcPr>
            <w:tcW w:w="630" w:type="dxa"/>
          </w:tcPr>
          <w:p w14:paraId="1E71C704" w14:textId="77777777" w:rsidR="002C4648" w:rsidRPr="002E6E17" w:rsidRDefault="002C4648" w:rsidP="00EA5C2D">
            <w:pPr>
              <w:pStyle w:val="Tabletext"/>
            </w:pPr>
            <w:r w:rsidRPr="002E6E17">
              <w:t>IDeg Flex</w:t>
            </w:r>
          </w:p>
        </w:tc>
        <w:tc>
          <w:tcPr>
            <w:tcW w:w="630" w:type="dxa"/>
          </w:tcPr>
          <w:p w14:paraId="0DECACFD" w14:textId="77777777" w:rsidR="002C4648" w:rsidRPr="002E6E17" w:rsidRDefault="002C4648" w:rsidP="00EA5C2D">
            <w:pPr>
              <w:pStyle w:val="Tabletext"/>
            </w:pPr>
            <w:r w:rsidRPr="002E6E17">
              <w:t>IDeg OD</w:t>
            </w:r>
          </w:p>
        </w:tc>
        <w:tc>
          <w:tcPr>
            <w:tcW w:w="630" w:type="dxa"/>
          </w:tcPr>
          <w:p w14:paraId="4BB512CB" w14:textId="77777777" w:rsidR="002C4648" w:rsidRPr="002E6E17" w:rsidRDefault="002C4648" w:rsidP="00EA5C2D">
            <w:pPr>
              <w:pStyle w:val="Tabletext"/>
            </w:pPr>
            <w:r w:rsidRPr="002E6E17">
              <w:t>IGlar OD</w:t>
            </w:r>
          </w:p>
        </w:tc>
        <w:tc>
          <w:tcPr>
            <w:tcW w:w="630" w:type="dxa"/>
          </w:tcPr>
          <w:p w14:paraId="7C9EC804" w14:textId="77777777" w:rsidR="002C4648" w:rsidRPr="002E6E17" w:rsidRDefault="002C4648" w:rsidP="00EA5C2D">
            <w:pPr>
              <w:pStyle w:val="Tabletext"/>
            </w:pPr>
            <w:r w:rsidRPr="002E6E17">
              <w:t>IDeg</w:t>
            </w:r>
          </w:p>
        </w:tc>
        <w:tc>
          <w:tcPr>
            <w:tcW w:w="720" w:type="dxa"/>
          </w:tcPr>
          <w:p w14:paraId="726C2C39" w14:textId="77777777" w:rsidR="002C4648" w:rsidRPr="002E6E17" w:rsidRDefault="002C4648" w:rsidP="00EA5C2D">
            <w:pPr>
              <w:pStyle w:val="Tabletext"/>
            </w:pPr>
            <w:r w:rsidRPr="002E6E17">
              <w:t>Sita</w:t>
            </w:r>
          </w:p>
        </w:tc>
      </w:tr>
      <w:tr w:rsidR="00E00989" w:rsidRPr="009934FA" w14:paraId="6647A419" w14:textId="77777777" w:rsidTr="002E6E17">
        <w:trPr>
          <w:trHeight w:val="120"/>
        </w:trPr>
        <w:tc>
          <w:tcPr>
            <w:tcW w:w="1171" w:type="dxa"/>
            <w:vMerge/>
          </w:tcPr>
          <w:p w14:paraId="2AFDB4FF" w14:textId="77777777" w:rsidR="002C4648" w:rsidRPr="00EA5C2D" w:rsidRDefault="002C4648" w:rsidP="00EA5C2D">
            <w:pPr>
              <w:pStyle w:val="Tabletext"/>
            </w:pPr>
          </w:p>
        </w:tc>
        <w:tc>
          <w:tcPr>
            <w:tcW w:w="719" w:type="dxa"/>
          </w:tcPr>
          <w:p w14:paraId="621573A6" w14:textId="77777777" w:rsidR="002C4648" w:rsidRPr="002E6E17" w:rsidRDefault="002C4648" w:rsidP="00EA5C2D">
            <w:pPr>
              <w:pStyle w:val="Tabletext"/>
            </w:pPr>
            <w:r w:rsidRPr="002E6E17">
              <w:t>139</w:t>
            </w:r>
          </w:p>
        </w:tc>
        <w:tc>
          <w:tcPr>
            <w:tcW w:w="630" w:type="dxa"/>
          </w:tcPr>
          <w:p w14:paraId="6C029F6A" w14:textId="77777777" w:rsidR="002C4648" w:rsidRPr="002E6E17" w:rsidRDefault="002C4648" w:rsidP="00EA5C2D">
            <w:pPr>
              <w:pStyle w:val="Tabletext"/>
            </w:pPr>
            <w:r w:rsidRPr="002E6E17">
              <w:t>184</w:t>
            </w:r>
          </w:p>
        </w:tc>
        <w:tc>
          <w:tcPr>
            <w:tcW w:w="633" w:type="dxa"/>
          </w:tcPr>
          <w:p w14:paraId="3BAA85DE" w14:textId="77777777" w:rsidR="002C4648" w:rsidRPr="002E6E17" w:rsidRDefault="002C4648" w:rsidP="00EA5C2D">
            <w:pPr>
              <w:pStyle w:val="Tabletext"/>
            </w:pPr>
            <w:r w:rsidRPr="002E6E17">
              <w:t>25</w:t>
            </w:r>
          </w:p>
        </w:tc>
        <w:tc>
          <w:tcPr>
            <w:tcW w:w="630" w:type="dxa"/>
          </w:tcPr>
          <w:p w14:paraId="17DE5FE8" w14:textId="77777777" w:rsidR="002C4648" w:rsidRPr="002E6E17" w:rsidRDefault="002C4648" w:rsidP="00EA5C2D">
            <w:pPr>
              <w:pStyle w:val="Tabletext"/>
            </w:pPr>
            <w:r w:rsidRPr="002E6E17">
              <w:t>39</w:t>
            </w:r>
          </w:p>
        </w:tc>
        <w:tc>
          <w:tcPr>
            <w:tcW w:w="630" w:type="dxa"/>
          </w:tcPr>
          <w:p w14:paraId="4911FAFB" w14:textId="77777777" w:rsidR="002C4648" w:rsidRPr="002E6E17" w:rsidRDefault="002C4648" w:rsidP="00EA5C2D">
            <w:pPr>
              <w:pStyle w:val="Tabletext"/>
            </w:pPr>
            <w:r w:rsidRPr="002E6E17">
              <w:t>18</w:t>
            </w:r>
          </w:p>
        </w:tc>
        <w:tc>
          <w:tcPr>
            <w:tcW w:w="630" w:type="dxa"/>
          </w:tcPr>
          <w:p w14:paraId="51D655C2" w14:textId="77777777" w:rsidR="002C4648" w:rsidRPr="002E6E17" w:rsidRDefault="002C4648" w:rsidP="00EA5C2D">
            <w:pPr>
              <w:pStyle w:val="Tabletext"/>
            </w:pPr>
            <w:r w:rsidRPr="002E6E17">
              <w:t>28</w:t>
            </w:r>
          </w:p>
        </w:tc>
        <w:tc>
          <w:tcPr>
            <w:tcW w:w="630" w:type="dxa"/>
          </w:tcPr>
          <w:p w14:paraId="26A4E6DE" w14:textId="77777777" w:rsidR="002C4648" w:rsidRPr="002E6E17" w:rsidRDefault="002C4648" w:rsidP="00EA5C2D">
            <w:pPr>
              <w:pStyle w:val="Tabletext"/>
            </w:pPr>
            <w:r w:rsidRPr="002E6E17">
              <w:t>78</w:t>
            </w:r>
          </w:p>
        </w:tc>
        <w:tc>
          <w:tcPr>
            <w:tcW w:w="630" w:type="dxa"/>
          </w:tcPr>
          <w:p w14:paraId="1F39A200" w14:textId="77777777" w:rsidR="002C4648" w:rsidRPr="002E6E17" w:rsidRDefault="002C4648" w:rsidP="00EA5C2D">
            <w:pPr>
              <w:pStyle w:val="Tabletext"/>
            </w:pPr>
            <w:r w:rsidRPr="002E6E17">
              <w:t>124</w:t>
            </w:r>
          </w:p>
        </w:tc>
        <w:tc>
          <w:tcPr>
            <w:tcW w:w="630" w:type="dxa"/>
          </w:tcPr>
          <w:p w14:paraId="01089B31" w14:textId="77777777" w:rsidR="002C4648" w:rsidRPr="002E6E17" w:rsidRDefault="002C4648" w:rsidP="00EA5C2D">
            <w:pPr>
              <w:pStyle w:val="Tabletext"/>
            </w:pPr>
            <w:r w:rsidRPr="002E6E17">
              <w:t>63</w:t>
            </w:r>
          </w:p>
        </w:tc>
        <w:tc>
          <w:tcPr>
            <w:tcW w:w="630" w:type="dxa"/>
          </w:tcPr>
          <w:p w14:paraId="42365B53" w14:textId="77777777" w:rsidR="002C4648" w:rsidRPr="002E6E17" w:rsidRDefault="002C4648" w:rsidP="00EA5C2D">
            <w:pPr>
              <w:pStyle w:val="Tabletext"/>
            </w:pPr>
            <w:r w:rsidRPr="002E6E17">
              <w:t>56</w:t>
            </w:r>
          </w:p>
        </w:tc>
        <w:tc>
          <w:tcPr>
            <w:tcW w:w="630" w:type="dxa"/>
          </w:tcPr>
          <w:p w14:paraId="3A5A65A8" w14:textId="77777777" w:rsidR="002C4648" w:rsidRPr="002E6E17" w:rsidRDefault="002C4648" w:rsidP="00EA5C2D">
            <w:pPr>
              <w:pStyle w:val="Tabletext"/>
            </w:pPr>
            <w:r w:rsidRPr="002E6E17">
              <w:t>75</w:t>
            </w:r>
          </w:p>
        </w:tc>
        <w:tc>
          <w:tcPr>
            <w:tcW w:w="630" w:type="dxa"/>
          </w:tcPr>
          <w:p w14:paraId="38FAAF8E" w14:textId="77777777" w:rsidR="002C4648" w:rsidRPr="002E6E17" w:rsidRDefault="002C4648" w:rsidP="00EA5C2D">
            <w:pPr>
              <w:pStyle w:val="Tabletext"/>
            </w:pPr>
            <w:r w:rsidRPr="002E6E17">
              <w:t>52</w:t>
            </w:r>
          </w:p>
        </w:tc>
        <w:tc>
          <w:tcPr>
            <w:tcW w:w="720" w:type="dxa"/>
          </w:tcPr>
          <w:p w14:paraId="042DA60B" w14:textId="77777777" w:rsidR="002C4648" w:rsidRPr="002E6E17" w:rsidRDefault="002C4648" w:rsidP="00EA5C2D">
            <w:pPr>
              <w:pStyle w:val="Tabletext"/>
            </w:pPr>
            <w:r w:rsidRPr="002E6E17">
              <w:t>30</w:t>
            </w:r>
          </w:p>
        </w:tc>
      </w:tr>
      <w:tr w:rsidR="005A30C6" w:rsidRPr="009934FA" w14:paraId="70BAEFD6" w14:textId="77777777" w:rsidTr="002E6E17">
        <w:trPr>
          <w:trHeight w:val="240"/>
        </w:trPr>
        <w:tc>
          <w:tcPr>
            <w:tcW w:w="1171" w:type="dxa"/>
            <w:vMerge w:val="restart"/>
          </w:tcPr>
          <w:p w14:paraId="656F4472" w14:textId="77777777" w:rsidR="002C4648" w:rsidRPr="00EA5C2D" w:rsidRDefault="002C4648" w:rsidP="00EA5C2D">
            <w:pPr>
              <w:pStyle w:val="Tabletext"/>
            </w:pPr>
            <w:r w:rsidRPr="00EA5C2D">
              <w:t>Safety endpoint</w:t>
            </w:r>
          </w:p>
        </w:tc>
        <w:tc>
          <w:tcPr>
            <w:tcW w:w="8372" w:type="dxa"/>
            <w:gridSpan w:val="13"/>
          </w:tcPr>
          <w:p w14:paraId="78A1C2CB" w14:textId="35BCA230" w:rsidR="002C4648" w:rsidRPr="00EA5C2D" w:rsidRDefault="002C4648" w:rsidP="00EA5C2D">
            <w:pPr>
              <w:pStyle w:val="Tabletext"/>
              <w:rPr>
                <w:b/>
              </w:rPr>
            </w:pPr>
            <w:r w:rsidRPr="00EA5C2D">
              <w:rPr>
                <w:b/>
              </w:rPr>
              <w:t>Rate of confirmed hypoglycaemic episodes per 100 PYE</w:t>
            </w:r>
          </w:p>
        </w:tc>
      </w:tr>
      <w:tr w:rsidR="00E00989" w:rsidRPr="009934FA" w14:paraId="38FFA027" w14:textId="77777777" w:rsidTr="002E6E17">
        <w:trPr>
          <w:trHeight w:val="240"/>
        </w:trPr>
        <w:tc>
          <w:tcPr>
            <w:tcW w:w="1171" w:type="dxa"/>
            <w:vMerge/>
          </w:tcPr>
          <w:p w14:paraId="4E8FDBF4" w14:textId="77777777" w:rsidR="002C4648" w:rsidRPr="009934FA" w:rsidRDefault="002C4648" w:rsidP="002C4648">
            <w:pPr>
              <w:rPr>
                <w:sz w:val="20"/>
                <w:szCs w:val="20"/>
              </w:rPr>
            </w:pPr>
          </w:p>
        </w:tc>
        <w:tc>
          <w:tcPr>
            <w:tcW w:w="719" w:type="dxa"/>
          </w:tcPr>
          <w:p w14:paraId="7FF5F92D" w14:textId="77777777" w:rsidR="002C4648" w:rsidRPr="002E6E17" w:rsidRDefault="002C4648" w:rsidP="00EA5C2D">
            <w:pPr>
              <w:pStyle w:val="Tabletext"/>
            </w:pPr>
            <w:r w:rsidRPr="002E6E17">
              <w:t>IDeg</w:t>
            </w:r>
          </w:p>
        </w:tc>
        <w:tc>
          <w:tcPr>
            <w:tcW w:w="630" w:type="dxa"/>
          </w:tcPr>
          <w:p w14:paraId="1A6535E0" w14:textId="77777777" w:rsidR="002C4648" w:rsidRPr="002E6E17" w:rsidRDefault="002C4648" w:rsidP="00EA5C2D">
            <w:pPr>
              <w:pStyle w:val="Tabletext"/>
            </w:pPr>
            <w:r w:rsidRPr="002E6E17">
              <w:t>IGlar</w:t>
            </w:r>
          </w:p>
        </w:tc>
        <w:tc>
          <w:tcPr>
            <w:tcW w:w="633" w:type="dxa"/>
          </w:tcPr>
          <w:p w14:paraId="37D09609" w14:textId="77777777" w:rsidR="002C4648" w:rsidRPr="002E6E17" w:rsidRDefault="002C4648" w:rsidP="00EA5C2D">
            <w:pPr>
              <w:pStyle w:val="Tabletext"/>
            </w:pPr>
            <w:r w:rsidRPr="002E6E17">
              <w:t>IDeg</w:t>
            </w:r>
          </w:p>
        </w:tc>
        <w:tc>
          <w:tcPr>
            <w:tcW w:w="630" w:type="dxa"/>
          </w:tcPr>
          <w:p w14:paraId="5818B1EE" w14:textId="77777777" w:rsidR="002C4648" w:rsidRPr="002E6E17" w:rsidRDefault="002C4648" w:rsidP="00EA5C2D">
            <w:pPr>
              <w:pStyle w:val="Tabletext"/>
            </w:pPr>
            <w:r w:rsidRPr="002E6E17">
              <w:t>IGlar</w:t>
            </w:r>
          </w:p>
        </w:tc>
        <w:tc>
          <w:tcPr>
            <w:tcW w:w="630" w:type="dxa"/>
          </w:tcPr>
          <w:p w14:paraId="466EEF6C" w14:textId="77777777" w:rsidR="002C4648" w:rsidRPr="002E6E17" w:rsidRDefault="002C4648" w:rsidP="00EA5C2D">
            <w:pPr>
              <w:pStyle w:val="Tabletext"/>
            </w:pPr>
            <w:r w:rsidRPr="002E6E17">
              <w:t>IDeg</w:t>
            </w:r>
          </w:p>
        </w:tc>
        <w:tc>
          <w:tcPr>
            <w:tcW w:w="630" w:type="dxa"/>
          </w:tcPr>
          <w:p w14:paraId="28E3D4A8" w14:textId="77777777" w:rsidR="002C4648" w:rsidRPr="002E6E17" w:rsidRDefault="002C4648" w:rsidP="00EA5C2D">
            <w:pPr>
              <w:pStyle w:val="Tabletext"/>
            </w:pPr>
            <w:r w:rsidRPr="002E6E17">
              <w:t>IGlar</w:t>
            </w:r>
          </w:p>
        </w:tc>
        <w:tc>
          <w:tcPr>
            <w:tcW w:w="630" w:type="dxa"/>
          </w:tcPr>
          <w:p w14:paraId="47620361" w14:textId="77777777" w:rsidR="002C4648" w:rsidRPr="002E6E17" w:rsidRDefault="002C4648" w:rsidP="00EA5C2D">
            <w:pPr>
              <w:pStyle w:val="Tabletext"/>
            </w:pPr>
            <w:r w:rsidRPr="002E6E17">
              <w:t>IDeg</w:t>
            </w:r>
          </w:p>
        </w:tc>
        <w:tc>
          <w:tcPr>
            <w:tcW w:w="630" w:type="dxa"/>
          </w:tcPr>
          <w:p w14:paraId="16286B9E" w14:textId="77777777" w:rsidR="002C4648" w:rsidRPr="002E6E17" w:rsidRDefault="002C4648" w:rsidP="00EA5C2D">
            <w:pPr>
              <w:pStyle w:val="Tabletext"/>
            </w:pPr>
            <w:r w:rsidRPr="002E6E17">
              <w:t>IGlar</w:t>
            </w:r>
          </w:p>
        </w:tc>
        <w:tc>
          <w:tcPr>
            <w:tcW w:w="630" w:type="dxa"/>
          </w:tcPr>
          <w:p w14:paraId="27B55BE6" w14:textId="77777777" w:rsidR="002C4648" w:rsidRPr="002E6E17" w:rsidRDefault="002C4648" w:rsidP="00EA5C2D">
            <w:pPr>
              <w:pStyle w:val="Tabletext"/>
            </w:pPr>
            <w:r w:rsidRPr="002E6E17">
              <w:t>IDeg Flex</w:t>
            </w:r>
          </w:p>
        </w:tc>
        <w:tc>
          <w:tcPr>
            <w:tcW w:w="630" w:type="dxa"/>
          </w:tcPr>
          <w:p w14:paraId="739355AD" w14:textId="77777777" w:rsidR="002C4648" w:rsidRPr="002E6E17" w:rsidRDefault="002C4648" w:rsidP="00EA5C2D">
            <w:pPr>
              <w:pStyle w:val="Tabletext"/>
            </w:pPr>
            <w:r w:rsidRPr="002E6E17">
              <w:t>IDeg OD</w:t>
            </w:r>
          </w:p>
        </w:tc>
        <w:tc>
          <w:tcPr>
            <w:tcW w:w="630" w:type="dxa"/>
          </w:tcPr>
          <w:p w14:paraId="764AC6DB" w14:textId="77777777" w:rsidR="002C4648" w:rsidRPr="002E6E17" w:rsidRDefault="002C4648" w:rsidP="00EA5C2D">
            <w:pPr>
              <w:pStyle w:val="Tabletext"/>
            </w:pPr>
            <w:r w:rsidRPr="002E6E17">
              <w:t>IGlar</w:t>
            </w:r>
          </w:p>
        </w:tc>
        <w:tc>
          <w:tcPr>
            <w:tcW w:w="630" w:type="dxa"/>
          </w:tcPr>
          <w:p w14:paraId="2DBBA6E3" w14:textId="77777777" w:rsidR="002C4648" w:rsidRPr="002E6E17" w:rsidRDefault="002C4648" w:rsidP="00EA5C2D">
            <w:pPr>
              <w:pStyle w:val="Tabletext"/>
            </w:pPr>
            <w:r w:rsidRPr="002E6E17">
              <w:t>IDeg</w:t>
            </w:r>
          </w:p>
        </w:tc>
        <w:tc>
          <w:tcPr>
            <w:tcW w:w="720" w:type="dxa"/>
          </w:tcPr>
          <w:p w14:paraId="12FE1887" w14:textId="77777777" w:rsidR="002C4648" w:rsidRPr="002E6E17" w:rsidRDefault="002C4648" w:rsidP="00EA5C2D">
            <w:pPr>
              <w:pStyle w:val="Tabletext"/>
            </w:pPr>
            <w:r w:rsidRPr="002E6E17">
              <w:t>Sita</w:t>
            </w:r>
          </w:p>
        </w:tc>
      </w:tr>
      <w:tr w:rsidR="00E00989" w:rsidRPr="009934FA" w14:paraId="6AE03379" w14:textId="77777777" w:rsidTr="002E6E17">
        <w:trPr>
          <w:trHeight w:val="240"/>
        </w:trPr>
        <w:tc>
          <w:tcPr>
            <w:tcW w:w="1171" w:type="dxa"/>
            <w:vMerge/>
          </w:tcPr>
          <w:p w14:paraId="41AFB8FB" w14:textId="77777777" w:rsidR="002C4648" w:rsidRPr="009934FA" w:rsidRDefault="002C4648" w:rsidP="002C4648">
            <w:pPr>
              <w:rPr>
                <w:sz w:val="20"/>
                <w:szCs w:val="20"/>
              </w:rPr>
            </w:pPr>
          </w:p>
        </w:tc>
        <w:tc>
          <w:tcPr>
            <w:tcW w:w="719" w:type="dxa"/>
          </w:tcPr>
          <w:p w14:paraId="108BC2F7" w14:textId="1B3F5B3B" w:rsidR="002C4648" w:rsidRPr="002E6E17" w:rsidRDefault="002C4648" w:rsidP="00EA5C2D">
            <w:pPr>
              <w:pStyle w:val="Tabletext"/>
            </w:pPr>
            <w:r w:rsidRPr="002E6E17">
              <w:t>1109</w:t>
            </w:r>
          </w:p>
        </w:tc>
        <w:tc>
          <w:tcPr>
            <w:tcW w:w="630" w:type="dxa"/>
          </w:tcPr>
          <w:p w14:paraId="5CC341EA" w14:textId="77777777" w:rsidR="002C4648" w:rsidRPr="002E6E17" w:rsidRDefault="002C4648" w:rsidP="00EA5C2D">
            <w:pPr>
              <w:pStyle w:val="Tabletext"/>
            </w:pPr>
            <w:r w:rsidRPr="002E6E17">
              <w:t>1363</w:t>
            </w:r>
          </w:p>
        </w:tc>
        <w:tc>
          <w:tcPr>
            <w:tcW w:w="633" w:type="dxa"/>
          </w:tcPr>
          <w:p w14:paraId="154B8E1C" w14:textId="689BA2AC" w:rsidR="002C4648" w:rsidRPr="002E6E17" w:rsidRDefault="002C4648" w:rsidP="00EA5C2D">
            <w:pPr>
              <w:pStyle w:val="Tabletext"/>
            </w:pPr>
            <w:r w:rsidRPr="002E6E17">
              <w:t>2</w:t>
            </w:r>
          </w:p>
        </w:tc>
        <w:tc>
          <w:tcPr>
            <w:tcW w:w="630" w:type="dxa"/>
          </w:tcPr>
          <w:p w14:paraId="0E9776DB" w14:textId="77777777" w:rsidR="002C4648" w:rsidRPr="002E6E17" w:rsidRDefault="002C4648" w:rsidP="00EA5C2D">
            <w:pPr>
              <w:pStyle w:val="Tabletext"/>
            </w:pPr>
            <w:r w:rsidRPr="002E6E17">
              <w:t>185</w:t>
            </w:r>
          </w:p>
        </w:tc>
        <w:tc>
          <w:tcPr>
            <w:tcW w:w="630" w:type="dxa"/>
          </w:tcPr>
          <w:p w14:paraId="63B76940" w14:textId="77777777" w:rsidR="002C4648" w:rsidRPr="002E6E17" w:rsidRDefault="002C4648" w:rsidP="00EA5C2D">
            <w:pPr>
              <w:pStyle w:val="Tabletext"/>
            </w:pPr>
            <w:r w:rsidRPr="002E6E17">
              <w:t>122</w:t>
            </w:r>
          </w:p>
        </w:tc>
        <w:tc>
          <w:tcPr>
            <w:tcW w:w="630" w:type="dxa"/>
          </w:tcPr>
          <w:p w14:paraId="0E4DB736" w14:textId="77777777" w:rsidR="002C4648" w:rsidRPr="002E6E17" w:rsidRDefault="002C4648" w:rsidP="00EA5C2D">
            <w:pPr>
              <w:pStyle w:val="Tabletext"/>
            </w:pPr>
            <w:r w:rsidRPr="002E6E17">
              <w:t>142</w:t>
            </w:r>
          </w:p>
        </w:tc>
        <w:tc>
          <w:tcPr>
            <w:tcW w:w="630" w:type="dxa"/>
          </w:tcPr>
          <w:p w14:paraId="567A48DD" w14:textId="77777777" w:rsidR="002C4648" w:rsidRPr="002E6E17" w:rsidRDefault="002C4648" w:rsidP="00EA5C2D">
            <w:pPr>
              <w:pStyle w:val="Tabletext"/>
            </w:pPr>
            <w:r w:rsidRPr="002E6E17">
              <w:t>298</w:t>
            </w:r>
          </w:p>
        </w:tc>
        <w:tc>
          <w:tcPr>
            <w:tcW w:w="630" w:type="dxa"/>
          </w:tcPr>
          <w:p w14:paraId="2C4A339B" w14:textId="77777777" w:rsidR="002C4648" w:rsidRPr="002E6E17" w:rsidRDefault="002C4648" w:rsidP="00EA5C2D">
            <w:pPr>
              <w:pStyle w:val="Tabletext"/>
            </w:pPr>
            <w:r w:rsidRPr="002E6E17">
              <w:t>370</w:t>
            </w:r>
          </w:p>
        </w:tc>
        <w:tc>
          <w:tcPr>
            <w:tcW w:w="630" w:type="dxa"/>
          </w:tcPr>
          <w:p w14:paraId="35AA9BAC" w14:textId="77777777" w:rsidR="002C4648" w:rsidRPr="002E6E17" w:rsidRDefault="002C4648" w:rsidP="00EA5C2D">
            <w:pPr>
              <w:pStyle w:val="Tabletext"/>
            </w:pPr>
            <w:r w:rsidRPr="002E6E17">
              <w:t>364</w:t>
            </w:r>
          </w:p>
        </w:tc>
        <w:tc>
          <w:tcPr>
            <w:tcW w:w="630" w:type="dxa"/>
          </w:tcPr>
          <w:p w14:paraId="6D22F192" w14:textId="77777777" w:rsidR="002C4648" w:rsidRPr="002E6E17" w:rsidRDefault="002C4648" w:rsidP="00EA5C2D">
            <w:pPr>
              <w:pStyle w:val="Tabletext"/>
            </w:pPr>
            <w:r w:rsidRPr="002E6E17">
              <w:t>363</w:t>
            </w:r>
          </w:p>
        </w:tc>
        <w:tc>
          <w:tcPr>
            <w:tcW w:w="630" w:type="dxa"/>
          </w:tcPr>
          <w:p w14:paraId="709A50F1" w14:textId="77777777" w:rsidR="002C4648" w:rsidRPr="002E6E17" w:rsidRDefault="002C4648" w:rsidP="00EA5C2D">
            <w:pPr>
              <w:pStyle w:val="Tabletext"/>
            </w:pPr>
            <w:r w:rsidRPr="002E6E17">
              <w:t>348</w:t>
            </w:r>
          </w:p>
        </w:tc>
        <w:tc>
          <w:tcPr>
            <w:tcW w:w="630" w:type="dxa"/>
          </w:tcPr>
          <w:p w14:paraId="6B2024C2" w14:textId="77777777" w:rsidR="002C4648" w:rsidRPr="002E6E17" w:rsidRDefault="002C4648" w:rsidP="00EA5C2D">
            <w:pPr>
              <w:pStyle w:val="Tabletext"/>
            </w:pPr>
            <w:r w:rsidRPr="002E6E17">
              <w:t>307</w:t>
            </w:r>
          </w:p>
        </w:tc>
        <w:tc>
          <w:tcPr>
            <w:tcW w:w="720" w:type="dxa"/>
          </w:tcPr>
          <w:p w14:paraId="4B2F2661" w14:textId="77777777" w:rsidR="002C4648" w:rsidRPr="002E6E17" w:rsidRDefault="002C4648" w:rsidP="00EA5C2D">
            <w:pPr>
              <w:pStyle w:val="Tabletext"/>
            </w:pPr>
            <w:r w:rsidRPr="002E6E17">
              <w:t>126</w:t>
            </w:r>
          </w:p>
        </w:tc>
      </w:tr>
    </w:tbl>
    <w:p w14:paraId="43CA0FB6" w14:textId="77777777" w:rsidR="005A30C6" w:rsidRPr="009934FA" w:rsidRDefault="005A30C6" w:rsidP="005A30C6">
      <w:pPr>
        <w:pStyle w:val="Heading5"/>
      </w:pPr>
      <w:r w:rsidRPr="009934FA">
        <w:t>Meta-analysis of hypoglycaemia</w:t>
      </w:r>
    </w:p>
    <w:p w14:paraId="39C99E59" w14:textId="63568972" w:rsidR="005A30C6" w:rsidRPr="009934FA" w:rsidRDefault="005A30C6" w:rsidP="005A30C6">
      <w:r w:rsidRPr="009934FA">
        <w:t>The sponsor conducted a pre-planned meta-analysis of hypoglycaemia based on data from the 9 pivotal therapeutic confirmatory trials. This included a total of 2899 subjects treated with IDeg and 14</w:t>
      </w:r>
      <w:r w:rsidR="008D3BBD">
        <w:t>31 subjects treated with IGlar.</w:t>
      </w:r>
    </w:p>
    <w:p w14:paraId="188EE57B" w14:textId="77777777" w:rsidR="0025404D" w:rsidRDefault="005A30C6" w:rsidP="005A30C6">
      <w:r w:rsidRPr="009934FA">
        <w:t>The primary analysis demonstrated that IDeg was superior to IGlar in terms of a 9% lower rate of confirmed hypoglycaemic episodes in the pooled analysis of subjects with T1DM and T2DM (estimated rate ratio IDeg/IGlar = 0.91; 95%</w:t>
      </w:r>
      <w:r w:rsidR="00781AF6">
        <w:t xml:space="preserve"> </w:t>
      </w:r>
      <w:r w:rsidRPr="009934FA">
        <w:t xml:space="preserve">CI: 0.83, 0.99). When analysed for </w:t>
      </w:r>
      <w:r w:rsidRPr="009934FA">
        <w:lastRenderedPageBreak/>
        <w:t xml:space="preserve">the type of diabetes, the estimated treatment rate ratio for T2DM was 0.83; 95% CI: 0.74, 0.94) and for T1DM was 1.10; 95% CI: 0.96, 1.26). The rate of confirmed </w:t>
      </w:r>
      <w:r w:rsidR="008D3BBD" w:rsidRPr="009934FA">
        <w:t xml:space="preserve">nocturnal </w:t>
      </w:r>
      <w:r w:rsidRPr="009934FA">
        <w:t>hypoglycaemia was 17% lower with IDeg than with IGlar in T1DM (estimated treatment rate ratio = 0.83; 95% CI: 0.69, 1.00), 32% lower in T2DM (estimated treatment rate r</w:t>
      </w:r>
      <w:r w:rsidR="00781AF6">
        <w:t>atio = 0.68; 95% CI: 0.57, 0.82)</w:t>
      </w:r>
      <w:r w:rsidRPr="009934FA">
        <w:t xml:space="preserve"> and 36% lower in insulin-naïve subjects with T2DM (estimated treatment rate ratio = 0.64; 95% CI: 0.48, 0.86).</w:t>
      </w:r>
    </w:p>
    <w:p w14:paraId="6E31AF9E" w14:textId="22F47DE8" w:rsidR="005A30C6" w:rsidRPr="009934FA" w:rsidRDefault="00213303" w:rsidP="005A30C6">
      <w:r>
        <w:t xml:space="preserve">The </w:t>
      </w:r>
      <w:r w:rsidR="005A30C6" w:rsidRPr="009934FA">
        <w:t>Delegate comment</w:t>
      </w:r>
      <w:r>
        <w:t>ed that t</w:t>
      </w:r>
      <w:r w:rsidR="005A30C6" w:rsidRPr="009934FA">
        <w:t>he reporting of hypoglycaemia is problematic in relation to adequately defining it. What is most important clinically is nocturnal hypoglycaemia, severe hypoglycaemia (needing assistance), and unrecognised hypoglycaemia. The accuracy of detecting of reporting of mild hypoglycaemia is limited due to lack of sensitivity of capillary blood meters, and limited testing times. Symptoms may not correlate with readings due to timing of sampling and effects of counter-regulatory hormones. The results of the clinical trials suggest that IDeg is associated with less nocturnal hypoglycaemia. Although the pooling of results may increase the power of the analysis, the studies differed in terms of comparators, and the time and frequency of dosing.</w:t>
      </w:r>
    </w:p>
    <w:p w14:paraId="032B2136" w14:textId="2DD1E280" w:rsidR="005A30C6" w:rsidRPr="009934FA" w:rsidRDefault="005A30C6" w:rsidP="005A30C6">
      <w:pPr>
        <w:pStyle w:val="Heading5"/>
      </w:pPr>
      <w:r w:rsidRPr="009934FA">
        <w:t>Paediatric data</w:t>
      </w:r>
    </w:p>
    <w:p w14:paraId="28A5BBCE" w14:textId="1E7BF7CC" w:rsidR="005A30C6" w:rsidRPr="009934FA" w:rsidRDefault="005A30C6" w:rsidP="005A30C6">
      <w:r w:rsidRPr="009934FA">
        <w:t>The pharmacokinetic properties of IDeg w</w:t>
      </w:r>
      <w:r w:rsidR="00781AF6">
        <w:t xml:space="preserve">ere investigated in children (6 to </w:t>
      </w:r>
      <w:r w:rsidRPr="009934FA">
        <w:t>12 years)</w:t>
      </w:r>
      <w:r w:rsidR="00781AF6">
        <w:t xml:space="preserve"> and adolescents (12 to </w:t>
      </w:r>
      <w:r w:rsidRPr="009934FA">
        <w:t xml:space="preserve">17 years) and compared to adults with </w:t>
      </w:r>
      <w:r w:rsidR="00781AF6">
        <w:t xml:space="preserve">T1DM. The ultra </w:t>
      </w:r>
      <w:r w:rsidRPr="009934FA">
        <w:t>long acting properties of IDeg seen in adults were also observe</w:t>
      </w:r>
      <w:r w:rsidR="00781AF6">
        <w:t xml:space="preserve">d in children and adolescents. </w:t>
      </w:r>
      <w:r w:rsidRPr="009934FA">
        <w:t>A synopsis of a clinical trial investigating efficacy and safety of Tresiba in children and adolescents was included as part of this submission. IDeg is approved for use in children in Europe.</w:t>
      </w:r>
    </w:p>
    <w:p w14:paraId="3DF0EA8F" w14:textId="77777777" w:rsidR="005A30C6" w:rsidRPr="009934FA" w:rsidRDefault="005A30C6" w:rsidP="005A30C6">
      <w:pPr>
        <w:pStyle w:val="Heading5"/>
      </w:pPr>
      <w:r w:rsidRPr="009934FA">
        <w:t>CV risk assessment</w:t>
      </w:r>
    </w:p>
    <w:p w14:paraId="4184A0A7" w14:textId="62622F7F" w:rsidR="005A30C6" w:rsidRPr="009934FA" w:rsidRDefault="005A30C6" w:rsidP="005A30C6">
      <w:r w:rsidRPr="009934FA">
        <w:t>Due to the signal of CV risk in the initial clinical studie</w:t>
      </w:r>
      <w:r w:rsidR="00781AF6">
        <w:t>s, the sponsor performed a meta</w:t>
      </w:r>
      <w:r w:rsidR="00781AF6">
        <w:noBreakHyphen/>
      </w:r>
      <w:r w:rsidRPr="009934FA">
        <w:t xml:space="preserve">analysis based on the results of the completed clinical </w:t>
      </w:r>
      <w:r w:rsidR="00781AF6">
        <w:t xml:space="preserve">studies and extension studies. </w:t>
      </w:r>
      <w:r w:rsidRPr="009934FA">
        <w:t>This analysis was based on the results of 7716 patient years of data. In this patient population, the mean age was 54 years in IDeg group, 55 years in comparator group. Overall, 45% patients in the trials had T2DM. Only 165 had pre-existing CV disease. Thus, this population differed from the subsequent population used in the CV clinical trial in that they were younger, had a longer duration of exposure to IDeg, had lower CV risk, and included patien</w:t>
      </w:r>
      <w:r w:rsidR="008D3BBD">
        <w:t>ts with T1DM and T2DM.</w:t>
      </w:r>
    </w:p>
    <w:p w14:paraId="1813FB1D" w14:textId="67C54993" w:rsidR="005A30C6" w:rsidRPr="009934FA" w:rsidRDefault="005A30C6" w:rsidP="005A30C6">
      <w:r w:rsidRPr="009934FA">
        <w:t>The meta-analysis based on the analysis demonstrated the hazard ration of MAC</w:t>
      </w:r>
      <w:r w:rsidR="00FB0E89" w:rsidRPr="009934FA">
        <w:t>E</w:t>
      </w:r>
      <w:r w:rsidRPr="009934FA">
        <w:t>+</w:t>
      </w:r>
      <w:r w:rsidR="00FB0E89" w:rsidRPr="009934FA">
        <w:t xml:space="preserve"> to be 1.3 (95% CI 0.88; </w:t>
      </w:r>
      <w:r w:rsidRPr="009934FA">
        <w:t>1.93), an</w:t>
      </w:r>
      <w:r w:rsidR="00FB0E89" w:rsidRPr="009934FA">
        <w:t>d MACE 1.67 (95% CI 1.01; 2.75).</w:t>
      </w:r>
      <w:r w:rsidR="00FB0E89" w:rsidRPr="009934FA">
        <w:rPr>
          <w:vertAlign w:val="superscript"/>
        </w:rPr>
        <w:footnoteReference w:id="15"/>
      </w:r>
      <w:r w:rsidR="0025116F">
        <w:t xml:space="preserve"> Results are given in Figures 4 to 6 (below).</w:t>
      </w:r>
    </w:p>
    <w:p w14:paraId="51955636" w14:textId="660C5727" w:rsidR="005A30C6" w:rsidRPr="009934FA" w:rsidRDefault="005A30C6" w:rsidP="005A30C6">
      <w:r w:rsidRPr="009934FA">
        <w:t xml:space="preserve">There were </w:t>
      </w:r>
      <w:r w:rsidR="00213303">
        <w:t>fewer</w:t>
      </w:r>
      <w:r w:rsidR="00213303" w:rsidRPr="009934FA">
        <w:t xml:space="preserve"> </w:t>
      </w:r>
      <w:r w:rsidRPr="009934FA">
        <w:t xml:space="preserve">patients with T1DM than T2DM. The number of events was lower in T1DM, and </w:t>
      </w:r>
      <w:r w:rsidR="00CB2EF9" w:rsidRPr="009934FA">
        <w:t>the CI around risk much larger.</w:t>
      </w:r>
    </w:p>
    <w:p w14:paraId="4D83C380" w14:textId="16C85F5B" w:rsidR="00FB0E89" w:rsidRPr="009934FA" w:rsidRDefault="0025116F" w:rsidP="00FB0E89">
      <w:pPr>
        <w:pStyle w:val="FigureTitle"/>
      </w:pPr>
      <w:r>
        <w:lastRenderedPageBreak/>
        <w:t>Figure 4</w:t>
      </w:r>
      <w:r w:rsidR="006C50FE">
        <w:t>:</w:t>
      </w:r>
      <w:r w:rsidR="006C50FE" w:rsidRPr="009934FA">
        <w:t xml:space="preserve"> </w:t>
      </w:r>
      <w:r w:rsidR="00FB0E89" w:rsidRPr="009934FA">
        <w:t>MACE and MACE+ primary and secondary analysis</w:t>
      </w:r>
    </w:p>
    <w:p w14:paraId="4C696402" w14:textId="77777777" w:rsidR="000317DE" w:rsidRPr="009934FA" w:rsidRDefault="000317DE" w:rsidP="000317DE">
      <w:r w:rsidRPr="009934FA">
        <w:rPr>
          <w:noProof/>
          <w:lang w:eastAsia="en-AU"/>
        </w:rPr>
        <w:drawing>
          <wp:inline distT="0" distB="0" distL="0" distR="0" wp14:anchorId="15587015" wp14:editId="149EBBE7">
            <wp:extent cx="4331678" cy="2468964"/>
            <wp:effectExtent l="0" t="0" r="12065" b="0"/>
            <wp:docPr id="8" name="Picture 8" descr="MACE and MACE+ primary and secondary analysis" title="MACE and MACE+ primary and second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716" t="-1" r="2570" b="3267"/>
                    <a:stretch/>
                  </pic:blipFill>
                  <pic:spPr bwMode="auto">
                    <a:xfrm>
                      <a:off x="0" y="0"/>
                      <a:ext cx="4353928" cy="2481646"/>
                    </a:xfrm>
                    <a:prstGeom prst="rect">
                      <a:avLst/>
                    </a:prstGeom>
                    <a:noFill/>
                    <a:ln>
                      <a:noFill/>
                    </a:ln>
                    <a:extLst>
                      <a:ext uri="{53640926-AAD7-44D8-BBD7-CCE9431645EC}">
                        <a14:shadowObscured xmlns:a14="http://schemas.microsoft.com/office/drawing/2010/main"/>
                      </a:ext>
                    </a:extLst>
                  </pic:spPr>
                </pic:pic>
              </a:graphicData>
            </a:graphic>
          </wp:inline>
        </w:drawing>
      </w:r>
    </w:p>
    <w:p w14:paraId="2CE84A41" w14:textId="4C387B74" w:rsidR="00825198" w:rsidRPr="009934FA" w:rsidRDefault="00825198" w:rsidP="00825198">
      <w:pPr>
        <w:pStyle w:val="FigureDescription"/>
      </w:pPr>
      <w:r w:rsidRPr="009934FA">
        <w:t>*per 1,000 PYE; Mantel-Haenszel analysis</w:t>
      </w:r>
    </w:p>
    <w:p w14:paraId="39836F11" w14:textId="1FFED770" w:rsidR="00FB0E89" w:rsidRPr="009934FA" w:rsidRDefault="0025116F" w:rsidP="00FB0E89">
      <w:pPr>
        <w:pStyle w:val="FigureTitle"/>
      </w:pPr>
      <w:r>
        <w:t>Figure 5</w:t>
      </w:r>
      <w:r w:rsidR="006C50FE">
        <w:t>:</w:t>
      </w:r>
      <w:r w:rsidR="006C50FE" w:rsidRPr="009934FA">
        <w:t xml:space="preserve"> </w:t>
      </w:r>
      <w:r w:rsidR="00FB0E89" w:rsidRPr="009934FA">
        <w:t>MACE and MACE+ results in T1DM (4 trials)</w:t>
      </w:r>
    </w:p>
    <w:p w14:paraId="022E86A2" w14:textId="77777777" w:rsidR="000317DE" w:rsidRPr="009934FA" w:rsidRDefault="000317DE" w:rsidP="000317DE">
      <w:r w:rsidRPr="009934FA">
        <w:rPr>
          <w:noProof/>
          <w:lang w:eastAsia="en-AU"/>
        </w:rPr>
        <w:drawing>
          <wp:inline distT="0" distB="0" distL="0" distR="0" wp14:anchorId="6AB4F99C" wp14:editId="2E220B10">
            <wp:extent cx="4331678" cy="1524656"/>
            <wp:effectExtent l="0" t="0" r="12065" b="0"/>
            <wp:docPr id="9" name="Picture 9" descr="MACE and MACE+ results in T1DM (4 trials)" title="MACE and MACE+ results in T1DM (4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209" t="29771" r="2639" b="11481"/>
                    <a:stretch/>
                  </pic:blipFill>
                  <pic:spPr bwMode="auto">
                    <a:xfrm>
                      <a:off x="0" y="0"/>
                      <a:ext cx="4426308" cy="1557964"/>
                    </a:xfrm>
                    <a:prstGeom prst="rect">
                      <a:avLst/>
                    </a:prstGeom>
                    <a:noFill/>
                    <a:ln>
                      <a:noFill/>
                    </a:ln>
                    <a:extLst>
                      <a:ext uri="{53640926-AAD7-44D8-BBD7-CCE9431645EC}">
                        <a14:shadowObscured xmlns:a14="http://schemas.microsoft.com/office/drawing/2010/main"/>
                      </a:ext>
                    </a:extLst>
                  </pic:spPr>
                </pic:pic>
              </a:graphicData>
            </a:graphic>
          </wp:inline>
        </w:drawing>
      </w:r>
    </w:p>
    <w:p w14:paraId="2DE4FE76" w14:textId="4502CF3B" w:rsidR="00825198" w:rsidRPr="009934FA" w:rsidRDefault="00825198" w:rsidP="00825198">
      <w:pPr>
        <w:pStyle w:val="FigureDescription"/>
      </w:pPr>
      <w:r w:rsidRPr="009934FA">
        <w:t>Cox model stratified by trial</w:t>
      </w:r>
    </w:p>
    <w:p w14:paraId="77E90631" w14:textId="0E9BB211" w:rsidR="00825198" w:rsidRPr="009934FA" w:rsidRDefault="0025116F" w:rsidP="00825198">
      <w:pPr>
        <w:pStyle w:val="FigureTitle"/>
      </w:pPr>
      <w:r>
        <w:t>Figure 6</w:t>
      </w:r>
      <w:r w:rsidR="006C50FE">
        <w:t>:</w:t>
      </w:r>
      <w:r w:rsidR="006C50FE" w:rsidRPr="009934FA">
        <w:t xml:space="preserve"> </w:t>
      </w:r>
      <w:r w:rsidR="00825198" w:rsidRPr="009934FA">
        <w:t>MACE and MACE+ results in T2DM (13 trials)</w:t>
      </w:r>
    </w:p>
    <w:p w14:paraId="4DEFA987" w14:textId="77777777" w:rsidR="000317DE" w:rsidRPr="009934FA" w:rsidRDefault="000317DE" w:rsidP="000317DE">
      <w:r w:rsidRPr="009934FA">
        <w:rPr>
          <w:noProof/>
          <w:lang w:eastAsia="en-AU"/>
        </w:rPr>
        <w:drawing>
          <wp:inline distT="0" distB="0" distL="0" distR="0" wp14:anchorId="08D6C0F2" wp14:editId="19B14701">
            <wp:extent cx="4541228" cy="1537303"/>
            <wp:effectExtent l="0" t="0" r="0" b="6350"/>
            <wp:docPr id="10" name="Picture 10" descr="Figure 6: MACE and MACE+ results in T2DM (13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661" t="32825" r="2216" b="11853"/>
                    <a:stretch/>
                  </pic:blipFill>
                  <pic:spPr bwMode="auto">
                    <a:xfrm>
                      <a:off x="0" y="0"/>
                      <a:ext cx="4665437" cy="1579350"/>
                    </a:xfrm>
                    <a:prstGeom prst="rect">
                      <a:avLst/>
                    </a:prstGeom>
                    <a:noFill/>
                    <a:ln>
                      <a:noFill/>
                    </a:ln>
                    <a:extLst>
                      <a:ext uri="{53640926-AAD7-44D8-BBD7-CCE9431645EC}">
                        <a14:shadowObscured xmlns:a14="http://schemas.microsoft.com/office/drawing/2010/main"/>
                      </a:ext>
                    </a:extLst>
                  </pic:spPr>
                </pic:pic>
              </a:graphicData>
            </a:graphic>
          </wp:inline>
        </w:drawing>
      </w:r>
    </w:p>
    <w:p w14:paraId="5D9C5F38" w14:textId="704FC70C" w:rsidR="00825198" w:rsidRPr="009934FA" w:rsidRDefault="00825198" w:rsidP="00825198">
      <w:pPr>
        <w:pStyle w:val="FigureDescription"/>
      </w:pPr>
      <w:r w:rsidRPr="009934FA">
        <w:t>Cox model stratified by trial</w:t>
      </w:r>
    </w:p>
    <w:p w14:paraId="7E476E1E" w14:textId="060AE981" w:rsidR="000317DE" w:rsidRPr="009934FA" w:rsidRDefault="000317DE" w:rsidP="000317DE">
      <w:r w:rsidRPr="009934FA">
        <w:t>Limitations of the meta-analysis include relying on results of clinical studies where CV events were adjudicated by CV safety committee, but that were not primary efficacy variabl</w:t>
      </w:r>
      <w:r w:rsidR="00781AF6">
        <w:t xml:space="preserve">es; and the lack of blinding. </w:t>
      </w:r>
      <w:r w:rsidR="006C50FE" w:rsidRPr="009934FA">
        <w:t>However,</w:t>
      </w:r>
      <w:r w:rsidRPr="009934FA">
        <w:t xml:space="preserve"> it is concerning though that excess CV risk was identified in this group as they had </w:t>
      </w:r>
      <w:r w:rsidR="00213303">
        <w:t>fewer</w:t>
      </w:r>
      <w:r w:rsidR="00213303" w:rsidRPr="009934FA">
        <w:t xml:space="preserve"> </w:t>
      </w:r>
      <w:r w:rsidRPr="009934FA">
        <w:t>risk factors for macrovascular disease.</w:t>
      </w:r>
    </w:p>
    <w:p w14:paraId="043A469B" w14:textId="6FCC0FD7" w:rsidR="005A58A1" w:rsidRPr="009934FA" w:rsidRDefault="000317DE" w:rsidP="00B855F0">
      <w:pPr>
        <w:pStyle w:val="Heading5"/>
      </w:pPr>
      <w:r w:rsidRPr="009934FA">
        <w:t xml:space="preserve">New data from the </w:t>
      </w:r>
      <w:r w:rsidR="005A58A1" w:rsidRPr="009934FA">
        <w:t xml:space="preserve">CV Study </w:t>
      </w:r>
      <w:r w:rsidRPr="009934FA">
        <w:t>DEVOTE</w:t>
      </w:r>
    </w:p>
    <w:p w14:paraId="39B5C363" w14:textId="74221D3A" w:rsidR="000317DE" w:rsidRPr="009934FA" w:rsidRDefault="000317DE" w:rsidP="000317DE">
      <w:r w:rsidRPr="009934FA">
        <w:t xml:space="preserve">This was a randomised, double blind, </w:t>
      </w:r>
      <w:r w:rsidR="0025116F">
        <w:t>parallel group study comparing insulin g</w:t>
      </w:r>
      <w:r w:rsidRPr="009934FA">
        <w:t>largine to IDeg with standard care in T2DM. The study included patients with T2DM with existing CV disease or at high risk of CV disease.</w:t>
      </w:r>
    </w:p>
    <w:p w14:paraId="0D158815" w14:textId="7FC60603" w:rsidR="000317DE" w:rsidRPr="009934FA" w:rsidRDefault="000317DE" w:rsidP="000317DE">
      <w:r w:rsidRPr="009934FA">
        <w:rPr>
          <w:i/>
        </w:rPr>
        <w:lastRenderedPageBreak/>
        <w:t>Key inclusion criteria included</w:t>
      </w:r>
      <w:r w:rsidRPr="009934FA">
        <w:t>: a dia</w:t>
      </w:r>
      <w:r w:rsidR="00781AF6">
        <w:t>gnosis of T2DM; HbA1c ≥ 7.0 %; or</w:t>
      </w:r>
      <w:r w:rsidRPr="009934FA">
        <w:t xml:space="preserve"> HbA1c &lt; 7.0 % and requiring ≥ 20 U/day of basal insulin; current treatment with one or more oral or injectable anti-diabetic agent(s); age &gt; 50 years with a history of at least one pre-specified CV condition</w:t>
      </w:r>
      <w:r w:rsidR="00781AF6">
        <w:t>; or</w:t>
      </w:r>
      <w:r w:rsidRPr="009934FA">
        <w:t xml:space="preserve"> age &gt; 60 years with at least one pre-specified CV risk factor.</w:t>
      </w:r>
    </w:p>
    <w:p w14:paraId="0E123C50" w14:textId="70BE5141" w:rsidR="000317DE" w:rsidRPr="009934FA" w:rsidRDefault="000317DE" w:rsidP="000317DE">
      <w:r w:rsidRPr="009934FA">
        <w:t>Subjects were randomised to receive either glargine or ID</w:t>
      </w:r>
      <w:r w:rsidR="00D63903" w:rsidRPr="009934FA">
        <w:t>eg in a 1:1 ratio. Current anti</w:t>
      </w:r>
      <w:r w:rsidR="00D63903" w:rsidRPr="009934FA">
        <w:noBreakHyphen/>
      </w:r>
      <w:r w:rsidRPr="009934FA">
        <w:t>diabetic treatment was continued. Both insulins were provided as 10</w:t>
      </w:r>
      <w:r w:rsidR="00D63903" w:rsidRPr="009934FA">
        <w:t xml:space="preserve"> mL</w:t>
      </w:r>
      <w:r w:rsidRPr="009934FA">
        <w:t xml:space="preserve"> vials 100</w:t>
      </w:r>
      <w:r w:rsidR="00D63903" w:rsidRPr="009934FA">
        <w:t> IU/mL</w:t>
      </w:r>
      <w:r w:rsidRPr="009934FA">
        <w:t xml:space="preserve">. No maximum dose was specified. The protocol suggested adjustment based on plasma glucose values weekly. Subjects had </w:t>
      </w:r>
      <w:r w:rsidR="00D63903" w:rsidRPr="009934FA">
        <w:t>2</w:t>
      </w:r>
      <w:r w:rsidRPr="009934FA">
        <w:t xml:space="preserve"> weekly site visits then were in contact with the site monthly.</w:t>
      </w:r>
    </w:p>
    <w:p w14:paraId="6CA082C1" w14:textId="1B7857E5" w:rsidR="000317DE" w:rsidRPr="009934FA" w:rsidRDefault="000317DE" w:rsidP="000317DE">
      <w:r w:rsidRPr="009934FA">
        <w:t>The primary endpoint was MACE. There was an external adjudication committee that adjudicated outcomes related to MACE and severe hypoglycaem</w:t>
      </w:r>
      <w:r w:rsidR="0025116F">
        <w:t>ia. Safety data was limited to serious adverse events</w:t>
      </w:r>
      <w:r w:rsidRPr="009934FA">
        <w:t xml:space="preserve"> and events associated with drug discontinuation and </w:t>
      </w:r>
      <w:r w:rsidR="0025116F">
        <w:t>medication errors leading to serious adverse events</w:t>
      </w:r>
      <w:r w:rsidRPr="009934FA">
        <w:t>.</w:t>
      </w:r>
    </w:p>
    <w:p w14:paraId="64C52112" w14:textId="2ED5E0F0" w:rsidR="000317DE" w:rsidRPr="009934FA" w:rsidRDefault="000317DE" w:rsidP="000317DE">
      <w:r w:rsidRPr="009934FA">
        <w:t>Sample size calculations are appropriate</w:t>
      </w:r>
      <w:r w:rsidR="00D63903" w:rsidRPr="009934FA">
        <w:t xml:space="preserve"> [see Attachment 2 for further details]</w:t>
      </w:r>
      <w:r w:rsidRPr="009934FA">
        <w:t>.</w:t>
      </w:r>
    </w:p>
    <w:p w14:paraId="79928C39" w14:textId="435BEAEF" w:rsidR="000317DE" w:rsidRPr="009934FA" w:rsidRDefault="000317DE" w:rsidP="000317DE">
      <w:r w:rsidRPr="009934FA">
        <w:t xml:space="preserve">A total of 7638 subjects were randomised. The mean age was 65 years. Approximately 38% were &gt; 65 years and 8.6% were &gt; 75 years. Mean </w:t>
      </w:r>
      <w:r w:rsidR="0025116F">
        <w:t>body mass index (</w:t>
      </w:r>
      <w:r w:rsidRPr="009934FA">
        <w:t>BMI</w:t>
      </w:r>
      <w:r w:rsidR="0025116F">
        <w:t>)</w:t>
      </w:r>
      <w:r w:rsidRPr="009934FA">
        <w:t xml:space="preserve"> </w:t>
      </w:r>
      <w:r w:rsidR="00D63903" w:rsidRPr="009934FA">
        <w:t xml:space="preserve">was </w:t>
      </w:r>
      <w:proofErr w:type="gramStart"/>
      <w:r w:rsidRPr="009934FA">
        <w:t>33.6</w:t>
      </w:r>
      <w:r w:rsidR="0025116F">
        <w:t> </w:t>
      </w:r>
      <w:r w:rsidRPr="009934FA">
        <w:t>kg/m</w:t>
      </w:r>
      <w:r w:rsidRPr="009934FA">
        <w:rPr>
          <w:vertAlign w:val="superscript"/>
        </w:rPr>
        <w:t>2</w:t>
      </w:r>
      <w:proofErr w:type="gramEnd"/>
      <w:r w:rsidR="00D63903" w:rsidRPr="009934FA">
        <w:t>.</w:t>
      </w:r>
      <w:r w:rsidRPr="009934FA">
        <w:t xml:space="preserve"> Mean duration of diabetes </w:t>
      </w:r>
      <w:r w:rsidR="00D63903" w:rsidRPr="009934FA">
        <w:t>was 16 years and t</w:t>
      </w:r>
      <w:r w:rsidRPr="009934FA">
        <w:t xml:space="preserve">he mean baseline HbA1c </w:t>
      </w:r>
      <w:r w:rsidR="00D63903" w:rsidRPr="009934FA">
        <w:t>was 8.1%.</w:t>
      </w:r>
    </w:p>
    <w:p w14:paraId="061A5B00" w14:textId="6C3B6AD2" w:rsidR="000317DE" w:rsidRPr="009934FA" w:rsidRDefault="000317DE" w:rsidP="000317DE">
      <w:r w:rsidRPr="009934FA">
        <w:t>Patients were of high CV risk</w:t>
      </w:r>
      <w:r w:rsidR="00D63903" w:rsidRPr="009934FA">
        <w:t>; a summary of established CV disease and proportions with risk factors fo</w:t>
      </w:r>
      <w:r w:rsidR="00781AF6">
        <w:t>r CV disease is shown in Table 16</w:t>
      </w:r>
      <w:r w:rsidR="00D63903" w:rsidRPr="009934FA">
        <w:t>, below.</w:t>
      </w:r>
    </w:p>
    <w:p w14:paraId="441D1992" w14:textId="6BACBD99" w:rsidR="00D63903" w:rsidRPr="009934FA" w:rsidRDefault="00781AF6" w:rsidP="00781AF6">
      <w:pPr>
        <w:pStyle w:val="Tabletitle0"/>
      </w:pPr>
      <w:r>
        <w:t>Table 16</w:t>
      </w:r>
      <w:r w:rsidR="006C50FE">
        <w:t>:</w:t>
      </w:r>
      <w:r w:rsidR="006C50FE" w:rsidRPr="009934FA">
        <w:t xml:space="preserve"> </w:t>
      </w:r>
      <w:r w:rsidR="00D63903" w:rsidRPr="009934FA">
        <w:t xml:space="preserve">Summary of subjects with established CV </w:t>
      </w:r>
      <w:r>
        <w:t>disease and risk factors for CV </w:t>
      </w:r>
      <w:r w:rsidR="00D63903" w:rsidRPr="009934FA">
        <w:t>disease</w:t>
      </w:r>
    </w:p>
    <w:p w14:paraId="3C21BEE1" w14:textId="77777777" w:rsidR="000317DE" w:rsidRPr="009934FA" w:rsidRDefault="000317DE" w:rsidP="000317DE">
      <w:r w:rsidRPr="009934FA">
        <w:rPr>
          <w:noProof/>
          <w:lang w:eastAsia="en-AU"/>
        </w:rPr>
        <w:drawing>
          <wp:inline distT="0" distB="0" distL="0" distR="0" wp14:anchorId="41322CFA" wp14:editId="6A8FC6E5">
            <wp:extent cx="5447490" cy="2515235"/>
            <wp:effectExtent l="0" t="0" r="1270" b="0"/>
            <wp:docPr id="33" name="Picture 33" descr="Summary of subjects with established CV disease and risk factors for CV disease" title="Summary of subjects with established CV disease and risk factors for CV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2546" t="3723" r="2390"/>
                    <a:stretch/>
                  </pic:blipFill>
                  <pic:spPr bwMode="auto">
                    <a:xfrm>
                      <a:off x="0" y="0"/>
                      <a:ext cx="5448599" cy="2515747"/>
                    </a:xfrm>
                    <a:prstGeom prst="rect">
                      <a:avLst/>
                    </a:prstGeom>
                    <a:noFill/>
                    <a:ln>
                      <a:noFill/>
                    </a:ln>
                    <a:extLst>
                      <a:ext uri="{53640926-AAD7-44D8-BBD7-CCE9431645EC}">
                        <a14:shadowObscured xmlns:a14="http://schemas.microsoft.com/office/drawing/2010/main"/>
                      </a:ext>
                    </a:extLst>
                  </pic:spPr>
                </pic:pic>
              </a:graphicData>
            </a:graphic>
          </wp:inline>
        </w:drawing>
      </w:r>
    </w:p>
    <w:p w14:paraId="75A49A32" w14:textId="0BB6A261" w:rsidR="000317DE" w:rsidRPr="009934FA" w:rsidRDefault="000317DE" w:rsidP="000317DE">
      <w:r w:rsidRPr="009934FA">
        <w:t>Approximately 74% were on n</w:t>
      </w:r>
      <w:r w:rsidR="004E1B89" w:rsidRPr="009934FA">
        <w:t>on-insulin glucose lowering medications and</w:t>
      </w:r>
      <w:r w:rsidRPr="009934FA">
        <w:t xml:space="preserve"> 16.1% were insulin naïve.</w:t>
      </w:r>
      <w:r w:rsidR="004E1B89" w:rsidRPr="009934FA">
        <w:t xml:space="preserve"> Glucose lowering medications and type of insulin treatment at B</w:t>
      </w:r>
      <w:r w:rsidR="00781AF6">
        <w:t>aseline is summarised in Table 17</w:t>
      </w:r>
      <w:r w:rsidR="004E1B89" w:rsidRPr="009934FA">
        <w:t>, below.</w:t>
      </w:r>
    </w:p>
    <w:p w14:paraId="6345C78C" w14:textId="5CF27836" w:rsidR="004E1B89" w:rsidRPr="009934FA" w:rsidRDefault="00781AF6" w:rsidP="00781AF6">
      <w:pPr>
        <w:pStyle w:val="Tabletitle0"/>
      </w:pPr>
      <w:r>
        <w:lastRenderedPageBreak/>
        <w:t>Table 17</w:t>
      </w:r>
      <w:r w:rsidR="006C50FE">
        <w:t>:</w:t>
      </w:r>
      <w:r w:rsidR="006C50FE" w:rsidRPr="009934FA">
        <w:t xml:space="preserve"> </w:t>
      </w:r>
      <w:r w:rsidR="004E1B89" w:rsidRPr="009934FA">
        <w:t>Summary of blood lowering medications and insulin treatment at Baseline</w:t>
      </w:r>
    </w:p>
    <w:p w14:paraId="46BC75E9" w14:textId="77777777" w:rsidR="000317DE" w:rsidRPr="009934FA" w:rsidRDefault="000317DE" w:rsidP="000317DE">
      <w:r w:rsidRPr="009934FA">
        <w:rPr>
          <w:noProof/>
          <w:lang w:eastAsia="en-AU"/>
        </w:rPr>
        <w:drawing>
          <wp:inline distT="0" distB="0" distL="0" distR="0" wp14:anchorId="05640798" wp14:editId="1D3FF752">
            <wp:extent cx="5265772" cy="2607276"/>
            <wp:effectExtent l="0" t="0" r="0" b="3175"/>
            <wp:docPr id="31" name="Picture 31" descr="Summary of blood lowering medications and insulin treatment at Baseline" title="Summary of blood lowering medications and insulin treat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l="679" t="3387" r="1541"/>
                    <a:stretch/>
                  </pic:blipFill>
                  <pic:spPr bwMode="auto">
                    <a:xfrm>
                      <a:off x="0" y="0"/>
                      <a:ext cx="5267169" cy="2607968"/>
                    </a:xfrm>
                    <a:prstGeom prst="rect">
                      <a:avLst/>
                    </a:prstGeom>
                    <a:noFill/>
                    <a:ln>
                      <a:noFill/>
                    </a:ln>
                    <a:extLst>
                      <a:ext uri="{53640926-AAD7-44D8-BBD7-CCE9431645EC}">
                        <a14:shadowObscured xmlns:a14="http://schemas.microsoft.com/office/drawing/2010/main"/>
                      </a:ext>
                    </a:extLst>
                  </pic:spPr>
                </pic:pic>
              </a:graphicData>
            </a:graphic>
          </wp:inline>
        </w:drawing>
      </w:r>
    </w:p>
    <w:p w14:paraId="47044E53" w14:textId="5CE5A161" w:rsidR="000317DE" w:rsidRPr="009934FA" w:rsidRDefault="004E1B89" w:rsidP="004E1B89">
      <w:pPr>
        <w:pStyle w:val="Heading6"/>
      </w:pPr>
      <w:r w:rsidRPr="009934FA">
        <w:t>Efficacy variables</w:t>
      </w:r>
    </w:p>
    <w:p w14:paraId="0B3DA876" w14:textId="2EEAC94A" w:rsidR="000317DE" w:rsidRPr="009934FA" w:rsidRDefault="000317DE" w:rsidP="000317DE">
      <w:r w:rsidRPr="009934FA">
        <w:t xml:space="preserve">The primary efficacy variable was time from randomisation to MACE. In the full analysis set there were 72 </w:t>
      </w:r>
      <w:r w:rsidR="00FB5DBD">
        <w:t>E</w:t>
      </w:r>
      <w:r w:rsidR="0076394A">
        <w:t xml:space="preserve">vent </w:t>
      </w:r>
      <w:r w:rsidR="00FB5DBD">
        <w:t>A</w:t>
      </w:r>
      <w:r w:rsidR="0076394A">
        <w:t xml:space="preserve">djudication </w:t>
      </w:r>
      <w:r w:rsidR="00FB5DBD">
        <w:t>C</w:t>
      </w:r>
      <w:r w:rsidR="0076394A">
        <w:t xml:space="preserve">ommittee </w:t>
      </w:r>
      <w:r w:rsidR="0076394A" w:rsidRPr="0076394A">
        <w:t>(</w:t>
      </w:r>
      <w:r w:rsidRPr="0076394A">
        <w:t>EAC</w:t>
      </w:r>
      <w:r w:rsidR="0076394A" w:rsidRPr="0076394A">
        <w:t>)</w:t>
      </w:r>
      <w:r w:rsidRPr="009934FA">
        <w:t xml:space="preserve"> confirmed MACE</w:t>
      </w:r>
      <w:r w:rsidR="00FB5DBD">
        <w:t>s</w:t>
      </w:r>
      <w:r w:rsidRPr="009934FA">
        <w:t xml:space="preserve"> i</w:t>
      </w:r>
      <w:r w:rsidR="004E1B89" w:rsidRPr="009934FA">
        <w:t xml:space="preserve">n the IDeg arm and </w:t>
      </w:r>
      <w:r w:rsidRPr="009934FA">
        <w:t>78 in the glargine arm. The estimated haza</w:t>
      </w:r>
      <w:r w:rsidR="004E1B89" w:rsidRPr="009934FA">
        <w:t>rd ratio was 0.92 (95% CI 0.668; 1.267). Results from the pre</w:t>
      </w:r>
      <w:r w:rsidR="004E1B89" w:rsidRPr="009934FA">
        <w:noBreakHyphen/>
      </w:r>
      <w:r w:rsidRPr="009934FA">
        <w:t>specified sensitivity analyses were consis</w:t>
      </w:r>
      <w:r w:rsidR="004C73FE" w:rsidRPr="009934FA">
        <w:t>tent with the primary analysis.</w:t>
      </w:r>
    </w:p>
    <w:p w14:paraId="57747655" w14:textId="30252E83" w:rsidR="000317DE" w:rsidRPr="009934FA" w:rsidRDefault="000317DE" w:rsidP="000317DE">
      <w:r w:rsidRPr="009934FA">
        <w:t xml:space="preserve">For the endpoint </w:t>
      </w:r>
      <w:r w:rsidR="005F62A3">
        <w:t>of unstable angina pectoris</w:t>
      </w:r>
      <w:r w:rsidRPr="009934FA">
        <w:t xml:space="preserve"> requiring</w:t>
      </w:r>
      <w:r w:rsidR="005F62A3">
        <w:t xml:space="preserve"> hospitalisation, there were 23 </w:t>
      </w:r>
      <w:r w:rsidRPr="009934FA">
        <w:t xml:space="preserve">events in the IDeg arm and 15 in the glargine arm (event rates 1.23 </w:t>
      </w:r>
      <w:r w:rsidR="004C73FE" w:rsidRPr="009934FA">
        <w:t>and 0.8 per 100 patient years).</w:t>
      </w:r>
    </w:p>
    <w:p w14:paraId="29EC6EF3" w14:textId="6968DA2D" w:rsidR="000317DE" w:rsidRPr="009934FA" w:rsidRDefault="004C73FE" w:rsidP="004C73FE">
      <w:pPr>
        <w:pStyle w:val="Heading6"/>
      </w:pPr>
      <w:r w:rsidRPr="009934FA">
        <w:t>Other outcomes</w:t>
      </w:r>
    </w:p>
    <w:p w14:paraId="6E693279" w14:textId="0D97F2F9" w:rsidR="000317DE" w:rsidRPr="009934FA" w:rsidRDefault="000317DE" w:rsidP="000317DE">
      <w:r w:rsidRPr="009934FA">
        <w:t xml:space="preserve">The mean duration of treatment in the study was 6.6 months for IDeg and 6.7 months </w:t>
      </w:r>
      <w:r w:rsidR="005B232F">
        <w:t>for glargine. The serious adverse event</w:t>
      </w:r>
      <w:r w:rsidR="004C73FE" w:rsidRPr="009934FA">
        <w:t xml:space="preserve"> rate was </w:t>
      </w:r>
      <w:r w:rsidRPr="009934FA">
        <w:t>38.34 was IDeg and 43.01 in glargine. The rate of EAC confirmed hypos was 4.81 with IDeg and 7.81 in glargine</w:t>
      </w:r>
      <w:r w:rsidR="004C73FE" w:rsidRPr="009934FA">
        <w:t>.</w:t>
      </w:r>
      <w:r w:rsidRPr="009934FA">
        <w:rPr>
          <w:vertAlign w:val="superscript"/>
        </w:rPr>
        <w:footnoteReference w:id="16"/>
      </w:r>
      <w:r w:rsidRPr="009934FA">
        <w:t xml:space="preserve"> Overall there were 30 deaths (0.79% of randomised subjects) in the IDeg arm and 45 (1.18%) on the glargine arm.</w:t>
      </w:r>
    </w:p>
    <w:p w14:paraId="54C22FC3" w14:textId="2DEA4F62" w:rsidR="000317DE" w:rsidRPr="009934FA" w:rsidRDefault="004C73FE" w:rsidP="004C73FE">
      <w:pPr>
        <w:pStyle w:val="Heading6"/>
      </w:pPr>
      <w:r w:rsidRPr="009934FA">
        <w:t>Discussion of CV safety</w:t>
      </w:r>
    </w:p>
    <w:p w14:paraId="38AF2395" w14:textId="5B874CBC" w:rsidR="000317DE" w:rsidRPr="009934FA" w:rsidRDefault="000317DE" w:rsidP="000317DE">
      <w:r w:rsidRPr="009934FA">
        <w:t xml:space="preserve">This study has advantages over the previous meta-analysis in that treatment was blinded, CV events were the main outcome factor </w:t>
      </w:r>
      <w:r w:rsidR="00FB5DBD">
        <w:t xml:space="preserve">and </w:t>
      </w:r>
      <w:r w:rsidRPr="009934FA">
        <w:t>so were more clearly defined, and it was powered for CV outcomes. However, the patient population was those at high risk CV disease and the duration of study was on average only 6 months. Therefore, there are likely to be many factors other than insulin which would have contributed to events. All patient</w:t>
      </w:r>
      <w:r w:rsidR="004C73FE" w:rsidRPr="009934FA">
        <w:t xml:space="preserve">s in the DEVOTE </w:t>
      </w:r>
      <w:r w:rsidR="00E12F2C">
        <w:t>trial</w:t>
      </w:r>
      <w:r w:rsidR="004C73FE" w:rsidRPr="009934FA">
        <w:t xml:space="preserve"> had T2DM.</w:t>
      </w:r>
    </w:p>
    <w:p w14:paraId="31F4D981" w14:textId="38EF2BC3" w:rsidR="000317DE" w:rsidRPr="009934FA" w:rsidRDefault="00B855F0" w:rsidP="00B855F0">
      <w:pPr>
        <w:pStyle w:val="Heading5"/>
      </w:pPr>
      <w:r w:rsidRPr="009934FA">
        <w:t>Updated safety data</w:t>
      </w:r>
    </w:p>
    <w:p w14:paraId="1949038E" w14:textId="33D2FDCD" w:rsidR="000317DE" w:rsidRPr="009934FA" w:rsidRDefault="004C73FE" w:rsidP="000317DE">
      <w:r w:rsidRPr="009934FA">
        <w:t>In all completed Phase III</w:t>
      </w:r>
      <w:r w:rsidR="000317DE" w:rsidRPr="009934FA">
        <w:t xml:space="preserve"> studies, 6206 patients have been exposed to IDeg. Of these, 1102 had T1DM. There have been 2102 su</w:t>
      </w:r>
      <w:r w:rsidRPr="009934FA">
        <w:t>bjects exposed for &gt; 12 months.</w:t>
      </w:r>
    </w:p>
    <w:p w14:paraId="211A2253" w14:textId="3646C4E3" w:rsidR="000317DE" w:rsidRPr="009934FA" w:rsidRDefault="000317DE" w:rsidP="000317DE">
      <w:r w:rsidRPr="009934FA">
        <w:lastRenderedPageBreak/>
        <w:t xml:space="preserve">Nasopharyngitis, </w:t>
      </w:r>
      <w:r w:rsidR="0089510F">
        <w:t>upper respiratory tract infection</w:t>
      </w:r>
      <w:r w:rsidRPr="009934FA">
        <w:t xml:space="preserve"> and headaches were the most frequently recorded adverse events. Hypoglycaemia and injection site reactions were the most important adverse drug reactions.</w:t>
      </w:r>
    </w:p>
    <w:p w14:paraId="02A3856D" w14:textId="654FF9FC" w:rsidR="000317DE" w:rsidRPr="009934FA" w:rsidRDefault="000317DE" w:rsidP="000317DE">
      <w:r w:rsidRPr="009934FA">
        <w:t xml:space="preserve">A similar number of deaths occurred in patients exposed to IDeg and comparators during clinical trials </w:t>
      </w:r>
      <w:r w:rsidR="004C73FE" w:rsidRPr="009934FA">
        <w:t>[see Attachment 2 for further details].</w:t>
      </w:r>
    </w:p>
    <w:p w14:paraId="56424DB6" w14:textId="5CFAA388" w:rsidR="000317DE" w:rsidRPr="009934FA" w:rsidRDefault="000317DE" w:rsidP="000317DE">
      <w:r w:rsidRPr="009934FA">
        <w:t xml:space="preserve">In the updated safety </w:t>
      </w:r>
      <w:r w:rsidR="006C50FE" w:rsidRPr="009934FA">
        <w:t>data,</w:t>
      </w:r>
      <w:r w:rsidRPr="009934FA">
        <w:t xml:space="preserve"> there was an imbalance in the number of neoplasm</w:t>
      </w:r>
      <w:r w:rsidR="0089510F">
        <w:t>s identified with IDeg and IDeg</w:t>
      </w:r>
      <w:r w:rsidRPr="009934FA">
        <w:t xml:space="preserve">Asp compared to comparators. The discrepancy was mainly in relation to benign neoplasms. The most common subgroups of malignant neoplasms were gastrointestinal, skin, bladder, </w:t>
      </w:r>
      <w:proofErr w:type="gramStart"/>
      <w:r w:rsidRPr="009934FA">
        <w:t>breast</w:t>
      </w:r>
      <w:proofErr w:type="gramEnd"/>
      <w:r w:rsidRPr="009934FA">
        <w:t xml:space="preserve">, thyroid and pulmonary. The discrepancy in malignancies was not noted in the summary of safety data from </w:t>
      </w:r>
      <w:r w:rsidR="00D1456E" w:rsidRPr="009934FA">
        <w:t>the original withdrawn submission.</w:t>
      </w:r>
    </w:p>
    <w:p w14:paraId="442464EC" w14:textId="1660722C" w:rsidR="00D1456E" w:rsidRPr="009934FA" w:rsidRDefault="0089510F" w:rsidP="0089510F">
      <w:pPr>
        <w:pStyle w:val="Tabletitle0"/>
      </w:pPr>
      <w:r>
        <w:t>Table 18</w:t>
      </w:r>
      <w:r w:rsidR="006C50FE">
        <w:t>:</w:t>
      </w:r>
      <w:r w:rsidR="00D1456E" w:rsidRPr="009934FA">
        <w:t xml:space="preserve"> External classification of treatment emergent neoplasms, all </w:t>
      </w:r>
      <w:r w:rsidRPr="009934FA">
        <w:t>subjects</w:t>
      </w:r>
      <w:r w:rsidR="00D1456E" w:rsidRPr="009934FA">
        <w:t xml:space="preserve"> from completed Phase III trials (IDeg + IDegAsp versus </w:t>
      </w:r>
      <w:r w:rsidRPr="009934FA">
        <w:t>comparator</w:t>
      </w:r>
      <w:r w:rsidR="00D1456E" w:rsidRPr="009934FA">
        <w:t>; Safety analysis set)</w:t>
      </w:r>
    </w:p>
    <w:p w14:paraId="48AC11EA" w14:textId="77777777" w:rsidR="000317DE" w:rsidRPr="009934FA" w:rsidRDefault="000317DE" w:rsidP="000317DE">
      <w:r w:rsidRPr="009934FA">
        <w:rPr>
          <w:noProof/>
          <w:lang w:eastAsia="en-AU"/>
        </w:rPr>
        <w:drawing>
          <wp:inline distT="0" distB="0" distL="0" distR="0" wp14:anchorId="07DB7ADA" wp14:editId="526D569D">
            <wp:extent cx="5731510" cy="1282079"/>
            <wp:effectExtent l="0" t="0" r="2540" b="0"/>
            <wp:docPr id="1" name="Picture 1" descr="External classification of treatment emergent neoplasms, all subjects from completed Phase III trials (IDeg + IDegAsp versus comparator; Safety analysis set)" title="External classification of treatment emergent neoplasms, all subjects from completed Phase III trials (IDeg + IDegAsp versus comparator;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35329"/>
                    <a:stretch/>
                  </pic:blipFill>
                  <pic:spPr bwMode="auto">
                    <a:xfrm>
                      <a:off x="0" y="0"/>
                      <a:ext cx="5731510" cy="1282079"/>
                    </a:xfrm>
                    <a:prstGeom prst="rect">
                      <a:avLst/>
                    </a:prstGeom>
                    <a:noFill/>
                    <a:ln>
                      <a:noFill/>
                    </a:ln>
                    <a:extLst>
                      <a:ext uri="{53640926-AAD7-44D8-BBD7-CCE9431645EC}">
                        <a14:shadowObscured xmlns:a14="http://schemas.microsoft.com/office/drawing/2010/main"/>
                      </a:ext>
                    </a:extLst>
                  </pic:spPr>
                </pic:pic>
              </a:graphicData>
            </a:graphic>
          </wp:inline>
        </w:drawing>
      </w:r>
    </w:p>
    <w:p w14:paraId="0C3823D7" w14:textId="276382B8" w:rsidR="000317DE" w:rsidRPr="009934FA" w:rsidRDefault="00D1456E" w:rsidP="00D1456E">
      <w:pPr>
        <w:pStyle w:val="Heading6"/>
      </w:pPr>
      <w:r w:rsidRPr="009934FA">
        <w:t>Use in renal impairment</w:t>
      </w:r>
    </w:p>
    <w:p w14:paraId="60C39CCF" w14:textId="0038E937" w:rsidR="000317DE" w:rsidRPr="009934FA" w:rsidRDefault="0089510F" w:rsidP="000317DE">
      <w:r>
        <w:t>A pharmacokinetic</w:t>
      </w:r>
      <w:r w:rsidR="00D1456E" w:rsidRPr="009934FA">
        <w:t xml:space="preserve"> study reported in the original withdrawn submission </w:t>
      </w:r>
      <w:r>
        <w:t xml:space="preserve">examined the pharmacokinetic </w:t>
      </w:r>
      <w:r w:rsidR="000317DE" w:rsidRPr="009934FA">
        <w:t>exposure to IDeg after</w:t>
      </w:r>
      <w:r w:rsidR="00D1456E" w:rsidRPr="009934FA">
        <w:t xml:space="preserve"> a single dose in 32 patients: </w:t>
      </w:r>
      <w:r w:rsidR="000317DE" w:rsidRPr="009934FA">
        <w:t xml:space="preserve">2 patients with normal renal function, and 6 each with mild, moderate and severe renal impairment and 6 with </w:t>
      </w:r>
      <w:r>
        <w:t>end stage renal disease</w:t>
      </w:r>
      <w:r w:rsidR="000317DE" w:rsidRPr="009934FA">
        <w:t xml:space="preserve"> on dialysis. There were patients with diabetes in all of the groups of renal impairment. The age ranged</w:t>
      </w:r>
      <w:r w:rsidR="00D1456E" w:rsidRPr="009934FA">
        <w:t xml:space="preserve"> from 18 to 80 years and </w:t>
      </w:r>
      <w:r>
        <w:t>body mass index of</w:t>
      </w:r>
      <w:r w:rsidR="00D1456E" w:rsidRPr="009934FA">
        <w:t xml:space="preserve"> 25 to </w:t>
      </w:r>
      <w:r w:rsidR="000317DE" w:rsidRPr="009934FA">
        <w:t>31.4</w:t>
      </w:r>
      <w:r w:rsidR="00D1456E" w:rsidRPr="009934FA">
        <w:t xml:space="preserve"> </w:t>
      </w:r>
      <w:r w:rsidR="000317DE" w:rsidRPr="009934FA">
        <w:t>kg/m</w:t>
      </w:r>
      <w:r w:rsidR="000317DE" w:rsidRPr="009934FA">
        <w:rPr>
          <w:vertAlign w:val="superscript"/>
        </w:rPr>
        <w:t>2</w:t>
      </w:r>
      <w:r w:rsidR="000317DE" w:rsidRPr="009934FA">
        <w:t>. Serum IDeg concentrations were measured for 120 hours for all groups except those on haemodialysis who were monitored for 68 hours between dialysis sessions. The exposure to IDeg as measured by AUC was not statistically affected by the degree of renal impairment. The degree of renal impairment did not have any effect on C</w:t>
      </w:r>
      <w:r w:rsidR="000317DE" w:rsidRPr="009934FA">
        <w:rPr>
          <w:vertAlign w:val="subscript"/>
        </w:rPr>
        <w:t>max</w:t>
      </w:r>
      <w:r>
        <w:t xml:space="preserve">, clearance, </w:t>
      </w:r>
      <w:r w:rsidR="00ED71F6">
        <w:t>half-life</w:t>
      </w:r>
      <w:r>
        <w:t xml:space="preserve"> </w:t>
      </w:r>
      <w:r w:rsidR="000317DE" w:rsidRPr="009934FA">
        <w:t xml:space="preserve">or </w:t>
      </w:r>
      <w:r w:rsidR="00FB5DBD">
        <w:t xml:space="preserve">mean residence </w:t>
      </w:r>
      <w:r w:rsidR="00FB5DBD" w:rsidRPr="00FB5DBD">
        <w:t>time (</w:t>
      </w:r>
      <w:r w:rsidR="000317DE" w:rsidRPr="00606A05">
        <w:t>MRT</w:t>
      </w:r>
      <w:r w:rsidR="00FB5DBD" w:rsidRPr="00FB5DBD">
        <w:t>)</w:t>
      </w:r>
      <w:r w:rsidR="000317DE" w:rsidRPr="00FB5DBD">
        <w:t>.</w:t>
      </w:r>
      <w:r w:rsidR="000317DE" w:rsidRPr="009934FA">
        <w:t xml:space="preserve"> There was no correlation between albumin and C</w:t>
      </w:r>
      <w:r w:rsidR="000317DE" w:rsidRPr="009934FA">
        <w:rPr>
          <w:vertAlign w:val="subscript"/>
        </w:rPr>
        <w:t>max</w:t>
      </w:r>
      <w:r w:rsidR="000317DE" w:rsidRPr="009934FA">
        <w:t>, AUC or clearance. Negligible concentrations of IDeg were seen in the urine or dialysate. There were 2 documented symptomatic episodes of severe hypoglycaemi</w:t>
      </w:r>
      <w:r w:rsidR="00D1456E" w:rsidRPr="009934FA">
        <w:t>a in 2 </w:t>
      </w:r>
      <w:r w:rsidR="000317DE" w:rsidRPr="009934FA">
        <w:t>subjects with mod</w:t>
      </w:r>
      <w:r w:rsidR="00D1456E" w:rsidRPr="009934FA">
        <w:t>erate and severe renal failure.</w:t>
      </w:r>
    </w:p>
    <w:p w14:paraId="4B63A9C2" w14:textId="76525B67" w:rsidR="000317DE" w:rsidRPr="009934FA" w:rsidRDefault="000317DE" w:rsidP="000317DE">
      <w:r w:rsidRPr="009934FA">
        <w:t>Clinical trials involved 592 subjects with mild renal impairment and 43 with moderate renal impairment. Patients with T1DM and T2DM and hypoglycaemia had more hypo</w:t>
      </w:r>
      <w:r w:rsidR="005F62A3">
        <w:t>glycaemic episodes</w:t>
      </w:r>
      <w:r w:rsidRPr="009934FA">
        <w:t xml:space="preserve"> with IDeg than comparator insulins</w:t>
      </w:r>
      <w:r w:rsidR="00D1456E" w:rsidRPr="009934FA">
        <w:t>.</w:t>
      </w:r>
    </w:p>
    <w:p w14:paraId="49745B48" w14:textId="1B3742CD" w:rsidR="000317DE" w:rsidRPr="009934FA" w:rsidRDefault="000317DE" w:rsidP="00D1456E">
      <w:pPr>
        <w:pStyle w:val="Heading6"/>
      </w:pPr>
      <w:r w:rsidRPr="009934FA">
        <w:t>Use in hepatic impairment</w:t>
      </w:r>
    </w:p>
    <w:p w14:paraId="0FDEB0E7" w14:textId="62C4EE46" w:rsidR="000317DE" w:rsidRPr="009934FA" w:rsidRDefault="0089510F" w:rsidP="000317DE">
      <w:r>
        <w:t xml:space="preserve">The pharmacokinetic </w:t>
      </w:r>
      <w:r w:rsidR="000317DE" w:rsidRPr="009934FA">
        <w:t>study</w:t>
      </w:r>
      <w:r w:rsidR="00D1456E" w:rsidRPr="009934FA">
        <w:t xml:space="preserve"> from the original withdrawn submission</w:t>
      </w:r>
      <w:r w:rsidR="000317DE" w:rsidRPr="009934FA">
        <w:t xml:space="preserve"> examining use in hepatic impairment enrolled 6 subjects with normal hepatic function, and 6 each with Child Pugh grade A, B or C. Subjects received 0.4</w:t>
      </w:r>
      <w:r w:rsidR="00D1456E" w:rsidRPr="009934FA">
        <w:t xml:space="preserve"> U/kg or </w:t>
      </w:r>
      <w:r>
        <w:t>iDeg</w:t>
      </w:r>
      <w:r w:rsidR="000317DE" w:rsidRPr="009934FA">
        <w:t>. Patients with moderate or severe hepatic impairment were not included in clinical studies.</w:t>
      </w:r>
      <w:r w:rsidR="00D1456E" w:rsidRPr="009934FA">
        <w:t xml:space="preserve"> A summary of results related to use in hepati</w:t>
      </w:r>
      <w:r>
        <w:t>c impairment is given in Table 19</w:t>
      </w:r>
      <w:r w:rsidR="00D1456E" w:rsidRPr="009934FA">
        <w:t>, below.</w:t>
      </w:r>
    </w:p>
    <w:p w14:paraId="73E6C969" w14:textId="0D08CCB1" w:rsidR="00D1456E" w:rsidRPr="009934FA" w:rsidRDefault="0089510F" w:rsidP="0089510F">
      <w:pPr>
        <w:pStyle w:val="Tabletitle0"/>
      </w:pPr>
      <w:r>
        <w:lastRenderedPageBreak/>
        <w:t>Table 19</w:t>
      </w:r>
      <w:r w:rsidR="006C50FE">
        <w:t>:</w:t>
      </w:r>
      <w:r w:rsidR="006C50FE" w:rsidRPr="009934FA">
        <w:t xml:space="preserve"> </w:t>
      </w:r>
      <w:r w:rsidR="00BD7CC6" w:rsidRPr="009934FA">
        <w:t>PK results related to use in hepatic impairment</w:t>
      </w:r>
    </w:p>
    <w:p w14:paraId="6D3535ED" w14:textId="77777777" w:rsidR="000317DE" w:rsidRPr="009934FA" w:rsidRDefault="000317DE" w:rsidP="000317DE">
      <w:r w:rsidRPr="009934FA">
        <w:rPr>
          <w:noProof/>
          <w:lang w:eastAsia="en-AU"/>
        </w:rPr>
        <w:drawing>
          <wp:inline distT="0" distB="0" distL="0" distR="0" wp14:anchorId="6E628607" wp14:editId="6AFD4525">
            <wp:extent cx="3423015" cy="2967522"/>
            <wp:effectExtent l="0" t="0" r="6350" b="4445"/>
            <wp:docPr id="11" name="Picture 11" descr="Table 19: PK results related to use in hepatic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896" r="14264"/>
                    <a:stretch/>
                  </pic:blipFill>
                  <pic:spPr bwMode="auto">
                    <a:xfrm>
                      <a:off x="0" y="0"/>
                      <a:ext cx="3433369" cy="2976498"/>
                    </a:xfrm>
                    <a:prstGeom prst="rect">
                      <a:avLst/>
                    </a:prstGeom>
                    <a:noFill/>
                    <a:ln>
                      <a:noFill/>
                    </a:ln>
                    <a:extLst>
                      <a:ext uri="{53640926-AAD7-44D8-BBD7-CCE9431645EC}">
                        <a14:shadowObscured xmlns:a14="http://schemas.microsoft.com/office/drawing/2010/main"/>
                      </a:ext>
                    </a:extLst>
                  </pic:spPr>
                </pic:pic>
              </a:graphicData>
            </a:graphic>
          </wp:inline>
        </w:drawing>
      </w:r>
    </w:p>
    <w:p w14:paraId="415421F3" w14:textId="37F5E027" w:rsidR="00DA1E22" w:rsidRPr="009934FA" w:rsidRDefault="000317DE" w:rsidP="00CD0601">
      <w:r w:rsidRPr="009934FA">
        <w:t>Renal impairment and hepatic impairment are listed as missing information in the RMP. In the dosing and administrati</w:t>
      </w:r>
      <w:r w:rsidR="00BD7CC6" w:rsidRPr="009934FA">
        <w:t>on section of the PI it states</w:t>
      </w:r>
      <w:r w:rsidR="0089510F">
        <w:t>:</w:t>
      </w:r>
      <w:r w:rsidR="00BD7CC6" w:rsidRPr="009934FA">
        <w:t xml:space="preserve"> </w:t>
      </w:r>
      <w:r w:rsidR="00BD7CC6" w:rsidRPr="009934FA">
        <w:rPr>
          <w:i/>
        </w:rPr>
        <w:t>‘Tresiba</w:t>
      </w:r>
      <w:r w:rsidRPr="009934FA">
        <w:rPr>
          <w:i/>
        </w:rPr>
        <w:t xml:space="preserve"> can be used in patients with renal and hepatic impairment. As with all insulin products, glucose monitoring is to be intensified and the insulin dose adjusted on an individual basis’</w:t>
      </w:r>
      <w:r w:rsidRPr="009934FA">
        <w:t>. This is appropriate.</w:t>
      </w:r>
    </w:p>
    <w:p w14:paraId="52E448C9" w14:textId="77777777" w:rsidR="008E7846" w:rsidRPr="009934FA" w:rsidRDefault="00386150" w:rsidP="007B6132">
      <w:pPr>
        <w:pStyle w:val="Heading3"/>
        <w:rPr>
          <w:lang w:eastAsia="en-AU"/>
        </w:rPr>
      </w:pPr>
      <w:bookmarkStart w:id="134" w:name="_Toc314842514"/>
      <w:bookmarkStart w:id="135" w:name="_Toc517697118"/>
      <w:r w:rsidRPr="009934FA">
        <w:rPr>
          <w:lang w:eastAsia="en-AU"/>
        </w:rPr>
        <w:t>Risk m</w:t>
      </w:r>
      <w:r w:rsidR="008E7846" w:rsidRPr="009934FA">
        <w:rPr>
          <w:lang w:eastAsia="en-AU"/>
        </w:rPr>
        <w:t xml:space="preserve">anagement </w:t>
      </w:r>
      <w:r w:rsidRPr="009934FA">
        <w:rPr>
          <w:lang w:eastAsia="en-AU"/>
        </w:rPr>
        <w:t>p</w:t>
      </w:r>
      <w:r w:rsidR="008E7846" w:rsidRPr="009934FA">
        <w:rPr>
          <w:lang w:eastAsia="en-AU"/>
        </w:rPr>
        <w:t>lan</w:t>
      </w:r>
      <w:bookmarkEnd w:id="134"/>
      <w:bookmarkEnd w:id="135"/>
    </w:p>
    <w:p w14:paraId="053F6CFC" w14:textId="2AD4D798" w:rsidR="00BD7CC6" w:rsidRPr="009934FA" w:rsidRDefault="00BD7CC6" w:rsidP="00BD7CC6">
      <w:pPr>
        <w:rPr>
          <w:lang w:eastAsia="en-AU"/>
        </w:rPr>
      </w:pPr>
      <w:r w:rsidRPr="009934FA">
        <w:rPr>
          <w:lang w:eastAsia="en-AU"/>
        </w:rPr>
        <w:t xml:space="preserve">A summary of safety concerns </w:t>
      </w:r>
      <w:r w:rsidR="0089510F">
        <w:rPr>
          <w:lang w:eastAsia="en-AU"/>
        </w:rPr>
        <w:t>from the RMP is given in Table 11 above.</w:t>
      </w:r>
      <w:r w:rsidR="006751FC">
        <w:rPr>
          <w:lang w:eastAsia="en-AU"/>
        </w:rPr>
        <w:t xml:space="preserve"> </w:t>
      </w:r>
      <w:r w:rsidRPr="009934FA">
        <w:t>Routine risk mitigation and pharmacovigilance were proposed.</w:t>
      </w:r>
    </w:p>
    <w:p w14:paraId="1AC92163" w14:textId="7BC815C2" w:rsidR="008E7846" w:rsidRPr="009934FA" w:rsidRDefault="00FB5DBD" w:rsidP="008E7846">
      <w:pPr>
        <w:rPr>
          <w:i/>
        </w:rPr>
      </w:pPr>
      <w:r w:rsidRPr="00606A05">
        <w:t xml:space="preserve">The </w:t>
      </w:r>
      <w:r w:rsidR="00BD7CC6" w:rsidRPr="00606A05">
        <w:t>Delegate comment</w:t>
      </w:r>
      <w:r w:rsidR="00431D50" w:rsidRPr="00606A05">
        <w:t xml:space="preserve">ed </w:t>
      </w:r>
      <w:r w:rsidR="006C50FE" w:rsidRPr="00606A05">
        <w:t xml:space="preserve">that </w:t>
      </w:r>
      <w:r w:rsidR="006C50FE" w:rsidRPr="009934FA">
        <w:rPr>
          <w:i/>
        </w:rPr>
        <w:t>CV</w:t>
      </w:r>
      <w:r w:rsidR="00BD7CC6" w:rsidRPr="009934FA">
        <w:t xml:space="preserve"> risk in T1DM remains uncertain, in T2DM the results of the DEVOTE </w:t>
      </w:r>
      <w:r w:rsidR="006751FC">
        <w:t>trial</w:t>
      </w:r>
      <w:r w:rsidR="00BD7CC6" w:rsidRPr="009934FA">
        <w:t xml:space="preserve"> are reassuring but interim only.</w:t>
      </w:r>
    </w:p>
    <w:p w14:paraId="311288B1" w14:textId="77777777" w:rsidR="008E7846" w:rsidRPr="009934FA" w:rsidRDefault="00AA0ED0" w:rsidP="008E7846">
      <w:pPr>
        <w:pStyle w:val="Heading3"/>
      </w:pPr>
      <w:bookmarkStart w:id="136" w:name="_Toc247691531"/>
      <w:bookmarkStart w:id="137" w:name="_Toc314842515"/>
      <w:bookmarkStart w:id="138" w:name="_Toc196046505"/>
      <w:bookmarkStart w:id="139" w:name="_Toc196046949"/>
      <w:bookmarkStart w:id="140" w:name="_Toc517697119"/>
      <w:r w:rsidRPr="009934FA">
        <w:t>Risk-benefit a</w:t>
      </w:r>
      <w:r w:rsidR="008E7846" w:rsidRPr="009934FA">
        <w:t>nalysis</w:t>
      </w:r>
      <w:bookmarkEnd w:id="136"/>
      <w:bookmarkEnd w:id="137"/>
      <w:bookmarkEnd w:id="140"/>
    </w:p>
    <w:p w14:paraId="2F12AAD8" w14:textId="66252022" w:rsidR="00D23139" w:rsidRPr="009934FA" w:rsidRDefault="00095B66" w:rsidP="00D23139">
      <w:pPr>
        <w:pStyle w:val="Heading4"/>
      </w:pPr>
      <w:r w:rsidRPr="009934FA">
        <w:t>Delegate’s considerations</w:t>
      </w:r>
    </w:p>
    <w:p w14:paraId="394EAA51" w14:textId="33FEC0DB" w:rsidR="00095B66" w:rsidRPr="009934FA" w:rsidRDefault="00095B66" w:rsidP="00095B66">
      <w:pPr>
        <w:pStyle w:val="Heading5"/>
      </w:pPr>
      <w:r w:rsidRPr="009934FA">
        <w:t>Efficacy</w:t>
      </w:r>
    </w:p>
    <w:p w14:paraId="19E8C9D5" w14:textId="0AE01DF3" w:rsidR="00095B66" w:rsidRPr="009934FA" w:rsidRDefault="00095B66" w:rsidP="00095B66">
      <w:r w:rsidRPr="009934FA">
        <w:t>In clinical practice, insulin therapy is highly individualised with consideration given to patient preference, lifestyle, diet, compliance, understanding, motivation, testing, activity, eye sight and so on. Clinical trials can provide information about the average patient response to the clinical trial protocol.</w:t>
      </w:r>
    </w:p>
    <w:p w14:paraId="1293B325" w14:textId="77777777" w:rsidR="00095B66" w:rsidRPr="009934FA" w:rsidRDefault="00095B66" w:rsidP="00095B66">
      <w:r w:rsidRPr="009934FA">
        <w:t>In the clinical trials for IDeg, non-inferiority to other basal insulins has been established in T1DM and T2DM.</w:t>
      </w:r>
    </w:p>
    <w:p w14:paraId="474C3FD9" w14:textId="7D08DE76" w:rsidR="00095B66" w:rsidRPr="009934FA" w:rsidRDefault="00095B66" w:rsidP="00095B66">
      <w:r w:rsidRPr="009934FA">
        <w:t>There was only 1 clinical trial of U200</w:t>
      </w:r>
      <w:r w:rsidR="006751FC">
        <w:t xml:space="preserve"> (200 U/mL)</w:t>
      </w:r>
      <w:r w:rsidRPr="009934FA">
        <w:t xml:space="preserve"> IDeg in </w:t>
      </w:r>
      <w:r w:rsidR="00F0076D" w:rsidRPr="009934FA">
        <w:t>the previous withdrawn submission</w:t>
      </w:r>
      <w:r w:rsidRPr="009934FA">
        <w:t xml:space="preserve">. This current submission included </w:t>
      </w:r>
      <w:r w:rsidR="00F0076D" w:rsidRPr="009934FA">
        <w:t>2 synopses</w:t>
      </w:r>
      <w:r w:rsidRPr="009934FA">
        <w:t xml:space="preserve"> of studies </w:t>
      </w:r>
      <w:r w:rsidR="006751FC">
        <w:t>using U200 insulin in T2DM. Non-</w:t>
      </w:r>
      <w:r w:rsidRPr="009934FA">
        <w:t>inferiority to IDegU100 and Glargine U100 was established.</w:t>
      </w:r>
    </w:p>
    <w:p w14:paraId="533A4484" w14:textId="4091C7FE" w:rsidR="00095B66" w:rsidRPr="009934FA" w:rsidRDefault="00095B66" w:rsidP="00095B66">
      <w:r w:rsidRPr="009934FA">
        <w:t>The sponsor has proposed advantages in terms of flexible of timing of administration, but the evidence to support this is limited. Patients with diabetes have a number of tasks they need to do each day to monitor and manage their diabetes, although flexibility is helpful</w:t>
      </w:r>
      <w:r w:rsidR="00F0076D" w:rsidRPr="009934FA">
        <w:t>,</w:t>
      </w:r>
      <w:r w:rsidRPr="009934FA">
        <w:t xml:space="preserve"> promoting giving insulin at variable times may lead to errors in dosing due to patients </w:t>
      </w:r>
      <w:r w:rsidRPr="009934FA">
        <w:lastRenderedPageBreak/>
        <w:t>forgetting when their last do</w:t>
      </w:r>
      <w:r w:rsidR="006751FC">
        <w:t>se was given. Having adequate pharmacokinetic and pharmacodynamic</w:t>
      </w:r>
      <w:r w:rsidRPr="009934FA">
        <w:t xml:space="preserve"> data in the PI is important so that physicians can understand the pharmacodynamic profile of insulin.</w:t>
      </w:r>
    </w:p>
    <w:p w14:paraId="7D63703D" w14:textId="7523897F" w:rsidR="00095B66" w:rsidRPr="009934FA" w:rsidRDefault="00095B66" w:rsidP="00095B66">
      <w:r w:rsidRPr="009934FA">
        <w:t xml:space="preserve">The sponsor has proposed advantages of IDeg in terms of hypoglycaemia. Although there are a number of problems in the reporting, recording and analysis of hypoglycaemia data, there does seem to be a pattern of reduced nocturnal hypoglycaemia with IDeg. Hypoglycaemia is a potential risk for any patient on insulin, and can be minimised by understanding the </w:t>
      </w:r>
      <w:r w:rsidR="006751FC">
        <w:t>pharmacodynamic</w:t>
      </w:r>
      <w:r w:rsidRPr="009934FA">
        <w:t xml:space="preserve"> profile of insulin; frequent </w:t>
      </w:r>
      <w:r w:rsidR="006751FC">
        <w:t>blood glucose</w:t>
      </w:r>
      <w:r w:rsidRPr="009934FA">
        <w:t xml:space="preserve"> testing; frequent dose titration; care with exercise, food and systemic illness; patient education and support.</w:t>
      </w:r>
    </w:p>
    <w:p w14:paraId="6AD5D0C3" w14:textId="26F7DBFB" w:rsidR="00095B66" w:rsidRPr="009934FA" w:rsidRDefault="00095B66" w:rsidP="00F0076D">
      <w:pPr>
        <w:pStyle w:val="Heading5"/>
      </w:pPr>
      <w:r w:rsidRPr="009934FA">
        <w:t>S</w:t>
      </w:r>
      <w:r w:rsidR="00F0076D" w:rsidRPr="009934FA">
        <w:t>afety</w:t>
      </w:r>
    </w:p>
    <w:p w14:paraId="27B6CBBE" w14:textId="46020920" w:rsidR="00095B66" w:rsidRPr="009934FA" w:rsidRDefault="00095B66" w:rsidP="00095B66">
      <w:r w:rsidRPr="009934FA">
        <w:t>Concerns about CV safety, neoplasms and medication errors were raised from the clinical studies. IDeg was not associated with hig</w:t>
      </w:r>
      <w:r w:rsidR="006751FC">
        <w:t xml:space="preserve">h levels of insulin antibodies; </w:t>
      </w:r>
      <w:r w:rsidRPr="009934FA">
        <w:t>injection site reactions and other allergic phen</w:t>
      </w:r>
      <w:r w:rsidR="005F62A3">
        <w:t>omenon have not been a concern.</w:t>
      </w:r>
    </w:p>
    <w:p w14:paraId="2AB2F817" w14:textId="715F379A" w:rsidR="00095B66" w:rsidRPr="009934FA" w:rsidRDefault="00C927A5" w:rsidP="00C927A5">
      <w:pPr>
        <w:pStyle w:val="Heading6"/>
      </w:pPr>
      <w:r w:rsidRPr="009934FA">
        <w:t>CV safety</w:t>
      </w:r>
    </w:p>
    <w:p w14:paraId="2EE44972" w14:textId="45F7BA6C" w:rsidR="00095B66" w:rsidRPr="009934FA" w:rsidRDefault="00095B66" w:rsidP="00095B66">
      <w:r w:rsidRPr="009934FA">
        <w:t xml:space="preserve">There were no concerns about CV safety in the </w:t>
      </w:r>
      <w:r w:rsidR="005F62A3">
        <w:t>pharmacodynamic</w:t>
      </w:r>
      <w:r w:rsidRPr="009934FA">
        <w:t xml:space="preserve"> studies or analysis of ECG or vital signs in the clinical studies. The interim results of the DEVOTE </w:t>
      </w:r>
      <w:r w:rsidR="006751FC">
        <w:t>trial</w:t>
      </w:r>
      <w:r w:rsidRPr="009934FA">
        <w:t xml:space="preserve"> are reassuring. It is noted that IDeg has received a positive opinion in the EMA and FDA and a number of other countries</w:t>
      </w:r>
      <w:r w:rsidR="00C927A5" w:rsidRPr="009934FA">
        <w:t xml:space="preserve">. </w:t>
      </w:r>
      <w:r w:rsidR="006C50FE" w:rsidRPr="009934FA">
        <w:t>However,</w:t>
      </w:r>
      <w:r w:rsidR="00C927A5" w:rsidRPr="009934FA">
        <w:t xml:space="preserve"> despite this, the</w:t>
      </w:r>
      <w:r w:rsidRPr="009934FA">
        <w:t xml:space="preserve"> </w:t>
      </w:r>
      <w:r w:rsidR="00C927A5" w:rsidRPr="009934FA">
        <w:t>Delegate remains concerned</w:t>
      </w:r>
      <w:r w:rsidRPr="009934FA">
        <w:t xml:space="preserve"> about the CV risk identified in the initial meta-analysis; particular as the DEVOTE trial looked at different patient population than what was observed in the clinical trial, and on average patients were followed for only 6 months. The CV risk in T1DM </w:t>
      </w:r>
      <w:r w:rsidR="00C927A5" w:rsidRPr="009934FA">
        <w:t>that was identified in the meta</w:t>
      </w:r>
      <w:r w:rsidR="00C927A5" w:rsidRPr="009934FA">
        <w:noBreakHyphen/>
      </w:r>
      <w:r w:rsidRPr="009934FA">
        <w:t>analysis has not been studied</w:t>
      </w:r>
      <w:r w:rsidR="00C927A5" w:rsidRPr="009934FA">
        <w:t>.</w:t>
      </w:r>
    </w:p>
    <w:p w14:paraId="06E27202" w14:textId="3803C7B7" w:rsidR="00095B66" w:rsidRPr="009934FA" w:rsidRDefault="00095B66" w:rsidP="00095B66">
      <w:r w:rsidRPr="009934FA">
        <w:t>Patients with T1DM and T2DM are known to be at increased CV risk, even with good glycaemic control. The CV effects of diabetes are not just macrovascular disease, but also include the development of cardiomyopathy, the effects of autonomic neuropathy, and metabolic effects of substrates such as glucose and</w:t>
      </w:r>
      <w:r w:rsidR="00C927A5" w:rsidRPr="009934FA">
        <w:t xml:space="preserve"> ketones and free fatty acids.</w:t>
      </w:r>
    </w:p>
    <w:p w14:paraId="383C772A" w14:textId="1DC3ACC6" w:rsidR="00095B66" w:rsidRPr="009934FA" w:rsidRDefault="00C927A5" w:rsidP="00095B66">
      <w:r w:rsidRPr="009934FA">
        <w:t>The D</w:t>
      </w:r>
      <w:r w:rsidR="00095B66" w:rsidRPr="009934FA">
        <w:t>elegate is of the opinion that more information about CV safety should be included in the PI so that clinicians are aware of the extent and limitations of the data.</w:t>
      </w:r>
    </w:p>
    <w:p w14:paraId="02B46831" w14:textId="77777777" w:rsidR="00095B66" w:rsidRPr="009934FA" w:rsidRDefault="00095B66" w:rsidP="00C927A5">
      <w:pPr>
        <w:pStyle w:val="Heading6"/>
      </w:pPr>
      <w:r w:rsidRPr="009934FA">
        <w:t>Malignancy</w:t>
      </w:r>
    </w:p>
    <w:p w14:paraId="5E0DE2C9" w14:textId="19A1A1FD" w:rsidR="00095B66" w:rsidRPr="009934FA" w:rsidRDefault="00095B66" w:rsidP="00095B66">
      <w:r w:rsidRPr="009934FA">
        <w:t>An imbalance in the rate of malignancy between the IDeg and comparator arm is noted in the updated summary of safety concerns. There was no specific type of cancer identified. There were no concerns abo</w:t>
      </w:r>
      <w:r w:rsidR="006751FC">
        <w:t>ut malignancy raised in the nonclinical or pharmacodynamic</w:t>
      </w:r>
      <w:r w:rsidRPr="009934FA">
        <w:t xml:space="preserve"> studies or summary of safety data from </w:t>
      </w:r>
      <w:r w:rsidR="00C927A5" w:rsidRPr="009934FA">
        <w:t>the original withdrawn submission</w:t>
      </w:r>
      <w:r w:rsidRPr="009934FA">
        <w:t xml:space="preserve">. Obesity and diabetes are considered to be important risk </w:t>
      </w:r>
      <w:r w:rsidR="00C927A5" w:rsidRPr="009934FA">
        <w:t>factors for malignancy.</w:t>
      </w:r>
    </w:p>
    <w:p w14:paraId="55C221B2" w14:textId="01241D8A" w:rsidR="00095B66" w:rsidRPr="009934FA" w:rsidRDefault="00095B66" w:rsidP="00C927A5">
      <w:pPr>
        <w:pStyle w:val="Heading6"/>
      </w:pPr>
      <w:r w:rsidRPr="009934FA">
        <w:t>M</w:t>
      </w:r>
      <w:r w:rsidR="00C927A5" w:rsidRPr="009934FA">
        <w:t>edication errors</w:t>
      </w:r>
    </w:p>
    <w:p w14:paraId="139390FE" w14:textId="4BB7A051" w:rsidR="00095B66" w:rsidRPr="009934FA" w:rsidRDefault="00095B66" w:rsidP="00095B66">
      <w:r w:rsidRPr="009934FA">
        <w:t xml:space="preserve">In the clinical trials the rate of medication errors was 7.3 per 100 patient years in the IDeg arm and 4.2 per 100 patient years in the comparator arm. Most of </w:t>
      </w:r>
      <w:r w:rsidR="006C50FE" w:rsidRPr="009934FA">
        <w:t>these errors</w:t>
      </w:r>
      <w:r w:rsidRPr="009934FA">
        <w:t xml:space="preserve"> were due to a mix up between basal and bolus insulins.</w:t>
      </w:r>
    </w:p>
    <w:p w14:paraId="1F2E2642" w14:textId="77777777" w:rsidR="00095B66" w:rsidRPr="009934FA" w:rsidRDefault="00095B66" w:rsidP="00095B66">
      <w:r w:rsidRPr="009934FA">
        <w:t>It is noted in the PSUR that there were 12 non serious events due to mix up between basal and bolus insulin.</w:t>
      </w:r>
    </w:p>
    <w:p w14:paraId="487E7E7A" w14:textId="5D71092A" w:rsidR="00095B66" w:rsidRPr="009934FA" w:rsidRDefault="00C927A5" w:rsidP="00095B66">
      <w:r w:rsidRPr="009934FA">
        <w:t>The D</w:t>
      </w:r>
      <w:r w:rsidR="00095B66" w:rsidRPr="009934FA">
        <w:t>elegate is particularly concerned with the use of car</w:t>
      </w:r>
      <w:r w:rsidR="009D03C6">
        <w:t>tridges in the pre-existing non</w:t>
      </w:r>
      <w:r w:rsidR="009D03C6">
        <w:noBreakHyphen/>
      </w:r>
      <w:r w:rsidR="00095B66" w:rsidRPr="009934FA">
        <w:t xml:space="preserve">disposable Novo pens. </w:t>
      </w:r>
      <w:r w:rsidR="006C50FE" w:rsidRPr="009934FA">
        <w:t xml:space="preserve">These Novo pens are now able to dispense a large number of insulins (FIASP, NovoRapid, NovoMix, IDeg and IDegAsp). </w:t>
      </w:r>
      <w:r w:rsidR="00095B66" w:rsidRPr="009934FA">
        <w:t xml:space="preserve">It is possible that patients with more than one non disposable pen forget which insulin was in it and not look carefully at the label (which is not visible until the lid is removed). The TGA is aware of </w:t>
      </w:r>
      <w:r w:rsidRPr="009934FA">
        <w:t>2</w:t>
      </w:r>
      <w:r w:rsidR="00095B66" w:rsidRPr="009934FA">
        <w:t xml:space="preserve"> serious adverse events due to non-disposable insulin pens. Patients mix up insulins often, and </w:t>
      </w:r>
      <w:r w:rsidR="00095B66" w:rsidRPr="009934FA">
        <w:lastRenderedPageBreak/>
        <w:t xml:space="preserve">these events are possibly underreported. Most are mild but do require either extra insulin or extra monitoring </w:t>
      </w:r>
      <w:r w:rsidR="009D03C6">
        <w:t>and food consumption to counter-</w:t>
      </w:r>
      <w:r w:rsidR="00095B66" w:rsidRPr="009934FA">
        <w:t>effect the extra insulin given.</w:t>
      </w:r>
    </w:p>
    <w:p w14:paraId="37C6F99E" w14:textId="77777777" w:rsidR="00095B66" w:rsidRPr="009934FA" w:rsidRDefault="00095B66" w:rsidP="00095B66">
      <w:pPr>
        <w:rPr>
          <w:i/>
        </w:rPr>
      </w:pPr>
      <w:r w:rsidRPr="009934FA">
        <w:t>More patients use the disposable than the non-disposable insulin pens. Medication errors and mix ups also occur with disposable pens. Some patients prefer cartridges and disposable insulin pens due to their design and the option of changing dose increments by 0.5 units.</w:t>
      </w:r>
    </w:p>
    <w:p w14:paraId="6763006E" w14:textId="21139094" w:rsidR="00095B66" w:rsidRPr="009934FA" w:rsidRDefault="006751FC" w:rsidP="00C927A5">
      <w:pPr>
        <w:pStyle w:val="Heading5"/>
      </w:pPr>
      <w:r>
        <w:t>Product i</w:t>
      </w:r>
      <w:r w:rsidR="00C927A5" w:rsidRPr="009934FA">
        <w:t>nformation</w:t>
      </w:r>
      <w:r w:rsidR="00431D50">
        <w:t xml:space="preserve"> and Consumer Medicines Information</w:t>
      </w:r>
    </w:p>
    <w:p w14:paraId="5C147A97" w14:textId="3ED1A6AB" w:rsidR="00095B66" w:rsidRPr="009934FA" w:rsidRDefault="00095B66" w:rsidP="00C927A5">
      <w:pPr>
        <w:pStyle w:val="ListBullet"/>
      </w:pPr>
      <w:r w:rsidRPr="009934FA">
        <w:t>This needs revising to address</w:t>
      </w:r>
      <w:r w:rsidR="00C927A5" w:rsidRPr="009934FA">
        <w:t xml:space="preserve"> the lack of data on CV safety.</w:t>
      </w:r>
    </w:p>
    <w:p w14:paraId="18AFCBA6" w14:textId="08CCE076" w:rsidR="00095B66" w:rsidRPr="009934FA" w:rsidRDefault="00095B66" w:rsidP="00C927A5">
      <w:pPr>
        <w:pStyle w:val="ListBullet"/>
      </w:pPr>
      <w:r w:rsidRPr="009934FA">
        <w:t>There needs to be more information about the potential for dosing</w:t>
      </w:r>
      <w:r w:rsidR="00C927A5" w:rsidRPr="009934FA">
        <w:t xml:space="preserve"> errors in both the </w:t>
      </w:r>
      <w:r w:rsidR="006751FC">
        <w:t>Consumer Medicines Information (</w:t>
      </w:r>
      <w:r w:rsidR="00C927A5" w:rsidRPr="009934FA">
        <w:t>CMI</w:t>
      </w:r>
      <w:r w:rsidR="006751FC">
        <w:t>)</w:t>
      </w:r>
      <w:r w:rsidR="00C927A5" w:rsidRPr="009934FA">
        <w:t xml:space="preserve"> and PI.</w:t>
      </w:r>
    </w:p>
    <w:p w14:paraId="2CEFE42A" w14:textId="132AA604" w:rsidR="00095B66" w:rsidRPr="009934FA" w:rsidRDefault="00C927A5" w:rsidP="00095B66">
      <w:pPr>
        <w:pStyle w:val="ListBullet"/>
      </w:pPr>
      <w:r w:rsidRPr="009934FA">
        <w:t>Although the D</w:t>
      </w:r>
      <w:r w:rsidR="00095B66" w:rsidRPr="009934FA">
        <w:t>elegate considers IDeg</w:t>
      </w:r>
      <w:r w:rsidRPr="009934FA">
        <w:t xml:space="preserve"> to have a more prolonged</w:t>
      </w:r>
      <w:r w:rsidR="00095B66" w:rsidRPr="009934FA">
        <w:t xml:space="preserve"> duration of action and may be suitable in patients who have difficulty giving their basal insulin at the same time each day, she would not promote this as an option for dosing.</w:t>
      </w:r>
    </w:p>
    <w:p w14:paraId="0A10E83E" w14:textId="60C4317E" w:rsidR="00095B66" w:rsidRPr="009934FA" w:rsidRDefault="00C927A5" w:rsidP="00C927A5">
      <w:pPr>
        <w:pStyle w:val="Heading5"/>
      </w:pPr>
      <w:r w:rsidRPr="009934FA">
        <w:t>Labelling</w:t>
      </w:r>
    </w:p>
    <w:p w14:paraId="2FD3851B" w14:textId="61AB91FA" w:rsidR="00095B66" w:rsidRPr="009934FA" w:rsidRDefault="00095B66" w:rsidP="00095B66">
      <w:r w:rsidRPr="009934FA">
        <w:t>The labelling of the cartridges should be improved to more easily identify the type of insulin.</w:t>
      </w:r>
    </w:p>
    <w:p w14:paraId="7FE36D79" w14:textId="77777777" w:rsidR="00C927A5" w:rsidRPr="009934FA" w:rsidRDefault="00095B66" w:rsidP="00C927A5">
      <w:pPr>
        <w:pStyle w:val="Heading5"/>
      </w:pPr>
      <w:r w:rsidRPr="009934FA">
        <w:t>RMP</w:t>
      </w:r>
    </w:p>
    <w:p w14:paraId="60AB7115" w14:textId="37FF2B13" w:rsidR="00095B66" w:rsidRPr="009934FA" w:rsidRDefault="00095B66" w:rsidP="00095B66">
      <w:r w:rsidRPr="009934FA">
        <w:t>The sponsor should consider adding CV in T1DM to the summary of safety concerns. Further pharmacovigilance and/or risk mitigation regarding medication errors is recommended.</w:t>
      </w:r>
    </w:p>
    <w:p w14:paraId="318C2CC7" w14:textId="59B85718" w:rsidR="00C927A5" w:rsidRPr="009934FA" w:rsidRDefault="00C927A5" w:rsidP="00C927A5">
      <w:pPr>
        <w:pStyle w:val="Heading5"/>
      </w:pPr>
      <w:r w:rsidRPr="009934FA">
        <w:t>Use in paediatrics</w:t>
      </w:r>
    </w:p>
    <w:p w14:paraId="1F71A71F" w14:textId="548DC247" w:rsidR="00095B66" w:rsidRPr="009934FA" w:rsidRDefault="00095B66" w:rsidP="00095B66">
      <w:r w:rsidRPr="009934FA">
        <w:t xml:space="preserve">T1DM is usually diagnosed in childhood. Children with T1DM, and T2DM, would also benefit from </w:t>
      </w:r>
      <w:r w:rsidR="00ED71F6" w:rsidRPr="009934FA">
        <w:t>long</w:t>
      </w:r>
      <w:r w:rsidRPr="009934FA">
        <w:t xml:space="preserve"> acting insulin such as degludec. The sponsor is encouraged to submit the full study report of efficacy and safety in children (</w:t>
      </w:r>
      <w:r w:rsidR="00C927A5" w:rsidRPr="009934FA">
        <w:t xml:space="preserve">Study </w:t>
      </w:r>
      <w:r w:rsidRPr="009934FA">
        <w:t>NN1250-3561) so that the TGA can consider extending the indications to use in children.</w:t>
      </w:r>
    </w:p>
    <w:p w14:paraId="2222D528" w14:textId="2C1C6901" w:rsidR="00B931AB" w:rsidRPr="009934FA" w:rsidRDefault="00B931AB" w:rsidP="00B931AB">
      <w:pPr>
        <w:pStyle w:val="Heading5"/>
      </w:pPr>
      <w:r w:rsidRPr="009934FA">
        <w:t>Summary of issues</w:t>
      </w:r>
    </w:p>
    <w:p w14:paraId="58F51E62" w14:textId="40DD47CC" w:rsidR="00B931AB" w:rsidRPr="009934FA" w:rsidRDefault="00B931AB" w:rsidP="00B931AB">
      <w:pPr>
        <w:pStyle w:val="ListBullet"/>
      </w:pPr>
      <w:r w:rsidRPr="009934FA">
        <w:t xml:space="preserve">The application was rejected in 2012 due to concerns about cardiovascular safety raised as a result of the meta-analysis of clinical trials. The sponsor has resubmitted the application based on a completed </w:t>
      </w:r>
      <w:r w:rsidR="006751FC">
        <w:t xml:space="preserve">randomised control trial </w:t>
      </w:r>
      <w:r w:rsidRPr="009934FA">
        <w:t>in a high CV risk group.</w:t>
      </w:r>
    </w:p>
    <w:p w14:paraId="4E9B7955" w14:textId="77777777" w:rsidR="00B931AB" w:rsidRPr="009934FA" w:rsidRDefault="00B931AB" w:rsidP="00B931AB">
      <w:pPr>
        <w:pStyle w:val="ListBullet"/>
      </w:pPr>
      <w:r w:rsidRPr="009934FA">
        <w:t>Non inferiority to other basal insulins in T1DM and T2DM is adequately established</w:t>
      </w:r>
    </w:p>
    <w:p w14:paraId="37C06425" w14:textId="307F5443" w:rsidR="00B931AB" w:rsidRPr="009934FA" w:rsidRDefault="00B931AB" w:rsidP="00B931AB">
      <w:pPr>
        <w:pStyle w:val="ListBullet"/>
      </w:pPr>
      <w:r w:rsidRPr="009934FA">
        <w:t>The sponsor if wanting to promote flexible dosing based on the long d</w:t>
      </w:r>
      <w:r w:rsidR="006751FC">
        <w:t>uration of action of insulin d</w:t>
      </w:r>
      <w:r w:rsidRPr="009934FA">
        <w:t>egludec, but the evidence to support this is minimal and such practice is not consistent with usual diabetes care. The evidence provided was in the context of a clinical trial, this is a different patient population and supervised under different conditions than may apply in clinical practice.</w:t>
      </w:r>
    </w:p>
    <w:p w14:paraId="2D583600" w14:textId="6DDEC7DA" w:rsidR="00B931AB" w:rsidRPr="009934FA" w:rsidRDefault="00B931AB" w:rsidP="00B931AB">
      <w:pPr>
        <w:pStyle w:val="ListBullet"/>
      </w:pPr>
      <w:r w:rsidRPr="009934FA">
        <w:t>Th</w:t>
      </w:r>
      <w:r w:rsidR="006751FC">
        <w:t>ere are some safety concerns regarding CV risk, and</w:t>
      </w:r>
      <w:r w:rsidRPr="009934FA">
        <w:t xml:space="preserve"> medication errors.</w:t>
      </w:r>
    </w:p>
    <w:p w14:paraId="7A30F150" w14:textId="77777777" w:rsidR="00D23139" w:rsidRPr="009934FA" w:rsidRDefault="00D23139" w:rsidP="00D23139">
      <w:pPr>
        <w:pStyle w:val="Heading4"/>
      </w:pPr>
      <w:r w:rsidRPr="009934FA">
        <w:t>Proposed action</w:t>
      </w:r>
    </w:p>
    <w:p w14:paraId="4F952358" w14:textId="16A5DCED" w:rsidR="00967F6A" w:rsidRPr="009934FA" w:rsidRDefault="00967F6A" w:rsidP="00967F6A">
      <w:r w:rsidRPr="009934FA">
        <w:rPr>
          <w:bCs/>
        </w:rPr>
        <w:t xml:space="preserve">The Delegate has no reason to say, at this time, that the application for </w:t>
      </w:r>
      <w:r w:rsidR="006751FC">
        <w:rPr>
          <w:bCs/>
        </w:rPr>
        <w:t xml:space="preserve">Tresiba </w:t>
      </w:r>
      <w:r w:rsidRPr="009934FA">
        <w:rPr>
          <w:bCs/>
        </w:rPr>
        <w:t>insulin degludec should not be approved for registration.</w:t>
      </w:r>
    </w:p>
    <w:p w14:paraId="545FF6B8" w14:textId="1ABA9C0E" w:rsidR="00CA4293" w:rsidRPr="009934FA" w:rsidRDefault="00CA4293" w:rsidP="00CA4293">
      <w:pPr>
        <w:pStyle w:val="Heading4"/>
      </w:pPr>
      <w:r w:rsidRPr="009934FA">
        <w:t>Questions for sponsor</w:t>
      </w:r>
    </w:p>
    <w:p w14:paraId="0088D39A" w14:textId="77777777" w:rsidR="00CA4293" w:rsidRPr="009934FA" w:rsidRDefault="00CA4293" w:rsidP="006751FC">
      <w:pPr>
        <w:pStyle w:val="Numberbullet0"/>
        <w:numPr>
          <w:ilvl w:val="0"/>
          <w:numId w:val="42"/>
        </w:numPr>
      </w:pPr>
      <w:r w:rsidRPr="009934FA">
        <w:t>What is the market share of disposable pens versus cartridges for other insulins?</w:t>
      </w:r>
    </w:p>
    <w:p w14:paraId="1C2A7DDC" w14:textId="6952AEBC" w:rsidR="00CA4293" w:rsidRPr="009934FA" w:rsidRDefault="00CA4293" w:rsidP="00F046A3">
      <w:pPr>
        <w:pStyle w:val="Numberbullet0"/>
      </w:pPr>
      <w:r w:rsidRPr="009934FA">
        <w:lastRenderedPageBreak/>
        <w:t>Please explain the insulin products that are able to be used in the current Novo</w:t>
      </w:r>
      <w:r w:rsidR="00F046A3" w:rsidRPr="009934FA">
        <w:t xml:space="preserve"> </w:t>
      </w:r>
      <w:r w:rsidRPr="009934FA">
        <w:t xml:space="preserve">pen, and what risk mitigation activities are proposed to prevent mix up between these products. </w:t>
      </w:r>
      <w:r w:rsidR="00F046A3" w:rsidRPr="009934FA">
        <w:t xml:space="preserve">This issue relates not just to </w:t>
      </w:r>
      <w:r w:rsidR="0063227E" w:rsidRPr="009934FA">
        <w:t xml:space="preserve">insulin </w:t>
      </w:r>
      <w:r w:rsidR="00F046A3" w:rsidRPr="009934FA">
        <w:t>d</w:t>
      </w:r>
      <w:r w:rsidRPr="009934FA">
        <w:t>eg</w:t>
      </w:r>
      <w:r w:rsidR="00F046A3" w:rsidRPr="009934FA">
        <w:t>ludec but to all Novo insulins.</w:t>
      </w:r>
    </w:p>
    <w:p w14:paraId="08EC8A63" w14:textId="046480A6" w:rsidR="00C927A5" w:rsidRPr="009934FA" w:rsidRDefault="00CA4293" w:rsidP="00C927A5">
      <w:pPr>
        <w:pStyle w:val="Numberbullet0"/>
      </w:pPr>
      <w:r w:rsidRPr="009934FA">
        <w:t xml:space="preserve">Please provide more detail about any ongoing </w:t>
      </w:r>
      <w:r w:rsidR="00F046A3" w:rsidRPr="009934FA">
        <w:t>pharmacovigilance</w:t>
      </w:r>
      <w:r w:rsidRPr="009934FA">
        <w:t xml:space="preserve"> around CV risk and malignancy</w:t>
      </w:r>
    </w:p>
    <w:p w14:paraId="42A689E4" w14:textId="3B30FFE2" w:rsidR="00D23139" w:rsidRPr="009934FA" w:rsidRDefault="00D23139" w:rsidP="00D23139">
      <w:pPr>
        <w:pStyle w:val="Heading4"/>
      </w:pPr>
      <w:r w:rsidRPr="009934FA">
        <w:t>R</w:t>
      </w:r>
      <w:r w:rsidR="00402ED5" w:rsidRPr="009934FA">
        <w:t>equest for AC</w:t>
      </w:r>
      <w:r w:rsidRPr="009934FA">
        <w:t>M advice</w:t>
      </w:r>
    </w:p>
    <w:p w14:paraId="48A83F7E" w14:textId="77777777" w:rsidR="00F046A3" w:rsidRPr="009934FA" w:rsidRDefault="00F046A3" w:rsidP="00F046A3">
      <w:pPr>
        <w:pStyle w:val="Numberbullet0"/>
        <w:numPr>
          <w:ilvl w:val="0"/>
          <w:numId w:val="32"/>
        </w:numPr>
      </w:pPr>
      <w:r w:rsidRPr="009934FA">
        <w:t>Does the extra evidence submitted eliminate potential CV risk? Should information about CV risk be included in the PI? Should CV risk be included in the RMP?</w:t>
      </w:r>
    </w:p>
    <w:p w14:paraId="7998ADF8" w14:textId="77777777" w:rsidR="00F046A3" w:rsidRPr="009934FA" w:rsidRDefault="00F046A3" w:rsidP="00F046A3">
      <w:pPr>
        <w:pStyle w:val="Numberbullet0"/>
        <w:numPr>
          <w:ilvl w:val="0"/>
          <w:numId w:val="32"/>
        </w:numPr>
      </w:pPr>
      <w:r w:rsidRPr="009934FA">
        <w:t>Is the sponsor’s claim for flexible dosing support by sufficient evidence? Should this be in prescribing information?</w:t>
      </w:r>
    </w:p>
    <w:p w14:paraId="71570431" w14:textId="088D4683" w:rsidR="00F046A3" w:rsidRPr="009934FA" w:rsidRDefault="00F046A3" w:rsidP="00F046A3">
      <w:pPr>
        <w:pStyle w:val="Numberbullet0"/>
        <w:numPr>
          <w:ilvl w:val="0"/>
          <w:numId w:val="32"/>
        </w:numPr>
      </w:pPr>
      <w:r w:rsidRPr="009934FA">
        <w:t>Please comment on the adequacy of the labels in differentiating the types of insulin.</w:t>
      </w:r>
    </w:p>
    <w:p w14:paraId="6AB1F8F2" w14:textId="3248CACE" w:rsidR="00F046A3" w:rsidRPr="009934FA" w:rsidRDefault="00F046A3" w:rsidP="00F046A3">
      <w:pPr>
        <w:pStyle w:val="Numberbullet0"/>
        <w:numPr>
          <w:ilvl w:val="0"/>
          <w:numId w:val="32"/>
        </w:numPr>
      </w:pPr>
      <w:r w:rsidRPr="009934FA">
        <w:t>Is extra pharmacovigilance for medication errors or risk mitigation required?</w:t>
      </w:r>
    </w:p>
    <w:p w14:paraId="0A04C52D" w14:textId="54A41706" w:rsidR="00D23139" w:rsidRPr="009934FA" w:rsidRDefault="00D23139" w:rsidP="00D23139">
      <w:pPr>
        <w:pStyle w:val="Heading4"/>
      </w:pPr>
      <w:r w:rsidRPr="009934FA">
        <w:t>R</w:t>
      </w:r>
      <w:r w:rsidR="00F046A3" w:rsidRPr="009934FA">
        <w:t>esponse from sponsor</w:t>
      </w:r>
    </w:p>
    <w:p w14:paraId="77F37922" w14:textId="527B0011" w:rsidR="008619DB" w:rsidRPr="009934FA" w:rsidRDefault="008619DB" w:rsidP="008619DB">
      <w:pPr>
        <w:pStyle w:val="Heading5"/>
      </w:pPr>
      <w:r w:rsidRPr="009934FA">
        <w:t>Question 1</w:t>
      </w:r>
    </w:p>
    <w:p w14:paraId="17538A45" w14:textId="457E2157" w:rsidR="008619DB" w:rsidRPr="009934FA" w:rsidRDefault="008619DB" w:rsidP="008619DB">
      <w:pPr>
        <w:ind w:firstLine="720"/>
        <w:rPr>
          <w:i/>
        </w:rPr>
      </w:pPr>
      <w:r w:rsidRPr="009934FA">
        <w:rPr>
          <w:i/>
        </w:rPr>
        <w:t>‘What is the market share of disposable pens versus cartridges for other insulins?</w:t>
      </w:r>
      <w:r w:rsidR="0078627D" w:rsidRPr="009934FA">
        <w:rPr>
          <w:i/>
        </w:rPr>
        <w:t>’</w:t>
      </w:r>
    </w:p>
    <w:p w14:paraId="7AEC40D8" w14:textId="171EFC0A" w:rsidR="008619DB" w:rsidRPr="009934FA" w:rsidRDefault="008619DB" w:rsidP="008619DB">
      <w:r w:rsidRPr="009934FA">
        <w:t>In Australia, disposable pens are used by approximately 75% of patients treated with any insulin currently available in the market (data provided by IMS Health Authority Pty Ltd). Cartridges for use in durable pens are used by 23% of patients while the remaining 2% use insulin in vials. In the basal segment, the percentage of patients using disposable pens is somewhat higher at 85.7%. Cartridges are utilised by 13.5% of patients and o</w:t>
      </w:r>
      <w:r w:rsidR="0078627D" w:rsidRPr="009934FA">
        <w:t>nly 0.8% use insulin in a vial.</w:t>
      </w:r>
    </w:p>
    <w:p w14:paraId="4B6FB05D" w14:textId="1A3E67B7" w:rsidR="0078627D" w:rsidRPr="009934FA" w:rsidRDefault="0078627D" w:rsidP="0078627D">
      <w:pPr>
        <w:pStyle w:val="Heading5"/>
      </w:pPr>
      <w:r w:rsidRPr="009934FA">
        <w:t>Question 2</w:t>
      </w:r>
    </w:p>
    <w:p w14:paraId="543C0891" w14:textId="44BCB1C2" w:rsidR="0078627D" w:rsidRPr="009934FA" w:rsidRDefault="0078627D" w:rsidP="0078627D">
      <w:pPr>
        <w:ind w:left="720"/>
        <w:rPr>
          <w:i/>
        </w:rPr>
      </w:pPr>
      <w:r w:rsidRPr="009934FA">
        <w:rPr>
          <w:i/>
        </w:rPr>
        <w:t>‘Please explain the insulin products that are able to be used the current NovoPen, and what risk mitigation activities are proposed to prevent mix up between these products. This issue relates not just to insulin degludec but to all Novo insulins’.</w:t>
      </w:r>
    </w:p>
    <w:p w14:paraId="1E217C24" w14:textId="4730382E" w:rsidR="0078627D" w:rsidRPr="009934FA" w:rsidRDefault="0078627D" w:rsidP="0078627D">
      <w:r w:rsidRPr="009934FA">
        <w:t>All currently available Novo Nordisk Penfill cartridges can be used in Penfill compatible pens; that is, NovoPen 4 and NovoPen Echo. The range of marketed products includes human insulin (Actrapid, Protophane and Mixtard), NovoRapid, NovoMix 30 and Levemir. Fiasp, Tresiba and Ryzodeg cartridges have also been designed for use in NovoPen.</w:t>
      </w:r>
    </w:p>
    <w:p w14:paraId="05A44647" w14:textId="4AB0C2B7" w:rsidR="0078627D" w:rsidRPr="009934FA" w:rsidRDefault="0078627D" w:rsidP="0078627D">
      <w:r w:rsidRPr="009934FA">
        <w:t xml:space="preserve">As shown in </w:t>
      </w:r>
      <w:r w:rsidR="00DB1E66" w:rsidRPr="00A81BA0">
        <w:t xml:space="preserve">Figure </w:t>
      </w:r>
      <w:r w:rsidR="00A81BA0" w:rsidRPr="00A81BA0">
        <w:t xml:space="preserve">7 </w:t>
      </w:r>
      <w:r w:rsidRPr="00A81BA0">
        <w:t>below,</w:t>
      </w:r>
      <w:r w:rsidRPr="009934FA">
        <w:t xml:space="preserve"> current </w:t>
      </w:r>
      <w:r w:rsidR="00A81BA0">
        <w:t>sponsor</w:t>
      </w:r>
      <w:r w:rsidRPr="009934FA">
        <w:t xml:space="preserve"> durable device differentiation is based on differentiation at 3 levels: (1) at Penfill carton level, with each product labelled with the product name and presented in a different colours, (2) at Penfill cartridge level, with each product labelled with the product name and presented in a different colour, and (3) with different durable pen colours, as shown below in the images of the currently available analogue insulins and the NovoPen 4 (blue and silver) and NovoPen Echo (red and blue).</w:t>
      </w:r>
    </w:p>
    <w:p w14:paraId="6A1327C6" w14:textId="5479720A" w:rsidR="0078627D" w:rsidRPr="009934FA" w:rsidRDefault="00A81BA0" w:rsidP="0078627D">
      <w:pPr>
        <w:pStyle w:val="FigureTitle"/>
      </w:pPr>
      <w:r>
        <w:lastRenderedPageBreak/>
        <w:t>Figure 7</w:t>
      </w:r>
      <w:r w:rsidR="006C50FE">
        <w:t>:</w:t>
      </w:r>
      <w:r w:rsidR="006C50FE" w:rsidRPr="009934FA">
        <w:t xml:space="preserve"> </w:t>
      </w:r>
      <w:r w:rsidR="0078627D" w:rsidRPr="009934FA">
        <w:t>Durable device strategy</w:t>
      </w:r>
    </w:p>
    <w:p w14:paraId="740CFE8D" w14:textId="5E7DCC3B" w:rsidR="00D23139" w:rsidRPr="009934FA" w:rsidRDefault="0078627D" w:rsidP="008619DB">
      <w:r w:rsidRPr="009934FA">
        <w:rPr>
          <w:noProof/>
          <w:lang w:eastAsia="en-AU"/>
        </w:rPr>
        <w:drawing>
          <wp:inline distT="0" distB="0" distL="0" distR="0" wp14:anchorId="1B10D2D2" wp14:editId="2199A2FB">
            <wp:extent cx="5400040" cy="2169795"/>
            <wp:effectExtent l="0" t="0" r="10160" b="0"/>
            <wp:docPr id="2" name="Picture 2" descr="Durable device strategy" title="Durable devic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169795"/>
                    </a:xfrm>
                    <a:prstGeom prst="rect">
                      <a:avLst/>
                    </a:prstGeom>
                  </pic:spPr>
                </pic:pic>
              </a:graphicData>
            </a:graphic>
          </wp:inline>
        </w:drawing>
      </w:r>
    </w:p>
    <w:p w14:paraId="4D4BBDD7" w14:textId="1DE2EF7D" w:rsidR="0078627D" w:rsidRPr="009934FA" w:rsidRDefault="0078627D" w:rsidP="0078627D">
      <w:r w:rsidRPr="009934FA">
        <w:t xml:space="preserve">As a key preventive measure against mix ups, </w:t>
      </w:r>
      <w:r w:rsidR="00A81BA0">
        <w:t>the sponsor</w:t>
      </w:r>
      <w:r w:rsidRPr="009934FA">
        <w:t xml:space="preserve"> addresses differentiation of insulin products with a multi-layered approach that includes easily distinguishable trade names, as well as consistency between the colour branded packaging and the product specific differentiation design features.</w:t>
      </w:r>
    </w:p>
    <w:p w14:paraId="6DBEB579" w14:textId="340D3E4F" w:rsidR="0078627D" w:rsidRPr="009934FA" w:rsidRDefault="0078627D" w:rsidP="0078627D">
      <w:r w:rsidRPr="009934FA">
        <w:t xml:space="preserve">The mitigations are grouped into the following categories: Penfill labelling, Penfill design, Penfill code cap interface, brand name, Penfill label design, pen injector design, and requirements to the </w:t>
      </w:r>
      <w:r w:rsidR="00A51C17">
        <w:t>instructions for use/</w:t>
      </w:r>
      <w:r w:rsidRPr="009934FA">
        <w:t>user manual.</w:t>
      </w:r>
    </w:p>
    <w:p w14:paraId="4844D107" w14:textId="76710663" w:rsidR="0078627D" w:rsidRPr="009934FA" w:rsidRDefault="0078627D" w:rsidP="0078627D">
      <w:r w:rsidRPr="009934FA">
        <w:t xml:space="preserve">Mitigations to carton design are implemented to maximise differentiation at the time of dispensing the product, for example at the pharmacy and home </w:t>
      </w:r>
      <w:r w:rsidRPr="00A81BA0">
        <w:t xml:space="preserve">environment (see Figure </w:t>
      </w:r>
      <w:r w:rsidR="00A81BA0" w:rsidRPr="00A81BA0">
        <w:t>8</w:t>
      </w:r>
      <w:r w:rsidR="00CA6B81" w:rsidRPr="00A81BA0">
        <w:t xml:space="preserve"> below</w:t>
      </w:r>
      <w:r w:rsidRPr="00A81BA0">
        <w:t>). Carton design builds on experiences obtained from already mark</w:t>
      </w:r>
      <w:r w:rsidRPr="009934FA">
        <w:t>eted Penfill prod</w:t>
      </w:r>
      <w:r w:rsidR="00CA6B81" w:rsidRPr="009934FA">
        <w:t>ucts.</w:t>
      </w:r>
    </w:p>
    <w:p w14:paraId="36261E75" w14:textId="5218C50B" w:rsidR="00CA6B81" w:rsidRPr="009934FA" w:rsidRDefault="00A81BA0" w:rsidP="00CA6B81">
      <w:pPr>
        <w:pStyle w:val="FigureTitle"/>
      </w:pPr>
      <w:r>
        <w:t>Figure 8</w:t>
      </w:r>
      <w:r w:rsidR="006C50FE">
        <w:t>:</w:t>
      </w:r>
      <w:r w:rsidR="006C50FE" w:rsidRPr="009934FA">
        <w:t xml:space="preserve"> </w:t>
      </w:r>
      <w:r w:rsidR="00CA6B81" w:rsidRPr="009934FA">
        <w:t>Example of Tresiba and Ryzodeg Penfill carton design</w:t>
      </w:r>
    </w:p>
    <w:p w14:paraId="1E0E2A36" w14:textId="6701577C" w:rsidR="0078627D" w:rsidRPr="009934FA" w:rsidRDefault="00CA6B81" w:rsidP="008619DB">
      <w:r w:rsidRPr="009934FA">
        <w:rPr>
          <w:noProof/>
          <w:lang w:eastAsia="en-AU"/>
        </w:rPr>
        <w:drawing>
          <wp:inline distT="0" distB="0" distL="0" distR="0" wp14:anchorId="398610DB" wp14:editId="17D9F553">
            <wp:extent cx="5400040" cy="2435860"/>
            <wp:effectExtent l="0" t="0" r="10160" b="2540"/>
            <wp:docPr id="3" name="Picture 3" descr="Example of Tresiba and Ryzodeg Penfill carton design" title="Example of Tresiba and Ryzodeg Penfill cart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435860"/>
                    </a:xfrm>
                    <a:prstGeom prst="rect">
                      <a:avLst/>
                    </a:prstGeom>
                  </pic:spPr>
                </pic:pic>
              </a:graphicData>
            </a:graphic>
          </wp:inline>
        </w:drawing>
      </w:r>
    </w:p>
    <w:p w14:paraId="4F6097D5" w14:textId="5974C824" w:rsidR="00CA6B81" w:rsidRPr="009934FA" w:rsidRDefault="00CA6B81" w:rsidP="00CA6B81">
      <w:r w:rsidRPr="009934FA">
        <w:t>The colour brands are differentiated with the following colours:</w:t>
      </w:r>
    </w:p>
    <w:p w14:paraId="47ADB3C6" w14:textId="1560BBB6" w:rsidR="00CA6B81" w:rsidRPr="009934FA" w:rsidRDefault="00CA6B81" w:rsidP="00CA6B81">
      <w:pPr>
        <w:pStyle w:val="ListBullet"/>
      </w:pPr>
      <w:r w:rsidRPr="009934FA">
        <w:t>Green toned colours for basal insulin</w:t>
      </w:r>
    </w:p>
    <w:p w14:paraId="6DD69442" w14:textId="18B9D8B0" w:rsidR="00CA6B81" w:rsidRPr="009934FA" w:rsidRDefault="00CA6B81" w:rsidP="00CA6B81">
      <w:pPr>
        <w:pStyle w:val="ListBullet"/>
      </w:pPr>
      <w:r w:rsidRPr="009934FA">
        <w:t>Blue toned colours for pre-mixed insulin</w:t>
      </w:r>
    </w:p>
    <w:p w14:paraId="6FC2ABC7" w14:textId="77777777" w:rsidR="00CA6B81" w:rsidRPr="009934FA" w:rsidRDefault="00CA6B81" w:rsidP="00CA6B81">
      <w:pPr>
        <w:pStyle w:val="ListBullet"/>
      </w:pPr>
      <w:r w:rsidRPr="009934FA">
        <w:t>Red, orange and yellow toned colours for bolus insulin</w:t>
      </w:r>
    </w:p>
    <w:p w14:paraId="5C02A64E" w14:textId="29D7294E" w:rsidR="00CA6B81" w:rsidRPr="009934FA" w:rsidRDefault="00CA6B81" w:rsidP="00CA6B81">
      <w:r w:rsidRPr="009934FA">
        <w:t xml:space="preserve">The size, shape and design of the Penfill ensure that only Penfill from </w:t>
      </w:r>
      <w:r w:rsidR="00316F48">
        <w:t>the sponsor</w:t>
      </w:r>
      <w:r w:rsidRPr="009934FA">
        <w:t xml:space="preserve"> will fit into compatible </w:t>
      </w:r>
      <w:r w:rsidR="00316F48">
        <w:t>sponsor branded</w:t>
      </w:r>
      <w:r w:rsidRPr="009934FA">
        <w:t xml:space="preserve"> pen injectors. The code </w:t>
      </w:r>
      <w:r w:rsidR="00DB1E66">
        <w:t xml:space="preserve">cap of the Penfill (see Figures </w:t>
      </w:r>
      <w:r w:rsidR="00316F48">
        <w:t>9 and 10</w:t>
      </w:r>
      <w:r w:rsidRPr="009934FA">
        <w:t xml:space="preserve"> below), which contains the thread interface to the pen injector needle, is colour coded to identify the drug content of the Penfill.</w:t>
      </w:r>
    </w:p>
    <w:p w14:paraId="55905B75" w14:textId="1B4C27EA" w:rsidR="00CA6B81" w:rsidRPr="009934FA" w:rsidRDefault="00316F48" w:rsidP="00CA6B81">
      <w:pPr>
        <w:pStyle w:val="FigureTitle"/>
      </w:pPr>
      <w:r>
        <w:lastRenderedPageBreak/>
        <w:t>Figure 9</w:t>
      </w:r>
      <w:r w:rsidR="006C50FE">
        <w:t>:</w:t>
      </w:r>
      <w:r w:rsidR="006C50FE" w:rsidRPr="009934FA">
        <w:t xml:space="preserve"> </w:t>
      </w:r>
      <w:r w:rsidR="00CA6B81" w:rsidRPr="009934FA">
        <w:t>Penfill code cap interface for Tresiba</w:t>
      </w:r>
    </w:p>
    <w:p w14:paraId="1FA539E9" w14:textId="02F933C8" w:rsidR="00CA6B81" w:rsidRPr="009934FA" w:rsidRDefault="00CA6B81" w:rsidP="008619DB">
      <w:r w:rsidRPr="009934FA">
        <w:rPr>
          <w:noProof/>
          <w:lang w:eastAsia="en-AU"/>
        </w:rPr>
        <w:drawing>
          <wp:inline distT="0" distB="0" distL="0" distR="0" wp14:anchorId="2D44299E" wp14:editId="6CE7356D">
            <wp:extent cx="4064000" cy="1320800"/>
            <wp:effectExtent l="0" t="0" r="0" b="0"/>
            <wp:docPr id="4" name="Picture 4" descr="Penfill code cap interface for Tresiba" title="Penfill code cap interface for Tres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4000" cy="1320800"/>
                    </a:xfrm>
                    <a:prstGeom prst="rect">
                      <a:avLst/>
                    </a:prstGeom>
                  </pic:spPr>
                </pic:pic>
              </a:graphicData>
            </a:graphic>
          </wp:inline>
        </w:drawing>
      </w:r>
    </w:p>
    <w:p w14:paraId="4BC4A730" w14:textId="575D2938" w:rsidR="00796022" w:rsidRPr="009934FA" w:rsidRDefault="00316F48" w:rsidP="00796022">
      <w:pPr>
        <w:pStyle w:val="FigureTitle"/>
      </w:pPr>
      <w:r>
        <w:t>Figure 10</w:t>
      </w:r>
      <w:r w:rsidR="006C50FE">
        <w:t>:</w:t>
      </w:r>
      <w:r w:rsidR="006C50FE" w:rsidRPr="009934FA">
        <w:t xml:space="preserve"> </w:t>
      </w:r>
      <w:r w:rsidR="00796022" w:rsidRPr="009934FA">
        <w:t>Example of a Tresiba Penfill brand name</w:t>
      </w:r>
    </w:p>
    <w:p w14:paraId="1E615B44" w14:textId="180277A2" w:rsidR="00CA6B81" w:rsidRPr="009934FA" w:rsidRDefault="00CA6B81" w:rsidP="008619DB">
      <w:r w:rsidRPr="009934FA">
        <w:rPr>
          <w:noProof/>
          <w:lang w:eastAsia="en-AU"/>
        </w:rPr>
        <w:drawing>
          <wp:inline distT="0" distB="0" distL="0" distR="0" wp14:anchorId="31B43434" wp14:editId="568796CA">
            <wp:extent cx="3949700" cy="1346200"/>
            <wp:effectExtent l="0" t="0" r="12700" b="0"/>
            <wp:docPr id="5" name="Picture 5" descr="Example of a Tresiba Penfill brand name" title="Example of a Tresiba Penfill br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9700" cy="1346200"/>
                    </a:xfrm>
                    <a:prstGeom prst="rect">
                      <a:avLst/>
                    </a:prstGeom>
                  </pic:spPr>
                </pic:pic>
              </a:graphicData>
            </a:graphic>
          </wp:inline>
        </w:drawing>
      </w:r>
    </w:p>
    <w:p w14:paraId="35B575C6" w14:textId="02B03177" w:rsidR="00796022" w:rsidRPr="009934FA" w:rsidRDefault="00A51C17" w:rsidP="00796022">
      <w:r>
        <w:t>The instructions for use</w:t>
      </w:r>
      <w:r w:rsidR="00796022" w:rsidRPr="009934FA">
        <w:t>/user manual and the information contained therein will be used as the basis of pen injector specific training, which is given to the user. These requirements, which include the importance of selecting the right drug, are provided in the Penfill user manual.</w:t>
      </w:r>
    </w:p>
    <w:p w14:paraId="1F40B959" w14:textId="0248C3E5" w:rsidR="00796022" w:rsidRPr="009934FA" w:rsidRDefault="00796022" w:rsidP="00796022">
      <w:r w:rsidRPr="009934FA">
        <w:t xml:space="preserve">As highlighted by Diabetes Australia in an attachment to the Delegate’s Overview [not included here], patients who are using more than 1 insulin </w:t>
      </w:r>
      <w:r w:rsidR="000B2869">
        <w:t xml:space="preserve">product </w:t>
      </w:r>
      <w:r w:rsidRPr="009934FA">
        <w:t xml:space="preserve">are provided with 1 pen for long acting insulin and a separate pen for administration of short acting insulin by their health care provider. Furthermore, patients are educated on how to use the different pens with each type of </w:t>
      </w:r>
      <w:r w:rsidR="00316F48">
        <w:t xml:space="preserve">insulin to avoid potential mix </w:t>
      </w:r>
      <w:r w:rsidRPr="009934FA">
        <w:t xml:space="preserve">ups. In addition, all </w:t>
      </w:r>
      <w:r w:rsidR="00316F48">
        <w:t>sponsor branded</w:t>
      </w:r>
      <w:r w:rsidRPr="009934FA">
        <w:t xml:space="preserve"> insulins contain a package insert which instructs patients to check that they are using the correct type of insulin prior to administering their insulin injection.</w:t>
      </w:r>
    </w:p>
    <w:p w14:paraId="38044E4F" w14:textId="77777777" w:rsidR="0025404D" w:rsidRDefault="00796022" w:rsidP="00796022">
      <w:r w:rsidRPr="009934FA">
        <w:t>In addition to the above risk minimisation measures, it should be noted that insulin in Australia is a prescription only medicine; therefore, the type of insulin a patient receives is controlled by a doctor in conjunction with the dispensing pharmacist. Each patient is likely to be prescribed no more than 2 insulins at any one time so despite the growing number of insulin products available, the risk of mix-ups between products is limited by the availability of a doctor’s prescription.</w:t>
      </w:r>
    </w:p>
    <w:p w14:paraId="7A110EC3" w14:textId="3D065C00" w:rsidR="00796022" w:rsidRPr="009934FA" w:rsidRDefault="00796022" w:rsidP="00796022">
      <w:r w:rsidRPr="009934FA">
        <w:t xml:space="preserve">While the use of disposable pens is preferred by a majority of patients, the availability of cartridges for use in a durable device remains an important option for between 15 and 25% of patients. The </w:t>
      </w:r>
      <w:r w:rsidR="00316F48">
        <w:t>Royal Australian College of General Practitioners (</w:t>
      </w:r>
      <w:r w:rsidRPr="009934FA">
        <w:t>RACGP</w:t>
      </w:r>
      <w:r w:rsidR="00316F48">
        <w:t>)</w:t>
      </w:r>
      <w:r w:rsidRPr="009934FA">
        <w:t xml:space="preserve"> guidance, General practice management of </w:t>
      </w:r>
      <w:r w:rsidR="00316F48">
        <w:t>T2DM</w:t>
      </w:r>
      <w:r w:rsidRPr="009934FA">
        <w:t>, states ‘</w:t>
      </w:r>
      <w:r w:rsidRPr="009934FA">
        <w:rPr>
          <w:i/>
        </w:rPr>
        <w:t>Choice will depend on patient preference and capability’</w:t>
      </w:r>
      <w:r w:rsidRPr="009934FA">
        <w:t xml:space="preserve">. This guidance also notes the importance of insulin pens in managing multiple daily injections and allowing more flexibility in </w:t>
      </w:r>
      <w:r w:rsidR="00ED71F6" w:rsidRPr="009934FA">
        <w:t>self-management</w:t>
      </w:r>
      <w:r w:rsidRPr="009934FA">
        <w:t>.</w:t>
      </w:r>
    </w:p>
    <w:p w14:paraId="7B70473F" w14:textId="36B1C77C" w:rsidR="00796022" w:rsidRPr="009934FA" w:rsidRDefault="00796022" w:rsidP="00796022">
      <w:r w:rsidRPr="009934FA">
        <w:t>Taking into account patient preference and the current risk mitigation strategies in place, the risk of medication errors due to mix ups is low and does not outweigh the benefits to the patients who choose to use cartridges in durable pens.</w:t>
      </w:r>
    </w:p>
    <w:p w14:paraId="1D6A3832" w14:textId="0362DECB" w:rsidR="00796022" w:rsidRPr="009934FA" w:rsidRDefault="00796022" w:rsidP="00796022">
      <w:r w:rsidRPr="009934FA">
        <w:t xml:space="preserve">Routine pharmacovigilance (collection and follow up of adverse event reports and ongoing safety signal monitoring) is in place for all </w:t>
      </w:r>
      <w:r w:rsidR="00316F48">
        <w:t>sponsor branded</w:t>
      </w:r>
      <w:r w:rsidRPr="009934FA">
        <w:t xml:space="preserve"> insulins worldwide. </w:t>
      </w:r>
      <w:r w:rsidR="00316F48">
        <w:t>The sponsor</w:t>
      </w:r>
      <w:r w:rsidRPr="009934FA">
        <w:t xml:space="preserve"> will continue to monitor the rate </w:t>
      </w:r>
      <w:r w:rsidR="00316F48">
        <w:t xml:space="preserve">of medication errors due to mix </w:t>
      </w:r>
      <w:r w:rsidRPr="009934FA">
        <w:t>ups and take appropriate action should any safety signal arise.</w:t>
      </w:r>
    </w:p>
    <w:p w14:paraId="7C9D6D06" w14:textId="3E6C8228" w:rsidR="00796022" w:rsidRPr="009934FA" w:rsidRDefault="00796022" w:rsidP="00796022">
      <w:pPr>
        <w:pStyle w:val="Heading5"/>
        <w:rPr>
          <w:rFonts w:eastAsiaTheme="minorHAnsi"/>
        </w:rPr>
      </w:pPr>
      <w:r w:rsidRPr="009934FA">
        <w:lastRenderedPageBreak/>
        <w:t>Question 3</w:t>
      </w:r>
    </w:p>
    <w:p w14:paraId="45534B61" w14:textId="7BD4DE87" w:rsidR="00796022" w:rsidRPr="009934FA" w:rsidRDefault="00796022" w:rsidP="00796022">
      <w:pPr>
        <w:ind w:left="720"/>
        <w:rPr>
          <w:i/>
        </w:rPr>
      </w:pPr>
      <w:r w:rsidRPr="009934FA">
        <w:rPr>
          <w:i/>
        </w:rPr>
        <w:t>‘Please provide more detail about any ongoing pharmacovigilance around CV risk and malignancy’.</w:t>
      </w:r>
    </w:p>
    <w:p w14:paraId="277F903F" w14:textId="3ECA3D38" w:rsidR="00796022" w:rsidRPr="009934FA" w:rsidRDefault="00796022" w:rsidP="00796022">
      <w:r w:rsidRPr="009934FA">
        <w:t>CV events and malignancies are not identified or potential risks for insulin degludec. Routine pharmacovigilance activities include collection and follow up of adverse event case rep orts, ongoing safety data monitoring and presentation of analysis of aggregate safety data in the PSUR/P</w:t>
      </w:r>
      <w:r w:rsidR="00297352">
        <w:t>B</w:t>
      </w:r>
      <w:r w:rsidR="00A51C17">
        <w:t>R</w:t>
      </w:r>
      <w:r w:rsidR="00297352">
        <w:t>ER</w:t>
      </w:r>
      <w:r w:rsidRPr="009934FA">
        <w:t xml:space="preserve"> for cases related to </w:t>
      </w:r>
      <w:r w:rsidR="00316F48">
        <w:t>CV</w:t>
      </w:r>
      <w:r w:rsidRPr="009934FA">
        <w:t xml:space="preserve"> events and malignant neoplasms. Based on the known safety profile of insulin degludec, these routine pharmacovigilance activities are considered adequate by the sponsor. Should there be any change of frequency or pattern of the reported events, these will be subject to re-evaluation.</w:t>
      </w:r>
    </w:p>
    <w:p w14:paraId="63CD89B7" w14:textId="523945F0" w:rsidR="00796022" w:rsidRPr="009934FA" w:rsidRDefault="00796022" w:rsidP="00796022">
      <w:pPr>
        <w:pStyle w:val="Heading6"/>
        <w:rPr>
          <w:rFonts w:eastAsiaTheme="minorHAnsi"/>
        </w:rPr>
      </w:pPr>
      <w:r w:rsidRPr="009934FA">
        <w:rPr>
          <w:rFonts w:eastAsiaTheme="minorHAnsi"/>
        </w:rPr>
        <w:t>As</w:t>
      </w:r>
      <w:r w:rsidRPr="009934FA">
        <w:t>sessment of cardiovascular risk</w:t>
      </w:r>
    </w:p>
    <w:p w14:paraId="5F292099" w14:textId="007D5F57" w:rsidR="00796022" w:rsidRPr="009934FA" w:rsidRDefault="00796022" w:rsidP="00796022">
      <w:r w:rsidRPr="009934FA">
        <w:t>The FDA Guidance for Industry, ‘</w:t>
      </w:r>
      <w:r w:rsidRPr="009934FA">
        <w:rPr>
          <w:i/>
        </w:rPr>
        <w:t>Diabetes Mellitus Evaluating Cardiovascular Risk in New Antidiabetic Therapies to Treat Type 2 Diabetes</w:t>
      </w:r>
      <w:r w:rsidR="00461762" w:rsidRPr="009934FA">
        <w:t>’</w:t>
      </w:r>
      <w:r w:rsidRPr="009934FA">
        <w:t xml:space="preserve"> notes that patients with diabetes mellitus are known to have an elevated risk of cardiovascular </w:t>
      </w:r>
      <w:r w:rsidR="00461762" w:rsidRPr="009934FA">
        <w:t>disease,</w:t>
      </w:r>
      <w:r w:rsidRPr="009934FA">
        <w:t xml:space="preserve"> which is the leading cause of morbidity and mortality in this patient population.</w:t>
      </w:r>
      <w:r w:rsidR="00AB098B" w:rsidRPr="009934FA">
        <w:rPr>
          <w:rStyle w:val="FootnoteReference"/>
        </w:rPr>
        <w:footnoteReference w:id="17"/>
      </w:r>
      <w:r w:rsidRPr="009934FA">
        <w:t xml:space="preserve"> </w:t>
      </w:r>
      <w:r w:rsidR="00461762" w:rsidRPr="009934FA">
        <w:t>FDA guidance further notes that: </w:t>
      </w:r>
      <w:r w:rsidRPr="009934FA">
        <w:rPr>
          <w:i/>
        </w:rPr>
        <w:t>‘although this increased cardiovascular (CV) risk is present in both type 1 diabetes mellitus (T1DM) and type 2 diabetes mellitus (T2DM), the absolute deficiency of insulin in patients with T1DM dictates the need for insulin therapy as an immediate lifesaving treatment for which evaluation of long-term cardiovascular risk may not be practical. The benefits of insulin treatment therefore largely outweigh the potential CV risk in patients with T1DM.</w:t>
      </w:r>
      <w:r w:rsidRPr="009934FA">
        <w:t xml:space="preserve">’ Consequently, the DEVOTE CV safety trial for IDeg was conducted in accordance with FDA advice and in line with the FDA guidance, to confirm the </w:t>
      </w:r>
      <w:r w:rsidR="00461762" w:rsidRPr="009934FA">
        <w:t>CV safety of insulin degludec.</w:t>
      </w:r>
    </w:p>
    <w:p w14:paraId="2AB098A7" w14:textId="0D283AE5" w:rsidR="00796022" w:rsidRPr="009934FA" w:rsidRDefault="00796022" w:rsidP="008619DB">
      <w:r w:rsidRPr="009934FA">
        <w:t xml:space="preserve">The DEVOTE trial was conducted in 7637 patients with T2DM at high CV risk including those with established CVD and/or chronic kidney disease. In this trial, IDeg met the primary endpoint, demonstrating non-inferiority compared to insulin glargine (IGlar) with regards to CV outcomes. The primary composite endpoint (first occurrence of an adjudicated major </w:t>
      </w:r>
      <w:r w:rsidR="00461762" w:rsidRPr="009934FA">
        <w:t>CV</w:t>
      </w:r>
      <w:r w:rsidRPr="009934FA">
        <w:t xml:space="preserve"> event, </w:t>
      </w:r>
      <w:r w:rsidR="00461762" w:rsidRPr="009934FA">
        <w:t>that is</w:t>
      </w:r>
      <w:r w:rsidRPr="009934FA">
        <w:t xml:space="preserve"> death for cardiovascular causes, non</w:t>
      </w:r>
      <w:r w:rsidR="00461762" w:rsidRPr="009934FA">
        <w:t>-</w:t>
      </w:r>
      <w:r w:rsidRPr="009934FA">
        <w:t>fatal myocardial infarction or non</w:t>
      </w:r>
      <w:r w:rsidR="00461762" w:rsidRPr="009934FA">
        <w:t>-</w:t>
      </w:r>
      <w:r w:rsidRPr="009934FA">
        <w:t xml:space="preserve">fatal stroke) occurred in 325 patients (8.5%) in the IDeg group and in 356 (9.3%) in the IGlar group (hazard ratio, 0.91; 95% confidence interval, 0.78 to 1.06; </w:t>
      </w:r>
      <w:r w:rsidR="00461762" w:rsidRPr="009934FA">
        <w:t>p </w:t>
      </w:r>
      <w:r w:rsidRPr="009934FA">
        <w:t>&lt;</w:t>
      </w:r>
      <w:r w:rsidR="00461762" w:rsidRPr="009934FA">
        <w:t> </w:t>
      </w:r>
      <w:r w:rsidRPr="009934FA">
        <w:t>0.001 for non</w:t>
      </w:r>
      <w:r w:rsidR="00461762" w:rsidRPr="009934FA">
        <w:t>-</w:t>
      </w:r>
      <w:r w:rsidRPr="009934FA">
        <w:t>inferiority).</w:t>
      </w:r>
      <w:bookmarkStart w:id="141" w:name="_Ref509862352"/>
      <w:r w:rsidR="006253E8" w:rsidRPr="009934FA">
        <w:rPr>
          <w:rStyle w:val="FootnoteReference"/>
        </w:rPr>
        <w:footnoteReference w:id="18"/>
      </w:r>
      <w:bookmarkEnd w:id="141"/>
      <w:r w:rsidRPr="009934FA">
        <w:t xml:space="preserve"> In addition, there was no significant difference in the incidence of all cause death in the IDeg </w:t>
      </w:r>
      <w:r w:rsidR="00461762" w:rsidRPr="009934FA">
        <w:t>and IGlar groups (202 patients (5.3%)</w:t>
      </w:r>
      <w:r w:rsidRPr="009934FA">
        <w:t xml:space="preserve"> v</w:t>
      </w:r>
      <w:r w:rsidR="00461762" w:rsidRPr="009934FA">
        <w:t>ersus 221 patients (5.8%)</w:t>
      </w:r>
      <w:r w:rsidRPr="009934FA">
        <w:t xml:space="preserve">; hazard ratio, 0.91; 95% CI, 0.76 to 1.11; </w:t>
      </w:r>
      <w:r w:rsidR="00461762" w:rsidRPr="009934FA">
        <w:t>p </w:t>
      </w:r>
      <w:r w:rsidRPr="009934FA">
        <w:t>=</w:t>
      </w:r>
      <w:r w:rsidR="00461762" w:rsidRPr="009934FA">
        <w:t> </w:t>
      </w:r>
      <w:r w:rsidRPr="009934FA">
        <w:t>0.35). Given that IGlar has previously demonstrated CV safety v</w:t>
      </w:r>
      <w:r w:rsidR="00461762" w:rsidRPr="009934FA">
        <w:t>ersus placebo in the ORIGI</w:t>
      </w:r>
      <w:r w:rsidRPr="009934FA">
        <w:t>N trial, it can be concluded that IDeg does not cause CV harm when used in the management of T2DM.</w:t>
      </w:r>
      <w:r w:rsidR="00012415" w:rsidRPr="009934FA">
        <w:rPr>
          <w:rStyle w:val="FootnoteReference"/>
        </w:rPr>
        <w:footnoteReference w:id="19"/>
      </w:r>
      <w:r w:rsidRPr="009934FA">
        <w:t xml:space="preserve"> Since it has been shown that the increased risk of vascular events in both T1DM and T2DM is a result of a chronic hyperglycaemic state leading to increased oxidative stress and inflammatory responses which are similar between T1DM and T2DM</w:t>
      </w:r>
      <w:r w:rsidR="00012415" w:rsidRPr="009934FA">
        <w:t>;</w:t>
      </w:r>
      <w:r w:rsidR="00012415" w:rsidRPr="009934FA">
        <w:rPr>
          <w:rStyle w:val="FootnoteReference"/>
        </w:rPr>
        <w:footnoteReference w:id="20"/>
      </w:r>
      <w:r w:rsidRPr="009934FA">
        <w:t xml:space="preserve"> it seems justifiable to extrapolate the T2DM findings from </w:t>
      </w:r>
      <w:r w:rsidR="00461762" w:rsidRPr="009934FA">
        <w:t xml:space="preserve">the </w:t>
      </w:r>
      <w:r w:rsidRPr="009934FA">
        <w:t xml:space="preserve">DEVOTE </w:t>
      </w:r>
      <w:r w:rsidR="00461762" w:rsidRPr="009934FA">
        <w:t xml:space="preserve">trial </w:t>
      </w:r>
      <w:r w:rsidRPr="009934FA">
        <w:t>to patients with T1DM, this approa</w:t>
      </w:r>
      <w:r w:rsidR="00461762" w:rsidRPr="009934FA">
        <w:t>ch having been agreed with FDA.</w:t>
      </w:r>
    </w:p>
    <w:p w14:paraId="646AC44C" w14:textId="65F236E4" w:rsidR="00461762" w:rsidRPr="009934FA" w:rsidRDefault="00461762" w:rsidP="00461762">
      <w:r w:rsidRPr="009934FA">
        <w:t xml:space="preserve">Consequently, it is reasonable to conclude that the confirmed cardiovascular safety of IDeg is applicable to the treatment </w:t>
      </w:r>
      <w:r w:rsidR="00915BD1" w:rsidRPr="009934FA">
        <w:t>of both T1DM and T2DM patients.</w:t>
      </w:r>
    </w:p>
    <w:p w14:paraId="6EF97B56" w14:textId="1EC47CD9" w:rsidR="00461762" w:rsidRPr="009934FA" w:rsidRDefault="00461762" w:rsidP="00461762">
      <w:pPr>
        <w:pStyle w:val="Heading6"/>
        <w:rPr>
          <w:rFonts w:eastAsiaTheme="minorHAnsi"/>
        </w:rPr>
      </w:pPr>
      <w:r w:rsidRPr="009934FA">
        <w:lastRenderedPageBreak/>
        <w:t>Assessment of malignancy risk</w:t>
      </w:r>
    </w:p>
    <w:p w14:paraId="73FD8960" w14:textId="17DB37C3" w:rsidR="00461762" w:rsidRPr="009934FA" w:rsidRDefault="00461762" w:rsidP="00461762">
      <w:r w:rsidRPr="009934FA">
        <w:t>Below is the evaluation of malignancy risk based on the most recent Tresiba PSUR/PBRER with data lock point of 30 September 2016.</w:t>
      </w:r>
    </w:p>
    <w:p w14:paraId="608C20E2" w14:textId="3CD92473" w:rsidR="00461762" w:rsidRPr="009934FA" w:rsidRDefault="00461762" w:rsidP="00461762">
      <w:r w:rsidRPr="009934FA">
        <w:t>The cumulative rates of malignant neoplasms (1.1 events per 100 PYE for Tresiba versus 0.7 events per 100 PYE for comparators) in the completed thera</w:t>
      </w:r>
      <w:r w:rsidR="00573B04" w:rsidRPr="009934FA">
        <w:t xml:space="preserve">peutic confirmatory open </w:t>
      </w:r>
      <w:r w:rsidRPr="009934FA">
        <w:t xml:space="preserve">label clinical trials remain comparable with the rates presented in the </w:t>
      </w:r>
      <w:r w:rsidR="00297352">
        <w:t xml:space="preserve">marketing authorisation application </w:t>
      </w:r>
      <w:r w:rsidRPr="009934FA">
        <w:t>(1.0 and 0.7 for Tresiba and comparator</w:t>
      </w:r>
      <w:r w:rsidR="00573B04" w:rsidRPr="009934FA">
        <w:t xml:space="preserve">s, respectively). In the double </w:t>
      </w:r>
      <w:r w:rsidRPr="009934FA">
        <w:t xml:space="preserve">blind DEVOTE </w:t>
      </w:r>
      <w:proofErr w:type="gramStart"/>
      <w:r w:rsidRPr="009934FA">
        <w:t>trial,</w:t>
      </w:r>
      <w:proofErr w:type="gramEnd"/>
      <w:r w:rsidRPr="009934FA">
        <w:t xml:space="preserve"> the rate of malignant neoplasms was similar for Tresiba and IGlar (1.3 v</w:t>
      </w:r>
      <w:r w:rsidR="00573B04" w:rsidRPr="009934FA">
        <w:t>ersus 1.4 </w:t>
      </w:r>
      <w:r w:rsidRPr="009934FA">
        <w:t xml:space="preserve">events per 100 </w:t>
      </w:r>
      <w:r w:rsidR="00573B04" w:rsidRPr="009934FA">
        <w:t>PYE</w:t>
      </w:r>
      <w:r w:rsidR="00012415" w:rsidRPr="009934FA">
        <w:t>).</w:t>
      </w:r>
      <w:r w:rsidR="00012415" w:rsidRPr="009934FA">
        <w:rPr>
          <w:vertAlign w:val="superscript"/>
        </w:rPr>
        <w:fldChar w:fldCharType="begin"/>
      </w:r>
      <w:r w:rsidR="00012415" w:rsidRPr="009934FA">
        <w:rPr>
          <w:vertAlign w:val="superscript"/>
        </w:rPr>
        <w:instrText xml:space="preserve"> NOTEREF _Ref509862352 \h  \* MERGEFORMAT </w:instrText>
      </w:r>
      <w:r w:rsidR="00012415" w:rsidRPr="009934FA">
        <w:rPr>
          <w:vertAlign w:val="superscript"/>
        </w:rPr>
      </w:r>
      <w:r w:rsidR="00012415" w:rsidRPr="009934FA">
        <w:rPr>
          <w:vertAlign w:val="superscript"/>
        </w:rPr>
        <w:fldChar w:fldCharType="separate"/>
      </w:r>
      <w:r w:rsidR="002B3E71">
        <w:rPr>
          <w:vertAlign w:val="superscript"/>
        </w:rPr>
        <w:t>18</w:t>
      </w:r>
      <w:r w:rsidR="00012415" w:rsidRPr="009934FA">
        <w:rPr>
          <w:vertAlign w:val="superscript"/>
        </w:rPr>
        <w:fldChar w:fldCharType="end"/>
      </w:r>
      <w:r w:rsidRPr="009934FA">
        <w:t xml:space="preserve"> No pattern was observed from the type of malignant neoplasm events report</w:t>
      </w:r>
      <w:r w:rsidR="00573B04" w:rsidRPr="009934FA">
        <w:t>ed from post marketing sources.</w:t>
      </w:r>
    </w:p>
    <w:p w14:paraId="7AD6656D" w14:textId="273D90B7" w:rsidR="00461762" w:rsidRPr="009934FA" w:rsidRDefault="00461762" w:rsidP="00461762">
      <w:r w:rsidRPr="009934FA">
        <w:t>In conclusion, based on the evaluation of the clinical trial and post-marketing data, the incidence of neoplasms in patien</w:t>
      </w:r>
      <w:r w:rsidR="00297352">
        <w:t>ts with diabetes and the multi</w:t>
      </w:r>
      <w:r w:rsidRPr="009934FA">
        <w:t xml:space="preserve">factorial aspects of neoplasms, </w:t>
      </w:r>
      <w:r w:rsidR="00573B04" w:rsidRPr="009934FA">
        <w:t xml:space="preserve">the sponsor </w:t>
      </w:r>
      <w:r w:rsidRPr="009934FA">
        <w:t xml:space="preserve">evaluates that no new safety concerns have emerged </w:t>
      </w:r>
      <w:r w:rsidR="00573B04" w:rsidRPr="009934FA">
        <w:t>concerning malignant neoplasms.</w:t>
      </w:r>
    </w:p>
    <w:p w14:paraId="0DFDF2F3" w14:textId="5FC65168" w:rsidR="00461762" w:rsidRPr="009934FA" w:rsidRDefault="00461762" w:rsidP="00461762">
      <w:r w:rsidRPr="009934FA">
        <w:t>Nonclinical data support that the carcinogenic potential of IDeg is similar to that of human insulin, and the mitogenic/metabolic potency ratio is si</w:t>
      </w:r>
      <w:r w:rsidR="00573B04" w:rsidRPr="009934FA">
        <w:t>milar to that of human insulin.</w:t>
      </w:r>
    </w:p>
    <w:p w14:paraId="29DAB639" w14:textId="66C50D8D" w:rsidR="00573B04" w:rsidRPr="009934FA" w:rsidRDefault="00573B04" w:rsidP="00573B04">
      <w:pPr>
        <w:pStyle w:val="Heading5"/>
        <w:rPr>
          <w:rFonts w:eastAsiaTheme="minorHAnsi"/>
        </w:rPr>
      </w:pPr>
      <w:r w:rsidRPr="009934FA">
        <w:t>ACM Question 1</w:t>
      </w:r>
    </w:p>
    <w:p w14:paraId="468D5FEE" w14:textId="29C56A1C" w:rsidR="00573B04" w:rsidRPr="009934FA" w:rsidRDefault="00573B04" w:rsidP="00573B04">
      <w:pPr>
        <w:ind w:firstLine="720"/>
        <w:rPr>
          <w:i/>
        </w:rPr>
      </w:pPr>
      <w:r w:rsidRPr="009934FA">
        <w:rPr>
          <w:i/>
        </w:rPr>
        <w:t>‘Is the sponsor’s claim for flexible dosing supported by sufficient evidence?’</w:t>
      </w:r>
    </w:p>
    <w:p w14:paraId="38A60248" w14:textId="1DDE7BD3" w:rsidR="00573B04" w:rsidRPr="009934FA" w:rsidRDefault="00573B04" w:rsidP="00573B04">
      <w:r w:rsidRPr="009934FA">
        <w:t>The sponsor believes the claim for flexible dosing is supported by the pharmacokinetic and pharmacodynamic profile of Tresiba (in terms of its 42 hour duration of action and its stable profile at steady state) and by the results from clinical trials that investigated extreme day-to-day variation in dosing time (morning and evening on alternate days, dosing intervals 8 to 40 hours; Trial 3668 in T2DM and Trial 3770 in T1DM) and the flexible dosing trial where subjects were permitted to change their injection time (Trial 3580 in T2DM). In Trials 3668 and 3770, Tresiba was non-inferior to the comparator (IGlar dosed at the same time each day) in terms of efficacy and did not cause any safety concerns with respect to severe hypoglycaemia or AEs of hyperglycaemia or diabetic ketoacidosis. In the flexible dosing trial in T2DM (Trial 3580), almost half the patients (42%) changed their injection time, without adverse effects on either efficacy or safety parameters. Some subjects changed their injection time frequently (7% changing their injection time more than 10 times during the 26 week trial), while others changed less frequently (10% subjects changed their injection time once and 9% changed twice).</w:t>
      </w:r>
    </w:p>
    <w:p w14:paraId="53B24F4F" w14:textId="2C033E3C" w:rsidR="00573B04" w:rsidRPr="009934FA" w:rsidRDefault="00573B04" w:rsidP="00573B04">
      <w:r w:rsidRPr="009934FA">
        <w:t xml:space="preserve">However, the sponsor agrees that it is preferable for patients to administer Tresiba at the same time every day and that patients should not be encouraged to change the time of injection from day to day. </w:t>
      </w:r>
      <w:r w:rsidR="006C50FE" w:rsidRPr="009934FA">
        <w:t>Accordingly,</w:t>
      </w:r>
      <w:r w:rsidRPr="009934FA">
        <w:t xml:space="preserve"> the PI has been amended as recommended by the Delegate. The following text has been included as advice to prescribers:</w:t>
      </w:r>
    </w:p>
    <w:p w14:paraId="7A996AA7" w14:textId="7E4622A9" w:rsidR="00573B04" w:rsidRPr="009934FA" w:rsidRDefault="00573B04" w:rsidP="009D6A9B">
      <w:pPr>
        <w:ind w:left="720"/>
        <w:rPr>
          <w:i/>
        </w:rPr>
      </w:pPr>
      <w:r w:rsidRPr="009934FA">
        <w:rPr>
          <w:i/>
        </w:rPr>
        <w:t>‘Tresiba is an ultra long acting basal insulin for once daily subcutaneous administration at any time of the day, preferably the same time every day</w:t>
      </w:r>
    </w:p>
    <w:p w14:paraId="0415B9B5" w14:textId="7D4A48E8" w:rsidR="009D6A9B" w:rsidRPr="009934FA" w:rsidRDefault="009D6A9B" w:rsidP="009D6A9B">
      <w:pPr>
        <w:ind w:left="720"/>
        <w:rPr>
          <w:i/>
        </w:rPr>
      </w:pPr>
      <w:r w:rsidRPr="009934FA">
        <w:rPr>
          <w:i/>
        </w:rPr>
        <w:t>Flexibility in dosing time:</w:t>
      </w:r>
    </w:p>
    <w:p w14:paraId="50820FDF" w14:textId="5772D515" w:rsidR="009D6A9B" w:rsidRPr="009934FA" w:rsidRDefault="009D6A9B" w:rsidP="009D6A9B">
      <w:pPr>
        <w:ind w:left="720"/>
        <w:rPr>
          <w:i/>
        </w:rPr>
      </w:pPr>
      <w:r w:rsidRPr="009934FA">
        <w:rPr>
          <w:i/>
        </w:rPr>
        <w:t>Based on the needs of the patient, and unlike other basal insulins, Tresiba allows for some flexibility in the timing of insulin administration. Patients who forget a dose are advised to take it upon discovery and then resume their usual OD dosing schedule. Ensure a minimum of 8 hours between injections’.</w:t>
      </w:r>
    </w:p>
    <w:p w14:paraId="2D0FD7CD" w14:textId="53D68CF1" w:rsidR="009D6A9B" w:rsidRPr="009934FA" w:rsidRDefault="009D6A9B" w:rsidP="009D6A9B">
      <w:pPr>
        <w:pStyle w:val="Heading5"/>
        <w:rPr>
          <w:rFonts w:eastAsiaTheme="minorHAnsi"/>
        </w:rPr>
      </w:pPr>
      <w:r w:rsidRPr="009934FA">
        <w:rPr>
          <w:rFonts w:eastAsiaTheme="minorHAnsi"/>
        </w:rPr>
        <w:t>ACM Question 2</w:t>
      </w:r>
    </w:p>
    <w:p w14:paraId="28A7C3EA" w14:textId="4D4496DA" w:rsidR="009D6A9B" w:rsidRPr="009934FA" w:rsidRDefault="009D6A9B" w:rsidP="009D6A9B">
      <w:pPr>
        <w:ind w:firstLine="720"/>
        <w:rPr>
          <w:i/>
        </w:rPr>
      </w:pPr>
      <w:r w:rsidRPr="009934FA">
        <w:rPr>
          <w:i/>
        </w:rPr>
        <w:t>‘Please comment on the adequacy of the labels in differentiating the types of insulin.’</w:t>
      </w:r>
    </w:p>
    <w:p w14:paraId="4713C30C" w14:textId="2B875D19" w:rsidR="009D6A9B" w:rsidRPr="009934FA" w:rsidRDefault="009D6A9B" w:rsidP="009D6A9B">
      <w:r w:rsidRPr="009934FA">
        <w:t xml:space="preserve">As described in the sponsor’s response to Question 2 of Questions for sponsor (see above), cartridge and pen labels are differentiated by use of the product name and a distinct </w:t>
      </w:r>
      <w:r w:rsidRPr="009934FA">
        <w:lastRenderedPageBreak/>
        <w:t>colour coding system for each brand of insulin. These measures in conjunction with patient education are considered adequate and the sponsor does not propose to adopt changes to the currently proposed labels.</w:t>
      </w:r>
    </w:p>
    <w:p w14:paraId="5C744E26" w14:textId="74E6F0DA" w:rsidR="009D6A9B" w:rsidRPr="009934FA" w:rsidRDefault="009D6A9B" w:rsidP="009D6A9B">
      <w:pPr>
        <w:pStyle w:val="Heading5"/>
      </w:pPr>
      <w:r w:rsidRPr="009934FA">
        <w:t>ACM Question 3</w:t>
      </w:r>
    </w:p>
    <w:p w14:paraId="5F79C988" w14:textId="3DD6FD3D" w:rsidR="009D6A9B" w:rsidRPr="009934FA" w:rsidRDefault="009D6A9B" w:rsidP="009D6A9B">
      <w:pPr>
        <w:ind w:firstLine="720"/>
        <w:rPr>
          <w:i/>
        </w:rPr>
      </w:pPr>
      <w:r w:rsidRPr="009934FA">
        <w:rPr>
          <w:i/>
        </w:rPr>
        <w:t>‘Is extra pharmacovigilance for medication errors or risk mitigation required?’</w:t>
      </w:r>
    </w:p>
    <w:p w14:paraId="5E355E37" w14:textId="039CBB5E" w:rsidR="009D6A9B" w:rsidRPr="009934FA" w:rsidRDefault="009D6A9B" w:rsidP="009D6A9B">
      <w:r w:rsidRPr="009934FA">
        <w:t>Regarding the mix-up between basal and bolus insulin, this important potential risk was upgraded to an important identified risk, aligning the Australian annex with the updated PSUR.</w:t>
      </w:r>
      <w:r w:rsidRPr="009934FA">
        <w:rPr>
          <w:rStyle w:val="FootnoteReference"/>
        </w:rPr>
        <w:footnoteReference w:id="21"/>
      </w:r>
      <w:r w:rsidRPr="009934FA">
        <w:t xml:space="preserve"> In addition, the total number of spontaneous cases concerning mix ups between Tresiba and bolus insulin still remained low while considering the increasing post marketing exposure of Tresiba</w:t>
      </w:r>
      <w:r w:rsidR="00402ED5" w:rsidRPr="009934FA">
        <w:t>.</w:t>
      </w:r>
      <w:r w:rsidR="00402ED5" w:rsidRPr="009934FA">
        <w:rPr>
          <w:rStyle w:val="FootnoteReference"/>
        </w:rPr>
        <w:footnoteReference w:id="22"/>
      </w:r>
    </w:p>
    <w:p w14:paraId="406C4ED4" w14:textId="52E5C9DD" w:rsidR="009D6A9B" w:rsidRPr="009934FA" w:rsidRDefault="00402ED5" w:rsidP="009D6A9B">
      <w:r w:rsidRPr="009934FA">
        <w:t xml:space="preserve">Regarding the mix </w:t>
      </w:r>
      <w:r w:rsidR="009D6A9B" w:rsidRPr="009934FA">
        <w:t>up between strengths, appropriate measures are in place in order to minimise the risk of mix-ups occurrences at the patient level and pharmacy level (</w:t>
      </w:r>
      <w:r w:rsidRPr="009934FA">
        <w:t xml:space="preserve">as per the </w:t>
      </w:r>
      <w:r w:rsidR="009D6A9B" w:rsidRPr="009934FA">
        <w:t xml:space="preserve">Tresiba </w:t>
      </w:r>
      <w:r w:rsidRPr="009934FA">
        <w:t>RMP</w:t>
      </w:r>
      <w:r w:rsidR="009D6A9B" w:rsidRPr="009934FA">
        <w:t xml:space="preserve">). Additional risk minimisation activities to help mitigate the important potential risk </w:t>
      </w:r>
      <w:r w:rsidRPr="009934FA">
        <w:t xml:space="preserve">of medication errors due to mix </w:t>
      </w:r>
      <w:r w:rsidR="009D6A9B" w:rsidRPr="009934FA">
        <w:t>up between different strengths of Tresiba include a direct healthcare professional communication, a poster for display in pharmacies/diabetic units a</w:t>
      </w:r>
      <w:r w:rsidRPr="009934FA">
        <w:t>nd a patient education leaflet.</w:t>
      </w:r>
    </w:p>
    <w:p w14:paraId="3E4BCA64" w14:textId="7454DC99" w:rsidR="00461762" w:rsidRPr="009934FA" w:rsidRDefault="009D6A9B" w:rsidP="008619DB">
      <w:r w:rsidRPr="009934FA">
        <w:t xml:space="preserve">On this basis, no additional </w:t>
      </w:r>
      <w:r w:rsidR="00297352">
        <w:t>pharmacovigilance</w:t>
      </w:r>
      <w:r w:rsidRPr="009934FA">
        <w:t xml:space="preserve"> or risk mitigation activities are considered required. The risk is monitored through continuous routine pharmacovigilance. Should there be any change of frequency or pattern of the reported events, the risk wi</w:t>
      </w:r>
      <w:r w:rsidR="00402ED5" w:rsidRPr="009934FA">
        <w:t>ll be subject to re-evaluation.</w:t>
      </w:r>
    </w:p>
    <w:p w14:paraId="318E51B2" w14:textId="77777777" w:rsidR="008E7846" w:rsidRPr="009934FA" w:rsidRDefault="008E7846" w:rsidP="008E7846">
      <w:pPr>
        <w:pStyle w:val="Heading4"/>
      </w:pPr>
      <w:r w:rsidRPr="009934FA">
        <w:t>Advisory Committee Considerations</w:t>
      </w:r>
    </w:p>
    <w:p w14:paraId="75BEF5C2" w14:textId="267C07C5" w:rsidR="004202D7" w:rsidRPr="009934FA" w:rsidRDefault="004202D7" w:rsidP="004202D7">
      <w:r w:rsidRPr="009934FA">
        <w:t xml:space="preserve">The Advisory Committee on Medicines (ACM) taking into account the submitted evidence agreed with the Delegate and considered Tresiba FlexTouch/Tresiba Penfill injection, solution containing 100 U/mL and 200 U/mL of insulin degludec to have an overall positive benefit-risk profile for the </w:t>
      </w:r>
      <w:r w:rsidR="00A76B38" w:rsidRPr="009934FA">
        <w:t xml:space="preserve">following </w:t>
      </w:r>
      <w:r w:rsidRPr="009934FA">
        <w:t>indication</w:t>
      </w:r>
      <w:r w:rsidR="00A76B38" w:rsidRPr="009934FA">
        <w:t>:</w:t>
      </w:r>
    </w:p>
    <w:p w14:paraId="39E71A80" w14:textId="3AF53B59" w:rsidR="004202D7" w:rsidRPr="009934FA" w:rsidRDefault="00A76B38" w:rsidP="00A76B38">
      <w:pPr>
        <w:ind w:firstLine="720"/>
        <w:rPr>
          <w:bCs/>
          <w:i/>
          <w:iCs/>
        </w:rPr>
      </w:pPr>
      <w:r w:rsidRPr="009934FA">
        <w:rPr>
          <w:bCs/>
          <w:i/>
          <w:iCs/>
        </w:rPr>
        <w:t>‘</w:t>
      </w:r>
      <w:r w:rsidR="004202D7" w:rsidRPr="009934FA">
        <w:rPr>
          <w:bCs/>
          <w:i/>
          <w:iCs/>
        </w:rPr>
        <w:t>For the treatment of diabetes mellitus requiring insulin</w:t>
      </w:r>
      <w:r w:rsidRPr="009934FA">
        <w:rPr>
          <w:bCs/>
          <w:i/>
          <w:iCs/>
        </w:rPr>
        <w:t>’</w:t>
      </w:r>
    </w:p>
    <w:p w14:paraId="71F06043" w14:textId="302DAB0D" w:rsidR="004202D7" w:rsidRPr="009934FA" w:rsidRDefault="004202D7" w:rsidP="004202D7">
      <w:r w:rsidRPr="009934FA">
        <w:t>In mak</w:t>
      </w:r>
      <w:r w:rsidR="00A76B38" w:rsidRPr="009934FA">
        <w:t>ing this recommendation the ACM:</w:t>
      </w:r>
    </w:p>
    <w:p w14:paraId="2DA9DA49" w14:textId="71582545" w:rsidR="004202D7" w:rsidRPr="009934FA" w:rsidRDefault="00ED71F6" w:rsidP="00A76B38">
      <w:pPr>
        <w:pStyle w:val="ListBullet"/>
      </w:pPr>
      <w:r w:rsidRPr="009934FA">
        <w:t>Noted</w:t>
      </w:r>
      <w:r w:rsidR="004202D7" w:rsidRPr="009934FA">
        <w:t xml:space="preserve"> that </w:t>
      </w:r>
      <w:r w:rsidR="00A76B38" w:rsidRPr="009934FA">
        <w:t xml:space="preserve">this application is a resubmission. </w:t>
      </w:r>
      <w:r w:rsidR="004202D7" w:rsidRPr="009934FA">
        <w:t>The original application was withdrawn in 2013 due to CV safety concerns</w:t>
      </w:r>
      <w:r w:rsidR="00A76B38" w:rsidRPr="009934FA">
        <w:t>;</w:t>
      </w:r>
    </w:p>
    <w:p w14:paraId="6827E461" w14:textId="2F78BFA1" w:rsidR="004202D7" w:rsidRPr="009934FA" w:rsidRDefault="004202D7" w:rsidP="00A76B38">
      <w:pPr>
        <w:pStyle w:val="ListBullet"/>
      </w:pPr>
      <w:r w:rsidRPr="009934FA">
        <w:t>noted that non-inferiority to other basal insulins in T1DM and T2DM is adequately established</w:t>
      </w:r>
      <w:r w:rsidR="00A76B38" w:rsidRPr="009934FA">
        <w:t>;</w:t>
      </w:r>
    </w:p>
    <w:p w14:paraId="5D71507A" w14:textId="1D03C542" w:rsidR="004202D7" w:rsidRPr="009934FA" w:rsidRDefault="004202D7" w:rsidP="00A76B38">
      <w:pPr>
        <w:pStyle w:val="ListBullet"/>
      </w:pPr>
      <w:r w:rsidRPr="009934FA">
        <w:t>noted that the sponsor wants to promote flexible dosing based on the long duration of action of insulin degludec with minimal evidence</w:t>
      </w:r>
      <w:r w:rsidR="00A76B38" w:rsidRPr="009934FA">
        <w:t>; and</w:t>
      </w:r>
    </w:p>
    <w:p w14:paraId="5F294018" w14:textId="5D9AAB92" w:rsidR="004202D7" w:rsidRPr="009934FA" w:rsidRDefault="00ED71F6" w:rsidP="00A76B38">
      <w:pPr>
        <w:pStyle w:val="ListBullet"/>
      </w:pPr>
      <w:r w:rsidRPr="009934FA">
        <w:t>Noted</w:t>
      </w:r>
      <w:r w:rsidR="004202D7" w:rsidRPr="009934FA">
        <w:t xml:space="preserve"> safety concerns with respect to CV risk and medication errors.</w:t>
      </w:r>
    </w:p>
    <w:p w14:paraId="4C8CC883" w14:textId="5CA467F4" w:rsidR="004202D7" w:rsidRPr="009934FA" w:rsidRDefault="004202D7" w:rsidP="004202D7">
      <w:r w:rsidRPr="009934FA">
        <w:t xml:space="preserve">The ACM agreed with the </w:t>
      </w:r>
      <w:r w:rsidR="00A76B38" w:rsidRPr="009934FA">
        <w:t>D</w:t>
      </w:r>
      <w:r w:rsidRPr="009934FA">
        <w:t>elegate on the proposed conditions of registration and advised on the inclusion of the following:</w:t>
      </w:r>
    </w:p>
    <w:p w14:paraId="4FF523BA" w14:textId="21F53983" w:rsidR="004202D7" w:rsidRPr="009934FA" w:rsidRDefault="004202D7" w:rsidP="00A76B38">
      <w:pPr>
        <w:pStyle w:val="ListBullet"/>
      </w:pPr>
      <w:r w:rsidRPr="009934FA">
        <w:t xml:space="preserve">Subject to satisfactory implementation of the </w:t>
      </w:r>
      <w:r w:rsidR="00A76B38" w:rsidRPr="009934FA">
        <w:t>RMP</w:t>
      </w:r>
      <w:r w:rsidRPr="009934FA">
        <w:t xml:space="preserve"> most</w:t>
      </w:r>
      <w:r w:rsidR="00A76B38" w:rsidRPr="009934FA">
        <w:t xml:space="preserve"> recently negotiated by the TGA.</w:t>
      </w:r>
    </w:p>
    <w:p w14:paraId="0A68841E" w14:textId="61D369E1" w:rsidR="004202D7" w:rsidRPr="009934FA" w:rsidRDefault="004202D7" w:rsidP="00A76B38">
      <w:pPr>
        <w:pStyle w:val="ListBullet"/>
      </w:pPr>
      <w:r w:rsidRPr="009934FA">
        <w:t xml:space="preserve">Negotiation of the </w:t>
      </w:r>
      <w:r w:rsidR="00A76B38" w:rsidRPr="009934FA">
        <w:t>PI</w:t>
      </w:r>
      <w:r w:rsidRPr="009934FA">
        <w:t xml:space="preserve"> and </w:t>
      </w:r>
      <w:r w:rsidR="00A76B38" w:rsidRPr="009934FA">
        <w:t>CMI</w:t>
      </w:r>
      <w:r w:rsidRPr="009934FA">
        <w:t xml:space="preserve"> to the satisfaction of the TGA.</w:t>
      </w:r>
    </w:p>
    <w:p w14:paraId="44CC54B0" w14:textId="6D3BBA07" w:rsidR="00A76B38" w:rsidRPr="009934FA" w:rsidRDefault="00A76B38" w:rsidP="00A76B38">
      <w:pPr>
        <w:pStyle w:val="Heading5"/>
      </w:pPr>
      <w:r w:rsidRPr="009934FA">
        <w:lastRenderedPageBreak/>
        <w:t>Specific advice</w:t>
      </w:r>
    </w:p>
    <w:p w14:paraId="6DD9CBEF" w14:textId="77777777" w:rsidR="00A76B38" w:rsidRPr="009934FA" w:rsidRDefault="00A76B38" w:rsidP="00A76B38">
      <w:r w:rsidRPr="009934FA">
        <w:t>The ACM advised the following in response to the delegate’s specific questions on the submission:</w:t>
      </w:r>
    </w:p>
    <w:p w14:paraId="57719485" w14:textId="26C1DEC2" w:rsidR="00A76B38" w:rsidRPr="009934FA" w:rsidRDefault="00A76B38" w:rsidP="00A76B38">
      <w:pPr>
        <w:pStyle w:val="Numberbullet0"/>
        <w:numPr>
          <w:ilvl w:val="0"/>
          <w:numId w:val="38"/>
        </w:numPr>
        <w:rPr>
          <w:i/>
        </w:rPr>
      </w:pPr>
      <w:r w:rsidRPr="009934FA">
        <w:rPr>
          <w:i/>
        </w:rPr>
        <w:t>‘Does the extra evidence submitted eliminate potential CV risk? Should information about CV risk be included in the PI? Should CV risk be included in the RMP?’</w:t>
      </w:r>
    </w:p>
    <w:p w14:paraId="3B5BA688" w14:textId="59EC07B4" w:rsidR="00A76B38" w:rsidRPr="009934FA" w:rsidRDefault="00A76B38" w:rsidP="00A76B38">
      <w:r w:rsidRPr="009934FA">
        <w:t xml:space="preserve">The ACM noted that the extra data provided in this submission did not support elimination of CV risk but sufficiently reduced the concern to allow registration. The ACM also noted that it seems to be unlikely to emerge as a risk. However, the ACM recognised that the DEVOTE study, in not including T1DM, and in only having a limited amount of follow up (12 months) may represent immature data. The ACM agreed that given that the sponsor proposes to put the final DEVOTE </w:t>
      </w:r>
      <w:r w:rsidR="004E58DE">
        <w:t>t</w:t>
      </w:r>
      <w:r w:rsidR="00297352">
        <w:t>r</w:t>
      </w:r>
      <w:r w:rsidR="004E58DE">
        <w:t>i</w:t>
      </w:r>
      <w:r w:rsidR="00297352">
        <w:t>al</w:t>
      </w:r>
      <w:r w:rsidRPr="009934FA">
        <w:t xml:space="preserve"> data in the PI then interim data should also be included. The ACM noted that the requirement to submit DEVOTE final </w:t>
      </w:r>
      <w:r w:rsidR="00297352">
        <w:t>trial</w:t>
      </w:r>
      <w:r w:rsidRPr="009934FA">
        <w:t xml:space="preserve"> data for evaluation as agreed should form part of the RMP.</w:t>
      </w:r>
    </w:p>
    <w:p w14:paraId="46107EAE" w14:textId="34BBF6AD" w:rsidR="00A76B38" w:rsidRPr="009934FA" w:rsidRDefault="00A76B38" w:rsidP="00A76B38">
      <w:r w:rsidRPr="009934FA">
        <w:t>The ACM noted that a trial looking at potential CV adverse events was undertaken in T2DM patients with a 12 month follow up (the DEVOTE trial). No adverse events were seen, despite earlier data raising this as a possible concern. No T1DM patients were recruited (study designed in consultation with the FDA). The ACM notes this is currently missing data.</w:t>
      </w:r>
    </w:p>
    <w:p w14:paraId="01D8B9CC" w14:textId="3685E548" w:rsidR="00A76B38" w:rsidRPr="009934FA" w:rsidRDefault="00A76B38" w:rsidP="00A76B38">
      <w:pPr>
        <w:pStyle w:val="Numberbullet0"/>
        <w:rPr>
          <w:i/>
        </w:rPr>
      </w:pPr>
      <w:r w:rsidRPr="009934FA">
        <w:rPr>
          <w:i/>
        </w:rPr>
        <w:t>‘Is the sponsor’s claim for flexible dosing supported by sufficient evidence? Should this be in prescribing information?’</w:t>
      </w:r>
    </w:p>
    <w:p w14:paraId="725C7FC1" w14:textId="32EB78F8" w:rsidR="00A76B38" w:rsidRPr="009934FA" w:rsidRDefault="00A76B38" w:rsidP="00A76B38">
      <w:r w:rsidRPr="009934FA">
        <w:t>The ACM noted Delegate’s concerns with sponsor’s claim for flexible dosing and suggested a modified statement in the PI, and that the PI and CMI should address the potential for dosing errors.</w:t>
      </w:r>
    </w:p>
    <w:p w14:paraId="619DF53E" w14:textId="1248F06D" w:rsidR="00A76B38" w:rsidRPr="009934FA" w:rsidRDefault="00A76B38" w:rsidP="00A76B38">
      <w:pPr>
        <w:pStyle w:val="Numberbullet0"/>
        <w:rPr>
          <w:i/>
        </w:rPr>
      </w:pPr>
      <w:r w:rsidRPr="009934FA">
        <w:rPr>
          <w:i/>
        </w:rPr>
        <w:t>‘Please comment on the adequacy of the labels in differentiating the types of insulin.’</w:t>
      </w:r>
    </w:p>
    <w:p w14:paraId="03D62C1C" w14:textId="77777777" w:rsidR="00A76B38" w:rsidRPr="009934FA" w:rsidRDefault="00A76B38" w:rsidP="00A76B38">
      <w:pPr>
        <w:rPr>
          <w:b/>
          <w:i/>
        </w:rPr>
      </w:pPr>
      <w:r w:rsidRPr="009934FA">
        <w:t>The ACM agreed that the suggested labelling of the cartridges is adequate to differentiate the types of insulins.</w:t>
      </w:r>
    </w:p>
    <w:p w14:paraId="4A66E6D1" w14:textId="4A22F38D" w:rsidR="00A76B38" w:rsidRPr="009934FA" w:rsidRDefault="00A76B38" w:rsidP="00AB66A0">
      <w:pPr>
        <w:pStyle w:val="Numberbullet0"/>
        <w:rPr>
          <w:i/>
        </w:rPr>
      </w:pPr>
      <w:r w:rsidRPr="009934FA">
        <w:rPr>
          <w:i/>
        </w:rPr>
        <w:t>Is extra pharmacovigilance for medication errors or risk mitigation required?</w:t>
      </w:r>
    </w:p>
    <w:p w14:paraId="68B1C60D" w14:textId="77777777" w:rsidR="00A76B38" w:rsidRPr="009934FA" w:rsidRDefault="00A76B38" w:rsidP="00A76B38">
      <w:r w:rsidRPr="009934FA">
        <w:t>The ACM agreed that extra pharmacovigilance for medication or risk mitigation is not required.</w:t>
      </w:r>
    </w:p>
    <w:p w14:paraId="15BFAF90" w14:textId="39E63E9E" w:rsidR="004202D7" w:rsidRPr="009934FA" w:rsidRDefault="00A76B38" w:rsidP="004202D7">
      <w:r w:rsidRPr="009934FA">
        <w:t>The ACM advised that implementation by the sponsor of the recommendations outlined above to the satisfaction of the TGA, in addition to the evidence of efficacy and safety provided would support the safe and effective use of these products.</w:t>
      </w:r>
    </w:p>
    <w:p w14:paraId="40912609" w14:textId="77777777" w:rsidR="008E7846" w:rsidRPr="009934FA" w:rsidRDefault="008E7846" w:rsidP="008E7846">
      <w:pPr>
        <w:pStyle w:val="Heading3"/>
      </w:pPr>
      <w:bookmarkStart w:id="142" w:name="_Toc247691532"/>
      <w:bookmarkStart w:id="143" w:name="_Toc314842516"/>
      <w:bookmarkStart w:id="144" w:name="_Toc517697120"/>
      <w:bookmarkEnd w:id="107"/>
      <w:bookmarkEnd w:id="138"/>
      <w:bookmarkEnd w:id="139"/>
      <w:r w:rsidRPr="009934FA">
        <w:t>Outcome</w:t>
      </w:r>
      <w:bookmarkEnd w:id="142"/>
      <w:bookmarkEnd w:id="143"/>
      <w:bookmarkEnd w:id="144"/>
    </w:p>
    <w:p w14:paraId="170C462B" w14:textId="3B14240B" w:rsidR="008E15D7" w:rsidRPr="009934FA" w:rsidRDefault="00D23139" w:rsidP="00D23139">
      <w:bookmarkStart w:id="145" w:name="_Toc247691533"/>
      <w:bookmarkStart w:id="146" w:name="_Toc314842517"/>
      <w:r w:rsidRPr="009934FA">
        <w:t>Based on a review of quality, safety and efficacy,</w:t>
      </w:r>
      <w:r w:rsidR="00456B53" w:rsidRPr="009934FA">
        <w:t xml:space="preserve"> the</w:t>
      </w:r>
      <w:r w:rsidRPr="009934FA">
        <w:t xml:space="preserve"> T</w:t>
      </w:r>
      <w:r w:rsidR="00456B53" w:rsidRPr="009934FA">
        <w:t>GA approved the registration of:</w:t>
      </w:r>
    </w:p>
    <w:p w14:paraId="65DF53F3" w14:textId="6783C5AE" w:rsidR="008E15D7" w:rsidRPr="009934FA" w:rsidRDefault="00456B53" w:rsidP="00456B53">
      <w:pPr>
        <w:pStyle w:val="ListBullet"/>
      </w:pPr>
      <w:r w:rsidRPr="009934FA">
        <w:t xml:space="preserve">Tresiba Penfill </w:t>
      </w:r>
      <w:r w:rsidR="008E15D7" w:rsidRPr="009934FA">
        <w:t>insulin degludec (rys) 100 U/mL solution for injection multidose</w:t>
      </w:r>
      <w:r w:rsidRPr="009934FA">
        <w:t xml:space="preserve"> </w:t>
      </w:r>
      <w:r w:rsidR="008E15D7" w:rsidRPr="009934FA">
        <w:t>cartridge</w:t>
      </w:r>
    </w:p>
    <w:p w14:paraId="18601089" w14:textId="37A729B0" w:rsidR="008E15D7" w:rsidRPr="009934FA" w:rsidRDefault="00A51C17" w:rsidP="00456B53">
      <w:pPr>
        <w:pStyle w:val="ListBullet"/>
      </w:pPr>
      <w:r>
        <w:t>Tresiba FlexT</w:t>
      </w:r>
      <w:r w:rsidR="00456B53" w:rsidRPr="009934FA">
        <w:t xml:space="preserve">ouch </w:t>
      </w:r>
      <w:r w:rsidR="008E15D7" w:rsidRPr="009934FA">
        <w:t>insulin degludec (rys) 100 U/mL solution for injection</w:t>
      </w:r>
      <w:r w:rsidR="00456B53" w:rsidRPr="009934FA">
        <w:t xml:space="preserve"> </w:t>
      </w:r>
      <w:r w:rsidR="008E15D7" w:rsidRPr="009934FA">
        <w:t>multidose cartridge</w:t>
      </w:r>
    </w:p>
    <w:p w14:paraId="6557F3D9" w14:textId="7B1A2458" w:rsidR="008E15D7" w:rsidRPr="009934FA" w:rsidRDefault="00A51C17" w:rsidP="00456B53">
      <w:pPr>
        <w:pStyle w:val="ListBullet"/>
      </w:pPr>
      <w:r>
        <w:t>Tresiba FlexT</w:t>
      </w:r>
      <w:r w:rsidR="00456B53" w:rsidRPr="009934FA">
        <w:t xml:space="preserve">ouch </w:t>
      </w:r>
      <w:r w:rsidR="008E15D7" w:rsidRPr="009934FA">
        <w:t xml:space="preserve">200 insulin degludec (rys) 200 U/mL </w:t>
      </w:r>
      <w:proofErr w:type="gramStart"/>
      <w:r w:rsidR="008E15D7" w:rsidRPr="009934FA">
        <w:t>solution</w:t>
      </w:r>
      <w:proofErr w:type="gramEnd"/>
      <w:r w:rsidR="008E15D7" w:rsidRPr="009934FA">
        <w:t xml:space="preserve"> for injection</w:t>
      </w:r>
      <w:r w:rsidR="00456B53" w:rsidRPr="009934FA">
        <w:t xml:space="preserve"> </w:t>
      </w:r>
      <w:r w:rsidR="008E15D7" w:rsidRPr="009934FA">
        <w:t>multidose cartridge</w:t>
      </w:r>
      <w:r w:rsidR="00456B53" w:rsidRPr="009934FA">
        <w:t>.</w:t>
      </w:r>
    </w:p>
    <w:p w14:paraId="7A32BCBF" w14:textId="77777777" w:rsidR="008E15D7" w:rsidRPr="009934FA" w:rsidRDefault="008E15D7" w:rsidP="008E15D7">
      <w:r w:rsidRPr="009934FA">
        <w:t>The approved indication for these therapeutic goods is:</w:t>
      </w:r>
    </w:p>
    <w:p w14:paraId="077FE154" w14:textId="09D34078" w:rsidR="008E15D7" w:rsidRDefault="00456B53" w:rsidP="00456B53">
      <w:pPr>
        <w:ind w:left="720"/>
        <w:rPr>
          <w:i/>
          <w:iCs/>
        </w:rPr>
      </w:pPr>
      <w:proofErr w:type="gramStart"/>
      <w:r w:rsidRPr="009934FA">
        <w:rPr>
          <w:i/>
          <w:iCs/>
        </w:rPr>
        <w:t>‘</w:t>
      </w:r>
      <w:r w:rsidR="008E15D7" w:rsidRPr="009934FA">
        <w:rPr>
          <w:i/>
          <w:iCs/>
        </w:rPr>
        <w:t>To improve glycaemic control in adult patients with diabetes mellitus requiring insuli</w:t>
      </w:r>
      <w:r w:rsidRPr="009934FA">
        <w:rPr>
          <w:i/>
          <w:iCs/>
        </w:rPr>
        <w:t>n’.</w:t>
      </w:r>
      <w:proofErr w:type="gramEnd"/>
    </w:p>
    <w:p w14:paraId="29494801" w14:textId="77777777" w:rsidR="00D23139" w:rsidRPr="009934FA" w:rsidRDefault="00D23139" w:rsidP="00D23139">
      <w:pPr>
        <w:pStyle w:val="Heading4"/>
      </w:pPr>
      <w:r w:rsidRPr="009934FA">
        <w:lastRenderedPageBreak/>
        <w:t>Specific conditions of registration applying to these goods</w:t>
      </w:r>
    </w:p>
    <w:p w14:paraId="319B1398" w14:textId="77777777" w:rsidR="00456B53" w:rsidRPr="009934FA" w:rsidRDefault="00456B53" w:rsidP="00456B53">
      <w:pPr>
        <w:pStyle w:val="ListBullet"/>
      </w:pPr>
      <w:r w:rsidRPr="009934FA">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3FED3F05" w14:textId="6CC03A2F" w:rsidR="00456B53" w:rsidRPr="009934FA" w:rsidRDefault="00456B53" w:rsidP="00606A05">
      <w:pPr>
        <w:pStyle w:val="ListBullet"/>
        <w:numPr>
          <w:ilvl w:val="0"/>
          <w:numId w:val="0"/>
        </w:numPr>
        <w:ind w:left="360"/>
      </w:pPr>
      <w:r w:rsidRPr="009934FA">
        <w:t>The insulin degludec (Tresiba) EU Risk Management Plan (RMP), version 5.3, dated 14 January 2015 (data lock point 31 March 2014) with Australian Specific Annex, version 1.1, dated 2 May 2017, and any subsequent revisions, as agreed with the TGA will be implemented in Australia.</w:t>
      </w:r>
    </w:p>
    <w:p w14:paraId="3D8D44C6" w14:textId="77777777" w:rsidR="00456B53" w:rsidRPr="009934FA" w:rsidRDefault="00456B53" w:rsidP="00456B53">
      <w:pPr>
        <w:pStyle w:val="ListBullet"/>
      </w:pPr>
      <w:r w:rsidRPr="009934FA">
        <w:t>Submit the full study report of the DEVOTE study as soon as it is available.</w:t>
      </w:r>
    </w:p>
    <w:p w14:paraId="4B357A9B" w14:textId="757C8D1D" w:rsidR="00456B53" w:rsidRPr="009934FA" w:rsidRDefault="00456B53" w:rsidP="00456B53">
      <w:pPr>
        <w:pStyle w:val="ListBullet"/>
      </w:pPr>
      <w:r w:rsidRPr="009934FA">
        <w:t xml:space="preserve">Batch Release Testing </w:t>
      </w:r>
      <w:r w:rsidR="00297352">
        <w:t>and</w:t>
      </w:r>
      <w:r w:rsidRPr="009934FA">
        <w:t xml:space="preserve"> Compliance with Certified Product Details (CPD)</w:t>
      </w:r>
    </w:p>
    <w:p w14:paraId="2620052D" w14:textId="77777777" w:rsidR="00831AB0" w:rsidRPr="009934FA" w:rsidRDefault="00456B53" w:rsidP="00456B53">
      <w:pPr>
        <w:pStyle w:val="ListBullet2"/>
      </w:pPr>
      <w:r w:rsidRPr="009934FA">
        <w:t>All batches of Tresiba Penfill insulin degludec (rys) 100 U/mL and Tresiba Flextouch insulin degludec (rys) 100 U/mL and 200 U/mL solution for injection</w:t>
      </w:r>
      <w:r w:rsidR="00831AB0" w:rsidRPr="009934FA">
        <w:t xml:space="preserve"> </w:t>
      </w:r>
      <w:r w:rsidRPr="009934FA">
        <w:t>multidose cartridge</w:t>
      </w:r>
      <w:r w:rsidR="00831AB0" w:rsidRPr="009934FA">
        <w:t xml:space="preserve"> </w:t>
      </w:r>
      <w:r w:rsidRPr="009934FA">
        <w:t>imported into/manufactured in Australia must comply with the product details and</w:t>
      </w:r>
      <w:r w:rsidR="00831AB0" w:rsidRPr="009934FA">
        <w:t xml:space="preserve"> </w:t>
      </w:r>
      <w:r w:rsidRPr="009934FA">
        <w:t>specifications approved during evaluation and detailed in the Certified Product Details</w:t>
      </w:r>
      <w:r w:rsidR="00831AB0" w:rsidRPr="009934FA">
        <w:t xml:space="preserve"> </w:t>
      </w:r>
      <w:r w:rsidRPr="009934FA">
        <w:t>(CPD).</w:t>
      </w:r>
    </w:p>
    <w:p w14:paraId="1A4D2F2F" w14:textId="17FB2BBB" w:rsidR="00456B53" w:rsidRPr="009934FA" w:rsidRDefault="00A51C17" w:rsidP="00456B53">
      <w:pPr>
        <w:pStyle w:val="ListBullet2"/>
      </w:pPr>
      <w:r w:rsidRPr="009934FA">
        <w:t xml:space="preserve">Each batch of Tresiba Penfill insulin degludec (rys) 100 U/mL and </w:t>
      </w:r>
      <w:r>
        <w:t>Tresiba FlexT</w:t>
      </w:r>
      <w:r w:rsidRPr="009934FA">
        <w:t>ouch insulin degludec (rys) 100 U/mL and 200 U/mL solution for injection multidose cartridge</w:t>
      </w:r>
      <w:r>
        <w:t xml:space="preserve"> </w:t>
      </w:r>
      <w:r w:rsidRPr="009934FA">
        <w:t>imported into/manufactured in Australia is not released for sale until samples and/or the manufacturer’s release data have been assessed and endorsed for release by the TGA Laboratories Branch.</w:t>
      </w:r>
    </w:p>
    <w:p w14:paraId="2E7ABCA2" w14:textId="77777777" w:rsidR="008E7846" w:rsidRPr="009934FA" w:rsidRDefault="00A80B5B" w:rsidP="00D23139">
      <w:pPr>
        <w:pStyle w:val="Heading2"/>
      </w:pPr>
      <w:bookmarkStart w:id="147" w:name="_Toc517697121"/>
      <w:proofErr w:type="gramStart"/>
      <w:r w:rsidRPr="009934FA">
        <w:t>Attachment 1.</w:t>
      </w:r>
      <w:proofErr w:type="gramEnd"/>
      <w:r w:rsidRPr="009934FA">
        <w:t xml:space="preserve"> </w:t>
      </w:r>
      <w:r w:rsidR="008E7846" w:rsidRPr="009934FA">
        <w:t xml:space="preserve">Product </w:t>
      </w:r>
      <w:r w:rsidR="00AA0ED0" w:rsidRPr="009934FA">
        <w:t>I</w:t>
      </w:r>
      <w:r w:rsidR="008E7846" w:rsidRPr="009934FA">
        <w:t>nformation</w:t>
      </w:r>
      <w:bookmarkEnd w:id="145"/>
      <w:bookmarkEnd w:id="146"/>
      <w:bookmarkEnd w:id="147"/>
    </w:p>
    <w:p w14:paraId="4EF06C51" w14:textId="787836CA" w:rsidR="004E58DE" w:rsidRPr="004E58DE" w:rsidRDefault="006136D7" w:rsidP="00C80137">
      <w:r w:rsidRPr="009934FA">
        <w:t xml:space="preserve">The PI for </w:t>
      </w:r>
      <w:r w:rsidR="00831AB0" w:rsidRPr="009934FA">
        <w:t>Tresiba Penfill and Tr</w:t>
      </w:r>
      <w:r w:rsidR="00A51C17">
        <w:t>esiba FlexT</w:t>
      </w:r>
      <w:r w:rsidR="00831AB0" w:rsidRPr="009934FA">
        <w:t xml:space="preserve">ouch </w:t>
      </w:r>
      <w:r w:rsidRPr="009934FA">
        <w:t xml:space="preserve">approved with the submission which is described in this AusPAR is at Attachment 1. For the most recent PI, please refer to the TGA website at </w:t>
      </w:r>
      <w:r w:rsidR="007C6B9B" w:rsidRPr="009934FA">
        <w:t>&lt;</w:t>
      </w:r>
      <w:hyperlink r:id="rId30" w:history="1">
        <w:r w:rsidR="007C6B9B" w:rsidRPr="009934FA">
          <w:rPr>
            <w:rStyle w:val="Hyperlink"/>
          </w:rPr>
          <w:t>https://www.tga.gov.au/product-information-pi</w:t>
        </w:r>
      </w:hyperlink>
      <w:r w:rsidR="00831AB0" w:rsidRPr="009934FA">
        <w:t>&gt;.</w:t>
      </w:r>
    </w:p>
    <w:p w14:paraId="5623BB49" w14:textId="77777777" w:rsidR="00C80137" w:rsidRPr="009934FA" w:rsidRDefault="00C80137" w:rsidP="00C80137">
      <w:pPr>
        <w:pStyle w:val="Heading2"/>
        <w:rPr>
          <w:lang w:eastAsia="en-AU"/>
        </w:rPr>
      </w:pPr>
      <w:bookmarkStart w:id="148" w:name="_Toc517697122"/>
      <w:proofErr w:type="gramStart"/>
      <w:r w:rsidRPr="009934FA">
        <w:rPr>
          <w:lang w:eastAsia="en-AU"/>
        </w:rPr>
        <w:t>Attachment 2.</w:t>
      </w:r>
      <w:proofErr w:type="gramEnd"/>
      <w:r w:rsidR="00A80B5B" w:rsidRPr="009934FA">
        <w:rPr>
          <w:lang w:eastAsia="en-AU"/>
        </w:rPr>
        <w:t xml:space="preserve"> </w:t>
      </w:r>
      <w:r w:rsidRPr="009934FA">
        <w:rPr>
          <w:lang w:eastAsia="en-AU"/>
        </w:rPr>
        <w:t>Extract from the Clinical Evaluation Report</w:t>
      </w:r>
      <w:bookmarkEnd w:id="148"/>
    </w:p>
    <w:p w14:paraId="7900341D" w14:textId="11B4E246" w:rsidR="00C80137" w:rsidRPr="009934FA" w:rsidRDefault="00A51C17" w:rsidP="003A7F6C">
      <w:pPr>
        <w:pStyle w:val="TableTitle"/>
        <w:sectPr w:rsidR="00C80137" w:rsidRPr="009934FA"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r w:rsidRPr="009934FA">
        <w:t xml:space="preserve"> </w:t>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9934FA" w14:paraId="76D3B340" w14:textId="77777777" w:rsidTr="00A05FA4">
        <w:trPr>
          <w:trHeight w:hRule="exact" w:val="704"/>
        </w:trPr>
        <w:tc>
          <w:tcPr>
            <w:tcW w:w="9175" w:type="dxa"/>
          </w:tcPr>
          <w:p w14:paraId="17DC3B18" w14:textId="77777777" w:rsidR="001C32CD" w:rsidRPr="009934FA" w:rsidRDefault="001C32CD" w:rsidP="00A05FA4">
            <w:pPr>
              <w:pStyle w:val="TGASignoff"/>
            </w:pPr>
            <w:r w:rsidRPr="009934FA">
              <w:lastRenderedPageBreak/>
              <w:t>Therapeutic Goods Administration</w:t>
            </w:r>
          </w:p>
        </w:tc>
      </w:tr>
      <w:tr w:rsidR="001C32CD" w:rsidRPr="009934FA" w14:paraId="4428138E" w14:textId="77777777" w:rsidTr="00A05FA4">
        <w:trPr>
          <w:trHeight w:val="1221"/>
        </w:trPr>
        <w:tc>
          <w:tcPr>
            <w:tcW w:w="9175" w:type="dxa"/>
            <w:tcMar>
              <w:top w:w="28" w:type="dxa"/>
            </w:tcMar>
          </w:tcPr>
          <w:p w14:paraId="32908C8C" w14:textId="77777777" w:rsidR="001C32CD" w:rsidRPr="009934FA" w:rsidRDefault="001C32CD" w:rsidP="00A05FA4">
            <w:pPr>
              <w:pStyle w:val="Address"/>
            </w:pPr>
            <w:r w:rsidRPr="009934FA">
              <w:t>PO Box 100 Woden ACT 2606 Australia</w:t>
            </w:r>
          </w:p>
          <w:p w14:paraId="6E6C98B8" w14:textId="77777777" w:rsidR="001C32CD" w:rsidRPr="009934FA" w:rsidRDefault="001C32CD" w:rsidP="00A05FA4">
            <w:pPr>
              <w:pStyle w:val="Address"/>
            </w:pPr>
            <w:r w:rsidRPr="009934FA">
              <w:t xml:space="preserve">Email: </w:t>
            </w:r>
            <w:hyperlink r:id="rId35" w:history="1">
              <w:r w:rsidRPr="009934FA">
                <w:rPr>
                  <w:rStyle w:val="Hyperlink"/>
                </w:rPr>
                <w:t>info@tga.gov.au</w:t>
              </w:r>
            </w:hyperlink>
            <w:r w:rsidRPr="009934FA">
              <w:t xml:space="preserve">  Phone: 1800 020 653  Fax: 02 6232 8605</w:t>
            </w:r>
          </w:p>
          <w:p w14:paraId="572BBE15" w14:textId="77777777" w:rsidR="001C32CD" w:rsidRPr="009934FA" w:rsidRDefault="0044270C" w:rsidP="00A05FA4">
            <w:pPr>
              <w:pStyle w:val="Address"/>
              <w:spacing w:line="260" w:lineRule="atLeast"/>
              <w:rPr>
                <w:b/>
                <w:color w:val="0000FF"/>
                <w:u w:val="single"/>
              </w:rPr>
            </w:pPr>
            <w:hyperlink r:id="rId36" w:history="1">
              <w:r w:rsidR="007C6B9B" w:rsidRPr="009934FA">
                <w:rPr>
                  <w:rStyle w:val="Hyperlink"/>
                  <w:b/>
                </w:rPr>
                <w:t>https://www.tga.gov.au</w:t>
              </w:r>
            </w:hyperlink>
          </w:p>
        </w:tc>
      </w:tr>
    </w:tbl>
    <w:p w14:paraId="508305F4" w14:textId="77777777" w:rsidR="00774E1D" w:rsidRPr="009934FA" w:rsidRDefault="00774E1D" w:rsidP="004C239D"/>
    <w:sectPr w:rsidR="00774E1D" w:rsidRPr="009934FA"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8EDD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43D7E" w14:textId="77777777" w:rsidR="00B23851" w:rsidRDefault="00B23851" w:rsidP="00C40A36">
      <w:pPr>
        <w:spacing w:after="0"/>
      </w:pPr>
      <w:r>
        <w:separator/>
      </w:r>
    </w:p>
  </w:endnote>
  <w:endnote w:type="continuationSeparator" w:id="0">
    <w:p w14:paraId="68FD6398" w14:textId="77777777" w:rsidR="00B23851" w:rsidRDefault="00B2385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06"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92"/>
      <w:gridCol w:w="1614"/>
    </w:tblGrid>
    <w:tr w:rsidR="00B23851" w:rsidRPr="00487162" w14:paraId="2625CBFF" w14:textId="77777777" w:rsidTr="004E58DE">
      <w:trPr>
        <w:trHeight w:val="260"/>
      </w:trPr>
      <w:tc>
        <w:tcPr>
          <w:tcW w:w="7292" w:type="dxa"/>
          <w:tcMar>
            <w:top w:w="142" w:type="dxa"/>
            <w:bottom w:w="0" w:type="dxa"/>
          </w:tcMar>
        </w:tcPr>
        <w:p w14:paraId="21AF3AA6" w14:textId="48E978D6" w:rsidR="00B23851" w:rsidRPr="00487162" w:rsidRDefault="00B23851" w:rsidP="00535BBB">
          <w:pPr>
            <w:pStyle w:val="Footer"/>
          </w:pPr>
          <w:r w:rsidRPr="004E58DE">
            <w:t>A</w:t>
          </w:r>
          <w:r>
            <w:t>usPAR Tresiba FlexTouch/</w:t>
          </w:r>
          <w:r w:rsidRPr="004E58DE">
            <w:t>Penfill insulin degludec (rys) Novo Nordisk Pharmaceuticals Pty Ltd PM-2016-02721-1-5.</w:t>
          </w:r>
          <w:r>
            <w:t xml:space="preserve"> </w:t>
          </w:r>
          <w:r w:rsidR="00535BBB">
            <w:t>Final 22 May 2018</w:t>
          </w:r>
        </w:p>
      </w:tc>
      <w:tc>
        <w:tcPr>
          <w:tcW w:w="1614" w:type="dxa"/>
          <w:tcMar>
            <w:top w:w="142" w:type="dxa"/>
            <w:bottom w:w="0" w:type="dxa"/>
          </w:tcMar>
        </w:tcPr>
        <w:p w14:paraId="5A69C134" w14:textId="77777777" w:rsidR="00B23851" w:rsidRPr="00487162" w:rsidRDefault="00B23851" w:rsidP="00DB750B">
          <w:pPr>
            <w:pStyle w:val="Footer"/>
            <w:jc w:val="right"/>
          </w:pPr>
          <w:r w:rsidRPr="00487162">
            <w:t xml:space="preserve">Page </w:t>
          </w:r>
          <w:r>
            <w:fldChar w:fldCharType="begin"/>
          </w:r>
          <w:r>
            <w:instrText xml:space="preserve"> PAGE  \* Arabic </w:instrText>
          </w:r>
          <w:r>
            <w:fldChar w:fldCharType="separate"/>
          </w:r>
          <w:r w:rsidR="0044270C">
            <w:rPr>
              <w:noProof/>
            </w:rPr>
            <w:t>29</w:t>
          </w:r>
          <w:r>
            <w:fldChar w:fldCharType="end"/>
          </w:r>
          <w:r w:rsidRPr="00487162">
            <w:t xml:space="preserve"> of </w:t>
          </w:r>
          <w:fldSimple w:instr=" NUMPAGES  \* Arabic ">
            <w:r w:rsidR="0044270C">
              <w:rPr>
                <w:noProof/>
              </w:rPr>
              <w:t>57</w:t>
            </w:r>
          </w:fldSimple>
        </w:p>
      </w:tc>
    </w:tr>
  </w:tbl>
  <w:p w14:paraId="130FC2E4" w14:textId="77777777" w:rsidR="00B23851" w:rsidRDefault="00B2385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23851" w:rsidRPr="00487162" w14:paraId="6F1FE628" w14:textId="77777777" w:rsidTr="00E45619">
      <w:trPr>
        <w:trHeight w:val="269"/>
      </w:trPr>
      <w:tc>
        <w:tcPr>
          <w:tcW w:w="4519" w:type="dxa"/>
          <w:tcBorders>
            <w:top w:val="single" w:sz="4" w:space="0" w:color="auto"/>
          </w:tcBorders>
          <w:tcMar>
            <w:top w:w="142" w:type="dxa"/>
            <w:bottom w:w="0" w:type="dxa"/>
          </w:tcMar>
        </w:tcPr>
        <w:p w14:paraId="5D9EE0AE" w14:textId="77777777" w:rsidR="00B23851" w:rsidRPr="00487162" w:rsidRDefault="00B23851" w:rsidP="00FE1DEE">
          <w:pPr>
            <w:pStyle w:val="Footer"/>
          </w:pPr>
          <w:r w:rsidRPr="00487162">
            <w:t>Document title, Part #, Section # - Section title</w:t>
          </w:r>
        </w:p>
        <w:p w14:paraId="331E67BA" w14:textId="77777777" w:rsidR="00B23851" w:rsidRPr="00487162" w:rsidRDefault="00B23851" w:rsidP="00FE1DEE">
          <w:pPr>
            <w:pStyle w:val="Footer"/>
          </w:pPr>
          <w:r w:rsidRPr="00487162">
            <w:t>V1.0 October 2010</w:t>
          </w:r>
        </w:p>
      </w:tc>
      <w:tc>
        <w:tcPr>
          <w:tcW w:w="4342" w:type="dxa"/>
          <w:tcBorders>
            <w:top w:val="single" w:sz="4" w:space="0" w:color="auto"/>
          </w:tcBorders>
          <w:tcMar>
            <w:top w:w="142" w:type="dxa"/>
            <w:bottom w:w="0" w:type="dxa"/>
          </w:tcMar>
        </w:tcPr>
        <w:p w14:paraId="307E0F5B" w14:textId="63594FEC" w:rsidR="00B23851" w:rsidRPr="00487162" w:rsidRDefault="00B2385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2B3E71">
              <w:rPr>
                <w:noProof/>
              </w:rPr>
              <w:t>1</w:t>
            </w:r>
          </w:fldSimple>
        </w:p>
      </w:tc>
    </w:tr>
  </w:tbl>
  <w:p w14:paraId="35CD6D0A" w14:textId="77777777" w:rsidR="00B23851" w:rsidRDefault="00B238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10544" w14:textId="77777777" w:rsidR="00B23851" w:rsidRPr="001C32CD" w:rsidRDefault="00B2385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23851" w14:paraId="66D95872" w14:textId="77777777" w:rsidTr="0010601F">
      <w:trPr>
        <w:trHeight w:val="108"/>
      </w:trPr>
      <w:tc>
        <w:tcPr>
          <w:tcW w:w="8875" w:type="dxa"/>
          <w:gridSpan w:val="2"/>
          <w:tcBorders>
            <w:bottom w:val="single" w:sz="4" w:space="0" w:color="auto"/>
          </w:tcBorders>
          <w:tcMar>
            <w:right w:w="284" w:type="dxa"/>
          </w:tcMar>
        </w:tcPr>
        <w:p w14:paraId="02BF9186" w14:textId="77777777" w:rsidR="00B23851" w:rsidRDefault="00B23851" w:rsidP="006E08B3">
          <w:pPr>
            <w:pStyle w:val="Heading3"/>
          </w:pPr>
          <w:r>
            <w:t>Copyright</w:t>
          </w:r>
        </w:p>
        <w:p w14:paraId="0A3E8199" w14:textId="77777777" w:rsidR="00B23851" w:rsidRDefault="00B23851" w:rsidP="006E08B3">
          <w:r>
            <w:rPr>
              <w:rFonts w:cs="Arial"/>
            </w:rPr>
            <w:t>©</w:t>
          </w:r>
          <w:r>
            <w:t xml:space="preserve"> Commonwealth of Australia [add year]</w:t>
          </w:r>
        </w:p>
        <w:p w14:paraId="1AFE7BBD" w14:textId="77777777" w:rsidR="00B23851" w:rsidRDefault="00B23851" w:rsidP="006E08B3"/>
        <w:p w14:paraId="2FDDD220" w14:textId="77777777" w:rsidR="00B23851" w:rsidRDefault="00B2385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BD2E35C" w14:textId="77777777" w:rsidR="00B23851" w:rsidRDefault="00B23851" w:rsidP="006E08B3"/>
        <w:p w14:paraId="14693ECB" w14:textId="77777777" w:rsidR="00B23851" w:rsidRDefault="00B23851" w:rsidP="006E08B3">
          <w:pPr>
            <w:pStyle w:val="Heading3"/>
          </w:pPr>
          <w:r>
            <w:t>Confidentiality</w:t>
          </w:r>
        </w:p>
        <w:p w14:paraId="249A9F14" w14:textId="77777777" w:rsidR="00B23851" w:rsidRDefault="00B2385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AD597FB" w14:textId="77777777" w:rsidR="00B23851" w:rsidRDefault="00B23851" w:rsidP="006E08B3"/>
        <w:p w14:paraId="4F347098" w14:textId="77777777" w:rsidR="00B23851" w:rsidRDefault="00B23851" w:rsidP="006E08B3">
          <w:r>
            <w:t>For submission made by individuals, all personal details, other than your name, will be removed from your submission before it is published on the TGA’s Internet site.</w:t>
          </w:r>
        </w:p>
        <w:p w14:paraId="29D04D17" w14:textId="77777777" w:rsidR="00B23851" w:rsidRDefault="00B23851" w:rsidP="006E08B3"/>
        <w:p w14:paraId="372A24FA" w14:textId="77777777" w:rsidR="00B23851" w:rsidRDefault="00B23851" w:rsidP="006E08B3">
          <w:r>
            <w:t>In addition, a list of parties making submissions will be published. If you do not wish to be identified with your submission you must specifically request this in the space provided ib the submission coversheet.</w:t>
          </w:r>
        </w:p>
      </w:tc>
    </w:tr>
    <w:tr w:rsidR="00B23851" w14:paraId="18865A87" w14:textId="77777777" w:rsidTr="0010601F">
      <w:trPr>
        <w:trHeight w:val="417"/>
      </w:trPr>
      <w:tc>
        <w:tcPr>
          <w:tcW w:w="4519" w:type="dxa"/>
          <w:tcBorders>
            <w:top w:val="single" w:sz="4" w:space="0" w:color="auto"/>
          </w:tcBorders>
          <w:tcMar>
            <w:top w:w="142" w:type="dxa"/>
            <w:bottom w:w="0" w:type="dxa"/>
          </w:tcMar>
        </w:tcPr>
        <w:p w14:paraId="3B22EE26" w14:textId="77777777" w:rsidR="00B23851" w:rsidRDefault="00B23851" w:rsidP="006E08B3">
          <w:r>
            <w:t>Document title, Part #, Section # - Section title</w:t>
          </w:r>
        </w:p>
        <w:p w14:paraId="4616EE63" w14:textId="77777777" w:rsidR="00B23851" w:rsidRDefault="00B23851" w:rsidP="006E08B3">
          <w:r>
            <w:t>V1.0 October 2010</w:t>
          </w:r>
        </w:p>
      </w:tc>
      <w:tc>
        <w:tcPr>
          <w:tcW w:w="4356" w:type="dxa"/>
          <w:tcBorders>
            <w:top w:val="single" w:sz="4" w:space="0" w:color="auto"/>
          </w:tcBorders>
          <w:tcMar>
            <w:top w:w="142" w:type="dxa"/>
            <w:bottom w:w="0" w:type="dxa"/>
          </w:tcMar>
        </w:tcPr>
        <w:p w14:paraId="78C429D9" w14:textId="745C0F49" w:rsidR="00B23851" w:rsidRDefault="00B2385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2B3E71">
              <w:rPr>
                <w:noProof/>
              </w:rPr>
              <w:t>1</w:t>
            </w:r>
          </w:fldSimple>
          <w:r>
            <w:t xml:space="preserve">  </w:t>
          </w:r>
        </w:p>
      </w:tc>
    </w:tr>
  </w:tbl>
  <w:p w14:paraId="754BA7B5" w14:textId="77777777" w:rsidR="00B23851" w:rsidRDefault="00B238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FFD20" w14:textId="77777777" w:rsidR="00B23851" w:rsidRDefault="00B23851" w:rsidP="00C40A36">
      <w:pPr>
        <w:spacing w:after="0"/>
      </w:pPr>
      <w:r>
        <w:separator/>
      </w:r>
    </w:p>
  </w:footnote>
  <w:footnote w:type="continuationSeparator" w:id="0">
    <w:p w14:paraId="6209FA84" w14:textId="77777777" w:rsidR="00B23851" w:rsidRDefault="00B23851" w:rsidP="00C40A36">
      <w:pPr>
        <w:spacing w:after="0"/>
      </w:pPr>
      <w:r>
        <w:continuationSeparator/>
      </w:r>
    </w:p>
  </w:footnote>
  <w:footnote w:id="1">
    <w:p w14:paraId="2151C485" w14:textId="77777777" w:rsidR="00B23851" w:rsidRPr="00606A05" w:rsidRDefault="00B23851" w:rsidP="00CC44B3">
      <w:pPr>
        <w:pStyle w:val="FootnoteText"/>
        <w:rPr>
          <w:szCs w:val="18"/>
        </w:rPr>
      </w:pPr>
      <w:r w:rsidRPr="008B6EF5">
        <w:rPr>
          <w:rStyle w:val="FootnoteReference"/>
          <w:szCs w:val="18"/>
        </w:rPr>
        <w:footnoteRef/>
      </w:r>
      <w:r w:rsidRPr="008B6EF5">
        <w:rPr>
          <w:szCs w:val="18"/>
        </w:rPr>
        <w:t xml:space="preserve"> </w:t>
      </w:r>
      <w:r w:rsidRPr="00606A05">
        <w:rPr>
          <w:szCs w:val="18"/>
        </w:rPr>
        <w:t>Australian Institute of Health and Welfare (AIHW) webpage</w:t>
      </w:r>
    </w:p>
  </w:footnote>
  <w:footnote w:id="2">
    <w:p w14:paraId="58ECD711" w14:textId="77777777" w:rsidR="00B23851" w:rsidRPr="00606A05" w:rsidRDefault="00B23851" w:rsidP="00CC44B3">
      <w:pPr>
        <w:pStyle w:val="FootnoteText"/>
        <w:rPr>
          <w:szCs w:val="18"/>
        </w:rPr>
      </w:pPr>
      <w:r w:rsidRPr="008B6EF5">
        <w:rPr>
          <w:rStyle w:val="FootnoteReference"/>
          <w:szCs w:val="18"/>
        </w:rPr>
        <w:footnoteRef/>
      </w:r>
      <w:r w:rsidRPr="008B6EF5">
        <w:rPr>
          <w:szCs w:val="18"/>
        </w:rPr>
        <w:t xml:space="preserve"> </w:t>
      </w:r>
      <w:r w:rsidRPr="00606A05">
        <w:rPr>
          <w:szCs w:val="18"/>
        </w:rPr>
        <w:t>Incidence of insulin treated diabetes in Australia 2000 to 2011, Australian Institute of Health and Welfare Diabetes series number 22, AIHW webpage.</w:t>
      </w:r>
    </w:p>
  </w:footnote>
  <w:footnote w:id="3">
    <w:p w14:paraId="701F781A" w14:textId="77777777" w:rsidR="00B23851" w:rsidRPr="008B6EF5" w:rsidRDefault="00B23851" w:rsidP="00CC44B3">
      <w:pPr>
        <w:pStyle w:val="FootnoteText"/>
        <w:rPr>
          <w:szCs w:val="18"/>
        </w:rPr>
      </w:pPr>
      <w:r w:rsidRPr="008B6EF5">
        <w:rPr>
          <w:rStyle w:val="FootnoteReference"/>
          <w:szCs w:val="18"/>
        </w:rPr>
        <w:footnoteRef/>
      </w:r>
      <w:r w:rsidRPr="008B6EF5">
        <w:rPr>
          <w:szCs w:val="18"/>
        </w:rPr>
        <w:t xml:space="preserve"> </w:t>
      </w:r>
      <w:r w:rsidRPr="00606A05">
        <w:rPr>
          <w:szCs w:val="18"/>
        </w:rPr>
        <w:t>Diabetes: management; published November 2013. Melbourne: Therapeutic Guidelines Limited; 2016 July.</w:t>
      </w:r>
    </w:p>
  </w:footnote>
  <w:footnote w:id="4">
    <w:p w14:paraId="14AEE06C" w14:textId="6E18C54B" w:rsidR="00B23851" w:rsidRPr="00C5767C" w:rsidRDefault="00B23851">
      <w:pPr>
        <w:pStyle w:val="FootnoteText"/>
        <w:rPr>
          <w:lang w:val="en-GB"/>
        </w:rPr>
      </w:pPr>
      <w:r>
        <w:rPr>
          <w:rStyle w:val="FootnoteReference"/>
        </w:rPr>
        <w:footnoteRef/>
      </w:r>
      <w:r>
        <w:t xml:space="preserve"> </w:t>
      </w:r>
      <w:r w:rsidRPr="006357B3">
        <w:rPr>
          <w:lang w:val="en-GB"/>
        </w:rPr>
        <w:t>The Advisory Committee on Prescription Medicines (ACPM) was formed in January 2010</w:t>
      </w:r>
      <w:r>
        <w:rPr>
          <w:lang w:val="en-GB"/>
        </w:rPr>
        <w:t xml:space="preserve"> to advise and make</w:t>
      </w:r>
      <w:r w:rsidRPr="006357B3">
        <w:rPr>
          <w:lang w:val="en-GB"/>
        </w:rPr>
        <w:t xml:space="preserve"> recommendations to the TGA on prescr</w:t>
      </w:r>
      <w:r>
        <w:rPr>
          <w:lang w:val="en-GB"/>
        </w:rPr>
        <w:t xml:space="preserve">iption medicines regarding </w:t>
      </w:r>
      <w:r w:rsidRPr="006357B3">
        <w:rPr>
          <w:lang w:val="en-GB"/>
        </w:rPr>
        <w:t xml:space="preserve">inclusion of a prescription medicine on the </w:t>
      </w:r>
      <w:r>
        <w:rPr>
          <w:lang w:val="en-GB"/>
        </w:rPr>
        <w:t>ARTG. The ACPM was replaced by t</w:t>
      </w:r>
      <w:r w:rsidRPr="006357B3">
        <w:rPr>
          <w:lang w:val="en-GB"/>
        </w:rPr>
        <w:t xml:space="preserve">he </w:t>
      </w:r>
      <w:r>
        <w:rPr>
          <w:lang w:val="en-GB"/>
        </w:rPr>
        <w:t>Advisory Committee on Medicines (</w:t>
      </w:r>
      <w:r w:rsidRPr="006357B3">
        <w:rPr>
          <w:lang w:val="en-GB"/>
        </w:rPr>
        <w:t>ACM</w:t>
      </w:r>
      <w:r>
        <w:rPr>
          <w:lang w:val="en-GB"/>
        </w:rPr>
        <w:t>)</w:t>
      </w:r>
      <w:r w:rsidRPr="006357B3">
        <w:rPr>
          <w:lang w:val="en-GB"/>
        </w:rPr>
        <w:t xml:space="preserve"> </w:t>
      </w:r>
      <w:r>
        <w:rPr>
          <w:lang w:val="en-GB"/>
        </w:rPr>
        <w:t>in January 2017, which</w:t>
      </w:r>
      <w:r w:rsidRPr="006357B3">
        <w:rPr>
          <w:lang w:val="en-GB"/>
        </w:rPr>
        <w:t xml:space="preserve"> encompass</w:t>
      </w:r>
      <w:r>
        <w:rPr>
          <w:lang w:val="en-GB"/>
        </w:rPr>
        <w:t>es</w:t>
      </w:r>
      <w:r w:rsidRPr="006357B3">
        <w:rPr>
          <w:lang w:val="en-GB"/>
        </w:rPr>
        <w:t xml:space="preserve"> pre</w:t>
      </w:r>
      <w:r>
        <w:rPr>
          <w:lang w:val="en-GB"/>
        </w:rPr>
        <w:t>-</w:t>
      </w:r>
      <w:r w:rsidRPr="006357B3">
        <w:rPr>
          <w:lang w:val="en-GB"/>
        </w:rPr>
        <w:t xml:space="preserve"> and post-market advice for medicines, following the consolidation of the previous functions of the </w:t>
      </w:r>
      <w:r>
        <w:rPr>
          <w:lang w:val="en-GB"/>
        </w:rPr>
        <w:t>ACPM</w:t>
      </w:r>
      <w:r w:rsidRPr="006357B3">
        <w:rPr>
          <w:lang w:val="en-GB"/>
        </w:rPr>
        <w:t>, the Advisory Committee on the Safety of Medicines (ACSOM) and the Advisory Committee on Non-Prescription Medicines (ACNM).</w:t>
      </w:r>
    </w:p>
  </w:footnote>
  <w:footnote w:id="5">
    <w:p w14:paraId="38ADB87F" w14:textId="7B9726AA" w:rsidR="00B23851" w:rsidRPr="00B23851" w:rsidRDefault="00B23851" w:rsidP="007065A4">
      <w:pPr>
        <w:pStyle w:val="FootnoteText"/>
      </w:pPr>
      <w:r>
        <w:rPr>
          <w:rStyle w:val="FootnoteReference"/>
        </w:rPr>
        <w:footnoteRef/>
      </w:r>
      <w:r>
        <w:t xml:space="preserve"> </w:t>
      </w:r>
      <w:r w:rsidRPr="00C80D90">
        <w:t xml:space="preserve">AusPAR </w:t>
      </w:r>
      <w:r>
        <w:t xml:space="preserve">for </w:t>
      </w:r>
      <w:r w:rsidRPr="00C80D90">
        <w:t>Ryzodeg 70/30 FlexT</w:t>
      </w:r>
      <w:r>
        <w:t>ouch/</w:t>
      </w:r>
      <w:r w:rsidRPr="00C80D90">
        <w:t>Ryzodeg 70/30 Penfill insulin degludec (rys)/insulin aspart (rys) Novo Nordisk Pharmaceuticals Pty Ltd PM-2016-02723-1-5</w:t>
      </w:r>
    </w:p>
  </w:footnote>
  <w:footnote w:id="6">
    <w:p w14:paraId="28324D64" w14:textId="27ACE3E5" w:rsidR="00B23851" w:rsidRPr="00D1622A" w:rsidRDefault="00B23851">
      <w:pPr>
        <w:pStyle w:val="FootnoteText"/>
      </w:pPr>
      <w:r>
        <w:rPr>
          <w:rStyle w:val="FootnoteReference"/>
        </w:rPr>
        <w:footnoteRef/>
      </w:r>
      <w:r>
        <w:t xml:space="preserve"> Duckworth W et al.</w:t>
      </w:r>
      <w:r w:rsidRPr="00D1622A">
        <w:t xml:space="preserve"> (1998) Insulin degradation: progress and potential. </w:t>
      </w:r>
      <w:proofErr w:type="gramStart"/>
      <w:r w:rsidRPr="00D1622A">
        <w:t>Endocr.</w:t>
      </w:r>
      <w:proofErr w:type="gramEnd"/>
      <w:r w:rsidRPr="00D1622A">
        <w:t xml:space="preserve"> </w:t>
      </w:r>
      <w:proofErr w:type="gramStart"/>
      <w:r w:rsidRPr="00D1622A">
        <w:t>Rev. 19: </w:t>
      </w:r>
      <w:r>
        <w:t>608-</w:t>
      </w:r>
      <w:r w:rsidRPr="00D1622A">
        <w:t>624.</w:t>
      </w:r>
      <w:proofErr w:type="gramEnd"/>
    </w:p>
  </w:footnote>
  <w:footnote w:id="7">
    <w:p w14:paraId="39211ECD" w14:textId="77777777" w:rsidR="00B23851" w:rsidRPr="000E30F8" w:rsidRDefault="00B23851" w:rsidP="00F416E2">
      <w:pPr>
        <w:pStyle w:val="FootnoteText"/>
        <w:rPr>
          <w:lang w:val="en-GB"/>
        </w:rPr>
      </w:pPr>
      <w:r>
        <w:rPr>
          <w:rStyle w:val="FootnoteReference"/>
        </w:rPr>
        <w:footnoteRef/>
      </w:r>
      <w:r>
        <w:t xml:space="preserve"> </w:t>
      </w:r>
      <w:r>
        <w:rPr>
          <w:lang w:val="en-GB"/>
        </w:rPr>
        <w:t xml:space="preserve">NPH (neutral protamine Hagedorn) insulin, also known as isophane insulin, is </w:t>
      </w:r>
      <w:proofErr w:type="gramStart"/>
      <w:r>
        <w:rPr>
          <w:lang w:val="en-GB"/>
        </w:rPr>
        <w:t>an intermediate</w:t>
      </w:r>
      <w:proofErr w:type="gramEnd"/>
      <w:r>
        <w:rPr>
          <w:lang w:val="en-GB"/>
        </w:rPr>
        <w:t xml:space="preserve"> acting human insulin.</w:t>
      </w:r>
    </w:p>
  </w:footnote>
  <w:footnote w:id="8">
    <w:p w14:paraId="637F6609" w14:textId="385185DE" w:rsidR="00B23851" w:rsidRPr="00F416E2" w:rsidRDefault="00B23851">
      <w:pPr>
        <w:pStyle w:val="FootnoteText"/>
        <w:rPr>
          <w:lang w:val="en-GB"/>
        </w:rPr>
      </w:pPr>
      <w:r w:rsidRPr="00F416E2">
        <w:rPr>
          <w:rStyle w:val="FootnoteReference"/>
        </w:rPr>
        <w:footnoteRef/>
      </w:r>
      <w:r w:rsidRPr="00F416E2">
        <w:t xml:space="preserve"> ICH M3 (R2)</w:t>
      </w:r>
      <w:r>
        <w:t>:</w:t>
      </w:r>
      <w:r w:rsidRPr="00F416E2">
        <w:t xml:space="preserve"> </w:t>
      </w:r>
      <w:r>
        <w:t xml:space="preserve">International Conference on Harmonisation, </w:t>
      </w:r>
      <w:r w:rsidRPr="00F416E2">
        <w:t>Note for Guidance on Non-Clinical Safety Studies for the Conduct of Human Clinical Trials and Marketing Authorisation for Pharmaceuticals</w:t>
      </w:r>
      <w:r>
        <w:t>.</w:t>
      </w:r>
    </w:p>
  </w:footnote>
  <w:footnote w:id="9">
    <w:p w14:paraId="066AD20D" w14:textId="0F03D447" w:rsidR="00B23851" w:rsidRPr="00377BAE" w:rsidRDefault="00B23851">
      <w:pPr>
        <w:pStyle w:val="FootnoteText"/>
        <w:rPr>
          <w:lang w:val="en-GB"/>
        </w:rPr>
      </w:pPr>
      <w:r w:rsidRPr="00F416E2">
        <w:rPr>
          <w:rStyle w:val="FootnoteReference"/>
        </w:rPr>
        <w:footnoteRef/>
      </w:r>
      <w:r w:rsidRPr="00F416E2">
        <w:t xml:space="preserve"> ICH S6 (R1): </w:t>
      </w:r>
      <w:r>
        <w:t xml:space="preserve">International Conference on Harmonisation, </w:t>
      </w:r>
      <w:r w:rsidRPr="00F416E2">
        <w:t>Preclinical Safety Evaluation of Biotechnology-Derived Pharmaceuticals guidelines.</w:t>
      </w:r>
    </w:p>
  </w:footnote>
  <w:footnote w:id="10">
    <w:p w14:paraId="62AFCA6A" w14:textId="3BA727A2" w:rsidR="00B23851" w:rsidRPr="00377BAE" w:rsidRDefault="00B23851">
      <w:pPr>
        <w:pStyle w:val="FootnoteText"/>
      </w:pPr>
      <w:r>
        <w:rPr>
          <w:rStyle w:val="FootnoteReference"/>
        </w:rPr>
        <w:footnoteRef/>
      </w:r>
      <w:r>
        <w:t xml:space="preserve"> </w:t>
      </w:r>
      <w:r w:rsidRPr="00F416E2">
        <w:t>CPMP/SWP/372/01</w:t>
      </w:r>
      <w:r>
        <w:t xml:space="preserve">: </w:t>
      </w:r>
      <w:r w:rsidRPr="00D1622A">
        <w:t>Points to Consider Document on the Non-clinical Assessment of the Carcinogenic Potential of Insulin Analogues</w:t>
      </w:r>
      <w:r>
        <w:t>.</w:t>
      </w:r>
    </w:p>
  </w:footnote>
  <w:footnote w:id="11">
    <w:p w14:paraId="0D87D614" w14:textId="4B9DBD79" w:rsidR="00B23851" w:rsidRPr="003F15D0" w:rsidRDefault="00B23851">
      <w:pPr>
        <w:pStyle w:val="FootnoteText"/>
        <w:rPr>
          <w:bCs/>
          <w:lang w:val="en-GB"/>
        </w:rPr>
      </w:pPr>
      <w:r>
        <w:rPr>
          <w:rStyle w:val="FootnoteReference"/>
        </w:rPr>
        <w:footnoteRef/>
      </w:r>
      <w:r>
        <w:t xml:space="preserve"> </w:t>
      </w:r>
      <w:r w:rsidRPr="003F15D0">
        <w:rPr>
          <w:bCs/>
          <w:lang w:val="en-GB"/>
        </w:rPr>
        <w:t>Australian categorisation system for prescribing medicines in pregnancy</w:t>
      </w:r>
      <w:r>
        <w:rPr>
          <w:bCs/>
          <w:lang w:val="en-GB"/>
        </w:rPr>
        <w:t xml:space="preserve">: </w:t>
      </w:r>
      <w:r w:rsidRPr="003F15D0">
        <w:rPr>
          <w:bCs/>
          <w:lang w:val="en-GB"/>
        </w:rPr>
        <w:t>Category B3</w:t>
      </w:r>
      <w:r>
        <w:rPr>
          <w:bCs/>
          <w:lang w:val="en-GB"/>
        </w:rPr>
        <w:t xml:space="preserve">; </w:t>
      </w:r>
      <w:r w:rsidRPr="003F15D0">
        <w:rPr>
          <w:lang w:val="en-GB"/>
        </w:rPr>
        <w:t>Drugs which have been taken by only a limited number of pregnant women and women of childbearing age, without an increase in the frequency of malformation or other direct or indirect harmful effects on the human fetus having been observed.</w:t>
      </w:r>
      <w:r>
        <w:rPr>
          <w:bCs/>
          <w:lang w:val="en-GB"/>
        </w:rPr>
        <w:t xml:space="preserve"> </w:t>
      </w:r>
      <w:r w:rsidRPr="003F15D0">
        <w:rPr>
          <w:lang w:val="en-GB"/>
        </w:rPr>
        <w:t>Studies in animals have shown evidence of an increased occurrence of fetal damage, the significance of which is considered uncertain in humans.</w:t>
      </w:r>
    </w:p>
  </w:footnote>
  <w:footnote w:id="12">
    <w:p w14:paraId="4BDA9C6A" w14:textId="111E2B60" w:rsidR="00B23851" w:rsidRPr="000C7209" w:rsidRDefault="00B23851">
      <w:pPr>
        <w:pStyle w:val="FootnoteText"/>
        <w:rPr>
          <w:lang w:val="en-GB"/>
        </w:rPr>
      </w:pPr>
      <w:r>
        <w:rPr>
          <w:rStyle w:val="FootnoteReference"/>
        </w:rPr>
        <w:footnoteRef/>
      </w:r>
      <w:r>
        <w:t xml:space="preserve"> </w:t>
      </w:r>
      <w:r>
        <w:rPr>
          <w:lang w:val="en-GB"/>
        </w:rPr>
        <w:t>HbA1c, or glycated haemoglobin reflects the average (%) plasma glucose over the previous 12 week period and is used clinically and in research as an objective measure of glycaemic control.</w:t>
      </w:r>
    </w:p>
  </w:footnote>
  <w:footnote w:id="13">
    <w:p w14:paraId="410CF09B" w14:textId="6F1BD6D6" w:rsidR="00B23851" w:rsidRPr="006A343A" w:rsidRDefault="00B23851">
      <w:pPr>
        <w:pStyle w:val="FootnoteText"/>
      </w:pPr>
      <w:r>
        <w:rPr>
          <w:rStyle w:val="FootnoteReference"/>
        </w:rPr>
        <w:footnoteRef/>
      </w:r>
      <w:r>
        <w:t xml:space="preserve"> </w:t>
      </w:r>
      <w:r w:rsidRPr="006A343A">
        <w:t>Insulin degludec periodic safety update report (PSUR)/periodic benefit–risk evaluation r</w:t>
      </w:r>
      <w:r>
        <w:t>eport (PBRER) (1 </w:t>
      </w:r>
      <w:r w:rsidRPr="006A343A">
        <w:t>October 2014 to 30 September 2015) version 3.0, dated 3 December 2015.</w:t>
      </w:r>
    </w:p>
  </w:footnote>
  <w:footnote w:id="14">
    <w:p w14:paraId="3688A1F0" w14:textId="4987B8D7" w:rsidR="00B23851" w:rsidRPr="00BD4CFD" w:rsidRDefault="00B23851">
      <w:pPr>
        <w:pStyle w:val="FootnoteText"/>
        <w:rPr>
          <w:lang w:val="en-GB"/>
        </w:rPr>
      </w:pPr>
      <w:r>
        <w:rPr>
          <w:rStyle w:val="FootnoteReference"/>
        </w:rPr>
        <w:footnoteRef/>
      </w:r>
      <w:r>
        <w:t xml:space="preserve"> </w:t>
      </w:r>
      <w:r>
        <w:rPr>
          <w:lang w:val="en-GB"/>
        </w:rPr>
        <w:t>QTc = Corrected QT interval; measurement of the time taken from the start of the Q wave to the end of the T wave in the cardiac cycle, corrected for heart rate.</w:t>
      </w:r>
    </w:p>
  </w:footnote>
  <w:footnote w:id="15">
    <w:p w14:paraId="1D470028" w14:textId="68155564" w:rsidR="00B23851" w:rsidRPr="0060726E" w:rsidRDefault="00B23851" w:rsidP="00FB0E89">
      <w:pPr>
        <w:pStyle w:val="FootnoteText"/>
        <w:rPr>
          <w:lang w:val="en-US"/>
        </w:rPr>
      </w:pPr>
      <w:r>
        <w:rPr>
          <w:rStyle w:val="FootnoteReference"/>
        </w:rPr>
        <w:footnoteRef/>
      </w:r>
      <w:r>
        <w:t xml:space="preserve"> </w:t>
      </w:r>
      <w:r>
        <w:rPr>
          <w:lang w:val="en-US"/>
        </w:rPr>
        <w:t>MACE+ was cardiovascular death, stroke, myocardial infarction and unstable angina. MACE was cardiovascular death, stroke and myocardial infarction</w:t>
      </w:r>
    </w:p>
  </w:footnote>
  <w:footnote w:id="16">
    <w:p w14:paraId="6632B045" w14:textId="69C64730" w:rsidR="00B23851" w:rsidRPr="00606A05" w:rsidRDefault="00B23851" w:rsidP="000317DE">
      <w:pPr>
        <w:rPr>
          <w:sz w:val="18"/>
          <w:szCs w:val="18"/>
        </w:rPr>
      </w:pPr>
      <w:r w:rsidRPr="00606A05">
        <w:rPr>
          <w:rStyle w:val="FootnoteReference"/>
          <w:sz w:val="18"/>
          <w:szCs w:val="18"/>
        </w:rPr>
        <w:footnoteRef/>
      </w:r>
      <w:r w:rsidRPr="00606A05">
        <w:rPr>
          <w:sz w:val="18"/>
          <w:szCs w:val="18"/>
        </w:rPr>
        <w:t xml:space="preserve"> The significance of hypoglycaemia events needs to be interpreted with caution. Of the 373 events identified for adjudication, only 177 had had adjudication completed. Patients who were previously treated with insulin and were using insulin aspartate were at higher risk of hypoglycaemia. This demonstrates the number of factors involved in the risk of hypoglycaemia; the serious adverse event and discontinuation rate due to hypoglycaemia was higher in the degludec arm.</w:t>
      </w:r>
    </w:p>
  </w:footnote>
  <w:footnote w:id="17">
    <w:p w14:paraId="64BF2FAC" w14:textId="5D7F575F" w:rsidR="00B23851" w:rsidRPr="00AB098B" w:rsidRDefault="00B23851">
      <w:pPr>
        <w:pStyle w:val="FootnoteText"/>
        <w:rPr>
          <w:lang w:val="en-GB"/>
        </w:rPr>
      </w:pPr>
      <w:r>
        <w:rPr>
          <w:rStyle w:val="FootnoteReference"/>
        </w:rPr>
        <w:footnoteRef/>
      </w:r>
      <w:r>
        <w:t xml:space="preserve"> </w:t>
      </w:r>
      <w:proofErr w:type="gramStart"/>
      <w:r w:rsidRPr="006253E8">
        <w:rPr>
          <w:lang w:val="en-GB"/>
        </w:rPr>
        <w:t>Seshasai S et al. Emerging Risk Factors Collaboration, Diabetes mellitus, fasting glucose, and risk of cause-specific death.</w:t>
      </w:r>
      <w:proofErr w:type="gramEnd"/>
      <w:r w:rsidRPr="006253E8">
        <w:rPr>
          <w:lang w:val="en-GB"/>
        </w:rPr>
        <w:t xml:space="preserve"> N Engl J Med. 2011</w:t>
      </w:r>
      <w:proofErr w:type="gramStart"/>
      <w:r w:rsidRPr="006253E8">
        <w:rPr>
          <w:lang w:val="en-GB"/>
        </w:rPr>
        <w:t>;364</w:t>
      </w:r>
      <w:proofErr w:type="gramEnd"/>
      <w:r w:rsidRPr="006253E8">
        <w:rPr>
          <w:lang w:val="en-GB"/>
        </w:rPr>
        <w:t>(9):829-41.</w:t>
      </w:r>
    </w:p>
  </w:footnote>
  <w:footnote w:id="18">
    <w:p w14:paraId="150206D2" w14:textId="3BC42D7D" w:rsidR="00B23851" w:rsidRPr="006253E8" w:rsidRDefault="00B23851">
      <w:pPr>
        <w:pStyle w:val="FootnoteText"/>
        <w:rPr>
          <w:lang w:val="en-GB"/>
        </w:rPr>
      </w:pPr>
      <w:r>
        <w:rPr>
          <w:rStyle w:val="FootnoteReference"/>
        </w:rPr>
        <w:footnoteRef/>
      </w:r>
      <w:r>
        <w:t xml:space="preserve"> </w:t>
      </w:r>
      <w:proofErr w:type="gramStart"/>
      <w:r w:rsidRPr="006253E8">
        <w:rPr>
          <w:lang w:val="en-GB"/>
        </w:rPr>
        <w:t>Marso S et al. Efficacy and Safety of Degludec versus Glargine in Type 2 Diabetes.</w:t>
      </w:r>
      <w:proofErr w:type="gramEnd"/>
      <w:r w:rsidRPr="006253E8">
        <w:rPr>
          <w:lang w:val="en-GB"/>
        </w:rPr>
        <w:t xml:space="preserve"> </w:t>
      </w:r>
      <w:proofErr w:type="gramStart"/>
      <w:r w:rsidRPr="006253E8">
        <w:rPr>
          <w:lang w:val="en-GB"/>
        </w:rPr>
        <w:t>New England Journal of Medicine.</w:t>
      </w:r>
      <w:proofErr w:type="gramEnd"/>
      <w:r w:rsidRPr="006253E8">
        <w:rPr>
          <w:lang w:val="en-GB"/>
        </w:rPr>
        <w:t xml:space="preserve"> 2017</w:t>
      </w:r>
      <w:proofErr w:type="gramStart"/>
      <w:r w:rsidRPr="006253E8">
        <w:rPr>
          <w:lang w:val="en-GB"/>
        </w:rPr>
        <w:t>;377:723</w:t>
      </w:r>
      <w:proofErr w:type="gramEnd"/>
      <w:r w:rsidRPr="006253E8">
        <w:rPr>
          <w:lang w:val="en-GB"/>
        </w:rPr>
        <w:t>-32.</w:t>
      </w:r>
    </w:p>
  </w:footnote>
  <w:footnote w:id="19">
    <w:p w14:paraId="1E5A2D09" w14:textId="45DD0CEE" w:rsidR="00B23851" w:rsidRPr="00012415" w:rsidRDefault="00B23851">
      <w:pPr>
        <w:pStyle w:val="FootnoteText"/>
        <w:rPr>
          <w:lang w:val="en-GB"/>
        </w:rPr>
      </w:pPr>
      <w:r>
        <w:rPr>
          <w:rStyle w:val="FootnoteReference"/>
        </w:rPr>
        <w:footnoteRef/>
      </w:r>
      <w:r>
        <w:t xml:space="preserve"> </w:t>
      </w:r>
      <w:r w:rsidRPr="00012415">
        <w:rPr>
          <w:lang w:val="en-GB"/>
        </w:rPr>
        <w:t xml:space="preserve">Gerstein H et al. ORIGIN Trial Investigators: Basal insulin and cardiovascular and other outcomes in </w:t>
      </w:r>
      <w:proofErr w:type="spellStart"/>
      <w:r w:rsidRPr="00012415">
        <w:rPr>
          <w:lang w:val="en-GB"/>
        </w:rPr>
        <w:t>dysglycemia</w:t>
      </w:r>
      <w:proofErr w:type="spellEnd"/>
      <w:r w:rsidRPr="00012415">
        <w:rPr>
          <w:lang w:val="en-GB"/>
        </w:rPr>
        <w:t>. N Engl J Med. 2012</w:t>
      </w:r>
      <w:proofErr w:type="gramStart"/>
      <w:r w:rsidRPr="00012415">
        <w:rPr>
          <w:lang w:val="en-GB"/>
        </w:rPr>
        <w:t>;367</w:t>
      </w:r>
      <w:proofErr w:type="gramEnd"/>
      <w:r w:rsidRPr="00012415">
        <w:rPr>
          <w:lang w:val="en-GB"/>
        </w:rPr>
        <w:t>(4):319-28.</w:t>
      </w:r>
    </w:p>
  </w:footnote>
  <w:footnote w:id="20">
    <w:p w14:paraId="5B681E02" w14:textId="7C41ED5F" w:rsidR="00B23851" w:rsidRPr="00012415" w:rsidRDefault="00B23851">
      <w:pPr>
        <w:pStyle w:val="FootnoteText"/>
        <w:rPr>
          <w:lang w:val="en-GB"/>
        </w:rPr>
      </w:pPr>
      <w:r>
        <w:rPr>
          <w:rStyle w:val="FootnoteReference"/>
        </w:rPr>
        <w:footnoteRef/>
      </w:r>
      <w:r>
        <w:t xml:space="preserve"> </w:t>
      </w:r>
      <w:proofErr w:type="spellStart"/>
      <w:r w:rsidRPr="00012415">
        <w:rPr>
          <w:lang w:val="en-GB"/>
        </w:rPr>
        <w:t>Domingueti</w:t>
      </w:r>
      <w:proofErr w:type="spellEnd"/>
      <w:r w:rsidRPr="00012415">
        <w:rPr>
          <w:lang w:val="en-GB"/>
        </w:rPr>
        <w:t xml:space="preserve"> C et al. Diabetes mellitus: The linkage between oxidative stress, inflammation, hypercoagulability and vascular complications. </w:t>
      </w:r>
      <w:proofErr w:type="gramStart"/>
      <w:r w:rsidRPr="00012415">
        <w:rPr>
          <w:lang w:val="en-GB"/>
        </w:rPr>
        <w:t>J Diabetes Complications.</w:t>
      </w:r>
      <w:proofErr w:type="gramEnd"/>
      <w:r w:rsidRPr="00012415">
        <w:rPr>
          <w:lang w:val="en-GB"/>
        </w:rPr>
        <w:t xml:space="preserve"> 2016</w:t>
      </w:r>
      <w:proofErr w:type="gramStart"/>
      <w:r w:rsidRPr="00012415">
        <w:rPr>
          <w:lang w:val="en-GB"/>
        </w:rPr>
        <w:t>;30</w:t>
      </w:r>
      <w:proofErr w:type="gramEnd"/>
      <w:r w:rsidRPr="00012415">
        <w:rPr>
          <w:lang w:val="en-GB"/>
        </w:rPr>
        <w:t>(4):738-45.</w:t>
      </w:r>
    </w:p>
  </w:footnote>
  <w:footnote w:id="21">
    <w:p w14:paraId="1C111F44" w14:textId="424AACA7" w:rsidR="00B23851" w:rsidRPr="009D6A9B" w:rsidRDefault="00B23851">
      <w:pPr>
        <w:pStyle w:val="FootnoteText"/>
        <w:rPr>
          <w:lang w:val="en-GB"/>
        </w:rPr>
      </w:pPr>
      <w:r>
        <w:rPr>
          <w:rStyle w:val="FootnoteReference"/>
        </w:rPr>
        <w:footnoteRef/>
      </w:r>
      <w:r>
        <w:t xml:space="preserve"> </w:t>
      </w:r>
      <w:r w:rsidRPr="009D6A9B">
        <w:rPr>
          <w:lang w:val="en-GB"/>
        </w:rPr>
        <w:t xml:space="preserve">Tresiba Periodic </w:t>
      </w:r>
      <w:proofErr w:type="gramStart"/>
      <w:r w:rsidRPr="009D6A9B">
        <w:rPr>
          <w:lang w:val="en-GB"/>
        </w:rPr>
        <w:t>safety update</w:t>
      </w:r>
      <w:proofErr w:type="gramEnd"/>
      <w:r w:rsidRPr="009D6A9B">
        <w:rPr>
          <w:lang w:val="en-GB"/>
        </w:rPr>
        <w:t xml:space="preserve"> report/periodic benefit –risk eva</w:t>
      </w:r>
      <w:r>
        <w:rPr>
          <w:lang w:val="en-GB"/>
        </w:rPr>
        <w:t>luation report 1 October 2015 to 30 </w:t>
      </w:r>
      <w:r w:rsidRPr="009D6A9B">
        <w:rPr>
          <w:lang w:val="en-GB"/>
        </w:rPr>
        <w:t xml:space="preserve">September 2016 and Tresiba: Response </w:t>
      </w:r>
      <w:r>
        <w:rPr>
          <w:lang w:val="en-GB"/>
        </w:rPr>
        <w:t>TGA Questions on the safety specification</w:t>
      </w:r>
      <w:r w:rsidRPr="009D6A9B">
        <w:rPr>
          <w:lang w:val="en-GB"/>
        </w:rPr>
        <w:t>).</w:t>
      </w:r>
    </w:p>
  </w:footnote>
  <w:footnote w:id="22">
    <w:p w14:paraId="2ECCBDF2" w14:textId="7477458D" w:rsidR="00B23851" w:rsidRPr="00402ED5" w:rsidRDefault="00B23851">
      <w:pPr>
        <w:pStyle w:val="FootnoteText"/>
        <w:rPr>
          <w:lang w:val="en-GB"/>
        </w:rPr>
      </w:pPr>
      <w:r>
        <w:rPr>
          <w:rStyle w:val="FootnoteReference"/>
        </w:rPr>
        <w:footnoteRef/>
      </w:r>
      <w:r>
        <w:t xml:space="preserve"> </w:t>
      </w:r>
      <w:proofErr w:type="gramStart"/>
      <w:r>
        <w:rPr>
          <w:lang w:val="en-GB"/>
        </w:rPr>
        <w:t>L</w:t>
      </w:r>
      <w:r w:rsidRPr="00402ED5">
        <w:rPr>
          <w:lang w:val="en-GB"/>
        </w:rPr>
        <w:t>atest</w:t>
      </w:r>
      <w:r>
        <w:rPr>
          <w:lang w:val="en-GB"/>
        </w:rPr>
        <w:t xml:space="preserve"> Tresiba Global PSUR.</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AA3BE" w14:textId="77777777" w:rsidR="00B23851" w:rsidRDefault="00B2385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C0808" w14:textId="77777777" w:rsidR="00B23851" w:rsidRDefault="00B23851">
    <w:pPr>
      <w:rPr>
        <w:noProof/>
        <w:lang w:eastAsia="en-AU"/>
      </w:rPr>
    </w:pPr>
    <w:r w:rsidRPr="00347824">
      <w:rPr>
        <w:noProof/>
        <w:lang w:eastAsia="en-AU"/>
      </w:rPr>
      <w:drawing>
        <wp:anchor distT="0" distB="0" distL="114300" distR="114300" simplePos="0" relativeHeight="251659264" behindDoc="1" locked="0" layoutInCell="1" allowOverlap="1" wp14:anchorId="7C52197A" wp14:editId="74A8556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F0CF6EC" w14:textId="77777777" w:rsidR="00B23851" w:rsidRDefault="00B23851" w:rsidP="00593AD1">
    <w:pPr>
      <w:pStyle w:val="HeaderNoLine"/>
    </w:pPr>
    <w:r>
      <w:rPr>
        <w:noProof/>
        <w:lang w:eastAsia="en-AU"/>
      </w:rPr>
      <w:drawing>
        <wp:inline distT="0" distB="0" distL="0" distR="0" wp14:anchorId="78E23D64" wp14:editId="36587A46">
          <wp:extent cx="5400675" cy="7639050"/>
          <wp:effectExtent l="0" t="0" r="9525" b="0"/>
          <wp:docPr id="22" name="Picture 2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CB8AC" w14:textId="77777777" w:rsidR="00B23851" w:rsidRDefault="00B238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95D55" w14:textId="77777777" w:rsidR="00B23851" w:rsidRDefault="00B2385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6E362" w14:textId="77777777" w:rsidR="00B23851" w:rsidRDefault="00B2385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9E0BB" w14:textId="77777777" w:rsidR="00B23851" w:rsidRDefault="00B238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FB18" w14:textId="77777777" w:rsidR="00B23851" w:rsidRDefault="00B2385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B3241" w14:textId="77777777" w:rsidR="00B23851" w:rsidRDefault="00B23851" w:rsidP="006E08B3">
    <w:r>
      <w:t>Therapeutic Goods Administration</w:t>
    </w:r>
  </w:p>
  <w:p w14:paraId="33F3AF3F" w14:textId="77777777" w:rsidR="00B23851" w:rsidRDefault="00B2385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3CBC5DFC"/>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79832BF"/>
    <w:multiLevelType w:val="multilevel"/>
    <w:tmpl w:val="257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AB5F7B"/>
    <w:multiLevelType w:val="hybridMultilevel"/>
    <w:tmpl w:val="DA72D61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81F010F"/>
    <w:multiLevelType w:val="hybridMultilevel"/>
    <w:tmpl w:val="AB98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9B15D7"/>
    <w:multiLevelType w:val="hybridMultilevel"/>
    <w:tmpl w:val="3D86AF10"/>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E3F01CE0">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D921153"/>
    <w:multiLevelType w:val="hybridMultilevel"/>
    <w:tmpl w:val="3FD2EDCC"/>
    <w:lvl w:ilvl="0" w:tplc="D3588C06">
      <w:start w:val="4"/>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5B195B"/>
    <w:multiLevelType w:val="hybridMultilevel"/>
    <w:tmpl w:val="9EE0A1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553235B"/>
    <w:multiLevelType w:val="hybridMultilevel"/>
    <w:tmpl w:val="45C4C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8130A05"/>
    <w:multiLevelType w:val="hybridMultilevel"/>
    <w:tmpl w:val="E56AA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9C76D69"/>
    <w:multiLevelType w:val="hybridMultilevel"/>
    <w:tmpl w:val="6DE2E366"/>
    <w:lvl w:ilvl="0" w:tplc="6D48CAF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D539A6"/>
    <w:multiLevelType w:val="hybridMultilevel"/>
    <w:tmpl w:val="A89CFF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77717C1C"/>
    <w:multiLevelType w:val="hybridMultilevel"/>
    <w:tmpl w:val="3C2E3D3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10"/>
  </w:num>
  <w:num w:numId="29">
    <w:abstractNumId w:val="18"/>
  </w:num>
  <w:num w:numId="30">
    <w:abstractNumId w:val="16"/>
  </w:num>
  <w:num w:numId="31">
    <w:abstractNumId w:val="15"/>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4"/>
  </w:num>
  <w:num w:numId="35">
    <w:abstractNumId w:val="7"/>
  </w:num>
  <w:num w:numId="36">
    <w:abstractNumId w:val="19"/>
  </w:num>
  <w:num w:numId="37">
    <w:abstractNumId w:val="14"/>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9"/>
  </w:num>
  <w:num w:numId="41">
    <w:abstractNumId w:val="13"/>
  </w:num>
  <w:num w:numId="4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4734"/>
    <w:rsid w:val="00006B22"/>
    <w:rsid w:val="00010764"/>
    <w:rsid w:val="00012415"/>
    <w:rsid w:val="0001276A"/>
    <w:rsid w:val="000246AE"/>
    <w:rsid w:val="00025C67"/>
    <w:rsid w:val="000317DE"/>
    <w:rsid w:val="00035EFF"/>
    <w:rsid w:val="00044772"/>
    <w:rsid w:val="0005559E"/>
    <w:rsid w:val="00060129"/>
    <w:rsid w:val="000604D6"/>
    <w:rsid w:val="000734D8"/>
    <w:rsid w:val="00076EE3"/>
    <w:rsid w:val="00077775"/>
    <w:rsid w:val="00085B9D"/>
    <w:rsid w:val="00090197"/>
    <w:rsid w:val="00090471"/>
    <w:rsid w:val="00095B66"/>
    <w:rsid w:val="00096AA7"/>
    <w:rsid w:val="000A3AED"/>
    <w:rsid w:val="000B2869"/>
    <w:rsid w:val="000B3532"/>
    <w:rsid w:val="000B3A75"/>
    <w:rsid w:val="000C00C2"/>
    <w:rsid w:val="000C61AE"/>
    <w:rsid w:val="000C690F"/>
    <w:rsid w:val="000C7209"/>
    <w:rsid w:val="000D1295"/>
    <w:rsid w:val="000D391B"/>
    <w:rsid w:val="000D3D6D"/>
    <w:rsid w:val="000D4FC7"/>
    <w:rsid w:val="000E30F8"/>
    <w:rsid w:val="000E6196"/>
    <w:rsid w:val="000F4869"/>
    <w:rsid w:val="000F5B42"/>
    <w:rsid w:val="000F6E6F"/>
    <w:rsid w:val="00101224"/>
    <w:rsid w:val="00101356"/>
    <w:rsid w:val="0010601F"/>
    <w:rsid w:val="00106DBC"/>
    <w:rsid w:val="0010788A"/>
    <w:rsid w:val="00107A31"/>
    <w:rsid w:val="00110EA5"/>
    <w:rsid w:val="00112F56"/>
    <w:rsid w:val="00125318"/>
    <w:rsid w:val="001305A2"/>
    <w:rsid w:val="00133238"/>
    <w:rsid w:val="00133A1B"/>
    <w:rsid w:val="0014197B"/>
    <w:rsid w:val="001447CD"/>
    <w:rsid w:val="001516B1"/>
    <w:rsid w:val="00154EBB"/>
    <w:rsid w:val="00156316"/>
    <w:rsid w:val="00161181"/>
    <w:rsid w:val="00161BE3"/>
    <w:rsid w:val="00162D14"/>
    <w:rsid w:val="00165389"/>
    <w:rsid w:val="0017693F"/>
    <w:rsid w:val="0018110E"/>
    <w:rsid w:val="00181684"/>
    <w:rsid w:val="001843C6"/>
    <w:rsid w:val="001850E0"/>
    <w:rsid w:val="00186C29"/>
    <w:rsid w:val="001A2158"/>
    <w:rsid w:val="001A525F"/>
    <w:rsid w:val="001B09F9"/>
    <w:rsid w:val="001B5C90"/>
    <w:rsid w:val="001B6448"/>
    <w:rsid w:val="001C32CD"/>
    <w:rsid w:val="001D2984"/>
    <w:rsid w:val="001D74C4"/>
    <w:rsid w:val="001E07CF"/>
    <w:rsid w:val="001E50B4"/>
    <w:rsid w:val="001E59F1"/>
    <w:rsid w:val="001F2CEE"/>
    <w:rsid w:val="001F3CE0"/>
    <w:rsid w:val="001F49EB"/>
    <w:rsid w:val="001F6CBA"/>
    <w:rsid w:val="00201D4E"/>
    <w:rsid w:val="00202283"/>
    <w:rsid w:val="00206A6D"/>
    <w:rsid w:val="002076C9"/>
    <w:rsid w:val="00213303"/>
    <w:rsid w:val="00220B8A"/>
    <w:rsid w:val="00223C28"/>
    <w:rsid w:val="002257F3"/>
    <w:rsid w:val="00233456"/>
    <w:rsid w:val="002339A5"/>
    <w:rsid w:val="00245FBB"/>
    <w:rsid w:val="002464DF"/>
    <w:rsid w:val="00246B6D"/>
    <w:rsid w:val="0025116F"/>
    <w:rsid w:val="0025404D"/>
    <w:rsid w:val="00257848"/>
    <w:rsid w:val="0027084A"/>
    <w:rsid w:val="00277B22"/>
    <w:rsid w:val="00283147"/>
    <w:rsid w:val="00286434"/>
    <w:rsid w:val="00286C59"/>
    <w:rsid w:val="002901B9"/>
    <w:rsid w:val="00291957"/>
    <w:rsid w:val="002942D1"/>
    <w:rsid w:val="0029501A"/>
    <w:rsid w:val="002959C8"/>
    <w:rsid w:val="00297352"/>
    <w:rsid w:val="00297B26"/>
    <w:rsid w:val="002A3721"/>
    <w:rsid w:val="002A3C69"/>
    <w:rsid w:val="002B1638"/>
    <w:rsid w:val="002B2C59"/>
    <w:rsid w:val="002B3624"/>
    <w:rsid w:val="002B3E71"/>
    <w:rsid w:val="002C4648"/>
    <w:rsid w:val="002D0952"/>
    <w:rsid w:val="002D5475"/>
    <w:rsid w:val="002D6993"/>
    <w:rsid w:val="002E40B3"/>
    <w:rsid w:val="002E4C9A"/>
    <w:rsid w:val="002E6E17"/>
    <w:rsid w:val="002F11F8"/>
    <w:rsid w:val="002F3F56"/>
    <w:rsid w:val="002F436E"/>
    <w:rsid w:val="002F44B5"/>
    <w:rsid w:val="002F5D00"/>
    <w:rsid w:val="003004AD"/>
    <w:rsid w:val="00305A41"/>
    <w:rsid w:val="00311AC0"/>
    <w:rsid w:val="00315A43"/>
    <w:rsid w:val="00316F48"/>
    <w:rsid w:val="003176FC"/>
    <w:rsid w:val="0032583B"/>
    <w:rsid w:val="00327883"/>
    <w:rsid w:val="00335504"/>
    <w:rsid w:val="00340C18"/>
    <w:rsid w:val="003442FD"/>
    <w:rsid w:val="00347824"/>
    <w:rsid w:val="00350567"/>
    <w:rsid w:val="003516D7"/>
    <w:rsid w:val="003521E8"/>
    <w:rsid w:val="00360202"/>
    <w:rsid w:val="00370CE3"/>
    <w:rsid w:val="003728F3"/>
    <w:rsid w:val="0037496E"/>
    <w:rsid w:val="00377BAE"/>
    <w:rsid w:val="00383221"/>
    <w:rsid w:val="00386150"/>
    <w:rsid w:val="003874CE"/>
    <w:rsid w:val="00390900"/>
    <w:rsid w:val="00394E04"/>
    <w:rsid w:val="003A7F6C"/>
    <w:rsid w:val="003B416A"/>
    <w:rsid w:val="003B4D60"/>
    <w:rsid w:val="003B648A"/>
    <w:rsid w:val="003B7E39"/>
    <w:rsid w:val="003C58DC"/>
    <w:rsid w:val="003D1E62"/>
    <w:rsid w:val="003E0B99"/>
    <w:rsid w:val="003E2486"/>
    <w:rsid w:val="003E2A1B"/>
    <w:rsid w:val="003E3208"/>
    <w:rsid w:val="003F0B04"/>
    <w:rsid w:val="003F15D0"/>
    <w:rsid w:val="003F6E9A"/>
    <w:rsid w:val="0040134E"/>
    <w:rsid w:val="00402097"/>
    <w:rsid w:val="00402ED5"/>
    <w:rsid w:val="0041497A"/>
    <w:rsid w:val="004202D7"/>
    <w:rsid w:val="004211C3"/>
    <w:rsid w:val="00425E98"/>
    <w:rsid w:val="00431D50"/>
    <w:rsid w:val="004334C7"/>
    <w:rsid w:val="00440A2D"/>
    <w:rsid w:val="00441C3F"/>
    <w:rsid w:val="0044270C"/>
    <w:rsid w:val="00451FDB"/>
    <w:rsid w:val="004532C5"/>
    <w:rsid w:val="004564A7"/>
    <w:rsid w:val="00456B53"/>
    <w:rsid w:val="00461762"/>
    <w:rsid w:val="004617BF"/>
    <w:rsid w:val="00463658"/>
    <w:rsid w:val="004637A0"/>
    <w:rsid w:val="004722CC"/>
    <w:rsid w:val="0047564B"/>
    <w:rsid w:val="004847DD"/>
    <w:rsid w:val="004856EC"/>
    <w:rsid w:val="004936E4"/>
    <w:rsid w:val="00494E60"/>
    <w:rsid w:val="00497487"/>
    <w:rsid w:val="004A6189"/>
    <w:rsid w:val="004A7390"/>
    <w:rsid w:val="004B7B76"/>
    <w:rsid w:val="004C239D"/>
    <w:rsid w:val="004C2DCA"/>
    <w:rsid w:val="004C61D2"/>
    <w:rsid w:val="004C73FE"/>
    <w:rsid w:val="004D0F9C"/>
    <w:rsid w:val="004E0DB8"/>
    <w:rsid w:val="004E1B89"/>
    <w:rsid w:val="004E58DE"/>
    <w:rsid w:val="004F0C4A"/>
    <w:rsid w:val="004F0F38"/>
    <w:rsid w:val="004F47D6"/>
    <w:rsid w:val="00501921"/>
    <w:rsid w:val="0050501B"/>
    <w:rsid w:val="00522BCD"/>
    <w:rsid w:val="00530354"/>
    <w:rsid w:val="005325C6"/>
    <w:rsid w:val="00535BBB"/>
    <w:rsid w:val="0053625B"/>
    <w:rsid w:val="005434C6"/>
    <w:rsid w:val="00543B39"/>
    <w:rsid w:val="0054447A"/>
    <w:rsid w:val="00546154"/>
    <w:rsid w:val="0054780B"/>
    <w:rsid w:val="00550096"/>
    <w:rsid w:val="00555280"/>
    <w:rsid w:val="00557FF9"/>
    <w:rsid w:val="00562327"/>
    <w:rsid w:val="00562C1C"/>
    <w:rsid w:val="0056397B"/>
    <w:rsid w:val="00566582"/>
    <w:rsid w:val="005711D5"/>
    <w:rsid w:val="00573B04"/>
    <w:rsid w:val="00576378"/>
    <w:rsid w:val="00577130"/>
    <w:rsid w:val="0057774D"/>
    <w:rsid w:val="00577945"/>
    <w:rsid w:val="00577E38"/>
    <w:rsid w:val="00585322"/>
    <w:rsid w:val="005857C6"/>
    <w:rsid w:val="00591680"/>
    <w:rsid w:val="00592F6E"/>
    <w:rsid w:val="00593AD1"/>
    <w:rsid w:val="005A30C6"/>
    <w:rsid w:val="005A58A1"/>
    <w:rsid w:val="005A68B6"/>
    <w:rsid w:val="005B232F"/>
    <w:rsid w:val="005B540B"/>
    <w:rsid w:val="005C4C42"/>
    <w:rsid w:val="005C5570"/>
    <w:rsid w:val="005C6715"/>
    <w:rsid w:val="005C79A4"/>
    <w:rsid w:val="005D0492"/>
    <w:rsid w:val="005D5442"/>
    <w:rsid w:val="005D663E"/>
    <w:rsid w:val="005F62A3"/>
    <w:rsid w:val="005F6AE0"/>
    <w:rsid w:val="00601C46"/>
    <w:rsid w:val="00603F32"/>
    <w:rsid w:val="00605AD4"/>
    <w:rsid w:val="00606A05"/>
    <w:rsid w:val="00606AD4"/>
    <w:rsid w:val="00610C61"/>
    <w:rsid w:val="006136D7"/>
    <w:rsid w:val="00620DBE"/>
    <w:rsid w:val="006253E8"/>
    <w:rsid w:val="00625A6E"/>
    <w:rsid w:val="0063227E"/>
    <w:rsid w:val="00632398"/>
    <w:rsid w:val="006357B3"/>
    <w:rsid w:val="00640FC3"/>
    <w:rsid w:val="00642020"/>
    <w:rsid w:val="00642B76"/>
    <w:rsid w:val="0065337B"/>
    <w:rsid w:val="0065419D"/>
    <w:rsid w:val="006550E7"/>
    <w:rsid w:val="006604D8"/>
    <w:rsid w:val="00664A5B"/>
    <w:rsid w:val="0066735C"/>
    <w:rsid w:val="006750CF"/>
    <w:rsid w:val="006751FC"/>
    <w:rsid w:val="006763D2"/>
    <w:rsid w:val="00680C08"/>
    <w:rsid w:val="006916A0"/>
    <w:rsid w:val="006931B1"/>
    <w:rsid w:val="006A15C0"/>
    <w:rsid w:val="006A2272"/>
    <w:rsid w:val="006A343A"/>
    <w:rsid w:val="006B38C6"/>
    <w:rsid w:val="006C1A22"/>
    <w:rsid w:val="006C3E2A"/>
    <w:rsid w:val="006C50FE"/>
    <w:rsid w:val="006C642F"/>
    <w:rsid w:val="006D03E5"/>
    <w:rsid w:val="006D4179"/>
    <w:rsid w:val="006D5D3E"/>
    <w:rsid w:val="006E08B3"/>
    <w:rsid w:val="006E1251"/>
    <w:rsid w:val="006F17AC"/>
    <w:rsid w:val="006F25B8"/>
    <w:rsid w:val="006F572E"/>
    <w:rsid w:val="0070109A"/>
    <w:rsid w:val="00703F09"/>
    <w:rsid w:val="007046D6"/>
    <w:rsid w:val="00705DB0"/>
    <w:rsid w:val="007065A4"/>
    <w:rsid w:val="00722B57"/>
    <w:rsid w:val="00730F8A"/>
    <w:rsid w:val="00733757"/>
    <w:rsid w:val="00735A8C"/>
    <w:rsid w:val="00736245"/>
    <w:rsid w:val="0074253D"/>
    <w:rsid w:val="0074429B"/>
    <w:rsid w:val="00746234"/>
    <w:rsid w:val="00752611"/>
    <w:rsid w:val="00757A10"/>
    <w:rsid w:val="007615BC"/>
    <w:rsid w:val="00762F05"/>
    <w:rsid w:val="0076394A"/>
    <w:rsid w:val="00763E84"/>
    <w:rsid w:val="007652FF"/>
    <w:rsid w:val="0076594B"/>
    <w:rsid w:val="00770CAC"/>
    <w:rsid w:val="00770EF1"/>
    <w:rsid w:val="00771702"/>
    <w:rsid w:val="00773EF7"/>
    <w:rsid w:val="00774E1D"/>
    <w:rsid w:val="007765D8"/>
    <w:rsid w:val="0077675A"/>
    <w:rsid w:val="00780355"/>
    <w:rsid w:val="00781147"/>
    <w:rsid w:val="007819FD"/>
    <w:rsid w:val="00781AF6"/>
    <w:rsid w:val="00785717"/>
    <w:rsid w:val="00785721"/>
    <w:rsid w:val="0078627D"/>
    <w:rsid w:val="00791011"/>
    <w:rsid w:val="00793A59"/>
    <w:rsid w:val="00796022"/>
    <w:rsid w:val="007A1830"/>
    <w:rsid w:val="007A2049"/>
    <w:rsid w:val="007B1055"/>
    <w:rsid w:val="007B6132"/>
    <w:rsid w:val="007B6E9F"/>
    <w:rsid w:val="007C1216"/>
    <w:rsid w:val="007C1AF7"/>
    <w:rsid w:val="007C6B9B"/>
    <w:rsid w:val="007E0DB7"/>
    <w:rsid w:val="007E5E75"/>
    <w:rsid w:val="00805D27"/>
    <w:rsid w:val="00806DCB"/>
    <w:rsid w:val="00807EFB"/>
    <w:rsid w:val="0082086A"/>
    <w:rsid w:val="00821776"/>
    <w:rsid w:val="00825198"/>
    <w:rsid w:val="00830252"/>
    <w:rsid w:val="00831247"/>
    <w:rsid w:val="00831AB0"/>
    <w:rsid w:val="008321F5"/>
    <w:rsid w:val="00832369"/>
    <w:rsid w:val="00834660"/>
    <w:rsid w:val="00836BC2"/>
    <w:rsid w:val="0085156D"/>
    <w:rsid w:val="0085641B"/>
    <w:rsid w:val="00857136"/>
    <w:rsid w:val="008619DB"/>
    <w:rsid w:val="00867F25"/>
    <w:rsid w:val="00875A6B"/>
    <w:rsid w:val="00876DD4"/>
    <w:rsid w:val="00882431"/>
    <w:rsid w:val="00885B11"/>
    <w:rsid w:val="00886D15"/>
    <w:rsid w:val="00887DD8"/>
    <w:rsid w:val="00890246"/>
    <w:rsid w:val="00891BA9"/>
    <w:rsid w:val="0089510F"/>
    <w:rsid w:val="00896018"/>
    <w:rsid w:val="008960DD"/>
    <w:rsid w:val="0089635C"/>
    <w:rsid w:val="00897FA4"/>
    <w:rsid w:val="008A2B9D"/>
    <w:rsid w:val="008A3D9F"/>
    <w:rsid w:val="008A5E0B"/>
    <w:rsid w:val="008A6D59"/>
    <w:rsid w:val="008B184F"/>
    <w:rsid w:val="008B1F36"/>
    <w:rsid w:val="008B4B03"/>
    <w:rsid w:val="008B596F"/>
    <w:rsid w:val="008B6345"/>
    <w:rsid w:val="008B6EF5"/>
    <w:rsid w:val="008C159F"/>
    <w:rsid w:val="008C1623"/>
    <w:rsid w:val="008C1850"/>
    <w:rsid w:val="008C3D72"/>
    <w:rsid w:val="008C51A9"/>
    <w:rsid w:val="008D3BBD"/>
    <w:rsid w:val="008E15D7"/>
    <w:rsid w:val="008E7846"/>
    <w:rsid w:val="008F02E5"/>
    <w:rsid w:val="008F1CCC"/>
    <w:rsid w:val="008F2967"/>
    <w:rsid w:val="008F6943"/>
    <w:rsid w:val="008F7180"/>
    <w:rsid w:val="00902A21"/>
    <w:rsid w:val="00915BD1"/>
    <w:rsid w:val="00916334"/>
    <w:rsid w:val="00920330"/>
    <w:rsid w:val="009219D7"/>
    <w:rsid w:val="00922D53"/>
    <w:rsid w:val="00923B70"/>
    <w:rsid w:val="00924482"/>
    <w:rsid w:val="00930237"/>
    <w:rsid w:val="00937C17"/>
    <w:rsid w:val="00940A89"/>
    <w:rsid w:val="00946EA5"/>
    <w:rsid w:val="00963C08"/>
    <w:rsid w:val="00967F6A"/>
    <w:rsid w:val="009752A5"/>
    <w:rsid w:val="00977BFA"/>
    <w:rsid w:val="0098460F"/>
    <w:rsid w:val="0098585A"/>
    <w:rsid w:val="00987ED8"/>
    <w:rsid w:val="009934FA"/>
    <w:rsid w:val="0099393F"/>
    <w:rsid w:val="009A4CED"/>
    <w:rsid w:val="009A690D"/>
    <w:rsid w:val="009B1693"/>
    <w:rsid w:val="009B1D12"/>
    <w:rsid w:val="009B416B"/>
    <w:rsid w:val="009B7481"/>
    <w:rsid w:val="009C4BD5"/>
    <w:rsid w:val="009D03C6"/>
    <w:rsid w:val="009D6A9B"/>
    <w:rsid w:val="009D7B77"/>
    <w:rsid w:val="009E0BB0"/>
    <w:rsid w:val="009E3FBB"/>
    <w:rsid w:val="009F1FAF"/>
    <w:rsid w:val="009F44A4"/>
    <w:rsid w:val="009F7353"/>
    <w:rsid w:val="00A04278"/>
    <w:rsid w:val="00A04F85"/>
    <w:rsid w:val="00A05FA4"/>
    <w:rsid w:val="00A102E4"/>
    <w:rsid w:val="00A12C42"/>
    <w:rsid w:val="00A14DF7"/>
    <w:rsid w:val="00A21CEE"/>
    <w:rsid w:val="00A3246D"/>
    <w:rsid w:val="00A344F1"/>
    <w:rsid w:val="00A36FA7"/>
    <w:rsid w:val="00A44DDB"/>
    <w:rsid w:val="00A45756"/>
    <w:rsid w:val="00A475B7"/>
    <w:rsid w:val="00A47AF7"/>
    <w:rsid w:val="00A47C3E"/>
    <w:rsid w:val="00A50226"/>
    <w:rsid w:val="00A51C17"/>
    <w:rsid w:val="00A556BB"/>
    <w:rsid w:val="00A55F67"/>
    <w:rsid w:val="00A60BAD"/>
    <w:rsid w:val="00A643B0"/>
    <w:rsid w:val="00A665A5"/>
    <w:rsid w:val="00A6746B"/>
    <w:rsid w:val="00A76B38"/>
    <w:rsid w:val="00A80B5B"/>
    <w:rsid w:val="00A81807"/>
    <w:rsid w:val="00A81BA0"/>
    <w:rsid w:val="00A84E36"/>
    <w:rsid w:val="00A964D1"/>
    <w:rsid w:val="00AA0ED0"/>
    <w:rsid w:val="00AB098B"/>
    <w:rsid w:val="00AB66A0"/>
    <w:rsid w:val="00AB6E8B"/>
    <w:rsid w:val="00AC2B40"/>
    <w:rsid w:val="00AC2BB2"/>
    <w:rsid w:val="00AC2C3C"/>
    <w:rsid w:val="00AC512D"/>
    <w:rsid w:val="00AD0083"/>
    <w:rsid w:val="00AD3935"/>
    <w:rsid w:val="00AE65EB"/>
    <w:rsid w:val="00AE67A7"/>
    <w:rsid w:val="00AF1D94"/>
    <w:rsid w:val="00AF5714"/>
    <w:rsid w:val="00AF60C5"/>
    <w:rsid w:val="00B009C6"/>
    <w:rsid w:val="00B01548"/>
    <w:rsid w:val="00B13EBD"/>
    <w:rsid w:val="00B153C5"/>
    <w:rsid w:val="00B21D29"/>
    <w:rsid w:val="00B23851"/>
    <w:rsid w:val="00B25034"/>
    <w:rsid w:val="00B33588"/>
    <w:rsid w:val="00B33863"/>
    <w:rsid w:val="00B3722D"/>
    <w:rsid w:val="00B37D17"/>
    <w:rsid w:val="00B4175E"/>
    <w:rsid w:val="00B452CE"/>
    <w:rsid w:val="00B45B9D"/>
    <w:rsid w:val="00B5014A"/>
    <w:rsid w:val="00B54BF1"/>
    <w:rsid w:val="00B54C25"/>
    <w:rsid w:val="00B70FCC"/>
    <w:rsid w:val="00B76B91"/>
    <w:rsid w:val="00B77EB1"/>
    <w:rsid w:val="00B811C6"/>
    <w:rsid w:val="00B855B0"/>
    <w:rsid w:val="00B855F0"/>
    <w:rsid w:val="00B861F7"/>
    <w:rsid w:val="00B92E08"/>
    <w:rsid w:val="00B931AB"/>
    <w:rsid w:val="00BB470D"/>
    <w:rsid w:val="00BC0624"/>
    <w:rsid w:val="00BC2425"/>
    <w:rsid w:val="00BC622A"/>
    <w:rsid w:val="00BD4CFD"/>
    <w:rsid w:val="00BD7CC6"/>
    <w:rsid w:val="00BE0A78"/>
    <w:rsid w:val="00BE137D"/>
    <w:rsid w:val="00BE79F0"/>
    <w:rsid w:val="00BF046D"/>
    <w:rsid w:val="00BF1190"/>
    <w:rsid w:val="00BF5D04"/>
    <w:rsid w:val="00C009AA"/>
    <w:rsid w:val="00C0539D"/>
    <w:rsid w:val="00C1164D"/>
    <w:rsid w:val="00C16861"/>
    <w:rsid w:val="00C2114F"/>
    <w:rsid w:val="00C346AB"/>
    <w:rsid w:val="00C37C3C"/>
    <w:rsid w:val="00C404A6"/>
    <w:rsid w:val="00C40A36"/>
    <w:rsid w:val="00C43931"/>
    <w:rsid w:val="00C44419"/>
    <w:rsid w:val="00C444BB"/>
    <w:rsid w:val="00C45E7B"/>
    <w:rsid w:val="00C461CF"/>
    <w:rsid w:val="00C471B1"/>
    <w:rsid w:val="00C5767C"/>
    <w:rsid w:val="00C6316B"/>
    <w:rsid w:val="00C634A9"/>
    <w:rsid w:val="00C64586"/>
    <w:rsid w:val="00C70D53"/>
    <w:rsid w:val="00C73D0B"/>
    <w:rsid w:val="00C76A7B"/>
    <w:rsid w:val="00C76FD7"/>
    <w:rsid w:val="00C772FF"/>
    <w:rsid w:val="00C80137"/>
    <w:rsid w:val="00C801AF"/>
    <w:rsid w:val="00C80256"/>
    <w:rsid w:val="00C80D51"/>
    <w:rsid w:val="00C80D90"/>
    <w:rsid w:val="00C86026"/>
    <w:rsid w:val="00C872ED"/>
    <w:rsid w:val="00C927A5"/>
    <w:rsid w:val="00C94CD4"/>
    <w:rsid w:val="00C9747E"/>
    <w:rsid w:val="00CA2172"/>
    <w:rsid w:val="00CA4293"/>
    <w:rsid w:val="00CA4E28"/>
    <w:rsid w:val="00CA6B81"/>
    <w:rsid w:val="00CB2EF9"/>
    <w:rsid w:val="00CB6BC0"/>
    <w:rsid w:val="00CB6C3C"/>
    <w:rsid w:val="00CC12AA"/>
    <w:rsid w:val="00CC1B7C"/>
    <w:rsid w:val="00CC44B3"/>
    <w:rsid w:val="00CC727F"/>
    <w:rsid w:val="00CD0601"/>
    <w:rsid w:val="00CD6531"/>
    <w:rsid w:val="00CF15C3"/>
    <w:rsid w:val="00CF2B6F"/>
    <w:rsid w:val="00CF2F3E"/>
    <w:rsid w:val="00CF58B6"/>
    <w:rsid w:val="00D0062D"/>
    <w:rsid w:val="00D017ED"/>
    <w:rsid w:val="00D040D3"/>
    <w:rsid w:val="00D04C65"/>
    <w:rsid w:val="00D1456E"/>
    <w:rsid w:val="00D1622A"/>
    <w:rsid w:val="00D201D2"/>
    <w:rsid w:val="00D224FE"/>
    <w:rsid w:val="00D23139"/>
    <w:rsid w:val="00D425BB"/>
    <w:rsid w:val="00D5192A"/>
    <w:rsid w:val="00D61852"/>
    <w:rsid w:val="00D63903"/>
    <w:rsid w:val="00D6493E"/>
    <w:rsid w:val="00D7195D"/>
    <w:rsid w:val="00D7301E"/>
    <w:rsid w:val="00D735C3"/>
    <w:rsid w:val="00D83AE1"/>
    <w:rsid w:val="00D855D4"/>
    <w:rsid w:val="00D902C9"/>
    <w:rsid w:val="00D93466"/>
    <w:rsid w:val="00D96C79"/>
    <w:rsid w:val="00DA0B42"/>
    <w:rsid w:val="00DA1124"/>
    <w:rsid w:val="00DA1E22"/>
    <w:rsid w:val="00DA2089"/>
    <w:rsid w:val="00DA4BE5"/>
    <w:rsid w:val="00DA5831"/>
    <w:rsid w:val="00DB1E66"/>
    <w:rsid w:val="00DB6124"/>
    <w:rsid w:val="00DB6FFE"/>
    <w:rsid w:val="00DB750B"/>
    <w:rsid w:val="00DB75B7"/>
    <w:rsid w:val="00DB779E"/>
    <w:rsid w:val="00DC6E02"/>
    <w:rsid w:val="00DD28CD"/>
    <w:rsid w:val="00DD726C"/>
    <w:rsid w:val="00DE0299"/>
    <w:rsid w:val="00DE02AE"/>
    <w:rsid w:val="00DE5607"/>
    <w:rsid w:val="00DF1D7F"/>
    <w:rsid w:val="00DF4BE4"/>
    <w:rsid w:val="00E00989"/>
    <w:rsid w:val="00E0299D"/>
    <w:rsid w:val="00E02FB4"/>
    <w:rsid w:val="00E10505"/>
    <w:rsid w:val="00E12F2C"/>
    <w:rsid w:val="00E13FC7"/>
    <w:rsid w:val="00E20571"/>
    <w:rsid w:val="00E235F7"/>
    <w:rsid w:val="00E23659"/>
    <w:rsid w:val="00E239D4"/>
    <w:rsid w:val="00E26130"/>
    <w:rsid w:val="00E27709"/>
    <w:rsid w:val="00E40B22"/>
    <w:rsid w:val="00E44ED1"/>
    <w:rsid w:val="00E45619"/>
    <w:rsid w:val="00E4588F"/>
    <w:rsid w:val="00E45A31"/>
    <w:rsid w:val="00E46DA3"/>
    <w:rsid w:val="00E51BB1"/>
    <w:rsid w:val="00E611C1"/>
    <w:rsid w:val="00E624A5"/>
    <w:rsid w:val="00E64BA4"/>
    <w:rsid w:val="00E6564B"/>
    <w:rsid w:val="00E712DE"/>
    <w:rsid w:val="00E7344E"/>
    <w:rsid w:val="00E74CFA"/>
    <w:rsid w:val="00E77DB1"/>
    <w:rsid w:val="00E81CC5"/>
    <w:rsid w:val="00E82665"/>
    <w:rsid w:val="00E867D7"/>
    <w:rsid w:val="00EA5C2D"/>
    <w:rsid w:val="00EB0798"/>
    <w:rsid w:val="00EB40AD"/>
    <w:rsid w:val="00EB586E"/>
    <w:rsid w:val="00EB5FC8"/>
    <w:rsid w:val="00EB6F01"/>
    <w:rsid w:val="00EC463D"/>
    <w:rsid w:val="00EC7A85"/>
    <w:rsid w:val="00ED2922"/>
    <w:rsid w:val="00ED3CAD"/>
    <w:rsid w:val="00ED5A41"/>
    <w:rsid w:val="00ED5A4A"/>
    <w:rsid w:val="00ED71F6"/>
    <w:rsid w:val="00EE1CAC"/>
    <w:rsid w:val="00EE1DE8"/>
    <w:rsid w:val="00EE27C2"/>
    <w:rsid w:val="00EF0567"/>
    <w:rsid w:val="00EF4BAD"/>
    <w:rsid w:val="00EF59DC"/>
    <w:rsid w:val="00EF7E04"/>
    <w:rsid w:val="00F0076D"/>
    <w:rsid w:val="00F033EC"/>
    <w:rsid w:val="00F040CB"/>
    <w:rsid w:val="00F046A3"/>
    <w:rsid w:val="00F04F68"/>
    <w:rsid w:val="00F12670"/>
    <w:rsid w:val="00F14B27"/>
    <w:rsid w:val="00F3148D"/>
    <w:rsid w:val="00F325C5"/>
    <w:rsid w:val="00F32FE0"/>
    <w:rsid w:val="00F35298"/>
    <w:rsid w:val="00F37D55"/>
    <w:rsid w:val="00F416E2"/>
    <w:rsid w:val="00F47333"/>
    <w:rsid w:val="00F47AA3"/>
    <w:rsid w:val="00F47E37"/>
    <w:rsid w:val="00F53C07"/>
    <w:rsid w:val="00F54B65"/>
    <w:rsid w:val="00F55181"/>
    <w:rsid w:val="00F559CC"/>
    <w:rsid w:val="00F640B6"/>
    <w:rsid w:val="00F66DF2"/>
    <w:rsid w:val="00F80E40"/>
    <w:rsid w:val="00F8179C"/>
    <w:rsid w:val="00F848D9"/>
    <w:rsid w:val="00F9740C"/>
    <w:rsid w:val="00FA533B"/>
    <w:rsid w:val="00FA5B82"/>
    <w:rsid w:val="00FA639E"/>
    <w:rsid w:val="00FB0E89"/>
    <w:rsid w:val="00FB419D"/>
    <w:rsid w:val="00FB5BA1"/>
    <w:rsid w:val="00FB5DBD"/>
    <w:rsid w:val="00FC14BC"/>
    <w:rsid w:val="00FC1FCA"/>
    <w:rsid w:val="00FC25E4"/>
    <w:rsid w:val="00FC2671"/>
    <w:rsid w:val="00FC486B"/>
    <w:rsid w:val="00FC4EF7"/>
    <w:rsid w:val="00FD0824"/>
    <w:rsid w:val="00FD119B"/>
    <w:rsid w:val="00FD1EA5"/>
    <w:rsid w:val="00FD1EDC"/>
    <w:rsid w:val="00FD6431"/>
    <w:rsid w:val="00FE1DEE"/>
    <w:rsid w:val="00FE5D7F"/>
    <w:rsid w:val="00FF2126"/>
    <w:rsid w:val="00FF3225"/>
    <w:rsid w:val="00FF5755"/>
    <w:rsid w:val="00FF5AAE"/>
    <w:rsid w:val="00FF5F80"/>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E4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960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8F7180"/>
    <w:pPr>
      <w:numPr>
        <w:numId w:val="39"/>
      </w:numPr>
      <w:tabs>
        <w:tab w:val="clear" w:pos="369"/>
        <w:tab w:val="left" w:pos="397"/>
        <w:tab w:val="num" w:pos="511"/>
      </w:tabs>
      <w:spacing w:before="0" w:after="180" w:line="252" w:lineRule="auto"/>
      <w:ind w:left="397" w:hanging="170"/>
    </w:pPr>
    <w:rPr>
      <w:rFonts w:eastAsia="Times New Roman"/>
      <w:snapToGrid w:val="0"/>
      <w:kern w:val="16"/>
      <w:szCs w:val="24"/>
    </w:rPr>
  </w:style>
  <w:style w:type="paragraph" w:customStyle="1" w:styleId="Tabletitle0">
    <w:name w:val="Table title"/>
    <w:basedOn w:val="Normal"/>
    <w:next w:val="Normal"/>
    <w:rsid w:val="00BC0624"/>
    <w:pPr>
      <w:keepNext/>
      <w:spacing w:after="180"/>
    </w:pPr>
    <w:rPr>
      <w:rFonts w:cstheme="minorBidi"/>
      <w:b/>
    </w:rPr>
  </w:style>
  <w:style w:type="paragraph" w:styleId="NormalWeb">
    <w:name w:val="Normal (Web)"/>
    <w:basedOn w:val="Normal"/>
    <w:uiPriority w:val="99"/>
    <w:semiHidden/>
    <w:unhideWhenUsed/>
    <w:rsid w:val="006357B3"/>
    <w:rPr>
      <w:rFonts w:ascii="Times New Roman" w:hAnsi="Times New Roman"/>
      <w:sz w:val="24"/>
      <w:szCs w:val="24"/>
    </w:rPr>
  </w:style>
  <w:style w:type="paragraph" w:styleId="DocumentMap">
    <w:name w:val="Document Map"/>
    <w:basedOn w:val="Normal"/>
    <w:link w:val="DocumentMapChar"/>
    <w:uiPriority w:val="99"/>
    <w:semiHidden/>
    <w:unhideWhenUsed/>
    <w:rsid w:val="00562C1C"/>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62C1C"/>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960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8F7180"/>
    <w:pPr>
      <w:numPr>
        <w:numId w:val="39"/>
      </w:numPr>
      <w:tabs>
        <w:tab w:val="clear" w:pos="369"/>
        <w:tab w:val="left" w:pos="397"/>
        <w:tab w:val="num" w:pos="511"/>
      </w:tabs>
      <w:spacing w:before="0" w:after="180" w:line="252" w:lineRule="auto"/>
      <w:ind w:left="397" w:hanging="170"/>
    </w:pPr>
    <w:rPr>
      <w:rFonts w:eastAsia="Times New Roman"/>
      <w:snapToGrid w:val="0"/>
      <w:kern w:val="16"/>
      <w:szCs w:val="24"/>
    </w:rPr>
  </w:style>
  <w:style w:type="paragraph" w:customStyle="1" w:styleId="Tabletitle0">
    <w:name w:val="Table title"/>
    <w:basedOn w:val="Normal"/>
    <w:next w:val="Normal"/>
    <w:rsid w:val="00BC0624"/>
    <w:pPr>
      <w:keepNext/>
      <w:spacing w:after="180"/>
    </w:pPr>
    <w:rPr>
      <w:rFonts w:cstheme="minorBidi"/>
      <w:b/>
    </w:rPr>
  </w:style>
  <w:style w:type="paragraph" w:styleId="NormalWeb">
    <w:name w:val="Normal (Web)"/>
    <w:basedOn w:val="Normal"/>
    <w:uiPriority w:val="99"/>
    <w:semiHidden/>
    <w:unhideWhenUsed/>
    <w:rsid w:val="006357B3"/>
    <w:rPr>
      <w:rFonts w:ascii="Times New Roman" w:hAnsi="Times New Roman"/>
      <w:sz w:val="24"/>
      <w:szCs w:val="24"/>
    </w:rPr>
  </w:style>
  <w:style w:type="paragraph" w:styleId="DocumentMap">
    <w:name w:val="Document Map"/>
    <w:basedOn w:val="Normal"/>
    <w:link w:val="DocumentMapChar"/>
    <w:uiPriority w:val="99"/>
    <w:semiHidden/>
    <w:unhideWhenUsed/>
    <w:rsid w:val="00562C1C"/>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62C1C"/>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2076">
      <w:bodyDiv w:val="1"/>
      <w:marLeft w:val="0"/>
      <w:marRight w:val="0"/>
      <w:marTop w:val="0"/>
      <w:marBottom w:val="0"/>
      <w:divBdr>
        <w:top w:val="none" w:sz="0" w:space="0" w:color="auto"/>
        <w:left w:val="none" w:sz="0" w:space="0" w:color="auto"/>
        <w:bottom w:val="none" w:sz="0" w:space="0" w:color="auto"/>
        <w:right w:val="none" w:sz="0" w:space="0" w:color="auto"/>
      </w:divBdr>
    </w:div>
    <w:div w:id="60712739">
      <w:bodyDiv w:val="1"/>
      <w:marLeft w:val="0"/>
      <w:marRight w:val="0"/>
      <w:marTop w:val="0"/>
      <w:marBottom w:val="0"/>
      <w:divBdr>
        <w:top w:val="none" w:sz="0" w:space="0" w:color="auto"/>
        <w:left w:val="none" w:sz="0" w:space="0" w:color="auto"/>
        <w:bottom w:val="none" w:sz="0" w:space="0" w:color="auto"/>
        <w:right w:val="none" w:sz="0" w:space="0" w:color="auto"/>
      </w:divBdr>
    </w:div>
    <w:div w:id="189341272">
      <w:bodyDiv w:val="1"/>
      <w:marLeft w:val="0"/>
      <w:marRight w:val="0"/>
      <w:marTop w:val="0"/>
      <w:marBottom w:val="0"/>
      <w:divBdr>
        <w:top w:val="none" w:sz="0" w:space="0" w:color="auto"/>
        <w:left w:val="none" w:sz="0" w:space="0" w:color="auto"/>
        <w:bottom w:val="none" w:sz="0" w:space="0" w:color="auto"/>
        <w:right w:val="none" w:sz="0" w:space="0" w:color="auto"/>
      </w:divBdr>
    </w:div>
    <w:div w:id="309529780">
      <w:bodyDiv w:val="1"/>
      <w:marLeft w:val="0"/>
      <w:marRight w:val="0"/>
      <w:marTop w:val="0"/>
      <w:marBottom w:val="0"/>
      <w:divBdr>
        <w:top w:val="none" w:sz="0" w:space="0" w:color="auto"/>
        <w:left w:val="none" w:sz="0" w:space="0" w:color="auto"/>
        <w:bottom w:val="none" w:sz="0" w:space="0" w:color="auto"/>
        <w:right w:val="none" w:sz="0" w:space="0" w:color="auto"/>
      </w:divBdr>
    </w:div>
    <w:div w:id="391346659">
      <w:bodyDiv w:val="1"/>
      <w:marLeft w:val="0"/>
      <w:marRight w:val="0"/>
      <w:marTop w:val="0"/>
      <w:marBottom w:val="0"/>
      <w:divBdr>
        <w:top w:val="none" w:sz="0" w:space="0" w:color="auto"/>
        <w:left w:val="none" w:sz="0" w:space="0" w:color="auto"/>
        <w:bottom w:val="none" w:sz="0" w:space="0" w:color="auto"/>
        <w:right w:val="none" w:sz="0" w:space="0" w:color="auto"/>
      </w:divBdr>
    </w:div>
    <w:div w:id="572860413">
      <w:bodyDiv w:val="1"/>
      <w:marLeft w:val="0"/>
      <w:marRight w:val="0"/>
      <w:marTop w:val="0"/>
      <w:marBottom w:val="0"/>
      <w:divBdr>
        <w:top w:val="none" w:sz="0" w:space="0" w:color="auto"/>
        <w:left w:val="none" w:sz="0" w:space="0" w:color="auto"/>
        <w:bottom w:val="none" w:sz="0" w:space="0" w:color="auto"/>
        <w:right w:val="none" w:sz="0" w:space="0" w:color="auto"/>
      </w:divBdr>
    </w:div>
    <w:div w:id="777408493">
      <w:bodyDiv w:val="1"/>
      <w:marLeft w:val="0"/>
      <w:marRight w:val="0"/>
      <w:marTop w:val="0"/>
      <w:marBottom w:val="0"/>
      <w:divBdr>
        <w:top w:val="none" w:sz="0" w:space="0" w:color="auto"/>
        <w:left w:val="none" w:sz="0" w:space="0" w:color="auto"/>
        <w:bottom w:val="none" w:sz="0" w:space="0" w:color="auto"/>
        <w:right w:val="none" w:sz="0" w:space="0" w:color="auto"/>
      </w:divBdr>
    </w:div>
    <w:div w:id="817959002">
      <w:bodyDiv w:val="1"/>
      <w:marLeft w:val="0"/>
      <w:marRight w:val="0"/>
      <w:marTop w:val="0"/>
      <w:marBottom w:val="0"/>
      <w:divBdr>
        <w:top w:val="none" w:sz="0" w:space="0" w:color="auto"/>
        <w:left w:val="none" w:sz="0" w:space="0" w:color="auto"/>
        <w:bottom w:val="none" w:sz="0" w:space="0" w:color="auto"/>
        <w:right w:val="none" w:sz="0" w:space="0" w:color="auto"/>
      </w:divBdr>
    </w:div>
    <w:div w:id="819927665">
      <w:bodyDiv w:val="1"/>
      <w:marLeft w:val="0"/>
      <w:marRight w:val="0"/>
      <w:marTop w:val="0"/>
      <w:marBottom w:val="0"/>
      <w:divBdr>
        <w:top w:val="none" w:sz="0" w:space="0" w:color="auto"/>
        <w:left w:val="none" w:sz="0" w:space="0" w:color="auto"/>
        <w:bottom w:val="none" w:sz="0" w:space="0" w:color="auto"/>
        <w:right w:val="none" w:sz="0" w:space="0" w:color="auto"/>
      </w:divBdr>
    </w:div>
    <w:div w:id="870996089">
      <w:bodyDiv w:val="1"/>
      <w:marLeft w:val="0"/>
      <w:marRight w:val="0"/>
      <w:marTop w:val="0"/>
      <w:marBottom w:val="0"/>
      <w:divBdr>
        <w:top w:val="none" w:sz="0" w:space="0" w:color="auto"/>
        <w:left w:val="none" w:sz="0" w:space="0" w:color="auto"/>
        <w:bottom w:val="none" w:sz="0" w:space="0" w:color="auto"/>
        <w:right w:val="none" w:sz="0" w:space="0" w:color="auto"/>
      </w:divBdr>
    </w:div>
    <w:div w:id="934678601">
      <w:bodyDiv w:val="1"/>
      <w:marLeft w:val="0"/>
      <w:marRight w:val="0"/>
      <w:marTop w:val="0"/>
      <w:marBottom w:val="0"/>
      <w:divBdr>
        <w:top w:val="none" w:sz="0" w:space="0" w:color="auto"/>
        <w:left w:val="none" w:sz="0" w:space="0" w:color="auto"/>
        <w:bottom w:val="none" w:sz="0" w:space="0" w:color="auto"/>
        <w:right w:val="none" w:sz="0" w:space="0" w:color="auto"/>
      </w:divBdr>
    </w:div>
    <w:div w:id="1144002000">
      <w:bodyDiv w:val="1"/>
      <w:marLeft w:val="0"/>
      <w:marRight w:val="0"/>
      <w:marTop w:val="0"/>
      <w:marBottom w:val="0"/>
      <w:divBdr>
        <w:top w:val="none" w:sz="0" w:space="0" w:color="auto"/>
        <w:left w:val="none" w:sz="0" w:space="0" w:color="auto"/>
        <w:bottom w:val="none" w:sz="0" w:space="0" w:color="auto"/>
        <w:right w:val="none" w:sz="0" w:space="0" w:color="auto"/>
      </w:divBdr>
    </w:div>
    <w:div w:id="1213615451">
      <w:bodyDiv w:val="1"/>
      <w:marLeft w:val="0"/>
      <w:marRight w:val="0"/>
      <w:marTop w:val="0"/>
      <w:marBottom w:val="0"/>
      <w:divBdr>
        <w:top w:val="none" w:sz="0" w:space="0" w:color="auto"/>
        <w:left w:val="none" w:sz="0" w:space="0" w:color="auto"/>
        <w:bottom w:val="none" w:sz="0" w:space="0" w:color="auto"/>
        <w:right w:val="none" w:sz="0" w:space="0" w:color="auto"/>
      </w:divBdr>
    </w:div>
    <w:div w:id="1230581918">
      <w:bodyDiv w:val="1"/>
      <w:marLeft w:val="0"/>
      <w:marRight w:val="0"/>
      <w:marTop w:val="0"/>
      <w:marBottom w:val="0"/>
      <w:divBdr>
        <w:top w:val="none" w:sz="0" w:space="0" w:color="auto"/>
        <w:left w:val="none" w:sz="0" w:space="0" w:color="auto"/>
        <w:bottom w:val="none" w:sz="0" w:space="0" w:color="auto"/>
        <w:right w:val="none" w:sz="0" w:space="0" w:color="auto"/>
      </w:divBdr>
    </w:div>
    <w:div w:id="1332299027">
      <w:bodyDiv w:val="1"/>
      <w:marLeft w:val="0"/>
      <w:marRight w:val="0"/>
      <w:marTop w:val="0"/>
      <w:marBottom w:val="0"/>
      <w:divBdr>
        <w:top w:val="none" w:sz="0" w:space="0" w:color="auto"/>
        <w:left w:val="none" w:sz="0" w:space="0" w:color="auto"/>
        <w:bottom w:val="none" w:sz="0" w:space="0" w:color="auto"/>
        <w:right w:val="none" w:sz="0" w:space="0" w:color="auto"/>
      </w:divBdr>
    </w:div>
    <w:div w:id="1352562211">
      <w:bodyDiv w:val="1"/>
      <w:marLeft w:val="0"/>
      <w:marRight w:val="0"/>
      <w:marTop w:val="0"/>
      <w:marBottom w:val="0"/>
      <w:divBdr>
        <w:top w:val="none" w:sz="0" w:space="0" w:color="auto"/>
        <w:left w:val="none" w:sz="0" w:space="0" w:color="auto"/>
        <w:bottom w:val="none" w:sz="0" w:space="0" w:color="auto"/>
        <w:right w:val="none" w:sz="0" w:space="0" w:color="auto"/>
      </w:divBdr>
    </w:div>
    <w:div w:id="1374697801">
      <w:bodyDiv w:val="1"/>
      <w:marLeft w:val="0"/>
      <w:marRight w:val="0"/>
      <w:marTop w:val="0"/>
      <w:marBottom w:val="0"/>
      <w:divBdr>
        <w:top w:val="none" w:sz="0" w:space="0" w:color="auto"/>
        <w:left w:val="none" w:sz="0" w:space="0" w:color="auto"/>
        <w:bottom w:val="none" w:sz="0" w:space="0" w:color="auto"/>
        <w:right w:val="none" w:sz="0" w:space="0" w:color="auto"/>
      </w:divBdr>
    </w:div>
    <w:div w:id="1515261053">
      <w:bodyDiv w:val="1"/>
      <w:marLeft w:val="0"/>
      <w:marRight w:val="0"/>
      <w:marTop w:val="0"/>
      <w:marBottom w:val="0"/>
      <w:divBdr>
        <w:top w:val="none" w:sz="0" w:space="0" w:color="auto"/>
        <w:left w:val="none" w:sz="0" w:space="0" w:color="auto"/>
        <w:bottom w:val="none" w:sz="0" w:space="0" w:color="auto"/>
        <w:right w:val="none" w:sz="0" w:space="0" w:color="auto"/>
      </w:divBdr>
    </w:div>
    <w:div w:id="2009215166">
      <w:bodyDiv w:val="1"/>
      <w:marLeft w:val="0"/>
      <w:marRight w:val="0"/>
      <w:marTop w:val="0"/>
      <w:marBottom w:val="0"/>
      <w:divBdr>
        <w:top w:val="none" w:sz="0" w:space="0" w:color="auto"/>
        <w:left w:val="none" w:sz="0" w:space="0" w:color="auto"/>
        <w:bottom w:val="none" w:sz="0" w:space="0" w:color="auto"/>
        <w:right w:val="none" w:sz="0" w:space="0" w:color="auto"/>
      </w:divBdr>
    </w:div>
    <w:div w:id="213355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eader" Target="header3.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7FDCA-6A39-47BE-864D-678BF03E4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18840</Words>
  <Characters>106451</Characters>
  <Application>Microsoft Office Word</Application>
  <DocSecurity>0</DocSecurity>
  <Lines>3041</Lines>
  <Paragraphs>2160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Tresiba FlexTouch/Penfill insulin degludec (rys)</dc:title>
  <dc:subject>prescription medicine regulation</dc:subject>
  <dc:creator>Therapeutic Goods Administration</dc:creator>
  <cp:keywords>auspar</cp:keywords>
  <cp:lastModifiedBy>Therapeutic Goods Administration</cp:lastModifiedBy>
  <cp:revision>8</cp:revision>
  <cp:lastPrinted>2015-09-22T23:39:00Z</cp:lastPrinted>
  <dcterms:created xsi:type="dcterms:W3CDTF">2018-05-22T05:24:00Z</dcterms:created>
  <dcterms:modified xsi:type="dcterms:W3CDTF">2018-06-25T03:41:00Z</dcterms:modified>
  <cp:category/>
</cp:coreProperties>
</file>