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232D5175" w14:textId="77777777" w:rsidTr="00BF1190">
        <w:trPr>
          <w:trHeight w:val="1863"/>
        </w:trPr>
        <w:tc>
          <w:tcPr>
            <w:tcW w:w="3652" w:type="dxa"/>
            <w:tcBorders>
              <w:top w:val="nil"/>
              <w:left w:val="nil"/>
              <w:bottom w:val="nil"/>
              <w:right w:val="nil"/>
            </w:tcBorders>
          </w:tcPr>
          <w:p w14:paraId="77DAE26C" w14:textId="121B79A5" w:rsidR="008E7846" w:rsidRPr="00D353F1" w:rsidRDefault="008C2696" w:rsidP="005F795E">
            <w:pPr>
              <w:pStyle w:val="Date"/>
              <w:rPr>
                <w:b/>
                <w:bCs/>
                <w:color w:val="002C47"/>
                <w:sz w:val="36"/>
                <w:szCs w:val="36"/>
              </w:rPr>
            </w:pPr>
            <w:r w:rsidRPr="00D353F1">
              <w:rPr>
                <w:b/>
                <w:bCs/>
                <w:color w:val="002C47"/>
                <w:sz w:val="36"/>
                <w:szCs w:val="36"/>
              </w:rPr>
              <w:t xml:space="preserve">November </w:t>
            </w:r>
            <w:r w:rsidR="007A404C" w:rsidRPr="00D353F1">
              <w:rPr>
                <w:b/>
                <w:bCs/>
                <w:color w:val="002C47"/>
                <w:sz w:val="36"/>
                <w:szCs w:val="36"/>
              </w:rPr>
              <w:t>2021</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759EE7DA" w14:textId="77777777" w:rsidTr="0032583B">
        <w:trPr>
          <w:trHeight w:val="868"/>
        </w:trPr>
        <w:tc>
          <w:tcPr>
            <w:tcW w:w="9079" w:type="dxa"/>
          </w:tcPr>
          <w:p w14:paraId="1C9AB1AC" w14:textId="3E802D8F" w:rsidR="0032583B" w:rsidRPr="00A964D1" w:rsidRDefault="0032583B" w:rsidP="005F795E">
            <w:pPr>
              <w:pStyle w:val="Title"/>
            </w:pPr>
            <w:r w:rsidRPr="005F795E">
              <w:rPr>
                <w:color w:val="FFFFFF" w:themeColor="background1"/>
              </w:rPr>
              <w:t xml:space="preserve">Australian Public Assessment Report for </w:t>
            </w:r>
            <w:bookmarkStart w:id="0" w:name="_Hlk89331727"/>
            <w:proofErr w:type="spellStart"/>
            <w:r w:rsidR="007A404C" w:rsidRPr="005F795E">
              <w:rPr>
                <w:color w:val="FFFFFF" w:themeColor="background1"/>
              </w:rPr>
              <w:t>Trientine</w:t>
            </w:r>
            <w:proofErr w:type="spellEnd"/>
            <w:r w:rsidR="007A404C" w:rsidRPr="005F795E">
              <w:rPr>
                <w:color w:val="FFFFFF" w:themeColor="background1"/>
              </w:rPr>
              <w:t xml:space="preserve"> dihydrochloride</w:t>
            </w:r>
            <w:bookmarkEnd w:id="0"/>
          </w:p>
        </w:tc>
      </w:tr>
      <w:tr w:rsidR="0032583B" w:rsidRPr="00B64760" w14:paraId="42ABF819" w14:textId="77777777" w:rsidTr="0032583B">
        <w:tc>
          <w:tcPr>
            <w:tcW w:w="9079" w:type="dxa"/>
          </w:tcPr>
          <w:p w14:paraId="6C318443" w14:textId="0FF5E483" w:rsidR="0032583B" w:rsidRPr="008E7846" w:rsidRDefault="007A404C" w:rsidP="005F795E">
            <w:pPr>
              <w:pStyle w:val="Subtitle"/>
            </w:pPr>
            <w:r w:rsidRPr="005F795E">
              <w:rPr>
                <w:color w:val="FFFFFF" w:themeColor="background1"/>
              </w:rPr>
              <w:t xml:space="preserve">Proprietary Product Name: </w:t>
            </w:r>
            <w:bookmarkStart w:id="1" w:name="_Hlk89331783"/>
            <w:proofErr w:type="spellStart"/>
            <w:r w:rsidRPr="005F795E">
              <w:rPr>
                <w:color w:val="FFFFFF" w:themeColor="background1"/>
              </w:rPr>
              <w:t>Trientine</w:t>
            </w:r>
            <w:proofErr w:type="spellEnd"/>
            <w:r w:rsidRPr="005F795E">
              <w:rPr>
                <w:color w:val="FFFFFF" w:themeColor="background1"/>
              </w:rPr>
              <w:t xml:space="preserve">-Reddy's / </w:t>
            </w:r>
            <w:proofErr w:type="spellStart"/>
            <w:r w:rsidRPr="005F795E">
              <w:rPr>
                <w:color w:val="FFFFFF" w:themeColor="background1"/>
              </w:rPr>
              <w:t>Trientine</w:t>
            </w:r>
            <w:proofErr w:type="spellEnd"/>
            <w:r w:rsidRPr="005F795E">
              <w:rPr>
                <w:color w:val="FFFFFF" w:themeColor="background1"/>
              </w:rPr>
              <w:t>-R</w:t>
            </w:r>
            <w:r w:rsidR="00B01081" w:rsidRPr="005F795E">
              <w:rPr>
                <w:color w:val="FFFFFF" w:themeColor="background1"/>
              </w:rPr>
              <w:t>Z</w:t>
            </w:r>
            <w:r w:rsidRPr="005F795E">
              <w:rPr>
                <w:color w:val="FFFFFF" w:themeColor="background1"/>
              </w:rPr>
              <w:t xml:space="preserve"> / </w:t>
            </w:r>
            <w:proofErr w:type="spellStart"/>
            <w:r w:rsidRPr="005F795E">
              <w:rPr>
                <w:color w:val="FFFFFF" w:themeColor="background1"/>
              </w:rPr>
              <w:t>Trientine</w:t>
            </w:r>
            <w:proofErr w:type="spellEnd"/>
            <w:r w:rsidRPr="005F795E">
              <w:rPr>
                <w:color w:val="FFFFFF" w:themeColor="background1"/>
              </w:rPr>
              <w:t xml:space="preserve"> </w:t>
            </w:r>
            <w:proofErr w:type="spellStart"/>
            <w:proofErr w:type="gramStart"/>
            <w:r w:rsidRPr="005F795E">
              <w:rPr>
                <w:color w:val="FFFFFF" w:themeColor="background1"/>
              </w:rPr>
              <w:t>Dr.Reddy's</w:t>
            </w:r>
            <w:proofErr w:type="spellEnd"/>
            <w:proofErr w:type="gramEnd"/>
            <w:r w:rsidRPr="005F795E">
              <w:rPr>
                <w:color w:val="FFFFFF" w:themeColor="background1"/>
              </w:rPr>
              <w:t xml:space="preserve"> / </w:t>
            </w:r>
            <w:proofErr w:type="spellStart"/>
            <w:r w:rsidRPr="005F795E">
              <w:rPr>
                <w:color w:val="FFFFFF" w:themeColor="background1"/>
              </w:rPr>
              <w:t>Trientine</w:t>
            </w:r>
            <w:proofErr w:type="spellEnd"/>
            <w:r w:rsidRPr="005F795E">
              <w:rPr>
                <w:color w:val="FFFFFF" w:themeColor="background1"/>
              </w:rPr>
              <w:noBreakHyphen/>
              <w:t>DRLA</w:t>
            </w:r>
            <w:bookmarkEnd w:id="1"/>
          </w:p>
        </w:tc>
      </w:tr>
      <w:tr w:rsidR="0032583B" w:rsidRPr="00B64760" w14:paraId="3EDC5449" w14:textId="77777777" w:rsidTr="0032583B">
        <w:trPr>
          <w:trHeight w:val="486"/>
        </w:trPr>
        <w:tc>
          <w:tcPr>
            <w:tcW w:w="9079" w:type="dxa"/>
          </w:tcPr>
          <w:p w14:paraId="5A59B75D" w14:textId="55702D37" w:rsidR="0032583B" w:rsidRPr="008E7846" w:rsidRDefault="007A404C" w:rsidP="007A404C">
            <w:pPr>
              <w:pStyle w:val="Subtitle"/>
              <w:rPr>
                <w:color w:val="FFFFFF" w:themeColor="background1"/>
              </w:rPr>
            </w:pPr>
            <w:r>
              <w:rPr>
                <w:color w:val="FFFFFF" w:themeColor="background1"/>
              </w:rPr>
              <w:t xml:space="preserve">Sponsor: </w:t>
            </w:r>
            <w:bookmarkStart w:id="2" w:name="_Hlk89331796"/>
            <w:r w:rsidRPr="007A404C">
              <w:rPr>
                <w:color w:val="FFFFFF" w:themeColor="background1"/>
              </w:rPr>
              <w:t>Dr. Reddy’s L</w:t>
            </w:r>
            <w:r>
              <w:rPr>
                <w:color w:val="FFFFFF" w:themeColor="background1"/>
              </w:rPr>
              <w:t>aboratories Australia Pty Ltd</w:t>
            </w:r>
            <w:bookmarkEnd w:id="2"/>
          </w:p>
        </w:tc>
      </w:tr>
    </w:tbl>
    <w:p w14:paraId="259A44C5" w14:textId="77777777" w:rsidR="008E7846" w:rsidRPr="0085156D" w:rsidRDefault="008E7846" w:rsidP="0085156D">
      <w:r w:rsidRPr="0085156D">
        <w:br w:type="page"/>
      </w:r>
    </w:p>
    <w:p w14:paraId="2A4D01A6" w14:textId="77777777" w:rsidR="008E7846" w:rsidRPr="001F6CBA" w:rsidRDefault="008E7846" w:rsidP="005F795E">
      <w:pPr>
        <w:pStyle w:val="Heading2"/>
      </w:pPr>
      <w:r w:rsidRPr="001F6CBA">
        <w:lastRenderedPageBreak/>
        <w:t>About the Therapeutic Goods Administration (TGA)</w:t>
      </w:r>
    </w:p>
    <w:p w14:paraId="67450D1A" w14:textId="77777777" w:rsidR="008E7846" w:rsidRDefault="008E7846" w:rsidP="005F795E">
      <w:pPr>
        <w:pStyle w:val="ListBullet"/>
      </w:pPr>
      <w:r>
        <w:t xml:space="preserve">The Therapeutic </w:t>
      </w:r>
      <w:r w:rsidRPr="005F795E">
        <w:t>Goods</w:t>
      </w:r>
      <w:r>
        <w:t xml:space="preserve"> Administration (TGA) is </w:t>
      </w:r>
      <w:r w:rsidR="00E624A5">
        <w:t xml:space="preserve">part </w:t>
      </w:r>
      <w:r>
        <w:t>of the Australian Government Department of Health and is responsible for regulating medicines and medical devices.</w:t>
      </w:r>
    </w:p>
    <w:p w14:paraId="5F148971" w14:textId="77777777" w:rsidR="008E7846" w:rsidRDefault="00C80137" w:rsidP="005F795E">
      <w:pPr>
        <w:pStyle w:val="ListBullet"/>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w:t>
      </w:r>
      <w:r w:rsidR="008E7846" w:rsidRPr="005F795E">
        <w:t>ensure</w:t>
      </w:r>
      <w:r w:rsidR="008E7846">
        <w:t xml:space="preserve"> therapeutic goods supplied in Australia meet acceptable standards of quality, </w:t>
      </w:r>
      <w:proofErr w:type="gramStart"/>
      <w:r w:rsidR="008E7846">
        <w:t>safety</w:t>
      </w:r>
      <w:proofErr w:type="gramEnd"/>
      <w:r w:rsidR="008E7846">
        <w:t xml:space="preserve"> and efficacy (performance) when necessary.</w:t>
      </w:r>
    </w:p>
    <w:p w14:paraId="31E99C94" w14:textId="77777777" w:rsidR="008E7846" w:rsidRDefault="008E7846" w:rsidP="005F795E">
      <w:pPr>
        <w:pStyle w:val="ListBullet"/>
      </w:pPr>
      <w:r>
        <w:t>The work of the TGA is based on applying scientific and clinical expertise to decision-making, to ensure that the benefits to consumers outweigh any risks associated with the use of medicines and medical devices.</w:t>
      </w:r>
    </w:p>
    <w:p w14:paraId="6A289C26" w14:textId="77777777" w:rsidR="008E7846" w:rsidRDefault="008E7846" w:rsidP="005F795E">
      <w:pPr>
        <w:pStyle w:val="ListBullet"/>
      </w:pPr>
      <w:r>
        <w:t xml:space="preserve">The TGA relies on the public, healthcare professionals and industry to report problems with medicines or medical devices. TGA investigates reports received by it to determine any </w:t>
      </w:r>
      <w:r w:rsidRPr="005F795E">
        <w:t>necessary</w:t>
      </w:r>
      <w:r>
        <w:t xml:space="preserve"> regulatory action.</w:t>
      </w:r>
    </w:p>
    <w:p w14:paraId="32FB5B76" w14:textId="7B24A176" w:rsidR="00441C3F" w:rsidRDefault="008E7846" w:rsidP="005F795E">
      <w:pPr>
        <w:pStyle w:val="ListBullet"/>
      </w:pPr>
      <w:r>
        <w:t xml:space="preserve">To report a problem with a medicine or medical device, please see the </w:t>
      </w:r>
      <w:r w:rsidRPr="005F795E">
        <w:t>information</w:t>
      </w:r>
      <w:r>
        <w:t xml:space="preserve"> on </w:t>
      </w:r>
      <w:r w:rsidR="00441C3F">
        <w:t>the TGA website &lt;</w:t>
      </w:r>
      <w:hyperlink r:id="rId8" w:history="1">
        <w:r w:rsidR="00441C3F">
          <w:rPr>
            <w:rStyle w:val="Hyperlink"/>
          </w:rPr>
          <w:t>https://www.tga.gov.au</w:t>
        </w:r>
      </w:hyperlink>
      <w:r w:rsidR="00441C3F">
        <w:t>&gt;.</w:t>
      </w:r>
    </w:p>
    <w:p w14:paraId="6FF088CB" w14:textId="77777777" w:rsidR="008E7846" w:rsidRDefault="008E7846" w:rsidP="005F795E">
      <w:pPr>
        <w:pStyle w:val="Heading2"/>
      </w:pPr>
      <w:r>
        <w:t xml:space="preserve">About </w:t>
      </w:r>
      <w:proofErr w:type="spellStart"/>
      <w:r>
        <w:t>AusPARs</w:t>
      </w:r>
      <w:proofErr w:type="spellEnd"/>
    </w:p>
    <w:p w14:paraId="79BCC629" w14:textId="77777777" w:rsidR="008E7846" w:rsidRDefault="008E7846" w:rsidP="005F795E">
      <w:pPr>
        <w:pStyle w:val="ListBullet"/>
      </w:pPr>
      <w:r>
        <w:t>An Australian Public Assessment Re</w:t>
      </w:r>
      <w:r w:rsidR="00133A1B">
        <w:t>port</w:t>
      </w:r>
      <w:r>
        <w:t xml:space="preserve"> (</w:t>
      </w:r>
      <w:proofErr w:type="spellStart"/>
      <w:r>
        <w:t>AusPAR</w:t>
      </w:r>
      <w:proofErr w:type="spellEnd"/>
      <w:r>
        <w:t xml:space="preserve">) provides information about the evaluation of a prescription </w:t>
      </w:r>
      <w:r w:rsidRPr="005F795E">
        <w:t>medicine</w:t>
      </w:r>
      <w:r>
        <w:t xml:space="preserve"> and the considerations that led the TGA to approve or not approve a pr</w:t>
      </w:r>
      <w:r w:rsidR="00441C3F">
        <w:t>escription medicine submission.</w:t>
      </w:r>
    </w:p>
    <w:p w14:paraId="5A0AFAD2" w14:textId="77777777" w:rsidR="008E7846" w:rsidRDefault="008E7846" w:rsidP="005F795E">
      <w:pPr>
        <w:pStyle w:val="ListBullet"/>
      </w:pPr>
      <w:proofErr w:type="spellStart"/>
      <w:r>
        <w:t>AusPARs</w:t>
      </w:r>
      <w:proofErr w:type="spellEnd"/>
      <w:r>
        <w:t xml:space="preserve"> are prepared and published by the TGA.</w:t>
      </w:r>
    </w:p>
    <w:p w14:paraId="724521BA" w14:textId="77777777" w:rsidR="008E7846" w:rsidRDefault="008E7846" w:rsidP="005F795E">
      <w:pPr>
        <w:pStyle w:val="ListBullet"/>
      </w:pPr>
      <w:r>
        <w:t xml:space="preserve">An </w:t>
      </w:r>
      <w:proofErr w:type="spellStart"/>
      <w:r>
        <w:t>AusPAR</w:t>
      </w:r>
      <w:proofErr w:type="spellEnd"/>
      <w:r>
        <w:t xml:space="preserve"> is prepared for submissions that relate to new chemical entities, generic medicines, </w:t>
      </w:r>
      <w:r w:rsidRPr="005F795E">
        <w:t>major</w:t>
      </w:r>
      <w:r>
        <w:t xml:space="preserve"> </w:t>
      </w:r>
      <w:proofErr w:type="gramStart"/>
      <w:r>
        <w:t>variations</w:t>
      </w:r>
      <w:proofErr w:type="gramEnd"/>
      <w:r>
        <w:t xml:space="preserve"> and extensions of indications.</w:t>
      </w:r>
    </w:p>
    <w:p w14:paraId="612BDBCC" w14:textId="77777777" w:rsidR="008E7846" w:rsidRDefault="008E7846" w:rsidP="005F795E">
      <w:pPr>
        <w:pStyle w:val="ListBullet"/>
      </w:pPr>
      <w:r>
        <w:t xml:space="preserve">An </w:t>
      </w:r>
      <w:proofErr w:type="spellStart"/>
      <w:r>
        <w:t>AusPAR</w:t>
      </w:r>
      <w:proofErr w:type="spellEnd"/>
      <w:r>
        <w:t xml:space="preserve"> is a static document</w:t>
      </w:r>
      <w:r w:rsidR="00133A1B">
        <w:t>;</w:t>
      </w:r>
      <w:r>
        <w:t xml:space="preserve"> it provide</w:t>
      </w:r>
      <w:r w:rsidR="00133A1B">
        <w:t>s</w:t>
      </w:r>
      <w:r>
        <w:t xml:space="preserve"> information that relates to a submission at a particular point in time.</w:t>
      </w:r>
    </w:p>
    <w:p w14:paraId="6A9C0B6E" w14:textId="77777777" w:rsidR="00B452CE" w:rsidRDefault="008E7846" w:rsidP="005F795E">
      <w:pPr>
        <w:pStyle w:val="ListBullet"/>
      </w:pPr>
      <w:r>
        <w:t xml:space="preserve">A new </w:t>
      </w:r>
      <w:proofErr w:type="spellStart"/>
      <w:r>
        <w:t>AusPAR</w:t>
      </w:r>
      <w:proofErr w:type="spellEnd"/>
      <w:r>
        <w:t xml:space="preserve"> will be developed to reflect changes to indications and/or major variations to a prescription medicine </w:t>
      </w:r>
      <w:r w:rsidRPr="005F795E">
        <w:t>subject</w:t>
      </w:r>
      <w:r>
        <w:t xml:space="preserve"> to evaluation by the TGA.</w:t>
      </w:r>
    </w:p>
    <w:p w14:paraId="7F6F717E" w14:textId="77777777" w:rsidR="00924482" w:rsidRPr="00DF1D7F" w:rsidRDefault="00924482" w:rsidP="00F54B65">
      <w:pPr>
        <w:pStyle w:val="LegalSubheading"/>
        <w:spacing w:before="3120"/>
      </w:pPr>
      <w:r w:rsidRPr="00DF1D7F">
        <w:t>Copyright</w:t>
      </w:r>
    </w:p>
    <w:p w14:paraId="7161FC9C" w14:textId="47531704" w:rsidR="00924482" w:rsidRDefault="00924482" w:rsidP="005F795E">
      <w:pPr>
        <w:pStyle w:val="LegalCopy"/>
      </w:pPr>
      <w:r w:rsidRPr="00191B3B">
        <w:rPr>
          <w:lang w:val="en-GB"/>
        </w:rPr>
        <w:t>© Comm</w:t>
      </w:r>
      <w:r>
        <w:rPr>
          <w:lang w:val="en-GB"/>
        </w:rPr>
        <w:t>onwealth of Australia 20</w:t>
      </w:r>
      <w:r w:rsidR="00460036">
        <w:rPr>
          <w:lang w:val="en-GB"/>
        </w:rPr>
        <w:t>2</w:t>
      </w:r>
      <w:r w:rsidR="00324E45">
        <w:rPr>
          <w:lang w:val="en-GB"/>
        </w:rPr>
        <w:t>1</w:t>
      </w:r>
      <w:r w:rsidRPr="00191B3B">
        <w:rPr>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i/>
          <w:lang w:val="en-GB"/>
        </w:rPr>
        <w:t>Copyright Act 1968</w:t>
      </w:r>
      <w:r w:rsidRPr="00191B3B">
        <w:rPr>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lang w:val="en-GB"/>
        </w:rPr>
        <w:t>Woden</w:t>
      </w:r>
      <w:proofErr w:type="spellEnd"/>
      <w:r w:rsidRPr="00191B3B">
        <w:rPr>
          <w:lang w:val="en-GB"/>
        </w:rPr>
        <w:t xml:space="preserve"> ACT 2606 or emailed to &lt;</w:t>
      </w:r>
      <w:hyperlink r:id="rId9" w:history="1">
        <w:r w:rsidRPr="00191B3B">
          <w:rPr>
            <w:rStyle w:val="Hyperlink"/>
            <w:rFonts w:cs="Arial"/>
            <w:lang w:val="en-GB"/>
          </w:rPr>
          <w:t>tga.copyright@tga.gov.au</w:t>
        </w:r>
      </w:hyperlink>
      <w:r w:rsidRPr="00191B3B">
        <w:t>&gt;.</w:t>
      </w:r>
    </w:p>
    <w:p w14:paraId="5724E707" w14:textId="77777777" w:rsidR="00924482" w:rsidRDefault="00924482" w:rsidP="00924482">
      <w:pPr>
        <w:pStyle w:val="LegalCopy"/>
        <w:sectPr w:rsidR="00924482" w:rsidSect="003D1E62">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p>
    <w:bookmarkStart w:id="5" w:name="_Toc247691501" w:displacedByCustomXml="next"/>
    <w:bookmarkStart w:id="6"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3DBFE936" w14:textId="77777777" w:rsidR="0089635C" w:rsidRPr="0089635C" w:rsidRDefault="0089635C" w:rsidP="0010788A">
          <w:pPr>
            <w:pStyle w:val="Contents"/>
          </w:pPr>
          <w:r w:rsidRPr="0010788A">
            <w:t>Contents</w:t>
          </w:r>
        </w:p>
        <w:p w14:paraId="0DA7806C" w14:textId="600842BB" w:rsidR="005906D0" w:rsidRDefault="00C525A2">
          <w:pPr>
            <w:pStyle w:val="TOC1"/>
            <w:rPr>
              <w:rFonts w:asciiTheme="minorHAnsi" w:eastAsiaTheme="minorEastAsia" w:hAnsiTheme="minorHAnsi" w:cstheme="minorBidi"/>
              <w:b w:val="0"/>
              <w:noProof/>
              <w:sz w:val="22"/>
              <w:lang w:eastAsia="en-AU"/>
            </w:rPr>
          </w:pPr>
          <w:r>
            <w:fldChar w:fldCharType="begin"/>
          </w:r>
          <w:r>
            <w:instrText xml:space="preserve"> TOC \h \z \t "Heading 2,1,Heading 3,2" </w:instrText>
          </w:r>
          <w:r>
            <w:fldChar w:fldCharType="separate"/>
          </w:r>
          <w:hyperlink w:anchor="_Toc88670208" w:history="1">
            <w:r w:rsidR="005906D0" w:rsidRPr="001F3CED">
              <w:rPr>
                <w:rStyle w:val="Hyperlink"/>
                <w:noProof/>
              </w:rPr>
              <w:t>List of abbreviations</w:t>
            </w:r>
            <w:r w:rsidR="005906D0">
              <w:rPr>
                <w:noProof/>
                <w:webHidden/>
              </w:rPr>
              <w:tab/>
            </w:r>
            <w:r w:rsidR="005906D0">
              <w:rPr>
                <w:noProof/>
                <w:webHidden/>
              </w:rPr>
              <w:fldChar w:fldCharType="begin"/>
            </w:r>
            <w:r w:rsidR="005906D0">
              <w:rPr>
                <w:noProof/>
                <w:webHidden/>
              </w:rPr>
              <w:instrText xml:space="preserve"> PAGEREF _Toc88670208 \h </w:instrText>
            </w:r>
            <w:r w:rsidR="005906D0">
              <w:rPr>
                <w:noProof/>
                <w:webHidden/>
              </w:rPr>
            </w:r>
            <w:r w:rsidR="005906D0">
              <w:rPr>
                <w:noProof/>
                <w:webHidden/>
              </w:rPr>
              <w:fldChar w:fldCharType="separate"/>
            </w:r>
            <w:r w:rsidR="005906D0">
              <w:rPr>
                <w:noProof/>
                <w:webHidden/>
              </w:rPr>
              <w:t>4</w:t>
            </w:r>
            <w:r w:rsidR="005906D0">
              <w:rPr>
                <w:noProof/>
                <w:webHidden/>
              </w:rPr>
              <w:fldChar w:fldCharType="end"/>
            </w:r>
          </w:hyperlink>
        </w:p>
        <w:p w14:paraId="6DF65944" w14:textId="169B516F" w:rsidR="005906D0" w:rsidRDefault="00022849">
          <w:pPr>
            <w:pStyle w:val="TOC1"/>
            <w:rPr>
              <w:rFonts w:asciiTheme="minorHAnsi" w:eastAsiaTheme="minorEastAsia" w:hAnsiTheme="minorHAnsi" w:cstheme="minorBidi"/>
              <w:b w:val="0"/>
              <w:noProof/>
              <w:sz w:val="22"/>
              <w:lang w:eastAsia="en-AU"/>
            </w:rPr>
          </w:pPr>
          <w:hyperlink w:anchor="_Toc88670209" w:history="1">
            <w:r w:rsidR="005906D0" w:rsidRPr="001F3CED">
              <w:rPr>
                <w:rStyle w:val="Hyperlink"/>
                <w:noProof/>
              </w:rPr>
              <w:t>I. Introduction to product submission</w:t>
            </w:r>
            <w:r w:rsidR="005906D0">
              <w:rPr>
                <w:noProof/>
                <w:webHidden/>
              </w:rPr>
              <w:tab/>
            </w:r>
            <w:r w:rsidR="005906D0">
              <w:rPr>
                <w:noProof/>
                <w:webHidden/>
              </w:rPr>
              <w:fldChar w:fldCharType="begin"/>
            </w:r>
            <w:r w:rsidR="005906D0">
              <w:rPr>
                <w:noProof/>
                <w:webHidden/>
              </w:rPr>
              <w:instrText xml:space="preserve"> PAGEREF _Toc88670209 \h </w:instrText>
            </w:r>
            <w:r w:rsidR="005906D0">
              <w:rPr>
                <w:noProof/>
                <w:webHidden/>
              </w:rPr>
            </w:r>
            <w:r w:rsidR="005906D0">
              <w:rPr>
                <w:noProof/>
                <w:webHidden/>
              </w:rPr>
              <w:fldChar w:fldCharType="separate"/>
            </w:r>
            <w:r w:rsidR="005906D0">
              <w:rPr>
                <w:noProof/>
                <w:webHidden/>
              </w:rPr>
              <w:t>5</w:t>
            </w:r>
            <w:r w:rsidR="005906D0">
              <w:rPr>
                <w:noProof/>
                <w:webHidden/>
              </w:rPr>
              <w:fldChar w:fldCharType="end"/>
            </w:r>
          </w:hyperlink>
        </w:p>
        <w:p w14:paraId="1ECB8216" w14:textId="40EF45B7" w:rsidR="005906D0" w:rsidRDefault="00022849">
          <w:pPr>
            <w:pStyle w:val="TOC2"/>
            <w:rPr>
              <w:rFonts w:asciiTheme="minorHAnsi" w:eastAsiaTheme="minorEastAsia" w:hAnsiTheme="minorHAnsi" w:cstheme="minorBidi"/>
              <w:b w:val="0"/>
              <w:noProof/>
              <w:sz w:val="22"/>
              <w:lang w:eastAsia="en-AU"/>
            </w:rPr>
          </w:pPr>
          <w:hyperlink w:anchor="_Toc88670210" w:history="1">
            <w:r w:rsidR="005906D0" w:rsidRPr="001F3CED">
              <w:rPr>
                <w:rStyle w:val="Hyperlink"/>
                <w:noProof/>
                <w:lang w:eastAsia="en-AU"/>
              </w:rPr>
              <w:t>Submission details</w:t>
            </w:r>
            <w:r w:rsidR="005906D0">
              <w:rPr>
                <w:noProof/>
                <w:webHidden/>
              </w:rPr>
              <w:tab/>
            </w:r>
            <w:r w:rsidR="005906D0">
              <w:rPr>
                <w:noProof/>
                <w:webHidden/>
              </w:rPr>
              <w:fldChar w:fldCharType="begin"/>
            </w:r>
            <w:r w:rsidR="005906D0">
              <w:rPr>
                <w:noProof/>
                <w:webHidden/>
              </w:rPr>
              <w:instrText xml:space="preserve"> PAGEREF _Toc88670210 \h </w:instrText>
            </w:r>
            <w:r w:rsidR="005906D0">
              <w:rPr>
                <w:noProof/>
                <w:webHidden/>
              </w:rPr>
            </w:r>
            <w:r w:rsidR="005906D0">
              <w:rPr>
                <w:noProof/>
                <w:webHidden/>
              </w:rPr>
              <w:fldChar w:fldCharType="separate"/>
            </w:r>
            <w:r w:rsidR="005906D0">
              <w:rPr>
                <w:noProof/>
                <w:webHidden/>
              </w:rPr>
              <w:t>5</w:t>
            </w:r>
            <w:r w:rsidR="005906D0">
              <w:rPr>
                <w:noProof/>
                <w:webHidden/>
              </w:rPr>
              <w:fldChar w:fldCharType="end"/>
            </w:r>
          </w:hyperlink>
        </w:p>
        <w:p w14:paraId="004A4D8E" w14:textId="30DC1557" w:rsidR="005906D0" w:rsidRDefault="00022849">
          <w:pPr>
            <w:pStyle w:val="TOC2"/>
            <w:rPr>
              <w:rFonts w:asciiTheme="minorHAnsi" w:eastAsiaTheme="minorEastAsia" w:hAnsiTheme="minorHAnsi" w:cstheme="minorBidi"/>
              <w:b w:val="0"/>
              <w:noProof/>
              <w:sz w:val="22"/>
              <w:lang w:eastAsia="en-AU"/>
            </w:rPr>
          </w:pPr>
          <w:hyperlink w:anchor="_Toc88670211" w:history="1">
            <w:r w:rsidR="005906D0" w:rsidRPr="001F3CED">
              <w:rPr>
                <w:rStyle w:val="Hyperlink"/>
                <w:noProof/>
              </w:rPr>
              <w:t>Product background</w:t>
            </w:r>
            <w:r w:rsidR="005906D0">
              <w:rPr>
                <w:noProof/>
                <w:webHidden/>
              </w:rPr>
              <w:tab/>
            </w:r>
            <w:r w:rsidR="005906D0">
              <w:rPr>
                <w:noProof/>
                <w:webHidden/>
              </w:rPr>
              <w:fldChar w:fldCharType="begin"/>
            </w:r>
            <w:r w:rsidR="005906D0">
              <w:rPr>
                <w:noProof/>
                <w:webHidden/>
              </w:rPr>
              <w:instrText xml:space="preserve"> PAGEREF _Toc88670211 \h </w:instrText>
            </w:r>
            <w:r w:rsidR="005906D0">
              <w:rPr>
                <w:noProof/>
                <w:webHidden/>
              </w:rPr>
            </w:r>
            <w:r w:rsidR="005906D0">
              <w:rPr>
                <w:noProof/>
                <w:webHidden/>
              </w:rPr>
              <w:fldChar w:fldCharType="separate"/>
            </w:r>
            <w:r w:rsidR="005906D0">
              <w:rPr>
                <w:noProof/>
                <w:webHidden/>
              </w:rPr>
              <w:t>6</w:t>
            </w:r>
            <w:r w:rsidR="005906D0">
              <w:rPr>
                <w:noProof/>
                <w:webHidden/>
              </w:rPr>
              <w:fldChar w:fldCharType="end"/>
            </w:r>
          </w:hyperlink>
        </w:p>
        <w:p w14:paraId="3D8DDF9B" w14:textId="44FA4E17" w:rsidR="005906D0" w:rsidRDefault="00022849">
          <w:pPr>
            <w:pStyle w:val="TOC2"/>
            <w:rPr>
              <w:rFonts w:asciiTheme="minorHAnsi" w:eastAsiaTheme="minorEastAsia" w:hAnsiTheme="minorHAnsi" w:cstheme="minorBidi"/>
              <w:b w:val="0"/>
              <w:noProof/>
              <w:sz w:val="22"/>
              <w:lang w:eastAsia="en-AU"/>
            </w:rPr>
          </w:pPr>
          <w:hyperlink w:anchor="_Toc88670212" w:history="1">
            <w:r w:rsidR="005906D0" w:rsidRPr="001F3CED">
              <w:rPr>
                <w:rStyle w:val="Hyperlink"/>
                <w:noProof/>
              </w:rPr>
              <w:t>Regulatory status</w:t>
            </w:r>
            <w:r w:rsidR="005906D0">
              <w:rPr>
                <w:noProof/>
                <w:webHidden/>
              </w:rPr>
              <w:tab/>
            </w:r>
            <w:r w:rsidR="005906D0">
              <w:rPr>
                <w:noProof/>
                <w:webHidden/>
              </w:rPr>
              <w:fldChar w:fldCharType="begin"/>
            </w:r>
            <w:r w:rsidR="005906D0">
              <w:rPr>
                <w:noProof/>
                <w:webHidden/>
              </w:rPr>
              <w:instrText xml:space="preserve"> PAGEREF _Toc88670212 \h </w:instrText>
            </w:r>
            <w:r w:rsidR="005906D0">
              <w:rPr>
                <w:noProof/>
                <w:webHidden/>
              </w:rPr>
            </w:r>
            <w:r w:rsidR="005906D0">
              <w:rPr>
                <w:noProof/>
                <w:webHidden/>
              </w:rPr>
              <w:fldChar w:fldCharType="separate"/>
            </w:r>
            <w:r w:rsidR="005906D0">
              <w:rPr>
                <w:noProof/>
                <w:webHidden/>
              </w:rPr>
              <w:t>7</w:t>
            </w:r>
            <w:r w:rsidR="005906D0">
              <w:rPr>
                <w:noProof/>
                <w:webHidden/>
              </w:rPr>
              <w:fldChar w:fldCharType="end"/>
            </w:r>
          </w:hyperlink>
        </w:p>
        <w:p w14:paraId="06C81ECC" w14:textId="0BE550AA" w:rsidR="005906D0" w:rsidRDefault="00022849">
          <w:pPr>
            <w:pStyle w:val="TOC2"/>
            <w:rPr>
              <w:rFonts w:asciiTheme="minorHAnsi" w:eastAsiaTheme="minorEastAsia" w:hAnsiTheme="minorHAnsi" w:cstheme="minorBidi"/>
              <w:b w:val="0"/>
              <w:noProof/>
              <w:sz w:val="22"/>
              <w:lang w:eastAsia="en-AU"/>
            </w:rPr>
          </w:pPr>
          <w:hyperlink w:anchor="_Toc88670213" w:history="1">
            <w:r w:rsidR="005906D0" w:rsidRPr="001F3CED">
              <w:rPr>
                <w:rStyle w:val="Hyperlink"/>
                <w:noProof/>
              </w:rPr>
              <w:t>Product Information</w:t>
            </w:r>
            <w:r w:rsidR="005906D0">
              <w:rPr>
                <w:noProof/>
                <w:webHidden/>
              </w:rPr>
              <w:tab/>
            </w:r>
            <w:r w:rsidR="005906D0">
              <w:rPr>
                <w:noProof/>
                <w:webHidden/>
              </w:rPr>
              <w:fldChar w:fldCharType="begin"/>
            </w:r>
            <w:r w:rsidR="005906D0">
              <w:rPr>
                <w:noProof/>
                <w:webHidden/>
              </w:rPr>
              <w:instrText xml:space="preserve"> PAGEREF _Toc88670213 \h </w:instrText>
            </w:r>
            <w:r w:rsidR="005906D0">
              <w:rPr>
                <w:noProof/>
                <w:webHidden/>
              </w:rPr>
            </w:r>
            <w:r w:rsidR="005906D0">
              <w:rPr>
                <w:noProof/>
                <w:webHidden/>
              </w:rPr>
              <w:fldChar w:fldCharType="separate"/>
            </w:r>
            <w:r w:rsidR="005906D0">
              <w:rPr>
                <w:noProof/>
                <w:webHidden/>
              </w:rPr>
              <w:t>8</w:t>
            </w:r>
            <w:r w:rsidR="005906D0">
              <w:rPr>
                <w:noProof/>
                <w:webHidden/>
              </w:rPr>
              <w:fldChar w:fldCharType="end"/>
            </w:r>
          </w:hyperlink>
        </w:p>
        <w:p w14:paraId="46521FAC" w14:textId="43584D42" w:rsidR="005906D0" w:rsidRDefault="00022849">
          <w:pPr>
            <w:pStyle w:val="TOC1"/>
            <w:rPr>
              <w:rFonts w:asciiTheme="minorHAnsi" w:eastAsiaTheme="minorEastAsia" w:hAnsiTheme="minorHAnsi" w:cstheme="minorBidi"/>
              <w:b w:val="0"/>
              <w:noProof/>
              <w:sz w:val="22"/>
              <w:lang w:eastAsia="en-AU"/>
            </w:rPr>
          </w:pPr>
          <w:hyperlink w:anchor="_Toc88670214" w:history="1">
            <w:r w:rsidR="005906D0" w:rsidRPr="001F3CED">
              <w:rPr>
                <w:rStyle w:val="Hyperlink"/>
                <w:noProof/>
              </w:rPr>
              <w:t>II. Registration timeline</w:t>
            </w:r>
            <w:r w:rsidR="005906D0">
              <w:rPr>
                <w:noProof/>
                <w:webHidden/>
              </w:rPr>
              <w:tab/>
            </w:r>
            <w:r w:rsidR="005906D0">
              <w:rPr>
                <w:noProof/>
                <w:webHidden/>
              </w:rPr>
              <w:fldChar w:fldCharType="begin"/>
            </w:r>
            <w:r w:rsidR="005906D0">
              <w:rPr>
                <w:noProof/>
                <w:webHidden/>
              </w:rPr>
              <w:instrText xml:space="preserve"> PAGEREF _Toc88670214 \h </w:instrText>
            </w:r>
            <w:r w:rsidR="005906D0">
              <w:rPr>
                <w:noProof/>
                <w:webHidden/>
              </w:rPr>
            </w:r>
            <w:r w:rsidR="005906D0">
              <w:rPr>
                <w:noProof/>
                <w:webHidden/>
              </w:rPr>
              <w:fldChar w:fldCharType="separate"/>
            </w:r>
            <w:r w:rsidR="005906D0">
              <w:rPr>
                <w:noProof/>
                <w:webHidden/>
              </w:rPr>
              <w:t>8</w:t>
            </w:r>
            <w:r w:rsidR="005906D0">
              <w:rPr>
                <w:noProof/>
                <w:webHidden/>
              </w:rPr>
              <w:fldChar w:fldCharType="end"/>
            </w:r>
          </w:hyperlink>
        </w:p>
        <w:p w14:paraId="5795DFBA" w14:textId="0979432A" w:rsidR="005906D0" w:rsidRDefault="00022849">
          <w:pPr>
            <w:pStyle w:val="TOC1"/>
            <w:rPr>
              <w:rFonts w:asciiTheme="minorHAnsi" w:eastAsiaTheme="minorEastAsia" w:hAnsiTheme="minorHAnsi" w:cstheme="minorBidi"/>
              <w:b w:val="0"/>
              <w:noProof/>
              <w:sz w:val="22"/>
              <w:lang w:eastAsia="en-AU"/>
            </w:rPr>
          </w:pPr>
          <w:hyperlink w:anchor="_Toc88670215" w:history="1">
            <w:r w:rsidR="005906D0" w:rsidRPr="001F3CED">
              <w:rPr>
                <w:rStyle w:val="Hyperlink"/>
                <w:noProof/>
              </w:rPr>
              <w:t>III. Submission overview and risk/benefit assessment</w:t>
            </w:r>
            <w:r w:rsidR="005906D0">
              <w:rPr>
                <w:noProof/>
                <w:webHidden/>
              </w:rPr>
              <w:tab/>
            </w:r>
            <w:r w:rsidR="005906D0">
              <w:rPr>
                <w:noProof/>
                <w:webHidden/>
              </w:rPr>
              <w:fldChar w:fldCharType="begin"/>
            </w:r>
            <w:r w:rsidR="005906D0">
              <w:rPr>
                <w:noProof/>
                <w:webHidden/>
              </w:rPr>
              <w:instrText xml:space="preserve"> PAGEREF _Toc88670215 \h </w:instrText>
            </w:r>
            <w:r w:rsidR="005906D0">
              <w:rPr>
                <w:noProof/>
                <w:webHidden/>
              </w:rPr>
            </w:r>
            <w:r w:rsidR="005906D0">
              <w:rPr>
                <w:noProof/>
                <w:webHidden/>
              </w:rPr>
              <w:fldChar w:fldCharType="separate"/>
            </w:r>
            <w:r w:rsidR="005906D0">
              <w:rPr>
                <w:noProof/>
                <w:webHidden/>
              </w:rPr>
              <w:t>9</w:t>
            </w:r>
            <w:r w:rsidR="005906D0">
              <w:rPr>
                <w:noProof/>
                <w:webHidden/>
              </w:rPr>
              <w:fldChar w:fldCharType="end"/>
            </w:r>
          </w:hyperlink>
        </w:p>
        <w:p w14:paraId="2BB4BF09" w14:textId="2900A8E3" w:rsidR="005906D0" w:rsidRDefault="00022849">
          <w:pPr>
            <w:pStyle w:val="TOC2"/>
            <w:rPr>
              <w:rFonts w:asciiTheme="minorHAnsi" w:eastAsiaTheme="minorEastAsia" w:hAnsiTheme="minorHAnsi" w:cstheme="minorBidi"/>
              <w:b w:val="0"/>
              <w:noProof/>
              <w:sz w:val="22"/>
              <w:lang w:eastAsia="en-AU"/>
            </w:rPr>
          </w:pPr>
          <w:hyperlink w:anchor="_Toc88670216" w:history="1">
            <w:r w:rsidR="005906D0" w:rsidRPr="001F3CED">
              <w:rPr>
                <w:rStyle w:val="Hyperlink"/>
                <w:noProof/>
              </w:rPr>
              <w:t>Quality</w:t>
            </w:r>
            <w:r w:rsidR="005906D0">
              <w:rPr>
                <w:noProof/>
                <w:webHidden/>
              </w:rPr>
              <w:tab/>
            </w:r>
            <w:r w:rsidR="005906D0">
              <w:rPr>
                <w:noProof/>
                <w:webHidden/>
              </w:rPr>
              <w:fldChar w:fldCharType="begin"/>
            </w:r>
            <w:r w:rsidR="005906D0">
              <w:rPr>
                <w:noProof/>
                <w:webHidden/>
              </w:rPr>
              <w:instrText xml:space="preserve"> PAGEREF _Toc88670216 \h </w:instrText>
            </w:r>
            <w:r w:rsidR="005906D0">
              <w:rPr>
                <w:noProof/>
                <w:webHidden/>
              </w:rPr>
            </w:r>
            <w:r w:rsidR="005906D0">
              <w:rPr>
                <w:noProof/>
                <w:webHidden/>
              </w:rPr>
              <w:fldChar w:fldCharType="separate"/>
            </w:r>
            <w:r w:rsidR="005906D0">
              <w:rPr>
                <w:noProof/>
                <w:webHidden/>
              </w:rPr>
              <w:t>10</w:t>
            </w:r>
            <w:r w:rsidR="005906D0">
              <w:rPr>
                <w:noProof/>
                <w:webHidden/>
              </w:rPr>
              <w:fldChar w:fldCharType="end"/>
            </w:r>
          </w:hyperlink>
        </w:p>
        <w:p w14:paraId="5011754A" w14:textId="0F82582A" w:rsidR="005906D0" w:rsidRDefault="00022849">
          <w:pPr>
            <w:pStyle w:val="TOC2"/>
            <w:rPr>
              <w:rFonts w:asciiTheme="minorHAnsi" w:eastAsiaTheme="minorEastAsia" w:hAnsiTheme="minorHAnsi" w:cstheme="minorBidi"/>
              <w:b w:val="0"/>
              <w:noProof/>
              <w:sz w:val="22"/>
              <w:lang w:eastAsia="en-AU"/>
            </w:rPr>
          </w:pPr>
          <w:hyperlink w:anchor="_Toc88670217" w:history="1">
            <w:r w:rsidR="005906D0" w:rsidRPr="001F3CED">
              <w:rPr>
                <w:rStyle w:val="Hyperlink"/>
                <w:noProof/>
              </w:rPr>
              <w:t>Nonclinical</w:t>
            </w:r>
            <w:r w:rsidR="005906D0">
              <w:rPr>
                <w:noProof/>
                <w:webHidden/>
              </w:rPr>
              <w:tab/>
            </w:r>
            <w:r w:rsidR="005906D0">
              <w:rPr>
                <w:noProof/>
                <w:webHidden/>
              </w:rPr>
              <w:fldChar w:fldCharType="begin"/>
            </w:r>
            <w:r w:rsidR="005906D0">
              <w:rPr>
                <w:noProof/>
                <w:webHidden/>
              </w:rPr>
              <w:instrText xml:space="preserve"> PAGEREF _Toc88670217 \h </w:instrText>
            </w:r>
            <w:r w:rsidR="005906D0">
              <w:rPr>
                <w:noProof/>
                <w:webHidden/>
              </w:rPr>
            </w:r>
            <w:r w:rsidR="005906D0">
              <w:rPr>
                <w:noProof/>
                <w:webHidden/>
              </w:rPr>
              <w:fldChar w:fldCharType="separate"/>
            </w:r>
            <w:r w:rsidR="005906D0">
              <w:rPr>
                <w:noProof/>
                <w:webHidden/>
              </w:rPr>
              <w:t>10</w:t>
            </w:r>
            <w:r w:rsidR="005906D0">
              <w:rPr>
                <w:noProof/>
                <w:webHidden/>
              </w:rPr>
              <w:fldChar w:fldCharType="end"/>
            </w:r>
          </w:hyperlink>
        </w:p>
        <w:p w14:paraId="48CD7A7D" w14:textId="15E0F103" w:rsidR="005906D0" w:rsidRDefault="00022849">
          <w:pPr>
            <w:pStyle w:val="TOC2"/>
            <w:rPr>
              <w:rFonts w:asciiTheme="minorHAnsi" w:eastAsiaTheme="minorEastAsia" w:hAnsiTheme="minorHAnsi" w:cstheme="minorBidi"/>
              <w:b w:val="0"/>
              <w:noProof/>
              <w:sz w:val="22"/>
              <w:lang w:eastAsia="en-AU"/>
            </w:rPr>
          </w:pPr>
          <w:hyperlink w:anchor="_Toc88670218" w:history="1">
            <w:r w:rsidR="005906D0" w:rsidRPr="001F3CED">
              <w:rPr>
                <w:rStyle w:val="Hyperlink"/>
                <w:noProof/>
              </w:rPr>
              <w:t>Clinical</w:t>
            </w:r>
            <w:r w:rsidR="005906D0">
              <w:rPr>
                <w:noProof/>
                <w:webHidden/>
              </w:rPr>
              <w:tab/>
            </w:r>
            <w:r w:rsidR="005906D0">
              <w:rPr>
                <w:noProof/>
                <w:webHidden/>
              </w:rPr>
              <w:fldChar w:fldCharType="begin"/>
            </w:r>
            <w:r w:rsidR="005906D0">
              <w:rPr>
                <w:noProof/>
                <w:webHidden/>
              </w:rPr>
              <w:instrText xml:space="preserve"> PAGEREF _Toc88670218 \h </w:instrText>
            </w:r>
            <w:r w:rsidR="005906D0">
              <w:rPr>
                <w:noProof/>
                <w:webHidden/>
              </w:rPr>
            </w:r>
            <w:r w:rsidR="005906D0">
              <w:rPr>
                <w:noProof/>
                <w:webHidden/>
              </w:rPr>
              <w:fldChar w:fldCharType="separate"/>
            </w:r>
            <w:r w:rsidR="005906D0">
              <w:rPr>
                <w:noProof/>
                <w:webHidden/>
              </w:rPr>
              <w:t>11</w:t>
            </w:r>
            <w:r w:rsidR="005906D0">
              <w:rPr>
                <w:noProof/>
                <w:webHidden/>
              </w:rPr>
              <w:fldChar w:fldCharType="end"/>
            </w:r>
          </w:hyperlink>
        </w:p>
        <w:p w14:paraId="0DE0E8C0" w14:textId="5F38B972" w:rsidR="005906D0" w:rsidRDefault="00022849">
          <w:pPr>
            <w:pStyle w:val="TOC2"/>
            <w:rPr>
              <w:rFonts w:asciiTheme="minorHAnsi" w:eastAsiaTheme="minorEastAsia" w:hAnsiTheme="minorHAnsi" w:cstheme="minorBidi"/>
              <w:b w:val="0"/>
              <w:noProof/>
              <w:sz w:val="22"/>
              <w:lang w:eastAsia="en-AU"/>
            </w:rPr>
          </w:pPr>
          <w:hyperlink w:anchor="_Toc88670219" w:history="1">
            <w:r w:rsidR="005906D0" w:rsidRPr="001F3CED">
              <w:rPr>
                <w:rStyle w:val="Hyperlink"/>
                <w:noProof/>
                <w:lang w:eastAsia="en-AU"/>
              </w:rPr>
              <w:t>Risk management plan</w:t>
            </w:r>
            <w:r w:rsidR="005906D0">
              <w:rPr>
                <w:noProof/>
                <w:webHidden/>
              </w:rPr>
              <w:tab/>
            </w:r>
            <w:r w:rsidR="005906D0">
              <w:rPr>
                <w:noProof/>
                <w:webHidden/>
              </w:rPr>
              <w:fldChar w:fldCharType="begin"/>
            </w:r>
            <w:r w:rsidR="005906D0">
              <w:rPr>
                <w:noProof/>
                <w:webHidden/>
              </w:rPr>
              <w:instrText xml:space="preserve"> PAGEREF _Toc88670219 \h </w:instrText>
            </w:r>
            <w:r w:rsidR="005906D0">
              <w:rPr>
                <w:noProof/>
                <w:webHidden/>
              </w:rPr>
            </w:r>
            <w:r w:rsidR="005906D0">
              <w:rPr>
                <w:noProof/>
                <w:webHidden/>
              </w:rPr>
              <w:fldChar w:fldCharType="separate"/>
            </w:r>
            <w:r w:rsidR="005906D0">
              <w:rPr>
                <w:noProof/>
                <w:webHidden/>
              </w:rPr>
              <w:t>26</w:t>
            </w:r>
            <w:r w:rsidR="005906D0">
              <w:rPr>
                <w:noProof/>
                <w:webHidden/>
              </w:rPr>
              <w:fldChar w:fldCharType="end"/>
            </w:r>
          </w:hyperlink>
        </w:p>
        <w:p w14:paraId="084DD157" w14:textId="76196103" w:rsidR="005906D0" w:rsidRDefault="00022849">
          <w:pPr>
            <w:pStyle w:val="TOC2"/>
            <w:rPr>
              <w:rFonts w:asciiTheme="minorHAnsi" w:eastAsiaTheme="minorEastAsia" w:hAnsiTheme="minorHAnsi" w:cstheme="minorBidi"/>
              <w:b w:val="0"/>
              <w:noProof/>
              <w:sz w:val="22"/>
              <w:lang w:eastAsia="en-AU"/>
            </w:rPr>
          </w:pPr>
          <w:hyperlink w:anchor="_Toc88670220" w:history="1">
            <w:r w:rsidR="005906D0" w:rsidRPr="001F3CED">
              <w:rPr>
                <w:rStyle w:val="Hyperlink"/>
                <w:noProof/>
              </w:rPr>
              <w:t>Risk-benefit analysis</w:t>
            </w:r>
            <w:r w:rsidR="005906D0">
              <w:rPr>
                <w:noProof/>
                <w:webHidden/>
              </w:rPr>
              <w:tab/>
            </w:r>
            <w:r w:rsidR="005906D0">
              <w:rPr>
                <w:noProof/>
                <w:webHidden/>
              </w:rPr>
              <w:fldChar w:fldCharType="begin"/>
            </w:r>
            <w:r w:rsidR="005906D0">
              <w:rPr>
                <w:noProof/>
                <w:webHidden/>
              </w:rPr>
              <w:instrText xml:space="preserve"> PAGEREF _Toc88670220 \h </w:instrText>
            </w:r>
            <w:r w:rsidR="005906D0">
              <w:rPr>
                <w:noProof/>
                <w:webHidden/>
              </w:rPr>
            </w:r>
            <w:r w:rsidR="005906D0">
              <w:rPr>
                <w:noProof/>
                <w:webHidden/>
              </w:rPr>
              <w:fldChar w:fldCharType="separate"/>
            </w:r>
            <w:r w:rsidR="005906D0">
              <w:rPr>
                <w:noProof/>
                <w:webHidden/>
              </w:rPr>
              <w:t>28</w:t>
            </w:r>
            <w:r w:rsidR="005906D0">
              <w:rPr>
                <w:noProof/>
                <w:webHidden/>
              </w:rPr>
              <w:fldChar w:fldCharType="end"/>
            </w:r>
          </w:hyperlink>
        </w:p>
        <w:p w14:paraId="2C64A3F0" w14:textId="25DA4F45" w:rsidR="005906D0" w:rsidRDefault="00022849">
          <w:pPr>
            <w:pStyle w:val="TOC2"/>
            <w:rPr>
              <w:rFonts w:asciiTheme="minorHAnsi" w:eastAsiaTheme="minorEastAsia" w:hAnsiTheme="minorHAnsi" w:cstheme="minorBidi"/>
              <w:b w:val="0"/>
              <w:noProof/>
              <w:sz w:val="22"/>
              <w:lang w:eastAsia="en-AU"/>
            </w:rPr>
          </w:pPr>
          <w:hyperlink w:anchor="_Toc88670221" w:history="1">
            <w:r w:rsidR="005906D0" w:rsidRPr="001F3CED">
              <w:rPr>
                <w:rStyle w:val="Hyperlink"/>
                <w:noProof/>
              </w:rPr>
              <w:t>Outcome</w:t>
            </w:r>
            <w:r w:rsidR="005906D0">
              <w:rPr>
                <w:noProof/>
                <w:webHidden/>
              </w:rPr>
              <w:tab/>
            </w:r>
            <w:r w:rsidR="005906D0">
              <w:rPr>
                <w:noProof/>
                <w:webHidden/>
              </w:rPr>
              <w:fldChar w:fldCharType="begin"/>
            </w:r>
            <w:r w:rsidR="005906D0">
              <w:rPr>
                <w:noProof/>
                <w:webHidden/>
              </w:rPr>
              <w:instrText xml:space="preserve"> PAGEREF _Toc88670221 \h </w:instrText>
            </w:r>
            <w:r w:rsidR="005906D0">
              <w:rPr>
                <w:noProof/>
                <w:webHidden/>
              </w:rPr>
            </w:r>
            <w:r w:rsidR="005906D0">
              <w:rPr>
                <w:noProof/>
                <w:webHidden/>
              </w:rPr>
              <w:fldChar w:fldCharType="separate"/>
            </w:r>
            <w:r w:rsidR="005906D0">
              <w:rPr>
                <w:noProof/>
                <w:webHidden/>
              </w:rPr>
              <w:t>31</w:t>
            </w:r>
            <w:r w:rsidR="005906D0">
              <w:rPr>
                <w:noProof/>
                <w:webHidden/>
              </w:rPr>
              <w:fldChar w:fldCharType="end"/>
            </w:r>
          </w:hyperlink>
        </w:p>
        <w:p w14:paraId="2BF203E8" w14:textId="5156C1D6" w:rsidR="005906D0" w:rsidRDefault="00022849">
          <w:pPr>
            <w:pStyle w:val="TOC1"/>
            <w:rPr>
              <w:rFonts w:asciiTheme="minorHAnsi" w:eastAsiaTheme="minorEastAsia" w:hAnsiTheme="minorHAnsi" w:cstheme="minorBidi"/>
              <w:b w:val="0"/>
              <w:noProof/>
              <w:sz w:val="22"/>
              <w:lang w:eastAsia="en-AU"/>
            </w:rPr>
          </w:pPr>
          <w:hyperlink w:anchor="_Toc88670222" w:history="1">
            <w:r w:rsidR="005906D0" w:rsidRPr="001F3CED">
              <w:rPr>
                <w:rStyle w:val="Hyperlink"/>
                <w:noProof/>
              </w:rPr>
              <w:t>Attachment 1. Product Information</w:t>
            </w:r>
            <w:r w:rsidR="005906D0">
              <w:rPr>
                <w:noProof/>
                <w:webHidden/>
              </w:rPr>
              <w:tab/>
            </w:r>
            <w:r w:rsidR="005906D0">
              <w:rPr>
                <w:noProof/>
                <w:webHidden/>
              </w:rPr>
              <w:fldChar w:fldCharType="begin"/>
            </w:r>
            <w:r w:rsidR="005906D0">
              <w:rPr>
                <w:noProof/>
                <w:webHidden/>
              </w:rPr>
              <w:instrText xml:space="preserve"> PAGEREF _Toc88670222 \h </w:instrText>
            </w:r>
            <w:r w:rsidR="005906D0">
              <w:rPr>
                <w:noProof/>
                <w:webHidden/>
              </w:rPr>
            </w:r>
            <w:r w:rsidR="005906D0">
              <w:rPr>
                <w:noProof/>
                <w:webHidden/>
              </w:rPr>
              <w:fldChar w:fldCharType="separate"/>
            </w:r>
            <w:r w:rsidR="005906D0">
              <w:rPr>
                <w:noProof/>
                <w:webHidden/>
              </w:rPr>
              <w:t>31</w:t>
            </w:r>
            <w:r w:rsidR="005906D0">
              <w:rPr>
                <w:noProof/>
                <w:webHidden/>
              </w:rPr>
              <w:fldChar w:fldCharType="end"/>
            </w:r>
          </w:hyperlink>
        </w:p>
        <w:p w14:paraId="74E3D72C" w14:textId="7E8CAD53" w:rsidR="003A7F6C" w:rsidRPr="00B811C6" w:rsidRDefault="00C525A2" w:rsidP="00B811C6">
          <w:pPr>
            <w:pStyle w:val="TOC2"/>
          </w:pPr>
          <w:r>
            <w:fldChar w:fldCharType="end"/>
          </w:r>
        </w:p>
      </w:sdtContent>
    </w:sdt>
    <w:bookmarkStart w:id="7" w:name="_Toc314842482" w:displacedByCustomXml="prev"/>
    <w:p w14:paraId="63C2A65F" w14:textId="77777777" w:rsidR="00FD119B" w:rsidRDefault="00FD119B">
      <w:pPr>
        <w:spacing w:before="0" w:after="200" w:line="0" w:lineRule="auto"/>
      </w:pPr>
      <w:r>
        <w:br w:type="page"/>
      </w:r>
    </w:p>
    <w:p w14:paraId="5FC4F242" w14:textId="371331CE" w:rsidR="00C52E24" w:rsidRPr="00C52E24" w:rsidRDefault="00324E45" w:rsidP="005F795E">
      <w:pPr>
        <w:pStyle w:val="Heading2"/>
      </w:pPr>
      <w:bookmarkStart w:id="8" w:name="_Toc351716269"/>
      <w:bookmarkStart w:id="9" w:name="_Toc351718881"/>
      <w:bookmarkStart w:id="10" w:name="_Toc355338616"/>
      <w:bookmarkStart w:id="11" w:name="_Toc356306144"/>
      <w:bookmarkStart w:id="12" w:name="_Toc88670208"/>
      <w:r>
        <w:lastRenderedPageBreak/>
        <w:t>List of</w:t>
      </w:r>
      <w:r w:rsidR="00FD119B" w:rsidRPr="00FD119B">
        <w:t xml:space="preserve"> </w:t>
      </w:r>
      <w:r w:rsidR="00FD119B" w:rsidRPr="005F795E">
        <w:t>abbreviations</w:t>
      </w:r>
      <w:bookmarkEnd w:id="8"/>
      <w:bookmarkEnd w:id="9"/>
      <w:bookmarkEnd w:id="10"/>
      <w:bookmarkEnd w:id="11"/>
      <w:bookmarkEnd w:id="12"/>
    </w:p>
    <w:tbl>
      <w:tblPr>
        <w:tblStyle w:val="TableTGAblue"/>
        <w:tblW w:w="0" w:type="auto"/>
        <w:tblLook w:val="04A0" w:firstRow="1" w:lastRow="0" w:firstColumn="1" w:lastColumn="0" w:noHBand="0" w:noVBand="1"/>
      </w:tblPr>
      <w:tblGrid>
        <w:gridCol w:w="1890"/>
        <w:gridCol w:w="6604"/>
      </w:tblGrid>
      <w:tr w:rsidR="00262339" w:rsidRPr="00262339" w14:paraId="6CA45B46" w14:textId="77777777" w:rsidTr="00262339">
        <w:trPr>
          <w:cnfStyle w:val="100000000000" w:firstRow="1" w:lastRow="0" w:firstColumn="0" w:lastColumn="0" w:oddVBand="0" w:evenVBand="0" w:oddHBand="0" w:evenHBand="0" w:firstRowFirstColumn="0" w:firstRowLastColumn="0" w:lastRowFirstColumn="0" w:lastRowLastColumn="0"/>
        </w:trPr>
        <w:tc>
          <w:tcPr>
            <w:tcW w:w="1890" w:type="dxa"/>
            <w:tcBorders>
              <w:top w:val="single" w:sz="4" w:space="0" w:color="auto"/>
              <w:left w:val="single" w:sz="4" w:space="0" w:color="auto"/>
              <w:bottom w:val="single" w:sz="4" w:space="0" w:color="auto"/>
              <w:right w:val="single" w:sz="4" w:space="0" w:color="auto"/>
            </w:tcBorders>
          </w:tcPr>
          <w:p w14:paraId="3D757BD7" w14:textId="77777777" w:rsidR="00262339" w:rsidRPr="00262339" w:rsidRDefault="00262339" w:rsidP="00262339">
            <w:r w:rsidRPr="00262339">
              <w:t>Abbreviation</w:t>
            </w:r>
          </w:p>
        </w:tc>
        <w:tc>
          <w:tcPr>
            <w:tcW w:w="6604" w:type="dxa"/>
            <w:tcBorders>
              <w:top w:val="single" w:sz="4" w:space="0" w:color="auto"/>
              <w:left w:val="single" w:sz="4" w:space="0" w:color="auto"/>
              <w:bottom w:val="single" w:sz="4" w:space="0" w:color="auto"/>
              <w:right w:val="single" w:sz="4" w:space="0" w:color="auto"/>
            </w:tcBorders>
          </w:tcPr>
          <w:p w14:paraId="5F1CBDA5" w14:textId="77777777" w:rsidR="00262339" w:rsidRPr="00262339" w:rsidRDefault="00262339" w:rsidP="00262339">
            <w:r w:rsidRPr="00262339">
              <w:t>Meaning</w:t>
            </w:r>
          </w:p>
        </w:tc>
      </w:tr>
      <w:tr w:rsidR="00262339" w:rsidRPr="00262339" w14:paraId="535B67F9" w14:textId="77777777" w:rsidTr="00262339">
        <w:tc>
          <w:tcPr>
            <w:tcW w:w="1890" w:type="dxa"/>
          </w:tcPr>
          <w:p w14:paraId="1BDE1700" w14:textId="77777777" w:rsidR="00262339" w:rsidRPr="00262339" w:rsidRDefault="00262339" w:rsidP="00262339">
            <w:r w:rsidRPr="00262339">
              <w:t>AAN</w:t>
            </w:r>
          </w:p>
        </w:tc>
        <w:tc>
          <w:tcPr>
            <w:tcW w:w="6604" w:type="dxa"/>
          </w:tcPr>
          <w:p w14:paraId="3225131F" w14:textId="77777777" w:rsidR="00262339" w:rsidRPr="00262339" w:rsidRDefault="00262339" w:rsidP="00262339">
            <w:r w:rsidRPr="00262339">
              <w:t>Australian Approved Name</w:t>
            </w:r>
          </w:p>
        </w:tc>
      </w:tr>
      <w:tr w:rsidR="00262339" w:rsidRPr="00262339" w14:paraId="61D6850D" w14:textId="77777777" w:rsidTr="00262339">
        <w:tc>
          <w:tcPr>
            <w:tcW w:w="1890" w:type="dxa"/>
          </w:tcPr>
          <w:p w14:paraId="5A01E7E4" w14:textId="77777777" w:rsidR="00262339" w:rsidRPr="00262339" w:rsidRDefault="00262339" w:rsidP="00262339">
            <w:r w:rsidRPr="00262339">
              <w:t>ACM</w:t>
            </w:r>
          </w:p>
        </w:tc>
        <w:tc>
          <w:tcPr>
            <w:tcW w:w="6604" w:type="dxa"/>
          </w:tcPr>
          <w:p w14:paraId="1629EF85" w14:textId="77777777" w:rsidR="00262339" w:rsidRPr="00262339" w:rsidRDefault="00262339" w:rsidP="00262339">
            <w:r w:rsidRPr="00262339">
              <w:t>Advisory Committee on Medicines</w:t>
            </w:r>
          </w:p>
        </w:tc>
      </w:tr>
      <w:tr w:rsidR="00262339" w:rsidRPr="00262339" w14:paraId="5D9D17B7" w14:textId="77777777" w:rsidTr="00262339">
        <w:tc>
          <w:tcPr>
            <w:tcW w:w="1890" w:type="dxa"/>
          </w:tcPr>
          <w:p w14:paraId="7DBB255A" w14:textId="77777777" w:rsidR="00262339" w:rsidRPr="00262339" w:rsidRDefault="00262339" w:rsidP="00262339">
            <w:r w:rsidRPr="00262339">
              <w:t>ALT</w:t>
            </w:r>
          </w:p>
        </w:tc>
        <w:tc>
          <w:tcPr>
            <w:tcW w:w="6604" w:type="dxa"/>
          </w:tcPr>
          <w:p w14:paraId="0F94E18A" w14:textId="77777777" w:rsidR="00262339" w:rsidRPr="00262339" w:rsidRDefault="00262339" w:rsidP="00262339">
            <w:r w:rsidRPr="00262339">
              <w:t>Alanine transaminase</w:t>
            </w:r>
          </w:p>
        </w:tc>
      </w:tr>
      <w:tr w:rsidR="00262339" w:rsidRPr="00262339" w14:paraId="454FE211" w14:textId="77777777" w:rsidTr="00262339">
        <w:tc>
          <w:tcPr>
            <w:tcW w:w="1890" w:type="dxa"/>
          </w:tcPr>
          <w:p w14:paraId="6EA3A43D" w14:textId="77777777" w:rsidR="00262339" w:rsidRPr="00262339" w:rsidRDefault="00262339" w:rsidP="00262339">
            <w:r w:rsidRPr="00262339">
              <w:t>ARTG</w:t>
            </w:r>
          </w:p>
        </w:tc>
        <w:tc>
          <w:tcPr>
            <w:tcW w:w="6604" w:type="dxa"/>
          </w:tcPr>
          <w:p w14:paraId="16E0B36C" w14:textId="77777777" w:rsidR="00262339" w:rsidRPr="00262339" w:rsidRDefault="00262339" w:rsidP="00262339">
            <w:r w:rsidRPr="00262339">
              <w:t>Australian Register of Therapeutic Goods</w:t>
            </w:r>
          </w:p>
        </w:tc>
      </w:tr>
      <w:tr w:rsidR="00262339" w:rsidRPr="00262339" w14:paraId="77ED0778" w14:textId="77777777" w:rsidTr="00262339">
        <w:tc>
          <w:tcPr>
            <w:tcW w:w="1890" w:type="dxa"/>
          </w:tcPr>
          <w:p w14:paraId="24A089FB" w14:textId="77777777" w:rsidR="00262339" w:rsidRPr="00262339" w:rsidRDefault="00262339" w:rsidP="00262339">
            <w:r w:rsidRPr="00262339">
              <w:t>ASA</w:t>
            </w:r>
          </w:p>
        </w:tc>
        <w:tc>
          <w:tcPr>
            <w:tcW w:w="6604" w:type="dxa"/>
          </w:tcPr>
          <w:p w14:paraId="3DDA39ED" w14:textId="6CFB801A" w:rsidR="00262339" w:rsidRPr="00262339" w:rsidRDefault="00262339" w:rsidP="00262339">
            <w:r w:rsidRPr="00262339">
              <w:t>Australia-specific annex</w:t>
            </w:r>
          </w:p>
        </w:tc>
      </w:tr>
      <w:tr w:rsidR="00262339" w:rsidRPr="00262339" w14:paraId="47D10B23" w14:textId="77777777" w:rsidTr="00262339">
        <w:tc>
          <w:tcPr>
            <w:tcW w:w="1890" w:type="dxa"/>
          </w:tcPr>
          <w:p w14:paraId="5B4486A5" w14:textId="77777777" w:rsidR="00262339" w:rsidRPr="00262339" w:rsidRDefault="00262339" w:rsidP="00262339">
            <w:r w:rsidRPr="00262339">
              <w:t>AST</w:t>
            </w:r>
          </w:p>
        </w:tc>
        <w:tc>
          <w:tcPr>
            <w:tcW w:w="6604" w:type="dxa"/>
          </w:tcPr>
          <w:p w14:paraId="6EEE521D" w14:textId="77777777" w:rsidR="00262339" w:rsidRPr="00262339" w:rsidRDefault="00262339" w:rsidP="00262339">
            <w:r w:rsidRPr="00262339">
              <w:t>Aspartate transaminase</w:t>
            </w:r>
          </w:p>
        </w:tc>
      </w:tr>
      <w:tr w:rsidR="0072375D" w:rsidRPr="00262339" w14:paraId="6A7C6154" w14:textId="77777777" w:rsidTr="00262339">
        <w:tc>
          <w:tcPr>
            <w:tcW w:w="1890" w:type="dxa"/>
          </w:tcPr>
          <w:p w14:paraId="578303C4" w14:textId="4E715637" w:rsidR="0072375D" w:rsidRPr="00262339" w:rsidRDefault="0072375D" w:rsidP="00262339">
            <w:r>
              <w:t>CMI</w:t>
            </w:r>
          </w:p>
        </w:tc>
        <w:tc>
          <w:tcPr>
            <w:tcW w:w="6604" w:type="dxa"/>
          </w:tcPr>
          <w:p w14:paraId="583453B6" w14:textId="49DFA9CE" w:rsidR="0072375D" w:rsidRPr="00262339" w:rsidRDefault="0072375D" w:rsidP="00262339">
            <w:r>
              <w:t>Consumer Medicines Information</w:t>
            </w:r>
          </w:p>
        </w:tc>
      </w:tr>
      <w:tr w:rsidR="00262339" w:rsidRPr="00262339" w14:paraId="0F46E16C" w14:textId="77777777" w:rsidTr="00262339">
        <w:tc>
          <w:tcPr>
            <w:tcW w:w="1890" w:type="dxa"/>
          </w:tcPr>
          <w:p w14:paraId="39A50712" w14:textId="77777777" w:rsidR="00262339" w:rsidRPr="00262339" w:rsidRDefault="00262339" w:rsidP="00262339">
            <w:r w:rsidRPr="00262339">
              <w:t>DLP</w:t>
            </w:r>
          </w:p>
        </w:tc>
        <w:tc>
          <w:tcPr>
            <w:tcW w:w="6604" w:type="dxa"/>
          </w:tcPr>
          <w:p w14:paraId="0B0D10B7" w14:textId="77777777" w:rsidR="00262339" w:rsidRPr="00262339" w:rsidRDefault="00262339" w:rsidP="00262339">
            <w:r w:rsidRPr="00262339">
              <w:t>Data lock point</w:t>
            </w:r>
          </w:p>
        </w:tc>
      </w:tr>
      <w:tr w:rsidR="00262339" w:rsidRPr="00262339" w14:paraId="51218C0C" w14:textId="77777777" w:rsidTr="00262339">
        <w:tc>
          <w:tcPr>
            <w:tcW w:w="1890" w:type="dxa"/>
          </w:tcPr>
          <w:p w14:paraId="2D42B4C4" w14:textId="77777777" w:rsidR="00262339" w:rsidRPr="00262339" w:rsidRDefault="00262339" w:rsidP="00262339">
            <w:r w:rsidRPr="00262339">
              <w:t>PI</w:t>
            </w:r>
          </w:p>
        </w:tc>
        <w:tc>
          <w:tcPr>
            <w:tcW w:w="6604" w:type="dxa"/>
          </w:tcPr>
          <w:p w14:paraId="731D9672" w14:textId="77777777" w:rsidR="00262339" w:rsidRPr="00262339" w:rsidRDefault="00262339" w:rsidP="00262339">
            <w:r w:rsidRPr="00262339">
              <w:t>Product Information</w:t>
            </w:r>
          </w:p>
        </w:tc>
      </w:tr>
      <w:tr w:rsidR="00262339" w:rsidRPr="00262339" w14:paraId="49D3BCFD" w14:textId="77777777" w:rsidTr="00262339">
        <w:tc>
          <w:tcPr>
            <w:tcW w:w="1890" w:type="dxa"/>
          </w:tcPr>
          <w:p w14:paraId="0F069349" w14:textId="77777777" w:rsidR="00262339" w:rsidRPr="00262339" w:rsidRDefault="00262339" w:rsidP="00262339">
            <w:r w:rsidRPr="00262339">
              <w:t>PSUR</w:t>
            </w:r>
          </w:p>
        </w:tc>
        <w:tc>
          <w:tcPr>
            <w:tcW w:w="6604" w:type="dxa"/>
          </w:tcPr>
          <w:p w14:paraId="0A4D12B7" w14:textId="77777777" w:rsidR="00262339" w:rsidRPr="00262339" w:rsidRDefault="00262339" w:rsidP="00262339">
            <w:r w:rsidRPr="00262339">
              <w:t>Periodic safety update report</w:t>
            </w:r>
          </w:p>
        </w:tc>
      </w:tr>
      <w:tr w:rsidR="00262339" w:rsidRPr="00262339" w14:paraId="7ABD88E2" w14:textId="77777777" w:rsidTr="00262339">
        <w:tc>
          <w:tcPr>
            <w:tcW w:w="1890" w:type="dxa"/>
          </w:tcPr>
          <w:p w14:paraId="5B060CD3" w14:textId="77777777" w:rsidR="00262339" w:rsidRPr="00262339" w:rsidRDefault="00262339" w:rsidP="00262339">
            <w:r w:rsidRPr="00262339">
              <w:t>RMP</w:t>
            </w:r>
          </w:p>
        </w:tc>
        <w:tc>
          <w:tcPr>
            <w:tcW w:w="6604" w:type="dxa"/>
          </w:tcPr>
          <w:p w14:paraId="1226EF78" w14:textId="77777777" w:rsidR="00262339" w:rsidRPr="00262339" w:rsidRDefault="00262339" w:rsidP="00262339">
            <w:r w:rsidRPr="00262339">
              <w:t>Risk management plan</w:t>
            </w:r>
          </w:p>
        </w:tc>
      </w:tr>
      <w:tr w:rsidR="003F3DCD" w:rsidRPr="00262339" w14:paraId="64A3E474" w14:textId="77777777" w:rsidTr="00262339">
        <w:tc>
          <w:tcPr>
            <w:tcW w:w="1890" w:type="dxa"/>
          </w:tcPr>
          <w:p w14:paraId="57A68A3A" w14:textId="314DDBA2" w:rsidR="003F3DCD" w:rsidRPr="00262339" w:rsidRDefault="003F3DCD" w:rsidP="00262339">
            <w:r>
              <w:t>SAS</w:t>
            </w:r>
          </w:p>
        </w:tc>
        <w:tc>
          <w:tcPr>
            <w:tcW w:w="6604" w:type="dxa"/>
          </w:tcPr>
          <w:p w14:paraId="2B11CAF5" w14:textId="2891159A" w:rsidR="003F3DCD" w:rsidRPr="00262339" w:rsidRDefault="003F3DCD" w:rsidP="00262339">
            <w:r>
              <w:t>Special Access Scheme</w:t>
            </w:r>
          </w:p>
        </w:tc>
      </w:tr>
      <w:tr w:rsidR="00262339" w:rsidRPr="00262339" w14:paraId="02783847" w14:textId="77777777" w:rsidTr="00262339">
        <w:tc>
          <w:tcPr>
            <w:tcW w:w="1890" w:type="dxa"/>
          </w:tcPr>
          <w:p w14:paraId="54395271" w14:textId="77777777" w:rsidR="00262339" w:rsidRPr="00262339" w:rsidRDefault="00262339" w:rsidP="00262339">
            <w:r w:rsidRPr="00262339">
              <w:t>UK</w:t>
            </w:r>
          </w:p>
        </w:tc>
        <w:tc>
          <w:tcPr>
            <w:tcW w:w="6604" w:type="dxa"/>
          </w:tcPr>
          <w:p w14:paraId="361C9B22" w14:textId="77777777" w:rsidR="00262339" w:rsidRPr="00262339" w:rsidRDefault="00262339" w:rsidP="00262339">
            <w:r w:rsidRPr="00262339">
              <w:t>United Kingdom</w:t>
            </w:r>
          </w:p>
        </w:tc>
      </w:tr>
      <w:tr w:rsidR="00262339" w:rsidRPr="00262339" w14:paraId="545E986E" w14:textId="77777777" w:rsidTr="00262339">
        <w:tc>
          <w:tcPr>
            <w:tcW w:w="1890" w:type="dxa"/>
          </w:tcPr>
          <w:p w14:paraId="5913B5DC" w14:textId="77777777" w:rsidR="00262339" w:rsidRPr="00262339" w:rsidRDefault="00262339" w:rsidP="00262339">
            <w:r w:rsidRPr="00262339">
              <w:t>US(A)</w:t>
            </w:r>
          </w:p>
        </w:tc>
        <w:tc>
          <w:tcPr>
            <w:tcW w:w="6604" w:type="dxa"/>
          </w:tcPr>
          <w:p w14:paraId="6434B05C" w14:textId="77777777" w:rsidR="00262339" w:rsidRPr="00262339" w:rsidRDefault="00262339" w:rsidP="00262339">
            <w:r w:rsidRPr="00262339">
              <w:t>United States (of America)</w:t>
            </w:r>
          </w:p>
        </w:tc>
      </w:tr>
      <w:tr w:rsidR="00262339" w:rsidRPr="00262339" w14:paraId="46DD11E6" w14:textId="77777777" w:rsidTr="00262339">
        <w:tc>
          <w:tcPr>
            <w:tcW w:w="1890" w:type="dxa"/>
          </w:tcPr>
          <w:p w14:paraId="4C0A9A16" w14:textId="77777777" w:rsidR="00262339" w:rsidRPr="00262339" w:rsidRDefault="00262339" w:rsidP="00262339">
            <w:r w:rsidRPr="00262339">
              <w:t>USP</w:t>
            </w:r>
          </w:p>
        </w:tc>
        <w:tc>
          <w:tcPr>
            <w:tcW w:w="6604" w:type="dxa"/>
          </w:tcPr>
          <w:p w14:paraId="4DC62DEF" w14:textId="77777777" w:rsidR="00262339" w:rsidRPr="00262339" w:rsidRDefault="00262339" w:rsidP="00262339">
            <w:r w:rsidRPr="00262339">
              <w:t>United States Pharmacopeia</w:t>
            </w:r>
          </w:p>
        </w:tc>
      </w:tr>
    </w:tbl>
    <w:p w14:paraId="12596D62" w14:textId="77777777" w:rsidR="00FD119B" w:rsidRPr="00FD119B" w:rsidRDefault="00FD119B" w:rsidP="00FD119B">
      <w:pPr>
        <w:spacing w:before="0" w:after="200" w:line="0" w:lineRule="auto"/>
        <w:rPr>
          <w:b/>
          <w:i/>
          <w:sz w:val="24"/>
          <w:szCs w:val="24"/>
        </w:rPr>
      </w:pPr>
      <w:r w:rsidRPr="00FD119B">
        <w:rPr>
          <w:b/>
          <w:i/>
          <w:sz w:val="24"/>
          <w:szCs w:val="24"/>
        </w:rPr>
        <w:br w:type="page"/>
      </w:r>
    </w:p>
    <w:p w14:paraId="45F41679" w14:textId="77777777" w:rsidR="008E7846" w:rsidRDefault="00F53C07" w:rsidP="005F795E">
      <w:pPr>
        <w:pStyle w:val="Heading2"/>
      </w:pPr>
      <w:bookmarkStart w:id="13" w:name="_Toc88670209"/>
      <w:r>
        <w:lastRenderedPageBreak/>
        <w:t>I.</w:t>
      </w:r>
      <w:r w:rsidR="008E7846">
        <w:t xml:space="preserve"> </w:t>
      </w:r>
      <w:r w:rsidR="008E7846" w:rsidRPr="005F795E">
        <w:t>Introduction</w:t>
      </w:r>
      <w:r w:rsidR="008E7846">
        <w:t xml:space="preserve"> to product submission</w:t>
      </w:r>
      <w:bookmarkEnd w:id="13"/>
      <w:bookmarkEnd w:id="5"/>
      <w:bookmarkEnd w:id="7"/>
    </w:p>
    <w:p w14:paraId="400EEB1C" w14:textId="77777777" w:rsidR="008E7846" w:rsidRDefault="008E7846" w:rsidP="005F795E">
      <w:pPr>
        <w:pStyle w:val="Heading3"/>
        <w:rPr>
          <w:lang w:eastAsia="en-AU"/>
        </w:rPr>
      </w:pPr>
      <w:bookmarkStart w:id="14" w:name="_Toc247691502"/>
      <w:bookmarkStart w:id="15" w:name="_Toc314842483"/>
      <w:bookmarkStart w:id="16" w:name="_Toc88670210"/>
      <w:r>
        <w:rPr>
          <w:lang w:eastAsia="en-AU"/>
        </w:rPr>
        <w:t xml:space="preserve">Submission </w:t>
      </w:r>
      <w:r w:rsidRPr="005F795E">
        <w:t>details</w:t>
      </w:r>
      <w:bookmarkEnd w:id="14"/>
      <w:bookmarkEnd w:id="15"/>
      <w:bookmarkEnd w:id="16"/>
    </w:p>
    <w:tbl>
      <w:tblPr>
        <w:tblW w:w="9214" w:type="dxa"/>
        <w:tblInd w:w="108" w:type="dxa"/>
        <w:tblLook w:val="01E0" w:firstRow="1" w:lastRow="1" w:firstColumn="1" w:lastColumn="1" w:noHBand="0" w:noVBand="0"/>
      </w:tblPr>
      <w:tblGrid>
        <w:gridCol w:w="2907"/>
        <w:gridCol w:w="6307"/>
      </w:tblGrid>
      <w:tr w:rsidR="008E7846" w:rsidRPr="003D1E62" w14:paraId="365614D8" w14:textId="77777777" w:rsidTr="003735BC">
        <w:tc>
          <w:tcPr>
            <w:tcW w:w="2907" w:type="dxa"/>
          </w:tcPr>
          <w:p w14:paraId="175E7222" w14:textId="77777777" w:rsidR="008E7846" w:rsidRPr="003D1E62" w:rsidRDefault="001B5C90" w:rsidP="001B5C90">
            <w:pPr>
              <w:rPr>
                <w:i/>
              </w:rPr>
            </w:pPr>
            <w:r>
              <w:rPr>
                <w:i/>
              </w:rPr>
              <w:t>Type of s</w:t>
            </w:r>
            <w:r w:rsidR="008E7846" w:rsidRPr="003D1E62">
              <w:rPr>
                <w:i/>
              </w:rPr>
              <w:t>ubmission</w:t>
            </w:r>
            <w:r>
              <w:rPr>
                <w:i/>
              </w:rPr>
              <w:t>:</w:t>
            </w:r>
          </w:p>
        </w:tc>
        <w:tc>
          <w:tcPr>
            <w:tcW w:w="6307" w:type="dxa"/>
          </w:tcPr>
          <w:p w14:paraId="1D4D377A" w14:textId="7A2E64FD" w:rsidR="008E7846" w:rsidRPr="003D1E62" w:rsidRDefault="008E7846" w:rsidP="00E61CB6">
            <w:bookmarkStart w:id="17" w:name="_Hlk89333342"/>
            <w:r w:rsidRPr="003D1E62">
              <w:t xml:space="preserve">New </w:t>
            </w:r>
            <w:r w:rsidR="001B5C90">
              <w:t>c</w:t>
            </w:r>
            <w:r w:rsidRPr="003D1E62">
              <w:t xml:space="preserve">hemical </w:t>
            </w:r>
            <w:r w:rsidR="001B5C90">
              <w:t>e</w:t>
            </w:r>
            <w:r w:rsidR="00E61CB6">
              <w:t>ntity</w:t>
            </w:r>
            <w:bookmarkEnd w:id="17"/>
          </w:p>
        </w:tc>
      </w:tr>
      <w:tr w:rsidR="00460036" w:rsidRPr="003D1E62" w14:paraId="33580EE5" w14:textId="77777777" w:rsidTr="003735BC">
        <w:tc>
          <w:tcPr>
            <w:tcW w:w="2907" w:type="dxa"/>
          </w:tcPr>
          <w:p w14:paraId="1F6A6DED" w14:textId="5614356D" w:rsidR="00460036" w:rsidRPr="003D1E62" w:rsidRDefault="00E61CB6" w:rsidP="003D1E62">
            <w:pPr>
              <w:rPr>
                <w:i/>
              </w:rPr>
            </w:pPr>
            <w:r>
              <w:rPr>
                <w:i/>
              </w:rPr>
              <w:t>Product names</w:t>
            </w:r>
            <w:r w:rsidR="00460036" w:rsidRPr="00460036">
              <w:rPr>
                <w:i/>
              </w:rPr>
              <w:t>:</w:t>
            </w:r>
          </w:p>
        </w:tc>
        <w:tc>
          <w:tcPr>
            <w:tcW w:w="6307" w:type="dxa"/>
          </w:tcPr>
          <w:p w14:paraId="5107CD33" w14:textId="605D37B8" w:rsidR="00460036" w:rsidRPr="00B01081" w:rsidRDefault="00B01081" w:rsidP="00B01081">
            <w:proofErr w:type="spellStart"/>
            <w:r w:rsidRPr="00B01081">
              <w:t>Trientine</w:t>
            </w:r>
            <w:proofErr w:type="spellEnd"/>
            <w:r w:rsidRPr="00B01081">
              <w:t xml:space="preserve">-Reddy's, </w:t>
            </w:r>
            <w:proofErr w:type="spellStart"/>
            <w:r w:rsidRPr="00B01081">
              <w:t>Trientine</w:t>
            </w:r>
            <w:proofErr w:type="spellEnd"/>
            <w:r w:rsidRPr="00B01081">
              <w:t xml:space="preserve">-RZ, </w:t>
            </w:r>
            <w:proofErr w:type="spellStart"/>
            <w:r w:rsidRPr="00B01081">
              <w:t>Trientine</w:t>
            </w:r>
            <w:proofErr w:type="spellEnd"/>
            <w:r w:rsidRPr="00B01081">
              <w:t xml:space="preserve"> </w:t>
            </w:r>
            <w:proofErr w:type="spellStart"/>
            <w:proofErr w:type="gramStart"/>
            <w:r w:rsidRPr="00B01081">
              <w:t>Dr.Reddy's</w:t>
            </w:r>
            <w:proofErr w:type="spellEnd"/>
            <w:proofErr w:type="gramEnd"/>
            <w:r w:rsidRPr="00B01081">
              <w:t xml:space="preserve"> and </w:t>
            </w:r>
            <w:proofErr w:type="spellStart"/>
            <w:r w:rsidRPr="00B01081">
              <w:t>Trientine</w:t>
            </w:r>
            <w:proofErr w:type="spellEnd"/>
            <w:r w:rsidRPr="00B01081">
              <w:t>-DRLA</w:t>
            </w:r>
          </w:p>
        </w:tc>
      </w:tr>
      <w:tr w:rsidR="00460036" w:rsidRPr="003D1E62" w14:paraId="663AE01A" w14:textId="77777777" w:rsidTr="003735BC">
        <w:tc>
          <w:tcPr>
            <w:tcW w:w="2907" w:type="dxa"/>
          </w:tcPr>
          <w:p w14:paraId="54403A36" w14:textId="732F7445" w:rsidR="00460036" w:rsidRPr="003D1E62" w:rsidRDefault="00460036" w:rsidP="003D1E62">
            <w:pPr>
              <w:rPr>
                <w:i/>
              </w:rPr>
            </w:pPr>
            <w:r w:rsidRPr="00460036">
              <w:rPr>
                <w:i/>
              </w:rPr>
              <w:t>Active ingredient:</w:t>
            </w:r>
          </w:p>
        </w:tc>
        <w:tc>
          <w:tcPr>
            <w:tcW w:w="6307" w:type="dxa"/>
          </w:tcPr>
          <w:p w14:paraId="3F060D59" w14:textId="66F11770" w:rsidR="00460036" w:rsidRPr="003D1E62" w:rsidRDefault="00E61CB6" w:rsidP="001B5C90">
            <w:proofErr w:type="spellStart"/>
            <w:r>
              <w:t>Trientine</w:t>
            </w:r>
            <w:proofErr w:type="spellEnd"/>
            <w:r>
              <w:t xml:space="preserve"> dihydrochloride</w:t>
            </w:r>
          </w:p>
        </w:tc>
      </w:tr>
      <w:tr w:rsidR="008E7846" w:rsidRPr="003D1E62" w14:paraId="0BB040EE" w14:textId="77777777" w:rsidTr="003735BC">
        <w:tc>
          <w:tcPr>
            <w:tcW w:w="2907" w:type="dxa"/>
          </w:tcPr>
          <w:p w14:paraId="7BB43E4D" w14:textId="77777777" w:rsidR="008E7846" w:rsidRPr="003D1E62" w:rsidRDefault="008E7846" w:rsidP="003D1E62">
            <w:r w:rsidRPr="003D1E62">
              <w:rPr>
                <w:i/>
              </w:rPr>
              <w:t>Decision</w:t>
            </w:r>
            <w:r w:rsidRPr="003D1E62">
              <w:t>:</w:t>
            </w:r>
          </w:p>
        </w:tc>
        <w:tc>
          <w:tcPr>
            <w:tcW w:w="6307" w:type="dxa"/>
          </w:tcPr>
          <w:p w14:paraId="4CC70FA6" w14:textId="58DD29B5" w:rsidR="008E7846" w:rsidRPr="003D1E62" w:rsidRDefault="00E61CB6" w:rsidP="00E61CB6">
            <w:bookmarkStart w:id="18" w:name="_Hlk89331981"/>
            <w:r>
              <w:t>Approved</w:t>
            </w:r>
            <w:bookmarkEnd w:id="18"/>
          </w:p>
        </w:tc>
      </w:tr>
      <w:tr w:rsidR="008E7846" w:rsidRPr="003D1E62" w14:paraId="0C14BADB" w14:textId="77777777" w:rsidTr="003735BC">
        <w:tc>
          <w:tcPr>
            <w:tcW w:w="2907" w:type="dxa"/>
          </w:tcPr>
          <w:p w14:paraId="03B793FA" w14:textId="77777777"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14:paraId="34B48310" w14:textId="42011D30" w:rsidR="008E7846" w:rsidRPr="003D1E62" w:rsidRDefault="00E61CB6" w:rsidP="001B5C90">
            <w:r>
              <w:t>15 February 2021</w:t>
            </w:r>
          </w:p>
        </w:tc>
      </w:tr>
      <w:tr w:rsidR="00ED2922" w:rsidRPr="003D1E62" w14:paraId="5254A9A2" w14:textId="77777777" w:rsidTr="003735BC">
        <w:tc>
          <w:tcPr>
            <w:tcW w:w="2907" w:type="dxa"/>
          </w:tcPr>
          <w:p w14:paraId="12512653" w14:textId="77777777" w:rsidR="00ED2922" w:rsidRPr="00441C3F" w:rsidRDefault="00ED2922" w:rsidP="001B5C90">
            <w:pPr>
              <w:rPr>
                <w:i/>
              </w:rPr>
            </w:pPr>
            <w:r w:rsidRPr="00441C3F">
              <w:rPr>
                <w:i/>
              </w:rPr>
              <w:t>Date of entry onto ARTG</w:t>
            </w:r>
            <w:r w:rsidR="00500337">
              <w:rPr>
                <w:i/>
              </w:rPr>
              <w:t>:</w:t>
            </w:r>
          </w:p>
        </w:tc>
        <w:tc>
          <w:tcPr>
            <w:tcW w:w="6307" w:type="dxa"/>
          </w:tcPr>
          <w:p w14:paraId="4E37EB8F" w14:textId="62979CED" w:rsidR="00ED2922" w:rsidRPr="00441C3F" w:rsidRDefault="00E61CB6" w:rsidP="00D153D8">
            <w:pPr>
              <w:rPr>
                <w:i/>
              </w:rPr>
            </w:pPr>
            <w:r w:rsidRPr="00E61CB6">
              <w:t>29 March 2021</w:t>
            </w:r>
          </w:p>
        </w:tc>
      </w:tr>
      <w:tr w:rsidR="00500337" w:rsidRPr="003D1E62" w14:paraId="01F43541" w14:textId="77777777" w:rsidTr="003735BC">
        <w:tc>
          <w:tcPr>
            <w:tcW w:w="2907" w:type="dxa"/>
          </w:tcPr>
          <w:p w14:paraId="14FCA025" w14:textId="22F4277B" w:rsidR="00500337" w:rsidRPr="00441C3F" w:rsidRDefault="00500337" w:rsidP="001B5C90">
            <w:pPr>
              <w:rPr>
                <w:i/>
              </w:rPr>
            </w:pPr>
            <w:r>
              <w:rPr>
                <w:i/>
              </w:rPr>
              <w:t xml:space="preserve">ARTG </w:t>
            </w:r>
            <w:r w:rsidR="00E61CB6">
              <w:rPr>
                <w:i/>
              </w:rPr>
              <w:t>numbers</w:t>
            </w:r>
            <w:r>
              <w:rPr>
                <w:i/>
              </w:rPr>
              <w:t>:</w:t>
            </w:r>
          </w:p>
        </w:tc>
        <w:tc>
          <w:tcPr>
            <w:tcW w:w="6307" w:type="dxa"/>
          </w:tcPr>
          <w:p w14:paraId="3A985B52" w14:textId="11795E29" w:rsidR="00500337" w:rsidRPr="00441C3F" w:rsidRDefault="00E61CB6" w:rsidP="00EC463D">
            <w:r w:rsidRPr="00E61CB6">
              <w:t>329314, 329315, 329316, 329317</w:t>
            </w:r>
          </w:p>
        </w:tc>
      </w:tr>
      <w:tr w:rsidR="003735BC" w:rsidRPr="003D1E62" w14:paraId="27CE3DA0" w14:textId="77777777" w:rsidTr="003735BC">
        <w:tc>
          <w:tcPr>
            <w:tcW w:w="2907" w:type="dxa"/>
          </w:tcPr>
          <w:p w14:paraId="10ABB7A3" w14:textId="77777777" w:rsidR="003735BC" w:rsidRDefault="00FA5069" w:rsidP="001B5C90">
            <w:pPr>
              <w:rPr>
                <w:i/>
              </w:rPr>
            </w:pPr>
            <w:r>
              <w:rPr>
                <w:rFonts w:ascii="Wingdings 3" w:hAnsi="Wingdings 3"/>
                <w:sz w:val="34"/>
                <w:szCs w:val="34"/>
                <w:lang w:eastAsia="en-AU"/>
              </w:rPr>
              <w:t></w:t>
            </w:r>
            <w:r w:rsidR="003735BC" w:rsidRPr="003735BC">
              <w:rPr>
                <w:i/>
              </w:rPr>
              <w:t>Black Triangle Scheme</w:t>
            </w:r>
            <w:r w:rsidR="004C4FBE">
              <w:rPr>
                <w:i/>
              </w:rPr>
              <w:t>:</w:t>
            </w:r>
            <w:r w:rsidR="00460036">
              <w:rPr>
                <w:rStyle w:val="FootnoteReference"/>
                <w:i/>
              </w:rPr>
              <w:footnoteReference w:id="1"/>
            </w:r>
          </w:p>
        </w:tc>
        <w:tc>
          <w:tcPr>
            <w:tcW w:w="6307" w:type="dxa"/>
          </w:tcPr>
          <w:p w14:paraId="26B0A476" w14:textId="1EF31C75" w:rsidR="003735BC" w:rsidRDefault="00E61CB6" w:rsidP="003735BC">
            <w:r>
              <w:t>Yes</w:t>
            </w:r>
            <w:r w:rsidR="00B01081">
              <w:t>.</w:t>
            </w:r>
          </w:p>
          <w:p w14:paraId="70773236" w14:textId="1CE882EA" w:rsidR="003735BC" w:rsidRPr="00487162" w:rsidRDefault="003735BC" w:rsidP="003735BC">
            <w:r>
              <w:t xml:space="preserve">This product will remain in the scheme for 5 years, starting on the date the product is first supplied in </w:t>
            </w:r>
            <w:r w:rsidR="00E61CB6">
              <w:t>Australia</w:t>
            </w:r>
            <w:r w:rsidR="00B01081">
              <w:t>.</w:t>
            </w:r>
          </w:p>
        </w:tc>
      </w:tr>
      <w:tr w:rsidR="008E7846" w:rsidRPr="00487162" w14:paraId="7F90BCC1" w14:textId="77777777" w:rsidTr="00BF1190">
        <w:tc>
          <w:tcPr>
            <w:tcW w:w="2907" w:type="dxa"/>
          </w:tcPr>
          <w:p w14:paraId="73A7FABF"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3ADC069F" w14:textId="77777777" w:rsidR="00027D80" w:rsidRDefault="00E61CB6" w:rsidP="00027D80">
            <w:r w:rsidRPr="00E61CB6">
              <w:t>Dr Reddy’s Laboratories (Australia) Pty Ltd</w:t>
            </w:r>
          </w:p>
          <w:p w14:paraId="1B131BE0" w14:textId="1AEAC032" w:rsidR="00027D80" w:rsidRDefault="00027D80" w:rsidP="00027D80">
            <w:r>
              <w:t>Suite 3, Level 3, 390 St Kilda Road</w:t>
            </w:r>
          </w:p>
          <w:p w14:paraId="0E4B733E" w14:textId="47211B1E" w:rsidR="00027D80" w:rsidRPr="00487162" w:rsidRDefault="00027D80" w:rsidP="00027D80">
            <w:r>
              <w:t>Melbourne, VIC, 3004</w:t>
            </w:r>
          </w:p>
        </w:tc>
      </w:tr>
      <w:tr w:rsidR="008E7846" w:rsidRPr="00487162" w14:paraId="621E9E5E" w14:textId="77777777" w:rsidTr="00BF1190">
        <w:tc>
          <w:tcPr>
            <w:tcW w:w="2907" w:type="dxa"/>
          </w:tcPr>
          <w:p w14:paraId="6EA630E5" w14:textId="1F4B9A69" w:rsidR="008E7846" w:rsidRPr="00487162" w:rsidRDefault="00027D80" w:rsidP="00E45619">
            <w:pPr>
              <w:rPr>
                <w:i/>
              </w:rPr>
            </w:pPr>
            <w:r>
              <w:rPr>
                <w:i/>
              </w:rPr>
              <w:t>Dose form</w:t>
            </w:r>
            <w:r w:rsidR="001B5C90">
              <w:rPr>
                <w:i/>
              </w:rPr>
              <w:t>:</w:t>
            </w:r>
          </w:p>
        </w:tc>
        <w:tc>
          <w:tcPr>
            <w:tcW w:w="6307" w:type="dxa"/>
          </w:tcPr>
          <w:p w14:paraId="78AEB9E6" w14:textId="0F37E06F" w:rsidR="008E7846" w:rsidRPr="00487162" w:rsidRDefault="00027D80" w:rsidP="00E45619">
            <w:r>
              <w:t>Capsule</w:t>
            </w:r>
          </w:p>
        </w:tc>
      </w:tr>
      <w:tr w:rsidR="008E7846" w:rsidRPr="00487162" w14:paraId="28AE6E5A" w14:textId="77777777" w:rsidTr="00BF1190">
        <w:tc>
          <w:tcPr>
            <w:tcW w:w="2907" w:type="dxa"/>
          </w:tcPr>
          <w:p w14:paraId="4BAE790E" w14:textId="7E267D04" w:rsidR="008E7846" w:rsidRPr="00487162" w:rsidRDefault="00027D80" w:rsidP="00E45619">
            <w:pPr>
              <w:rPr>
                <w:i/>
              </w:rPr>
            </w:pPr>
            <w:r>
              <w:rPr>
                <w:i/>
              </w:rPr>
              <w:t>Strength</w:t>
            </w:r>
            <w:r w:rsidR="00324E45">
              <w:rPr>
                <w:i/>
              </w:rPr>
              <w:t>:</w:t>
            </w:r>
          </w:p>
        </w:tc>
        <w:tc>
          <w:tcPr>
            <w:tcW w:w="6307" w:type="dxa"/>
          </w:tcPr>
          <w:p w14:paraId="7F66E00E" w14:textId="2A6F68BE" w:rsidR="008E7846" w:rsidRPr="00487162" w:rsidRDefault="00027D80" w:rsidP="00E45619">
            <w:r>
              <w:t>250 mg</w:t>
            </w:r>
          </w:p>
        </w:tc>
      </w:tr>
      <w:tr w:rsidR="008E7846" w:rsidRPr="00487162" w14:paraId="6D161654" w14:textId="77777777" w:rsidTr="00BF1190">
        <w:tc>
          <w:tcPr>
            <w:tcW w:w="2907" w:type="dxa"/>
          </w:tcPr>
          <w:p w14:paraId="46CC3083" w14:textId="1D28DAA6" w:rsidR="008E7846" w:rsidRPr="00487162" w:rsidRDefault="00027D80" w:rsidP="00E45619">
            <w:pPr>
              <w:rPr>
                <w:i/>
              </w:rPr>
            </w:pPr>
            <w:r>
              <w:rPr>
                <w:i/>
              </w:rPr>
              <w:t>Container</w:t>
            </w:r>
            <w:r w:rsidR="008E7846" w:rsidRPr="00487162">
              <w:rPr>
                <w:i/>
              </w:rPr>
              <w:t>:</w:t>
            </w:r>
          </w:p>
        </w:tc>
        <w:tc>
          <w:tcPr>
            <w:tcW w:w="6307" w:type="dxa"/>
          </w:tcPr>
          <w:p w14:paraId="226DE5D0" w14:textId="3B0EAB56" w:rsidR="008E7846" w:rsidRPr="00487162" w:rsidRDefault="00027D80" w:rsidP="00E45619">
            <w:r>
              <w:t>Bottle</w:t>
            </w:r>
          </w:p>
        </w:tc>
      </w:tr>
      <w:tr w:rsidR="008E7846" w:rsidRPr="00487162" w14:paraId="79716C91" w14:textId="77777777" w:rsidTr="00BF1190">
        <w:tc>
          <w:tcPr>
            <w:tcW w:w="2907" w:type="dxa"/>
          </w:tcPr>
          <w:p w14:paraId="03639672" w14:textId="2362C052" w:rsidR="008E7846" w:rsidRPr="00487162" w:rsidRDefault="00027D80" w:rsidP="00E45619">
            <w:pPr>
              <w:rPr>
                <w:i/>
              </w:rPr>
            </w:pPr>
            <w:r>
              <w:rPr>
                <w:i/>
              </w:rPr>
              <w:t>Pack size</w:t>
            </w:r>
            <w:r w:rsidR="008E7846" w:rsidRPr="00487162">
              <w:rPr>
                <w:i/>
              </w:rPr>
              <w:t>:</w:t>
            </w:r>
          </w:p>
        </w:tc>
        <w:tc>
          <w:tcPr>
            <w:tcW w:w="6307" w:type="dxa"/>
          </w:tcPr>
          <w:p w14:paraId="1E8F45B1" w14:textId="283C6737" w:rsidR="008E7846" w:rsidRPr="00487162" w:rsidRDefault="00027D80" w:rsidP="00E45619">
            <w:r>
              <w:t>100</w:t>
            </w:r>
          </w:p>
        </w:tc>
      </w:tr>
      <w:tr w:rsidR="008E7846" w:rsidRPr="00487162" w14:paraId="7D4854CD" w14:textId="77777777" w:rsidTr="00BF1190">
        <w:tc>
          <w:tcPr>
            <w:tcW w:w="2907" w:type="dxa"/>
          </w:tcPr>
          <w:p w14:paraId="0F5EEBA4"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14:paraId="4782BAE2" w14:textId="7765D7F5" w:rsidR="008E7846" w:rsidRPr="00027D80" w:rsidRDefault="00027D80" w:rsidP="00E45619">
            <w:pPr>
              <w:rPr>
                <w:rFonts w:eastAsia="MS Mincho"/>
                <w:i/>
                <w:lang w:eastAsia="ja-JP"/>
              </w:rPr>
            </w:pPr>
            <w:proofErr w:type="spellStart"/>
            <w:r w:rsidRPr="00027D80">
              <w:rPr>
                <w:rFonts w:eastAsia="MS Mincho"/>
                <w:i/>
                <w:lang w:eastAsia="ja-JP"/>
              </w:rPr>
              <w:t>Trientine</w:t>
            </w:r>
            <w:proofErr w:type="spellEnd"/>
            <w:r w:rsidRPr="00027D80">
              <w:rPr>
                <w:rFonts w:eastAsia="MS Mincho"/>
                <w:i/>
                <w:lang w:eastAsia="ja-JP"/>
              </w:rPr>
              <w:t xml:space="preserve"> dihydrochloride capsules are indicated for the treatment of patients with Wilson's disease who are intolerant of penicillamine.</w:t>
            </w:r>
          </w:p>
        </w:tc>
      </w:tr>
      <w:tr w:rsidR="008E7846" w:rsidRPr="00487162" w14:paraId="5E3A4294" w14:textId="77777777" w:rsidTr="00BF1190">
        <w:tc>
          <w:tcPr>
            <w:tcW w:w="2907" w:type="dxa"/>
          </w:tcPr>
          <w:p w14:paraId="5AEA4178" w14:textId="1E2D48B6" w:rsidR="008E7846" w:rsidRPr="00487162" w:rsidRDefault="00027D80" w:rsidP="00E45619">
            <w:pPr>
              <w:rPr>
                <w:i/>
              </w:rPr>
            </w:pPr>
            <w:r>
              <w:rPr>
                <w:i/>
              </w:rPr>
              <w:t>Routes</w:t>
            </w:r>
            <w:r w:rsidR="008E7846" w:rsidRPr="00487162">
              <w:rPr>
                <w:i/>
              </w:rPr>
              <w:t xml:space="preserve"> of administration:</w:t>
            </w:r>
          </w:p>
        </w:tc>
        <w:tc>
          <w:tcPr>
            <w:tcW w:w="6307" w:type="dxa"/>
          </w:tcPr>
          <w:p w14:paraId="67DE8251" w14:textId="1D68B84D" w:rsidR="008E7846" w:rsidRPr="00487162" w:rsidRDefault="00027D80" w:rsidP="00E45619">
            <w:r>
              <w:t>Oral</w:t>
            </w:r>
          </w:p>
        </w:tc>
      </w:tr>
      <w:tr w:rsidR="008E7846" w:rsidRPr="00487162" w14:paraId="4D76D1EE" w14:textId="77777777" w:rsidTr="00BF1190">
        <w:tc>
          <w:tcPr>
            <w:tcW w:w="2907" w:type="dxa"/>
          </w:tcPr>
          <w:p w14:paraId="7C1909D8" w14:textId="77777777" w:rsidR="008E7846" w:rsidRPr="00487162" w:rsidRDefault="008E7846" w:rsidP="00E45619">
            <w:pPr>
              <w:rPr>
                <w:i/>
              </w:rPr>
            </w:pPr>
            <w:r w:rsidRPr="00487162">
              <w:rPr>
                <w:i/>
              </w:rPr>
              <w:t>Dosage:</w:t>
            </w:r>
          </w:p>
        </w:tc>
        <w:tc>
          <w:tcPr>
            <w:tcW w:w="6307" w:type="dxa"/>
          </w:tcPr>
          <w:p w14:paraId="0DA90E64" w14:textId="5D4CD323" w:rsidR="00460036" w:rsidRDefault="0091731C" w:rsidP="00027D80">
            <w:r>
              <w:t>The d</w:t>
            </w:r>
            <w:r w:rsidR="00027D80" w:rsidRPr="00027D80">
              <w:t xml:space="preserve">oses are expressed in terms of </w:t>
            </w:r>
            <w:proofErr w:type="spellStart"/>
            <w:r w:rsidR="00027D80" w:rsidRPr="00027D80">
              <w:t>trientine</w:t>
            </w:r>
            <w:proofErr w:type="spellEnd"/>
            <w:r w:rsidR="00027D80" w:rsidRPr="00027D80">
              <w:t xml:space="preserve"> dihydrochloride and the equivalent dose of </w:t>
            </w:r>
            <w:proofErr w:type="spellStart"/>
            <w:r w:rsidR="00027D80" w:rsidRPr="00027D80">
              <w:t>trientine</w:t>
            </w:r>
            <w:proofErr w:type="spellEnd"/>
            <w:r w:rsidR="00027D80" w:rsidRPr="00027D80">
              <w:t xml:space="preserve"> free base. </w:t>
            </w:r>
            <w:r>
              <w:t>Each capsule contains</w:t>
            </w:r>
            <w:r w:rsidRPr="00027D80">
              <w:t xml:space="preserve"> 250</w:t>
            </w:r>
            <w:r>
              <w:t> </w:t>
            </w:r>
            <w:r w:rsidRPr="00027D80">
              <w:t xml:space="preserve">mg of </w:t>
            </w:r>
            <w:proofErr w:type="spellStart"/>
            <w:r w:rsidRPr="00027D80">
              <w:t>trientine</w:t>
            </w:r>
            <w:proofErr w:type="spellEnd"/>
            <w:r w:rsidRPr="00027D80">
              <w:t xml:space="preserve"> dihydrochloride, equiv</w:t>
            </w:r>
            <w:r>
              <w:t xml:space="preserve">alent to 167 mg </w:t>
            </w:r>
            <w:proofErr w:type="spellStart"/>
            <w:r>
              <w:t>trientine</w:t>
            </w:r>
            <w:proofErr w:type="spellEnd"/>
            <w:r>
              <w:t xml:space="preserve"> free </w:t>
            </w:r>
            <w:proofErr w:type="spellStart"/>
            <w:proofErr w:type="gramStart"/>
            <w:r>
              <w:t>base.</w:t>
            </w:r>
            <w:r w:rsidR="00027D80" w:rsidRPr="00027D80">
              <w:t>This</w:t>
            </w:r>
            <w:proofErr w:type="spellEnd"/>
            <w:proofErr w:type="gramEnd"/>
            <w:r w:rsidR="00027D80" w:rsidRPr="00027D80">
              <w:t xml:space="preserve"> should be considered if a patient is transferred from one </w:t>
            </w:r>
            <w:proofErr w:type="spellStart"/>
            <w:r w:rsidR="00027D80" w:rsidRPr="00027D80">
              <w:t>trientine</w:t>
            </w:r>
            <w:proofErr w:type="spellEnd"/>
            <w:r w:rsidR="00027D80" w:rsidRPr="00027D80">
              <w:t xml:space="preserve"> formulation to another.</w:t>
            </w:r>
          </w:p>
          <w:p w14:paraId="7DF90881" w14:textId="31FD9C78" w:rsidR="007A028B" w:rsidRDefault="007A028B" w:rsidP="007A028B">
            <w:r>
              <w:lastRenderedPageBreak/>
              <w:t xml:space="preserve">The daily dose of </w:t>
            </w:r>
            <w:proofErr w:type="spellStart"/>
            <w:r>
              <w:t>trientine</w:t>
            </w:r>
            <w:proofErr w:type="spellEnd"/>
            <w:r>
              <w:t xml:space="preserve"> dihydrochloride capsules should be increased only when the clinical response is not </w:t>
            </w:r>
            <w:proofErr w:type="gramStart"/>
            <w:r>
              <w:t>adequate</w:t>
            </w:r>
            <w:proofErr w:type="gramEnd"/>
            <w:r>
              <w:t xml:space="preserve"> or the concentration of free serum copper is persistently above 20 </w:t>
            </w:r>
            <w:r w:rsidR="00B01081">
              <w:t>µ</w:t>
            </w:r>
            <w:r>
              <w:t xml:space="preserve">g/dL (3.1 </w:t>
            </w:r>
            <w:r w:rsidR="00B01081">
              <w:t>µ</w:t>
            </w:r>
            <w:r>
              <w:t xml:space="preserve">mol/L). Optimal long-term maintenance dosages should be determined at 6 to </w:t>
            </w:r>
            <w:proofErr w:type="gramStart"/>
            <w:r>
              <w:t>12 month</w:t>
            </w:r>
            <w:proofErr w:type="gramEnd"/>
            <w:r>
              <w:t xml:space="preserve"> intervals (see Section 4.4 Special </w:t>
            </w:r>
            <w:r w:rsidR="0091731C">
              <w:t>w</w:t>
            </w:r>
            <w:r>
              <w:t xml:space="preserve">arnings </w:t>
            </w:r>
            <w:r w:rsidR="0091731C">
              <w:t>a</w:t>
            </w:r>
            <w:r>
              <w:t xml:space="preserve">nd </w:t>
            </w:r>
            <w:r w:rsidR="0091731C">
              <w:t>p</w:t>
            </w:r>
            <w:r>
              <w:t xml:space="preserve">recautions </w:t>
            </w:r>
            <w:r w:rsidR="0091731C">
              <w:t>f</w:t>
            </w:r>
            <w:r>
              <w:t xml:space="preserve">or </w:t>
            </w:r>
            <w:r w:rsidR="0091731C">
              <w:t>u</w:t>
            </w:r>
            <w:r>
              <w:t xml:space="preserve">se; </w:t>
            </w:r>
            <w:r w:rsidR="0091731C">
              <w:t>e</w:t>
            </w:r>
            <w:r>
              <w:t xml:space="preserve">ffects on </w:t>
            </w:r>
            <w:r w:rsidR="0091731C">
              <w:t>l</w:t>
            </w:r>
            <w:r>
              <w:t xml:space="preserve">aboratory </w:t>
            </w:r>
            <w:r w:rsidR="0091731C">
              <w:t>t</w:t>
            </w:r>
            <w:r>
              <w:t>ests of the Product Information).</w:t>
            </w:r>
          </w:p>
          <w:p w14:paraId="43F1D910" w14:textId="55C8454F" w:rsidR="007A028B" w:rsidRDefault="007A028B" w:rsidP="007A028B">
            <w:r>
              <w:t xml:space="preserve">It is important that </w:t>
            </w:r>
            <w:proofErr w:type="spellStart"/>
            <w:r>
              <w:t>trientine</w:t>
            </w:r>
            <w:proofErr w:type="spellEnd"/>
            <w:r>
              <w:t xml:space="preserve"> dihydrochloride capsules be given on an empty stomach, at least one hour before meals or two hours after meals and at least one hour apart from any other drug, food, or milk. The capsules should be swallowed whole with water and should not be opened or chewed.</w:t>
            </w:r>
          </w:p>
          <w:p w14:paraId="1F567310" w14:textId="68573B36" w:rsidR="00027D80" w:rsidRPr="00027D80" w:rsidRDefault="00B01081" w:rsidP="00027D80">
            <w:pPr>
              <w:rPr>
                <w:i/>
              </w:rPr>
            </w:pPr>
            <w:r>
              <w:rPr>
                <w:i/>
              </w:rPr>
              <w:t>C</w:t>
            </w:r>
            <w:r w:rsidR="00027D80">
              <w:rPr>
                <w:i/>
              </w:rPr>
              <w:t>hildren aged</w:t>
            </w:r>
            <w:r w:rsidR="00027D80" w:rsidRPr="00027D80">
              <w:rPr>
                <w:i/>
              </w:rPr>
              <w:t xml:space="preserve"> 5 years</w:t>
            </w:r>
            <w:r w:rsidR="00D45EDA">
              <w:rPr>
                <w:i/>
              </w:rPr>
              <w:t xml:space="preserve"> or older</w:t>
            </w:r>
          </w:p>
          <w:p w14:paraId="5288FDBC" w14:textId="11F5AB06" w:rsidR="00027D80" w:rsidRDefault="00027D80" w:rsidP="00027D80">
            <w:r>
              <w:t xml:space="preserve">500 to 750 mg </w:t>
            </w:r>
            <w:proofErr w:type="spellStart"/>
            <w:r>
              <w:t>trientine</w:t>
            </w:r>
            <w:proofErr w:type="spellEnd"/>
            <w:r>
              <w:t xml:space="preserve"> dihydrochloride /day (</w:t>
            </w:r>
            <w:r w:rsidR="00D45EDA">
              <w:t>2 or</w:t>
            </w:r>
            <w:r>
              <w:t xml:space="preserve"> 3 capsules) given in divided doses two or three times daily. This may be increased to a maximum of 1</w:t>
            </w:r>
            <w:r w:rsidR="00D45EDA">
              <w:t>500 mg/day (6 capsules) for children aged 5 </w:t>
            </w:r>
            <w:r>
              <w:t>years</w:t>
            </w:r>
            <w:r w:rsidR="00D45EDA">
              <w:t xml:space="preserve"> or older</w:t>
            </w:r>
            <w:r>
              <w:t xml:space="preserve">. The paediatric dosage in terms of </w:t>
            </w:r>
            <w:proofErr w:type="spellStart"/>
            <w:r>
              <w:t>trientine</w:t>
            </w:r>
            <w:proofErr w:type="spellEnd"/>
            <w:r>
              <w:t xml:space="preserve"> free base is </w:t>
            </w:r>
            <w:r w:rsidR="00D45EDA">
              <w:t>from 333</w:t>
            </w:r>
            <w:r>
              <w:t xml:space="preserve"> to 500 mg/day</w:t>
            </w:r>
            <w:r w:rsidR="00D45EDA">
              <w:t>, up</w:t>
            </w:r>
            <w:r>
              <w:t xml:space="preserve"> to a maximum of 1000</w:t>
            </w:r>
            <w:r w:rsidR="00D45EDA">
              <w:t xml:space="preserve"> </w:t>
            </w:r>
            <w:r>
              <w:t>mg/day.</w:t>
            </w:r>
          </w:p>
          <w:p w14:paraId="3D049FBF" w14:textId="77777777" w:rsidR="00027D80" w:rsidRDefault="00D45EDA" w:rsidP="00D45EDA">
            <w:r>
              <w:t>The initial dose for children aged</w:t>
            </w:r>
            <w:r w:rsidR="00027D80">
              <w:t xml:space="preserve"> 5 </w:t>
            </w:r>
            <w:r>
              <w:t xml:space="preserve">or more </w:t>
            </w:r>
            <w:r w:rsidR="00027D80">
              <w:t>years can be expressed on a weight basis as 20</w:t>
            </w:r>
            <w:r>
              <w:t xml:space="preserve"> </w:t>
            </w:r>
            <w:r w:rsidR="00027D80">
              <w:t>mg</w:t>
            </w:r>
            <w:r>
              <w:t xml:space="preserve"> </w:t>
            </w:r>
            <w:proofErr w:type="spellStart"/>
            <w:r>
              <w:t>trientine</w:t>
            </w:r>
            <w:proofErr w:type="spellEnd"/>
            <w:r>
              <w:t xml:space="preserve"> </w:t>
            </w:r>
            <w:proofErr w:type="spellStart"/>
            <w:r>
              <w:t>dihdrochloride</w:t>
            </w:r>
            <w:proofErr w:type="spellEnd"/>
            <w:r>
              <w:t xml:space="preserve"> per kilogram of bodyweight in 2 or </w:t>
            </w:r>
            <w:r w:rsidR="00027D80">
              <w:t>3 divided doses, rounded up to the nearest number of whole capsules</w:t>
            </w:r>
            <w:r>
              <w:t>.</w:t>
            </w:r>
          </w:p>
          <w:p w14:paraId="5AA869EA" w14:textId="7C772D3D" w:rsidR="00D45EDA" w:rsidRPr="00D45EDA" w:rsidRDefault="00B01081" w:rsidP="00D45EDA">
            <w:pPr>
              <w:rPr>
                <w:i/>
              </w:rPr>
            </w:pPr>
            <w:r>
              <w:rPr>
                <w:i/>
              </w:rPr>
              <w:t>A</w:t>
            </w:r>
            <w:r w:rsidR="00D45EDA" w:rsidRPr="00D45EDA">
              <w:rPr>
                <w:i/>
              </w:rPr>
              <w:t>dult</w:t>
            </w:r>
            <w:r>
              <w:rPr>
                <w:i/>
              </w:rPr>
              <w:t>s</w:t>
            </w:r>
          </w:p>
          <w:p w14:paraId="578CBE8B" w14:textId="6B775F17" w:rsidR="007A028B" w:rsidRPr="00487162" w:rsidRDefault="00D45EDA" w:rsidP="00D45EDA">
            <w:r>
              <w:t xml:space="preserve">750 to 1250 mg </w:t>
            </w:r>
            <w:proofErr w:type="spellStart"/>
            <w:r>
              <w:t>trientine</w:t>
            </w:r>
            <w:proofErr w:type="spellEnd"/>
            <w:r>
              <w:t xml:space="preserve"> dihydrochloride /day (3 to 5 capsules) given in divided doses two, three or four times daily. This may be increased to a maximum of 2000 mg/day for adults. The adult dosage in terms of </w:t>
            </w:r>
            <w:proofErr w:type="spellStart"/>
            <w:r>
              <w:t>trientine</w:t>
            </w:r>
            <w:proofErr w:type="spellEnd"/>
            <w:r>
              <w:t xml:space="preserve"> free base is from 500 to 833 mg/day up </w:t>
            </w:r>
            <w:r w:rsidR="007A028B">
              <w:t>to a maximum of 1333 mg/day.</w:t>
            </w:r>
          </w:p>
        </w:tc>
      </w:tr>
      <w:tr w:rsidR="00460036" w:rsidRPr="00487162" w14:paraId="18835317" w14:textId="77777777" w:rsidTr="00BF1190">
        <w:tc>
          <w:tcPr>
            <w:tcW w:w="2907" w:type="dxa"/>
          </w:tcPr>
          <w:p w14:paraId="626085D4" w14:textId="77777777" w:rsidR="00460036" w:rsidRPr="00487162" w:rsidRDefault="00460036" w:rsidP="00E45619">
            <w:pPr>
              <w:rPr>
                <w:i/>
              </w:rPr>
            </w:pPr>
            <w:r w:rsidRPr="00460036">
              <w:rPr>
                <w:i/>
              </w:rPr>
              <w:lastRenderedPageBreak/>
              <w:t>Pregnancy category</w:t>
            </w:r>
            <w:r>
              <w:rPr>
                <w:i/>
              </w:rPr>
              <w:t>:</w:t>
            </w:r>
          </w:p>
        </w:tc>
        <w:tc>
          <w:tcPr>
            <w:tcW w:w="6307" w:type="dxa"/>
          </w:tcPr>
          <w:p w14:paraId="79D4BFD5" w14:textId="77777777" w:rsidR="007A028B" w:rsidRDefault="007A028B" w:rsidP="00460036">
            <w:r>
              <w:t>D</w:t>
            </w:r>
          </w:p>
          <w:p w14:paraId="144F4208" w14:textId="72DC06AE" w:rsidR="007A028B" w:rsidRDefault="007A028B" w:rsidP="00460036">
            <w:r w:rsidRPr="007A028B">
              <w:t xml:space="preserve">Drugs which have caused, are suspected to have caused or may be expected to cause, an increased incidence of human </w:t>
            </w:r>
            <w:proofErr w:type="spellStart"/>
            <w:r w:rsidRPr="007A028B">
              <w:t>fetal</w:t>
            </w:r>
            <w:proofErr w:type="spellEnd"/>
            <w:r w:rsidRPr="007A028B">
              <w:t xml:space="preserve"> malformations or irreversible damage. These drugs may also have adverse pharmacological effects. Accompanying texts should be consulted for further details.</w:t>
            </w:r>
          </w:p>
          <w:p w14:paraId="50A301A7" w14:textId="49E9E60D" w:rsidR="00460036" w:rsidRPr="00487162" w:rsidRDefault="00460036" w:rsidP="00460036">
            <w:r>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w:t>
            </w:r>
            <w:r w:rsidR="007A028B">
              <w:t>ces in your State or Territory.</w:t>
            </w:r>
          </w:p>
        </w:tc>
      </w:tr>
    </w:tbl>
    <w:p w14:paraId="011750A8" w14:textId="77777777" w:rsidR="008E7846" w:rsidRDefault="008E7846" w:rsidP="005F795E">
      <w:pPr>
        <w:pStyle w:val="Heading3"/>
      </w:pPr>
      <w:bookmarkStart w:id="19" w:name="_Toc247691503"/>
      <w:bookmarkStart w:id="20" w:name="_Toc314842484"/>
      <w:bookmarkStart w:id="21" w:name="_Toc88670211"/>
      <w:r>
        <w:t xml:space="preserve">Product </w:t>
      </w:r>
      <w:r w:rsidRPr="005F795E">
        <w:t>background</w:t>
      </w:r>
      <w:bookmarkEnd w:id="19"/>
      <w:bookmarkEnd w:id="20"/>
      <w:bookmarkEnd w:id="21"/>
    </w:p>
    <w:p w14:paraId="767DF274" w14:textId="7472CB93" w:rsidR="008E7846" w:rsidRDefault="00250271" w:rsidP="005F795E">
      <w:r w:rsidRPr="00250271">
        <w:t xml:space="preserve">This </w:t>
      </w:r>
      <w:proofErr w:type="spellStart"/>
      <w:r w:rsidRPr="00250271">
        <w:t>AusPAR</w:t>
      </w:r>
      <w:proofErr w:type="spellEnd"/>
      <w:r w:rsidRPr="00250271">
        <w:t xml:space="preserve"> describes the application </w:t>
      </w:r>
      <w:r w:rsidR="007A028B">
        <w:t>by Dr Reddy’s Laboratories Australia Pty Ltd</w:t>
      </w:r>
      <w:r w:rsidRPr="00250271">
        <w:t xml:space="preserve"> (the sponsor) to register </w:t>
      </w:r>
      <w:proofErr w:type="spellStart"/>
      <w:r w:rsidR="00F54086">
        <w:t>Trientine</w:t>
      </w:r>
      <w:proofErr w:type="spellEnd"/>
      <w:r w:rsidR="00F54086">
        <w:t xml:space="preserve"> </w:t>
      </w:r>
      <w:proofErr w:type="spellStart"/>
      <w:proofErr w:type="gramStart"/>
      <w:r w:rsidR="00F54086">
        <w:t>Dr.Reddy's</w:t>
      </w:r>
      <w:proofErr w:type="spellEnd"/>
      <w:proofErr w:type="gramEnd"/>
      <w:r w:rsidR="00F54086">
        <w:t xml:space="preserve">, </w:t>
      </w:r>
      <w:proofErr w:type="spellStart"/>
      <w:r w:rsidR="00864EB3">
        <w:t>T</w:t>
      </w:r>
      <w:r w:rsidR="00F54086">
        <w:t>rientine</w:t>
      </w:r>
      <w:proofErr w:type="spellEnd"/>
      <w:r w:rsidR="00F54086">
        <w:t xml:space="preserve">-Reddy's, </w:t>
      </w:r>
      <w:proofErr w:type="spellStart"/>
      <w:r w:rsidR="00F54086">
        <w:t>Trientine</w:t>
      </w:r>
      <w:proofErr w:type="spellEnd"/>
      <w:r w:rsidR="00F54086">
        <w:t>-RZ</w:t>
      </w:r>
      <w:r w:rsidR="00864EB3">
        <w:t xml:space="preserve">, and </w:t>
      </w:r>
      <w:proofErr w:type="spellStart"/>
      <w:r w:rsidR="00864EB3">
        <w:t>Trientine</w:t>
      </w:r>
      <w:proofErr w:type="spellEnd"/>
      <w:r w:rsidR="00864EB3">
        <w:noBreakHyphen/>
      </w:r>
      <w:r w:rsidR="007A028B" w:rsidRPr="007A028B">
        <w:t xml:space="preserve">DRLA </w:t>
      </w:r>
      <w:r w:rsidRPr="00250271">
        <w:t>(</w:t>
      </w:r>
      <w:proofErr w:type="spellStart"/>
      <w:r w:rsidR="007A028B">
        <w:t>trientine</w:t>
      </w:r>
      <w:proofErr w:type="spellEnd"/>
      <w:r w:rsidR="007A028B">
        <w:t xml:space="preserve"> dihydrochloride) 250 mg capsules</w:t>
      </w:r>
      <w:r w:rsidRPr="00250271">
        <w:t xml:space="preserve"> for th</w:t>
      </w:r>
      <w:r w:rsidR="00357707">
        <w:t>e following proposed indication:</w:t>
      </w:r>
    </w:p>
    <w:p w14:paraId="6AB4ECB9" w14:textId="3AB1AA24" w:rsidR="00357707" w:rsidRDefault="00357707" w:rsidP="0072375D">
      <w:pPr>
        <w:keepLines/>
        <w:ind w:left="720"/>
        <w:rPr>
          <w:i/>
        </w:rPr>
      </w:pPr>
      <w:proofErr w:type="spellStart"/>
      <w:r w:rsidRPr="00357707">
        <w:rPr>
          <w:i/>
        </w:rPr>
        <w:lastRenderedPageBreak/>
        <w:t>Trientine</w:t>
      </w:r>
      <w:proofErr w:type="spellEnd"/>
      <w:r w:rsidRPr="00357707">
        <w:rPr>
          <w:i/>
        </w:rPr>
        <w:t xml:space="preserve"> dihydrochloride capsules are indicated in the treatment of patients with Wilson’s disease in adults, adolescents and children &gt; 5 years who are intolerant of penicillamine.</w:t>
      </w:r>
    </w:p>
    <w:p w14:paraId="66A935EE" w14:textId="7CB40121" w:rsidR="00357707" w:rsidRDefault="00357707" w:rsidP="005F795E">
      <w:r>
        <w:t>Wilson’s disease, also known as hepatolenticular degeneration, is an inherited autosomal recessive disorder in which defective cellular copper transportation leads to reduced biliary excretion of copper and accumulation of copper in tissues, initially in the liver, but also in the brain, kidneys and cornea (the latter</w:t>
      </w:r>
      <w:r w:rsidR="008A02FE">
        <w:t xml:space="preserve"> classically </w:t>
      </w:r>
      <w:r>
        <w:t>characterised by the appear</w:t>
      </w:r>
      <w:r w:rsidR="008A02FE">
        <w:t xml:space="preserve">ance </w:t>
      </w:r>
      <w:r>
        <w:t>Kayser-Fleischer rings</w:t>
      </w:r>
      <w:r w:rsidR="008A02FE">
        <w:t>, or dark rings that appear to encircle the iris, as a result of copper deposition</w:t>
      </w:r>
      <w:r>
        <w:t xml:space="preserve">). </w:t>
      </w:r>
      <w:r w:rsidR="008A02FE">
        <w:t>Wilson’s disease</w:t>
      </w:r>
      <w:r>
        <w:t xml:space="preserve"> is caused by mutations of the </w:t>
      </w:r>
      <w:r w:rsidRPr="008A02FE">
        <w:rPr>
          <w:i/>
        </w:rPr>
        <w:t>ATP7B</w:t>
      </w:r>
      <w:r>
        <w:t xml:space="preserve"> gene on chromosome 13, which encodes a copper-transporting ATPase (</w:t>
      </w:r>
      <w:r w:rsidR="008A02FE">
        <w:t xml:space="preserve">Wilson disease protein, also known as </w:t>
      </w:r>
      <w:r>
        <w:t>ATP7B) in the liver</w:t>
      </w:r>
      <w:r w:rsidR="008A02FE">
        <w:t xml:space="preserve">. </w:t>
      </w:r>
      <w:r>
        <w:t xml:space="preserve">The condition affects about 1 in 30,000 people and most commonly presents between the ages of </w:t>
      </w:r>
      <w:r w:rsidR="00F54086">
        <w:t>5</w:t>
      </w:r>
      <w:r>
        <w:t xml:space="preserve"> and 35 years, although it may be diagnosed at any age.</w:t>
      </w:r>
    </w:p>
    <w:p w14:paraId="0486EB38" w14:textId="6B263D08" w:rsidR="00357707" w:rsidRDefault="008A02FE" w:rsidP="005F795E">
      <w:r>
        <w:t>Wilson’s disease</w:t>
      </w:r>
      <w:r w:rsidR="00357707">
        <w:t xml:space="preserve"> requires lifelong treatment to remove excess copper deposits in the tissues and to</w:t>
      </w:r>
      <w:r>
        <w:t xml:space="preserve"> prevent </w:t>
      </w:r>
      <w:proofErr w:type="spellStart"/>
      <w:r>
        <w:t>reaccumulation</w:t>
      </w:r>
      <w:proofErr w:type="spellEnd"/>
      <w:r>
        <w:t xml:space="preserve">. </w:t>
      </w:r>
      <w:r w:rsidR="00357707">
        <w:t xml:space="preserve">Chelating agents, including D-penicillamine (penicillamine) and </w:t>
      </w:r>
      <w:proofErr w:type="spellStart"/>
      <w:r w:rsidR="00357707">
        <w:t>trientine</w:t>
      </w:r>
      <w:proofErr w:type="spellEnd"/>
      <w:r w:rsidR="00357707">
        <w:t>, have been used for many years to remove excess copper</w:t>
      </w:r>
      <w:r>
        <w:t xml:space="preserve">. </w:t>
      </w:r>
      <w:r w:rsidR="00357707">
        <w:t xml:space="preserve">Penicillamine has been used for the treatment of </w:t>
      </w:r>
      <w:r>
        <w:t>Wilson’s disease</w:t>
      </w:r>
      <w:r w:rsidR="00357707">
        <w:t xml:space="preserve"> since </w:t>
      </w:r>
      <w:proofErr w:type="gramStart"/>
      <w:r w:rsidR="00357707">
        <w:t>1956, and</w:t>
      </w:r>
      <w:proofErr w:type="gramEnd"/>
      <w:r w:rsidR="00357707">
        <w:t xml:space="preserve"> has been included on the </w:t>
      </w:r>
      <w:r>
        <w:t xml:space="preserve">Australian Register of Therapeutic Goods since 1994. </w:t>
      </w:r>
      <w:r w:rsidR="00357707">
        <w:t>Penicillamine has generally been used as the primary chelating agent, but its long-term use can be limited by adverse effects in about 30% of pat</w:t>
      </w:r>
      <w:r>
        <w:t xml:space="preserve">ients. </w:t>
      </w:r>
      <w:proofErr w:type="spellStart"/>
      <w:r w:rsidR="00357707">
        <w:t>Trientine</w:t>
      </w:r>
      <w:proofErr w:type="spellEnd"/>
      <w:r w:rsidR="00357707">
        <w:t xml:space="preserve"> was first registered in the </w:t>
      </w:r>
      <w:r>
        <w:t>United States of America (</w:t>
      </w:r>
      <w:r w:rsidR="00357707">
        <w:t>USA</w:t>
      </w:r>
      <w:r>
        <w:t>)</w:t>
      </w:r>
      <w:r w:rsidR="00357707">
        <w:t xml:space="preserve"> and </w:t>
      </w:r>
      <w:r>
        <w:t>United Kingdom (</w:t>
      </w:r>
      <w:r w:rsidR="00357707">
        <w:t>UK</w:t>
      </w:r>
      <w:r>
        <w:t>)</w:t>
      </w:r>
      <w:r w:rsidR="00357707">
        <w:t xml:space="preserve"> in </w:t>
      </w:r>
      <w:proofErr w:type="gramStart"/>
      <w:r w:rsidR="00357707">
        <w:t>1985, but</w:t>
      </w:r>
      <w:proofErr w:type="gramEnd"/>
      <w:r w:rsidR="00357707">
        <w:t xml:space="preserve"> has been in clinical use since 1969 as an alternative to penicillamine.</w:t>
      </w:r>
      <w:r>
        <w:t xml:space="preserve"> </w:t>
      </w:r>
      <w:r w:rsidR="00357707">
        <w:t xml:space="preserve">There are no controlled trials comparing these chelating agents, so their use is based mainly on observational data and clinical experience. Other treatment options for </w:t>
      </w:r>
      <w:r>
        <w:t>Wilson’s disease</w:t>
      </w:r>
      <w:r w:rsidR="00357707">
        <w:t xml:space="preserve"> include zinc and </w:t>
      </w:r>
      <w:proofErr w:type="spellStart"/>
      <w:r w:rsidR="00357707">
        <w:t>tetrathiomolybdate</w:t>
      </w:r>
      <w:proofErr w:type="spellEnd"/>
      <w:r w:rsidR="00357707">
        <w:t>.</w:t>
      </w:r>
    </w:p>
    <w:p w14:paraId="25092382" w14:textId="77777777" w:rsidR="008E7846" w:rsidRPr="003F31A2" w:rsidRDefault="00386150" w:rsidP="005F795E">
      <w:pPr>
        <w:pStyle w:val="Heading3"/>
      </w:pPr>
      <w:bookmarkStart w:id="22" w:name="_Toc314842485"/>
      <w:bookmarkStart w:id="23" w:name="_Toc247691504"/>
      <w:bookmarkStart w:id="24" w:name="_Toc88670212"/>
      <w:r w:rsidRPr="005F795E">
        <w:t>Regulatory</w:t>
      </w:r>
      <w:r>
        <w:t xml:space="preserve"> s</w:t>
      </w:r>
      <w:r w:rsidR="008E7846">
        <w:t>tatus</w:t>
      </w:r>
      <w:bookmarkEnd w:id="22"/>
      <w:bookmarkEnd w:id="23"/>
      <w:bookmarkEnd w:id="24"/>
    </w:p>
    <w:p w14:paraId="56C7649E" w14:textId="59DB79C1" w:rsidR="000D6CDD" w:rsidRDefault="000D6CDD" w:rsidP="005F795E">
      <w:pPr>
        <w:rPr>
          <w:i/>
        </w:rPr>
      </w:pPr>
      <w:bookmarkStart w:id="25" w:name="_Toc247691505"/>
      <w:bookmarkStart w:id="26" w:name="_Toc314842486"/>
      <w:r>
        <w:t>At the time the TGA accepted this</w:t>
      </w:r>
      <w:r w:rsidR="00F54086">
        <w:t xml:space="preserve"> submission</w:t>
      </w:r>
      <w:r>
        <w:t xml:space="preserve"> and evaluation of this submission commenced </w:t>
      </w:r>
      <w:proofErr w:type="spellStart"/>
      <w:r>
        <w:t>trientine</w:t>
      </w:r>
      <w:proofErr w:type="spellEnd"/>
      <w:r>
        <w:t> </w:t>
      </w:r>
      <w:r w:rsidR="00864EB3">
        <w:t xml:space="preserve">dihydrochloride </w:t>
      </w:r>
      <w:r w:rsidR="00F54086">
        <w:t>had not</w:t>
      </w:r>
      <w:r>
        <w:t xml:space="preserve"> been approved by the TGA, and no products containing </w:t>
      </w:r>
      <w:proofErr w:type="spellStart"/>
      <w:r>
        <w:t>trientine</w:t>
      </w:r>
      <w:proofErr w:type="spellEnd"/>
      <w:r>
        <w:t xml:space="preserve"> dihydrochloride</w:t>
      </w:r>
      <w:r w:rsidR="00F54086">
        <w:t xml:space="preserve"> </w:t>
      </w:r>
      <w:r>
        <w:t xml:space="preserve">had </w:t>
      </w:r>
      <w:r w:rsidR="00F54086">
        <w:t xml:space="preserve">been </w:t>
      </w:r>
      <w:r w:rsidR="008A02FE" w:rsidRPr="008A02FE">
        <w:t xml:space="preserve">registered </w:t>
      </w:r>
      <w:r w:rsidR="004015F3">
        <w:t>on the Australian Register of Therapeutic Good</w:t>
      </w:r>
      <w:r w:rsidR="00864EB3">
        <w:t>s (AR</w:t>
      </w:r>
      <w:r w:rsidR="00F54086">
        <w:t>TG)</w:t>
      </w:r>
      <w:r>
        <w:t>.</w:t>
      </w:r>
    </w:p>
    <w:p w14:paraId="488E3BC5" w14:textId="2E456E2D" w:rsidR="000D6CDD" w:rsidRPr="00344550" w:rsidRDefault="002C4EE8" w:rsidP="005F795E">
      <w:r>
        <w:t>Despite never having been registered on the ARTG, h</w:t>
      </w:r>
      <w:r w:rsidR="000D6CDD" w:rsidRPr="00344550">
        <w:t xml:space="preserve">istorically, the supply of 250 mg formulations of </w:t>
      </w:r>
      <w:proofErr w:type="spellStart"/>
      <w:r w:rsidR="000D6CDD" w:rsidRPr="00344550">
        <w:t>trientine</w:t>
      </w:r>
      <w:proofErr w:type="spellEnd"/>
      <w:r w:rsidR="000D6CDD" w:rsidRPr="00344550">
        <w:t xml:space="preserve"> to patients with Wilson’s disease has been facilitated through the Special Access Scheme (SAS) for many years</w:t>
      </w:r>
      <w:bookmarkStart w:id="27" w:name="_Ref83582062"/>
      <w:r w:rsidR="000D6CDD">
        <w:t>.</w:t>
      </w:r>
      <w:r w:rsidR="000D6CDD">
        <w:rPr>
          <w:rStyle w:val="FootnoteReference"/>
          <w:i/>
        </w:rPr>
        <w:footnoteReference w:id="2"/>
      </w:r>
      <w:bookmarkEnd w:id="27"/>
    </w:p>
    <w:p w14:paraId="2CCD260F" w14:textId="0C6711F5" w:rsidR="000D6CDD" w:rsidRPr="000D6CDD" w:rsidRDefault="002C4EE8" w:rsidP="005F795E">
      <w:r>
        <w:t>On 9 October 2019,</w:t>
      </w:r>
      <w:r w:rsidR="000D6CDD">
        <w:t xml:space="preserve"> </w:t>
      </w:r>
      <w:r>
        <w:t xml:space="preserve">the </w:t>
      </w:r>
      <w:r w:rsidR="000D6CDD">
        <w:t>TGA</w:t>
      </w:r>
      <w:r>
        <w:t xml:space="preserve"> approved an application by the sponsor for orphan designation and</w:t>
      </w:r>
      <w:r w:rsidR="000D6CDD">
        <w:t xml:space="preserve"> designated </w:t>
      </w:r>
      <w:proofErr w:type="spellStart"/>
      <w:r w:rsidR="000D6CDD">
        <w:t>t</w:t>
      </w:r>
      <w:r w:rsidR="000D6CDD" w:rsidRPr="00344550">
        <w:t>rientine</w:t>
      </w:r>
      <w:proofErr w:type="spellEnd"/>
      <w:r w:rsidR="000D6CDD" w:rsidRPr="00344550">
        <w:t xml:space="preserve"> dihydrochloride as an orphan drug for the treatment of Wilson’s disease on 9 October 2019.</w:t>
      </w:r>
      <w:bookmarkStart w:id="28" w:name="_Ref84601533"/>
      <w:r>
        <w:rPr>
          <w:rStyle w:val="FootnoteReference"/>
        </w:rPr>
        <w:footnoteReference w:id="3"/>
      </w:r>
      <w:bookmarkEnd w:id="28"/>
    </w:p>
    <w:p w14:paraId="2761254B" w14:textId="0D4463F8" w:rsidR="00864EB3" w:rsidRDefault="000D6CDD" w:rsidP="005F795E">
      <w:pPr>
        <w:rPr>
          <w:i/>
        </w:rPr>
      </w:pPr>
      <w:r>
        <w:lastRenderedPageBreak/>
        <w:t xml:space="preserve">During the evaluation of this submission, a similar </w:t>
      </w:r>
      <w:proofErr w:type="gramStart"/>
      <w:r>
        <w:t>literature based</w:t>
      </w:r>
      <w:proofErr w:type="gramEnd"/>
      <w:r>
        <w:t xml:space="preserve"> submission for</w:t>
      </w:r>
      <w:r w:rsidR="00864EB3">
        <w:t xml:space="preserve"> </w:t>
      </w:r>
      <w:proofErr w:type="spellStart"/>
      <w:r w:rsidR="00864EB3">
        <w:t>trientine</w:t>
      </w:r>
      <w:proofErr w:type="spellEnd"/>
      <w:r w:rsidR="00864EB3">
        <w:t xml:space="preserve"> dihydrochloride, with the product name </w:t>
      </w:r>
      <w:proofErr w:type="spellStart"/>
      <w:r w:rsidR="00864EB3">
        <w:t>Trientine</w:t>
      </w:r>
      <w:proofErr w:type="spellEnd"/>
      <w:r w:rsidR="00864EB3">
        <w:t xml:space="preserve"> </w:t>
      </w:r>
      <w:proofErr w:type="spellStart"/>
      <w:r w:rsidR="00864EB3">
        <w:t>Waymade</w:t>
      </w:r>
      <w:proofErr w:type="spellEnd"/>
      <w:r w:rsidR="00864EB3">
        <w:t xml:space="preserve">, and was registered </w:t>
      </w:r>
      <w:r w:rsidR="00DB4657">
        <w:t>on the ARTG in January 2021.</w:t>
      </w:r>
      <w:r w:rsidR="00DB4657">
        <w:rPr>
          <w:rStyle w:val="FootnoteReference"/>
        </w:rPr>
        <w:footnoteReference w:id="4"/>
      </w:r>
    </w:p>
    <w:p w14:paraId="7F87552F" w14:textId="17B5909B" w:rsidR="00CE17A8" w:rsidRDefault="00CE17A8" w:rsidP="005F795E">
      <w:pPr>
        <w:pStyle w:val="Heading4"/>
      </w:pPr>
      <w:r>
        <w:t xml:space="preserve">Overseas regulatory </w:t>
      </w:r>
      <w:r w:rsidRPr="005F795E">
        <w:t>status</w:t>
      </w:r>
    </w:p>
    <w:p w14:paraId="2B795889" w14:textId="0CCBFAF5" w:rsidR="00C84FF8" w:rsidRDefault="00C84FF8" w:rsidP="005F795E">
      <w:pPr>
        <w:pStyle w:val="Heading5"/>
      </w:pPr>
      <w:r>
        <w:t xml:space="preserve">United </w:t>
      </w:r>
      <w:r w:rsidRPr="005F795E">
        <w:t>States</w:t>
      </w:r>
      <w:r>
        <w:t xml:space="preserve"> of America</w:t>
      </w:r>
    </w:p>
    <w:p w14:paraId="4CD1A820" w14:textId="606B46F2" w:rsidR="00CE17A8" w:rsidRDefault="00CE17A8" w:rsidP="005F795E">
      <w:pPr>
        <w:rPr>
          <w:lang w:val="en-US"/>
        </w:rPr>
      </w:pPr>
      <w:proofErr w:type="spellStart"/>
      <w:r>
        <w:rPr>
          <w:lang w:val="en-US"/>
        </w:rPr>
        <w:t>Syprine</w:t>
      </w:r>
      <w:proofErr w:type="spellEnd"/>
      <w:r>
        <w:rPr>
          <w:lang w:val="en-US"/>
        </w:rPr>
        <w:t xml:space="preserve"> (</w:t>
      </w:r>
      <w:proofErr w:type="spellStart"/>
      <w:r>
        <w:rPr>
          <w:lang w:val="en-US"/>
        </w:rPr>
        <w:t>trientine</w:t>
      </w:r>
      <w:proofErr w:type="spellEnd"/>
      <w:r>
        <w:rPr>
          <w:lang w:val="en-US"/>
        </w:rPr>
        <w:t xml:space="preserve"> hydrochloride 250 mg capsules)</w:t>
      </w:r>
      <w:r w:rsidR="00C84FF8">
        <w:rPr>
          <w:lang w:val="en-US"/>
        </w:rPr>
        <w:t>;</w:t>
      </w:r>
      <w:r>
        <w:rPr>
          <w:rStyle w:val="FootnoteReference"/>
          <w:lang w:val="en-US"/>
        </w:rPr>
        <w:footnoteReference w:id="5"/>
      </w:r>
      <w:r>
        <w:rPr>
          <w:lang w:val="en-US"/>
        </w:rPr>
        <w:t xml:space="preserve"> was registered </w:t>
      </w:r>
      <w:r w:rsidR="002C099F">
        <w:rPr>
          <w:lang w:val="en-US"/>
        </w:rPr>
        <w:t>in the USA on 8 </w:t>
      </w:r>
      <w:r>
        <w:rPr>
          <w:lang w:val="en-US"/>
        </w:rPr>
        <w:t>November 1985.</w:t>
      </w:r>
      <w:r w:rsidR="00C84FF8">
        <w:rPr>
          <w:lang w:val="en-US"/>
        </w:rPr>
        <w:t xml:space="preserve"> </w:t>
      </w:r>
      <w:r>
        <w:rPr>
          <w:lang w:val="en-US"/>
        </w:rPr>
        <w:t xml:space="preserve">Dr Reddy’s </w:t>
      </w:r>
      <w:proofErr w:type="spellStart"/>
      <w:r>
        <w:rPr>
          <w:lang w:val="en-US"/>
        </w:rPr>
        <w:t>Trientine</w:t>
      </w:r>
      <w:proofErr w:type="spellEnd"/>
      <w:r>
        <w:rPr>
          <w:lang w:val="en-US"/>
        </w:rPr>
        <w:t xml:space="preserve"> Hydrochloride Capsules USP 250 mg were registere</w:t>
      </w:r>
      <w:r w:rsidR="00C84FF8">
        <w:rPr>
          <w:lang w:val="en-US"/>
        </w:rPr>
        <w:t>d in the USA</w:t>
      </w:r>
      <w:r>
        <w:rPr>
          <w:lang w:val="en-US"/>
        </w:rPr>
        <w:t xml:space="preserve"> </w:t>
      </w:r>
      <w:r w:rsidR="00C84FF8">
        <w:rPr>
          <w:lang w:val="en-US"/>
        </w:rPr>
        <w:t>on 7 </w:t>
      </w:r>
      <w:r>
        <w:rPr>
          <w:lang w:val="en-US"/>
        </w:rPr>
        <w:t xml:space="preserve">March 2019 as a generic of </w:t>
      </w:r>
      <w:proofErr w:type="spellStart"/>
      <w:r>
        <w:rPr>
          <w:lang w:val="en-US"/>
        </w:rPr>
        <w:t>Syprine</w:t>
      </w:r>
      <w:proofErr w:type="spellEnd"/>
      <w:r w:rsidR="00C84FF8">
        <w:rPr>
          <w:lang w:val="en-US"/>
        </w:rPr>
        <w:t xml:space="preserve">. </w:t>
      </w:r>
      <w:r w:rsidR="002C099F">
        <w:rPr>
          <w:lang w:val="en-US"/>
        </w:rPr>
        <w:t>A</w:t>
      </w:r>
      <w:r>
        <w:rPr>
          <w:lang w:val="en-US"/>
        </w:rPr>
        <w:t xml:space="preserve"> bioequivalence study </w:t>
      </w:r>
      <w:r w:rsidR="002C099F">
        <w:rPr>
          <w:lang w:val="en-US"/>
        </w:rPr>
        <w:t xml:space="preserve">was </w:t>
      </w:r>
      <w:r>
        <w:rPr>
          <w:lang w:val="en-US"/>
        </w:rPr>
        <w:t>used to support registration is presented</w:t>
      </w:r>
      <w:r w:rsidR="00C84FF8">
        <w:rPr>
          <w:lang w:val="en-US"/>
        </w:rPr>
        <w:t xml:space="preserve"> in the Australian dossier. </w:t>
      </w:r>
      <w:r w:rsidR="00344550">
        <w:rPr>
          <w:lang w:val="en-US"/>
        </w:rPr>
        <w:t>The US</w:t>
      </w:r>
      <w:r>
        <w:rPr>
          <w:lang w:val="en-US"/>
        </w:rPr>
        <w:t xml:space="preserve"> indication is:</w:t>
      </w:r>
    </w:p>
    <w:p w14:paraId="485ECD1C" w14:textId="77777777" w:rsidR="00C84FF8" w:rsidRDefault="00CE17A8" w:rsidP="00C84FF8">
      <w:pPr>
        <w:ind w:left="720"/>
        <w:rPr>
          <w:i/>
        </w:rPr>
      </w:pPr>
      <w:proofErr w:type="spellStart"/>
      <w:r w:rsidRPr="00C84FF8">
        <w:rPr>
          <w:i/>
        </w:rPr>
        <w:t>Trientine</w:t>
      </w:r>
      <w:proofErr w:type="spellEnd"/>
      <w:r w:rsidRPr="00C84FF8">
        <w:rPr>
          <w:i/>
        </w:rPr>
        <w:t xml:space="preserve"> hydrochloride capsules are indicated in the treatment of patients with Wilson's disease who are intolerant of penicillamine. Clinical experience with </w:t>
      </w:r>
      <w:proofErr w:type="spellStart"/>
      <w:r w:rsidRPr="00C84FF8">
        <w:rPr>
          <w:i/>
        </w:rPr>
        <w:t>trientine</w:t>
      </w:r>
      <w:proofErr w:type="spellEnd"/>
      <w:r w:rsidRPr="00C84FF8">
        <w:rPr>
          <w:i/>
        </w:rPr>
        <w:t xml:space="preserve"> hydrochloride is limited and alternate dosing regimens have not been well-characterized; all endpoints in determining an individual patient's dose have not been well defined. </w:t>
      </w:r>
      <w:proofErr w:type="spellStart"/>
      <w:r w:rsidRPr="00C84FF8">
        <w:rPr>
          <w:i/>
        </w:rPr>
        <w:t>Trientine</w:t>
      </w:r>
      <w:proofErr w:type="spellEnd"/>
      <w:r w:rsidRPr="00C84FF8">
        <w:rPr>
          <w:i/>
        </w:rPr>
        <w:t xml:space="preserve"> hydrochloride and penicillamine cannot be considered interchangeable. </w:t>
      </w:r>
      <w:proofErr w:type="spellStart"/>
      <w:r w:rsidRPr="00C84FF8">
        <w:rPr>
          <w:i/>
        </w:rPr>
        <w:t>Trientine</w:t>
      </w:r>
      <w:proofErr w:type="spellEnd"/>
      <w:r w:rsidRPr="00C84FF8">
        <w:rPr>
          <w:i/>
        </w:rPr>
        <w:t xml:space="preserve"> hydrochloride capsules should be used when continued treatment with penicillamine is no longer possible because of intolerable or</w:t>
      </w:r>
      <w:r w:rsidR="00C84FF8">
        <w:rPr>
          <w:i/>
        </w:rPr>
        <w:t xml:space="preserve"> life endangering side effects.</w:t>
      </w:r>
    </w:p>
    <w:p w14:paraId="526F5D50" w14:textId="4576CC6C" w:rsidR="00C84FF8" w:rsidRDefault="00CE17A8" w:rsidP="00C84FF8">
      <w:pPr>
        <w:ind w:left="720"/>
        <w:rPr>
          <w:i/>
        </w:rPr>
      </w:pPr>
      <w:r w:rsidRPr="00C84FF8">
        <w:rPr>
          <w:i/>
        </w:rPr>
        <w:t xml:space="preserve">Unlike penicillamine, </w:t>
      </w:r>
      <w:proofErr w:type="spellStart"/>
      <w:r w:rsidRPr="00C84FF8">
        <w:rPr>
          <w:i/>
        </w:rPr>
        <w:t>trientine</w:t>
      </w:r>
      <w:proofErr w:type="spellEnd"/>
      <w:r w:rsidRPr="00C84FF8">
        <w:rPr>
          <w:i/>
        </w:rPr>
        <w:t xml:space="preserve"> hydrochloride capsules are not recommended in cystinuria or rheumatoid arthritis. The absence of a sulfhydryl moiety renders it incapable of binding cysteine and, therefore, it is of no use in cystinuria. In 15</w:t>
      </w:r>
      <w:r w:rsidR="003F3DCD">
        <w:rPr>
          <w:i/>
        </w:rPr>
        <w:t> </w:t>
      </w:r>
      <w:r w:rsidRPr="00C84FF8">
        <w:rPr>
          <w:i/>
        </w:rPr>
        <w:t xml:space="preserve">patients with rheumatoid arthritis, </w:t>
      </w:r>
      <w:proofErr w:type="spellStart"/>
      <w:r w:rsidRPr="00C84FF8">
        <w:rPr>
          <w:i/>
        </w:rPr>
        <w:t>trientine</w:t>
      </w:r>
      <w:proofErr w:type="spellEnd"/>
      <w:r w:rsidRPr="00C84FF8">
        <w:rPr>
          <w:i/>
        </w:rPr>
        <w:t xml:space="preserve"> hydrochloride was reported not to be effective in improving any clinical or biochemical paramet</w:t>
      </w:r>
      <w:r w:rsidR="00C84FF8">
        <w:rPr>
          <w:i/>
        </w:rPr>
        <w:t>er after 12 weeks of treatment.</w:t>
      </w:r>
    </w:p>
    <w:p w14:paraId="222BAC44" w14:textId="03C5B2F7" w:rsidR="00CE17A8" w:rsidRPr="00C84FF8" w:rsidRDefault="00CE17A8" w:rsidP="00C84FF8">
      <w:pPr>
        <w:ind w:left="720"/>
        <w:rPr>
          <w:i/>
        </w:rPr>
      </w:pPr>
      <w:proofErr w:type="spellStart"/>
      <w:r w:rsidRPr="00C84FF8">
        <w:rPr>
          <w:i/>
        </w:rPr>
        <w:t>Trientine</w:t>
      </w:r>
      <w:proofErr w:type="spellEnd"/>
      <w:r w:rsidRPr="00C84FF8">
        <w:rPr>
          <w:i/>
        </w:rPr>
        <w:t xml:space="preserve"> hydrochloride capsules are not indicated for treatment of biliary cirrhosis.</w:t>
      </w:r>
    </w:p>
    <w:p w14:paraId="007C81FA" w14:textId="6E076F1B" w:rsidR="00CE17A8" w:rsidRDefault="002C099F" w:rsidP="00CE17A8">
      <w:pPr>
        <w:rPr>
          <w:lang w:val="en-US"/>
        </w:rPr>
      </w:pPr>
      <w:r>
        <w:rPr>
          <w:lang w:val="en-US"/>
        </w:rPr>
        <w:t xml:space="preserve">At the time of this submission, </w:t>
      </w:r>
      <w:r w:rsidR="00CE17A8">
        <w:rPr>
          <w:lang w:val="en-US"/>
        </w:rPr>
        <w:t xml:space="preserve">Dr Reddy’s </w:t>
      </w:r>
      <w:proofErr w:type="spellStart"/>
      <w:r w:rsidR="00CE17A8">
        <w:rPr>
          <w:lang w:val="en-US"/>
        </w:rPr>
        <w:t>Trientine</w:t>
      </w:r>
      <w:proofErr w:type="spellEnd"/>
      <w:r w:rsidR="00CE17A8">
        <w:rPr>
          <w:lang w:val="en-US"/>
        </w:rPr>
        <w:t xml:space="preserve"> Hydrochloride Capsules USP 250 mg are not registered in any other country/region</w:t>
      </w:r>
      <w:r w:rsidR="00C84FF8">
        <w:rPr>
          <w:lang w:val="en-US"/>
        </w:rPr>
        <w:t>.</w:t>
      </w:r>
    </w:p>
    <w:p w14:paraId="21B40C3E" w14:textId="43B7C246" w:rsidR="00C84FF8" w:rsidRDefault="00C84FF8" w:rsidP="00C84FF8">
      <w:pPr>
        <w:pStyle w:val="Heading5"/>
        <w:rPr>
          <w:lang w:val="en-US"/>
        </w:rPr>
      </w:pPr>
      <w:r>
        <w:rPr>
          <w:lang w:val="en-US"/>
        </w:rPr>
        <w:t>European Union and United Kingdom</w:t>
      </w:r>
    </w:p>
    <w:p w14:paraId="089036F5" w14:textId="5942EBC8" w:rsidR="00CE17A8" w:rsidRPr="00CE17A8" w:rsidRDefault="00CE17A8" w:rsidP="00CE17A8">
      <w:r w:rsidRPr="00344550">
        <w:t xml:space="preserve">Other </w:t>
      </w:r>
      <w:proofErr w:type="spellStart"/>
      <w:r w:rsidRPr="00344550">
        <w:t>trientine</w:t>
      </w:r>
      <w:proofErr w:type="spellEnd"/>
      <w:r w:rsidRPr="00344550">
        <w:t xml:space="preserve"> products have marketing authorisation in Europe and the UK, including </w:t>
      </w:r>
      <w:proofErr w:type="spellStart"/>
      <w:r w:rsidRPr="00344550">
        <w:t>trientine</w:t>
      </w:r>
      <w:proofErr w:type="spellEnd"/>
      <w:r w:rsidRPr="00344550">
        <w:t xml:space="preserve"> dihydrochloride 300 mg capsules by Univar Solutions BV which have been registered in the UK since 1985, and </w:t>
      </w:r>
      <w:proofErr w:type="spellStart"/>
      <w:r w:rsidRPr="00344550">
        <w:t>trientine</w:t>
      </w:r>
      <w:proofErr w:type="spellEnd"/>
      <w:r w:rsidRPr="00344550">
        <w:t xml:space="preserve"> dihydrochloride 300 mg capsules (</w:t>
      </w:r>
      <w:r w:rsidR="00344550">
        <w:t xml:space="preserve">product name, </w:t>
      </w:r>
      <w:proofErr w:type="spellStart"/>
      <w:r w:rsidRPr="00344550">
        <w:t>Cufence</w:t>
      </w:r>
      <w:proofErr w:type="spellEnd"/>
      <w:r w:rsidRPr="00344550">
        <w:t>) which were registered in Europe in 2019</w:t>
      </w:r>
      <w:r>
        <w:rPr>
          <w:lang w:val="en-US"/>
        </w:rPr>
        <w:t>.</w:t>
      </w:r>
    </w:p>
    <w:p w14:paraId="426A5236" w14:textId="77777777" w:rsidR="008E7846" w:rsidRDefault="008E7846" w:rsidP="00940A89">
      <w:pPr>
        <w:pStyle w:val="Heading3"/>
      </w:pPr>
      <w:bookmarkStart w:id="29" w:name="_Toc88670213"/>
      <w:r>
        <w:t>Product Information</w:t>
      </w:r>
      <w:bookmarkEnd w:id="25"/>
      <w:bookmarkEnd w:id="26"/>
      <w:bookmarkEnd w:id="29"/>
    </w:p>
    <w:p w14:paraId="03E0C25B" w14:textId="085719AB" w:rsidR="00940A89" w:rsidRDefault="006136D7" w:rsidP="00940A89">
      <w:bookmarkStart w:id="30" w:name="_Toc247691506"/>
      <w:bookmarkStart w:id="31" w:name="_Toc314842487"/>
      <w:r w:rsidRPr="00940A89">
        <w:t xml:space="preserve">The Product Information (PI) </w:t>
      </w:r>
      <w:r>
        <w:t xml:space="preserve">approved with the submission which is described in </w:t>
      </w:r>
      <w:r w:rsidRPr="00940A89">
        <w:t xml:space="preserve">this </w:t>
      </w:r>
      <w:proofErr w:type="spellStart"/>
      <w:r w:rsidRPr="00940A89">
        <w:t>AusPAR</w:t>
      </w:r>
      <w:proofErr w:type="spellEnd"/>
      <w:r w:rsidRPr="00940A89">
        <w:t xml:space="preserve"> can be found as Attachment 1. For the most recent </w:t>
      </w:r>
      <w:r>
        <w:t>PI,</w:t>
      </w:r>
      <w:r w:rsidRPr="00940A89">
        <w:t xml:space="preserve"> ple</w:t>
      </w:r>
      <w:r>
        <w:t>ase refer to the TGA website</w:t>
      </w:r>
      <w:r w:rsidRPr="00441C3F">
        <w:t xml:space="preserve"> at </w:t>
      </w:r>
      <w:r w:rsidR="00441C3F" w:rsidRPr="00441C3F">
        <w:t>&lt;</w:t>
      </w:r>
      <w:hyperlink r:id="rId13" w:history="1">
        <w:r w:rsidR="00441C3F" w:rsidRPr="00441C3F">
          <w:rPr>
            <w:rStyle w:val="Hyperlink"/>
          </w:rPr>
          <w:t>https://www.tga.gov.au/product-information-pi</w:t>
        </w:r>
      </w:hyperlink>
      <w:r w:rsidR="00441C3F">
        <w:t>&gt;</w:t>
      </w:r>
      <w:r w:rsidR="00940A89" w:rsidRPr="00940A89">
        <w:t>.</w:t>
      </w:r>
    </w:p>
    <w:p w14:paraId="12462AAE" w14:textId="77777777" w:rsidR="00500337" w:rsidRDefault="00500337" w:rsidP="00500337">
      <w:pPr>
        <w:pStyle w:val="Heading2"/>
      </w:pPr>
      <w:bookmarkStart w:id="32" w:name="_Toc504480011"/>
      <w:bookmarkStart w:id="33" w:name="_Toc88670214"/>
      <w:r>
        <w:t>II. Registration timeline</w:t>
      </w:r>
      <w:bookmarkEnd w:id="32"/>
      <w:bookmarkEnd w:id="33"/>
    </w:p>
    <w:p w14:paraId="28E01F8B" w14:textId="77777777" w:rsidR="00500337" w:rsidRDefault="00500337" w:rsidP="005F795E">
      <w:r>
        <w:t xml:space="preserve">The following table captures the key steps and dates for this </w:t>
      </w:r>
      <w:proofErr w:type="gramStart"/>
      <w:r>
        <w:t>application</w:t>
      </w:r>
      <w:proofErr w:type="gramEnd"/>
      <w:r>
        <w:t xml:space="preserve"> and which are detailed and discussed in this </w:t>
      </w:r>
      <w:proofErr w:type="spellStart"/>
      <w:r>
        <w:t>AusPAR</w:t>
      </w:r>
      <w:proofErr w:type="spellEnd"/>
      <w:r>
        <w:t>.</w:t>
      </w:r>
    </w:p>
    <w:p w14:paraId="09CD4E84" w14:textId="3036137A" w:rsidR="00344550" w:rsidRDefault="00344550" w:rsidP="00344550">
      <w:pPr>
        <w:pStyle w:val="TableTitle"/>
      </w:pPr>
      <w:r>
        <w:lastRenderedPageBreak/>
        <w:t xml:space="preserve">Table </w:t>
      </w:r>
      <w:fldSimple w:instr=" SEQ Table \* ARABIC ">
        <w:r w:rsidR="005906D0">
          <w:rPr>
            <w:noProof/>
          </w:rPr>
          <w:t>1</w:t>
        </w:r>
      </w:fldSimple>
      <w:r>
        <w:t xml:space="preserve">: </w:t>
      </w:r>
      <w:r w:rsidRPr="006A58A8">
        <w:t>Timeline for Submission PM-20</w:t>
      </w:r>
      <w:r>
        <w:t>20-00155-1-3</w:t>
      </w:r>
    </w:p>
    <w:tbl>
      <w:tblPr>
        <w:tblStyle w:val="TableTGAblue"/>
        <w:tblW w:w="0" w:type="auto"/>
        <w:tblLook w:val="04A0" w:firstRow="1" w:lastRow="0" w:firstColumn="1" w:lastColumn="0" w:noHBand="0" w:noVBand="1"/>
      </w:tblPr>
      <w:tblGrid>
        <w:gridCol w:w="4585"/>
        <w:gridCol w:w="3909"/>
      </w:tblGrid>
      <w:tr w:rsidR="00500337" w14:paraId="48BA3526" w14:textId="77777777" w:rsidTr="006968BA">
        <w:trPr>
          <w:cnfStyle w:val="100000000000" w:firstRow="1" w:lastRow="0" w:firstColumn="0" w:lastColumn="0" w:oddVBand="0" w:evenVBand="0" w:oddHBand="0" w:evenHBand="0" w:firstRowFirstColumn="0" w:firstRowLastColumn="0" w:lastRowFirstColumn="0" w:lastRowLastColumn="0"/>
          <w:cantSplit/>
        </w:trPr>
        <w:tc>
          <w:tcPr>
            <w:tcW w:w="4585" w:type="dxa"/>
            <w:tcBorders>
              <w:top w:val="single" w:sz="4" w:space="0" w:color="auto"/>
              <w:left w:val="single" w:sz="4" w:space="0" w:color="auto"/>
              <w:bottom w:val="single" w:sz="4" w:space="0" w:color="auto"/>
              <w:right w:val="single" w:sz="4" w:space="0" w:color="auto"/>
            </w:tcBorders>
          </w:tcPr>
          <w:p w14:paraId="40F27EAE" w14:textId="77777777" w:rsidR="00500337" w:rsidRDefault="00500337" w:rsidP="00500337">
            <w:pPr>
              <w:ind w:left="0" w:right="0"/>
            </w:pPr>
            <w:r>
              <w:t>Description</w:t>
            </w:r>
          </w:p>
        </w:tc>
        <w:tc>
          <w:tcPr>
            <w:tcW w:w="3909" w:type="dxa"/>
            <w:tcBorders>
              <w:top w:val="single" w:sz="4" w:space="0" w:color="auto"/>
              <w:left w:val="single" w:sz="4" w:space="0" w:color="auto"/>
              <w:bottom w:val="single" w:sz="4" w:space="0" w:color="auto"/>
              <w:right w:val="single" w:sz="4" w:space="0" w:color="auto"/>
            </w:tcBorders>
          </w:tcPr>
          <w:p w14:paraId="31F2BFF0" w14:textId="77777777" w:rsidR="00500337" w:rsidRDefault="00500337" w:rsidP="00500337">
            <w:pPr>
              <w:ind w:left="0" w:right="0"/>
            </w:pPr>
            <w:r>
              <w:t>Date</w:t>
            </w:r>
          </w:p>
        </w:tc>
      </w:tr>
      <w:tr w:rsidR="00500337" w14:paraId="21B36AC8" w14:textId="77777777" w:rsidTr="006968BA">
        <w:tc>
          <w:tcPr>
            <w:tcW w:w="4585" w:type="dxa"/>
            <w:tcBorders>
              <w:top w:val="single" w:sz="4" w:space="0" w:color="auto"/>
            </w:tcBorders>
          </w:tcPr>
          <w:p w14:paraId="2A95E047" w14:textId="0332F1E3" w:rsidR="00500337" w:rsidRDefault="00500337" w:rsidP="00344550">
            <w:pPr>
              <w:ind w:left="0" w:right="0"/>
            </w:pPr>
            <w:r>
              <w:t>Designation (Orphan)</w:t>
            </w:r>
            <w:r w:rsidR="00F45B8E">
              <w:t>;</w:t>
            </w:r>
            <w:r w:rsidR="00F45B8E" w:rsidRPr="0051685A">
              <w:rPr>
                <w:vertAlign w:val="superscript"/>
              </w:rPr>
              <w:fldChar w:fldCharType="begin"/>
            </w:r>
            <w:r w:rsidR="00F45B8E" w:rsidRPr="0051685A">
              <w:rPr>
                <w:vertAlign w:val="superscript"/>
              </w:rPr>
              <w:instrText xml:space="preserve"> NOTEREF _Ref84601533 \h </w:instrText>
            </w:r>
            <w:r w:rsidR="00F45B8E">
              <w:rPr>
                <w:vertAlign w:val="superscript"/>
              </w:rPr>
              <w:instrText xml:space="preserve"> \* MERGEFORMAT </w:instrText>
            </w:r>
            <w:r w:rsidR="00F45B8E" w:rsidRPr="0051685A">
              <w:rPr>
                <w:vertAlign w:val="superscript"/>
              </w:rPr>
            </w:r>
            <w:r w:rsidR="00F45B8E" w:rsidRPr="0051685A">
              <w:rPr>
                <w:vertAlign w:val="superscript"/>
              </w:rPr>
              <w:fldChar w:fldCharType="separate"/>
            </w:r>
            <w:r w:rsidR="005906D0">
              <w:rPr>
                <w:vertAlign w:val="superscript"/>
              </w:rPr>
              <w:t>3</w:t>
            </w:r>
            <w:r w:rsidR="00F45B8E" w:rsidRPr="0051685A">
              <w:rPr>
                <w:vertAlign w:val="superscript"/>
              </w:rPr>
              <w:fldChar w:fldCharType="end"/>
            </w:r>
          </w:p>
        </w:tc>
        <w:tc>
          <w:tcPr>
            <w:tcW w:w="3909" w:type="dxa"/>
            <w:tcBorders>
              <w:top w:val="single" w:sz="4" w:space="0" w:color="auto"/>
            </w:tcBorders>
          </w:tcPr>
          <w:p w14:paraId="52C9C5BB" w14:textId="0778407E" w:rsidR="00500337" w:rsidRDefault="006968BA" w:rsidP="00500337">
            <w:pPr>
              <w:ind w:left="0" w:right="0"/>
            </w:pPr>
            <w:r>
              <w:t>9 October 2019</w:t>
            </w:r>
          </w:p>
        </w:tc>
      </w:tr>
      <w:tr w:rsidR="00500337" w14:paraId="62220F52" w14:textId="77777777" w:rsidTr="006968BA">
        <w:tc>
          <w:tcPr>
            <w:tcW w:w="4585" w:type="dxa"/>
          </w:tcPr>
          <w:p w14:paraId="7B1437F2" w14:textId="77777777" w:rsidR="00500337" w:rsidRDefault="00500337" w:rsidP="00500337">
            <w:pPr>
              <w:ind w:left="0" w:right="0"/>
            </w:pPr>
            <w:r>
              <w:t>Submission dossier accepted and first round evaluation commenced</w:t>
            </w:r>
          </w:p>
        </w:tc>
        <w:tc>
          <w:tcPr>
            <w:tcW w:w="3909" w:type="dxa"/>
          </w:tcPr>
          <w:p w14:paraId="51B32F15" w14:textId="6D722D27" w:rsidR="00500337" w:rsidRDefault="006968BA" w:rsidP="00500337">
            <w:pPr>
              <w:ind w:left="0" w:right="0"/>
            </w:pPr>
            <w:r>
              <w:t>31 March 2020</w:t>
            </w:r>
          </w:p>
        </w:tc>
      </w:tr>
      <w:tr w:rsidR="00500337" w14:paraId="2DA82F6E" w14:textId="77777777" w:rsidTr="006968BA">
        <w:tc>
          <w:tcPr>
            <w:tcW w:w="4585" w:type="dxa"/>
          </w:tcPr>
          <w:p w14:paraId="4FB29CB2" w14:textId="77777777" w:rsidR="00500337" w:rsidRDefault="00500337" w:rsidP="00500337">
            <w:pPr>
              <w:ind w:left="0" w:right="0"/>
            </w:pPr>
            <w:r>
              <w:t>First round evaluation completed</w:t>
            </w:r>
          </w:p>
        </w:tc>
        <w:tc>
          <w:tcPr>
            <w:tcW w:w="3909" w:type="dxa"/>
          </w:tcPr>
          <w:p w14:paraId="123245B0" w14:textId="1F803693" w:rsidR="00500337" w:rsidRDefault="006968BA" w:rsidP="00500337">
            <w:pPr>
              <w:ind w:left="0" w:right="0"/>
            </w:pPr>
            <w:r>
              <w:t>2 September 2020</w:t>
            </w:r>
          </w:p>
        </w:tc>
      </w:tr>
      <w:tr w:rsidR="00500337" w14:paraId="7718CF79" w14:textId="77777777" w:rsidTr="006968BA">
        <w:tc>
          <w:tcPr>
            <w:tcW w:w="4585" w:type="dxa"/>
          </w:tcPr>
          <w:p w14:paraId="2830552C" w14:textId="77777777" w:rsidR="00500337" w:rsidRDefault="00500337" w:rsidP="00500337">
            <w:pPr>
              <w:ind w:left="0" w:right="0"/>
            </w:pPr>
            <w:r>
              <w:t>Sponsor provides responses on questions raised in first round evaluation</w:t>
            </w:r>
          </w:p>
        </w:tc>
        <w:tc>
          <w:tcPr>
            <w:tcW w:w="3909" w:type="dxa"/>
          </w:tcPr>
          <w:p w14:paraId="61403407" w14:textId="730B61D9" w:rsidR="00500337" w:rsidRDefault="006968BA" w:rsidP="00500337">
            <w:pPr>
              <w:ind w:left="0" w:right="0"/>
            </w:pPr>
            <w:r>
              <w:t>24 November 2020</w:t>
            </w:r>
          </w:p>
        </w:tc>
      </w:tr>
      <w:tr w:rsidR="00500337" w14:paraId="4ED6CD0B" w14:textId="77777777" w:rsidTr="006968BA">
        <w:tc>
          <w:tcPr>
            <w:tcW w:w="4585" w:type="dxa"/>
          </w:tcPr>
          <w:p w14:paraId="0DDC5A7C" w14:textId="77777777" w:rsidR="00500337" w:rsidRDefault="00500337" w:rsidP="00500337">
            <w:pPr>
              <w:ind w:left="0" w:right="0"/>
            </w:pPr>
            <w:r>
              <w:t>Second round evaluation completed</w:t>
            </w:r>
          </w:p>
        </w:tc>
        <w:tc>
          <w:tcPr>
            <w:tcW w:w="3909" w:type="dxa"/>
          </w:tcPr>
          <w:p w14:paraId="5987EE88" w14:textId="0AC61AB0" w:rsidR="00500337" w:rsidRDefault="006968BA" w:rsidP="00500337">
            <w:pPr>
              <w:ind w:left="0" w:right="0"/>
            </w:pPr>
            <w:r>
              <w:t>15 December 2020</w:t>
            </w:r>
          </w:p>
        </w:tc>
      </w:tr>
      <w:tr w:rsidR="00500337" w14:paraId="6D5D250E" w14:textId="77777777" w:rsidTr="006968BA">
        <w:tc>
          <w:tcPr>
            <w:tcW w:w="4585" w:type="dxa"/>
          </w:tcPr>
          <w:p w14:paraId="2184FF95" w14:textId="7456F1D6" w:rsidR="00500337" w:rsidRDefault="00324E45" w:rsidP="006968BA">
            <w:pPr>
              <w:ind w:left="0" w:right="0"/>
            </w:pPr>
            <w:r>
              <w:t xml:space="preserve">Delegate’s </w:t>
            </w:r>
            <w:r w:rsidR="006968BA">
              <w:t>Overall benefit-risk assessment</w:t>
            </w:r>
          </w:p>
        </w:tc>
        <w:tc>
          <w:tcPr>
            <w:tcW w:w="3909" w:type="dxa"/>
          </w:tcPr>
          <w:p w14:paraId="064DAFC7" w14:textId="4A6F6C6C" w:rsidR="00500337" w:rsidRDefault="00FE2470" w:rsidP="00500337">
            <w:pPr>
              <w:ind w:left="0" w:right="0"/>
            </w:pPr>
            <w:r>
              <w:t>14 January 2021</w:t>
            </w:r>
          </w:p>
        </w:tc>
      </w:tr>
      <w:tr w:rsidR="00500337" w14:paraId="77A0C071" w14:textId="77777777" w:rsidTr="006968BA">
        <w:tc>
          <w:tcPr>
            <w:tcW w:w="4585" w:type="dxa"/>
          </w:tcPr>
          <w:p w14:paraId="29637A08" w14:textId="77777777" w:rsidR="00500337" w:rsidRDefault="00500337" w:rsidP="00500337">
            <w:pPr>
              <w:ind w:left="0" w:right="0"/>
            </w:pPr>
            <w:r>
              <w:t>Sponsor’s pre-Advisory Committee response</w:t>
            </w:r>
          </w:p>
        </w:tc>
        <w:tc>
          <w:tcPr>
            <w:tcW w:w="3909" w:type="dxa"/>
          </w:tcPr>
          <w:p w14:paraId="684D46C4" w14:textId="5F0FCC85" w:rsidR="00500337" w:rsidRDefault="006968BA" w:rsidP="00500337">
            <w:pPr>
              <w:ind w:left="0" w:right="0"/>
            </w:pPr>
            <w:r>
              <w:t>Not applicable</w:t>
            </w:r>
          </w:p>
        </w:tc>
      </w:tr>
      <w:tr w:rsidR="00500337" w14:paraId="3EF32B80" w14:textId="77777777" w:rsidTr="006968BA">
        <w:tc>
          <w:tcPr>
            <w:tcW w:w="4585" w:type="dxa"/>
          </w:tcPr>
          <w:p w14:paraId="6D0396D3" w14:textId="77777777" w:rsidR="00500337" w:rsidRDefault="00500337" w:rsidP="00500337">
            <w:pPr>
              <w:ind w:left="0" w:right="0"/>
            </w:pPr>
            <w:r>
              <w:t>Advisory Committee meeting</w:t>
            </w:r>
          </w:p>
        </w:tc>
        <w:tc>
          <w:tcPr>
            <w:tcW w:w="3909" w:type="dxa"/>
          </w:tcPr>
          <w:p w14:paraId="3DBE0C85" w14:textId="4A37FB3B" w:rsidR="00500337" w:rsidRDefault="006968BA" w:rsidP="00500337">
            <w:pPr>
              <w:ind w:left="0" w:right="0"/>
            </w:pPr>
            <w:r>
              <w:t>Not applicable</w:t>
            </w:r>
          </w:p>
        </w:tc>
      </w:tr>
      <w:tr w:rsidR="00500337" w14:paraId="755AE440" w14:textId="77777777" w:rsidTr="006968BA">
        <w:tc>
          <w:tcPr>
            <w:tcW w:w="4585" w:type="dxa"/>
          </w:tcPr>
          <w:p w14:paraId="11D89788" w14:textId="77777777" w:rsidR="00500337" w:rsidRDefault="00500337" w:rsidP="00500337">
            <w:pPr>
              <w:ind w:left="0" w:right="0"/>
            </w:pPr>
            <w:r>
              <w:t>Registration decision (Outcome)</w:t>
            </w:r>
          </w:p>
        </w:tc>
        <w:tc>
          <w:tcPr>
            <w:tcW w:w="3909" w:type="dxa"/>
          </w:tcPr>
          <w:p w14:paraId="3D3A0191" w14:textId="6F7DED9D" w:rsidR="00500337" w:rsidRDefault="006968BA" w:rsidP="00500337">
            <w:pPr>
              <w:ind w:left="0" w:right="0"/>
            </w:pPr>
            <w:r>
              <w:t>15 February 2021</w:t>
            </w:r>
          </w:p>
        </w:tc>
      </w:tr>
      <w:tr w:rsidR="00500337" w14:paraId="25AE7F29" w14:textId="77777777" w:rsidTr="006968BA">
        <w:tc>
          <w:tcPr>
            <w:tcW w:w="4585" w:type="dxa"/>
          </w:tcPr>
          <w:p w14:paraId="3AF35D84" w14:textId="77777777" w:rsidR="00500337" w:rsidRDefault="00500337" w:rsidP="00500337">
            <w:pPr>
              <w:ind w:left="0" w:right="0"/>
            </w:pPr>
            <w:r>
              <w:t xml:space="preserve">Completion of administrative activities and registration on </w:t>
            </w:r>
            <w:r w:rsidR="00006FAB">
              <w:t xml:space="preserve">the </w:t>
            </w:r>
            <w:r>
              <w:t>ARTG</w:t>
            </w:r>
          </w:p>
        </w:tc>
        <w:tc>
          <w:tcPr>
            <w:tcW w:w="3909" w:type="dxa"/>
          </w:tcPr>
          <w:p w14:paraId="25576AF2" w14:textId="184A6C84" w:rsidR="00500337" w:rsidRDefault="006968BA" w:rsidP="00500337">
            <w:pPr>
              <w:ind w:left="0" w:right="0"/>
            </w:pPr>
            <w:r>
              <w:t>29 March 2021</w:t>
            </w:r>
          </w:p>
        </w:tc>
      </w:tr>
      <w:tr w:rsidR="00500337" w14:paraId="1CCBDA2B" w14:textId="77777777" w:rsidTr="006968BA">
        <w:tc>
          <w:tcPr>
            <w:tcW w:w="4585" w:type="dxa"/>
          </w:tcPr>
          <w:p w14:paraId="3251190B" w14:textId="77777777" w:rsidR="00500337" w:rsidRDefault="00500337" w:rsidP="00500337">
            <w:pPr>
              <w:ind w:left="0" w:right="0"/>
            </w:pPr>
            <w:r>
              <w:t>Number of working days from submission dossier acceptance to registration decision*</w:t>
            </w:r>
          </w:p>
        </w:tc>
        <w:tc>
          <w:tcPr>
            <w:tcW w:w="3909" w:type="dxa"/>
          </w:tcPr>
          <w:p w14:paraId="6C3A89F8" w14:textId="50F69BA7" w:rsidR="00500337" w:rsidRDefault="006968BA" w:rsidP="00500337">
            <w:pPr>
              <w:ind w:left="0" w:right="0"/>
            </w:pPr>
            <w:r>
              <w:t>160</w:t>
            </w:r>
          </w:p>
        </w:tc>
      </w:tr>
    </w:tbl>
    <w:p w14:paraId="537D6CD3" w14:textId="77777777" w:rsidR="00500337" w:rsidRDefault="00500337" w:rsidP="00500337">
      <w:pPr>
        <w:pStyle w:val="TableDescription"/>
      </w:pPr>
      <w:r>
        <w:t>*</w:t>
      </w:r>
      <w:r w:rsidR="006603BC" w:rsidRPr="006603BC">
        <w:t>Statutory timeframe for standard applications is 255 working days</w:t>
      </w:r>
    </w:p>
    <w:p w14:paraId="3E4E188C" w14:textId="77777777" w:rsidR="008E7846" w:rsidRPr="00792A32" w:rsidRDefault="00456765" w:rsidP="008E7846">
      <w:pPr>
        <w:pStyle w:val="Heading2"/>
      </w:pPr>
      <w:bookmarkStart w:id="34" w:name="_Toc196046504"/>
      <w:bookmarkStart w:id="35" w:name="_Toc247691527"/>
      <w:bookmarkStart w:id="36" w:name="_Toc314842510"/>
      <w:bookmarkStart w:id="37" w:name="_Toc88670215"/>
      <w:bookmarkStart w:id="38" w:name="_Toc163441390"/>
      <w:bookmarkEnd w:id="30"/>
      <w:bookmarkEnd w:id="31"/>
      <w:bookmarkEnd w:id="6"/>
      <w:r>
        <w:t>I</w:t>
      </w:r>
      <w:r w:rsidR="00DA64CB">
        <w:t>I</w:t>
      </w:r>
      <w:r w:rsidR="008E7846">
        <w:t xml:space="preserve">I. </w:t>
      </w:r>
      <w:r w:rsidR="00006FAB" w:rsidRPr="00006FAB">
        <w:t xml:space="preserve">Submission overview </w:t>
      </w:r>
      <w:r w:rsidR="008E7846" w:rsidRPr="00792A32">
        <w:t xml:space="preserve">and </w:t>
      </w:r>
      <w:r w:rsidR="008E7846">
        <w:t>r</w:t>
      </w:r>
      <w:r w:rsidR="008E7846" w:rsidRPr="00792A32">
        <w:t>isk/</w:t>
      </w:r>
      <w:r w:rsidR="008E7846">
        <w:t>b</w:t>
      </w:r>
      <w:r w:rsidR="008E7846" w:rsidRPr="00792A32">
        <w:t xml:space="preserve">enefit </w:t>
      </w:r>
      <w:r w:rsidR="008E7846">
        <w:t>a</w:t>
      </w:r>
      <w:r w:rsidR="008E7846" w:rsidRPr="00792A32">
        <w:t>ssessment</w:t>
      </w:r>
      <w:bookmarkEnd w:id="34"/>
      <w:bookmarkEnd w:id="35"/>
      <w:bookmarkEnd w:id="36"/>
      <w:bookmarkEnd w:id="37"/>
    </w:p>
    <w:p w14:paraId="55108235" w14:textId="7A4BC8CD" w:rsidR="00006FAB" w:rsidRDefault="00006FAB" w:rsidP="00006FAB">
      <w:bookmarkStart w:id="39" w:name="_Toc247691528"/>
      <w:r>
        <w:t>The submission was summarised in the following Delegate’s overview and recommendations.</w:t>
      </w:r>
    </w:p>
    <w:p w14:paraId="2F80964B" w14:textId="77777777" w:rsidR="00E03DC2" w:rsidRDefault="00E03DC2" w:rsidP="00E03DC2">
      <w:r>
        <w:t>The following guidance documents were considered applicable to this submission:</w:t>
      </w:r>
    </w:p>
    <w:p w14:paraId="731291B6" w14:textId="756AA6C0" w:rsidR="00E03DC2" w:rsidRDefault="00E03DC2" w:rsidP="005F795E">
      <w:pPr>
        <w:pStyle w:val="ListBullet"/>
      </w:pPr>
      <w:r>
        <w:t>European Medicines Agency</w:t>
      </w:r>
      <w:r w:rsidR="00094A8B">
        <w:t xml:space="preserve"> (EMEA), Committee for Medicinal Products for Human Use (CHMP),</w:t>
      </w:r>
      <w:r w:rsidR="00094A8B" w:rsidRPr="00094A8B">
        <w:t xml:space="preserve"> </w:t>
      </w:r>
      <w:r w:rsidR="00094A8B" w:rsidRPr="005F795E">
        <w:t>Guideline</w:t>
      </w:r>
      <w:r w:rsidR="00094A8B">
        <w:t xml:space="preserve"> on the Investigation of Bioequivalence, </w:t>
      </w:r>
      <w:r>
        <w:t>CPMP/EWP/QWP/1401/98 Rev. 1/Corr.</w:t>
      </w:r>
      <w:r w:rsidR="00094A8B">
        <w:t>,</w:t>
      </w:r>
      <w:r>
        <w:t xml:space="preserve"> 16 June 2011.</w:t>
      </w:r>
    </w:p>
    <w:p w14:paraId="0E3C6DF3" w14:textId="35C2E660" w:rsidR="00E03DC2" w:rsidRDefault="00094A8B">
      <w:pPr>
        <w:pStyle w:val="ListBullet"/>
      </w:pPr>
      <w:r>
        <w:t>European Medicines Agency (EMEA), Committee for Medicinal Products for Human Use (CHMP),</w:t>
      </w:r>
      <w:r w:rsidRPr="00094A8B">
        <w:t xml:space="preserve"> </w:t>
      </w:r>
      <w:r w:rsidR="00E03DC2">
        <w:t xml:space="preserve">Guideline on Clinical Trials in Small Populations. European Medicines Agency; </w:t>
      </w:r>
      <w:r w:rsidRPr="00094A8B">
        <w:t>CHMP/EWP/83561/2005</w:t>
      </w:r>
      <w:r>
        <w:t xml:space="preserve">, </w:t>
      </w:r>
      <w:r w:rsidRPr="00094A8B">
        <w:t>27 July 2006</w:t>
      </w:r>
      <w:r w:rsidR="00E03DC2">
        <w:t>.</w:t>
      </w:r>
    </w:p>
    <w:p w14:paraId="2728E1AA" w14:textId="77777777" w:rsidR="00094A8B" w:rsidRDefault="00094A8B" w:rsidP="00094A8B">
      <w:pPr>
        <w:pStyle w:val="ListBullet"/>
      </w:pPr>
      <w:r>
        <w:t>International Council for Harmonisation of Technical Requirements for Pharmaceuticals for Human Use (ICH),</w:t>
      </w:r>
      <w:r w:rsidRPr="00094A8B">
        <w:t xml:space="preserve"> </w:t>
      </w:r>
      <w:r>
        <w:t>Integrated Addendum to ICH E6(R1): Guideline for Good Clinical Practice E6(R2), 9 November 2016.</w:t>
      </w:r>
    </w:p>
    <w:p w14:paraId="4863665F" w14:textId="32AFC151" w:rsidR="00E03DC2" w:rsidRDefault="00786F9F" w:rsidP="005F795E">
      <w:pPr>
        <w:pStyle w:val="ListBullet"/>
      </w:pPr>
      <w:r>
        <w:t xml:space="preserve">Therapeutic </w:t>
      </w:r>
      <w:r w:rsidRPr="005F795E">
        <w:t>Good</w:t>
      </w:r>
      <w:r>
        <w:t xml:space="preserve"> Administration (</w:t>
      </w:r>
      <w:r w:rsidR="00E03DC2">
        <w:t>TGA</w:t>
      </w:r>
      <w:r>
        <w:t>)</w:t>
      </w:r>
      <w:r w:rsidR="00E03DC2">
        <w:t xml:space="preserve"> </w:t>
      </w:r>
      <w:r w:rsidRPr="00786F9F">
        <w:t>Literature based submissions</w:t>
      </w:r>
      <w:r>
        <w:t>,</w:t>
      </w:r>
      <w:r w:rsidR="00E03DC2">
        <w:t xml:space="preserve"> 27 May 2014.</w:t>
      </w:r>
      <w:r w:rsidR="00E03DC2">
        <w:rPr>
          <w:rStyle w:val="FootnoteReference"/>
        </w:rPr>
        <w:footnoteReference w:id="6"/>
      </w:r>
    </w:p>
    <w:p w14:paraId="1AFCA18D" w14:textId="77777777" w:rsidR="008E7846" w:rsidRDefault="008E7846" w:rsidP="008E7846">
      <w:pPr>
        <w:pStyle w:val="Heading3"/>
      </w:pPr>
      <w:bookmarkStart w:id="40" w:name="_Toc314842511"/>
      <w:bookmarkStart w:id="41" w:name="_Toc88670216"/>
      <w:r>
        <w:lastRenderedPageBreak/>
        <w:t>Quality</w:t>
      </w:r>
      <w:bookmarkEnd w:id="39"/>
      <w:bookmarkEnd w:id="40"/>
      <w:bookmarkEnd w:id="41"/>
    </w:p>
    <w:p w14:paraId="17BED1EA" w14:textId="78D261CB" w:rsidR="009977F1" w:rsidRPr="009977F1" w:rsidRDefault="009977F1" w:rsidP="009977F1">
      <w:bookmarkStart w:id="42" w:name="_Toc314842512"/>
      <w:r w:rsidRPr="009977F1">
        <w:t>The strength of this product is expressed as the dihydrochloride salt (250 mg) rathe</w:t>
      </w:r>
      <w:r>
        <w:t xml:space="preserve">r than the free base (167 mg). </w:t>
      </w:r>
      <w:r w:rsidRPr="009977F1">
        <w:t xml:space="preserve">This is consistent with Dr Reddy’s </w:t>
      </w:r>
      <w:proofErr w:type="spellStart"/>
      <w:r w:rsidRPr="009977F1">
        <w:t>Trientine</w:t>
      </w:r>
      <w:proofErr w:type="spellEnd"/>
      <w:r w:rsidRPr="009977F1">
        <w:t xml:space="preserve"> Hydrochloride Capsules USP 250 mg, registered in USA in 2019 as a generic of </w:t>
      </w:r>
      <w:proofErr w:type="spellStart"/>
      <w:r w:rsidRPr="009977F1">
        <w:t>Syprine</w:t>
      </w:r>
      <w:proofErr w:type="spellEnd"/>
      <w:r w:rsidRPr="009977F1">
        <w:t>.</w:t>
      </w:r>
      <w:r w:rsidR="00544119">
        <w:t xml:space="preserve"> </w:t>
      </w:r>
      <w:proofErr w:type="spellStart"/>
      <w:r w:rsidRPr="009977F1">
        <w:t>Syprine</w:t>
      </w:r>
      <w:proofErr w:type="spellEnd"/>
      <w:r w:rsidRPr="009977F1">
        <w:t xml:space="preserve"> has been registered in USA since 1985 and its strength is expressed</w:t>
      </w:r>
      <w:r>
        <w:t xml:space="preserve"> as the hydrochloride salt (250 mg). </w:t>
      </w:r>
      <w:r w:rsidRPr="009977F1">
        <w:t>Based on the history of this product internationally, the proposed labe</w:t>
      </w:r>
      <w:r>
        <w:t>lling is considered acceptable.</w:t>
      </w:r>
    </w:p>
    <w:p w14:paraId="34EE9D8D" w14:textId="5560E63B" w:rsidR="009977F1" w:rsidRPr="009977F1" w:rsidRDefault="009977F1" w:rsidP="009977F1">
      <w:r w:rsidRPr="009977F1">
        <w:t xml:space="preserve">There are no outstanding issues with the </w:t>
      </w:r>
      <w:r>
        <w:t xml:space="preserve">quality evaluation. </w:t>
      </w:r>
      <w:r w:rsidRPr="009977F1">
        <w:t>The Product Inf</w:t>
      </w:r>
      <w:r>
        <w:t xml:space="preserve">ormation </w:t>
      </w:r>
      <w:r w:rsidR="00DA4756">
        <w:t xml:space="preserve">(PI) </w:t>
      </w:r>
      <w:r>
        <w:t>is acceptable from a quality perspective. The quality</w:t>
      </w:r>
      <w:r w:rsidRPr="009977F1">
        <w:t xml:space="preserve"> evaluator has no objection to the registration of the proposed products.</w:t>
      </w:r>
    </w:p>
    <w:p w14:paraId="0723DF2E" w14:textId="47261382" w:rsidR="008E7846" w:rsidRDefault="008E7846" w:rsidP="009977F1">
      <w:pPr>
        <w:pStyle w:val="Heading3"/>
      </w:pPr>
      <w:bookmarkStart w:id="43" w:name="_Toc88670217"/>
      <w:r>
        <w:t>Nonclinical</w:t>
      </w:r>
      <w:bookmarkEnd w:id="42"/>
      <w:bookmarkEnd w:id="43"/>
    </w:p>
    <w:p w14:paraId="0B9E5B8F" w14:textId="106CBD9F" w:rsidR="009977F1" w:rsidRDefault="009977F1" w:rsidP="009977F1">
      <w:pPr>
        <w:rPr>
          <w:kern w:val="2"/>
        </w:rPr>
      </w:pPr>
      <w:r w:rsidRPr="00CE007B">
        <w:t xml:space="preserve">The </w:t>
      </w:r>
      <w:r>
        <w:t>nonclinical</w:t>
      </w:r>
      <w:r w:rsidRPr="00CE007B">
        <w:t xml:space="preserve"> dossier was </w:t>
      </w:r>
      <w:r>
        <w:t>based on</w:t>
      </w:r>
      <w:r w:rsidRPr="00CE007B">
        <w:t xml:space="preserve"> published literature.</w:t>
      </w:r>
    </w:p>
    <w:p w14:paraId="552B45B4" w14:textId="7B2572B1" w:rsidR="009977F1" w:rsidRDefault="009977F1" w:rsidP="009977F1">
      <w:pPr>
        <w:rPr>
          <w:kern w:val="2"/>
        </w:rPr>
      </w:pPr>
      <w:r w:rsidRPr="00CE007B">
        <w:t xml:space="preserve">The oral bioavailability of </w:t>
      </w:r>
      <w:proofErr w:type="spellStart"/>
      <w:r w:rsidRPr="00CE007B">
        <w:t>trientine</w:t>
      </w:r>
      <w:proofErr w:type="spellEnd"/>
      <w:r w:rsidRPr="00CE007B">
        <w:t xml:space="preserve"> </w:t>
      </w:r>
      <w:r>
        <w:t xml:space="preserve">was </w:t>
      </w:r>
      <w:proofErr w:type="gramStart"/>
      <w:r>
        <w:t>low, and</w:t>
      </w:r>
      <w:proofErr w:type="gramEnd"/>
      <w:r>
        <w:t xml:space="preserve"> </w:t>
      </w:r>
      <w:r w:rsidRPr="00CE007B">
        <w:t xml:space="preserve">was negatively affected by food in rats. Distribution of </w:t>
      </w:r>
      <w:proofErr w:type="spellStart"/>
      <w:r w:rsidRPr="00CE007B">
        <w:t>trientine</w:t>
      </w:r>
      <w:proofErr w:type="spellEnd"/>
      <w:r w:rsidRPr="00CE007B">
        <w:t xml:space="preserve"> was observed to the liver and kidney.</w:t>
      </w:r>
      <w:r w:rsidR="00544119">
        <w:t xml:space="preserve"> </w:t>
      </w:r>
      <w:proofErr w:type="spellStart"/>
      <w:r w:rsidRPr="00CE007B">
        <w:t>Trientine</w:t>
      </w:r>
      <w:proofErr w:type="spellEnd"/>
      <w:r w:rsidRPr="00CE007B">
        <w:t xml:space="preserve"> only minimally crossed the blood-brain barrier.</w:t>
      </w:r>
      <w:r>
        <w:t xml:space="preserve"> </w:t>
      </w:r>
      <w:r w:rsidRPr="00CE007B">
        <w:rPr>
          <w:kern w:val="2"/>
        </w:rPr>
        <w:t xml:space="preserve">Both SSAT2 and SSAT1 were found to acetylate </w:t>
      </w:r>
      <w:proofErr w:type="spellStart"/>
      <w:r w:rsidRPr="00CE007B">
        <w:rPr>
          <w:kern w:val="2"/>
        </w:rPr>
        <w:t>trientine</w:t>
      </w:r>
      <w:proofErr w:type="spellEnd"/>
      <w:r w:rsidRPr="00CE007B">
        <w:rPr>
          <w:kern w:val="2"/>
        </w:rPr>
        <w:t xml:space="preserve">. Urinary excretion was the main route </w:t>
      </w:r>
      <w:r w:rsidRPr="00CE007B">
        <w:t xml:space="preserve">of excretion for absorbed </w:t>
      </w:r>
      <w:proofErr w:type="spellStart"/>
      <w:r w:rsidRPr="00CE007B">
        <w:t>trientine</w:t>
      </w:r>
      <w:proofErr w:type="spellEnd"/>
      <w:r w:rsidRPr="00CE007B">
        <w:t>-related material in rats</w:t>
      </w:r>
      <w:r w:rsidRPr="00CE007B">
        <w:rPr>
          <w:kern w:val="2"/>
        </w:rPr>
        <w:t>.</w:t>
      </w:r>
      <w:r>
        <w:rPr>
          <w:kern w:val="2"/>
        </w:rPr>
        <w:t xml:space="preserve"> The set of </w:t>
      </w:r>
      <w:r>
        <w:rPr>
          <w:i/>
          <w:kern w:val="2"/>
        </w:rPr>
        <w:t>in vitro</w:t>
      </w:r>
      <w:r>
        <w:rPr>
          <w:kern w:val="2"/>
        </w:rPr>
        <w:t xml:space="preserve"> pharmacokinetic drug interaction studies was limited, but this should not preclude registration.</w:t>
      </w:r>
    </w:p>
    <w:p w14:paraId="781DF28A" w14:textId="463FA01B" w:rsidR="009977F1" w:rsidRDefault="009977F1" w:rsidP="009977F1">
      <w:r>
        <w:t xml:space="preserve">Primary pharmacology studies showed copper chelation activity in all animal species tested, supporting the use of this medicine for the proposed indication. </w:t>
      </w:r>
      <w:r>
        <w:rPr>
          <w:kern w:val="2"/>
          <w:szCs w:val="20"/>
        </w:rPr>
        <w:t>N</w:t>
      </w:r>
      <w:r w:rsidRPr="005410B8">
        <w:rPr>
          <w:kern w:val="2"/>
          <w:szCs w:val="20"/>
        </w:rPr>
        <w:t xml:space="preserve">o preclinical studies in </w:t>
      </w:r>
      <w:r w:rsidRPr="00CE007B">
        <w:rPr>
          <w:kern w:val="2"/>
          <w:szCs w:val="20"/>
        </w:rPr>
        <w:t>juvenile animals were submitted</w:t>
      </w:r>
      <w:r>
        <w:rPr>
          <w:kern w:val="2"/>
          <w:szCs w:val="20"/>
        </w:rPr>
        <w:t>, so s</w:t>
      </w:r>
      <w:r w:rsidRPr="00CE007B">
        <w:rPr>
          <w:kern w:val="2"/>
          <w:szCs w:val="20"/>
        </w:rPr>
        <w:t>upport for use in paediatric patient</w:t>
      </w:r>
      <w:r>
        <w:rPr>
          <w:kern w:val="2"/>
          <w:szCs w:val="20"/>
        </w:rPr>
        <w:t>s</w:t>
      </w:r>
      <w:r w:rsidRPr="00CE007B">
        <w:rPr>
          <w:kern w:val="2"/>
          <w:szCs w:val="20"/>
        </w:rPr>
        <w:t xml:space="preserve"> </w:t>
      </w:r>
      <w:r>
        <w:rPr>
          <w:kern w:val="2"/>
          <w:szCs w:val="20"/>
        </w:rPr>
        <w:t xml:space="preserve">is </w:t>
      </w:r>
      <w:r w:rsidRPr="00CE007B">
        <w:rPr>
          <w:kern w:val="2"/>
          <w:szCs w:val="20"/>
        </w:rPr>
        <w:t>reli</w:t>
      </w:r>
      <w:r>
        <w:rPr>
          <w:kern w:val="2"/>
          <w:szCs w:val="20"/>
        </w:rPr>
        <w:t>ant</w:t>
      </w:r>
      <w:r w:rsidRPr="00CE007B">
        <w:rPr>
          <w:kern w:val="2"/>
          <w:szCs w:val="20"/>
        </w:rPr>
        <w:t xml:space="preserve"> on clinical data.</w:t>
      </w:r>
      <w:r>
        <w:rPr>
          <w:kern w:val="2"/>
          <w:szCs w:val="20"/>
        </w:rPr>
        <w:t xml:space="preserve"> </w:t>
      </w:r>
      <w:r w:rsidRPr="00CE007B">
        <w:rPr>
          <w:kern w:val="2"/>
        </w:rPr>
        <w:t>Lower efficacy in reducing brain levels of copper w</w:t>
      </w:r>
      <w:r>
        <w:rPr>
          <w:kern w:val="2"/>
        </w:rPr>
        <w:t>as</w:t>
      </w:r>
      <w:r w:rsidRPr="00CE007B">
        <w:rPr>
          <w:kern w:val="2"/>
        </w:rPr>
        <w:t xml:space="preserve"> seen in animals, consistent with </w:t>
      </w:r>
      <w:r w:rsidRPr="00CE007B">
        <w:t>the poor ability of the drug to cross the blood-brain barrier.</w:t>
      </w:r>
      <w:r>
        <w:t xml:space="preserve"> </w:t>
      </w:r>
      <w:r w:rsidRPr="00CE007B">
        <w:t xml:space="preserve">The monoacetylated metabolite, </w:t>
      </w:r>
      <w:proofErr w:type="spellStart"/>
      <w:r w:rsidR="006444C9" w:rsidRPr="00022F0E">
        <w:t>monoacetyltrientine</w:t>
      </w:r>
      <w:proofErr w:type="spellEnd"/>
      <w:r w:rsidRPr="00CE007B">
        <w:t xml:space="preserve">, may contribute to the efficacy of </w:t>
      </w:r>
      <w:proofErr w:type="spellStart"/>
      <w:r w:rsidRPr="00CE007B">
        <w:t>trientine</w:t>
      </w:r>
      <w:proofErr w:type="spellEnd"/>
      <w:r w:rsidRPr="00CE007B">
        <w:t>.</w:t>
      </w:r>
    </w:p>
    <w:p w14:paraId="2FEE8468" w14:textId="4DDD8DD7" w:rsidR="009977F1" w:rsidRDefault="009977F1" w:rsidP="009977F1">
      <w:pPr>
        <w:rPr>
          <w:kern w:val="2"/>
        </w:rPr>
      </w:pPr>
      <w:r>
        <w:rPr>
          <w:kern w:val="2"/>
        </w:rPr>
        <w:t xml:space="preserve">Repeat-dose toxicity studies in mice, rats and dogs showed histopathological changes in the lungs (interstitial inflammation and broncho-alveolar pneumonia) in all species. </w:t>
      </w:r>
      <w:r w:rsidRPr="00CE007B">
        <w:t>The</w:t>
      </w:r>
      <w:r>
        <w:t>se</w:t>
      </w:r>
      <w:r w:rsidRPr="00CE007B">
        <w:t xml:space="preserve"> pulmonary effects </w:t>
      </w:r>
      <w:r>
        <w:t xml:space="preserve">were assessed as likely due to the pharmacological action of </w:t>
      </w:r>
      <w:proofErr w:type="spellStart"/>
      <w:r>
        <w:t>trientine</w:t>
      </w:r>
      <w:proofErr w:type="spellEnd"/>
      <w:r>
        <w:rPr>
          <w:kern w:val="2"/>
        </w:rPr>
        <w:t>. This has been added to the Nonclinical safety specification in the risk management plan.</w:t>
      </w:r>
    </w:p>
    <w:p w14:paraId="6C5A4F63" w14:textId="38A5C569" w:rsidR="009977F1" w:rsidRDefault="009977F1" w:rsidP="009977F1">
      <w:pPr>
        <w:rPr>
          <w:kern w:val="2"/>
          <w:szCs w:val="20"/>
        </w:rPr>
      </w:pPr>
      <w:proofErr w:type="spellStart"/>
      <w:r>
        <w:rPr>
          <w:kern w:val="2"/>
        </w:rPr>
        <w:t>T</w:t>
      </w:r>
      <w:r w:rsidRPr="00CE007B">
        <w:rPr>
          <w:kern w:val="2"/>
        </w:rPr>
        <w:t>rientine</w:t>
      </w:r>
      <w:proofErr w:type="spellEnd"/>
      <w:r w:rsidRPr="00CE007B">
        <w:rPr>
          <w:kern w:val="2"/>
        </w:rPr>
        <w:t xml:space="preserve"> was genotoxic in some </w:t>
      </w:r>
      <w:r w:rsidRPr="00CE007B">
        <w:rPr>
          <w:i/>
          <w:kern w:val="2"/>
        </w:rPr>
        <w:t>in vitro</w:t>
      </w:r>
      <w:r w:rsidRPr="00B009EB">
        <w:rPr>
          <w:kern w:val="2"/>
        </w:rPr>
        <w:t xml:space="preserve"> studies</w:t>
      </w:r>
      <w:r>
        <w:rPr>
          <w:kern w:val="2"/>
        </w:rPr>
        <w:t xml:space="preserve">, but </w:t>
      </w:r>
      <w:r>
        <w:t xml:space="preserve">negative in an adequately conducted mammalian gene mutation assay and consistently negative in </w:t>
      </w:r>
      <w:r>
        <w:rPr>
          <w:i/>
        </w:rPr>
        <w:t xml:space="preserve">in vivo </w:t>
      </w:r>
      <w:r>
        <w:t>mouse micronucleus studies.</w:t>
      </w:r>
      <w:r w:rsidR="00544119">
        <w:t xml:space="preserve"> </w:t>
      </w:r>
      <w:r>
        <w:rPr>
          <w:kern w:val="2"/>
        </w:rPr>
        <w:t>There was no carcinogenicity study for</w:t>
      </w:r>
      <w:r w:rsidRPr="0090574F">
        <w:rPr>
          <w:kern w:val="2"/>
        </w:rPr>
        <w:t xml:space="preserve"> </w:t>
      </w:r>
      <w:r>
        <w:rPr>
          <w:kern w:val="2"/>
        </w:rPr>
        <w:t xml:space="preserve">orally administered </w:t>
      </w:r>
      <w:proofErr w:type="spellStart"/>
      <w:r>
        <w:rPr>
          <w:kern w:val="2"/>
        </w:rPr>
        <w:t>trientine</w:t>
      </w:r>
      <w:proofErr w:type="spellEnd"/>
      <w:r>
        <w:rPr>
          <w:kern w:val="2"/>
        </w:rPr>
        <w:t xml:space="preserve">. </w:t>
      </w:r>
      <w:r>
        <w:rPr>
          <w:kern w:val="2"/>
          <w:szCs w:val="20"/>
        </w:rPr>
        <w:t>T</w:t>
      </w:r>
      <w:r w:rsidRPr="005410B8">
        <w:rPr>
          <w:kern w:val="2"/>
          <w:szCs w:val="20"/>
        </w:rPr>
        <w:t xml:space="preserve">he absence of </w:t>
      </w:r>
      <w:r>
        <w:rPr>
          <w:kern w:val="2"/>
          <w:szCs w:val="20"/>
        </w:rPr>
        <w:t xml:space="preserve">a </w:t>
      </w:r>
      <w:r w:rsidRPr="005410B8">
        <w:rPr>
          <w:kern w:val="2"/>
          <w:szCs w:val="20"/>
        </w:rPr>
        <w:t>carcinogenicity stud</w:t>
      </w:r>
      <w:r>
        <w:rPr>
          <w:kern w:val="2"/>
          <w:szCs w:val="20"/>
        </w:rPr>
        <w:t>y</w:t>
      </w:r>
      <w:r w:rsidRPr="005410B8">
        <w:rPr>
          <w:kern w:val="2"/>
          <w:szCs w:val="20"/>
        </w:rPr>
        <w:t xml:space="preserve"> </w:t>
      </w:r>
      <w:r>
        <w:rPr>
          <w:kern w:val="2"/>
          <w:szCs w:val="20"/>
        </w:rPr>
        <w:t>for</w:t>
      </w:r>
      <w:r w:rsidRPr="005410B8">
        <w:rPr>
          <w:kern w:val="2"/>
          <w:szCs w:val="20"/>
        </w:rPr>
        <w:t xml:space="preserve"> </w:t>
      </w:r>
      <w:r>
        <w:rPr>
          <w:kern w:val="2"/>
          <w:szCs w:val="20"/>
        </w:rPr>
        <w:t xml:space="preserve">oral </w:t>
      </w:r>
      <w:proofErr w:type="spellStart"/>
      <w:r w:rsidRPr="005410B8">
        <w:rPr>
          <w:kern w:val="2"/>
          <w:szCs w:val="20"/>
        </w:rPr>
        <w:t>trientine</w:t>
      </w:r>
      <w:proofErr w:type="spellEnd"/>
      <w:r w:rsidRPr="005410B8">
        <w:rPr>
          <w:kern w:val="2"/>
          <w:szCs w:val="20"/>
        </w:rPr>
        <w:t xml:space="preserve"> is acceptable based on negative results in </w:t>
      </w:r>
      <w:r>
        <w:rPr>
          <w:i/>
          <w:kern w:val="2"/>
          <w:szCs w:val="20"/>
        </w:rPr>
        <w:t>in </w:t>
      </w:r>
      <w:r w:rsidRPr="002B5DC0">
        <w:rPr>
          <w:i/>
          <w:kern w:val="2"/>
          <w:szCs w:val="20"/>
        </w:rPr>
        <w:t>vivo</w:t>
      </w:r>
      <w:r w:rsidRPr="005410B8">
        <w:rPr>
          <w:kern w:val="2"/>
          <w:szCs w:val="20"/>
        </w:rPr>
        <w:t xml:space="preserve"> genotoxicity studies, negative findings of tumours or other proliferative lesions at the application site in a mouse dermal carcinogenicity study, the absence of </w:t>
      </w:r>
      <w:r>
        <w:rPr>
          <w:kern w:val="2"/>
          <w:szCs w:val="20"/>
        </w:rPr>
        <w:t xml:space="preserve">concerning </w:t>
      </w:r>
      <w:r w:rsidRPr="005410B8">
        <w:rPr>
          <w:kern w:val="2"/>
          <w:szCs w:val="20"/>
        </w:rPr>
        <w:t>findings in the repeat-dose studies</w:t>
      </w:r>
      <w:r>
        <w:rPr>
          <w:kern w:val="2"/>
          <w:szCs w:val="20"/>
        </w:rPr>
        <w:t>,</w:t>
      </w:r>
      <w:r w:rsidRPr="005410B8">
        <w:rPr>
          <w:kern w:val="2"/>
          <w:szCs w:val="20"/>
        </w:rPr>
        <w:t xml:space="preserve"> and the </w:t>
      </w:r>
      <w:r>
        <w:rPr>
          <w:kern w:val="2"/>
          <w:szCs w:val="20"/>
        </w:rPr>
        <w:t xml:space="preserve">long </w:t>
      </w:r>
      <w:r w:rsidRPr="005410B8">
        <w:rPr>
          <w:kern w:val="2"/>
          <w:szCs w:val="20"/>
        </w:rPr>
        <w:t>history of clinical use.</w:t>
      </w:r>
    </w:p>
    <w:p w14:paraId="5FA47F5A" w14:textId="60622720" w:rsidR="009977F1" w:rsidRDefault="009977F1" w:rsidP="009977F1">
      <w:r>
        <w:rPr>
          <w:kern w:val="2"/>
        </w:rPr>
        <w:t>T</w:t>
      </w:r>
      <w:r w:rsidRPr="00CE007B">
        <w:rPr>
          <w:kern w:val="2"/>
        </w:rPr>
        <w:t xml:space="preserve">he set of reproductive and </w:t>
      </w:r>
      <w:r>
        <w:rPr>
          <w:kern w:val="2"/>
        </w:rPr>
        <w:t xml:space="preserve">development studies was limited, but </w:t>
      </w:r>
      <w:r w:rsidRPr="00CE007B">
        <w:rPr>
          <w:kern w:val="2"/>
        </w:rPr>
        <w:t>this should not preclude registration</w:t>
      </w:r>
      <w:r>
        <w:rPr>
          <w:kern w:val="2"/>
        </w:rPr>
        <w:t xml:space="preserve">. </w:t>
      </w:r>
      <w:r w:rsidRPr="00CE007B">
        <w:rPr>
          <w:kern w:val="2"/>
        </w:rPr>
        <w:t>Embryofetal development studies suggest some teratogenic potential of</w:t>
      </w:r>
      <w:r>
        <w:rPr>
          <w:kern w:val="2"/>
        </w:rPr>
        <w:t xml:space="preserve"> </w:t>
      </w:r>
      <w:proofErr w:type="spellStart"/>
      <w:r>
        <w:rPr>
          <w:kern w:val="2"/>
        </w:rPr>
        <w:t>trientine</w:t>
      </w:r>
      <w:proofErr w:type="spellEnd"/>
      <w:r w:rsidRPr="00CE007B">
        <w:rPr>
          <w:kern w:val="2"/>
        </w:rPr>
        <w:t>.</w:t>
      </w:r>
      <w:r w:rsidRPr="005410B8">
        <w:rPr>
          <w:kern w:val="2"/>
          <w:szCs w:val="20"/>
        </w:rPr>
        <w:t xml:space="preserve"> T</w:t>
      </w:r>
      <w:r>
        <w:rPr>
          <w:kern w:val="2"/>
          <w:szCs w:val="20"/>
        </w:rPr>
        <w:t>he evaluator recommends</w:t>
      </w:r>
      <w:r w:rsidRPr="00175480">
        <w:rPr>
          <w:kern w:val="2"/>
          <w:szCs w:val="20"/>
        </w:rPr>
        <w:t xml:space="preserve"> Pregnancy Category D</w:t>
      </w:r>
      <w:r w:rsidRPr="005410B8">
        <w:rPr>
          <w:kern w:val="2"/>
          <w:szCs w:val="20"/>
        </w:rPr>
        <w:t>.</w:t>
      </w:r>
      <w:r>
        <w:rPr>
          <w:rStyle w:val="FootnoteReference"/>
          <w:kern w:val="2"/>
          <w:szCs w:val="20"/>
        </w:rPr>
        <w:footnoteReference w:id="7"/>
      </w:r>
    </w:p>
    <w:p w14:paraId="1AC72F55" w14:textId="3DA0C5C3" w:rsidR="009977F1" w:rsidRPr="009977F1" w:rsidRDefault="009977F1" w:rsidP="009977F1">
      <w:r w:rsidRPr="00B2058A">
        <w:t xml:space="preserve">The </w:t>
      </w:r>
      <w:r w:rsidR="00F945B6">
        <w:t>draft PI</w:t>
      </w:r>
      <w:r w:rsidRPr="00B2058A">
        <w:t xml:space="preserve"> is acceptable from the nonclinical perspective.</w:t>
      </w:r>
    </w:p>
    <w:p w14:paraId="5F7749FD" w14:textId="7113B233" w:rsidR="008E7846" w:rsidRDefault="008E7846" w:rsidP="008E7846">
      <w:pPr>
        <w:pStyle w:val="Heading3"/>
      </w:pPr>
      <w:bookmarkStart w:id="44" w:name="_Toc247691530"/>
      <w:bookmarkStart w:id="45" w:name="_Toc314842513"/>
      <w:bookmarkStart w:id="46" w:name="_Toc88670218"/>
      <w:r>
        <w:lastRenderedPageBreak/>
        <w:t>Clinical</w:t>
      </w:r>
      <w:bookmarkEnd w:id="44"/>
      <w:bookmarkEnd w:id="45"/>
      <w:bookmarkEnd w:id="46"/>
    </w:p>
    <w:p w14:paraId="1BA845E4" w14:textId="4AF07EA0" w:rsidR="000E0215" w:rsidRPr="000E0215" w:rsidRDefault="000E0215" w:rsidP="000E0215">
      <w:r w:rsidRPr="000E0215">
        <w:t xml:space="preserve">This is a literature-based submission involving a systematic literature search strategy approved by the TGA. The use of a literature-based submission to support the registration of a new chemical entity was accepted based on the long history of market authorisation of </w:t>
      </w:r>
      <w:proofErr w:type="spellStart"/>
      <w:r w:rsidRPr="000E0215">
        <w:t>trientine</w:t>
      </w:r>
      <w:proofErr w:type="spellEnd"/>
      <w:r w:rsidRPr="000E0215">
        <w:t xml:space="preserve"> internationally.</w:t>
      </w:r>
    </w:p>
    <w:p w14:paraId="42D3CED3" w14:textId="798D25F8" w:rsidR="000E0215" w:rsidRDefault="000E0215" w:rsidP="000E0215">
      <w:r>
        <w:t xml:space="preserve">The clinical dossier consisted 42 study reports and research publications included as clinical study reports, and a further </w:t>
      </w:r>
      <w:r w:rsidR="00107837">
        <w:t xml:space="preserve">9 </w:t>
      </w:r>
      <w:r>
        <w:t xml:space="preserve">references, which included clinical guidance documents for the treatment of Wilson’s disease and the </w:t>
      </w:r>
      <w:r w:rsidR="00607DFD">
        <w:t xml:space="preserve">European Medicine Agency’s </w:t>
      </w:r>
      <w:proofErr w:type="spellStart"/>
      <w:r>
        <w:t>ePAR</w:t>
      </w:r>
      <w:proofErr w:type="spellEnd"/>
      <w:r>
        <w:t xml:space="preserve"> </w:t>
      </w:r>
      <w:r w:rsidR="00107837">
        <w:t xml:space="preserve">(European Public Access Report) </w:t>
      </w:r>
      <w:r>
        <w:t xml:space="preserve">for one </w:t>
      </w:r>
      <w:proofErr w:type="spellStart"/>
      <w:r>
        <w:t>trientine</w:t>
      </w:r>
      <w:proofErr w:type="spellEnd"/>
      <w:r>
        <w:t xml:space="preserve"> product.</w:t>
      </w:r>
    </w:p>
    <w:p w14:paraId="52B257EE" w14:textId="277C744D" w:rsidR="000E0215" w:rsidRDefault="000E0215" w:rsidP="000E0215">
      <w:r>
        <w:t xml:space="preserve">Eight published studies and one overview report that provided pharmacokinetic </w:t>
      </w:r>
      <w:r w:rsidR="00607DFD">
        <w:t>and pharmacodynamic</w:t>
      </w:r>
      <w:r>
        <w:t xml:space="preserve"> </w:t>
      </w:r>
      <w:r w:rsidR="00607DFD">
        <w:t>outcomes:</w:t>
      </w:r>
    </w:p>
    <w:p w14:paraId="1EE43927" w14:textId="170E2B46" w:rsidR="000E0215" w:rsidRPr="00C73105" w:rsidRDefault="000E0215" w:rsidP="00607DFD">
      <w:pPr>
        <w:pStyle w:val="ListBullet"/>
      </w:pPr>
      <w:r>
        <w:t>four</w:t>
      </w:r>
      <w:r w:rsidRPr="00C73105">
        <w:t xml:space="preserve"> studies that characterised t</w:t>
      </w:r>
      <w:r w:rsidR="00607DFD">
        <w:t>he pharmacokinetics</w:t>
      </w:r>
      <w:r w:rsidRPr="00C73105">
        <w:t xml:space="preserve"> after a single oral dose of </w:t>
      </w:r>
      <w:proofErr w:type="spellStart"/>
      <w:r w:rsidRPr="00C73105">
        <w:t>trientine</w:t>
      </w:r>
      <w:proofErr w:type="spellEnd"/>
      <w:r w:rsidRPr="00C73105">
        <w:t xml:space="preserve"> in healthy volunteers, including one bioequivalence </w:t>
      </w:r>
      <w:proofErr w:type="gramStart"/>
      <w:r w:rsidRPr="00C73105">
        <w:t>study</w:t>
      </w:r>
      <w:r w:rsidR="00607DFD">
        <w:t>;</w:t>
      </w:r>
      <w:proofErr w:type="gramEnd"/>
    </w:p>
    <w:p w14:paraId="34715207" w14:textId="4715D37B" w:rsidR="000E0215" w:rsidRDefault="000E0215" w:rsidP="00607DFD">
      <w:pPr>
        <w:pStyle w:val="ListBullet"/>
      </w:pPr>
      <w:r>
        <w:t xml:space="preserve">one study that described the </w:t>
      </w:r>
      <w:r w:rsidR="00607DFD">
        <w:t>pharmacokinetics</w:t>
      </w:r>
      <w:r>
        <w:t xml:space="preserve"> of </w:t>
      </w:r>
      <w:proofErr w:type="spellStart"/>
      <w:r>
        <w:t>trientine</w:t>
      </w:r>
      <w:proofErr w:type="spellEnd"/>
      <w:r>
        <w:t xml:space="preserve"> after multiple doses of </w:t>
      </w:r>
      <w:proofErr w:type="spellStart"/>
      <w:r>
        <w:t>trientine</w:t>
      </w:r>
      <w:proofErr w:type="spellEnd"/>
      <w:r>
        <w:t xml:space="preserve"> in healthy </w:t>
      </w:r>
      <w:proofErr w:type="gramStart"/>
      <w:r>
        <w:t>volunteers</w:t>
      </w:r>
      <w:r w:rsidR="00607DFD">
        <w:t>;</w:t>
      </w:r>
      <w:proofErr w:type="gramEnd"/>
    </w:p>
    <w:p w14:paraId="7A64AD9B" w14:textId="42806B20" w:rsidR="000E0215" w:rsidRPr="00C73105" w:rsidRDefault="000E0215" w:rsidP="00607DFD">
      <w:pPr>
        <w:pStyle w:val="ListBullet"/>
      </w:pPr>
      <w:r w:rsidRPr="00C73105">
        <w:t xml:space="preserve">two studies that </w:t>
      </w:r>
      <w:r>
        <w:t>described</w:t>
      </w:r>
      <w:r w:rsidRPr="00C73105">
        <w:t xml:space="preserve"> the </w:t>
      </w:r>
      <w:r w:rsidR="00607DFD">
        <w:t>pharmacokinetics</w:t>
      </w:r>
      <w:r w:rsidRPr="00C73105">
        <w:t xml:space="preserve"> and</w:t>
      </w:r>
      <w:r>
        <w:t>/or</w:t>
      </w:r>
      <w:r w:rsidR="00607DFD">
        <w:t xml:space="preserve"> pharmacodynamics</w:t>
      </w:r>
      <w:r w:rsidRPr="00C73105">
        <w:t xml:space="preserve"> of </w:t>
      </w:r>
      <w:proofErr w:type="spellStart"/>
      <w:r w:rsidRPr="00C73105">
        <w:t>trientine</w:t>
      </w:r>
      <w:proofErr w:type="spellEnd"/>
      <w:r w:rsidRPr="00C73105">
        <w:t xml:space="preserve"> in patients with </w:t>
      </w:r>
      <w:r w:rsidR="00607DFD">
        <w:t xml:space="preserve">Wilson’s </w:t>
      </w:r>
      <w:proofErr w:type="gramStart"/>
      <w:r w:rsidR="00607DFD">
        <w:t>disease;</w:t>
      </w:r>
      <w:proofErr w:type="gramEnd"/>
    </w:p>
    <w:p w14:paraId="03651610" w14:textId="7FC6348E" w:rsidR="000E0215" w:rsidRDefault="000E0215" w:rsidP="00607DFD">
      <w:pPr>
        <w:pStyle w:val="ListBullet"/>
      </w:pPr>
      <w:r w:rsidRPr="00C73105">
        <w:t xml:space="preserve">one </w:t>
      </w:r>
      <w:r w:rsidR="00607DFD">
        <w:t>pharmacokinetic/pharmacodynamic</w:t>
      </w:r>
      <w:r w:rsidRPr="00C73105">
        <w:t xml:space="preserve"> modelling study in healthy volunteers</w:t>
      </w:r>
      <w:r w:rsidR="00607DFD">
        <w:t>; and</w:t>
      </w:r>
    </w:p>
    <w:p w14:paraId="580C15F0" w14:textId="65AEF6D4" w:rsidR="000E0215" w:rsidRPr="00C73105" w:rsidRDefault="000E0215" w:rsidP="00607DFD">
      <w:pPr>
        <w:pStyle w:val="ListBullet"/>
      </w:pPr>
      <w:r>
        <w:t>one overview</w:t>
      </w:r>
      <w:r w:rsidR="00607DFD">
        <w:t>.</w:t>
      </w:r>
    </w:p>
    <w:p w14:paraId="62B285E1" w14:textId="5D0224B4" w:rsidR="000E0215" w:rsidRPr="00607DFD" w:rsidRDefault="000E0215" w:rsidP="00607DFD">
      <w:r w:rsidRPr="00607DFD">
        <w:t xml:space="preserve">Ten published efficacy studies, three reviews and four abstracts for conference presentations were submitted </w:t>
      </w:r>
      <w:r w:rsidR="00C82174">
        <w:t>to support claims for efficacy.</w:t>
      </w:r>
    </w:p>
    <w:p w14:paraId="75C705F1" w14:textId="3E730B76" w:rsidR="000E0215" w:rsidRPr="00607DFD" w:rsidRDefault="00607DFD" w:rsidP="00607DFD">
      <w:r>
        <w:t>Fifteen</w:t>
      </w:r>
      <w:r w:rsidR="000E0215" w:rsidRPr="00607DFD">
        <w:t xml:space="preserve"> additional published reports, including individual case studies, were include</w:t>
      </w:r>
      <w:r>
        <w:t>d to support claims for safety.</w:t>
      </w:r>
    </w:p>
    <w:p w14:paraId="6F3BDC65" w14:textId="04083917" w:rsidR="000E0215" w:rsidRDefault="00607DFD" w:rsidP="00607DFD">
      <w:r>
        <w:t>T</w:t>
      </w:r>
      <w:r w:rsidR="000E0215" w:rsidRPr="00607DFD">
        <w:t>hree clinical practice guidelines published by the relevant European and US specialist associations, which were included among additional literature references</w:t>
      </w:r>
      <w:r>
        <w:t>, were considered</w:t>
      </w:r>
      <w:r w:rsidR="000E0215" w:rsidRPr="00607DFD">
        <w:t>.</w:t>
      </w:r>
    </w:p>
    <w:p w14:paraId="48C8E803" w14:textId="5E83868B" w:rsidR="000E0215" w:rsidRDefault="00607DFD" w:rsidP="00607DFD">
      <w:r>
        <w:t xml:space="preserve">In addition, the sponsor included a clinical overview and a clinical summary, </w:t>
      </w:r>
      <w:r w:rsidR="000E0215">
        <w:t>which</w:t>
      </w:r>
      <w:r>
        <w:t xml:space="preserve"> in turn</w:t>
      </w:r>
      <w:r w:rsidR="000E0215">
        <w:t xml:space="preserve"> included summaries </w:t>
      </w:r>
      <w:r>
        <w:t xml:space="preserve">of clinical pharmacology, clinical efficacy, and clinical safety </w:t>
      </w:r>
      <w:r w:rsidR="000E0215">
        <w:t xml:space="preserve">that provided synopses of the reports included in the </w:t>
      </w:r>
      <w:proofErr w:type="gramStart"/>
      <w:r>
        <w:t>literature based</w:t>
      </w:r>
      <w:proofErr w:type="gramEnd"/>
      <w:r>
        <w:t xml:space="preserve"> submission.</w:t>
      </w:r>
    </w:p>
    <w:p w14:paraId="095B219F" w14:textId="77777777" w:rsidR="00F15FDF" w:rsidRDefault="00F15FDF" w:rsidP="00F15FDF">
      <w:pPr>
        <w:pStyle w:val="Heading4"/>
      </w:pPr>
      <w:r w:rsidRPr="00F15FDF">
        <w:t>Pharmacology</w:t>
      </w:r>
    </w:p>
    <w:p w14:paraId="08257F39" w14:textId="0C8B01F9" w:rsidR="00F15FDF" w:rsidRPr="004D5470" w:rsidRDefault="00F15FDF" w:rsidP="00F15FDF">
      <w:r>
        <w:t xml:space="preserve">The published literature describing the pharmacology of </w:t>
      </w:r>
      <w:proofErr w:type="spellStart"/>
      <w:r>
        <w:t>trientine</w:t>
      </w:r>
      <w:proofErr w:type="spellEnd"/>
      <w:r>
        <w:t xml:space="preserve"> is detailed in the clinical evaluation report. A summary of the main pharmacokinetic and pharmacodynamic findings is provided below.</w:t>
      </w:r>
    </w:p>
    <w:p w14:paraId="218E5280" w14:textId="20B1A5F8" w:rsidR="00F15FDF" w:rsidRPr="00F15FDF" w:rsidRDefault="00F15FDF" w:rsidP="00F15FDF">
      <w:pPr>
        <w:pStyle w:val="Heading5"/>
      </w:pPr>
      <w:r>
        <w:t>Pharmacokinetics</w:t>
      </w:r>
    </w:p>
    <w:p w14:paraId="003AE0FD" w14:textId="0BE8D8E0" w:rsidR="00F15FDF" w:rsidRDefault="00F15FDF" w:rsidP="00F945B6">
      <w:r w:rsidRPr="00F945B6">
        <w:t>Bioequivalence</w:t>
      </w:r>
      <w:r w:rsidRPr="0049239E">
        <w:t xml:space="preserve"> of the proposed product to the USA reference product, </w:t>
      </w:r>
      <w:proofErr w:type="spellStart"/>
      <w:r w:rsidRPr="0049239E">
        <w:t>Syprine</w:t>
      </w:r>
      <w:proofErr w:type="spellEnd"/>
      <w:r w:rsidRPr="0049239E">
        <w:t>, was established in Study 15-VIN-474</w:t>
      </w:r>
      <w:r>
        <w:t>.</w:t>
      </w:r>
    </w:p>
    <w:p w14:paraId="159FF0AB" w14:textId="36873F8E" w:rsidR="00F15FDF" w:rsidRDefault="00F15FDF" w:rsidP="00F15FDF">
      <w:pPr>
        <w:pStyle w:val="TableTitle"/>
      </w:pPr>
      <w:r>
        <w:lastRenderedPageBreak/>
        <w:t xml:space="preserve">Table </w:t>
      </w:r>
      <w:fldSimple w:instr=" SEQ Table \* ARABIC ">
        <w:r w:rsidR="005906D0">
          <w:rPr>
            <w:noProof/>
          </w:rPr>
          <w:t>2</w:t>
        </w:r>
      </w:fldSimple>
      <w:r>
        <w:t>: Study 15-VIN-474 Bioequivalence of</w:t>
      </w:r>
      <w:r w:rsidRPr="0072472F">
        <w:t xml:space="preserve"> Dr Reddy’s </w:t>
      </w:r>
      <w:proofErr w:type="spellStart"/>
      <w:r w:rsidRPr="0072472F">
        <w:t>trientine</w:t>
      </w:r>
      <w:proofErr w:type="spellEnd"/>
      <w:r w:rsidRPr="0072472F">
        <w:t xml:space="preserve"> hydrochlorid</w:t>
      </w:r>
      <w:r>
        <w:t>e capsules USP 250 mg (test) versus</w:t>
      </w:r>
      <w:r w:rsidRPr="0072472F">
        <w:t xml:space="preserve"> </w:t>
      </w:r>
      <w:proofErr w:type="spellStart"/>
      <w:r w:rsidRPr="0072472F">
        <w:t>Syprine</w:t>
      </w:r>
      <w:proofErr w:type="spellEnd"/>
      <w:r w:rsidRPr="0072472F">
        <w:t xml:space="preserve"> 250 mg capsules (reference)</w:t>
      </w:r>
    </w:p>
    <w:p w14:paraId="7ED4B3EE" w14:textId="42DDD1AD" w:rsidR="00F15FDF" w:rsidRDefault="00F15FDF" w:rsidP="00022849">
      <w:r w:rsidRPr="0003133B">
        <w:rPr>
          <w:noProof/>
          <w:lang w:val="en-GB" w:eastAsia="en-GB"/>
        </w:rPr>
        <w:drawing>
          <wp:inline distT="0" distB="0" distL="0" distR="0" wp14:anchorId="3D188221" wp14:editId="2A103619">
            <wp:extent cx="4151870" cy="2447167"/>
            <wp:effectExtent l="0" t="0" r="1270" b="0"/>
            <wp:docPr id="13" name="Picture 13" descr="Study 15-VIN-474 Bioequivalence of Dr Reddy’s trientine hydrochloride capsules USP 250 mg (test) versus Syprine 250 mg capsules (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9328" cy="2516398"/>
                    </a:xfrm>
                    <a:prstGeom prst="rect">
                      <a:avLst/>
                    </a:prstGeom>
                    <a:noFill/>
                    <a:ln>
                      <a:noFill/>
                    </a:ln>
                  </pic:spPr>
                </pic:pic>
              </a:graphicData>
            </a:graphic>
          </wp:inline>
        </w:drawing>
      </w:r>
    </w:p>
    <w:p w14:paraId="52C1C465" w14:textId="16C68A7F" w:rsidR="00315294" w:rsidRPr="00315294" w:rsidRDefault="00315294" w:rsidP="00315294">
      <w:pPr>
        <w:pStyle w:val="TableDescription"/>
      </w:pPr>
      <w:r>
        <w:t>%CV = coefficient of variation; AUC</w:t>
      </w:r>
      <w:r w:rsidRPr="00315294">
        <w:rPr>
          <w:vertAlign w:val="subscript"/>
        </w:rPr>
        <w:t xml:space="preserve">0-t </w:t>
      </w:r>
      <w:r>
        <w:t>= area under the concentration versus time curve from time zero to last quantifiable measurement; AUC</w:t>
      </w:r>
      <w:r w:rsidRPr="00315294">
        <w:rPr>
          <w:vertAlign w:val="subscript"/>
        </w:rPr>
        <w:t xml:space="preserve">0-∞ </w:t>
      </w:r>
      <w:r>
        <w:t xml:space="preserve">= area under the concentration versus time curve from time zero to infinity; </w:t>
      </w:r>
      <w:proofErr w:type="spellStart"/>
      <w:r>
        <w:t>C</w:t>
      </w:r>
      <w:r w:rsidRPr="00315294">
        <w:rPr>
          <w:vertAlign w:val="subscript"/>
        </w:rPr>
        <w:t>max</w:t>
      </w:r>
      <w:proofErr w:type="spellEnd"/>
      <w:r>
        <w:t xml:space="preserve"> = maximum concentration; </w:t>
      </w:r>
      <w:proofErr w:type="spellStart"/>
      <w:r>
        <w:t>K</w:t>
      </w:r>
      <w:r w:rsidRPr="00315294">
        <w:rPr>
          <w:vertAlign w:val="subscript"/>
        </w:rPr>
        <w:t>el</w:t>
      </w:r>
      <w:proofErr w:type="spellEnd"/>
      <w:r>
        <w:t xml:space="preserve"> = elimination constant; N = number of subjects; t</w:t>
      </w:r>
      <w:r w:rsidRPr="00315294">
        <w:rPr>
          <w:vertAlign w:val="subscript"/>
        </w:rPr>
        <w:t xml:space="preserve">1/2 </w:t>
      </w:r>
      <w:r>
        <w:t xml:space="preserve">= </w:t>
      </w:r>
      <w:proofErr w:type="spellStart"/>
      <w:r>
        <w:t>half life</w:t>
      </w:r>
      <w:proofErr w:type="spellEnd"/>
      <w:r>
        <w:t xml:space="preserve">; SD = standard deviation; </w:t>
      </w:r>
      <w:proofErr w:type="spellStart"/>
      <w:r>
        <w:t>T</w:t>
      </w:r>
      <w:r w:rsidRPr="00315294">
        <w:rPr>
          <w:vertAlign w:val="subscript"/>
        </w:rPr>
        <w:t>max</w:t>
      </w:r>
      <w:proofErr w:type="spellEnd"/>
      <w:r>
        <w:t xml:space="preserve"> = time of maximum concentration</w:t>
      </w:r>
      <w:r w:rsidR="009A40D3">
        <w:t>.</w:t>
      </w:r>
    </w:p>
    <w:p w14:paraId="6DBF064C" w14:textId="005DCA2D" w:rsidR="00F15FDF" w:rsidRDefault="00F15FDF" w:rsidP="00F15FDF">
      <w:pPr>
        <w:pStyle w:val="TableTitle"/>
      </w:pPr>
      <w:r>
        <w:t xml:space="preserve">Table </w:t>
      </w:r>
      <w:fldSimple w:instr=" SEQ Table \* ARABIC ">
        <w:r w:rsidR="005906D0">
          <w:rPr>
            <w:noProof/>
          </w:rPr>
          <w:t>3</w:t>
        </w:r>
      </w:fldSimple>
      <w:r>
        <w:t xml:space="preserve">: </w:t>
      </w:r>
      <w:r w:rsidRPr="00272D2B">
        <w:t>Study 15-VIN-474</w:t>
      </w:r>
      <w:r>
        <w:t xml:space="preserve"> </w:t>
      </w:r>
      <w:r w:rsidRPr="00272D2B">
        <w:t>Statistical analysis, bioequivalence</w:t>
      </w:r>
      <w:r>
        <w:t xml:space="preserve"> of</w:t>
      </w:r>
      <w:r w:rsidRPr="00272D2B">
        <w:t xml:space="preserve"> Dr Reddy’s </w:t>
      </w:r>
      <w:proofErr w:type="spellStart"/>
      <w:r w:rsidRPr="00272D2B">
        <w:t>trientine</w:t>
      </w:r>
      <w:proofErr w:type="spellEnd"/>
      <w:r w:rsidRPr="00272D2B">
        <w:t xml:space="preserve"> hydrochlorid</w:t>
      </w:r>
      <w:r>
        <w:t>e capsules USP 250 mg (test) versus</w:t>
      </w:r>
      <w:r w:rsidRPr="00272D2B">
        <w:t xml:space="preserve"> </w:t>
      </w:r>
      <w:proofErr w:type="spellStart"/>
      <w:r w:rsidRPr="00272D2B">
        <w:t>Syprine</w:t>
      </w:r>
      <w:proofErr w:type="spellEnd"/>
      <w:r w:rsidRPr="00272D2B">
        <w:t xml:space="preserve"> 250 mg capsules (reference)</w:t>
      </w:r>
    </w:p>
    <w:p w14:paraId="4059DF75" w14:textId="4B8E01E8" w:rsidR="00F15FDF" w:rsidRDefault="00F15FDF" w:rsidP="00F15FDF">
      <w:r>
        <w:rPr>
          <w:noProof/>
          <w:lang w:val="en-GB" w:eastAsia="en-GB"/>
        </w:rPr>
        <w:drawing>
          <wp:inline distT="0" distB="0" distL="0" distR="0" wp14:anchorId="2A8967ED" wp14:editId="04FBAEC9">
            <wp:extent cx="5268036" cy="1505950"/>
            <wp:effectExtent l="0" t="0" r="0" b="0"/>
            <wp:docPr id="6" name="Picture 6" descr="Study 15-VIN-474 Statistical analysis, bioequivalence of Dr Reddy’s trientine hydrochloride capsules USP 250 mg (test) versus Syprine 250 mg capsu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udy 15-VIN-474 Statistical analysis, bioequivalence of Dr Reddy’s trientine hydrochloride capsules USP 250 mg (test) versus Syprine 250 mg capsules "/>
                    <pic:cNvPicPr/>
                  </pic:nvPicPr>
                  <pic:blipFill>
                    <a:blip r:embed="rId15"/>
                    <a:stretch>
                      <a:fillRect/>
                    </a:stretch>
                  </pic:blipFill>
                  <pic:spPr>
                    <a:xfrm>
                      <a:off x="0" y="0"/>
                      <a:ext cx="5283299" cy="1510313"/>
                    </a:xfrm>
                    <a:prstGeom prst="rect">
                      <a:avLst/>
                    </a:prstGeom>
                  </pic:spPr>
                </pic:pic>
              </a:graphicData>
            </a:graphic>
          </wp:inline>
        </w:drawing>
      </w:r>
    </w:p>
    <w:p w14:paraId="21EC04AD" w14:textId="4F40A798" w:rsidR="008D2BD5" w:rsidRDefault="008D2BD5" w:rsidP="008D2BD5">
      <w:pPr>
        <w:pStyle w:val="TableDescription"/>
      </w:pPr>
      <w:r>
        <w:t>AUC</w:t>
      </w:r>
      <w:r w:rsidRPr="00315294">
        <w:rPr>
          <w:vertAlign w:val="subscript"/>
        </w:rPr>
        <w:t xml:space="preserve">0-t </w:t>
      </w:r>
      <w:r>
        <w:t>= area under the concentration versus time curve from time zero to last quantifiable measurement; AUC</w:t>
      </w:r>
      <w:r w:rsidRPr="00315294">
        <w:rPr>
          <w:vertAlign w:val="subscript"/>
        </w:rPr>
        <w:t xml:space="preserve">0-∞ </w:t>
      </w:r>
      <w:r>
        <w:t xml:space="preserve">= area under the concentration versus time curve from time zero to infinity; C.I. = confidence intervals; </w:t>
      </w:r>
      <w:proofErr w:type="spellStart"/>
      <w:r>
        <w:t>C</w:t>
      </w:r>
      <w:r w:rsidRPr="00315294">
        <w:rPr>
          <w:vertAlign w:val="subscript"/>
        </w:rPr>
        <w:t>max</w:t>
      </w:r>
      <w:proofErr w:type="spellEnd"/>
      <w:r>
        <w:t> = maximum concentration; N = number of subjects.</w:t>
      </w:r>
    </w:p>
    <w:p w14:paraId="5FDF1528" w14:textId="34F09429" w:rsidR="00F15FDF" w:rsidRPr="008D2BD5" w:rsidRDefault="00F15FDF" w:rsidP="008D2BD5">
      <w:r w:rsidRPr="008D2BD5">
        <w:t>Absolute bioavailability was not reported in the literature</w:t>
      </w:r>
      <w:r w:rsidR="008D2BD5">
        <w:t xml:space="preserve">. </w:t>
      </w:r>
      <w:r w:rsidRPr="008D2BD5">
        <w:t xml:space="preserve">Following oral administration, absorption of </w:t>
      </w:r>
      <w:proofErr w:type="spellStart"/>
      <w:r w:rsidR="008D2BD5">
        <w:t>trientine</w:t>
      </w:r>
      <w:proofErr w:type="spellEnd"/>
      <w:r w:rsidR="008D2BD5">
        <w:t xml:space="preserve"> is low and variable. </w:t>
      </w:r>
      <w:r w:rsidRPr="008D2BD5">
        <w:t xml:space="preserve">The </w:t>
      </w:r>
      <w:r w:rsidR="008D2BD5">
        <w:t>pharmacokinetics</w:t>
      </w:r>
      <w:r w:rsidRPr="008D2BD5">
        <w:t xml:space="preserve"> of </w:t>
      </w:r>
      <w:proofErr w:type="spellStart"/>
      <w:r w:rsidRPr="008D2BD5">
        <w:t>trientine</w:t>
      </w:r>
      <w:proofErr w:type="spellEnd"/>
      <w:r w:rsidRPr="008D2BD5">
        <w:t xml:space="preserve"> is similar between healthy individuals and patients with </w:t>
      </w:r>
      <w:r w:rsidR="008D2BD5">
        <w:t>Wilson’s disease</w:t>
      </w:r>
      <w:r w:rsidRPr="008D2BD5">
        <w:t xml:space="preserve">. </w:t>
      </w:r>
      <w:proofErr w:type="spellStart"/>
      <w:r w:rsidRPr="008D2BD5">
        <w:t>Trientine</w:t>
      </w:r>
      <w:proofErr w:type="spellEnd"/>
      <w:r w:rsidRPr="008D2BD5">
        <w:t xml:space="preserve"> di</w:t>
      </w:r>
      <w:r w:rsidR="008D2BD5">
        <w:t>splays linear pharmacokinetics.</w:t>
      </w:r>
      <w:r w:rsidRPr="008D2BD5">
        <w:t xml:space="preserve"> There is high inter-individual variability in the </w:t>
      </w:r>
      <w:r w:rsidR="008D2BD5">
        <w:t>pharmacokinetics</w:t>
      </w:r>
      <w:r w:rsidR="008D2BD5" w:rsidRPr="008D2BD5">
        <w:t xml:space="preserve"> </w:t>
      </w:r>
      <w:r w:rsidRPr="008D2BD5">
        <w:t xml:space="preserve">of </w:t>
      </w:r>
      <w:proofErr w:type="spellStart"/>
      <w:r w:rsidRPr="008D2BD5">
        <w:t>trientine</w:t>
      </w:r>
      <w:proofErr w:type="spellEnd"/>
      <w:r w:rsidRPr="008D2BD5">
        <w:t>.</w:t>
      </w:r>
    </w:p>
    <w:p w14:paraId="0C3B7D45" w14:textId="709AA71E" w:rsidR="00F15FDF" w:rsidRPr="008D2BD5" w:rsidRDefault="008D2BD5" w:rsidP="008D2BD5">
      <w:r w:rsidRPr="008D2BD5">
        <w:t xml:space="preserve">Pharmacokinetic </w:t>
      </w:r>
      <w:r w:rsidR="00F15FDF" w:rsidRPr="008D2BD5">
        <w:t xml:space="preserve">studies in the healthy population were predominantly performed under fasting </w:t>
      </w:r>
      <w:r w:rsidRPr="008D2BD5">
        <w:t xml:space="preserve">conditions. </w:t>
      </w:r>
      <w:r w:rsidR="00F15FDF" w:rsidRPr="008D2BD5">
        <w:t xml:space="preserve">The literature lacked robust data on the effect of food on the </w:t>
      </w:r>
      <w:r w:rsidRPr="008D2BD5">
        <w:t xml:space="preserve">pharmacokinetics </w:t>
      </w:r>
      <w:r w:rsidR="00F15FDF" w:rsidRPr="008D2BD5">
        <w:t xml:space="preserve">of </w:t>
      </w:r>
      <w:proofErr w:type="spellStart"/>
      <w:r w:rsidR="00F15FDF" w:rsidRPr="008D2BD5">
        <w:t>trientine</w:t>
      </w:r>
      <w:proofErr w:type="spellEnd"/>
      <w:r w:rsidR="00F15FDF" w:rsidRPr="008D2BD5">
        <w:t>, but some studies commented that co-administration with food may result in binding with trace metals in the diet and reduced</w:t>
      </w:r>
      <w:r w:rsidRPr="008D2BD5">
        <w:t xml:space="preserve"> bioavailability of </w:t>
      </w:r>
      <w:proofErr w:type="spellStart"/>
      <w:r w:rsidRPr="008D2BD5">
        <w:t>trientine</w:t>
      </w:r>
      <w:proofErr w:type="spellEnd"/>
      <w:r w:rsidRPr="008D2BD5">
        <w:t xml:space="preserve">. </w:t>
      </w:r>
      <w:proofErr w:type="spellStart"/>
      <w:r w:rsidR="00F15FDF" w:rsidRPr="008D2BD5">
        <w:t>Trientine</w:t>
      </w:r>
      <w:proofErr w:type="spellEnd"/>
      <w:r w:rsidR="00F15FDF" w:rsidRPr="008D2BD5">
        <w:t xml:space="preserve"> is re</w:t>
      </w:r>
      <w:r w:rsidRPr="008D2BD5">
        <w:t>commended to be taken at least one</w:t>
      </w:r>
      <w:r w:rsidR="00F15FDF" w:rsidRPr="008D2BD5">
        <w:t xml:space="preserve"> hour before meals or two hours after meals to allow for maximal absorption and reduce the likelihood of binding with trace metals i</w:t>
      </w:r>
      <w:r w:rsidRPr="008D2BD5">
        <w:t>n the diet.</w:t>
      </w:r>
    </w:p>
    <w:p w14:paraId="61417C75" w14:textId="2210D7D9" w:rsidR="00F15FDF" w:rsidRPr="00022F0E" w:rsidRDefault="00F15FDF" w:rsidP="00F15FDF">
      <w:proofErr w:type="spellStart"/>
      <w:r w:rsidRPr="00022F0E">
        <w:t>Trientine</w:t>
      </w:r>
      <w:proofErr w:type="spellEnd"/>
      <w:r w:rsidRPr="00022F0E">
        <w:t xml:space="preserve"> is rapidly meta</w:t>
      </w:r>
      <w:r w:rsidR="008D2BD5">
        <w:t xml:space="preserve">bolised to </w:t>
      </w:r>
      <w:proofErr w:type="spellStart"/>
      <w:r w:rsidR="008D2BD5">
        <w:t>monoacetyltrientine</w:t>
      </w:r>
      <w:proofErr w:type="spellEnd"/>
      <w:r w:rsidR="008D2BD5">
        <w:t xml:space="preserve"> and </w:t>
      </w:r>
      <w:proofErr w:type="spellStart"/>
      <w:r w:rsidR="008D2BD5">
        <w:t>diacetyltrientine</w:t>
      </w:r>
      <w:proofErr w:type="spellEnd"/>
      <w:r w:rsidR="008D2BD5">
        <w:t xml:space="preserve">. </w:t>
      </w:r>
      <w:r w:rsidRPr="00022F0E">
        <w:t xml:space="preserve">The extent of the contribution of </w:t>
      </w:r>
      <w:proofErr w:type="spellStart"/>
      <w:r w:rsidR="008D2BD5" w:rsidRPr="00022F0E">
        <w:t>monoacetyltrientine</w:t>
      </w:r>
      <w:proofErr w:type="spellEnd"/>
      <w:r w:rsidR="008D2BD5" w:rsidRPr="00022F0E">
        <w:t xml:space="preserve"> </w:t>
      </w:r>
      <w:r w:rsidRPr="00022F0E">
        <w:t xml:space="preserve">and </w:t>
      </w:r>
      <w:proofErr w:type="spellStart"/>
      <w:r w:rsidR="008D2BD5">
        <w:t>diacetyltrientine</w:t>
      </w:r>
      <w:proofErr w:type="spellEnd"/>
      <w:r w:rsidR="008D2BD5">
        <w:t xml:space="preserve"> </w:t>
      </w:r>
      <w:r w:rsidRPr="00022F0E">
        <w:t xml:space="preserve">to the overall effect of </w:t>
      </w:r>
      <w:proofErr w:type="spellStart"/>
      <w:r w:rsidRPr="00022F0E">
        <w:lastRenderedPageBreak/>
        <w:t>trientine</w:t>
      </w:r>
      <w:proofErr w:type="spellEnd"/>
      <w:r w:rsidR="008D2BD5">
        <w:t xml:space="preserve"> on copper levels is uncertain.</w:t>
      </w:r>
      <w:r w:rsidRPr="00022F0E">
        <w:t xml:space="preserve"> </w:t>
      </w:r>
      <w:proofErr w:type="spellStart"/>
      <w:r w:rsidRPr="00022F0E">
        <w:t>Trientine</w:t>
      </w:r>
      <w:proofErr w:type="spellEnd"/>
      <w:r w:rsidRPr="00022F0E">
        <w:t xml:space="preserve"> and its metabolites are ex</w:t>
      </w:r>
      <w:r w:rsidR="008D2BD5">
        <w:t xml:space="preserve">creted in the urine. </w:t>
      </w:r>
      <w:r w:rsidRPr="00022F0E">
        <w:t xml:space="preserve">Unabsorbed </w:t>
      </w:r>
      <w:proofErr w:type="spellStart"/>
      <w:r w:rsidRPr="00022F0E">
        <w:t>trientine</w:t>
      </w:r>
      <w:proofErr w:type="spellEnd"/>
      <w:r w:rsidRPr="00022F0E">
        <w:t xml:space="preserve"> is eliminated through faecal excretion.</w:t>
      </w:r>
    </w:p>
    <w:p w14:paraId="28507DC8" w14:textId="26A5555A" w:rsidR="00F15FDF" w:rsidRPr="00BB0670" w:rsidRDefault="00F15FDF" w:rsidP="00F15FDF">
      <w:r>
        <w:t>N</w:t>
      </w:r>
      <w:r w:rsidR="008D2BD5">
        <w:t>o data on pharmacokinetic</w:t>
      </w:r>
      <w:r w:rsidRPr="00022F0E">
        <w:t xml:space="preserve"> interactions</w:t>
      </w:r>
      <w:r>
        <w:t xml:space="preserve"> were presented</w:t>
      </w:r>
      <w:r w:rsidRPr="00022F0E">
        <w:t>.</w:t>
      </w:r>
    </w:p>
    <w:p w14:paraId="32F61D00" w14:textId="7D3FE3B8" w:rsidR="00F15FDF" w:rsidRPr="008D2BD5" w:rsidRDefault="008D2BD5" w:rsidP="008D2BD5">
      <w:pPr>
        <w:pStyle w:val="Heading5"/>
      </w:pPr>
      <w:r>
        <w:t>Pharmacodynamics</w:t>
      </w:r>
    </w:p>
    <w:p w14:paraId="26C35D72" w14:textId="664A4000" w:rsidR="00F15FDF" w:rsidRDefault="00F15FDF" w:rsidP="00F15FDF">
      <w:r>
        <w:t xml:space="preserve">The primary </w:t>
      </w:r>
      <w:r w:rsidR="008D2BD5">
        <w:t>pharmacodynamics</w:t>
      </w:r>
      <w:r>
        <w:t xml:space="preserve"> effect of </w:t>
      </w:r>
      <w:proofErr w:type="spellStart"/>
      <w:r>
        <w:t>trientine</w:t>
      </w:r>
      <w:proofErr w:type="spellEnd"/>
      <w:r>
        <w:t xml:space="preserve"> is to increase renal excretion of copper as the stable </w:t>
      </w:r>
      <w:proofErr w:type="spellStart"/>
      <w:r>
        <w:t>trientine</w:t>
      </w:r>
      <w:proofErr w:type="spellEnd"/>
      <w:r>
        <w:t>-copper c</w:t>
      </w:r>
      <w:r w:rsidR="008D2BD5">
        <w:t xml:space="preserve">omplex. </w:t>
      </w:r>
      <w:r>
        <w:t xml:space="preserve">Some studies reported decreased absorption of ingested copper with </w:t>
      </w:r>
      <w:proofErr w:type="spellStart"/>
      <w:r>
        <w:t>trientine</w:t>
      </w:r>
      <w:proofErr w:type="spellEnd"/>
      <w:r>
        <w:t>.</w:t>
      </w:r>
    </w:p>
    <w:p w14:paraId="2FE4AD17" w14:textId="5915EB39" w:rsidR="00F15FDF" w:rsidRDefault="00F15FDF" w:rsidP="00F15FDF">
      <w:r>
        <w:t xml:space="preserve">There is intra- and inter-individual variability in responsiveness to </w:t>
      </w:r>
      <w:proofErr w:type="spellStart"/>
      <w:r>
        <w:t>trientine</w:t>
      </w:r>
      <w:proofErr w:type="spellEnd"/>
      <w:r>
        <w:t xml:space="preserve">, but the relationship between </w:t>
      </w:r>
      <w:proofErr w:type="spellStart"/>
      <w:r>
        <w:t>trientine</w:t>
      </w:r>
      <w:proofErr w:type="spellEnd"/>
      <w:r>
        <w:t xml:space="preserve"> dose and urinary copper excretion is generally li</w:t>
      </w:r>
      <w:r w:rsidR="008D2BD5">
        <w:t xml:space="preserve">near. </w:t>
      </w:r>
      <w:r>
        <w:t xml:space="preserve">The </w:t>
      </w:r>
      <w:proofErr w:type="spellStart"/>
      <w:r>
        <w:t>cupruretic</w:t>
      </w:r>
      <w:proofErr w:type="spellEnd"/>
      <w:r>
        <w:t xml:space="preserve"> response to </w:t>
      </w:r>
      <w:proofErr w:type="spellStart"/>
      <w:r>
        <w:t>trientine</w:t>
      </w:r>
      <w:proofErr w:type="spellEnd"/>
      <w:r>
        <w:t xml:space="preserve"> is affected by the degree of copper overload, with smaller responses seen in patients whose copper overload has been controlled.</w:t>
      </w:r>
    </w:p>
    <w:p w14:paraId="72D11A8D" w14:textId="77777777" w:rsidR="00F15FDF" w:rsidRDefault="00F15FDF" w:rsidP="008D2BD5">
      <w:pPr>
        <w:pStyle w:val="Heading4"/>
      </w:pPr>
      <w:r>
        <w:t>Dosage</w:t>
      </w:r>
    </w:p>
    <w:p w14:paraId="5AF49333" w14:textId="1A046BDD" w:rsidR="00F15FDF" w:rsidRDefault="00F15FDF" w:rsidP="00F15FDF">
      <w:pPr>
        <w:rPr>
          <w:lang w:eastAsia="ja-JP"/>
        </w:rPr>
      </w:pPr>
      <w:r>
        <w:t xml:space="preserve">The proposed dosage is based on the </w:t>
      </w:r>
      <w:r w:rsidR="00F945B6">
        <w:t xml:space="preserve">US </w:t>
      </w:r>
      <w:r>
        <w:t>F</w:t>
      </w:r>
      <w:r w:rsidR="00F945B6">
        <w:t>ood and Drug Administration</w:t>
      </w:r>
      <w:r>
        <w:t xml:space="preserve">-approved dosage for </w:t>
      </w:r>
      <w:proofErr w:type="spellStart"/>
      <w:r>
        <w:t>Syprine</w:t>
      </w:r>
      <w:proofErr w:type="spellEnd"/>
      <w:r>
        <w:t>.</w:t>
      </w:r>
    </w:p>
    <w:p w14:paraId="73BFEEA8" w14:textId="0682AECE" w:rsidR="00F15FDF" w:rsidRDefault="00F15FDF" w:rsidP="00F15FDF">
      <w:r>
        <w:rPr>
          <w:lang w:eastAsia="ja-JP"/>
        </w:rPr>
        <w:t>There were no formal dose find</w:t>
      </w:r>
      <w:r w:rsidR="008D2BD5">
        <w:rPr>
          <w:lang w:eastAsia="ja-JP"/>
        </w:rPr>
        <w:t xml:space="preserve">ing studies in the literature. </w:t>
      </w:r>
      <w:r>
        <w:rPr>
          <w:lang w:eastAsia="ja-JP"/>
        </w:rPr>
        <w:t>The dosages reported in the studies ranged from 100</w:t>
      </w:r>
      <w:r w:rsidR="008D2BD5">
        <w:rPr>
          <w:lang w:eastAsia="ja-JP"/>
        </w:rPr>
        <w:t xml:space="preserve"> </w:t>
      </w:r>
      <w:r>
        <w:rPr>
          <w:lang w:eastAsia="ja-JP"/>
        </w:rPr>
        <w:t xml:space="preserve">mg </w:t>
      </w:r>
      <w:r w:rsidR="008D2BD5">
        <w:rPr>
          <w:lang w:eastAsia="ja-JP"/>
        </w:rPr>
        <w:t>twice daily</w:t>
      </w:r>
      <w:r>
        <w:rPr>
          <w:lang w:eastAsia="ja-JP"/>
        </w:rPr>
        <w:t xml:space="preserve"> to 1800 mg </w:t>
      </w:r>
      <w:r w:rsidR="008D2BD5">
        <w:rPr>
          <w:lang w:eastAsia="ja-JP"/>
        </w:rPr>
        <w:t xml:space="preserve">twice daily. </w:t>
      </w:r>
      <w:r>
        <w:t xml:space="preserve">Cho </w:t>
      </w:r>
      <w:r w:rsidR="00803422">
        <w:t>et al., (</w:t>
      </w:r>
      <w:r>
        <w:t>2009</w:t>
      </w:r>
      <w:r w:rsidR="00803422">
        <w:t>);</w:t>
      </w:r>
      <w:r w:rsidR="00803422">
        <w:rPr>
          <w:rStyle w:val="FootnoteReference"/>
        </w:rPr>
        <w:footnoteReference w:id="8"/>
      </w:r>
      <w:r>
        <w:t xml:space="preserve"> evaluated the </w:t>
      </w:r>
      <w:r w:rsidR="00803422">
        <w:t>pharmacokinetics, pharmacodynamics</w:t>
      </w:r>
      <w:r>
        <w:t xml:space="preserve">, </w:t>
      </w:r>
      <w:proofErr w:type="gramStart"/>
      <w:r>
        <w:t>tolerability</w:t>
      </w:r>
      <w:proofErr w:type="gramEnd"/>
      <w:r>
        <w:t xml:space="preserve"> and safety of </w:t>
      </w:r>
      <w:proofErr w:type="spellStart"/>
      <w:r>
        <w:t>trientine</w:t>
      </w:r>
      <w:proofErr w:type="spellEnd"/>
      <w:r>
        <w:t xml:space="preserve"> after repeated twice daily doses of 200, 600, 1200 and 1800 mg for 14 days in adults.</w:t>
      </w:r>
      <w:r w:rsidR="00544119">
        <w:t xml:space="preserve"> </w:t>
      </w:r>
      <w:r>
        <w:t xml:space="preserve">The authors concluded that the steady state doses were safe and well tolerated, but the </w:t>
      </w:r>
      <w:r w:rsidR="00803422">
        <w:t>pharmacokinetic</w:t>
      </w:r>
      <w:r>
        <w:t>/</w:t>
      </w:r>
      <w:r w:rsidR="00803422">
        <w:t>pharmacodynamic</w:t>
      </w:r>
      <w:r>
        <w:t xml:space="preserve"> and safety profile support a 600 mg </w:t>
      </w:r>
      <w:r w:rsidR="00803422">
        <w:t>twice daily</w:t>
      </w:r>
      <w:r>
        <w:t xml:space="preserve"> regimen (1200 mg/day) as more adverse events were reported wit</w:t>
      </w:r>
      <w:r w:rsidR="00803422">
        <w:t>h the higher 3600 mg/day dose.</w:t>
      </w:r>
    </w:p>
    <w:p w14:paraId="31C513B7" w14:textId="7A29309F" w:rsidR="00936E59" w:rsidRDefault="00F15FDF" w:rsidP="00803422">
      <w:proofErr w:type="spellStart"/>
      <w:r>
        <w:t>Trientine</w:t>
      </w:r>
      <w:proofErr w:type="spellEnd"/>
      <w:r>
        <w:t xml:space="preserve"> has been </w:t>
      </w:r>
      <w:r w:rsidR="00803422">
        <w:t>in clinical use for many years.</w:t>
      </w:r>
      <w:r>
        <w:t xml:space="preserve"> There is high inter-individual variability in the </w:t>
      </w:r>
      <w:r w:rsidR="00803422">
        <w:t xml:space="preserve">pharmacokinetics </w:t>
      </w:r>
      <w:r>
        <w:t xml:space="preserve">of </w:t>
      </w:r>
      <w:proofErr w:type="spellStart"/>
      <w:r>
        <w:t>trientine</w:t>
      </w:r>
      <w:proofErr w:type="spellEnd"/>
      <w:r>
        <w:t>, and the dose is typically titrated a</w:t>
      </w:r>
      <w:r w:rsidR="00803422">
        <w:t xml:space="preserve">ccording to clinical response. </w:t>
      </w:r>
      <w:r>
        <w:t>The Austral</w:t>
      </w:r>
      <w:r w:rsidR="00F945B6">
        <w:t>ian Therapeutic Guidelines (</w:t>
      </w:r>
      <w:r>
        <w:t>December 2019)</w:t>
      </w:r>
      <w:r w:rsidR="00936E59">
        <w:t>;</w:t>
      </w:r>
      <w:r w:rsidR="00936E59">
        <w:rPr>
          <w:rStyle w:val="FootnoteReference"/>
        </w:rPr>
        <w:footnoteReference w:id="9"/>
      </w:r>
      <w:r>
        <w:t xml:space="preserve"> list </w:t>
      </w:r>
      <w:proofErr w:type="spellStart"/>
      <w:r>
        <w:t>trientine</w:t>
      </w:r>
      <w:proofErr w:type="spellEnd"/>
      <w:r>
        <w:t xml:space="preserve"> as a treatment for </w:t>
      </w:r>
      <w:r w:rsidR="00936E59">
        <w:t>Wilson’s disease</w:t>
      </w:r>
      <w:r>
        <w:t xml:space="preserve"> but do not make </w:t>
      </w:r>
      <w:r w:rsidR="00936E59">
        <w:t>specific dose recommendations.</w:t>
      </w:r>
    </w:p>
    <w:p w14:paraId="1614D673" w14:textId="7A0D21D3" w:rsidR="00803422" w:rsidRDefault="00F15FDF" w:rsidP="00803422">
      <w:r>
        <w:t xml:space="preserve">The American </w:t>
      </w:r>
      <w:r w:rsidRPr="00803422">
        <w:t>Association</w:t>
      </w:r>
      <w:r>
        <w:t xml:space="preserve"> for the Study of Liver Diseases (AASLD) 2</w:t>
      </w:r>
      <w:r w:rsidR="00803422">
        <w:t>008 practice guidelines advise the following:</w:t>
      </w:r>
      <w:r w:rsidR="00936E59">
        <w:rPr>
          <w:rStyle w:val="FootnoteReference"/>
        </w:rPr>
        <w:footnoteReference w:id="10"/>
      </w:r>
    </w:p>
    <w:p w14:paraId="1CB0C5D1" w14:textId="138D585F" w:rsidR="00936E59" w:rsidRDefault="00F15FDF" w:rsidP="00803422">
      <w:pPr>
        <w:ind w:left="720"/>
        <w:rPr>
          <w:i/>
          <w:lang w:eastAsia="ja-JP"/>
        </w:rPr>
      </w:pPr>
      <w:r w:rsidRPr="00803422">
        <w:rPr>
          <w:i/>
        </w:rPr>
        <w:t xml:space="preserve">Typical dosages are 750-1500 mg/day in two or three divided doses, with 750 or 1000 mg used for maintenance therapy. In children, the weight-based dose is not established, but the dose generally used is 20 mg/kg/day rounded off to the nearest 250 mg, given in two or three divided doses. </w:t>
      </w:r>
      <w:proofErr w:type="spellStart"/>
      <w:r w:rsidRPr="00803422">
        <w:rPr>
          <w:i/>
        </w:rPr>
        <w:t>Trientine</w:t>
      </w:r>
      <w:proofErr w:type="spellEnd"/>
      <w:r w:rsidRPr="00803422">
        <w:rPr>
          <w:i/>
        </w:rPr>
        <w:t xml:space="preserve"> should be administered 1 hour before or 2 hours after meals.</w:t>
      </w:r>
    </w:p>
    <w:p w14:paraId="44E9421C" w14:textId="1BF63F94" w:rsidR="00936E59" w:rsidRDefault="00F15FDF" w:rsidP="00936E59">
      <w:r w:rsidRPr="00803422">
        <w:t>The European Association for the Study of the Liver (EASL) 2012 Clinical Pra</w:t>
      </w:r>
      <w:r w:rsidR="00936E59">
        <w:t>ctice Guidelines for Wilson’s Disease advise:</w:t>
      </w:r>
      <w:r w:rsidR="00936E59">
        <w:rPr>
          <w:rStyle w:val="FootnoteReference"/>
        </w:rPr>
        <w:footnoteReference w:id="11"/>
      </w:r>
    </w:p>
    <w:p w14:paraId="253388C9" w14:textId="2AA5B1E2" w:rsidR="00F15FDF" w:rsidRPr="00936E59" w:rsidRDefault="00F15FDF" w:rsidP="00936E59">
      <w:pPr>
        <w:ind w:left="720"/>
        <w:rPr>
          <w:i/>
        </w:rPr>
      </w:pPr>
      <w:r w:rsidRPr="00936E59">
        <w:rPr>
          <w:i/>
        </w:rPr>
        <w:t xml:space="preserve">Typical dosages of </w:t>
      </w:r>
      <w:proofErr w:type="spellStart"/>
      <w:r w:rsidRPr="00936E59">
        <w:rPr>
          <w:i/>
        </w:rPr>
        <w:t>trientine</w:t>
      </w:r>
      <w:proofErr w:type="spellEnd"/>
      <w:r w:rsidRPr="00936E59">
        <w:rPr>
          <w:i/>
        </w:rPr>
        <w:t xml:space="preserve"> are 900-2700 mg/day in two or three divided doses, with 900-1500mg/day used for maintenance therapy. In children, the weight-based dose is not established, but the dose generally used is 20 mg/kg/day rounded off to the nearest 250 mg, give</w:t>
      </w:r>
      <w:r w:rsidR="00803422" w:rsidRPr="00936E59">
        <w:rPr>
          <w:i/>
        </w:rPr>
        <w:t xml:space="preserve">n in two or three divided </w:t>
      </w:r>
      <w:proofErr w:type="gramStart"/>
      <w:r w:rsidR="00803422" w:rsidRPr="00936E59">
        <w:rPr>
          <w:i/>
        </w:rPr>
        <w:t>doses’</w:t>
      </w:r>
      <w:proofErr w:type="gramEnd"/>
      <w:r w:rsidR="00803422" w:rsidRPr="00936E59">
        <w:rPr>
          <w:i/>
        </w:rPr>
        <w:t>.</w:t>
      </w:r>
    </w:p>
    <w:p w14:paraId="45135445" w14:textId="105DE7A0" w:rsidR="00F15FDF" w:rsidRPr="00DA0D34" w:rsidRDefault="00F15FDF" w:rsidP="00F15FDF">
      <w:r>
        <w:lastRenderedPageBreak/>
        <w:t xml:space="preserve">The submission included a summary of 65 </w:t>
      </w:r>
      <w:r w:rsidR="006444C9">
        <w:t>Special Access Scheme</w:t>
      </w:r>
      <w:r>
        <w:t xml:space="preserve"> permits issued b</w:t>
      </w:r>
      <w:r w:rsidR="00936E59">
        <w:t>etween July 2017 and June </w:t>
      </w:r>
      <w:r>
        <w:t xml:space="preserve">2018 for the supply of </w:t>
      </w:r>
      <w:proofErr w:type="spellStart"/>
      <w:r>
        <w:t>trientine</w:t>
      </w:r>
      <w:proofErr w:type="spellEnd"/>
      <w:r>
        <w:t xml:space="preserve"> dihydrochlo</w:t>
      </w:r>
      <w:r w:rsidR="00936E59">
        <w:t>ride to patients in Australia.</w:t>
      </w:r>
      <w:r w:rsidR="007E670B" w:rsidRPr="007E670B">
        <w:rPr>
          <w:vertAlign w:val="superscript"/>
        </w:rPr>
        <w:fldChar w:fldCharType="begin"/>
      </w:r>
      <w:r w:rsidR="007E670B" w:rsidRPr="007E670B">
        <w:rPr>
          <w:vertAlign w:val="superscript"/>
        </w:rPr>
        <w:instrText xml:space="preserve"> NOTEREF _Ref83582062 \h </w:instrText>
      </w:r>
      <w:r w:rsidR="007E670B">
        <w:rPr>
          <w:vertAlign w:val="superscript"/>
        </w:rPr>
        <w:instrText xml:space="preserve"> \* MERGEFORMAT </w:instrText>
      </w:r>
      <w:r w:rsidR="007E670B" w:rsidRPr="007E670B">
        <w:rPr>
          <w:vertAlign w:val="superscript"/>
        </w:rPr>
      </w:r>
      <w:r w:rsidR="007E670B" w:rsidRPr="007E670B">
        <w:rPr>
          <w:vertAlign w:val="superscript"/>
        </w:rPr>
        <w:fldChar w:fldCharType="separate"/>
      </w:r>
      <w:r w:rsidR="005906D0">
        <w:rPr>
          <w:vertAlign w:val="superscript"/>
        </w:rPr>
        <w:t>2</w:t>
      </w:r>
      <w:r w:rsidR="007E670B" w:rsidRPr="007E670B">
        <w:rPr>
          <w:vertAlign w:val="superscript"/>
        </w:rPr>
        <w:fldChar w:fldCharType="end"/>
      </w:r>
      <w:r w:rsidR="00936E59">
        <w:t xml:space="preserve"> </w:t>
      </w:r>
      <w:r>
        <w:t>The SAS listings did not identify paediatric and adult patients.</w:t>
      </w:r>
      <w:r w:rsidR="00544119">
        <w:t xml:space="preserve"> </w:t>
      </w:r>
      <w:r>
        <w:t xml:space="preserve">The total daily dose ranged from 500 mg to 2000 mg, with approximately 50% of patients receiving between 500 to 1250 mg per day, </w:t>
      </w:r>
      <w:r w:rsidR="007E670B">
        <w:t xml:space="preserve">in two or three divided doses. </w:t>
      </w:r>
      <w:r>
        <w:t>Eleven patients received doses of 1500 mg to 2000 mg per day.</w:t>
      </w:r>
    </w:p>
    <w:p w14:paraId="1194BF53" w14:textId="77777777" w:rsidR="00F15FDF" w:rsidRDefault="00F15FDF" w:rsidP="00F15FDF">
      <w:pPr>
        <w:pStyle w:val="Heading4"/>
      </w:pPr>
      <w:r w:rsidRPr="00AA53F4">
        <w:t>Efficacy</w:t>
      </w:r>
    </w:p>
    <w:p w14:paraId="7AF3DB0E" w14:textId="0E9F345C" w:rsidR="00107837" w:rsidRDefault="00F15FDF" w:rsidP="00F15FDF">
      <w:pPr>
        <w:rPr>
          <w:lang w:eastAsia="ja-JP"/>
        </w:rPr>
      </w:pPr>
      <w:r>
        <w:rPr>
          <w:lang w:eastAsia="ja-JP"/>
        </w:rPr>
        <w:t>Literature supporting efficacy were presented according to hierarchy of evidence (</w:t>
      </w:r>
      <w:r w:rsidR="00107837">
        <w:rPr>
          <w:lang w:eastAsia="ja-JP"/>
        </w:rPr>
        <w:t xml:space="preserve">see </w:t>
      </w:r>
      <w:r>
        <w:rPr>
          <w:lang w:eastAsia="ja-JP"/>
        </w:rPr>
        <w:fldChar w:fldCharType="begin"/>
      </w:r>
      <w:r>
        <w:rPr>
          <w:lang w:eastAsia="ja-JP"/>
        </w:rPr>
        <w:instrText xml:space="preserve"> REF _Ref52525322 \h </w:instrText>
      </w:r>
      <w:r>
        <w:rPr>
          <w:lang w:eastAsia="ja-JP"/>
        </w:rPr>
      </w:r>
      <w:r>
        <w:rPr>
          <w:lang w:eastAsia="ja-JP"/>
        </w:rPr>
        <w:fldChar w:fldCharType="separate"/>
      </w:r>
      <w:r w:rsidR="005906D0" w:rsidRPr="009A6CF3">
        <w:t xml:space="preserve">Table </w:t>
      </w:r>
      <w:r w:rsidR="005906D0">
        <w:rPr>
          <w:noProof/>
        </w:rPr>
        <w:t>4</w:t>
      </w:r>
      <w:r>
        <w:rPr>
          <w:lang w:eastAsia="ja-JP"/>
        </w:rPr>
        <w:fldChar w:fldCharType="end"/>
      </w:r>
      <w:r w:rsidR="00107837">
        <w:rPr>
          <w:lang w:eastAsia="ja-JP"/>
        </w:rPr>
        <w:t>, below</w:t>
      </w:r>
      <w:r w:rsidR="007E670B">
        <w:rPr>
          <w:lang w:eastAsia="ja-JP"/>
        </w:rPr>
        <w:t>).</w:t>
      </w:r>
      <w:r w:rsidR="00626770">
        <w:rPr>
          <w:lang w:eastAsia="ja-JP"/>
        </w:rPr>
        <w:t xml:space="preserve"> The L</w:t>
      </w:r>
      <w:r>
        <w:rPr>
          <w:lang w:eastAsia="ja-JP"/>
        </w:rPr>
        <w:t>evel</w:t>
      </w:r>
      <w:r w:rsidR="00107837">
        <w:rPr>
          <w:lang w:eastAsia="ja-JP"/>
        </w:rPr>
        <w:t>s</w:t>
      </w:r>
      <w:r>
        <w:rPr>
          <w:lang w:eastAsia="ja-JP"/>
        </w:rPr>
        <w:t xml:space="preserve"> I and II literature provided very limited data relating to the proposed use of </w:t>
      </w:r>
      <w:proofErr w:type="spellStart"/>
      <w:r>
        <w:rPr>
          <w:lang w:eastAsia="ja-JP"/>
        </w:rPr>
        <w:t>trientine</w:t>
      </w:r>
      <w:proofErr w:type="spellEnd"/>
      <w:r>
        <w:rPr>
          <w:lang w:eastAsia="ja-JP"/>
        </w:rPr>
        <w:t xml:space="preserve"> in </w:t>
      </w:r>
      <w:proofErr w:type="gramStart"/>
      <w:r>
        <w:rPr>
          <w:lang w:eastAsia="ja-JP"/>
        </w:rPr>
        <w:t>patients</w:t>
      </w:r>
      <w:proofErr w:type="gramEnd"/>
      <w:r>
        <w:rPr>
          <w:lang w:eastAsia="ja-JP"/>
        </w:rPr>
        <w:t xml:space="preserve"> intolerant to penicillamine. The retrospective and prospective studies provide lower level evidence relevant to the proposed indication.</w:t>
      </w:r>
    </w:p>
    <w:p w14:paraId="1DB360AA" w14:textId="2C92FBE2" w:rsidR="00F15FDF" w:rsidRDefault="00F15FDF" w:rsidP="00AA4FC4">
      <w:pPr>
        <w:pStyle w:val="TableTitle"/>
      </w:pPr>
      <w:bookmarkStart w:id="47" w:name="_Ref52525322"/>
      <w:r w:rsidRPr="009A6CF3">
        <w:t xml:space="preserve">Table </w:t>
      </w:r>
      <w:fldSimple w:instr=" SEQ Table \* ARABIC ">
        <w:r w:rsidR="005906D0">
          <w:rPr>
            <w:noProof/>
          </w:rPr>
          <w:t>4</w:t>
        </w:r>
      </w:fldSimple>
      <w:bookmarkEnd w:id="47"/>
      <w:r w:rsidR="00AA4FC4">
        <w:t xml:space="preserve">: </w:t>
      </w:r>
      <w:r w:rsidRPr="009A6CF3">
        <w:t xml:space="preserve">Hierarchy </w:t>
      </w:r>
      <w:r w:rsidR="00AA4FC4" w:rsidRPr="009A6CF3">
        <w:t>of clinical evidence</w:t>
      </w:r>
      <w:r w:rsidRPr="009A6CF3">
        <w:t xml:space="preserve"> for citations identified in literature searches</w:t>
      </w:r>
    </w:p>
    <w:tbl>
      <w:tblPr>
        <w:tblStyle w:val="TableTGAblue"/>
        <w:tblW w:w="0" w:type="auto"/>
        <w:tblLook w:val="04A0" w:firstRow="1" w:lastRow="0" w:firstColumn="1" w:lastColumn="0" w:noHBand="0" w:noVBand="1"/>
      </w:tblPr>
      <w:tblGrid>
        <w:gridCol w:w="1250"/>
        <w:gridCol w:w="2970"/>
        <w:gridCol w:w="4264"/>
      </w:tblGrid>
      <w:tr w:rsidR="00FB05AF" w14:paraId="4EE44DF4" w14:textId="77777777" w:rsidTr="00FB05AF">
        <w:trPr>
          <w:cnfStyle w:val="100000000000" w:firstRow="1" w:lastRow="0" w:firstColumn="0" w:lastColumn="0" w:oddVBand="0" w:evenVBand="0" w:oddHBand="0" w:evenHBand="0" w:firstRowFirstColumn="0" w:firstRowLastColumn="0" w:lastRowFirstColumn="0" w:lastRowLastColumn="0"/>
        </w:trPr>
        <w:tc>
          <w:tcPr>
            <w:tcW w:w="1250" w:type="dxa"/>
          </w:tcPr>
          <w:p w14:paraId="62AD8F34" w14:textId="76596245" w:rsidR="00FB05AF" w:rsidRPr="00FB05AF" w:rsidRDefault="00FB05AF" w:rsidP="00FB05AF">
            <w:r w:rsidRPr="00FB05AF">
              <w:t>Level</w:t>
            </w:r>
          </w:p>
        </w:tc>
        <w:tc>
          <w:tcPr>
            <w:tcW w:w="2970" w:type="dxa"/>
          </w:tcPr>
          <w:p w14:paraId="375BA285" w14:textId="05BF88F8" w:rsidR="00FB05AF" w:rsidRPr="00FB05AF" w:rsidRDefault="00FB05AF" w:rsidP="00FB05AF">
            <w:pPr>
              <w:ind w:left="0"/>
            </w:pPr>
            <w:r>
              <w:t>Study/type of e</w:t>
            </w:r>
            <w:r w:rsidRPr="00FB05AF">
              <w:t>vidence</w:t>
            </w:r>
          </w:p>
        </w:tc>
        <w:tc>
          <w:tcPr>
            <w:tcW w:w="4264" w:type="dxa"/>
          </w:tcPr>
          <w:p w14:paraId="51769FFB" w14:textId="710C557F" w:rsidR="00FB05AF" w:rsidRPr="00FB05AF" w:rsidRDefault="00FB05AF" w:rsidP="00FB05AF">
            <w:r w:rsidRPr="00FB05AF">
              <w:t>Citations</w:t>
            </w:r>
          </w:p>
        </w:tc>
      </w:tr>
      <w:tr w:rsidR="00FB05AF" w14:paraId="12DFDFC1" w14:textId="77777777" w:rsidTr="00FB05AF">
        <w:tc>
          <w:tcPr>
            <w:tcW w:w="1250" w:type="dxa"/>
          </w:tcPr>
          <w:p w14:paraId="278F6774" w14:textId="0138EA78" w:rsidR="00FB05AF" w:rsidRPr="00FB05AF" w:rsidRDefault="00FB05AF" w:rsidP="00FB05AF">
            <w:r w:rsidRPr="00FB05AF">
              <w:t>I</w:t>
            </w:r>
          </w:p>
        </w:tc>
        <w:tc>
          <w:tcPr>
            <w:tcW w:w="2970" w:type="dxa"/>
          </w:tcPr>
          <w:p w14:paraId="43809080" w14:textId="2B06DF7D" w:rsidR="00FB05AF" w:rsidRPr="00FB05AF" w:rsidRDefault="00FB05AF" w:rsidP="00FB05AF">
            <w:r w:rsidRPr="00FB05AF">
              <w:t xml:space="preserve">Systematic </w:t>
            </w:r>
            <w:r w:rsidR="00626770">
              <w:t>randomised control trial</w:t>
            </w:r>
            <w:r w:rsidR="00626770" w:rsidRPr="00FB05AF">
              <w:t xml:space="preserve"> </w:t>
            </w:r>
            <w:r w:rsidRPr="00FB05AF">
              <w:t>review, meta-analyses</w:t>
            </w:r>
          </w:p>
        </w:tc>
        <w:tc>
          <w:tcPr>
            <w:tcW w:w="4264" w:type="dxa"/>
          </w:tcPr>
          <w:p w14:paraId="363463A7" w14:textId="63ACC9BE" w:rsidR="00FB05AF" w:rsidRPr="00FB05AF" w:rsidRDefault="00FB05AF" w:rsidP="00FB05AF">
            <w:proofErr w:type="spellStart"/>
            <w:r w:rsidRPr="00FB05AF">
              <w:t>Appenzdeller</w:t>
            </w:r>
            <w:proofErr w:type="spellEnd"/>
            <w:r w:rsidRPr="00FB05AF">
              <w:t>-Herzog et al.</w:t>
            </w:r>
            <w:r w:rsidR="00AC3673">
              <w:t>,</w:t>
            </w:r>
            <w:r w:rsidRPr="00FB05AF">
              <w:t xml:space="preserve"> </w:t>
            </w:r>
            <w:r w:rsidR="00AC3673">
              <w:t>(</w:t>
            </w:r>
            <w:r w:rsidRPr="00FB05AF">
              <w:t>2019</w:t>
            </w:r>
            <w:r w:rsidR="00AC3673">
              <w:t>)</w:t>
            </w:r>
            <w:r w:rsidRPr="00FB05AF">
              <w:t xml:space="preserve"> </w:t>
            </w:r>
            <w:proofErr w:type="spellStart"/>
            <w:r w:rsidRPr="00FB05AF">
              <w:t>Wiggelinkhuizen</w:t>
            </w:r>
            <w:proofErr w:type="spellEnd"/>
            <w:r w:rsidRPr="00FB05AF">
              <w:t xml:space="preserve"> et al</w:t>
            </w:r>
            <w:r w:rsidR="00AC3673">
              <w:t>.</w:t>
            </w:r>
            <w:r w:rsidRPr="00FB05AF">
              <w:t xml:space="preserve">, </w:t>
            </w:r>
            <w:r w:rsidR="00AC3673">
              <w:t>(</w:t>
            </w:r>
            <w:r w:rsidRPr="00FB05AF">
              <w:t>2009</w:t>
            </w:r>
            <w:r w:rsidR="00AC3673">
              <w:t>)</w:t>
            </w:r>
            <w:r w:rsidRPr="00FB05AF">
              <w:t xml:space="preserve"> Brewer et al</w:t>
            </w:r>
            <w:r w:rsidR="00AC3673">
              <w:t>.</w:t>
            </w:r>
            <w:r w:rsidRPr="00FB05AF">
              <w:t xml:space="preserve">, </w:t>
            </w:r>
            <w:r w:rsidR="00AC3673">
              <w:t>(</w:t>
            </w:r>
            <w:r w:rsidRPr="00FB05AF">
              <w:t>2009</w:t>
            </w:r>
            <w:r w:rsidR="00AC3673">
              <w:t>)</w:t>
            </w:r>
          </w:p>
        </w:tc>
      </w:tr>
      <w:tr w:rsidR="00FB05AF" w14:paraId="5325186B" w14:textId="77777777" w:rsidTr="00FB05AF">
        <w:tc>
          <w:tcPr>
            <w:tcW w:w="1250" w:type="dxa"/>
          </w:tcPr>
          <w:p w14:paraId="319799AC" w14:textId="475054A9" w:rsidR="00FB05AF" w:rsidRPr="00FB05AF" w:rsidRDefault="00FB05AF" w:rsidP="00FB05AF">
            <w:r w:rsidRPr="00FB05AF">
              <w:t>II</w:t>
            </w:r>
          </w:p>
        </w:tc>
        <w:tc>
          <w:tcPr>
            <w:tcW w:w="2970" w:type="dxa"/>
          </w:tcPr>
          <w:p w14:paraId="1FEF3BEB" w14:textId="10AF7B12" w:rsidR="00FB05AF" w:rsidRPr="00FB05AF" w:rsidRDefault="00FB05AF" w:rsidP="00FB05AF">
            <w:r w:rsidRPr="00FB05AF">
              <w:t xml:space="preserve">Individual properly designed </w:t>
            </w:r>
            <w:r w:rsidR="00626770">
              <w:t>randomised control trial</w:t>
            </w:r>
          </w:p>
        </w:tc>
        <w:tc>
          <w:tcPr>
            <w:tcW w:w="4264" w:type="dxa"/>
          </w:tcPr>
          <w:p w14:paraId="37DA7772" w14:textId="09DF1E94" w:rsidR="00FB05AF" w:rsidRPr="00FB05AF" w:rsidRDefault="00FB05AF" w:rsidP="00FB05AF">
            <w:r w:rsidRPr="00FB05AF">
              <w:t>Brewer et al, 2006 (n</w:t>
            </w:r>
            <w:r>
              <w:t xml:space="preserve"> </w:t>
            </w:r>
            <w:r w:rsidRPr="00FB05AF">
              <w:t>=</w:t>
            </w:r>
            <w:r>
              <w:t xml:space="preserve"> </w:t>
            </w:r>
            <w:r w:rsidRPr="00FB05AF">
              <w:t>48)</w:t>
            </w:r>
          </w:p>
        </w:tc>
      </w:tr>
      <w:tr w:rsidR="00FB05AF" w14:paraId="4CC3BAF1" w14:textId="77777777" w:rsidTr="00FB05AF">
        <w:tc>
          <w:tcPr>
            <w:tcW w:w="1250" w:type="dxa"/>
          </w:tcPr>
          <w:p w14:paraId="5126B010" w14:textId="5917892C" w:rsidR="00FB05AF" w:rsidRPr="00FB05AF" w:rsidRDefault="00FB05AF" w:rsidP="00FB05AF">
            <w:r w:rsidRPr="00FB05AF">
              <w:t>III-1</w:t>
            </w:r>
          </w:p>
        </w:tc>
        <w:tc>
          <w:tcPr>
            <w:tcW w:w="2970" w:type="dxa"/>
          </w:tcPr>
          <w:p w14:paraId="543D44EE" w14:textId="2F330C3A" w:rsidR="00FB05AF" w:rsidRPr="00FB05AF" w:rsidRDefault="00FB05AF" w:rsidP="00626770">
            <w:r w:rsidRPr="00FB05AF">
              <w:t xml:space="preserve">Non-randomised </w:t>
            </w:r>
            <w:r w:rsidR="00626770">
              <w:t>control trial; p</w:t>
            </w:r>
            <w:r w:rsidRPr="00FB05AF">
              <w:t>rospective</w:t>
            </w:r>
          </w:p>
        </w:tc>
        <w:tc>
          <w:tcPr>
            <w:tcW w:w="4264" w:type="dxa"/>
          </w:tcPr>
          <w:p w14:paraId="4D8A469C" w14:textId="4A6F1651" w:rsidR="00FB05AF" w:rsidRPr="00FB05AF" w:rsidRDefault="00FB05AF" w:rsidP="00FB05AF">
            <w:r w:rsidRPr="00FB05AF">
              <w:t xml:space="preserve">Askari </w:t>
            </w:r>
            <w:r>
              <w:t>(</w:t>
            </w:r>
            <w:r w:rsidRPr="00FB05AF">
              <w:t>2003</w:t>
            </w:r>
            <w:r>
              <w:t>);</w:t>
            </w:r>
            <w:r w:rsidRPr="00FB05AF">
              <w:t xml:space="preserve"> Ala et al</w:t>
            </w:r>
            <w:r>
              <w:t>.</w:t>
            </w:r>
            <w:r w:rsidRPr="00FB05AF">
              <w:t xml:space="preserve">, </w:t>
            </w:r>
            <w:r>
              <w:t>(</w:t>
            </w:r>
            <w:r w:rsidRPr="00FB05AF">
              <w:t>2015</w:t>
            </w:r>
            <w:r>
              <w:t>);</w:t>
            </w:r>
            <w:r w:rsidRPr="00FB05AF">
              <w:t xml:space="preserve"> Weiss et al</w:t>
            </w:r>
            <w:r>
              <w:t>.</w:t>
            </w:r>
            <w:r w:rsidRPr="00FB05AF">
              <w:t xml:space="preserve">, </w:t>
            </w:r>
            <w:r>
              <w:t>(</w:t>
            </w:r>
            <w:r w:rsidRPr="00FB05AF">
              <w:t>2016a</w:t>
            </w:r>
            <w:r>
              <w:t>)</w:t>
            </w:r>
            <w:r w:rsidRPr="00FB05AF">
              <w:t>; Weiss et al</w:t>
            </w:r>
            <w:r>
              <w:t>.</w:t>
            </w:r>
            <w:r w:rsidRPr="00FB05AF">
              <w:t xml:space="preserve">, </w:t>
            </w:r>
            <w:r>
              <w:t>(</w:t>
            </w:r>
            <w:r w:rsidRPr="00FB05AF">
              <w:t>2019</w:t>
            </w:r>
            <w:r>
              <w:t>)</w:t>
            </w:r>
          </w:p>
        </w:tc>
      </w:tr>
      <w:tr w:rsidR="00FB05AF" w14:paraId="7D4C8B6B" w14:textId="77777777" w:rsidTr="00FB05AF">
        <w:tc>
          <w:tcPr>
            <w:tcW w:w="1250" w:type="dxa"/>
          </w:tcPr>
          <w:p w14:paraId="0BE79B73" w14:textId="50D39AF2" w:rsidR="00FB05AF" w:rsidRPr="00FB05AF" w:rsidRDefault="00FB05AF" w:rsidP="00FB05AF">
            <w:r w:rsidRPr="00FB05AF">
              <w:t>III-2</w:t>
            </w:r>
          </w:p>
        </w:tc>
        <w:tc>
          <w:tcPr>
            <w:tcW w:w="2970" w:type="dxa"/>
          </w:tcPr>
          <w:p w14:paraId="4F4353D5" w14:textId="2E1AA781" w:rsidR="00FB05AF" w:rsidRPr="00FB05AF" w:rsidRDefault="00FB05AF" w:rsidP="00FB05AF">
            <w:r w:rsidRPr="00FB05AF">
              <w:t>Cohort or case-control analytic studies</w:t>
            </w:r>
            <w:r w:rsidR="00626770">
              <w:t>; r</w:t>
            </w:r>
            <w:r w:rsidRPr="00FB05AF">
              <w:t>etrospective studies</w:t>
            </w:r>
          </w:p>
        </w:tc>
        <w:tc>
          <w:tcPr>
            <w:tcW w:w="4264" w:type="dxa"/>
          </w:tcPr>
          <w:p w14:paraId="64F3F00A" w14:textId="2953C640" w:rsidR="00FB05AF" w:rsidRPr="00FB05AF" w:rsidRDefault="00FB05AF" w:rsidP="00FB05AF">
            <w:r w:rsidRPr="00FB05AF">
              <w:t>Weiss et al</w:t>
            </w:r>
            <w:r>
              <w:t>.</w:t>
            </w:r>
            <w:r w:rsidRPr="00FB05AF">
              <w:t xml:space="preserve">, </w:t>
            </w:r>
            <w:r>
              <w:t>(</w:t>
            </w:r>
            <w:r w:rsidRPr="00FB05AF">
              <w:t>2013</w:t>
            </w:r>
            <w:r>
              <w:t>);</w:t>
            </w:r>
            <w:r w:rsidRPr="00FB05AF">
              <w:t xml:space="preserve"> Weiss et al</w:t>
            </w:r>
            <w:r>
              <w:t>.</w:t>
            </w:r>
            <w:r w:rsidRPr="00FB05AF">
              <w:t xml:space="preserve">, </w:t>
            </w:r>
            <w:r>
              <w:t>(</w:t>
            </w:r>
            <w:r w:rsidRPr="00FB05AF">
              <w:t>2011</w:t>
            </w:r>
            <w:r>
              <w:t>);</w:t>
            </w:r>
            <w:r w:rsidRPr="00FB05AF">
              <w:t xml:space="preserve"> Weiss et al</w:t>
            </w:r>
            <w:r>
              <w:t>.</w:t>
            </w:r>
            <w:r w:rsidRPr="00FB05AF">
              <w:t xml:space="preserve">, </w:t>
            </w:r>
            <w:r>
              <w:t>(</w:t>
            </w:r>
            <w:r w:rsidRPr="00FB05AF">
              <w:t>2016b</w:t>
            </w:r>
            <w:r>
              <w:t>)</w:t>
            </w:r>
            <w:r w:rsidRPr="00FB05AF">
              <w:t>; Weiss et al</w:t>
            </w:r>
            <w:r>
              <w:t>.</w:t>
            </w:r>
            <w:r w:rsidRPr="00FB05AF">
              <w:t xml:space="preserve">, </w:t>
            </w:r>
            <w:r>
              <w:t>(</w:t>
            </w:r>
            <w:r w:rsidRPr="00FB05AF">
              <w:t>2018</w:t>
            </w:r>
            <w:r>
              <w:t>);</w:t>
            </w:r>
            <w:r w:rsidRPr="00FB05AF">
              <w:t xml:space="preserve"> Wang et al</w:t>
            </w:r>
            <w:r>
              <w:t>.</w:t>
            </w:r>
            <w:r w:rsidRPr="00FB05AF">
              <w:t xml:space="preserve">, </w:t>
            </w:r>
            <w:r>
              <w:t>(</w:t>
            </w:r>
            <w:r w:rsidRPr="00FB05AF">
              <w:t>2010</w:t>
            </w:r>
            <w:r>
              <w:t>);</w:t>
            </w:r>
            <w:r w:rsidRPr="00FB05AF">
              <w:t xml:space="preserve"> </w:t>
            </w:r>
            <w:proofErr w:type="spellStart"/>
            <w:r w:rsidRPr="00FB05AF">
              <w:t>Manolaki</w:t>
            </w:r>
            <w:proofErr w:type="spellEnd"/>
            <w:r w:rsidRPr="00FB05AF">
              <w:t xml:space="preserve"> et al</w:t>
            </w:r>
            <w:r>
              <w:t>.</w:t>
            </w:r>
            <w:r w:rsidRPr="00FB05AF">
              <w:t xml:space="preserve">, </w:t>
            </w:r>
            <w:r>
              <w:t>(</w:t>
            </w:r>
            <w:r w:rsidRPr="00FB05AF">
              <w:t>2009</w:t>
            </w:r>
            <w:r>
              <w:t>)</w:t>
            </w:r>
            <w:r w:rsidRPr="00FB05AF">
              <w:t xml:space="preserve"> Taylor et al</w:t>
            </w:r>
            <w:r>
              <w:t>.</w:t>
            </w:r>
            <w:r w:rsidRPr="00FB05AF">
              <w:t xml:space="preserve">, </w:t>
            </w:r>
            <w:r>
              <w:t>(</w:t>
            </w:r>
            <w:r w:rsidRPr="00FB05AF">
              <w:t>2009</w:t>
            </w:r>
            <w:r>
              <w:t>);</w:t>
            </w:r>
            <w:r w:rsidRPr="00FB05AF">
              <w:t xml:space="preserve"> Merle et al</w:t>
            </w:r>
            <w:r>
              <w:t>.</w:t>
            </w:r>
            <w:r w:rsidRPr="00FB05AF">
              <w:t xml:space="preserve">, </w:t>
            </w:r>
            <w:r>
              <w:t>(</w:t>
            </w:r>
            <w:r w:rsidRPr="00FB05AF">
              <w:t>2007</w:t>
            </w:r>
            <w:r>
              <w:t>);</w:t>
            </w:r>
            <w:r w:rsidRPr="00FB05AF">
              <w:t xml:space="preserve"> </w:t>
            </w:r>
            <w:proofErr w:type="spellStart"/>
            <w:r w:rsidRPr="00FB05AF">
              <w:t>Arnon</w:t>
            </w:r>
            <w:proofErr w:type="spellEnd"/>
            <w:r w:rsidRPr="00FB05AF">
              <w:t xml:space="preserve"> et al</w:t>
            </w:r>
            <w:r>
              <w:t>.</w:t>
            </w:r>
            <w:r w:rsidRPr="00FB05AF">
              <w:t xml:space="preserve">, </w:t>
            </w:r>
            <w:r>
              <w:t>(</w:t>
            </w:r>
            <w:r w:rsidRPr="00FB05AF">
              <w:t>2007</w:t>
            </w:r>
            <w:r>
              <w:t>);</w:t>
            </w:r>
            <w:r w:rsidRPr="00FB05AF">
              <w:t xml:space="preserve"> </w:t>
            </w:r>
            <w:proofErr w:type="spellStart"/>
            <w:r w:rsidRPr="00FB05AF">
              <w:t>Dahlman</w:t>
            </w:r>
            <w:proofErr w:type="spellEnd"/>
            <w:r w:rsidRPr="00FB05AF">
              <w:t xml:space="preserve"> et al</w:t>
            </w:r>
            <w:r>
              <w:t>.</w:t>
            </w:r>
            <w:r w:rsidRPr="00FB05AF">
              <w:t xml:space="preserve">, </w:t>
            </w:r>
            <w:r>
              <w:t>(</w:t>
            </w:r>
            <w:r w:rsidRPr="00FB05AF">
              <w:t>1995</w:t>
            </w:r>
            <w:r>
              <w:t>)</w:t>
            </w:r>
          </w:p>
        </w:tc>
      </w:tr>
      <w:tr w:rsidR="00FB05AF" w14:paraId="2718F8F3" w14:textId="77777777" w:rsidTr="00FB05AF">
        <w:tc>
          <w:tcPr>
            <w:tcW w:w="1250" w:type="dxa"/>
          </w:tcPr>
          <w:p w14:paraId="7C8D7543" w14:textId="69A3EBD7" w:rsidR="00FB05AF" w:rsidRPr="00FB05AF" w:rsidRDefault="00FB05AF" w:rsidP="00FB05AF">
            <w:r w:rsidRPr="00FB05AF">
              <w:t>III-3</w:t>
            </w:r>
          </w:p>
        </w:tc>
        <w:tc>
          <w:tcPr>
            <w:tcW w:w="2970" w:type="dxa"/>
          </w:tcPr>
          <w:p w14:paraId="59D89309" w14:textId="06CEA3C7" w:rsidR="00FB05AF" w:rsidRPr="00FB05AF" w:rsidRDefault="00AC3673" w:rsidP="00FB05AF">
            <w:r>
              <w:t>Case reports / series (</w:t>
            </w:r>
            <w:r w:rsidR="00FB05AF" w:rsidRPr="00FB05AF">
              <w:t>safety</w:t>
            </w:r>
            <w:r>
              <w:t>)</w:t>
            </w:r>
          </w:p>
        </w:tc>
        <w:tc>
          <w:tcPr>
            <w:tcW w:w="4264" w:type="dxa"/>
          </w:tcPr>
          <w:p w14:paraId="648D984F" w14:textId="2F958F0E" w:rsidR="00FB05AF" w:rsidRPr="00FB05AF" w:rsidRDefault="00FB05AF" w:rsidP="00FB05AF">
            <w:proofErr w:type="spellStart"/>
            <w:r w:rsidRPr="00FB05AF">
              <w:t>Sabolek</w:t>
            </w:r>
            <w:proofErr w:type="spellEnd"/>
            <w:r w:rsidRPr="00FB05AF">
              <w:t xml:space="preserve"> et al</w:t>
            </w:r>
            <w:r>
              <w:t>.</w:t>
            </w:r>
            <w:r w:rsidRPr="00FB05AF">
              <w:t xml:space="preserve">, </w:t>
            </w:r>
            <w:r>
              <w:t>(</w:t>
            </w:r>
            <w:r w:rsidRPr="00FB05AF">
              <w:t>2004</w:t>
            </w:r>
            <w:r>
              <w:t>);</w:t>
            </w:r>
            <w:r w:rsidRPr="00FB05AF">
              <w:t xml:space="preserve"> Chung et al</w:t>
            </w:r>
            <w:r>
              <w:t>.</w:t>
            </w:r>
            <w:r w:rsidRPr="00FB05AF">
              <w:t xml:space="preserve">, </w:t>
            </w:r>
            <w:r>
              <w:t>(</w:t>
            </w:r>
            <w:r w:rsidRPr="00FB05AF">
              <w:t>2016</w:t>
            </w:r>
            <w:r>
              <w:t>);</w:t>
            </w:r>
            <w:r w:rsidRPr="00FB05AF">
              <w:t xml:space="preserve"> Boga et al</w:t>
            </w:r>
            <w:r>
              <w:t>.</w:t>
            </w:r>
            <w:r w:rsidRPr="00FB05AF">
              <w:t xml:space="preserve">, </w:t>
            </w:r>
            <w:r>
              <w:t>(</w:t>
            </w:r>
            <w:r w:rsidRPr="00FB05AF">
              <w:t>2015</w:t>
            </w:r>
            <w:r>
              <w:t>);</w:t>
            </w:r>
            <w:r w:rsidRPr="00FB05AF">
              <w:t xml:space="preserve"> Kim et al, </w:t>
            </w:r>
            <w:r>
              <w:t>(</w:t>
            </w:r>
            <w:r w:rsidRPr="00FB05AF">
              <w:t>2013</w:t>
            </w:r>
            <w:r>
              <w:t>);</w:t>
            </w:r>
            <w:r w:rsidRPr="00FB05AF">
              <w:t xml:space="preserve"> Harada et al</w:t>
            </w:r>
            <w:r>
              <w:t>.</w:t>
            </w:r>
            <w:r w:rsidRPr="00FB05AF">
              <w:t xml:space="preserve">, </w:t>
            </w:r>
            <w:r>
              <w:t>(</w:t>
            </w:r>
            <w:r w:rsidRPr="00FB05AF">
              <w:t>2011</w:t>
            </w:r>
            <w:r>
              <w:t>);</w:t>
            </w:r>
            <w:r w:rsidRPr="00FB05AF">
              <w:t xml:space="preserve"> Perry et al</w:t>
            </w:r>
            <w:r>
              <w:t>.</w:t>
            </w:r>
            <w:r w:rsidRPr="00FB05AF">
              <w:t xml:space="preserve">, </w:t>
            </w:r>
            <w:r>
              <w:t>(</w:t>
            </w:r>
            <w:r w:rsidRPr="00FB05AF">
              <w:t>1996</w:t>
            </w:r>
            <w:r>
              <w:t>);</w:t>
            </w:r>
            <w:r w:rsidRPr="00FB05AF">
              <w:t xml:space="preserve"> Du </w:t>
            </w:r>
            <w:proofErr w:type="spellStart"/>
            <w:r w:rsidRPr="00FB05AF">
              <w:t>Bois</w:t>
            </w:r>
            <w:proofErr w:type="spellEnd"/>
            <w:r w:rsidRPr="00FB05AF">
              <w:t xml:space="preserve"> et al, </w:t>
            </w:r>
            <w:r>
              <w:t>(</w:t>
            </w:r>
            <w:r w:rsidRPr="00FB05AF">
              <w:t>1990</w:t>
            </w:r>
            <w:r>
              <w:t>)</w:t>
            </w:r>
          </w:p>
        </w:tc>
      </w:tr>
    </w:tbl>
    <w:p w14:paraId="1C5D2F88" w14:textId="2073135E" w:rsidR="00107837" w:rsidRPr="00107837" w:rsidRDefault="00107837" w:rsidP="00E974ED">
      <w:r>
        <w:t>The key studies for this submission are summarised in the following subsections.</w:t>
      </w:r>
    </w:p>
    <w:p w14:paraId="69A2CF86" w14:textId="4CE58647" w:rsidR="00F15FDF" w:rsidRDefault="00F15FDF" w:rsidP="00F15FDF">
      <w:pPr>
        <w:pStyle w:val="Heading5"/>
      </w:pPr>
      <w:r>
        <w:t>Weiss et al</w:t>
      </w:r>
      <w:r w:rsidR="00AA4FC4">
        <w:t>.</w:t>
      </w:r>
      <w:r>
        <w:t xml:space="preserve"> </w:t>
      </w:r>
      <w:r w:rsidR="00AA4FC4">
        <w:t>(</w:t>
      </w:r>
      <w:r>
        <w:t>2013</w:t>
      </w:r>
      <w:r w:rsidR="00AA4FC4">
        <w:t>)</w:t>
      </w:r>
      <w:bookmarkStart w:id="48" w:name="_Ref83587707"/>
      <w:r w:rsidR="007E670B">
        <w:rPr>
          <w:rStyle w:val="FootnoteReference"/>
        </w:rPr>
        <w:footnoteReference w:id="12"/>
      </w:r>
      <w:bookmarkEnd w:id="48"/>
    </w:p>
    <w:p w14:paraId="26003BD2" w14:textId="0C1FC2BB" w:rsidR="00F15FDF" w:rsidRPr="003F7AC1" w:rsidRDefault="00F15FDF" w:rsidP="00F15FDF">
      <w:pPr>
        <w:rPr>
          <w:rFonts w:asciiTheme="minorHAnsi" w:hAnsiTheme="minorHAnsi"/>
        </w:rPr>
      </w:pPr>
      <w:r>
        <w:t>This was a retrospective coho</w:t>
      </w:r>
      <w:r w:rsidR="00AA4FC4">
        <w:t>rt study of 380 patients with Wilson’s disease</w:t>
      </w:r>
      <w:r>
        <w:t xml:space="preserve"> treated at six tertiary care centres in Germany and Austria, and 25 patients</w:t>
      </w:r>
      <w:r w:rsidR="00AA4FC4">
        <w:t xml:space="preserve"> from the </w:t>
      </w:r>
      <w:proofErr w:type="spellStart"/>
      <w:r w:rsidR="00AA4FC4">
        <w:t>E</w:t>
      </w:r>
      <w:r w:rsidR="007E670B">
        <w:t>uroWilson</w:t>
      </w:r>
      <w:proofErr w:type="spellEnd"/>
      <w:r w:rsidR="007E670B">
        <w:t> </w:t>
      </w:r>
      <w:r w:rsidR="00AA4FC4">
        <w:t>registry.</w:t>
      </w:r>
      <w:bookmarkStart w:id="49" w:name="_Ref83587658"/>
      <w:r w:rsidR="007E670B">
        <w:rPr>
          <w:rStyle w:val="FootnoteReference"/>
        </w:rPr>
        <w:footnoteReference w:id="13"/>
      </w:r>
      <w:bookmarkEnd w:id="49"/>
      <w:r w:rsidR="00AA4FC4">
        <w:t xml:space="preserve"> </w:t>
      </w:r>
      <w:r>
        <w:rPr>
          <w:rFonts w:asciiTheme="minorHAnsi" w:hAnsiTheme="minorHAnsi"/>
        </w:rPr>
        <w:t>The purpose of the study was to evaluate the efficacy</w:t>
      </w:r>
      <w:r w:rsidRPr="000837B9">
        <w:rPr>
          <w:rFonts w:asciiTheme="minorHAnsi" w:hAnsiTheme="minorHAnsi"/>
        </w:rPr>
        <w:t xml:space="preserve"> </w:t>
      </w:r>
      <w:r>
        <w:rPr>
          <w:rFonts w:asciiTheme="minorHAnsi" w:hAnsiTheme="minorHAnsi"/>
        </w:rPr>
        <w:t xml:space="preserve">and safety of </w:t>
      </w:r>
      <w:proofErr w:type="spellStart"/>
      <w:r>
        <w:rPr>
          <w:rFonts w:asciiTheme="minorHAnsi" w:hAnsiTheme="minorHAnsi"/>
        </w:rPr>
        <w:lastRenderedPageBreak/>
        <w:t>trientine</w:t>
      </w:r>
      <w:proofErr w:type="spellEnd"/>
      <w:r>
        <w:rPr>
          <w:rFonts w:asciiTheme="minorHAnsi" w:hAnsiTheme="minorHAnsi"/>
        </w:rPr>
        <w:t xml:space="preserve"> and penicillamine therapy, in terms of hepatic and neurological outcomes and adverse events leading to discontinuation.</w:t>
      </w:r>
    </w:p>
    <w:p w14:paraId="7203AF98" w14:textId="6B6A60DC" w:rsidR="00F15FDF" w:rsidRDefault="00F15FDF" w:rsidP="00F15FDF">
      <w:pPr>
        <w:rPr>
          <w:rFonts w:asciiTheme="minorHAnsi" w:eastAsiaTheme="minorHAnsi" w:hAnsiTheme="minorHAnsi" w:cs="LegacySerif-Book"/>
        </w:rPr>
      </w:pPr>
      <w:r>
        <w:rPr>
          <w:rFonts w:asciiTheme="minorHAnsi" w:hAnsiTheme="minorHAnsi"/>
        </w:rPr>
        <w:t>Medical records of t</w:t>
      </w:r>
      <w:r w:rsidR="00AA4FC4">
        <w:rPr>
          <w:rFonts w:asciiTheme="minorHAnsi" w:hAnsiTheme="minorHAnsi"/>
        </w:rPr>
        <w:t xml:space="preserve">he 405 patients were reviewed. </w:t>
      </w:r>
      <w:r>
        <w:rPr>
          <w:rFonts w:asciiTheme="minorHAnsi" w:hAnsiTheme="minorHAnsi"/>
        </w:rPr>
        <w:t>Data we</w:t>
      </w:r>
      <w:r w:rsidR="00AA4FC4">
        <w:rPr>
          <w:rFonts w:asciiTheme="minorHAnsi" w:hAnsiTheme="minorHAnsi"/>
        </w:rPr>
        <w:t>re collected for a mean of 13.3 </w:t>
      </w:r>
      <w:r>
        <w:rPr>
          <w:rFonts w:asciiTheme="minorHAnsi" w:hAnsiTheme="minorHAnsi"/>
        </w:rPr>
        <w:t>years after therapy began.</w:t>
      </w:r>
      <w:r w:rsidR="00544119">
        <w:rPr>
          <w:rFonts w:asciiTheme="minorHAnsi" w:hAnsiTheme="minorHAnsi"/>
        </w:rPr>
        <w:t xml:space="preserve"> </w:t>
      </w:r>
      <w:r>
        <w:rPr>
          <w:rFonts w:asciiTheme="minorHAnsi" w:eastAsiaTheme="minorHAnsi" w:hAnsiTheme="minorHAnsi" w:cs="LegacySerif-Book"/>
        </w:rPr>
        <w:t>Patients were categorised according to symptoms present at diagnosis: asymptomatic, hepatic, neurolog</w:t>
      </w:r>
      <w:r w:rsidR="00AA4FC4">
        <w:rPr>
          <w:rFonts w:asciiTheme="minorHAnsi" w:eastAsiaTheme="minorHAnsi" w:hAnsiTheme="minorHAnsi" w:cs="LegacySerif-Book"/>
        </w:rPr>
        <w:t xml:space="preserve">ic, or hepatic and neurologic. </w:t>
      </w:r>
      <w:r w:rsidRPr="003F7AC1">
        <w:rPr>
          <w:rFonts w:asciiTheme="minorHAnsi" w:eastAsiaTheme="minorHAnsi" w:hAnsiTheme="minorHAnsi" w:cs="LegacySerif-Book"/>
        </w:rPr>
        <w:t xml:space="preserve">207 (51.1%) </w:t>
      </w:r>
      <w:r>
        <w:rPr>
          <w:rFonts w:asciiTheme="minorHAnsi" w:eastAsiaTheme="minorHAnsi" w:hAnsiTheme="minorHAnsi" w:cs="LegacySerif-Book"/>
        </w:rPr>
        <w:t xml:space="preserve">patients </w:t>
      </w:r>
      <w:r w:rsidRPr="003F7AC1">
        <w:rPr>
          <w:rFonts w:asciiTheme="minorHAnsi" w:eastAsiaTheme="minorHAnsi" w:hAnsiTheme="minorHAnsi" w:cs="LegacySerif-Book"/>
        </w:rPr>
        <w:t>presented</w:t>
      </w:r>
      <w:r>
        <w:rPr>
          <w:rFonts w:asciiTheme="minorHAnsi" w:eastAsiaTheme="minorHAnsi" w:hAnsiTheme="minorHAnsi" w:cs="LegacySerif-Book"/>
        </w:rPr>
        <w:t xml:space="preserve"> </w:t>
      </w:r>
      <w:r w:rsidRPr="003F7AC1">
        <w:rPr>
          <w:rFonts w:asciiTheme="minorHAnsi" w:eastAsiaTheme="minorHAnsi" w:hAnsiTheme="minorHAnsi" w:cs="LegacySerif-Book"/>
        </w:rPr>
        <w:t>with hepatic symptoms only</w:t>
      </w:r>
      <w:r>
        <w:rPr>
          <w:rFonts w:asciiTheme="minorHAnsi" w:eastAsiaTheme="minorHAnsi" w:hAnsiTheme="minorHAnsi" w:cs="LegacySerif-Book"/>
        </w:rPr>
        <w:t xml:space="preserve">, </w:t>
      </w:r>
      <w:r w:rsidRPr="003F7AC1">
        <w:rPr>
          <w:rFonts w:asciiTheme="minorHAnsi" w:eastAsiaTheme="minorHAnsi" w:hAnsiTheme="minorHAnsi" w:cs="LegacySerif-Book"/>
        </w:rPr>
        <w:t>92 (22.7%) presented with neurologic symptoms only</w:t>
      </w:r>
      <w:r>
        <w:rPr>
          <w:rFonts w:asciiTheme="minorHAnsi" w:eastAsiaTheme="minorHAnsi" w:hAnsiTheme="minorHAnsi" w:cs="LegacySerif-Book"/>
        </w:rPr>
        <w:t>, 52</w:t>
      </w:r>
      <w:r w:rsidRPr="003F7AC1">
        <w:rPr>
          <w:rFonts w:asciiTheme="minorHAnsi" w:eastAsiaTheme="minorHAnsi" w:hAnsiTheme="minorHAnsi" w:cs="LegacySerif-Book"/>
        </w:rPr>
        <w:t xml:space="preserve"> (12.8%) presented with hepatic and neurologic symptoms, and </w:t>
      </w:r>
      <w:r>
        <w:rPr>
          <w:rFonts w:asciiTheme="minorHAnsi" w:eastAsiaTheme="minorHAnsi" w:hAnsiTheme="minorHAnsi" w:cs="LegacySerif-Book"/>
        </w:rPr>
        <w:t>54</w:t>
      </w:r>
      <w:r w:rsidR="007E670B">
        <w:rPr>
          <w:rFonts w:asciiTheme="minorHAnsi" w:eastAsiaTheme="minorHAnsi" w:hAnsiTheme="minorHAnsi" w:cs="LegacySerif-Book"/>
        </w:rPr>
        <w:t> </w:t>
      </w:r>
      <w:r w:rsidRPr="003F7AC1">
        <w:rPr>
          <w:rFonts w:asciiTheme="minorHAnsi" w:eastAsiaTheme="minorHAnsi" w:hAnsiTheme="minorHAnsi" w:cs="LegacySerif-Book"/>
        </w:rPr>
        <w:t xml:space="preserve">(13.3%) were asymptomatic </w:t>
      </w:r>
      <w:r>
        <w:rPr>
          <w:rFonts w:asciiTheme="minorHAnsi" w:eastAsiaTheme="minorHAnsi" w:hAnsiTheme="minorHAnsi" w:cs="LegacySerif-Book"/>
        </w:rPr>
        <w:t>at diagnosis</w:t>
      </w:r>
      <w:r w:rsidRPr="003F7AC1">
        <w:rPr>
          <w:rFonts w:asciiTheme="minorHAnsi" w:eastAsiaTheme="minorHAnsi" w:hAnsiTheme="minorHAnsi" w:cs="LegacySerif-Book"/>
        </w:rPr>
        <w:t>.</w:t>
      </w:r>
      <w:r>
        <w:rPr>
          <w:rFonts w:asciiTheme="minorHAnsi" w:eastAsiaTheme="minorHAnsi" w:hAnsiTheme="minorHAnsi" w:cs="LegacySerif-Book"/>
        </w:rPr>
        <w:t xml:space="preserve"> </w:t>
      </w:r>
      <w:r w:rsidRPr="003F7AC1">
        <w:rPr>
          <w:rFonts w:asciiTheme="minorHAnsi" w:eastAsiaTheme="minorHAnsi" w:hAnsiTheme="minorHAnsi" w:cs="LegacySerif-Book"/>
        </w:rPr>
        <w:t>21 patients (5.2%) presented with fulminant W</w:t>
      </w:r>
      <w:r w:rsidR="00AA4FC4">
        <w:rPr>
          <w:rFonts w:asciiTheme="minorHAnsi" w:eastAsiaTheme="minorHAnsi" w:hAnsiTheme="minorHAnsi" w:cs="LegacySerif-Book"/>
        </w:rPr>
        <w:t>ilson’s disease</w:t>
      </w:r>
      <w:r w:rsidRPr="003F7AC1">
        <w:rPr>
          <w:rFonts w:asciiTheme="minorHAnsi" w:eastAsiaTheme="minorHAnsi" w:hAnsiTheme="minorHAnsi" w:cs="LegacySerif-Book"/>
        </w:rPr>
        <w:t xml:space="preserve"> with hepatic failure </w:t>
      </w:r>
      <w:r>
        <w:rPr>
          <w:rFonts w:asciiTheme="minorHAnsi" w:eastAsiaTheme="minorHAnsi" w:hAnsiTheme="minorHAnsi" w:cs="LegacySerif-Book"/>
        </w:rPr>
        <w:t>a</w:t>
      </w:r>
      <w:r w:rsidRPr="003F7AC1">
        <w:rPr>
          <w:rFonts w:asciiTheme="minorHAnsi" w:eastAsiaTheme="minorHAnsi" w:hAnsiTheme="minorHAnsi" w:cs="LegacySerif-Book"/>
        </w:rPr>
        <w:t>t diagnosis</w:t>
      </w:r>
      <w:r>
        <w:rPr>
          <w:rFonts w:asciiTheme="minorHAnsi" w:eastAsiaTheme="minorHAnsi" w:hAnsiTheme="minorHAnsi" w:cs="LegacySerif-Book"/>
        </w:rPr>
        <w:t>.</w:t>
      </w:r>
    </w:p>
    <w:p w14:paraId="12743EED" w14:textId="5469EA36" w:rsidR="00F15FDF" w:rsidRDefault="00F15FDF" w:rsidP="00F15FDF">
      <w:pPr>
        <w:rPr>
          <w:rFonts w:asciiTheme="minorHAnsi" w:hAnsiTheme="minorHAnsi"/>
        </w:rPr>
      </w:pPr>
      <w:r>
        <w:t>Patients with a stable course were assessed in the tertiary cent</w:t>
      </w:r>
      <w:r w:rsidR="007E670B">
        <w:t xml:space="preserve">res approximately once a year. </w:t>
      </w:r>
      <w:r>
        <w:t>Patients were reviewed more frequently (3, 6, and 12 months) after initiating or changing therapy.</w:t>
      </w:r>
      <w:r w:rsidRPr="000626FE">
        <w:rPr>
          <w:rFonts w:asciiTheme="minorHAnsi" w:hAnsiTheme="minorHAnsi"/>
        </w:rPr>
        <w:t xml:space="preserve"> </w:t>
      </w:r>
      <w:r>
        <w:rPr>
          <w:rFonts w:asciiTheme="minorHAnsi" w:hAnsiTheme="minorHAnsi"/>
        </w:rPr>
        <w:t>No systematic criteria were applied in the init</w:t>
      </w:r>
      <w:r w:rsidR="007E670B">
        <w:rPr>
          <w:rFonts w:asciiTheme="minorHAnsi" w:hAnsiTheme="minorHAnsi"/>
        </w:rPr>
        <w:t>ial choice of chelating agent.</w:t>
      </w:r>
    </w:p>
    <w:p w14:paraId="109EC25F" w14:textId="397E331C" w:rsidR="00F15FDF" w:rsidRDefault="00F15FDF" w:rsidP="00F15FDF">
      <w:pPr>
        <w:rPr>
          <w:lang w:eastAsia="ja-JP"/>
        </w:rPr>
      </w:pPr>
      <w:r>
        <w:t>Hepatic and neurologic outcomes were assessed from patient records at 6, 12, 24, 36 and 48 months afte</w:t>
      </w:r>
      <w:r w:rsidR="007E670B">
        <w:t xml:space="preserve">r initiation of the treatment. </w:t>
      </w:r>
      <w:r>
        <w:t>Hepatic outcome measures were based on clinical symptoms, course of liver enzy</w:t>
      </w:r>
      <w:r w:rsidR="007E670B">
        <w:t xml:space="preserve">mes, and liver function tests. </w:t>
      </w:r>
      <w:r>
        <w:t>Neurologic outcomes were evaluated by the physician.</w:t>
      </w:r>
      <w:r w:rsidR="00544119">
        <w:t xml:space="preserve"> </w:t>
      </w:r>
      <w:r>
        <w:t>Hepatic and neurologic outcomes</w:t>
      </w:r>
      <w:r>
        <w:rPr>
          <w:lang w:eastAsia="ja-JP"/>
        </w:rPr>
        <w:t xml:space="preserve"> were scored as unchanged, improved to normal, improved but not normal, deteriorated, or asymptomatic over duration.</w:t>
      </w:r>
    </w:p>
    <w:p w14:paraId="359379CC" w14:textId="397B9556" w:rsidR="00F15FDF" w:rsidRDefault="00F15FDF" w:rsidP="00F15FDF">
      <w:pPr>
        <w:rPr>
          <w:rFonts w:asciiTheme="minorHAnsi" w:hAnsiTheme="minorHAnsi"/>
        </w:rPr>
      </w:pPr>
      <w:r w:rsidRPr="003F7AC1">
        <w:rPr>
          <w:rFonts w:asciiTheme="minorHAnsi" w:hAnsiTheme="minorHAnsi"/>
        </w:rPr>
        <w:t xml:space="preserve">The </w:t>
      </w:r>
      <w:r>
        <w:rPr>
          <w:rFonts w:asciiTheme="minorHAnsi" w:hAnsiTheme="minorHAnsi"/>
        </w:rPr>
        <w:t>analysis</w:t>
      </w:r>
      <w:r w:rsidRPr="003F7AC1">
        <w:rPr>
          <w:rFonts w:asciiTheme="minorHAnsi" w:hAnsiTheme="minorHAnsi"/>
        </w:rPr>
        <w:t xml:space="preserve"> identified 467</w:t>
      </w:r>
      <w:r>
        <w:t xml:space="preserve"> chelator-based treatments</w:t>
      </w:r>
      <w:r w:rsidR="007E670B">
        <w:t xml:space="preserve"> with a duration of more than 6 </w:t>
      </w:r>
      <w:r>
        <w:t xml:space="preserve">months: 326 involved </w:t>
      </w:r>
      <w:r>
        <w:rPr>
          <w:rFonts w:asciiTheme="minorHAnsi" w:hAnsiTheme="minorHAnsi"/>
        </w:rPr>
        <w:t xml:space="preserve">penicillamine </w:t>
      </w:r>
      <w:r>
        <w:t xml:space="preserve">monotherapy (295 as first-line, 31 as second-line) and 141 involved </w:t>
      </w:r>
      <w:proofErr w:type="spellStart"/>
      <w:r>
        <w:t>trientine</w:t>
      </w:r>
      <w:proofErr w:type="spellEnd"/>
      <w:r>
        <w:t xml:space="preserve"> monotherapy (38 as first-line and 103 as second-line).</w:t>
      </w:r>
      <w:r w:rsidR="00544119">
        <w:t xml:space="preserve"> </w:t>
      </w:r>
      <w:r>
        <w:t>No specific do</w:t>
      </w:r>
      <w:r w:rsidR="007E670B">
        <w:t>sage information was presented.</w:t>
      </w:r>
      <w:r>
        <w:t xml:space="preserve"> Zinc treatments were not analysed, and patients who received only zinc salts over the whole treatment period were excluded from the analysis.</w:t>
      </w:r>
    </w:p>
    <w:p w14:paraId="75B4654B" w14:textId="097E84B9" w:rsidR="00F15FDF" w:rsidRDefault="00F15FDF" w:rsidP="007E670B">
      <w:pPr>
        <w:pStyle w:val="FigureTitle"/>
        <w:rPr>
          <w:rFonts w:asciiTheme="minorHAnsi" w:eastAsiaTheme="minorHAnsi" w:hAnsiTheme="minorHAnsi" w:cs="LegacySerif-Book"/>
        </w:rPr>
      </w:pPr>
      <w:r>
        <w:t xml:space="preserve">Figure </w:t>
      </w:r>
      <w:fldSimple w:instr=" SEQ Figure \* ARABIC ">
        <w:r w:rsidR="005906D0">
          <w:rPr>
            <w:noProof/>
          </w:rPr>
          <w:t>1</w:t>
        </w:r>
      </w:fldSimple>
      <w:r w:rsidR="007E670B">
        <w:t xml:space="preserve">: </w:t>
      </w:r>
      <w:r>
        <w:t xml:space="preserve">Weiss </w:t>
      </w:r>
      <w:r w:rsidR="007E670B">
        <w:t>et al. (</w:t>
      </w:r>
      <w:r>
        <w:t>2013</w:t>
      </w:r>
      <w:r w:rsidR="007E670B">
        <w:t>)</w:t>
      </w:r>
      <w:r>
        <w:t xml:space="preserve"> </w:t>
      </w:r>
      <w:r w:rsidR="00107837">
        <w:t xml:space="preserve">study </w:t>
      </w:r>
      <w:r>
        <w:t>overview</w:t>
      </w:r>
    </w:p>
    <w:p w14:paraId="249ED473" w14:textId="77777777" w:rsidR="00F15FDF" w:rsidRDefault="00F15FDF" w:rsidP="00F15FDF">
      <w:pPr>
        <w:rPr>
          <w:rFonts w:asciiTheme="minorHAnsi" w:eastAsiaTheme="minorHAnsi" w:hAnsiTheme="minorHAnsi" w:cs="LegacySerif-Book"/>
        </w:rPr>
      </w:pPr>
      <w:r>
        <w:rPr>
          <w:noProof/>
          <w:lang w:val="en-GB" w:eastAsia="en-GB"/>
        </w:rPr>
        <w:drawing>
          <wp:inline distT="0" distB="0" distL="0" distR="0" wp14:anchorId="67A3AB7D" wp14:editId="028A6313">
            <wp:extent cx="4808220" cy="3025140"/>
            <wp:effectExtent l="0" t="0" r="0" b="3810"/>
            <wp:docPr id="80" name="Picture 80" descr="Weiss et al. (2013) study overview.&#10;The analysis identified 467 chelator-based treatments with a duration of more than 6 months from a combination of Austrian and German tertiary care centres, and the Eurowilson registry: 326 involved penicillamine monotherapy (295 as first-line, 31 as second-line) and 141 involved trientine monotherapy (38 as first-line and 103 as second-line). " title="Weiss et al. (2013) study overview"/>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8220" cy="3025140"/>
                    </a:xfrm>
                    <a:prstGeom prst="rect">
                      <a:avLst/>
                    </a:prstGeom>
                    <a:noFill/>
                    <a:ln>
                      <a:noFill/>
                    </a:ln>
                  </pic:spPr>
                </pic:pic>
              </a:graphicData>
            </a:graphic>
          </wp:inline>
        </w:drawing>
      </w:r>
    </w:p>
    <w:p w14:paraId="7C491052" w14:textId="77777777" w:rsidR="00F15FDF" w:rsidRDefault="00F15FDF" w:rsidP="00FB5136">
      <w:r>
        <w:lastRenderedPageBreak/>
        <w:t xml:space="preserve">Baseline </w:t>
      </w:r>
      <w:r w:rsidRPr="00FB5136">
        <w:t>characteristics</w:t>
      </w:r>
      <w:r>
        <w:t>, recorded at the time of initiation of, or change in, chelator-based treatment, were generally similar across the treatment groups, but penicillamine was used more commonly as first-line treatment.</w:t>
      </w:r>
    </w:p>
    <w:p w14:paraId="1A04241C" w14:textId="7C2E8119" w:rsidR="00F15FDF" w:rsidRDefault="00F15FDF" w:rsidP="00FB5136">
      <w:pPr>
        <w:rPr>
          <w:rFonts w:asciiTheme="minorHAnsi" w:eastAsiaTheme="minorHAnsi" w:hAnsiTheme="minorHAnsi" w:cs="LegacySerif-Book"/>
        </w:rPr>
      </w:pPr>
      <w:r w:rsidRPr="00FB5136">
        <w:t>Hepatic</w:t>
      </w:r>
      <w:r>
        <w:rPr>
          <w:lang w:eastAsia="ja-JP"/>
        </w:rPr>
        <w:t xml:space="preserve"> and neurologic improvement and worsening were reported for </w:t>
      </w:r>
      <w:r>
        <w:rPr>
          <w:rFonts w:asciiTheme="minorHAnsi" w:hAnsiTheme="minorHAnsi"/>
        </w:rPr>
        <w:t xml:space="preserve">penicillamine </w:t>
      </w:r>
      <w:r>
        <w:rPr>
          <w:lang w:eastAsia="ja-JP"/>
        </w:rPr>
        <w:t xml:space="preserve">and </w:t>
      </w:r>
      <w:proofErr w:type="spellStart"/>
      <w:r>
        <w:rPr>
          <w:lang w:eastAsia="ja-JP"/>
        </w:rPr>
        <w:t>trientine</w:t>
      </w:r>
      <w:proofErr w:type="spellEnd"/>
      <w:r>
        <w:rPr>
          <w:lang w:eastAsia="ja-JP"/>
        </w:rPr>
        <w:t>, stratified by first-line and second-line use (</w:t>
      </w:r>
      <w:r w:rsidR="00941BCE">
        <w:rPr>
          <w:lang w:eastAsia="ja-JP"/>
        </w:rPr>
        <w:t xml:space="preserve">see </w:t>
      </w:r>
      <w:r>
        <w:rPr>
          <w:lang w:eastAsia="ja-JP"/>
        </w:rPr>
        <w:fldChar w:fldCharType="begin"/>
      </w:r>
      <w:r>
        <w:rPr>
          <w:lang w:eastAsia="ja-JP"/>
        </w:rPr>
        <w:instrText xml:space="preserve"> REF _Ref52283751 \h </w:instrText>
      </w:r>
      <w:r>
        <w:rPr>
          <w:lang w:eastAsia="ja-JP"/>
        </w:rPr>
      </w:r>
      <w:r>
        <w:rPr>
          <w:lang w:eastAsia="ja-JP"/>
        </w:rPr>
        <w:fldChar w:fldCharType="separate"/>
      </w:r>
      <w:r w:rsidR="005906D0">
        <w:t xml:space="preserve">Table </w:t>
      </w:r>
      <w:r w:rsidR="005906D0">
        <w:rPr>
          <w:noProof/>
        </w:rPr>
        <w:t>5</w:t>
      </w:r>
      <w:r>
        <w:rPr>
          <w:lang w:eastAsia="ja-JP"/>
        </w:rPr>
        <w:fldChar w:fldCharType="end"/>
      </w:r>
      <w:r>
        <w:rPr>
          <w:lang w:eastAsia="ja-JP"/>
        </w:rPr>
        <w:t>)</w:t>
      </w:r>
      <w:bookmarkStart w:id="50" w:name="_Ref50974368"/>
      <w:bookmarkStart w:id="51" w:name="_Ref50991688"/>
      <w:r>
        <w:rPr>
          <w:rFonts w:asciiTheme="minorHAnsi" w:eastAsiaTheme="minorHAnsi" w:hAnsiTheme="minorHAnsi" w:cs="LegacySerif-Book"/>
        </w:rPr>
        <w:t>.</w:t>
      </w:r>
    </w:p>
    <w:p w14:paraId="2BEA05A3" w14:textId="77777777" w:rsidR="00F15FDF" w:rsidRPr="004F5EC6" w:rsidRDefault="00F15FDF" w:rsidP="00FB5136">
      <w:r>
        <w:t xml:space="preserve">For </w:t>
      </w:r>
      <w:proofErr w:type="spellStart"/>
      <w:r>
        <w:t>trientine</w:t>
      </w:r>
      <w:proofErr w:type="spellEnd"/>
      <w:r>
        <w:t xml:space="preserve"> in the second-line setting (proposed for registration):</w:t>
      </w:r>
    </w:p>
    <w:p w14:paraId="4BE71249" w14:textId="77777777" w:rsidR="00F15FDF" w:rsidRPr="00FB5136" w:rsidRDefault="00F15FDF" w:rsidP="00FB5136">
      <w:pPr>
        <w:pStyle w:val="ListBullet"/>
      </w:pPr>
      <w:r w:rsidRPr="00FB5136">
        <w:t>31 of 45 (68.9%) patients with hepatic symptoms showed hepatic improvement.</w:t>
      </w:r>
    </w:p>
    <w:p w14:paraId="7AB54CB6" w14:textId="77777777" w:rsidR="00F15FDF" w:rsidRPr="00FB5136" w:rsidRDefault="00F15FDF" w:rsidP="00FB5136">
      <w:pPr>
        <w:pStyle w:val="ListBullet"/>
      </w:pPr>
      <w:r w:rsidRPr="00FB5136">
        <w:t>10 (22.2%) patients with hepatic symptoms showed stable hepatic disease.</w:t>
      </w:r>
    </w:p>
    <w:p w14:paraId="184CEC4A" w14:textId="77777777" w:rsidR="00F15FDF" w:rsidRPr="00FB5136" w:rsidRDefault="00F15FDF" w:rsidP="00FB5136">
      <w:pPr>
        <w:pStyle w:val="ListBullet"/>
      </w:pPr>
      <w:r w:rsidRPr="00FB5136">
        <w:t>4 (8.9%) patients with hepatic symptoms showed hepatic worsening.</w:t>
      </w:r>
    </w:p>
    <w:p w14:paraId="5A118442" w14:textId="77777777" w:rsidR="00F15FDF" w:rsidRPr="00FB5136" w:rsidRDefault="00F15FDF" w:rsidP="00FB5136">
      <w:pPr>
        <w:pStyle w:val="ListBullet"/>
      </w:pPr>
      <w:r w:rsidRPr="00FB5136">
        <w:t>No hepatic worsening was observed in asymptomatic patients.</w:t>
      </w:r>
    </w:p>
    <w:p w14:paraId="6D0BCCB6" w14:textId="77777777" w:rsidR="00F15FDF" w:rsidRPr="00FB5136" w:rsidRDefault="00F15FDF" w:rsidP="00FB5136">
      <w:pPr>
        <w:pStyle w:val="ListBullet"/>
      </w:pPr>
      <w:r w:rsidRPr="00FB5136">
        <w:t>26 of 51 (50.9%) patients with neurologic symptoms showed neurologic improvement.</w:t>
      </w:r>
    </w:p>
    <w:p w14:paraId="78B9622B" w14:textId="4C2803D7" w:rsidR="00F15FDF" w:rsidRPr="00FB5136" w:rsidRDefault="00F15FDF" w:rsidP="00FB5136">
      <w:pPr>
        <w:pStyle w:val="ListBullet"/>
      </w:pPr>
      <w:r w:rsidRPr="00FB5136">
        <w:t>17 (33.3%) patients with neurologic symptoms showed stable neurologic disease.</w:t>
      </w:r>
    </w:p>
    <w:p w14:paraId="7AF7F5CB" w14:textId="77777777" w:rsidR="00F15FDF" w:rsidRPr="00FB5136" w:rsidRDefault="00F15FDF" w:rsidP="00FB5136">
      <w:pPr>
        <w:pStyle w:val="ListBullet"/>
      </w:pPr>
      <w:r w:rsidRPr="00FB5136">
        <w:t>8 (15.7%) patients with neurologic symptoms showed neurologic worsening.</w:t>
      </w:r>
    </w:p>
    <w:p w14:paraId="159D556D" w14:textId="77777777" w:rsidR="00F15FDF" w:rsidRPr="00FB5136" w:rsidRDefault="00F15FDF" w:rsidP="00FB5136">
      <w:pPr>
        <w:pStyle w:val="ListBullet"/>
      </w:pPr>
      <w:r w:rsidRPr="00FB5136">
        <w:t>No neurologic worsening was observed in asymptomatic patients.</w:t>
      </w:r>
    </w:p>
    <w:p w14:paraId="4FE2E0A2" w14:textId="207039BE" w:rsidR="00F15FDF" w:rsidRPr="00FB5136" w:rsidRDefault="00F15FDF" w:rsidP="00FB5136">
      <w:r w:rsidRPr="00FB5136">
        <w:t xml:space="preserve">Hepatic improvement was lower in the second-line setting compared to the </w:t>
      </w:r>
      <w:proofErr w:type="gramStart"/>
      <w:r w:rsidRPr="00FB5136">
        <w:t>first-line</w:t>
      </w:r>
      <w:proofErr w:type="gramEnd"/>
      <w:r w:rsidRPr="00FB5136">
        <w:t xml:space="preserve"> setting for both penicillamine </w:t>
      </w:r>
      <w:r w:rsidR="00FB5136">
        <w:t xml:space="preserve">and </w:t>
      </w:r>
      <w:proofErr w:type="spellStart"/>
      <w:r w:rsidR="00FB5136">
        <w:t>trientine</w:t>
      </w:r>
      <w:proofErr w:type="spellEnd"/>
      <w:r w:rsidR="00FB5136">
        <w:t xml:space="preserve">. </w:t>
      </w:r>
      <w:r w:rsidRPr="00FB5136">
        <w:t>The authors attributed this finding to advanced liver disease and irreversible structural liver damage.</w:t>
      </w:r>
    </w:p>
    <w:p w14:paraId="52533E91" w14:textId="3A33869E" w:rsidR="00F15FDF" w:rsidRDefault="00F15FDF" w:rsidP="00FB5136">
      <w:r w:rsidRPr="00FB5136">
        <w:t xml:space="preserve">Neurologic deterioration occurred more frequently with </w:t>
      </w:r>
      <w:proofErr w:type="spellStart"/>
      <w:r w:rsidRPr="00FB5136">
        <w:t>trientine</w:t>
      </w:r>
      <w:proofErr w:type="spellEnd"/>
      <w:r w:rsidRPr="00FB5136">
        <w:t xml:space="preserve"> than penicillamine in both the </w:t>
      </w:r>
      <w:proofErr w:type="gramStart"/>
      <w:r w:rsidRPr="00FB5136">
        <w:t>first</w:t>
      </w:r>
      <w:r w:rsidR="00FB5136">
        <w:t>-line</w:t>
      </w:r>
      <w:proofErr w:type="gramEnd"/>
      <w:r w:rsidR="00FB5136">
        <w:t xml:space="preserve"> and second-line settings.</w:t>
      </w:r>
    </w:p>
    <w:p w14:paraId="534F881A" w14:textId="0D62E9A8" w:rsidR="00C82174" w:rsidRPr="00C82174" w:rsidRDefault="00F15FDF" w:rsidP="00C82174">
      <w:pPr>
        <w:pStyle w:val="TableTitle"/>
      </w:pPr>
      <w:bookmarkStart w:id="52" w:name="_Ref52283751"/>
      <w:r>
        <w:t xml:space="preserve">Table </w:t>
      </w:r>
      <w:fldSimple w:instr=" SEQ Table \* ARABIC ">
        <w:r w:rsidR="005906D0">
          <w:rPr>
            <w:noProof/>
          </w:rPr>
          <w:t>5</w:t>
        </w:r>
      </w:fldSimple>
      <w:bookmarkEnd w:id="50"/>
      <w:bookmarkEnd w:id="51"/>
      <w:bookmarkEnd w:id="52"/>
      <w:r w:rsidR="00FB5136">
        <w:t xml:space="preserve">: </w:t>
      </w:r>
      <w:r w:rsidR="00626770">
        <w:t xml:space="preserve">Weiss et al. (2013) </w:t>
      </w:r>
      <w:r>
        <w:t>Rate of h</w:t>
      </w:r>
      <w:r w:rsidRPr="004C218E">
        <w:t>epatic or neurological improvement and worsening in all or only symptomatic patients stratified by first and second-line treatment</w:t>
      </w:r>
    </w:p>
    <w:p w14:paraId="75790CB7" w14:textId="283D50BF" w:rsidR="00F15FDF" w:rsidRDefault="00F15FDF" w:rsidP="00F15FDF">
      <w:r>
        <w:rPr>
          <w:noProof/>
          <w:lang w:val="en-GB" w:eastAsia="en-GB"/>
        </w:rPr>
        <w:drawing>
          <wp:inline distT="0" distB="0" distL="0" distR="0" wp14:anchorId="7284495B" wp14:editId="775D11BA">
            <wp:extent cx="5390476" cy="2470245"/>
            <wp:effectExtent l="0" t="0" r="1270" b="6350"/>
            <wp:docPr id="82" name="Picture 82" descr="Weiss et al. (2013) Rate of hepatic or neurological improvement and worsening in all or only symptomatic patients stratified by first and second-line treatment" title="Weiss et al. (2013) Rate of hepatic or neurological improvement and worsening in all or only symptomatic patients stratified by first and second-line treatment"/>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rotWithShape="1">
                    <a:blip r:embed="rId17">
                      <a:lum contrast="20000"/>
                      <a:extLst>
                        <a:ext uri="{28A0092B-C50C-407E-A947-70E740481C1C}">
                          <a14:useLocalDpi xmlns:a14="http://schemas.microsoft.com/office/drawing/2010/main" val="0"/>
                        </a:ext>
                      </a:extLst>
                    </a:blip>
                    <a:srcRect l="1" t="1" r="1387" b="9800"/>
                    <a:stretch/>
                  </pic:blipFill>
                  <pic:spPr bwMode="auto">
                    <a:xfrm>
                      <a:off x="0" y="0"/>
                      <a:ext cx="5412229" cy="2480214"/>
                    </a:xfrm>
                    <a:prstGeom prst="rect">
                      <a:avLst/>
                    </a:prstGeom>
                    <a:noFill/>
                    <a:ln>
                      <a:noFill/>
                    </a:ln>
                    <a:extLst>
                      <a:ext uri="{53640926-AAD7-44D8-BBD7-CCE9431645EC}">
                        <a14:shadowObscured xmlns:a14="http://schemas.microsoft.com/office/drawing/2010/main"/>
                      </a:ext>
                    </a:extLst>
                  </pic:spPr>
                </pic:pic>
              </a:graphicData>
            </a:graphic>
          </wp:inline>
        </w:drawing>
      </w:r>
    </w:p>
    <w:p w14:paraId="5158BE17" w14:textId="0BEEBE99" w:rsidR="00C82174" w:rsidRDefault="00C82174" w:rsidP="00C82174">
      <w:pPr>
        <w:pStyle w:val="TableDescription"/>
      </w:pPr>
      <w:r>
        <w:t>DPA = D-penicillamine.</w:t>
      </w:r>
    </w:p>
    <w:p w14:paraId="6112B3F2" w14:textId="6DF62201" w:rsidR="00C82174" w:rsidRDefault="00C82174" w:rsidP="00C82174">
      <w:pPr>
        <w:pStyle w:val="TableDescription"/>
      </w:pPr>
      <w:r>
        <w:t>Note: P-values were established using the 2-tailed Fisher test.</w:t>
      </w:r>
    </w:p>
    <w:p w14:paraId="3FE9AE62" w14:textId="1C4EF99B" w:rsidR="00F15FDF" w:rsidRDefault="00F15FDF" w:rsidP="00F15FDF">
      <w:pPr>
        <w:pStyle w:val="Heading5"/>
      </w:pPr>
      <w:r>
        <w:t xml:space="preserve">Walshe </w:t>
      </w:r>
      <w:r w:rsidR="00FB5136">
        <w:t>et al. (</w:t>
      </w:r>
      <w:r>
        <w:t>1982</w:t>
      </w:r>
      <w:r w:rsidR="00FB5136">
        <w:t>)</w:t>
      </w:r>
      <w:bookmarkStart w:id="53" w:name="_Ref83586437"/>
      <w:r w:rsidR="00FB5136">
        <w:rPr>
          <w:rStyle w:val="FootnoteReference"/>
        </w:rPr>
        <w:footnoteReference w:id="14"/>
      </w:r>
      <w:bookmarkEnd w:id="53"/>
    </w:p>
    <w:p w14:paraId="02D3C0A5" w14:textId="42618242" w:rsidR="00F15FDF" w:rsidRDefault="00F15FDF" w:rsidP="00F15FDF">
      <w:r>
        <w:t xml:space="preserve">This was a retrospective review of file notes for 20 penicillamine-intolerant patients treated with </w:t>
      </w:r>
      <w:proofErr w:type="spellStart"/>
      <w:r>
        <w:t>trientine</w:t>
      </w:r>
      <w:proofErr w:type="spellEnd"/>
      <w:r>
        <w:t xml:space="preserve"> dihydrochloride for a minimum </w:t>
      </w:r>
      <w:r w:rsidR="00FB5136">
        <w:t xml:space="preserve">of one year over the preceding </w:t>
      </w:r>
      <w:r w:rsidR="00FB5136">
        <w:lastRenderedPageBreak/>
        <w:t xml:space="preserve">13 years. </w:t>
      </w:r>
      <w:r>
        <w:t xml:space="preserve">The aim was to describe the clinical response to </w:t>
      </w:r>
      <w:proofErr w:type="spellStart"/>
      <w:r>
        <w:t>trientine</w:t>
      </w:r>
      <w:proofErr w:type="spellEnd"/>
      <w:r>
        <w:t xml:space="preserve"> in patients with </w:t>
      </w:r>
      <w:r w:rsidR="00FB5136">
        <w:t xml:space="preserve">Wilson’s disease intolerant to penicillamine. </w:t>
      </w:r>
      <w:r>
        <w:t xml:space="preserve">The study reported </w:t>
      </w:r>
      <w:proofErr w:type="spellStart"/>
      <w:r>
        <w:t>trientine</w:t>
      </w:r>
      <w:proofErr w:type="spellEnd"/>
      <w:r>
        <w:t xml:space="preserve"> doses between 400 mg </w:t>
      </w:r>
      <w:r w:rsidR="00FB5136">
        <w:t>three times daily</w:t>
      </w:r>
      <w:r>
        <w:t xml:space="preserve"> and 800 mg </w:t>
      </w:r>
      <w:r w:rsidR="00FB5136">
        <w:t>three times daily before meals.</w:t>
      </w:r>
    </w:p>
    <w:p w14:paraId="109221A8" w14:textId="0B3FFCD4" w:rsidR="00F15FDF" w:rsidRDefault="00F15FDF" w:rsidP="00F15FDF">
      <w:r>
        <w:t>The analysis grouped patients</w:t>
      </w:r>
      <w:r w:rsidRPr="002223BF">
        <w:t xml:space="preserve"> </w:t>
      </w:r>
      <w:r>
        <w:t>according to the stage at which they developed penicillamine intolerance: patients in whom penicillamine intolerance developed within days or weeks of commencing treatment (Group A, n</w:t>
      </w:r>
      <w:r w:rsidR="00FB5136">
        <w:t> </w:t>
      </w:r>
      <w:r>
        <w:t>=</w:t>
      </w:r>
      <w:r w:rsidR="00FB5136">
        <w:t> </w:t>
      </w:r>
      <w:r>
        <w:t>8); patients who had received less than one year of continuous penicillamine before developing intolerance (Group B, n</w:t>
      </w:r>
      <w:r w:rsidR="00FB5136">
        <w:t> </w:t>
      </w:r>
      <w:r>
        <w:t>=</w:t>
      </w:r>
      <w:r w:rsidR="00FB5136">
        <w:t> </w:t>
      </w:r>
      <w:r>
        <w:t>3); and patients who had responded well to penicillamine before developing intolerance at a later stage (Group C, n</w:t>
      </w:r>
      <w:r w:rsidR="00FB5136">
        <w:t> </w:t>
      </w:r>
      <w:r>
        <w:t>=</w:t>
      </w:r>
      <w:r w:rsidR="00FB5136">
        <w:t> </w:t>
      </w:r>
      <w:r>
        <w:t>9).</w:t>
      </w:r>
    </w:p>
    <w:p w14:paraId="1CC85B0F" w14:textId="285EB7B8" w:rsidR="00F15FDF" w:rsidRPr="00FB5136" w:rsidRDefault="00F15FDF" w:rsidP="00FB5136">
      <w:r>
        <w:t xml:space="preserve">Clinical responses for patients in Group A are shown in </w:t>
      </w:r>
      <w:r>
        <w:fldChar w:fldCharType="begin"/>
      </w:r>
      <w:r>
        <w:instrText xml:space="preserve"> REF _Ref51656062 \h </w:instrText>
      </w:r>
      <w:r>
        <w:fldChar w:fldCharType="separate"/>
      </w:r>
      <w:r w:rsidR="005906D0">
        <w:t xml:space="preserve">Table </w:t>
      </w:r>
      <w:r w:rsidR="005906D0">
        <w:rPr>
          <w:noProof/>
        </w:rPr>
        <w:t>6</w:t>
      </w:r>
      <w:r>
        <w:fldChar w:fldCharType="end"/>
      </w:r>
      <w:r w:rsidR="00FB5136">
        <w:t xml:space="preserve">. </w:t>
      </w:r>
      <w:r>
        <w:t xml:space="preserve">All patients in Group A experienced improvement in symptoms after treatment with </w:t>
      </w:r>
      <w:proofErr w:type="spellStart"/>
      <w:r>
        <w:t>trientine</w:t>
      </w:r>
      <w:proofErr w:type="spellEnd"/>
      <w:r>
        <w:t xml:space="preserve"> (duration of treatment r</w:t>
      </w:r>
      <w:r w:rsidR="00FB5136">
        <w:t xml:space="preserve">anging from 14 to 120 months). </w:t>
      </w:r>
      <w:r>
        <w:t xml:space="preserve">The three patients in Group B were reported to have considerable neurological deficit which improved after commencing </w:t>
      </w:r>
      <w:proofErr w:type="spellStart"/>
      <w:r>
        <w:t>trientine</w:t>
      </w:r>
      <w:proofErr w:type="spellEnd"/>
      <w:r>
        <w:t>, although two had s</w:t>
      </w:r>
      <w:r w:rsidR="00FB5136">
        <w:t xml:space="preserve">ome residual deficit. </w:t>
      </w:r>
      <w:r>
        <w:t>The patients in Group C had been adequately ‘de-copper</w:t>
      </w:r>
      <w:r w:rsidR="00FB5136">
        <w:t xml:space="preserve">ed’ at the time of changeover. </w:t>
      </w:r>
      <w:r>
        <w:t xml:space="preserve">They remained symptomatically well controlled after changing to </w:t>
      </w:r>
      <w:proofErr w:type="spellStart"/>
      <w:r>
        <w:t>trientine</w:t>
      </w:r>
      <w:proofErr w:type="spellEnd"/>
      <w:r>
        <w:t>, the penicillamine-related toxicities resolved, and no new toxicities were observe</w:t>
      </w:r>
      <w:r w:rsidR="00FB5136">
        <w:t>d other than iron deficiency.</w:t>
      </w:r>
    </w:p>
    <w:p w14:paraId="4D59FF27" w14:textId="41DBF8C1" w:rsidR="00F15FDF" w:rsidRDefault="00F15FDF" w:rsidP="00FB5136">
      <w:pPr>
        <w:pStyle w:val="TableTitle"/>
      </w:pPr>
      <w:bookmarkStart w:id="54" w:name="_Ref51656062"/>
      <w:r>
        <w:t xml:space="preserve">Table </w:t>
      </w:r>
      <w:fldSimple w:instr=" SEQ Table \* ARABIC ">
        <w:r w:rsidR="005906D0">
          <w:rPr>
            <w:noProof/>
          </w:rPr>
          <w:t>6</w:t>
        </w:r>
      </w:fldSimple>
      <w:bookmarkEnd w:id="54"/>
      <w:r w:rsidR="00FB5136">
        <w:t xml:space="preserve">: </w:t>
      </w:r>
      <w:r>
        <w:t>Walshe</w:t>
      </w:r>
      <w:r w:rsidR="00FB5136">
        <w:t xml:space="preserve"> et al.</w:t>
      </w:r>
      <w:r>
        <w:t xml:space="preserve"> </w:t>
      </w:r>
      <w:r w:rsidR="00FB5136">
        <w:t>(1982) Clinical and pharmacodynamic</w:t>
      </w:r>
      <w:r>
        <w:t xml:space="preserve"> response to treatment with </w:t>
      </w:r>
      <w:proofErr w:type="spellStart"/>
      <w:r>
        <w:t>trientine</w:t>
      </w:r>
      <w:proofErr w:type="spellEnd"/>
      <w:r>
        <w:t xml:space="preserve"> after early intolerance to </w:t>
      </w:r>
      <w:r>
        <w:rPr>
          <w:rFonts w:asciiTheme="minorHAnsi" w:hAnsiTheme="minorHAnsi"/>
        </w:rPr>
        <w:t xml:space="preserve">penicillamine </w:t>
      </w:r>
      <w:r>
        <w:t>(Group A)</w:t>
      </w:r>
    </w:p>
    <w:p w14:paraId="2591BB01" w14:textId="71E65282" w:rsidR="00F15FDF" w:rsidRDefault="00F15FDF" w:rsidP="00F15FDF">
      <w:r>
        <w:rPr>
          <w:noProof/>
          <w:lang w:val="en-GB" w:eastAsia="en-GB"/>
        </w:rPr>
        <w:drawing>
          <wp:inline distT="0" distB="0" distL="0" distR="0" wp14:anchorId="6F8AE89C" wp14:editId="5BAA7E77">
            <wp:extent cx="5334803" cy="1876567"/>
            <wp:effectExtent l="0" t="0" r="0" b="9525"/>
            <wp:docPr id="77" name="Picture 77" descr="Walshe et al. (1982) Clinical and pharmacodynamic response to treatment with trientine after early intolerance to penicillamine (Group A)"/>
            <wp:cNvGraphicFramePr/>
            <a:graphic xmlns:a="http://schemas.openxmlformats.org/drawingml/2006/main">
              <a:graphicData uri="http://schemas.openxmlformats.org/drawingml/2006/picture">
                <pic:pic xmlns:pic="http://schemas.openxmlformats.org/drawingml/2006/picture">
                  <pic:nvPicPr>
                    <pic:cNvPr id="77" name="Picture 77" descr="Walshe et al. (1982) Clinical and pharmacodynamic response to treatment with trientine after early intolerance to penicillamine (Group A)"/>
                    <pic:cNvPicPr/>
                  </pic:nvPicPr>
                  <pic:blipFill rotWithShape="1">
                    <a:blip r:embed="rId18">
                      <a:extLst>
                        <a:ext uri="{28A0092B-C50C-407E-A947-70E740481C1C}">
                          <a14:useLocalDpi xmlns:a14="http://schemas.microsoft.com/office/drawing/2010/main" val="0"/>
                        </a:ext>
                      </a:extLst>
                    </a:blip>
                    <a:srcRect b="18138"/>
                    <a:stretch/>
                  </pic:blipFill>
                  <pic:spPr bwMode="auto">
                    <a:xfrm>
                      <a:off x="0" y="0"/>
                      <a:ext cx="5349662" cy="1881794"/>
                    </a:xfrm>
                    <a:prstGeom prst="rect">
                      <a:avLst/>
                    </a:prstGeom>
                    <a:noFill/>
                    <a:ln>
                      <a:noFill/>
                    </a:ln>
                    <a:extLst>
                      <a:ext uri="{53640926-AAD7-44D8-BBD7-CCE9431645EC}">
                        <a14:shadowObscured xmlns:a14="http://schemas.microsoft.com/office/drawing/2010/main"/>
                      </a:ext>
                    </a:extLst>
                  </pic:spPr>
                </pic:pic>
              </a:graphicData>
            </a:graphic>
          </wp:inline>
        </w:drawing>
      </w:r>
    </w:p>
    <w:p w14:paraId="2BF831A6" w14:textId="15899A6D" w:rsidR="006E2254" w:rsidRDefault="006E2254" w:rsidP="006E2254">
      <w:pPr>
        <w:pStyle w:val="TableDescription"/>
      </w:pPr>
      <w:r>
        <w:t>KF rings = Kayser-Fleischer (</w:t>
      </w:r>
      <w:proofErr w:type="spellStart"/>
      <w:r>
        <w:t>pericorneal</w:t>
      </w:r>
      <w:proofErr w:type="spellEnd"/>
      <w:r>
        <w:t xml:space="preserve"> pigment) rings</w:t>
      </w:r>
    </w:p>
    <w:p w14:paraId="62BFD5BA" w14:textId="49A6C613" w:rsidR="00F15FDF" w:rsidRDefault="00F15FDF" w:rsidP="00F15FDF">
      <w:pPr>
        <w:pStyle w:val="Heading5"/>
      </w:pPr>
      <w:proofErr w:type="spellStart"/>
      <w:r>
        <w:t>Scheinberg</w:t>
      </w:r>
      <w:proofErr w:type="spellEnd"/>
      <w:r>
        <w:t xml:space="preserve"> et al</w:t>
      </w:r>
      <w:r w:rsidR="00FB5136">
        <w:t>.</w:t>
      </w:r>
      <w:r>
        <w:t xml:space="preserve"> </w:t>
      </w:r>
      <w:r w:rsidR="00FB5136">
        <w:t>(</w:t>
      </w:r>
      <w:r>
        <w:t>1987</w:t>
      </w:r>
      <w:r w:rsidR="00FB5136">
        <w:t>)</w:t>
      </w:r>
      <w:bookmarkStart w:id="55" w:name="_Ref83586285"/>
      <w:r w:rsidR="00FB5136">
        <w:rPr>
          <w:rStyle w:val="FootnoteReference"/>
        </w:rPr>
        <w:footnoteReference w:id="15"/>
      </w:r>
      <w:bookmarkEnd w:id="55"/>
    </w:p>
    <w:p w14:paraId="74771B88" w14:textId="0A987397" w:rsidR="00F15FDF" w:rsidRDefault="00F15FDF" w:rsidP="00F15FDF">
      <w:pPr>
        <w:rPr>
          <w:rFonts w:eastAsia="MS Mincho"/>
          <w:bCs/>
          <w:szCs w:val="21"/>
          <w:lang w:eastAsia="ja-JP"/>
        </w:rPr>
      </w:pPr>
      <w:proofErr w:type="spellStart"/>
      <w:r>
        <w:rPr>
          <w:rFonts w:eastAsia="MS Mincho"/>
          <w:bCs/>
          <w:szCs w:val="21"/>
          <w:lang w:eastAsia="ja-JP"/>
        </w:rPr>
        <w:t>Scheinberg</w:t>
      </w:r>
      <w:proofErr w:type="spellEnd"/>
      <w:r>
        <w:rPr>
          <w:rFonts w:eastAsia="MS Mincho"/>
          <w:bCs/>
          <w:szCs w:val="21"/>
          <w:lang w:eastAsia="ja-JP"/>
        </w:rPr>
        <w:t xml:space="preserve"> and colleagues retrospectively compared the clinical outcomes of three groups of patients with </w:t>
      </w:r>
      <w:r w:rsidR="00FB5136">
        <w:rPr>
          <w:rFonts w:eastAsia="MS Mincho"/>
          <w:bCs/>
          <w:szCs w:val="21"/>
          <w:lang w:eastAsia="ja-JP"/>
        </w:rPr>
        <w:t>Wilson’s disease</w:t>
      </w:r>
      <w:r>
        <w:rPr>
          <w:rFonts w:eastAsia="MS Mincho"/>
          <w:bCs/>
          <w:szCs w:val="21"/>
          <w:lang w:eastAsia="ja-JP"/>
        </w:rPr>
        <w:t xml:space="preserve"> in </w:t>
      </w:r>
      <w:r w:rsidR="006E2254">
        <w:rPr>
          <w:rFonts w:eastAsia="MS Mincho"/>
          <w:bCs/>
          <w:szCs w:val="21"/>
          <w:lang w:eastAsia="ja-JP"/>
        </w:rPr>
        <w:t xml:space="preserve">the </w:t>
      </w:r>
      <w:r>
        <w:rPr>
          <w:rFonts w:eastAsia="MS Mincho"/>
          <w:bCs/>
          <w:szCs w:val="21"/>
          <w:lang w:eastAsia="ja-JP"/>
        </w:rPr>
        <w:t>USA.</w:t>
      </w:r>
      <w:r w:rsidR="00544119">
        <w:rPr>
          <w:rFonts w:eastAsia="MS Mincho"/>
          <w:bCs/>
          <w:szCs w:val="21"/>
          <w:lang w:eastAsia="ja-JP"/>
        </w:rPr>
        <w:t xml:space="preserve"> </w:t>
      </w:r>
      <w:r>
        <w:rPr>
          <w:rFonts w:eastAsia="MS Mincho"/>
          <w:bCs/>
          <w:szCs w:val="21"/>
          <w:lang w:eastAsia="ja-JP"/>
        </w:rPr>
        <w:t xml:space="preserve">Group 1 comprised 11 patients who had been treated with </w:t>
      </w:r>
      <w:r>
        <w:rPr>
          <w:rFonts w:asciiTheme="minorHAnsi" w:hAnsiTheme="minorHAnsi"/>
        </w:rPr>
        <w:t xml:space="preserve">penicillamine </w:t>
      </w:r>
      <w:r w:rsidR="00ED0E14">
        <w:rPr>
          <w:rFonts w:eastAsia="MS Mincho"/>
          <w:bCs/>
          <w:szCs w:val="21"/>
          <w:lang w:eastAsia="ja-JP"/>
        </w:rPr>
        <w:t>(1000 to</w:t>
      </w:r>
      <w:r>
        <w:rPr>
          <w:rFonts w:eastAsia="MS Mincho"/>
          <w:bCs/>
          <w:szCs w:val="21"/>
          <w:lang w:eastAsia="ja-JP"/>
        </w:rPr>
        <w:t xml:space="preserve"> 2000 mg/day) for three to 16 years before ceasing treatment (</w:t>
      </w:r>
      <w:r w:rsidR="00941BCE">
        <w:rPr>
          <w:rFonts w:eastAsia="MS Mincho"/>
          <w:bCs/>
          <w:szCs w:val="21"/>
          <w:lang w:eastAsia="ja-JP"/>
        </w:rPr>
        <w:t xml:space="preserve">see </w:t>
      </w:r>
      <w:r>
        <w:rPr>
          <w:rFonts w:eastAsia="MS Mincho"/>
          <w:bCs/>
          <w:szCs w:val="21"/>
          <w:lang w:eastAsia="ja-JP"/>
        </w:rPr>
        <w:fldChar w:fldCharType="begin"/>
      </w:r>
      <w:r>
        <w:rPr>
          <w:rFonts w:eastAsia="MS Mincho"/>
          <w:bCs/>
          <w:szCs w:val="21"/>
          <w:lang w:eastAsia="ja-JP"/>
        </w:rPr>
        <w:instrText xml:space="preserve"> REF _Ref36456127 \h </w:instrText>
      </w:r>
      <w:r>
        <w:rPr>
          <w:rFonts w:eastAsia="MS Mincho"/>
          <w:bCs/>
          <w:szCs w:val="21"/>
          <w:lang w:eastAsia="ja-JP"/>
        </w:rPr>
      </w:r>
      <w:r>
        <w:rPr>
          <w:rFonts w:eastAsia="MS Mincho"/>
          <w:bCs/>
          <w:szCs w:val="21"/>
          <w:lang w:eastAsia="ja-JP"/>
        </w:rPr>
        <w:fldChar w:fldCharType="separate"/>
      </w:r>
      <w:r w:rsidR="005906D0">
        <w:t xml:space="preserve">Table </w:t>
      </w:r>
      <w:r w:rsidR="005906D0">
        <w:rPr>
          <w:noProof/>
        </w:rPr>
        <w:t>7</w:t>
      </w:r>
      <w:r>
        <w:rPr>
          <w:rFonts w:eastAsia="MS Mincho"/>
          <w:bCs/>
          <w:szCs w:val="21"/>
          <w:lang w:eastAsia="ja-JP"/>
        </w:rPr>
        <w:fldChar w:fldCharType="end"/>
      </w:r>
      <w:r>
        <w:rPr>
          <w:rFonts w:eastAsia="MS Mincho"/>
          <w:bCs/>
          <w:szCs w:val="21"/>
          <w:lang w:eastAsia="ja-JP"/>
        </w:rPr>
        <w:t>).</w:t>
      </w:r>
      <w:r w:rsidR="00544119">
        <w:rPr>
          <w:rFonts w:eastAsia="MS Mincho"/>
          <w:bCs/>
          <w:szCs w:val="21"/>
          <w:lang w:eastAsia="ja-JP"/>
        </w:rPr>
        <w:t xml:space="preserve"> </w:t>
      </w:r>
      <w:r>
        <w:rPr>
          <w:rFonts w:eastAsia="MS Mincho"/>
          <w:bCs/>
          <w:szCs w:val="21"/>
          <w:lang w:eastAsia="ja-JP"/>
        </w:rPr>
        <w:t xml:space="preserve">Ten patients in Group 1 were asymptomatic on </w:t>
      </w:r>
      <w:r>
        <w:rPr>
          <w:rFonts w:asciiTheme="minorHAnsi" w:hAnsiTheme="minorHAnsi"/>
        </w:rPr>
        <w:t xml:space="preserve">penicillamine </w:t>
      </w:r>
      <w:r>
        <w:rPr>
          <w:rFonts w:eastAsia="MS Mincho"/>
          <w:bCs/>
          <w:szCs w:val="21"/>
          <w:lang w:eastAsia="ja-JP"/>
        </w:rPr>
        <w:t>before ceasing treatment.</w:t>
      </w:r>
      <w:r w:rsidR="00544119">
        <w:rPr>
          <w:rFonts w:eastAsia="MS Mincho"/>
          <w:bCs/>
          <w:szCs w:val="21"/>
          <w:lang w:eastAsia="ja-JP"/>
        </w:rPr>
        <w:t xml:space="preserve"> </w:t>
      </w:r>
      <w:r>
        <w:rPr>
          <w:rFonts w:eastAsia="MS Mincho"/>
          <w:bCs/>
          <w:szCs w:val="21"/>
          <w:lang w:eastAsia="ja-JP"/>
        </w:rPr>
        <w:t xml:space="preserve">Eight patients died with hepatic failure within six years of ceasing treatment with </w:t>
      </w:r>
      <w:r>
        <w:rPr>
          <w:rFonts w:asciiTheme="minorHAnsi" w:hAnsiTheme="minorHAnsi"/>
        </w:rPr>
        <w:t>penicillamine</w:t>
      </w:r>
      <w:r>
        <w:rPr>
          <w:rFonts w:eastAsia="MS Mincho"/>
          <w:bCs/>
          <w:szCs w:val="21"/>
          <w:lang w:eastAsia="ja-JP"/>
        </w:rPr>
        <w:t>, one required liver transplantation, and two recovered partly or fully with recommencing treatment.</w:t>
      </w:r>
    </w:p>
    <w:p w14:paraId="196DE5CD" w14:textId="7CBB5E5F" w:rsidR="006E2254" w:rsidRPr="006E2254" w:rsidRDefault="00F15FDF" w:rsidP="006E2254">
      <w:pPr>
        <w:pStyle w:val="TableTitle"/>
      </w:pPr>
      <w:bookmarkStart w:id="56" w:name="_Ref36456127"/>
      <w:bookmarkStart w:id="57" w:name="_Toc37315561"/>
      <w:r>
        <w:lastRenderedPageBreak/>
        <w:t xml:space="preserve">Table </w:t>
      </w:r>
      <w:fldSimple w:instr=" SEQ Table \* ARABIC ">
        <w:r w:rsidR="005906D0">
          <w:rPr>
            <w:noProof/>
          </w:rPr>
          <w:t>7</w:t>
        </w:r>
      </w:fldSimple>
      <w:bookmarkEnd w:id="56"/>
      <w:r w:rsidR="00544119">
        <w:t xml:space="preserve">: </w:t>
      </w:r>
      <w:proofErr w:type="spellStart"/>
      <w:r w:rsidR="00544119">
        <w:t>Scheinberg</w:t>
      </w:r>
      <w:proofErr w:type="spellEnd"/>
      <w:r w:rsidR="00544119">
        <w:t xml:space="preserve"> et al. (1987) </w:t>
      </w:r>
      <w:r>
        <w:t xml:space="preserve">Clinical course in patients who ceased treatment with </w:t>
      </w:r>
      <w:r>
        <w:rPr>
          <w:rFonts w:asciiTheme="minorHAnsi" w:hAnsiTheme="minorHAnsi"/>
        </w:rPr>
        <w:t>penicillamine</w:t>
      </w:r>
      <w:r>
        <w:t>, no further treatment</w:t>
      </w:r>
      <w:bookmarkEnd w:id="57"/>
    </w:p>
    <w:p w14:paraId="6D4F02BF" w14:textId="11C3A3C1" w:rsidR="00F15FDF" w:rsidRDefault="00F15FDF" w:rsidP="00F15FDF">
      <w:pPr>
        <w:rPr>
          <w:lang w:eastAsia="ja-JP"/>
        </w:rPr>
      </w:pPr>
      <w:r>
        <w:rPr>
          <w:noProof/>
          <w:lang w:val="en-GB" w:eastAsia="en-GB"/>
        </w:rPr>
        <w:drawing>
          <wp:inline distT="0" distB="0" distL="0" distR="0" wp14:anchorId="1379B3AE" wp14:editId="4A73024C">
            <wp:extent cx="5274860" cy="2121393"/>
            <wp:effectExtent l="0" t="0" r="2540" b="0"/>
            <wp:docPr id="3" name="Picture 3" descr="Scheinberg et al. (1987) Clinical course in patients who ceased treatment with penicillamine, no further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a:lum bright="3000" contrast="4000"/>
                      <a:extLst>
                        <a:ext uri="{28A0092B-C50C-407E-A947-70E740481C1C}">
                          <a14:useLocalDpi xmlns:a14="http://schemas.microsoft.com/office/drawing/2010/main" val="0"/>
                        </a:ext>
                      </a:extLst>
                    </a:blip>
                    <a:srcRect l="12975" r="1202" b="6824"/>
                    <a:stretch/>
                  </pic:blipFill>
                  <pic:spPr bwMode="auto">
                    <a:xfrm>
                      <a:off x="0" y="0"/>
                      <a:ext cx="5324241" cy="2141253"/>
                    </a:xfrm>
                    <a:prstGeom prst="rect">
                      <a:avLst/>
                    </a:prstGeom>
                    <a:noFill/>
                    <a:ln>
                      <a:noFill/>
                    </a:ln>
                    <a:extLst>
                      <a:ext uri="{53640926-AAD7-44D8-BBD7-CCE9431645EC}">
                        <a14:shadowObscured xmlns:a14="http://schemas.microsoft.com/office/drawing/2010/main"/>
                      </a:ext>
                    </a:extLst>
                  </pic:spPr>
                </pic:pic>
              </a:graphicData>
            </a:graphic>
          </wp:inline>
        </w:drawing>
      </w:r>
    </w:p>
    <w:p w14:paraId="2A3FAF5B" w14:textId="77777777" w:rsidR="006E2254" w:rsidRDefault="006E2254" w:rsidP="006E2254">
      <w:pPr>
        <w:pStyle w:val="TableDescription"/>
        <w:rPr>
          <w:lang w:eastAsia="ja-JP"/>
        </w:rPr>
      </w:pPr>
      <w:r>
        <w:rPr>
          <w:lang w:eastAsia="ja-JP"/>
        </w:rPr>
        <w:t>* Normal levels are 20 to 50 mg per decilitre.</w:t>
      </w:r>
    </w:p>
    <w:p w14:paraId="65610038" w14:textId="23B678A9" w:rsidR="006E2254" w:rsidRDefault="006E2254" w:rsidP="006E2254">
      <w:pPr>
        <w:pStyle w:val="TableDescription"/>
        <w:rPr>
          <w:lang w:eastAsia="ja-JP"/>
        </w:rPr>
      </w:pPr>
      <w:r>
        <w:rPr>
          <w:lang w:eastAsia="ja-JP"/>
        </w:rPr>
        <w:t>† Normal levels are &lt; 50 µg/g dry weight.</w:t>
      </w:r>
    </w:p>
    <w:p w14:paraId="0B295A91" w14:textId="59190658" w:rsidR="00F15FDF" w:rsidRDefault="00F15FDF" w:rsidP="00F15FDF">
      <w:pPr>
        <w:rPr>
          <w:rFonts w:eastAsia="MS Mincho"/>
          <w:bCs/>
          <w:szCs w:val="21"/>
          <w:lang w:eastAsia="ja-JP"/>
        </w:rPr>
      </w:pPr>
      <w:r>
        <w:rPr>
          <w:rFonts w:eastAsia="MS Mincho"/>
          <w:bCs/>
          <w:szCs w:val="21"/>
          <w:lang w:eastAsia="ja-JP"/>
        </w:rPr>
        <w:t xml:space="preserve">Group 2 comprised 13 patients who had been treated with </w:t>
      </w:r>
      <w:r>
        <w:rPr>
          <w:rFonts w:asciiTheme="minorHAnsi" w:hAnsiTheme="minorHAnsi"/>
        </w:rPr>
        <w:t xml:space="preserve">penicillamine </w:t>
      </w:r>
      <w:r w:rsidR="00544119">
        <w:rPr>
          <w:rFonts w:eastAsia="MS Mincho"/>
          <w:bCs/>
          <w:szCs w:val="21"/>
          <w:lang w:eastAsia="ja-JP"/>
        </w:rPr>
        <w:t>for 0.5 to 15 </w:t>
      </w:r>
      <w:r>
        <w:rPr>
          <w:rFonts w:eastAsia="MS Mincho"/>
          <w:bCs/>
          <w:szCs w:val="21"/>
          <w:lang w:eastAsia="ja-JP"/>
        </w:rPr>
        <w:t xml:space="preserve">years before developing adverse reactions and switching to </w:t>
      </w:r>
      <w:proofErr w:type="spellStart"/>
      <w:r>
        <w:rPr>
          <w:rFonts w:eastAsia="MS Mincho"/>
          <w:bCs/>
          <w:szCs w:val="21"/>
          <w:lang w:eastAsia="ja-JP"/>
        </w:rPr>
        <w:t>tri</w:t>
      </w:r>
      <w:r w:rsidR="00544119">
        <w:rPr>
          <w:rFonts w:eastAsia="MS Mincho"/>
          <w:bCs/>
          <w:szCs w:val="21"/>
          <w:lang w:eastAsia="ja-JP"/>
        </w:rPr>
        <w:t>entine</w:t>
      </w:r>
      <w:proofErr w:type="spellEnd"/>
      <w:r w:rsidR="00544119">
        <w:rPr>
          <w:rFonts w:eastAsia="MS Mincho"/>
          <w:bCs/>
          <w:szCs w:val="21"/>
          <w:lang w:eastAsia="ja-JP"/>
        </w:rPr>
        <w:t xml:space="preserve"> dihydrochloride (1000 mg to</w:t>
      </w:r>
      <w:r>
        <w:rPr>
          <w:rFonts w:eastAsia="MS Mincho"/>
          <w:bCs/>
          <w:szCs w:val="21"/>
          <w:lang w:eastAsia="ja-JP"/>
        </w:rPr>
        <w:t xml:space="preserve"> 1500</w:t>
      </w:r>
      <w:r w:rsidR="00544119">
        <w:rPr>
          <w:rFonts w:eastAsia="MS Mincho"/>
          <w:bCs/>
          <w:szCs w:val="21"/>
          <w:lang w:eastAsia="ja-JP"/>
        </w:rPr>
        <w:t> </w:t>
      </w:r>
      <w:r>
        <w:rPr>
          <w:rFonts w:eastAsia="MS Mincho"/>
          <w:bCs/>
          <w:szCs w:val="21"/>
          <w:lang w:eastAsia="ja-JP"/>
        </w:rPr>
        <w:t>mg/day) for ongoing therapy (</w:t>
      </w:r>
      <w:r w:rsidR="00941BCE">
        <w:rPr>
          <w:rFonts w:eastAsia="MS Mincho"/>
          <w:bCs/>
          <w:szCs w:val="21"/>
          <w:lang w:eastAsia="ja-JP"/>
        </w:rPr>
        <w:t xml:space="preserve">see </w:t>
      </w:r>
      <w:r>
        <w:rPr>
          <w:rFonts w:eastAsia="MS Mincho"/>
          <w:bCs/>
          <w:szCs w:val="21"/>
          <w:lang w:eastAsia="ja-JP"/>
        </w:rPr>
        <w:fldChar w:fldCharType="begin"/>
      </w:r>
      <w:r>
        <w:rPr>
          <w:rFonts w:eastAsia="MS Mincho"/>
          <w:bCs/>
          <w:szCs w:val="21"/>
          <w:lang w:eastAsia="ja-JP"/>
        </w:rPr>
        <w:instrText xml:space="preserve"> REF _Ref36456148 \h </w:instrText>
      </w:r>
      <w:r>
        <w:rPr>
          <w:rFonts w:eastAsia="MS Mincho"/>
          <w:bCs/>
          <w:szCs w:val="21"/>
          <w:lang w:eastAsia="ja-JP"/>
        </w:rPr>
      </w:r>
      <w:r>
        <w:rPr>
          <w:rFonts w:eastAsia="MS Mincho"/>
          <w:bCs/>
          <w:szCs w:val="21"/>
          <w:lang w:eastAsia="ja-JP"/>
        </w:rPr>
        <w:fldChar w:fldCharType="separate"/>
      </w:r>
      <w:r w:rsidR="005906D0">
        <w:t xml:space="preserve">Table </w:t>
      </w:r>
      <w:r w:rsidR="005906D0">
        <w:rPr>
          <w:noProof/>
        </w:rPr>
        <w:t>8</w:t>
      </w:r>
      <w:r>
        <w:rPr>
          <w:rFonts w:eastAsia="MS Mincho"/>
          <w:bCs/>
          <w:szCs w:val="21"/>
          <w:lang w:eastAsia="ja-JP"/>
        </w:rPr>
        <w:fldChar w:fldCharType="end"/>
      </w:r>
      <w:r>
        <w:rPr>
          <w:rFonts w:eastAsia="MS Mincho"/>
          <w:bCs/>
          <w:szCs w:val="21"/>
          <w:lang w:eastAsia="ja-JP"/>
        </w:rPr>
        <w:t>).</w:t>
      </w:r>
      <w:r w:rsidR="00544119">
        <w:rPr>
          <w:rFonts w:eastAsia="MS Mincho"/>
          <w:bCs/>
          <w:szCs w:val="21"/>
          <w:lang w:eastAsia="ja-JP"/>
        </w:rPr>
        <w:t xml:space="preserve"> </w:t>
      </w:r>
      <w:r>
        <w:rPr>
          <w:rFonts w:eastAsia="MS Mincho"/>
          <w:bCs/>
          <w:szCs w:val="21"/>
          <w:lang w:eastAsia="ja-JP"/>
        </w:rPr>
        <w:t xml:space="preserve">All patients were alive at the time of publication (duration of </w:t>
      </w:r>
      <w:proofErr w:type="spellStart"/>
      <w:r>
        <w:rPr>
          <w:rFonts w:eastAsia="MS Mincho"/>
          <w:bCs/>
          <w:szCs w:val="21"/>
          <w:lang w:eastAsia="ja-JP"/>
        </w:rPr>
        <w:t>trientine</w:t>
      </w:r>
      <w:proofErr w:type="spellEnd"/>
      <w:r>
        <w:rPr>
          <w:rFonts w:eastAsia="MS Mincho"/>
          <w:bCs/>
          <w:szCs w:val="21"/>
          <w:lang w:eastAsia="ja-JP"/>
        </w:rPr>
        <w:t xml:space="preserve"> treatment ranged from 2 to 15 years) except for one patient who died by unrelated accident.</w:t>
      </w:r>
      <w:r w:rsidR="00544119">
        <w:rPr>
          <w:rFonts w:eastAsia="MS Mincho"/>
          <w:bCs/>
          <w:szCs w:val="21"/>
          <w:lang w:eastAsia="ja-JP"/>
        </w:rPr>
        <w:t xml:space="preserve"> </w:t>
      </w:r>
      <w:r>
        <w:rPr>
          <w:rFonts w:eastAsia="MS Mincho"/>
          <w:bCs/>
          <w:szCs w:val="21"/>
          <w:lang w:eastAsia="ja-JP"/>
        </w:rPr>
        <w:t>Seven were asymptomat</w:t>
      </w:r>
      <w:r w:rsidR="00544119">
        <w:rPr>
          <w:rFonts w:eastAsia="MS Mincho"/>
          <w:bCs/>
          <w:szCs w:val="21"/>
          <w:lang w:eastAsia="ja-JP"/>
        </w:rPr>
        <w:t>ic, four were reported to have ‘minor neurologic symptoms’</w:t>
      </w:r>
      <w:r>
        <w:rPr>
          <w:rFonts w:eastAsia="MS Mincho"/>
          <w:bCs/>
          <w:szCs w:val="21"/>
          <w:lang w:eastAsia="ja-JP"/>
        </w:rPr>
        <w:t xml:space="preserve"> and one had psychiatric symptoms.</w:t>
      </w:r>
      <w:r w:rsidR="00544119">
        <w:rPr>
          <w:rFonts w:eastAsia="MS Mincho"/>
          <w:bCs/>
          <w:szCs w:val="21"/>
          <w:lang w:eastAsia="ja-JP"/>
        </w:rPr>
        <w:t xml:space="preserve"> </w:t>
      </w:r>
      <w:r>
        <w:rPr>
          <w:rFonts w:eastAsia="MS Mincho"/>
          <w:bCs/>
          <w:szCs w:val="21"/>
          <w:lang w:eastAsia="ja-JP"/>
        </w:rPr>
        <w:t xml:space="preserve">Eight patients recovered fully from </w:t>
      </w:r>
      <w:r>
        <w:rPr>
          <w:rFonts w:asciiTheme="minorHAnsi" w:hAnsiTheme="minorHAnsi"/>
        </w:rPr>
        <w:t>penicillamine</w:t>
      </w:r>
      <w:r>
        <w:rPr>
          <w:rFonts w:eastAsia="MS Mincho"/>
          <w:bCs/>
          <w:szCs w:val="21"/>
          <w:lang w:eastAsia="ja-JP"/>
        </w:rPr>
        <w:t xml:space="preserve">-related </w:t>
      </w:r>
      <w:r w:rsidR="00544119">
        <w:rPr>
          <w:rFonts w:eastAsia="MS Mincho"/>
          <w:bCs/>
          <w:szCs w:val="21"/>
          <w:lang w:eastAsia="ja-JP"/>
        </w:rPr>
        <w:t>adverse events</w:t>
      </w:r>
      <w:r>
        <w:rPr>
          <w:rFonts w:eastAsia="MS Mincho"/>
          <w:bCs/>
          <w:szCs w:val="21"/>
          <w:lang w:eastAsia="ja-JP"/>
        </w:rPr>
        <w:t xml:space="preserve">, four improved, and one patient had no change in the reported </w:t>
      </w:r>
      <w:r w:rsidR="00544119">
        <w:rPr>
          <w:rFonts w:eastAsia="MS Mincho"/>
          <w:bCs/>
          <w:szCs w:val="21"/>
          <w:lang w:eastAsia="ja-JP"/>
        </w:rPr>
        <w:t>adverse event</w:t>
      </w:r>
      <w:r>
        <w:rPr>
          <w:rFonts w:eastAsia="MS Mincho"/>
          <w:bCs/>
          <w:szCs w:val="21"/>
          <w:lang w:eastAsia="ja-JP"/>
        </w:rPr>
        <w:t xml:space="preserve"> (elastosis </w:t>
      </w:r>
      <w:proofErr w:type="spellStart"/>
      <w:r>
        <w:rPr>
          <w:rFonts w:eastAsia="MS Mincho"/>
          <w:bCs/>
          <w:szCs w:val="21"/>
          <w:lang w:eastAsia="ja-JP"/>
        </w:rPr>
        <w:t>perforans</w:t>
      </w:r>
      <w:proofErr w:type="spellEnd"/>
      <w:r>
        <w:rPr>
          <w:rFonts w:eastAsia="MS Mincho"/>
          <w:bCs/>
          <w:szCs w:val="21"/>
          <w:lang w:eastAsia="ja-JP"/>
        </w:rPr>
        <w:t xml:space="preserve"> </w:t>
      </w:r>
      <w:proofErr w:type="spellStart"/>
      <w:r>
        <w:rPr>
          <w:rFonts w:eastAsia="MS Mincho"/>
          <w:bCs/>
          <w:szCs w:val="21"/>
          <w:lang w:eastAsia="ja-JP"/>
        </w:rPr>
        <w:t>serpiginosa</w:t>
      </w:r>
      <w:proofErr w:type="spellEnd"/>
      <w:r>
        <w:rPr>
          <w:rFonts w:eastAsia="MS Mincho"/>
          <w:bCs/>
          <w:szCs w:val="21"/>
          <w:lang w:eastAsia="ja-JP"/>
        </w:rPr>
        <w:t xml:space="preserve">) after commencing </w:t>
      </w:r>
      <w:proofErr w:type="spellStart"/>
      <w:r>
        <w:rPr>
          <w:rFonts w:eastAsia="MS Mincho"/>
          <w:bCs/>
          <w:szCs w:val="21"/>
          <w:lang w:eastAsia="ja-JP"/>
        </w:rPr>
        <w:t>trientine</w:t>
      </w:r>
      <w:proofErr w:type="spellEnd"/>
      <w:r>
        <w:rPr>
          <w:rFonts w:eastAsia="MS Mincho"/>
          <w:bCs/>
          <w:szCs w:val="21"/>
          <w:lang w:eastAsia="ja-JP"/>
        </w:rPr>
        <w:t>.</w:t>
      </w:r>
    </w:p>
    <w:p w14:paraId="4C8425D8" w14:textId="0BDBEF87" w:rsidR="00F15FDF" w:rsidRDefault="00F15FDF" w:rsidP="00544119">
      <w:pPr>
        <w:pStyle w:val="TableTitle"/>
      </w:pPr>
      <w:bookmarkStart w:id="58" w:name="_Ref36456148"/>
      <w:bookmarkStart w:id="59" w:name="_Toc37315562"/>
      <w:r>
        <w:t xml:space="preserve">Table </w:t>
      </w:r>
      <w:fldSimple w:instr=" SEQ Table \* ARABIC ">
        <w:r w:rsidR="005906D0">
          <w:rPr>
            <w:noProof/>
          </w:rPr>
          <w:t>8</w:t>
        </w:r>
      </w:fldSimple>
      <w:bookmarkEnd w:id="58"/>
      <w:r>
        <w:t xml:space="preserve">: </w:t>
      </w:r>
      <w:proofErr w:type="spellStart"/>
      <w:r>
        <w:t>Scheinberg</w:t>
      </w:r>
      <w:proofErr w:type="spellEnd"/>
      <w:r>
        <w:t xml:space="preserve"> </w:t>
      </w:r>
      <w:r w:rsidR="00544119">
        <w:t xml:space="preserve">et al. (1987) </w:t>
      </w:r>
      <w:r>
        <w:t xml:space="preserve">Clinical course in patients intolerant to </w:t>
      </w:r>
      <w:r>
        <w:rPr>
          <w:rFonts w:asciiTheme="minorHAnsi" w:hAnsiTheme="minorHAnsi"/>
        </w:rPr>
        <w:t>penicillamine</w:t>
      </w:r>
      <w:r>
        <w:t xml:space="preserve">, switched to </w:t>
      </w:r>
      <w:proofErr w:type="spellStart"/>
      <w:r>
        <w:t>trientine</w:t>
      </w:r>
      <w:bookmarkEnd w:id="59"/>
      <w:proofErr w:type="spellEnd"/>
    </w:p>
    <w:p w14:paraId="04ACC004" w14:textId="77777777" w:rsidR="00F15FDF" w:rsidRDefault="00F15FDF" w:rsidP="00F15FDF">
      <w:pPr>
        <w:rPr>
          <w:lang w:eastAsia="ja-JP"/>
        </w:rPr>
      </w:pPr>
      <w:r>
        <w:rPr>
          <w:noProof/>
          <w:lang w:val="en-GB" w:eastAsia="en-GB"/>
        </w:rPr>
        <w:drawing>
          <wp:inline distT="0" distB="0" distL="0" distR="0" wp14:anchorId="6A304C4A" wp14:editId="38E3E436">
            <wp:extent cx="5168265" cy="2811439"/>
            <wp:effectExtent l="0" t="0" r="0" b="8255"/>
            <wp:docPr id="2" name="Picture 2" descr="Scheinberg et al. (1987) Clinical course in patients intolerant to penicillamine, switched to trien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lum bright="-20000" contrast="40000"/>
                      <a:extLst>
                        <a:ext uri="{28A0092B-C50C-407E-A947-70E740481C1C}">
                          <a14:useLocalDpi xmlns:a14="http://schemas.microsoft.com/office/drawing/2010/main" val="0"/>
                        </a:ext>
                      </a:extLst>
                    </a:blip>
                    <a:srcRect l="6424" b="2409"/>
                    <a:stretch/>
                  </pic:blipFill>
                  <pic:spPr bwMode="auto">
                    <a:xfrm>
                      <a:off x="0" y="0"/>
                      <a:ext cx="5176480" cy="2815908"/>
                    </a:xfrm>
                    <a:prstGeom prst="rect">
                      <a:avLst/>
                    </a:prstGeom>
                    <a:noFill/>
                    <a:ln>
                      <a:noFill/>
                    </a:ln>
                    <a:extLst>
                      <a:ext uri="{53640926-AAD7-44D8-BBD7-CCE9431645EC}">
                        <a14:shadowObscured xmlns:a14="http://schemas.microsoft.com/office/drawing/2010/main"/>
                      </a:ext>
                    </a:extLst>
                  </pic:spPr>
                </pic:pic>
              </a:graphicData>
            </a:graphic>
          </wp:inline>
        </w:drawing>
      </w:r>
    </w:p>
    <w:p w14:paraId="724F062F" w14:textId="5325FA9C" w:rsidR="00F15FDF" w:rsidRPr="00544119" w:rsidRDefault="00F15FDF" w:rsidP="00544119">
      <w:r>
        <w:rPr>
          <w:lang w:eastAsia="ja-JP"/>
        </w:rPr>
        <w:t xml:space="preserve">A third group of 320 patients remained on treatment with </w:t>
      </w:r>
      <w:r>
        <w:rPr>
          <w:rFonts w:asciiTheme="minorHAnsi" w:hAnsiTheme="minorHAnsi"/>
        </w:rPr>
        <w:t>penicillamine</w:t>
      </w:r>
      <w:r>
        <w:rPr>
          <w:lang w:eastAsia="ja-JP"/>
        </w:rPr>
        <w:t>. Outcomes in this group are not directly relevant to the proposed indication.</w:t>
      </w:r>
    </w:p>
    <w:p w14:paraId="5CAD23C5" w14:textId="6237352C" w:rsidR="00F15FDF" w:rsidRPr="002A637E" w:rsidRDefault="00F15FDF" w:rsidP="00F15FDF">
      <w:pPr>
        <w:pStyle w:val="Heading5"/>
        <w:rPr>
          <w:color w:val="auto"/>
        </w:rPr>
      </w:pPr>
      <w:r w:rsidRPr="002A637E">
        <w:rPr>
          <w:color w:val="auto"/>
        </w:rPr>
        <w:lastRenderedPageBreak/>
        <w:t>Brewer</w:t>
      </w:r>
      <w:r w:rsidRPr="00236F1F">
        <w:t xml:space="preserve"> </w:t>
      </w:r>
      <w:r>
        <w:t>et al</w:t>
      </w:r>
      <w:r w:rsidR="00544119">
        <w:t>.</w:t>
      </w:r>
      <w:r w:rsidRPr="002A637E">
        <w:rPr>
          <w:color w:val="auto"/>
        </w:rPr>
        <w:t xml:space="preserve"> </w:t>
      </w:r>
      <w:r w:rsidR="00544119">
        <w:rPr>
          <w:color w:val="auto"/>
        </w:rPr>
        <w:t>(</w:t>
      </w:r>
      <w:r w:rsidRPr="002A637E">
        <w:rPr>
          <w:color w:val="auto"/>
        </w:rPr>
        <w:t>2006</w:t>
      </w:r>
      <w:r w:rsidR="00544119">
        <w:rPr>
          <w:color w:val="auto"/>
        </w:rPr>
        <w:t>)</w:t>
      </w:r>
      <w:bookmarkStart w:id="60" w:name="_Ref83585820"/>
      <w:r w:rsidR="00544119">
        <w:rPr>
          <w:rStyle w:val="FootnoteReference"/>
          <w:color w:val="auto"/>
        </w:rPr>
        <w:footnoteReference w:id="16"/>
      </w:r>
      <w:bookmarkEnd w:id="60"/>
    </w:p>
    <w:p w14:paraId="79422F94" w14:textId="4968ABB1" w:rsidR="00F15FDF" w:rsidRPr="00544119" w:rsidRDefault="00F15FDF" w:rsidP="00544119">
      <w:r w:rsidRPr="00544119">
        <w:t xml:space="preserve">This was a USA-based randomised, double-blind, controlled study comparing </w:t>
      </w:r>
      <w:proofErr w:type="spellStart"/>
      <w:r w:rsidRPr="00544119">
        <w:t>trientine</w:t>
      </w:r>
      <w:proofErr w:type="spellEnd"/>
      <w:r w:rsidRPr="00544119">
        <w:t xml:space="preserve"> an</w:t>
      </w:r>
      <w:r w:rsidR="00544119" w:rsidRPr="00544119">
        <w:t xml:space="preserve">d </w:t>
      </w:r>
      <w:proofErr w:type="spellStart"/>
      <w:r w:rsidR="00544119" w:rsidRPr="00544119">
        <w:t>tetrathiomolybdate</w:t>
      </w:r>
      <w:proofErr w:type="spellEnd"/>
      <w:r w:rsidRPr="00544119">
        <w:t xml:space="preserve"> in the treatment of primarily newly diagnosed patients with </w:t>
      </w:r>
      <w:r w:rsidR="00C70F96">
        <w:t>Wilson’s </w:t>
      </w:r>
      <w:r w:rsidR="00FB5136" w:rsidRPr="00544119">
        <w:t>disease</w:t>
      </w:r>
      <w:r w:rsidRPr="00544119">
        <w:t xml:space="preserve"> with neurologic symptoms.</w:t>
      </w:r>
    </w:p>
    <w:p w14:paraId="7B2839FF" w14:textId="25B0D32E" w:rsidR="00F15FDF" w:rsidRPr="00544119" w:rsidRDefault="00F15FDF" w:rsidP="00544119">
      <w:r w:rsidRPr="00544119">
        <w:t xml:space="preserve">23 patients received </w:t>
      </w:r>
      <w:proofErr w:type="spellStart"/>
      <w:r w:rsidRPr="00544119">
        <w:t>trientine</w:t>
      </w:r>
      <w:proofErr w:type="spellEnd"/>
      <w:r w:rsidRPr="00544119">
        <w:t xml:space="preserve"> hydrochloride 500mg </w:t>
      </w:r>
      <w:r w:rsidR="00803422" w:rsidRPr="00544119">
        <w:t>twice daily</w:t>
      </w:r>
      <w:r w:rsidRPr="00544119">
        <w:t xml:space="preserve"> and 25 patients received </w:t>
      </w:r>
      <w:proofErr w:type="spellStart"/>
      <w:r w:rsidR="00544119" w:rsidRPr="00544119">
        <w:t>tetrathiomolybdate</w:t>
      </w:r>
      <w:proofErr w:type="spellEnd"/>
      <w:r w:rsidR="00544119" w:rsidRPr="00544119">
        <w:t xml:space="preserve"> </w:t>
      </w:r>
      <w:r w:rsidRPr="00544119">
        <w:t>20 mg six times daily for eight weeks.</w:t>
      </w:r>
      <w:r w:rsidR="00544119" w:rsidRPr="00544119">
        <w:t xml:space="preserve"> </w:t>
      </w:r>
      <w:r w:rsidRPr="00544119">
        <w:t>All patients also received zinc co-therapy.</w:t>
      </w:r>
      <w:r w:rsidR="00544119" w:rsidRPr="00544119">
        <w:t xml:space="preserve"> </w:t>
      </w:r>
      <w:r w:rsidRPr="00544119">
        <w:t>Patients were monitored in hospital for eight weeks, with neurologic and speech functions assessed weekly.</w:t>
      </w:r>
      <w:r w:rsidR="00544119" w:rsidRPr="00544119">
        <w:t xml:space="preserve"> </w:t>
      </w:r>
      <w:r w:rsidRPr="00544119">
        <w:t xml:space="preserve">After eight weeks, they were discharged home on zinc 50 mg </w:t>
      </w:r>
      <w:r w:rsidR="00FB5136" w:rsidRPr="00544119">
        <w:t>three times daily</w:t>
      </w:r>
      <w:r w:rsidRPr="00544119">
        <w:t xml:space="preserve"> and were rev</w:t>
      </w:r>
      <w:r w:rsidR="00452E41">
        <w:t>iewed annually for three years.</w:t>
      </w:r>
    </w:p>
    <w:p w14:paraId="5145E7F1" w14:textId="77777777" w:rsidR="00F15FDF" w:rsidRPr="00544119" w:rsidRDefault="00F15FDF" w:rsidP="00544119">
      <w:r w:rsidRPr="00544119">
        <w:t xml:space="preserve">The </w:t>
      </w:r>
      <w:proofErr w:type="spellStart"/>
      <w:r w:rsidRPr="00544119">
        <w:t>trientine</w:t>
      </w:r>
      <w:proofErr w:type="spellEnd"/>
      <w:r w:rsidRPr="00544119">
        <w:t xml:space="preserve"> group (11 males, 12 females) were aged between 13 and 43 years (seven were aged 18 or younger). Seven had previously been treated with penicillamine (no more than 28 days) and two had previously been treated with </w:t>
      </w:r>
      <w:proofErr w:type="spellStart"/>
      <w:r w:rsidRPr="00544119">
        <w:t>trientine</w:t>
      </w:r>
      <w:proofErr w:type="spellEnd"/>
      <w:r w:rsidRPr="00544119">
        <w:t xml:space="preserve"> (7 days and 21 days respectively).</w:t>
      </w:r>
    </w:p>
    <w:p w14:paraId="06F6D13E" w14:textId="5CAD8503" w:rsidR="00F15FDF" w:rsidRPr="00544119" w:rsidRDefault="00F15FDF" w:rsidP="00544119">
      <w:r w:rsidRPr="00544119">
        <w:t xml:space="preserve">Six of 23 (26%) patients in the </w:t>
      </w:r>
      <w:proofErr w:type="spellStart"/>
      <w:r w:rsidRPr="00544119">
        <w:t>trientine</w:t>
      </w:r>
      <w:proofErr w:type="spellEnd"/>
      <w:r w:rsidRPr="00544119">
        <w:t xml:space="preserve"> arm and 1 of 25 (4%) patients in the </w:t>
      </w:r>
      <w:proofErr w:type="spellStart"/>
      <w:r w:rsidRPr="00544119">
        <w:t>tetrathiomolybdate</w:t>
      </w:r>
      <w:proofErr w:type="spellEnd"/>
      <w:r w:rsidRPr="00544119">
        <w:t xml:space="preserve"> arm unde</w:t>
      </w:r>
      <w:r w:rsidR="00544119" w:rsidRPr="00544119">
        <w:t xml:space="preserve">rwent neurologic deterioration (p </w:t>
      </w:r>
      <w:r w:rsidRPr="00544119">
        <w:t>&lt;</w:t>
      </w:r>
      <w:r w:rsidR="00544119" w:rsidRPr="00544119">
        <w:t xml:space="preserve"> </w:t>
      </w:r>
      <w:r w:rsidRPr="00544119">
        <w:t>0.05).</w:t>
      </w:r>
      <w:r w:rsidR="00544119" w:rsidRPr="00544119">
        <w:t xml:space="preserve"> </w:t>
      </w:r>
      <w:r w:rsidRPr="00544119">
        <w:t>Speech recovery was fair and did not differ between the 2 arms.</w:t>
      </w:r>
      <w:r w:rsidR="00544119" w:rsidRPr="00544119">
        <w:t xml:space="preserve"> </w:t>
      </w:r>
      <w:r w:rsidRPr="00544119">
        <w:t xml:space="preserve">The authors concluded that </w:t>
      </w:r>
      <w:proofErr w:type="spellStart"/>
      <w:r w:rsidR="00544119" w:rsidRPr="00544119">
        <w:t>tetrathiomolybdate</w:t>
      </w:r>
      <w:proofErr w:type="spellEnd"/>
      <w:r w:rsidR="00544119" w:rsidRPr="00544119">
        <w:t xml:space="preserve"> </w:t>
      </w:r>
      <w:r w:rsidRPr="00544119">
        <w:t xml:space="preserve">is a better choice than </w:t>
      </w:r>
      <w:proofErr w:type="spellStart"/>
      <w:r w:rsidRPr="00544119">
        <w:t>trientine</w:t>
      </w:r>
      <w:proofErr w:type="spellEnd"/>
      <w:r w:rsidRPr="00544119">
        <w:t xml:space="preserve"> for preserving neurologic function in patients who p</w:t>
      </w:r>
      <w:r w:rsidR="00544119" w:rsidRPr="00544119">
        <w:t>resent with neurologic disease.</w:t>
      </w:r>
    </w:p>
    <w:p w14:paraId="45C5EE26" w14:textId="000B258C" w:rsidR="00F15FDF" w:rsidRDefault="00F15FDF" w:rsidP="00F15FDF">
      <w:pPr>
        <w:pStyle w:val="Heading5"/>
      </w:pPr>
      <w:proofErr w:type="spellStart"/>
      <w:r>
        <w:t>Dahlman</w:t>
      </w:r>
      <w:proofErr w:type="spellEnd"/>
      <w:r>
        <w:t xml:space="preserve"> et al</w:t>
      </w:r>
      <w:r w:rsidR="00544119">
        <w:t>.</w:t>
      </w:r>
      <w:r>
        <w:t xml:space="preserve"> </w:t>
      </w:r>
      <w:r w:rsidR="00544119">
        <w:t>(</w:t>
      </w:r>
      <w:r>
        <w:t>1995</w:t>
      </w:r>
      <w:r w:rsidR="00544119">
        <w:t>)</w:t>
      </w:r>
      <w:bookmarkStart w:id="61" w:name="_Ref83586342"/>
      <w:r w:rsidR="00452E41">
        <w:rPr>
          <w:rStyle w:val="FootnoteReference"/>
        </w:rPr>
        <w:footnoteReference w:id="17"/>
      </w:r>
      <w:bookmarkEnd w:id="61"/>
    </w:p>
    <w:p w14:paraId="554E023C" w14:textId="6DC6FFB2" w:rsidR="00F15FDF" w:rsidRDefault="00F15FDF" w:rsidP="00F15FDF">
      <w:r>
        <w:t xml:space="preserve">This was a case series of 19 patients with </w:t>
      </w:r>
      <w:r w:rsidR="00FB5136">
        <w:t>Wilson’s disease</w:t>
      </w:r>
      <w:r>
        <w:t xml:space="preserve">, 17 of whom were treated initially with penicillamine and subsequently switched to </w:t>
      </w:r>
      <w:proofErr w:type="spellStart"/>
      <w:r>
        <w:t>trientine</w:t>
      </w:r>
      <w:proofErr w:type="spellEnd"/>
      <w:r>
        <w:t xml:space="preserve"> due to adverse effects, lack of improvement or worsening</w:t>
      </w:r>
      <w:r w:rsidR="00452E41">
        <w:t xml:space="preserve"> of neurological symptoms, and two</w:t>
      </w:r>
      <w:r>
        <w:t xml:space="preserve"> of whom were treated with </w:t>
      </w:r>
      <w:proofErr w:type="spellStart"/>
      <w:r>
        <w:t>trientine</w:t>
      </w:r>
      <w:proofErr w:type="spellEnd"/>
      <w:r>
        <w:t xml:space="preserve"> from diagnosis.</w:t>
      </w:r>
      <w:r w:rsidR="00544119">
        <w:t xml:space="preserve"> </w:t>
      </w:r>
      <w:proofErr w:type="spellStart"/>
      <w:r>
        <w:rPr>
          <w:lang w:eastAsia="ja-JP"/>
        </w:rPr>
        <w:t>Trientine</w:t>
      </w:r>
      <w:proofErr w:type="spellEnd"/>
      <w:r>
        <w:rPr>
          <w:lang w:eastAsia="ja-JP"/>
        </w:rPr>
        <w:t xml:space="preserve"> doses ranged from 1000</w:t>
      </w:r>
      <w:r w:rsidR="00452E41">
        <w:rPr>
          <w:lang w:eastAsia="ja-JP"/>
        </w:rPr>
        <w:t xml:space="preserve"> </w:t>
      </w:r>
      <w:r>
        <w:rPr>
          <w:lang w:eastAsia="ja-JP"/>
        </w:rPr>
        <w:t>mg to 1800</w:t>
      </w:r>
      <w:r w:rsidR="00452E41">
        <w:rPr>
          <w:lang w:eastAsia="ja-JP"/>
        </w:rPr>
        <w:t> </w:t>
      </w:r>
      <w:r>
        <w:rPr>
          <w:lang w:eastAsia="ja-JP"/>
        </w:rPr>
        <w:t>mg per day, and duration of treatment ranged from 4 months to 17.5 years.</w:t>
      </w:r>
      <w:r w:rsidR="00544119">
        <w:rPr>
          <w:lang w:eastAsia="ja-JP"/>
        </w:rPr>
        <w:t xml:space="preserve"> </w:t>
      </w:r>
      <w:r>
        <w:t xml:space="preserve">Efficacy was evaluated based on clinical symptoms and </w:t>
      </w:r>
      <w:r w:rsidR="00452E41">
        <w:t>Kayser-Fleischer</w:t>
      </w:r>
      <w:r>
        <w:t xml:space="preserve"> rings (</w:t>
      </w:r>
      <w:r w:rsidR="00452E41">
        <w:t xml:space="preserve">see </w:t>
      </w:r>
      <w:r>
        <w:fldChar w:fldCharType="begin"/>
      </w:r>
      <w:r>
        <w:instrText xml:space="preserve"> REF _Ref51658457 \h </w:instrText>
      </w:r>
      <w:r>
        <w:fldChar w:fldCharType="separate"/>
      </w:r>
      <w:r w:rsidR="005906D0">
        <w:t xml:space="preserve">Table </w:t>
      </w:r>
      <w:r w:rsidR="005906D0">
        <w:rPr>
          <w:noProof/>
        </w:rPr>
        <w:t>9</w:t>
      </w:r>
      <w:r>
        <w:fldChar w:fldCharType="end"/>
      </w:r>
      <w:r>
        <w:t>).</w:t>
      </w:r>
      <w:r w:rsidR="00544119">
        <w:t xml:space="preserve"> </w:t>
      </w:r>
      <w:r>
        <w:t xml:space="preserve">The authors reported that all patients responded well to </w:t>
      </w:r>
      <w:proofErr w:type="spellStart"/>
      <w:r>
        <w:t>trientine</w:t>
      </w:r>
      <w:proofErr w:type="spellEnd"/>
      <w:r>
        <w:t xml:space="preserve"> </w:t>
      </w:r>
      <w:proofErr w:type="gramStart"/>
      <w:r>
        <w:t>with the exception of</w:t>
      </w:r>
      <w:proofErr w:type="gramEnd"/>
      <w:r>
        <w:t xml:space="preserve"> one patient who was treated initially with </w:t>
      </w:r>
      <w:proofErr w:type="spellStart"/>
      <w:r>
        <w:t>trientine</w:t>
      </w:r>
      <w:proofErr w:type="spellEnd"/>
      <w:r>
        <w:t xml:space="preserve"> and developed neurological deterioration.</w:t>
      </w:r>
      <w:r w:rsidR="00544119">
        <w:t xml:space="preserve"> </w:t>
      </w:r>
      <w:r>
        <w:t xml:space="preserve">13 remained on </w:t>
      </w:r>
      <w:proofErr w:type="spellStart"/>
      <w:r>
        <w:t>trientine</w:t>
      </w:r>
      <w:proofErr w:type="spellEnd"/>
      <w:r>
        <w:t xml:space="preserve"> at final review, and the mean duration of </w:t>
      </w:r>
      <w:proofErr w:type="spellStart"/>
      <w:r>
        <w:t>trientine</w:t>
      </w:r>
      <w:proofErr w:type="spellEnd"/>
      <w:r>
        <w:t xml:space="preserve"> treatment was 8.5 years.</w:t>
      </w:r>
    </w:p>
    <w:p w14:paraId="2CB88B91" w14:textId="76B7D939" w:rsidR="00F15FDF" w:rsidRDefault="00F15FDF" w:rsidP="00452E41">
      <w:pPr>
        <w:pStyle w:val="TableTitle"/>
      </w:pPr>
      <w:bookmarkStart w:id="62" w:name="_Ref51658457"/>
      <w:r>
        <w:lastRenderedPageBreak/>
        <w:t xml:space="preserve">Table </w:t>
      </w:r>
      <w:fldSimple w:instr=" SEQ Table \* ARABIC ">
        <w:r w:rsidR="005906D0">
          <w:rPr>
            <w:noProof/>
          </w:rPr>
          <w:t>9</w:t>
        </w:r>
      </w:fldSimple>
      <w:bookmarkEnd w:id="62"/>
      <w:r w:rsidR="00452E41">
        <w:rPr>
          <w:noProof/>
        </w:rPr>
        <w:t>:</w:t>
      </w:r>
      <w:r w:rsidR="00544119">
        <w:t xml:space="preserve"> </w:t>
      </w:r>
      <w:proofErr w:type="spellStart"/>
      <w:r>
        <w:t>Dahlman</w:t>
      </w:r>
      <w:proofErr w:type="spellEnd"/>
      <w:r>
        <w:t xml:space="preserve"> </w:t>
      </w:r>
      <w:r w:rsidR="00452E41">
        <w:t xml:space="preserve">et al. (1995) </w:t>
      </w:r>
      <w:r>
        <w:t xml:space="preserve">Change in </w:t>
      </w:r>
      <w:r w:rsidR="00FB5136">
        <w:t>Wilson’s disease</w:t>
      </w:r>
      <w:r>
        <w:t xml:space="preserve"> signs and symptoms with </w:t>
      </w:r>
      <w:proofErr w:type="spellStart"/>
      <w:r>
        <w:t>trientine</w:t>
      </w:r>
      <w:proofErr w:type="spellEnd"/>
    </w:p>
    <w:p w14:paraId="2999BBB6" w14:textId="22774FB5" w:rsidR="00F15FDF" w:rsidRDefault="00F15FDF" w:rsidP="00F15FDF">
      <w:r>
        <w:rPr>
          <w:noProof/>
          <w:lang w:val="en-GB" w:eastAsia="en-GB"/>
        </w:rPr>
        <w:drawing>
          <wp:inline distT="0" distB="0" distL="0" distR="0" wp14:anchorId="3EB8AD67" wp14:editId="2A81C865">
            <wp:extent cx="4545330" cy="3916907"/>
            <wp:effectExtent l="0" t="0" r="7620" b="7620"/>
            <wp:docPr id="78" name="Picture 78" descr="Dahlman et al. (1995) Change in Wilson’s disease signs and symptoms with trientine"/>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rotWithShape="1">
                    <a:blip r:embed="rId21">
                      <a:extLst>
                        <a:ext uri="{28A0092B-C50C-407E-A947-70E740481C1C}">
                          <a14:useLocalDpi xmlns:a14="http://schemas.microsoft.com/office/drawing/2010/main" val="0"/>
                        </a:ext>
                      </a:extLst>
                    </a:blip>
                    <a:srcRect l="10960" b="9011"/>
                    <a:stretch/>
                  </pic:blipFill>
                  <pic:spPr bwMode="auto">
                    <a:xfrm>
                      <a:off x="0" y="0"/>
                      <a:ext cx="4552058" cy="3922705"/>
                    </a:xfrm>
                    <a:prstGeom prst="rect">
                      <a:avLst/>
                    </a:prstGeom>
                    <a:noFill/>
                    <a:ln>
                      <a:noFill/>
                    </a:ln>
                    <a:extLst>
                      <a:ext uri="{53640926-AAD7-44D8-BBD7-CCE9431645EC}">
                        <a14:shadowObscured xmlns:a14="http://schemas.microsoft.com/office/drawing/2010/main"/>
                      </a:ext>
                    </a:extLst>
                  </pic:spPr>
                </pic:pic>
              </a:graphicData>
            </a:graphic>
          </wp:inline>
        </w:drawing>
      </w:r>
    </w:p>
    <w:p w14:paraId="563984CE" w14:textId="1134FDFE" w:rsidR="00C70F96" w:rsidRDefault="00C70F96" w:rsidP="00C70F96">
      <w:pPr>
        <w:pStyle w:val="TableDescription"/>
      </w:pPr>
      <w:r>
        <w:t xml:space="preserve">EPS = elastosis </w:t>
      </w:r>
      <w:proofErr w:type="spellStart"/>
      <w:r>
        <w:t>perforans</w:t>
      </w:r>
      <w:proofErr w:type="spellEnd"/>
      <w:r>
        <w:t xml:space="preserve"> </w:t>
      </w:r>
      <w:proofErr w:type="spellStart"/>
      <w:r>
        <w:t>serpiginosa</w:t>
      </w:r>
      <w:proofErr w:type="spellEnd"/>
      <w:r>
        <w:t>; KF = Kayser-Fleischer rings.</w:t>
      </w:r>
    </w:p>
    <w:p w14:paraId="5B2D5E86" w14:textId="51437AD4" w:rsidR="00C70F96" w:rsidRDefault="00C70F96" w:rsidP="00C70F96">
      <w:pPr>
        <w:pStyle w:val="TableDescription"/>
      </w:pPr>
      <w:r>
        <w:t>Symptoms referred to as mild or moderate in ‘Present status’ were more severe at the time of diagnosis.</w:t>
      </w:r>
    </w:p>
    <w:p w14:paraId="63F0AC68" w14:textId="08951AAF" w:rsidR="00C70F96" w:rsidRDefault="00C70F96" w:rsidP="00C70F96">
      <w:pPr>
        <w:pStyle w:val="TableDescription"/>
      </w:pPr>
      <w:r>
        <w:t>* No data available.</w:t>
      </w:r>
    </w:p>
    <w:p w14:paraId="47A9F268" w14:textId="741946FA" w:rsidR="00C70F96" w:rsidRPr="00C05A14" w:rsidRDefault="00C70F96" w:rsidP="00C70F96">
      <w:pPr>
        <w:pStyle w:val="TableDescription"/>
      </w:pPr>
      <w:r>
        <w:t>Kayser-Fleischer ring status: - = absent; (+) = narrow; + = moderate; ++ = wide.</w:t>
      </w:r>
    </w:p>
    <w:p w14:paraId="09C30B5D" w14:textId="24576569" w:rsidR="00F15FDF" w:rsidRDefault="00F15FDF" w:rsidP="00F15FDF">
      <w:pPr>
        <w:pStyle w:val="Heading5"/>
      </w:pPr>
      <w:proofErr w:type="spellStart"/>
      <w:r>
        <w:t>Arnon</w:t>
      </w:r>
      <w:proofErr w:type="spellEnd"/>
      <w:r>
        <w:t xml:space="preserve"> et al</w:t>
      </w:r>
      <w:r w:rsidR="00452E41">
        <w:t>.</w:t>
      </w:r>
      <w:r>
        <w:t xml:space="preserve"> </w:t>
      </w:r>
      <w:r w:rsidR="00452E41">
        <w:t>(</w:t>
      </w:r>
      <w:r>
        <w:t>2007</w:t>
      </w:r>
      <w:r w:rsidR="00452E41">
        <w:t>)</w:t>
      </w:r>
      <w:bookmarkStart w:id="63" w:name="_Ref83586376"/>
      <w:r w:rsidR="00452E41">
        <w:rPr>
          <w:rStyle w:val="FootnoteReference"/>
        </w:rPr>
        <w:footnoteReference w:id="18"/>
      </w:r>
      <w:bookmarkEnd w:id="63"/>
    </w:p>
    <w:p w14:paraId="1A97A4E3" w14:textId="2A5F6A5B" w:rsidR="00F15FDF" w:rsidRPr="00452E41" w:rsidRDefault="00F15FDF" w:rsidP="00452E41">
      <w:r w:rsidRPr="00452E41">
        <w:t xml:space="preserve">This was a retrospective review of the clinical records of children with </w:t>
      </w:r>
      <w:r w:rsidR="00FB5136" w:rsidRPr="00452E41">
        <w:t>Wilson’s disease</w:t>
      </w:r>
      <w:r w:rsidRPr="00452E41">
        <w:t xml:space="preserve"> treated in the paediatric liver/liver transplant unit of the Mount Sinai Medical </w:t>
      </w:r>
      <w:proofErr w:type="spellStart"/>
      <w:r w:rsidRPr="00452E41">
        <w:t>Center</w:t>
      </w:r>
      <w:proofErr w:type="spellEnd"/>
      <w:r w:rsidRPr="00452E41">
        <w:t xml:space="preserve"> </w:t>
      </w:r>
      <w:r w:rsidR="00C70F96">
        <w:t xml:space="preserve">(New York, USA) </w:t>
      </w:r>
      <w:r w:rsidRPr="00452E41">
        <w:t>between 1998 and 2006.</w:t>
      </w:r>
      <w:r w:rsidR="00544119" w:rsidRPr="00452E41">
        <w:t xml:space="preserve"> </w:t>
      </w:r>
      <w:r w:rsidRPr="00452E41">
        <w:t>The objective was to evaluate the efficacy of, and adherence t</w:t>
      </w:r>
      <w:r w:rsidR="00452E41" w:rsidRPr="00452E41">
        <w:t xml:space="preserve">o, </w:t>
      </w:r>
      <w:proofErr w:type="spellStart"/>
      <w:r w:rsidR="00452E41" w:rsidRPr="00452E41">
        <w:t>trientine</w:t>
      </w:r>
      <w:proofErr w:type="spellEnd"/>
      <w:r w:rsidR="00452E41" w:rsidRPr="00452E41">
        <w:t xml:space="preserve"> therapy (250 to </w:t>
      </w:r>
      <w:r w:rsidRPr="00452E41">
        <w:t xml:space="preserve">500 mg </w:t>
      </w:r>
      <w:r w:rsidR="00803422" w:rsidRPr="00452E41">
        <w:t>twice daily</w:t>
      </w:r>
      <w:r w:rsidR="00452E41" w:rsidRPr="00452E41">
        <w:t xml:space="preserve">, around </w:t>
      </w:r>
      <w:r w:rsidRPr="00452E41">
        <w:t>20</w:t>
      </w:r>
      <w:r w:rsidR="00452E41" w:rsidRPr="00452E41">
        <w:t xml:space="preserve"> </w:t>
      </w:r>
      <w:r w:rsidRPr="00452E41">
        <w:t>mg/</w:t>
      </w:r>
      <w:r w:rsidR="00452E41" w:rsidRPr="00452E41">
        <w:t>kg/day) and/or zinc therapy (25 to </w:t>
      </w:r>
      <w:r w:rsidRPr="00452E41">
        <w:t xml:space="preserve">50 mg </w:t>
      </w:r>
      <w:r w:rsidR="00803422" w:rsidRPr="00452E41">
        <w:t>twice daily</w:t>
      </w:r>
      <w:r w:rsidR="00452E41" w:rsidRPr="00452E41">
        <w:t xml:space="preserve">, around 1 to </w:t>
      </w:r>
      <w:r w:rsidRPr="00452E41">
        <w:t>2 mg/kg/day).</w:t>
      </w:r>
      <w:r w:rsidR="00544119" w:rsidRPr="00452E41">
        <w:t xml:space="preserve"> </w:t>
      </w:r>
      <w:r w:rsidRPr="00452E41">
        <w:t xml:space="preserve">This study assessed </w:t>
      </w:r>
      <w:proofErr w:type="spellStart"/>
      <w:r w:rsidRPr="00452E41">
        <w:t>trientine</w:t>
      </w:r>
      <w:proofErr w:type="spellEnd"/>
      <w:r w:rsidRPr="00452E41">
        <w:t xml:space="preserve"> as first-line therapy, not following intolerance to penicillamine.</w:t>
      </w:r>
      <w:r w:rsidR="00544119" w:rsidRPr="00452E41">
        <w:t xml:space="preserve"> </w:t>
      </w:r>
      <w:r w:rsidRPr="00452E41">
        <w:t>Zinc was added once adequate chelation had been achieved. Efficacy was assessed by meas</w:t>
      </w:r>
      <w:r w:rsidR="00452E41" w:rsidRPr="00452E41">
        <w:t xml:space="preserve">uring serum alanine transaminase (ALT) and aspartate transaminase (AST), and </w:t>
      </w:r>
      <w:proofErr w:type="gramStart"/>
      <w:r w:rsidR="00452E41" w:rsidRPr="00452E41">
        <w:t>24 </w:t>
      </w:r>
      <w:r w:rsidRPr="00452E41">
        <w:t>hour</w:t>
      </w:r>
      <w:proofErr w:type="gramEnd"/>
      <w:r w:rsidRPr="00452E41">
        <w:t xml:space="preserve"> urine copper.</w:t>
      </w:r>
    </w:p>
    <w:p w14:paraId="469D517C" w14:textId="482EFECC" w:rsidR="00F15FDF" w:rsidRPr="00452E41" w:rsidRDefault="00F15FDF" w:rsidP="00452E41">
      <w:r w:rsidRPr="00452E41">
        <w:t xml:space="preserve">Of the 22 patients, 7 presented with acute liver failure requiring liver transplantation at admission, and 15 commenced </w:t>
      </w:r>
      <w:proofErr w:type="spellStart"/>
      <w:r w:rsidRPr="00452E41">
        <w:t>trientine</w:t>
      </w:r>
      <w:proofErr w:type="spellEnd"/>
      <w:r w:rsidRPr="00452E41">
        <w:t>.</w:t>
      </w:r>
      <w:r w:rsidR="00544119" w:rsidRPr="00452E41">
        <w:t xml:space="preserve"> </w:t>
      </w:r>
      <w:r w:rsidRPr="00452E41">
        <w:t>Mean ALT levels decreased from 183 IU at presentation (n</w:t>
      </w:r>
      <w:r w:rsidR="00452E41" w:rsidRPr="00452E41">
        <w:t> </w:t>
      </w:r>
      <w:r w:rsidRPr="00452E41">
        <w:t>=</w:t>
      </w:r>
      <w:r w:rsidR="00452E41" w:rsidRPr="00452E41">
        <w:t> </w:t>
      </w:r>
      <w:r w:rsidRPr="00452E41">
        <w:t>10) to 80 IU at 12 months (n</w:t>
      </w:r>
      <w:r w:rsidR="00452E41" w:rsidRPr="00452E41">
        <w:t> </w:t>
      </w:r>
      <w:r w:rsidRPr="00452E41">
        <w:t>=</w:t>
      </w:r>
      <w:r w:rsidR="00452E41" w:rsidRPr="00452E41">
        <w:t> </w:t>
      </w:r>
      <w:r w:rsidRPr="00452E41">
        <w:t>10) and 66 IU at 18 months (n</w:t>
      </w:r>
      <w:r w:rsidR="00452E41" w:rsidRPr="00452E41">
        <w:t> </w:t>
      </w:r>
      <w:r w:rsidRPr="00452E41">
        <w:t>=</w:t>
      </w:r>
      <w:r w:rsidR="00452E41" w:rsidRPr="00452E41">
        <w:t> </w:t>
      </w:r>
      <w:r w:rsidRPr="00452E41">
        <w:t>7).</w:t>
      </w:r>
      <w:r w:rsidR="00544119" w:rsidRPr="00452E41">
        <w:t xml:space="preserve"> </w:t>
      </w:r>
      <w:r w:rsidR="00452E41">
        <w:t>Mean </w:t>
      </w:r>
      <w:r w:rsidRPr="00452E41">
        <w:t>24-hour urinary copper levels increased from 156</w:t>
      </w:r>
      <w:r w:rsidR="00CB6BF6">
        <w:t> </w:t>
      </w:r>
      <w:r w:rsidRPr="00452E41">
        <w:t>µg at presentation to 494</w:t>
      </w:r>
      <w:r w:rsidR="00452E41">
        <w:t> </w:t>
      </w:r>
      <w:r w:rsidRPr="00452E41">
        <w:t>µ</w:t>
      </w:r>
      <w:r w:rsidR="00452E41">
        <w:t>g at one</w:t>
      </w:r>
      <w:r w:rsidRPr="00452E41">
        <w:t xml:space="preserve"> to 2 months, then decreased to 72 µ</w:t>
      </w:r>
      <w:r w:rsidR="00452E41" w:rsidRPr="00452E41">
        <w:t>g after 12 months of treatment.</w:t>
      </w:r>
    </w:p>
    <w:p w14:paraId="1C4BE4A8" w14:textId="13FBAAD1" w:rsidR="00F15FDF" w:rsidRPr="00452E41" w:rsidRDefault="00F15FDF" w:rsidP="00F15FDF">
      <w:pPr>
        <w:pStyle w:val="Heading5"/>
        <w:rPr>
          <w:vertAlign w:val="superscript"/>
        </w:rPr>
      </w:pPr>
      <w:r>
        <w:lastRenderedPageBreak/>
        <w:t>Weiss et al</w:t>
      </w:r>
      <w:r w:rsidR="00452E41">
        <w:t>.</w:t>
      </w:r>
      <w:r>
        <w:t xml:space="preserve"> </w:t>
      </w:r>
      <w:r w:rsidR="00452E41">
        <w:t>(</w:t>
      </w:r>
      <w:r>
        <w:t>2018</w:t>
      </w:r>
      <w:r w:rsidR="00452E41">
        <w:t>);</w:t>
      </w:r>
      <w:r>
        <w:t xml:space="preserve"> Weiss et al</w:t>
      </w:r>
      <w:r w:rsidR="00452E41">
        <w:t>.</w:t>
      </w:r>
      <w:r>
        <w:t xml:space="preserve"> </w:t>
      </w:r>
      <w:r w:rsidR="00452E41">
        <w:t>(2019)</w:t>
      </w:r>
      <w:r w:rsidR="00452E41">
        <w:rPr>
          <w:rStyle w:val="FootnoteReference"/>
        </w:rPr>
        <w:footnoteReference w:id="19"/>
      </w:r>
      <w:r w:rsidR="00452E41">
        <w:rPr>
          <w:vertAlign w:val="superscript"/>
        </w:rPr>
        <w:t>,</w:t>
      </w:r>
      <w:bookmarkStart w:id="64" w:name="_Ref83585967"/>
      <w:r w:rsidR="00452E41">
        <w:rPr>
          <w:rStyle w:val="FootnoteReference"/>
        </w:rPr>
        <w:footnoteReference w:id="20"/>
      </w:r>
      <w:bookmarkEnd w:id="64"/>
    </w:p>
    <w:p w14:paraId="268FB602" w14:textId="0758973C" w:rsidR="00F15FDF" w:rsidRDefault="00F15FDF" w:rsidP="00F15FDF">
      <w:pPr>
        <w:rPr>
          <w:lang w:val="en-US"/>
        </w:rPr>
      </w:pPr>
      <w:r>
        <w:rPr>
          <w:lang w:val="en-US"/>
        </w:rPr>
        <w:t>The submission included published conference extracts (Weiss 2018, Weiss 2019) relating to Study UNV-TRI-002.</w:t>
      </w:r>
      <w:r w:rsidR="00544119">
        <w:rPr>
          <w:lang w:val="en-US"/>
        </w:rPr>
        <w:t xml:space="preserve"> </w:t>
      </w:r>
      <w:r>
        <w:rPr>
          <w:lang w:val="en-US"/>
        </w:rPr>
        <w:t xml:space="preserve">This study, which comprised a retrospective study followed by a prospective study, supported the </w:t>
      </w:r>
      <w:r w:rsidR="00C31D1B">
        <w:rPr>
          <w:lang w:val="en-US"/>
        </w:rPr>
        <w:t>European Medicines Agency</w:t>
      </w:r>
      <w:r w:rsidR="00941BCE">
        <w:rPr>
          <w:lang w:val="en-US"/>
        </w:rPr>
        <w:t>’s</w:t>
      </w:r>
      <w:r w:rsidR="00C31D1B">
        <w:rPr>
          <w:lang w:val="en-US"/>
        </w:rPr>
        <w:t xml:space="preserve"> (EMA) </w:t>
      </w:r>
      <w:r>
        <w:rPr>
          <w:lang w:val="en-US"/>
        </w:rPr>
        <w:t xml:space="preserve">marketing </w:t>
      </w:r>
      <w:proofErr w:type="spellStart"/>
      <w:r>
        <w:rPr>
          <w:lang w:val="en-US"/>
        </w:rPr>
        <w:t>authorisation</w:t>
      </w:r>
      <w:proofErr w:type="spellEnd"/>
      <w:r>
        <w:rPr>
          <w:lang w:val="en-US"/>
        </w:rPr>
        <w:t xml:space="preserve"> of </w:t>
      </w:r>
      <w:proofErr w:type="spellStart"/>
      <w:r w:rsidR="00C31D1B">
        <w:rPr>
          <w:lang w:val="en-US"/>
        </w:rPr>
        <w:t>Cufence</w:t>
      </w:r>
      <w:proofErr w:type="spellEnd"/>
      <w:r w:rsidR="00C31D1B">
        <w:rPr>
          <w:lang w:val="en-US"/>
        </w:rPr>
        <w:t xml:space="preserve"> (</w:t>
      </w:r>
      <w:proofErr w:type="spellStart"/>
      <w:r w:rsidR="00C31D1B">
        <w:rPr>
          <w:lang w:val="en-US"/>
        </w:rPr>
        <w:t>trientine</w:t>
      </w:r>
      <w:proofErr w:type="spellEnd"/>
      <w:r w:rsidR="00C31D1B">
        <w:rPr>
          <w:lang w:val="en-US"/>
        </w:rPr>
        <w:t xml:space="preserve"> dihydrochloride) by Univar Solutions BV</w:t>
      </w:r>
      <w:r>
        <w:rPr>
          <w:lang w:val="en-US"/>
        </w:rPr>
        <w:t xml:space="preserve"> in Europe</w:t>
      </w:r>
      <w:r w:rsidRPr="00EE695F">
        <w:rPr>
          <w:lang w:val="en-US"/>
        </w:rPr>
        <w:t xml:space="preserve"> </w:t>
      </w:r>
      <w:r>
        <w:rPr>
          <w:lang w:val="en-US"/>
        </w:rPr>
        <w:t>on 25 July 2019.</w:t>
      </w:r>
      <w:r w:rsidR="00544119">
        <w:rPr>
          <w:lang w:val="en-US"/>
        </w:rPr>
        <w:t xml:space="preserve"> </w:t>
      </w:r>
      <w:r>
        <w:rPr>
          <w:lang w:val="en-US"/>
        </w:rPr>
        <w:t xml:space="preserve">The 2019 European Public Assessment Report for </w:t>
      </w:r>
      <w:proofErr w:type="spellStart"/>
      <w:r w:rsidR="00C31D1B">
        <w:rPr>
          <w:lang w:val="en-US"/>
        </w:rPr>
        <w:t>Cufence</w:t>
      </w:r>
      <w:proofErr w:type="spellEnd"/>
      <w:r w:rsidR="00C31D1B">
        <w:rPr>
          <w:lang w:val="en-US"/>
        </w:rPr>
        <w:t xml:space="preserve"> </w:t>
      </w:r>
      <w:r>
        <w:rPr>
          <w:lang w:val="en-US"/>
        </w:rPr>
        <w:t>was also included in the dossier.</w:t>
      </w:r>
      <w:r w:rsidR="00C31D1B">
        <w:rPr>
          <w:rStyle w:val="FootnoteReference"/>
          <w:lang w:val="en-US"/>
        </w:rPr>
        <w:footnoteReference w:id="21"/>
      </w:r>
    </w:p>
    <w:p w14:paraId="72462E4F" w14:textId="3E2F4222" w:rsidR="00F15FDF" w:rsidRDefault="00F15FDF" w:rsidP="00F15FDF">
      <w:pPr>
        <w:rPr>
          <w:lang w:eastAsia="ja-JP"/>
        </w:rPr>
      </w:pPr>
      <w:r>
        <w:rPr>
          <w:lang w:val="en-US"/>
        </w:rPr>
        <w:t xml:space="preserve">The </w:t>
      </w:r>
      <w:proofErr w:type="spellStart"/>
      <w:r>
        <w:rPr>
          <w:lang w:val="en-US"/>
        </w:rPr>
        <w:t>multicentre</w:t>
      </w:r>
      <w:proofErr w:type="spellEnd"/>
      <w:r>
        <w:rPr>
          <w:lang w:val="en-US"/>
        </w:rPr>
        <w:t xml:space="preserve"> retrospective study was performed to assess long-term outcomes of treatment with </w:t>
      </w:r>
      <w:proofErr w:type="spellStart"/>
      <w:r>
        <w:rPr>
          <w:lang w:val="en-US"/>
        </w:rPr>
        <w:t>trientine</w:t>
      </w:r>
      <w:proofErr w:type="spellEnd"/>
      <w:r>
        <w:rPr>
          <w:lang w:val="en-US"/>
        </w:rPr>
        <w:t xml:space="preserve"> in </w:t>
      </w:r>
      <w:r w:rsidR="00FB5136">
        <w:rPr>
          <w:lang w:val="en-US"/>
        </w:rPr>
        <w:t>Wilson’s disease</w:t>
      </w:r>
      <w:r>
        <w:rPr>
          <w:lang w:val="en-US"/>
        </w:rPr>
        <w:t xml:space="preserve"> patients </w:t>
      </w:r>
      <w:r>
        <w:rPr>
          <w:lang w:eastAsia="ja-JP"/>
        </w:rPr>
        <w:t xml:space="preserve">withdrawn from therapy with </w:t>
      </w:r>
      <w:r>
        <w:rPr>
          <w:rFonts w:asciiTheme="minorHAnsi" w:hAnsiTheme="minorHAnsi"/>
        </w:rPr>
        <w:t>penicillamine</w:t>
      </w:r>
      <w:r>
        <w:rPr>
          <w:lang w:val="en-US"/>
        </w:rPr>
        <w:t>.</w:t>
      </w:r>
      <w:r w:rsidR="00544119">
        <w:rPr>
          <w:lang w:val="en-US"/>
        </w:rPr>
        <w:t xml:space="preserve"> </w:t>
      </w:r>
      <w:r>
        <w:rPr>
          <w:lang w:eastAsia="ja-JP"/>
        </w:rPr>
        <w:t xml:space="preserve">Patients were treated for a minimum of six months with </w:t>
      </w:r>
      <w:proofErr w:type="spellStart"/>
      <w:r>
        <w:rPr>
          <w:lang w:eastAsia="ja-JP"/>
        </w:rPr>
        <w:t>trientine</w:t>
      </w:r>
      <w:proofErr w:type="spellEnd"/>
      <w:r>
        <w:rPr>
          <w:lang w:eastAsia="ja-JP"/>
        </w:rPr>
        <w:t xml:space="preserve"> (300 mg capsules commercially availabl</w:t>
      </w:r>
      <w:r w:rsidR="00C31D1B">
        <w:rPr>
          <w:lang w:eastAsia="ja-JP"/>
        </w:rPr>
        <w:t xml:space="preserve">e from Univar) at doses of 1200 to 2400mg/day (800 to </w:t>
      </w:r>
      <w:r>
        <w:rPr>
          <w:lang w:eastAsia="ja-JP"/>
        </w:rPr>
        <w:t xml:space="preserve">1600 mg </w:t>
      </w:r>
      <w:proofErr w:type="spellStart"/>
      <w:r>
        <w:rPr>
          <w:lang w:eastAsia="ja-JP"/>
        </w:rPr>
        <w:t>trientine</w:t>
      </w:r>
      <w:proofErr w:type="spellEnd"/>
      <w:r>
        <w:rPr>
          <w:lang w:eastAsia="ja-JP"/>
        </w:rPr>
        <w:t xml:space="preserve"> base) in two to four </w:t>
      </w:r>
      <w:r w:rsidR="00C31D1B">
        <w:rPr>
          <w:lang w:eastAsia="ja-JP"/>
        </w:rPr>
        <w:t xml:space="preserve">divided doses in adults, or 600 to 1500 mg/day (400 to </w:t>
      </w:r>
      <w:r>
        <w:rPr>
          <w:lang w:eastAsia="ja-JP"/>
        </w:rPr>
        <w:t xml:space="preserve">1000mg </w:t>
      </w:r>
      <w:proofErr w:type="spellStart"/>
      <w:r>
        <w:rPr>
          <w:lang w:eastAsia="ja-JP"/>
        </w:rPr>
        <w:t>trientine</w:t>
      </w:r>
      <w:proofErr w:type="spellEnd"/>
      <w:r>
        <w:rPr>
          <w:lang w:eastAsia="ja-JP"/>
        </w:rPr>
        <w:t xml:space="preserve"> base) in children.</w:t>
      </w:r>
      <w:r w:rsidR="00544119">
        <w:rPr>
          <w:lang w:eastAsia="ja-JP"/>
        </w:rPr>
        <w:t xml:space="preserve"> </w:t>
      </w:r>
      <w:r>
        <w:rPr>
          <w:lang w:eastAsia="ja-JP"/>
        </w:rPr>
        <w:t xml:space="preserve">81 patients were enrolled and 77 were included in the </w:t>
      </w:r>
      <w:r w:rsidR="00C31D1B">
        <w:rPr>
          <w:lang w:eastAsia="ja-JP"/>
        </w:rPr>
        <w:t>intent-to-treat</w:t>
      </w:r>
      <w:r>
        <w:rPr>
          <w:lang w:eastAsia="ja-JP"/>
        </w:rPr>
        <w:t xml:space="preserve"> population (4 patients were excluded from the </w:t>
      </w:r>
      <w:r w:rsidR="00C31D1B">
        <w:rPr>
          <w:lang w:eastAsia="ja-JP"/>
        </w:rPr>
        <w:t>intent</w:t>
      </w:r>
      <w:r w:rsidR="00C31D1B">
        <w:rPr>
          <w:lang w:eastAsia="ja-JP"/>
        </w:rPr>
        <w:noBreakHyphen/>
        <w:t>to</w:t>
      </w:r>
      <w:r w:rsidR="00C31D1B">
        <w:rPr>
          <w:lang w:eastAsia="ja-JP"/>
        </w:rPr>
        <w:noBreakHyphen/>
        <w:t>treat</w:t>
      </w:r>
      <w:r>
        <w:rPr>
          <w:lang w:eastAsia="ja-JP"/>
        </w:rPr>
        <w:t xml:space="preserve"> population as they received non-Univar </w:t>
      </w:r>
      <w:proofErr w:type="spellStart"/>
      <w:r>
        <w:rPr>
          <w:lang w:eastAsia="ja-JP"/>
        </w:rPr>
        <w:t>trientine</w:t>
      </w:r>
      <w:proofErr w:type="spellEnd"/>
      <w:r>
        <w:rPr>
          <w:lang w:eastAsia="ja-JP"/>
        </w:rPr>
        <w:t xml:space="preserve"> at initiation).</w:t>
      </w:r>
      <w:r w:rsidR="00544119">
        <w:rPr>
          <w:lang w:eastAsia="ja-JP"/>
        </w:rPr>
        <w:t xml:space="preserve"> </w:t>
      </w:r>
      <w:r w:rsidR="00CB6BF6">
        <w:rPr>
          <w:lang w:eastAsia="ja-JP"/>
        </w:rPr>
        <w:t>Of the 77 </w:t>
      </w:r>
      <w:r w:rsidR="00C31D1B">
        <w:rPr>
          <w:lang w:eastAsia="ja-JP"/>
        </w:rPr>
        <w:t xml:space="preserve">patients, 16 </w:t>
      </w:r>
      <w:r>
        <w:rPr>
          <w:lang w:eastAsia="ja-JP"/>
        </w:rPr>
        <w:t>patients (20.8%) were aged &lt;</w:t>
      </w:r>
      <w:r w:rsidR="00C31D1B">
        <w:rPr>
          <w:lang w:eastAsia="ja-JP"/>
        </w:rPr>
        <w:t> </w:t>
      </w:r>
      <w:r>
        <w:rPr>
          <w:lang w:eastAsia="ja-JP"/>
        </w:rPr>
        <w:t xml:space="preserve">18 years. </w:t>
      </w:r>
      <w:r w:rsidRPr="003E0213">
        <w:t xml:space="preserve">Reasons for discontinuation of </w:t>
      </w:r>
      <w:r>
        <w:rPr>
          <w:rFonts w:asciiTheme="minorHAnsi" w:hAnsiTheme="minorHAnsi"/>
        </w:rPr>
        <w:t xml:space="preserve">penicillamine </w:t>
      </w:r>
      <w:r w:rsidR="00C31D1B">
        <w:t>were adverse events (58 (75.3%)</w:t>
      </w:r>
      <w:r w:rsidRPr="003E0213">
        <w:t xml:space="preserve"> patients) or la</w:t>
      </w:r>
      <w:r w:rsidR="00C31D1B">
        <w:t>ck of clinical improvement (12 (15.6%)</w:t>
      </w:r>
      <w:r w:rsidRPr="003E0213">
        <w:t xml:space="preserve"> patients).</w:t>
      </w:r>
      <w:r w:rsidR="00544119">
        <w:rPr>
          <w:lang w:eastAsia="ja-JP"/>
        </w:rPr>
        <w:t xml:space="preserve"> </w:t>
      </w:r>
      <w:r>
        <w:rPr>
          <w:lang w:eastAsia="ja-JP"/>
        </w:rPr>
        <w:t>The primary endpoint was investigator rated outcome of hepatic and neurologic symptoms.</w:t>
      </w:r>
      <w:r w:rsidR="00544119">
        <w:rPr>
          <w:lang w:eastAsia="ja-JP"/>
        </w:rPr>
        <w:t xml:space="preserve"> </w:t>
      </w:r>
      <w:r>
        <w:rPr>
          <w:lang w:eastAsia="ja-JP"/>
        </w:rPr>
        <w:t>Efficacy was assessed based on the clinical course (unchanged; improved but not normal; improved to normal; asymptomatic over duration of therapy; worsened) at defined intervals up to 48 months of tr</w:t>
      </w:r>
      <w:r w:rsidR="00CB6BF6">
        <w:rPr>
          <w:lang w:eastAsia="ja-JP"/>
        </w:rPr>
        <w:t>eatment and then at last visit.</w:t>
      </w:r>
    </w:p>
    <w:p w14:paraId="096B86C3" w14:textId="433F4220" w:rsidR="00F15FDF" w:rsidRDefault="00F15FDF" w:rsidP="00F15FDF">
      <w:pPr>
        <w:rPr>
          <w:lang w:eastAsia="ja-JP"/>
        </w:rPr>
      </w:pPr>
      <w:r>
        <w:rPr>
          <w:lang w:eastAsia="ja-JP"/>
        </w:rPr>
        <w:t xml:space="preserve">Outcomes reported in Weiss </w:t>
      </w:r>
      <w:r w:rsidR="00C31D1B">
        <w:rPr>
          <w:lang w:eastAsia="ja-JP"/>
        </w:rPr>
        <w:t>et al. (</w:t>
      </w:r>
      <w:r>
        <w:rPr>
          <w:lang w:eastAsia="ja-JP"/>
        </w:rPr>
        <w:t>2018</w:t>
      </w:r>
      <w:r w:rsidR="00C31D1B">
        <w:rPr>
          <w:lang w:eastAsia="ja-JP"/>
        </w:rPr>
        <w:t>)</w:t>
      </w:r>
      <w:r>
        <w:rPr>
          <w:lang w:eastAsia="ja-JP"/>
        </w:rPr>
        <w:t xml:space="preserve"> were:</w:t>
      </w:r>
    </w:p>
    <w:p w14:paraId="7D1D9644" w14:textId="69EA1C97" w:rsidR="00F15FDF" w:rsidRPr="00C31D1B" w:rsidRDefault="00F15FDF" w:rsidP="00C31D1B">
      <w:pPr>
        <w:ind w:left="720"/>
        <w:rPr>
          <w:i/>
        </w:rPr>
      </w:pPr>
      <w:r w:rsidRPr="00C31D1B">
        <w:rPr>
          <w:i/>
        </w:rPr>
        <w:t xml:space="preserve">On average, patients were treated with </w:t>
      </w:r>
      <w:proofErr w:type="spellStart"/>
      <w:r w:rsidRPr="00C31D1B">
        <w:rPr>
          <w:i/>
        </w:rPr>
        <w:t>trientine</w:t>
      </w:r>
      <w:proofErr w:type="spellEnd"/>
      <w:r w:rsidRPr="00C31D1B">
        <w:rPr>
          <w:i/>
        </w:rPr>
        <w:t xml:space="preserve"> for 73.3 (±</w:t>
      </w:r>
      <w:r w:rsidR="00C31D1B">
        <w:rPr>
          <w:i/>
        </w:rPr>
        <w:t xml:space="preserve"> </w:t>
      </w:r>
      <w:r w:rsidRPr="00C31D1B">
        <w:rPr>
          <w:i/>
        </w:rPr>
        <w:t>74.76) months. The mean total dose per day during treatment was 1005.7 (±</w:t>
      </w:r>
      <w:r w:rsidR="00C31D1B">
        <w:rPr>
          <w:i/>
        </w:rPr>
        <w:t xml:space="preserve"> </w:t>
      </w:r>
      <w:r w:rsidRPr="00C31D1B">
        <w:rPr>
          <w:i/>
        </w:rPr>
        <w:t xml:space="preserve">425.32) mg. Treatment with </w:t>
      </w:r>
      <w:proofErr w:type="spellStart"/>
      <w:r w:rsidRPr="00C31D1B">
        <w:rPr>
          <w:i/>
        </w:rPr>
        <w:t>trientine</w:t>
      </w:r>
      <w:proofErr w:type="spellEnd"/>
      <w:r w:rsidRPr="00C31D1B">
        <w:rPr>
          <w:i/>
        </w:rPr>
        <w:t xml:space="preserve"> improved hepatic symptoms in 49.4% of patients, with 35.1% asymptomatic, 10.4% unchanged and 5.2% worsened, whereas neurological symptoms remained unchanged in 36.4% of patients, with 46.8% asymptomatic, 14.3% improved and 2.6% worsened.</w:t>
      </w:r>
    </w:p>
    <w:p w14:paraId="731AAE14" w14:textId="692F057A" w:rsidR="00F15FDF" w:rsidRDefault="00F15FDF" w:rsidP="00F15FDF">
      <w:pPr>
        <w:rPr>
          <w:lang w:val="en-US"/>
        </w:rPr>
      </w:pPr>
      <w:r>
        <w:rPr>
          <w:lang w:val="en-US"/>
        </w:rPr>
        <w:t>Weiss</w:t>
      </w:r>
      <w:r w:rsidR="00C31D1B">
        <w:rPr>
          <w:lang w:val="en-US"/>
        </w:rPr>
        <w:t xml:space="preserve"> et al.</w:t>
      </w:r>
      <w:r>
        <w:rPr>
          <w:lang w:val="en-US"/>
        </w:rPr>
        <w:t xml:space="preserve"> </w:t>
      </w:r>
      <w:r w:rsidR="00C31D1B">
        <w:rPr>
          <w:lang w:val="en-US"/>
        </w:rPr>
        <w:t>(</w:t>
      </w:r>
      <w:r>
        <w:rPr>
          <w:lang w:val="en-US"/>
        </w:rPr>
        <w:t>2019</w:t>
      </w:r>
      <w:r w:rsidR="00C31D1B">
        <w:rPr>
          <w:lang w:val="en-US"/>
        </w:rPr>
        <w:t>)</w:t>
      </w:r>
      <w:r>
        <w:rPr>
          <w:lang w:val="en-US"/>
        </w:rPr>
        <w:t xml:space="preserve"> reported outcomes from a prospective study of 52 patients with </w:t>
      </w:r>
      <w:r w:rsidR="00FB5136">
        <w:rPr>
          <w:lang w:val="en-US"/>
        </w:rPr>
        <w:t>Wilson’s disease</w:t>
      </w:r>
      <w:r>
        <w:rPr>
          <w:lang w:val="en-US"/>
        </w:rPr>
        <w:t>, which followed on from the retrospective study.</w:t>
      </w:r>
      <w:r w:rsidR="00544119">
        <w:rPr>
          <w:lang w:val="en-US"/>
        </w:rPr>
        <w:t xml:space="preserve"> </w:t>
      </w:r>
      <w:r>
        <w:rPr>
          <w:lang w:val="en-US"/>
        </w:rPr>
        <w:t>One pat</w:t>
      </w:r>
      <w:r w:rsidR="00C31D1B">
        <w:rPr>
          <w:lang w:val="en-US"/>
        </w:rPr>
        <w:t>ient withdrew consent prior to M</w:t>
      </w:r>
      <w:r>
        <w:rPr>
          <w:lang w:val="en-US"/>
        </w:rPr>
        <w:t xml:space="preserve">onth 6, so was not included in the </w:t>
      </w:r>
      <w:r w:rsidR="00C31D1B">
        <w:rPr>
          <w:lang w:val="en-US"/>
        </w:rPr>
        <w:t>full analysis set population</w:t>
      </w:r>
      <w:r>
        <w:rPr>
          <w:lang w:val="en-US"/>
        </w:rPr>
        <w:t>.</w:t>
      </w:r>
      <w:r w:rsidR="00544119">
        <w:rPr>
          <w:lang w:val="en-US"/>
        </w:rPr>
        <w:t xml:space="preserve"> </w:t>
      </w:r>
      <w:r>
        <w:rPr>
          <w:lang w:val="en-US"/>
        </w:rPr>
        <w:t xml:space="preserve">Patients had been treated with </w:t>
      </w:r>
      <w:proofErr w:type="spellStart"/>
      <w:r>
        <w:rPr>
          <w:lang w:val="en-US"/>
        </w:rPr>
        <w:t>trientine</w:t>
      </w:r>
      <w:proofErr w:type="spellEnd"/>
      <w:r>
        <w:rPr>
          <w:lang w:val="en-US"/>
        </w:rPr>
        <w:t xml:space="preserve"> for at least 6 months after previous withdrawal from </w:t>
      </w:r>
      <w:r>
        <w:rPr>
          <w:rFonts w:asciiTheme="minorHAnsi" w:hAnsiTheme="minorHAnsi"/>
        </w:rPr>
        <w:t>penicillamine</w:t>
      </w:r>
      <w:r>
        <w:rPr>
          <w:lang w:val="en-US"/>
        </w:rPr>
        <w:t>.</w:t>
      </w:r>
      <w:r w:rsidR="00544119">
        <w:rPr>
          <w:lang w:val="en-US"/>
        </w:rPr>
        <w:t xml:space="preserve"> </w:t>
      </w:r>
      <w:r>
        <w:rPr>
          <w:lang w:val="en-US"/>
        </w:rPr>
        <w:t>Efficacy was assessed at 6 and 12 months.</w:t>
      </w:r>
      <w:r w:rsidR="00544119">
        <w:rPr>
          <w:lang w:val="en-US"/>
        </w:rPr>
        <w:t xml:space="preserve"> </w:t>
      </w:r>
      <w:r>
        <w:rPr>
          <w:lang w:val="en-US"/>
        </w:rPr>
        <w:t>The primary endpoint was the outcome of hepatic and neurologic symptoms assessed by the investigator.</w:t>
      </w:r>
      <w:r w:rsidR="00544119">
        <w:rPr>
          <w:lang w:val="en-US"/>
        </w:rPr>
        <w:t xml:space="preserve"> </w:t>
      </w:r>
      <w:r>
        <w:rPr>
          <w:lang w:val="en-US"/>
        </w:rPr>
        <w:t>Overall, 50 of 51 patients (98.0</w:t>
      </w:r>
      <w:r w:rsidR="00C31D1B">
        <w:rPr>
          <w:lang w:val="en-US"/>
        </w:rPr>
        <w:t>%) were responders, while only one</w:t>
      </w:r>
      <w:r>
        <w:rPr>
          <w:lang w:val="en-US"/>
        </w:rPr>
        <w:t xml:space="preserve"> patient (2.0%) showed a mild worsening of disease.</w:t>
      </w:r>
    </w:p>
    <w:p w14:paraId="61952D60" w14:textId="33E5D194" w:rsidR="00F15FDF" w:rsidRPr="00C31D1B" w:rsidRDefault="00F15FDF" w:rsidP="00C31D1B">
      <w:r w:rsidRPr="00DA2CEE">
        <w:t xml:space="preserve">In terms of hepatic disease, 25 (49.02%) patients had no hepatic symptoms over the duration of therapy, 8 (15.7%) patients had improved </w:t>
      </w:r>
      <w:r w:rsidR="00CB6BF6">
        <w:t>from B</w:t>
      </w:r>
      <w:r>
        <w:t xml:space="preserve">aseline </w:t>
      </w:r>
      <w:r w:rsidR="00C31D1B">
        <w:t>at M</w:t>
      </w:r>
      <w:r w:rsidR="00CB6BF6">
        <w:t>onth 12, 17 </w:t>
      </w:r>
      <w:r w:rsidRPr="00DA2CEE">
        <w:t>(33.3%) patients remained unchanged at month 12, and 1 (2.0%) patient had worsened at month 12.</w:t>
      </w:r>
      <w:r w:rsidR="00544119">
        <w:t xml:space="preserve"> </w:t>
      </w:r>
      <w:r w:rsidRPr="00DA2CEE">
        <w:t>No patients required a liver transplant during the study.</w:t>
      </w:r>
      <w:r w:rsidR="00544119">
        <w:t xml:space="preserve"> </w:t>
      </w:r>
      <w:r w:rsidRPr="00DA2CEE">
        <w:t xml:space="preserve">In terms of neurologic disease, 24 (47.1%) patients had no neurological symptoms </w:t>
      </w:r>
      <w:r>
        <w:t>over the duration of therapy</w:t>
      </w:r>
      <w:r w:rsidRPr="00DA2CEE">
        <w:t>, 2 (3.9%) patients improved at month 12, 24 (47.1%) pati</w:t>
      </w:r>
      <w:r w:rsidR="00C31D1B">
        <w:t>ents remained unchanged at M</w:t>
      </w:r>
      <w:r w:rsidRPr="00DA2CEE">
        <w:t xml:space="preserve">onth 12, and 1 </w:t>
      </w:r>
      <w:r w:rsidR="00C31D1B">
        <w:t>(2.0%) patient had worsened at M</w:t>
      </w:r>
      <w:r w:rsidRPr="00DA2CEE">
        <w:t>onth 12.</w:t>
      </w:r>
    </w:p>
    <w:p w14:paraId="32FA9C4F" w14:textId="10944DDC" w:rsidR="00F15FDF" w:rsidRDefault="00F15FDF" w:rsidP="00F15FDF">
      <w:pPr>
        <w:rPr>
          <w:lang w:val="en-US"/>
        </w:rPr>
      </w:pPr>
      <w:r w:rsidRPr="00465670">
        <w:lastRenderedPageBreak/>
        <w:t>The author</w:t>
      </w:r>
      <w:r>
        <w:t>s</w:t>
      </w:r>
      <w:r w:rsidRPr="00465670">
        <w:t xml:space="preserve"> concluded that treatment with </w:t>
      </w:r>
      <w:proofErr w:type="spellStart"/>
      <w:r w:rsidRPr="00465670">
        <w:t>trientine</w:t>
      </w:r>
      <w:proofErr w:type="spellEnd"/>
      <w:r w:rsidRPr="00465670">
        <w:t xml:space="preserve"> was effective in maintaining </w:t>
      </w:r>
      <w:r>
        <w:rPr>
          <w:lang w:val="en-US"/>
        </w:rPr>
        <w:t xml:space="preserve">stable hepatic and neurologic disease in patients with </w:t>
      </w:r>
      <w:r w:rsidR="00FB5136">
        <w:rPr>
          <w:lang w:val="en-US"/>
        </w:rPr>
        <w:t>Wilson’s disease</w:t>
      </w:r>
      <w:r>
        <w:rPr>
          <w:lang w:val="en-US"/>
        </w:rPr>
        <w:t>.</w:t>
      </w:r>
      <w:r w:rsidR="00544119">
        <w:rPr>
          <w:lang w:val="en-US"/>
        </w:rPr>
        <w:t xml:space="preserve"> </w:t>
      </w:r>
      <w:proofErr w:type="spellStart"/>
      <w:r>
        <w:rPr>
          <w:lang w:val="en-US"/>
        </w:rPr>
        <w:t>Trientine</w:t>
      </w:r>
      <w:proofErr w:type="spellEnd"/>
      <w:r>
        <w:rPr>
          <w:lang w:val="en-US"/>
        </w:rPr>
        <w:t xml:space="preserve"> dihydrochloride was gen</w:t>
      </w:r>
      <w:r w:rsidR="00C31D1B">
        <w:rPr>
          <w:lang w:val="en-US"/>
        </w:rPr>
        <w:t>erally safe and well tolerated.</w:t>
      </w:r>
    </w:p>
    <w:p w14:paraId="534B53C5" w14:textId="0BCAF390" w:rsidR="00F15FDF" w:rsidRDefault="00F15FDF" w:rsidP="00F15FDF">
      <w:pPr>
        <w:pStyle w:val="Heading5"/>
      </w:pPr>
      <w:r>
        <w:t>Ala et al</w:t>
      </w:r>
      <w:r w:rsidR="00C31D1B">
        <w:t>.</w:t>
      </w:r>
      <w:r>
        <w:t xml:space="preserve"> </w:t>
      </w:r>
      <w:r w:rsidR="00C31D1B">
        <w:t>(</w:t>
      </w:r>
      <w:r>
        <w:t>2015</w:t>
      </w:r>
      <w:r w:rsidR="00C31D1B">
        <w:t>)</w:t>
      </w:r>
      <w:bookmarkStart w:id="65" w:name="_Ref83586236"/>
      <w:r w:rsidR="00C31D1B">
        <w:rPr>
          <w:rStyle w:val="FootnoteReference"/>
        </w:rPr>
        <w:footnoteReference w:id="22"/>
      </w:r>
      <w:bookmarkEnd w:id="65"/>
    </w:p>
    <w:p w14:paraId="0BD99AF0" w14:textId="6347E700" w:rsidR="00F15FDF" w:rsidRDefault="00F15FDF" w:rsidP="00F15FDF">
      <w:pPr>
        <w:rPr>
          <w:lang w:eastAsia="ja-JP"/>
        </w:rPr>
      </w:pPr>
      <w:r>
        <w:t xml:space="preserve">This was a prospective pilot study to evaluate </w:t>
      </w:r>
      <w:proofErr w:type="gramStart"/>
      <w:r>
        <w:t>once-daily</w:t>
      </w:r>
      <w:proofErr w:type="gramEnd"/>
      <w:r>
        <w:t xml:space="preserve"> </w:t>
      </w:r>
      <w:proofErr w:type="spellStart"/>
      <w:r>
        <w:t>trientine</w:t>
      </w:r>
      <w:proofErr w:type="spellEnd"/>
      <w:r>
        <w:t xml:space="preserve"> in patients with </w:t>
      </w:r>
      <w:r w:rsidR="00FB5136">
        <w:t>Wilson’s disease</w:t>
      </w:r>
      <w:r>
        <w:t>.</w:t>
      </w:r>
      <w:r w:rsidR="00544119">
        <w:t xml:space="preserve"> </w:t>
      </w:r>
      <w:r>
        <w:t xml:space="preserve">8 patients aged 22 to 71 years </w:t>
      </w:r>
      <w:r>
        <w:rPr>
          <w:lang w:eastAsia="ja-JP"/>
        </w:rPr>
        <w:t xml:space="preserve">with stable </w:t>
      </w:r>
      <w:r w:rsidR="00FB5136">
        <w:rPr>
          <w:lang w:eastAsia="ja-JP"/>
        </w:rPr>
        <w:t>Wilson’s disease</w:t>
      </w:r>
      <w:r>
        <w:rPr>
          <w:lang w:eastAsia="ja-JP"/>
        </w:rPr>
        <w:t xml:space="preserve"> for at least one year on current therapy (zinc acetate, 2; </w:t>
      </w:r>
      <w:r>
        <w:rPr>
          <w:rFonts w:asciiTheme="minorHAnsi" w:hAnsiTheme="minorHAnsi"/>
        </w:rPr>
        <w:t>penicillamine</w:t>
      </w:r>
      <w:r>
        <w:rPr>
          <w:lang w:eastAsia="ja-JP"/>
        </w:rPr>
        <w:t xml:space="preserve">, 1; </w:t>
      </w:r>
      <w:proofErr w:type="spellStart"/>
      <w:r>
        <w:rPr>
          <w:lang w:eastAsia="ja-JP"/>
        </w:rPr>
        <w:t>trientine</w:t>
      </w:r>
      <w:proofErr w:type="spellEnd"/>
      <w:r>
        <w:rPr>
          <w:lang w:eastAsia="ja-JP"/>
        </w:rPr>
        <w:t xml:space="preserve">, 5) were prospectively enrolled into a one year trial of </w:t>
      </w:r>
      <w:proofErr w:type="spellStart"/>
      <w:r>
        <w:rPr>
          <w:lang w:eastAsia="ja-JP"/>
        </w:rPr>
        <w:t>trientine</w:t>
      </w:r>
      <w:proofErr w:type="spellEnd"/>
      <w:r>
        <w:rPr>
          <w:lang w:eastAsia="ja-JP"/>
        </w:rPr>
        <w:t xml:space="preserve"> at </w:t>
      </w:r>
      <w:r w:rsidR="00C31D1B">
        <w:rPr>
          <w:lang w:eastAsia="ja-JP"/>
        </w:rPr>
        <w:t>a single daily fixed dose of 15 </w:t>
      </w:r>
      <w:r>
        <w:rPr>
          <w:lang w:eastAsia="ja-JP"/>
        </w:rPr>
        <w:t>mg/kg.</w:t>
      </w:r>
      <w:r w:rsidR="00544119">
        <w:rPr>
          <w:lang w:eastAsia="ja-JP"/>
        </w:rPr>
        <w:t xml:space="preserve"> </w:t>
      </w:r>
      <w:r>
        <w:rPr>
          <w:lang w:eastAsia="ja-JP"/>
        </w:rPr>
        <w:t>Patients had clinical and laboratory assessments at monthly intervals for three months before commencing the study, then monthly for three months after commencing the study, t</w:t>
      </w:r>
      <w:r w:rsidR="00C31D1B">
        <w:rPr>
          <w:lang w:eastAsia="ja-JP"/>
        </w:rPr>
        <w:t>hen at six, nine and 12 months.</w:t>
      </w:r>
    </w:p>
    <w:p w14:paraId="3619B205" w14:textId="12AED9D0" w:rsidR="00F15FDF" w:rsidRDefault="00F15FDF" w:rsidP="00F15FDF">
      <w:pPr>
        <w:rPr>
          <w:lang w:eastAsia="ja-JP"/>
        </w:rPr>
      </w:pPr>
      <w:r>
        <w:rPr>
          <w:lang w:eastAsia="ja-JP"/>
        </w:rPr>
        <w:t>All patients remained clinically well throughout the study, no new neurological signs were detected, and biochemical parameters remained broadly similar.</w:t>
      </w:r>
      <w:r w:rsidR="00544119">
        <w:rPr>
          <w:lang w:eastAsia="ja-JP"/>
        </w:rPr>
        <w:t xml:space="preserve"> </w:t>
      </w:r>
      <w:r>
        <w:rPr>
          <w:lang w:eastAsia="ja-JP"/>
        </w:rPr>
        <w:t xml:space="preserve">The authors concluded that once-daily </w:t>
      </w:r>
      <w:proofErr w:type="spellStart"/>
      <w:r>
        <w:rPr>
          <w:lang w:eastAsia="ja-JP"/>
        </w:rPr>
        <w:t>trientine</w:t>
      </w:r>
      <w:proofErr w:type="spellEnd"/>
      <w:r>
        <w:rPr>
          <w:lang w:eastAsia="ja-JP"/>
        </w:rPr>
        <w:t xml:space="preserve"> should be explored further, and that larger trials and longer-term follow-up are necessary to establish the efficacy and safety of a once-daily regimen.</w:t>
      </w:r>
    </w:p>
    <w:p w14:paraId="12CF3293" w14:textId="2B831834" w:rsidR="00F15FDF" w:rsidRDefault="00F15FDF" w:rsidP="00F15FDF">
      <w:pPr>
        <w:pStyle w:val="Heading5"/>
        <w:spacing w:before="240"/>
      </w:pPr>
      <w:r>
        <w:t>Appenzeller-Herzog et al</w:t>
      </w:r>
      <w:r w:rsidR="00C31D1B">
        <w:t>.</w:t>
      </w:r>
      <w:r>
        <w:t xml:space="preserve"> </w:t>
      </w:r>
      <w:r w:rsidR="00C31D1B">
        <w:t>(</w:t>
      </w:r>
      <w:r>
        <w:t>2019</w:t>
      </w:r>
      <w:r w:rsidR="00C31D1B">
        <w:t>)</w:t>
      </w:r>
      <w:r w:rsidR="00C31D1B">
        <w:rPr>
          <w:rStyle w:val="FootnoteReference"/>
        </w:rPr>
        <w:footnoteReference w:id="23"/>
      </w:r>
    </w:p>
    <w:p w14:paraId="31D3F331" w14:textId="2BF9124A" w:rsidR="00F15FDF" w:rsidRDefault="00F15FDF" w:rsidP="00F15FDF">
      <w:r w:rsidRPr="008764C4">
        <w:t>This was a systematic review and meta-analysis of controlled studies</w:t>
      </w:r>
      <w:r>
        <w:t xml:space="preserve"> to compare the effectiveness and safety of common therapies for </w:t>
      </w:r>
      <w:r w:rsidR="00FB5136">
        <w:t>Wilson’s disease</w:t>
      </w:r>
      <w:r w:rsidRPr="008764C4">
        <w:t>.</w:t>
      </w:r>
      <w:r w:rsidR="00544119">
        <w:t xml:space="preserve"> </w:t>
      </w:r>
      <w:r>
        <w:t xml:space="preserve">Of the 23 studies that met the inclusion criteria, 17 were retrospective observational studies, 3 were </w:t>
      </w:r>
      <w:r w:rsidRPr="008764C4">
        <w:t>prospective</w:t>
      </w:r>
      <w:r>
        <w:t xml:space="preserve"> observational studies, 2</w:t>
      </w:r>
      <w:r w:rsidRPr="006F7D7C">
        <w:t xml:space="preserve"> </w:t>
      </w:r>
      <w:r>
        <w:t xml:space="preserve">were </w:t>
      </w:r>
      <w:r w:rsidRPr="008764C4">
        <w:t>non</w:t>
      </w:r>
      <w:r>
        <w:t>-</w:t>
      </w:r>
      <w:r w:rsidRPr="008764C4">
        <w:t>randomi</w:t>
      </w:r>
      <w:r>
        <w:t>s</w:t>
      </w:r>
      <w:r w:rsidRPr="008764C4">
        <w:t xml:space="preserve">ed </w:t>
      </w:r>
      <w:r>
        <w:t xml:space="preserve">controlled trials, and 1 was a </w:t>
      </w:r>
      <w:r w:rsidRPr="008764C4">
        <w:t>randomi</w:t>
      </w:r>
      <w:r>
        <w:t>s</w:t>
      </w:r>
      <w:r w:rsidRPr="008764C4">
        <w:t xml:space="preserve">ed </w:t>
      </w:r>
      <w:r>
        <w:t>controlled trial.</w:t>
      </w:r>
      <w:r w:rsidR="00544119">
        <w:t xml:space="preserve"> </w:t>
      </w:r>
      <w:r>
        <w:t>T</w:t>
      </w:r>
      <w:r w:rsidRPr="008764C4">
        <w:t xml:space="preserve">he control could be placebo, no </w:t>
      </w:r>
      <w:proofErr w:type="gramStart"/>
      <w:r w:rsidRPr="008764C4">
        <w:t>treatment</w:t>
      </w:r>
      <w:proofErr w:type="gramEnd"/>
      <w:r w:rsidRPr="008764C4">
        <w:t xml:space="preserve"> or any other treatment.</w:t>
      </w:r>
      <w:r w:rsidR="00544119">
        <w:t xml:space="preserve"> </w:t>
      </w:r>
      <w:r w:rsidR="00363D4C">
        <w:t>A total of 23 </w:t>
      </w:r>
      <w:r>
        <w:t xml:space="preserve">studies were included, mostly comparing D-penicillamine to no treatment, zinc, </w:t>
      </w:r>
      <w:proofErr w:type="spellStart"/>
      <w:r>
        <w:t>trientine</w:t>
      </w:r>
      <w:proofErr w:type="spellEnd"/>
      <w:r>
        <w:t xml:space="preserve"> or </w:t>
      </w:r>
      <w:proofErr w:type="spellStart"/>
      <w:r>
        <w:t>succimer</w:t>
      </w:r>
      <w:proofErr w:type="spellEnd"/>
      <w:r>
        <w:t>.</w:t>
      </w:r>
      <w:r w:rsidR="00544119">
        <w:t xml:space="preserve"> </w:t>
      </w:r>
      <w:r>
        <w:t xml:space="preserve">One study compared </w:t>
      </w:r>
      <w:proofErr w:type="spellStart"/>
      <w:r>
        <w:t>tetrathiomolybdate</w:t>
      </w:r>
      <w:proofErr w:type="spellEnd"/>
      <w:r>
        <w:t xml:space="preserve"> and </w:t>
      </w:r>
      <w:proofErr w:type="spellStart"/>
      <w:r>
        <w:t>trientine</w:t>
      </w:r>
      <w:proofErr w:type="spellEnd"/>
      <w:r>
        <w:t>.</w:t>
      </w:r>
      <w:r w:rsidR="00544119">
        <w:t xml:space="preserve"> </w:t>
      </w:r>
      <w:r w:rsidR="00CB6BF6">
        <w:t>Eleven of 23 </w:t>
      </w:r>
      <w:r>
        <w:t>studies were of low quality.</w:t>
      </w:r>
    </w:p>
    <w:p w14:paraId="2B2564B6" w14:textId="20CA725E" w:rsidR="00F15FDF" w:rsidRPr="00375760" w:rsidRDefault="00F15FDF" w:rsidP="00F15FDF">
      <w:r>
        <w:t xml:space="preserve">The main analyses assessed </w:t>
      </w:r>
      <w:r>
        <w:rPr>
          <w:rFonts w:asciiTheme="minorHAnsi" w:hAnsiTheme="minorHAnsi"/>
        </w:rPr>
        <w:t xml:space="preserve">penicillamine </w:t>
      </w:r>
      <w:r>
        <w:t>v</w:t>
      </w:r>
      <w:r w:rsidR="00363D4C">
        <w:t>ersu</w:t>
      </w:r>
      <w:r>
        <w:t xml:space="preserve">s no treatment, and </w:t>
      </w:r>
      <w:r>
        <w:rPr>
          <w:rFonts w:asciiTheme="minorHAnsi" w:hAnsiTheme="minorHAnsi"/>
        </w:rPr>
        <w:t xml:space="preserve">penicillamine </w:t>
      </w:r>
      <w:r>
        <w:t>v</w:t>
      </w:r>
      <w:r w:rsidR="00363D4C">
        <w:t>ersu</w:t>
      </w:r>
      <w:r>
        <w:t>s zinc salts.</w:t>
      </w:r>
      <w:r w:rsidR="00544119">
        <w:t xml:space="preserve"> </w:t>
      </w:r>
      <w:proofErr w:type="gramStart"/>
      <w:r>
        <w:t>With regard to</w:t>
      </w:r>
      <w:proofErr w:type="gramEnd"/>
      <w:r>
        <w:t xml:space="preserve"> analyses of </w:t>
      </w:r>
      <w:proofErr w:type="spellStart"/>
      <w:r>
        <w:t>trientine</w:t>
      </w:r>
      <w:proofErr w:type="spellEnd"/>
      <w:r>
        <w:t>, t</w:t>
      </w:r>
      <w:r w:rsidRPr="008764C4">
        <w:t>he authors</w:t>
      </w:r>
      <w:r>
        <w:rPr>
          <w:rFonts w:eastAsia="MS Mincho"/>
          <w:bCs/>
          <w:szCs w:val="21"/>
          <w:lang w:eastAsia="ja-JP"/>
        </w:rPr>
        <w:t xml:space="preserve"> commented:</w:t>
      </w:r>
    </w:p>
    <w:p w14:paraId="54955FA6" w14:textId="34400604" w:rsidR="00F15FDF" w:rsidRPr="00363D4C" w:rsidRDefault="00F15FDF" w:rsidP="00363D4C">
      <w:pPr>
        <w:ind w:left="720"/>
        <w:rPr>
          <w:i/>
        </w:rPr>
      </w:pPr>
      <w:r w:rsidRPr="00363D4C">
        <w:rPr>
          <w:i/>
        </w:rPr>
        <w:t xml:space="preserve">There were not enough studies comparing other drug combinations to perform meta-analysis. For the </w:t>
      </w:r>
      <w:r w:rsidR="00363D4C">
        <w:rPr>
          <w:i/>
        </w:rPr>
        <w:t xml:space="preserve">comparisons </w:t>
      </w:r>
      <w:proofErr w:type="spellStart"/>
      <w:r w:rsidR="00363D4C">
        <w:rPr>
          <w:i/>
        </w:rPr>
        <w:t>trientine</w:t>
      </w:r>
      <w:proofErr w:type="spellEnd"/>
      <w:r w:rsidR="00363D4C">
        <w:rPr>
          <w:i/>
        </w:rPr>
        <w:t xml:space="preserve"> with </w:t>
      </w:r>
      <w:proofErr w:type="spellStart"/>
      <w:r w:rsidR="00363D4C">
        <w:rPr>
          <w:i/>
        </w:rPr>
        <w:t>DPen</w:t>
      </w:r>
      <w:proofErr w:type="spellEnd"/>
      <w:r w:rsidR="00363D4C">
        <w:rPr>
          <w:i/>
        </w:rPr>
        <w:t xml:space="preserve"> </w:t>
      </w:r>
      <w:r w:rsidR="00363D4C">
        <w:t xml:space="preserve">[D-penicillamine] </w:t>
      </w:r>
      <w:r w:rsidRPr="00363D4C">
        <w:rPr>
          <w:i/>
        </w:rPr>
        <w:t xml:space="preserve">and </w:t>
      </w:r>
      <w:proofErr w:type="spellStart"/>
      <w:r w:rsidRPr="00363D4C">
        <w:rPr>
          <w:i/>
        </w:rPr>
        <w:t>trientine</w:t>
      </w:r>
      <w:proofErr w:type="spellEnd"/>
      <w:r w:rsidRPr="00363D4C">
        <w:rPr>
          <w:i/>
        </w:rPr>
        <w:t xml:space="preserve"> with TTM</w:t>
      </w:r>
      <w:r w:rsidR="00363D4C">
        <w:rPr>
          <w:i/>
        </w:rPr>
        <w:t xml:space="preserve"> </w:t>
      </w:r>
      <w:r w:rsidR="00363D4C">
        <w:t>[</w:t>
      </w:r>
      <w:proofErr w:type="spellStart"/>
      <w:r w:rsidR="00363D4C">
        <w:t>tetrathiomolybdate</w:t>
      </w:r>
      <w:proofErr w:type="spellEnd"/>
      <w:r w:rsidR="00363D4C">
        <w:t>]</w:t>
      </w:r>
      <w:r w:rsidRPr="00363D4C">
        <w:rPr>
          <w:i/>
        </w:rPr>
        <w:t xml:space="preserve">, the authors found no difference in effectiveness in primary outcomes. However, they found early neurological deterioration to occur more frequently under therapy with </w:t>
      </w:r>
      <w:proofErr w:type="spellStart"/>
      <w:r w:rsidRPr="00363D4C">
        <w:rPr>
          <w:i/>
        </w:rPr>
        <w:t>trientine</w:t>
      </w:r>
      <w:proofErr w:type="spellEnd"/>
      <w:r w:rsidRPr="00363D4C">
        <w:rPr>
          <w:i/>
        </w:rPr>
        <w:t xml:space="preserve"> (5/16, 31% or 6/23, 26%) as compared to </w:t>
      </w:r>
      <w:proofErr w:type="spellStart"/>
      <w:r w:rsidRPr="00363D4C">
        <w:rPr>
          <w:i/>
        </w:rPr>
        <w:t>DPen</w:t>
      </w:r>
      <w:proofErr w:type="spellEnd"/>
      <w:r w:rsidRPr="00363D4C">
        <w:rPr>
          <w:i/>
        </w:rPr>
        <w:t xml:space="preserve"> (8/97, 8%) or TTM (1/25, 4%). At the same time, the relative risk for side effects was found to be lower under </w:t>
      </w:r>
      <w:proofErr w:type="spellStart"/>
      <w:r w:rsidRPr="00363D4C">
        <w:rPr>
          <w:i/>
        </w:rPr>
        <w:t>trientine</w:t>
      </w:r>
      <w:proofErr w:type="spellEnd"/>
      <w:r w:rsidRPr="00363D4C">
        <w:rPr>
          <w:i/>
        </w:rPr>
        <w:t xml:space="preserve"> therapy (9/38, 24% or 1/23, 4%) compared to </w:t>
      </w:r>
      <w:proofErr w:type="spellStart"/>
      <w:r w:rsidRPr="00363D4C">
        <w:rPr>
          <w:i/>
        </w:rPr>
        <w:t>DPen</w:t>
      </w:r>
      <w:proofErr w:type="spellEnd"/>
      <w:r w:rsidRPr="00363D4C">
        <w:rPr>
          <w:i/>
        </w:rPr>
        <w:t xml:space="preserve"> (182/295, 62%) or TTM (7/25, 28%). </w:t>
      </w:r>
    </w:p>
    <w:p w14:paraId="018352BA" w14:textId="05F44912" w:rsidR="00F15FDF" w:rsidRPr="00375760" w:rsidRDefault="00F15FDF" w:rsidP="00F15FDF">
      <w:r>
        <w:t xml:space="preserve">The authors concluded that high-quality evidence for the comparative effectiveness and safety of </w:t>
      </w:r>
      <w:r w:rsidR="00FB5136">
        <w:t>Wilson’s disease</w:t>
      </w:r>
      <w:r>
        <w:t xml:space="preserve"> therapies is scarce.</w:t>
      </w:r>
      <w:r w:rsidR="00544119">
        <w:t xml:space="preserve"> </w:t>
      </w:r>
      <w:r>
        <w:t xml:space="preserve">All studies but one did not correct for confounding factors, including age, clinical </w:t>
      </w:r>
      <w:proofErr w:type="gramStart"/>
      <w:r>
        <w:t>presentation</w:t>
      </w:r>
      <w:proofErr w:type="gramEnd"/>
      <w:r>
        <w:t xml:space="preserve"> and disease stage.</w:t>
      </w:r>
      <w:r w:rsidR="00544119">
        <w:t xml:space="preserve"> </w:t>
      </w:r>
      <w:r>
        <w:t>Selection bias was identified as a severe limitation of many of the studies included in this systematic review.</w:t>
      </w:r>
      <w:r w:rsidR="00544119">
        <w:t xml:space="preserve"> </w:t>
      </w:r>
      <w:r>
        <w:t xml:space="preserve">Non-uniform definitions of clinical outcomes </w:t>
      </w:r>
      <w:r w:rsidR="00363D4C">
        <w:t>were</w:t>
      </w:r>
      <w:r>
        <w:t xml:space="preserve"> also identified as a limitation of the studies.</w:t>
      </w:r>
    </w:p>
    <w:p w14:paraId="260960DF" w14:textId="4D5F948C" w:rsidR="00F15FDF" w:rsidRDefault="00F15FDF" w:rsidP="00F15FDF">
      <w:pPr>
        <w:pStyle w:val="Heading5"/>
        <w:spacing w:before="240"/>
      </w:pPr>
      <w:proofErr w:type="spellStart"/>
      <w:r>
        <w:lastRenderedPageBreak/>
        <w:t>Wiggelinkhuizen</w:t>
      </w:r>
      <w:proofErr w:type="spellEnd"/>
      <w:r>
        <w:t xml:space="preserve"> et al</w:t>
      </w:r>
      <w:r w:rsidR="00363D4C">
        <w:t>.</w:t>
      </w:r>
      <w:r>
        <w:t xml:space="preserve"> </w:t>
      </w:r>
      <w:r w:rsidR="00363D4C">
        <w:t>(</w:t>
      </w:r>
      <w:r>
        <w:t>2009</w:t>
      </w:r>
      <w:r w:rsidR="00363D4C">
        <w:t>)</w:t>
      </w:r>
      <w:r w:rsidR="00363D4C">
        <w:rPr>
          <w:rStyle w:val="FootnoteReference"/>
        </w:rPr>
        <w:footnoteReference w:id="24"/>
      </w:r>
    </w:p>
    <w:p w14:paraId="50D60070" w14:textId="64EE0C5E" w:rsidR="00F15FDF" w:rsidRDefault="00F15FDF" w:rsidP="00F15FDF">
      <w:pPr>
        <w:rPr>
          <w:rFonts w:eastAsia="MS Mincho"/>
          <w:bCs/>
          <w:i/>
          <w:szCs w:val="21"/>
          <w:lang w:eastAsia="ja-JP"/>
        </w:rPr>
      </w:pPr>
      <w:r>
        <w:t xml:space="preserve">This was a systematic search of literature addressing treatment in newly presenting patients with </w:t>
      </w:r>
      <w:r w:rsidR="00FB5136">
        <w:t>Wilson’s disease</w:t>
      </w:r>
      <w:r>
        <w:t>.</w:t>
      </w:r>
      <w:r w:rsidR="00544119">
        <w:t xml:space="preserve"> </w:t>
      </w:r>
      <w:r>
        <w:t xml:space="preserve">The review included original studies on clinical efficacy of </w:t>
      </w:r>
      <w:r>
        <w:rPr>
          <w:rFonts w:asciiTheme="minorHAnsi" w:hAnsiTheme="minorHAnsi"/>
        </w:rPr>
        <w:t>penicillamine</w:t>
      </w:r>
      <w:r>
        <w:t xml:space="preserve">, </w:t>
      </w:r>
      <w:proofErr w:type="spellStart"/>
      <w:r>
        <w:t>trientine</w:t>
      </w:r>
      <w:proofErr w:type="spellEnd"/>
      <w:r>
        <w:t xml:space="preserve">, </w:t>
      </w:r>
      <w:proofErr w:type="spellStart"/>
      <w:r>
        <w:t>tetrathiomolybdate</w:t>
      </w:r>
      <w:proofErr w:type="spellEnd"/>
      <w:r>
        <w:t xml:space="preserve"> or zinc monotherapy as initial treatment in Wilson disease.</w:t>
      </w:r>
      <w:r w:rsidR="00544119">
        <w:t xml:space="preserve"> </w:t>
      </w:r>
      <w:r>
        <w:t xml:space="preserve">None of the 13 studies in this review included </w:t>
      </w:r>
      <w:proofErr w:type="spellStart"/>
      <w:r>
        <w:t>trientine</w:t>
      </w:r>
      <w:proofErr w:type="spellEnd"/>
      <w:r>
        <w:t xml:space="preserve"> treatment.</w:t>
      </w:r>
      <w:r w:rsidR="00544119">
        <w:t xml:space="preserve"> </w:t>
      </w:r>
      <w:r>
        <w:t>The reported study results were:</w:t>
      </w:r>
    </w:p>
    <w:p w14:paraId="3CDB9B39" w14:textId="77777777" w:rsidR="00F15FDF" w:rsidRPr="00363D4C" w:rsidRDefault="00F15FDF" w:rsidP="00363D4C">
      <w:pPr>
        <w:ind w:left="720"/>
        <w:rPr>
          <w:i/>
        </w:rPr>
      </w:pPr>
      <w:r w:rsidRPr="00363D4C">
        <w:rPr>
          <w:i/>
        </w:rPr>
        <w:t>Results</w:t>
      </w:r>
    </w:p>
    <w:p w14:paraId="4FDEA349" w14:textId="77777777" w:rsidR="00F15FDF" w:rsidRPr="00363D4C" w:rsidRDefault="00F15FDF" w:rsidP="00363D4C">
      <w:pPr>
        <w:ind w:left="720"/>
        <w:rPr>
          <w:i/>
        </w:rPr>
      </w:pPr>
      <w:r w:rsidRPr="00363D4C">
        <w:rPr>
          <w:i/>
        </w:rPr>
        <w:t xml:space="preserve">One randomized trial and 12 observational studies met the inclusion criteria. These studies were quite heterogeneous and generally of low validity. Nevertheless, according to currently available data, patients with hepatic presentation of Wilson disease are probably most effectively treated by D-penicillamine. Zinc seems to be preferred above D-penicillamine for treatment of </w:t>
      </w:r>
      <w:proofErr w:type="spellStart"/>
      <w:r w:rsidRPr="00363D4C">
        <w:rPr>
          <w:i/>
        </w:rPr>
        <w:t>presymptomatic</w:t>
      </w:r>
      <w:proofErr w:type="spellEnd"/>
      <w:r w:rsidRPr="00363D4C">
        <w:rPr>
          <w:i/>
        </w:rPr>
        <w:t xml:space="preserve"> and neurological patients, as in these subgroups, the tolerance profile is in favour of zinc, while no obvious differences in clinical efficacy could be observed.</w:t>
      </w:r>
    </w:p>
    <w:p w14:paraId="2B2B0F99" w14:textId="77777777" w:rsidR="00F15FDF" w:rsidRPr="00363D4C" w:rsidRDefault="00F15FDF" w:rsidP="00363D4C">
      <w:pPr>
        <w:ind w:left="720"/>
        <w:rPr>
          <w:i/>
        </w:rPr>
      </w:pPr>
      <w:r w:rsidRPr="00363D4C">
        <w:rPr>
          <w:i/>
        </w:rPr>
        <w:t>Conclusions</w:t>
      </w:r>
    </w:p>
    <w:p w14:paraId="2E021F86" w14:textId="77777777" w:rsidR="00F15FDF" w:rsidRPr="00363D4C" w:rsidRDefault="00F15FDF" w:rsidP="00363D4C">
      <w:pPr>
        <w:ind w:left="720"/>
        <w:rPr>
          <w:i/>
        </w:rPr>
      </w:pPr>
      <w:r w:rsidRPr="00363D4C">
        <w:rPr>
          <w:i/>
        </w:rPr>
        <w:t>There is lack of high-quality evidence to estimate the relative treatment effects of the available drugs in Wilson disease. Therefore, multicentre prospective randomized controlled comparative trials are necessary.</w:t>
      </w:r>
    </w:p>
    <w:p w14:paraId="22802156" w14:textId="77777777" w:rsidR="00F15FDF" w:rsidRDefault="00F15FDF" w:rsidP="00F15FDF">
      <w:pPr>
        <w:pStyle w:val="Heading4"/>
      </w:pPr>
      <w:r w:rsidRPr="00AA53F4">
        <w:t>Safety</w:t>
      </w:r>
    </w:p>
    <w:p w14:paraId="288BA8ED" w14:textId="682A18B2" w:rsidR="00F15FDF" w:rsidRDefault="00F15FDF" w:rsidP="00F15FDF">
      <w:r>
        <w:t>The safety dataset is derived from published literature, mostly retrospective and prospective observational studies, and case reports of adverse events.</w:t>
      </w:r>
      <w:r w:rsidR="00544119">
        <w:t xml:space="preserve"> </w:t>
      </w:r>
      <w:r>
        <w:t>Safety reporting was generally limited and inconsistent across the studies, so the submission did not provide an integrated summary of safety.</w:t>
      </w:r>
    </w:p>
    <w:p w14:paraId="10DC46EB" w14:textId="3636C520" w:rsidR="00F15FDF" w:rsidRDefault="00F15FDF" w:rsidP="00F15FDF">
      <w:r w:rsidRPr="00642F82">
        <w:t>Brewer et al</w:t>
      </w:r>
      <w:r w:rsidR="00642F82">
        <w:t>.</w:t>
      </w:r>
      <w:r w:rsidRPr="00642F82">
        <w:t xml:space="preserve"> </w:t>
      </w:r>
      <w:r w:rsidR="00642F82">
        <w:t>(</w:t>
      </w:r>
      <w:r w:rsidRPr="00642F82">
        <w:t>2006</w:t>
      </w:r>
      <w:r w:rsidR="00642F82">
        <w:t>)</w:t>
      </w:r>
      <w:r w:rsidR="00642F82" w:rsidRPr="00642F82">
        <w:rPr>
          <w:vertAlign w:val="superscript"/>
        </w:rPr>
        <w:fldChar w:fldCharType="begin"/>
      </w:r>
      <w:r w:rsidR="00642F82" w:rsidRPr="00642F82">
        <w:rPr>
          <w:vertAlign w:val="superscript"/>
        </w:rPr>
        <w:instrText xml:space="preserve"> NOTEREF _Ref83585820 \h </w:instrText>
      </w:r>
      <w:r w:rsidR="00642F82">
        <w:rPr>
          <w:vertAlign w:val="superscript"/>
        </w:rPr>
        <w:instrText xml:space="preserve"> \* MERGEFORMAT </w:instrText>
      </w:r>
      <w:r w:rsidR="00642F82" w:rsidRPr="00642F82">
        <w:rPr>
          <w:vertAlign w:val="superscript"/>
        </w:rPr>
      </w:r>
      <w:r w:rsidR="00642F82" w:rsidRPr="00642F82">
        <w:rPr>
          <w:vertAlign w:val="superscript"/>
        </w:rPr>
        <w:fldChar w:fldCharType="separate"/>
      </w:r>
      <w:r w:rsidR="005906D0">
        <w:rPr>
          <w:vertAlign w:val="superscript"/>
        </w:rPr>
        <w:t>16</w:t>
      </w:r>
      <w:r w:rsidR="00642F82" w:rsidRPr="00642F82">
        <w:rPr>
          <w:vertAlign w:val="superscript"/>
        </w:rPr>
        <w:fldChar w:fldCharType="end"/>
      </w:r>
      <w:r>
        <w:t xml:space="preserve"> was a randomised, double-blind, controlled trial comparing </w:t>
      </w:r>
      <w:proofErr w:type="spellStart"/>
      <w:r>
        <w:t>trientine</w:t>
      </w:r>
      <w:proofErr w:type="spellEnd"/>
      <w:r>
        <w:t xml:space="preserve"> to </w:t>
      </w:r>
      <w:proofErr w:type="spellStart"/>
      <w:r w:rsidRPr="002A637E">
        <w:rPr>
          <w:lang w:eastAsia="ja-JP"/>
        </w:rPr>
        <w:t>tetrathiomolybdate</w:t>
      </w:r>
      <w:proofErr w:type="spellEnd"/>
      <w:r w:rsidRPr="002A637E">
        <w:rPr>
          <w:lang w:eastAsia="ja-JP"/>
        </w:rPr>
        <w:t xml:space="preserve"> in </w:t>
      </w:r>
      <w:r>
        <w:rPr>
          <w:lang w:eastAsia="ja-JP"/>
        </w:rPr>
        <w:t xml:space="preserve">the </w:t>
      </w:r>
      <w:r w:rsidRPr="002A637E">
        <w:rPr>
          <w:lang w:eastAsia="ja-JP"/>
        </w:rPr>
        <w:t xml:space="preserve">treatment of primarily newly diagnosed patients with neurologic </w:t>
      </w:r>
      <w:r>
        <w:rPr>
          <w:lang w:eastAsia="ja-JP"/>
        </w:rPr>
        <w:t xml:space="preserve">presentation of </w:t>
      </w:r>
      <w:r w:rsidR="00FB5136">
        <w:rPr>
          <w:lang w:eastAsia="ja-JP"/>
        </w:rPr>
        <w:t>Wilson’s disease</w:t>
      </w:r>
      <w:r w:rsidRPr="002A637E">
        <w:rPr>
          <w:rFonts w:asciiTheme="minorHAnsi" w:hAnsiTheme="minorHAnsi"/>
        </w:rPr>
        <w:t>.</w:t>
      </w:r>
      <w:r w:rsidR="00544119">
        <w:rPr>
          <w:rFonts w:asciiTheme="minorHAnsi" w:hAnsiTheme="minorHAnsi"/>
        </w:rPr>
        <w:t xml:space="preserve"> </w:t>
      </w:r>
      <w:proofErr w:type="spellStart"/>
      <w:r w:rsidR="00642F82">
        <w:rPr>
          <w:lang w:eastAsia="ja-JP"/>
        </w:rPr>
        <w:t>T</w:t>
      </w:r>
      <w:r w:rsidR="00642F82" w:rsidRPr="002A637E">
        <w:rPr>
          <w:lang w:eastAsia="ja-JP"/>
        </w:rPr>
        <w:t>etrathiomolybdate</w:t>
      </w:r>
      <w:proofErr w:type="spellEnd"/>
      <w:r w:rsidR="00642F82">
        <w:rPr>
          <w:lang w:eastAsia="ja-JP"/>
        </w:rPr>
        <w:t xml:space="preserve"> </w:t>
      </w:r>
      <w:r>
        <w:rPr>
          <w:rFonts w:asciiTheme="minorHAnsi" w:hAnsiTheme="minorHAnsi"/>
        </w:rPr>
        <w:t>is not registered in Australia.</w:t>
      </w:r>
      <w:r w:rsidR="00544119">
        <w:rPr>
          <w:rFonts w:asciiTheme="minorHAnsi" w:hAnsiTheme="minorHAnsi"/>
        </w:rPr>
        <w:t xml:space="preserve"> </w:t>
      </w:r>
      <w:r>
        <w:t xml:space="preserve">Criteria for adverse effects included anaemia (a replicable haemoglobin value </w:t>
      </w:r>
      <w:r>
        <w:rPr>
          <w:rFonts w:ascii="MathematicalPi-One" w:hAnsi="MathematicalPi-One" w:cs="MathematicalPi-One"/>
        </w:rPr>
        <w:t>&lt;</w:t>
      </w:r>
      <w:r w:rsidR="00642F82">
        <w:rPr>
          <w:rFonts w:ascii="MathematicalPi-One" w:hAnsi="MathematicalPi-One" w:cs="MathematicalPi-One"/>
        </w:rPr>
        <w:t> </w:t>
      </w:r>
      <w:r>
        <w:t xml:space="preserve">80% of baseline), leukopenia (a replicable white blood cell count </w:t>
      </w:r>
      <w:r>
        <w:rPr>
          <w:rFonts w:ascii="MathematicalPi-One" w:hAnsi="MathematicalPi-One" w:cs="MathematicalPi-One"/>
        </w:rPr>
        <w:t>&lt;</w:t>
      </w:r>
      <w:r w:rsidR="00642F82">
        <w:rPr>
          <w:rFonts w:ascii="MathematicalPi-One" w:hAnsi="MathematicalPi-One" w:cs="MathematicalPi-One"/>
        </w:rPr>
        <w:t xml:space="preserve"> </w:t>
      </w:r>
      <w:r>
        <w:t>80% of baseline), and transaminase elevations consisting of a replicable quadrupling of baseline values of either AST or ALT.</w:t>
      </w:r>
      <w:r w:rsidR="00544119">
        <w:t xml:space="preserve"> </w:t>
      </w:r>
      <w:r>
        <w:t xml:space="preserve">One of 23 patients in the </w:t>
      </w:r>
      <w:proofErr w:type="spellStart"/>
      <w:r>
        <w:t>trientine</w:t>
      </w:r>
      <w:proofErr w:type="spellEnd"/>
      <w:r>
        <w:t xml:space="preserve"> arm reported anaemia as an adverse event; 3 of 25 patients in the </w:t>
      </w:r>
      <w:proofErr w:type="spellStart"/>
      <w:r w:rsidR="00642F82" w:rsidRPr="002A637E">
        <w:rPr>
          <w:lang w:eastAsia="ja-JP"/>
        </w:rPr>
        <w:t>tetrathiomolybdate</w:t>
      </w:r>
      <w:proofErr w:type="spellEnd"/>
      <w:r w:rsidR="00642F82">
        <w:rPr>
          <w:lang w:eastAsia="ja-JP"/>
        </w:rPr>
        <w:t xml:space="preserve"> </w:t>
      </w:r>
      <w:r>
        <w:t>arm reported anaemia and/or leukopenia and 4 had further transaminase elevations during 8 weeks of treatment.</w:t>
      </w:r>
    </w:p>
    <w:p w14:paraId="6D996F66" w14:textId="00E6B690" w:rsidR="00F15FDF" w:rsidRDefault="00F15FDF" w:rsidP="00642F82">
      <w:r>
        <w:rPr>
          <w:lang w:eastAsia="ja-JP"/>
        </w:rPr>
        <w:t>In</w:t>
      </w:r>
      <w:r w:rsidRPr="00965C5F">
        <w:rPr>
          <w:b/>
          <w:lang w:eastAsia="ja-JP"/>
        </w:rPr>
        <w:t xml:space="preserve"> </w:t>
      </w:r>
      <w:r w:rsidRPr="009E6E0A">
        <w:rPr>
          <w:lang w:eastAsia="ja-JP"/>
        </w:rPr>
        <w:t>th</w:t>
      </w:r>
      <w:r>
        <w:rPr>
          <w:lang w:eastAsia="ja-JP"/>
        </w:rPr>
        <w:t>e</w:t>
      </w:r>
      <w:r w:rsidRPr="009E6E0A">
        <w:rPr>
          <w:lang w:eastAsia="ja-JP"/>
        </w:rPr>
        <w:t xml:space="preserve"> </w:t>
      </w:r>
      <w:r>
        <w:rPr>
          <w:lang w:eastAsia="ja-JP"/>
        </w:rPr>
        <w:t>retrospective study</w:t>
      </w:r>
      <w:r w:rsidRPr="009E6E0A">
        <w:rPr>
          <w:lang w:eastAsia="ja-JP"/>
        </w:rPr>
        <w:t xml:space="preserve"> </w:t>
      </w:r>
      <w:r>
        <w:rPr>
          <w:lang w:eastAsia="ja-JP"/>
        </w:rPr>
        <w:t xml:space="preserve">of 405 patients </w:t>
      </w:r>
      <w:r w:rsidRPr="00642F82">
        <w:t>by Weiss et al</w:t>
      </w:r>
      <w:r w:rsidR="00642F82" w:rsidRPr="00642F82">
        <w:t>.</w:t>
      </w:r>
      <w:r w:rsidRPr="00642F82">
        <w:t xml:space="preserve"> </w:t>
      </w:r>
      <w:r w:rsidR="00642F82" w:rsidRPr="00642F82">
        <w:t>(</w:t>
      </w:r>
      <w:r w:rsidRPr="00642F82">
        <w:t>2013</w:t>
      </w:r>
      <w:r w:rsidR="00642F82" w:rsidRPr="00642F82">
        <w:t>)</w:t>
      </w:r>
      <w:r w:rsidR="00CB6BF6" w:rsidRPr="00CB6BF6">
        <w:rPr>
          <w:vertAlign w:val="superscript"/>
        </w:rPr>
        <w:fldChar w:fldCharType="begin"/>
      </w:r>
      <w:r w:rsidR="00CB6BF6" w:rsidRPr="00CB6BF6">
        <w:rPr>
          <w:vertAlign w:val="superscript"/>
        </w:rPr>
        <w:instrText xml:space="preserve"> NOTEREF _Ref83587707 \h </w:instrText>
      </w:r>
      <w:r w:rsidR="00CB6BF6">
        <w:rPr>
          <w:vertAlign w:val="superscript"/>
        </w:rPr>
        <w:instrText xml:space="preserve"> \* MERGEFORMAT </w:instrText>
      </w:r>
      <w:r w:rsidR="00CB6BF6" w:rsidRPr="00CB6BF6">
        <w:rPr>
          <w:vertAlign w:val="superscript"/>
        </w:rPr>
      </w:r>
      <w:r w:rsidR="00CB6BF6" w:rsidRPr="00CB6BF6">
        <w:rPr>
          <w:vertAlign w:val="superscript"/>
        </w:rPr>
        <w:fldChar w:fldCharType="separate"/>
      </w:r>
      <w:r w:rsidR="005906D0">
        <w:rPr>
          <w:vertAlign w:val="superscript"/>
        </w:rPr>
        <w:t>12</w:t>
      </w:r>
      <w:r w:rsidR="00CB6BF6" w:rsidRPr="00CB6BF6">
        <w:rPr>
          <w:vertAlign w:val="superscript"/>
        </w:rPr>
        <w:fldChar w:fldCharType="end"/>
      </w:r>
      <w:r w:rsidRPr="00642F82">
        <w:t xml:space="preserve"> the median follow-up period was 13.3 years.</w:t>
      </w:r>
      <w:r w:rsidR="00544119" w:rsidRPr="00642F82">
        <w:t xml:space="preserve"> </w:t>
      </w:r>
      <w:r w:rsidRPr="00642F82">
        <w:t>Dosage information was not reported.</w:t>
      </w:r>
      <w:r w:rsidR="00544119" w:rsidRPr="00642F82">
        <w:t xml:space="preserve"> </w:t>
      </w:r>
      <w:r w:rsidRPr="00642F82">
        <w:t>Discontinuation of treatment due to adverse events (</w:t>
      </w:r>
      <w:r w:rsidRPr="00642F82">
        <w:fldChar w:fldCharType="begin"/>
      </w:r>
      <w:r w:rsidRPr="00642F82">
        <w:instrText xml:space="preserve"> REF _Ref52890206 \h </w:instrText>
      </w:r>
      <w:r w:rsidRPr="00642F82">
        <w:fldChar w:fldCharType="separate"/>
      </w:r>
      <w:r w:rsidR="005906D0">
        <w:t xml:space="preserve">Table </w:t>
      </w:r>
      <w:r w:rsidR="005906D0">
        <w:rPr>
          <w:noProof/>
        </w:rPr>
        <w:t>10</w:t>
      </w:r>
      <w:r w:rsidRPr="00642F82">
        <w:fldChar w:fldCharType="end"/>
      </w:r>
      <w:r w:rsidRPr="00642F82">
        <w:t xml:space="preserve">) was more frequent with penicillamine (94 of 326 (28.8%) treatments) than </w:t>
      </w:r>
      <w:proofErr w:type="spellStart"/>
      <w:r w:rsidRPr="00642F82">
        <w:t>trientine</w:t>
      </w:r>
      <w:proofErr w:type="spellEnd"/>
      <w:r w:rsidRPr="00642F82">
        <w:t xml:space="preserve"> (10 of 141 (7.1%) treatments, p</w:t>
      </w:r>
      <w:r w:rsidR="00642F82">
        <w:t xml:space="preserve"> </w:t>
      </w:r>
      <w:r w:rsidRPr="00642F82">
        <w:t xml:space="preserve">= </w:t>
      </w:r>
      <w:r w:rsidRPr="00F16BA3">
        <w:rPr>
          <w:lang w:eastAsia="ja-JP"/>
        </w:rPr>
        <w:t>0.03</w:t>
      </w:r>
      <w:r w:rsidRPr="009E6E0A">
        <w:rPr>
          <w:lang w:eastAsia="ja-JP"/>
        </w:rPr>
        <w:t>9).</w:t>
      </w:r>
      <w:r w:rsidR="00544119">
        <w:rPr>
          <w:lang w:eastAsia="ja-JP"/>
        </w:rPr>
        <w:t xml:space="preserve"> </w:t>
      </w:r>
      <w:r>
        <w:t xml:space="preserve">There were no deaths related to </w:t>
      </w:r>
      <w:r w:rsidR="00642F82">
        <w:t>adverse events</w:t>
      </w:r>
      <w:r>
        <w:t>.</w:t>
      </w:r>
    </w:p>
    <w:p w14:paraId="32538794" w14:textId="60FA525A" w:rsidR="00F15FDF" w:rsidRDefault="00F15FDF" w:rsidP="00642F82">
      <w:pPr>
        <w:pStyle w:val="TableTitle"/>
      </w:pPr>
      <w:bookmarkStart w:id="66" w:name="_Ref52890206"/>
      <w:r>
        <w:lastRenderedPageBreak/>
        <w:t xml:space="preserve">Table </w:t>
      </w:r>
      <w:fldSimple w:instr=" SEQ Table \* ARABIC ">
        <w:r w:rsidR="005906D0">
          <w:rPr>
            <w:noProof/>
          </w:rPr>
          <w:t>10</w:t>
        </w:r>
      </w:fldSimple>
      <w:bookmarkEnd w:id="66"/>
      <w:r w:rsidR="00642F82">
        <w:rPr>
          <w:noProof/>
        </w:rPr>
        <w:t>:</w:t>
      </w:r>
      <w:r w:rsidR="00544119">
        <w:t xml:space="preserve"> </w:t>
      </w:r>
      <w:r>
        <w:t>Weiss et al</w:t>
      </w:r>
      <w:r w:rsidR="00642F82">
        <w:t>.</w:t>
      </w:r>
      <w:r>
        <w:t xml:space="preserve"> </w:t>
      </w:r>
      <w:r w:rsidR="00642F82">
        <w:t>(</w:t>
      </w:r>
      <w:r>
        <w:t>2013</w:t>
      </w:r>
      <w:r w:rsidR="00642F82">
        <w:t xml:space="preserve">) </w:t>
      </w:r>
      <w:r>
        <w:t>Adverse events leading to discontinuation of treatment</w:t>
      </w:r>
    </w:p>
    <w:p w14:paraId="19EF0227" w14:textId="29400C7D" w:rsidR="009A40D3" w:rsidRDefault="009A40D3" w:rsidP="00642F82">
      <w:pPr>
        <w:pStyle w:val="TableTitle"/>
      </w:pPr>
      <w:r>
        <w:rPr>
          <w:noProof/>
          <w:lang w:val="en-GB" w:eastAsia="en-GB"/>
        </w:rPr>
        <w:drawing>
          <wp:inline distT="0" distB="0" distL="0" distR="0" wp14:anchorId="192BDDEC" wp14:editId="494A0DBF">
            <wp:extent cx="2749762" cy="3587561"/>
            <wp:effectExtent l="0" t="0" r="0" b="0"/>
            <wp:docPr id="1" name="Picture 1" descr="Weiss et al. (2013) Adverse events leading to discontinuation of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iss et al. (2013) Adverse events leading to discontinuation of treatment"/>
                    <pic:cNvPicPr/>
                  </pic:nvPicPr>
                  <pic:blipFill>
                    <a:blip r:embed="rId22"/>
                    <a:stretch>
                      <a:fillRect/>
                    </a:stretch>
                  </pic:blipFill>
                  <pic:spPr>
                    <a:xfrm>
                      <a:off x="0" y="0"/>
                      <a:ext cx="2768377" cy="3611848"/>
                    </a:xfrm>
                    <a:prstGeom prst="rect">
                      <a:avLst/>
                    </a:prstGeom>
                  </pic:spPr>
                </pic:pic>
              </a:graphicData>
            </a:graphic>
          </wp:inline>
        </w:drawing>
      </w:r>
    </w:p>
    <w:p w14:paraId="4BA4B2B9" w14:textId="586E555A" w:rsidR="00CB6BF6" w:rsidRPr="00CB6BF6" w:rsidRDefault="00CB6BF6" w:rsidP="00CB6BF6">
      <w:pPr>
        <w:pStyle w:val="TableDescription"/>
      </w:pPr>
      <w:r>
        <w:t>ANA = antinuclear antibody; DPA = D-penicillamine.</w:t>
      </w:r>
    </w:p>
    <w:p w14:paraId="4985056B" w14:textId="7EDB8995" w:rsidR="00F15FDF" w:rsidRDefault="00F15FDF" w:rsidP="00F15FDF">
      <w:r w:rsidRPr="00573777">
        <w:t>Weiss et al</w:t>
      </w:r>
      <w:r w:rsidR="00573777">
        <w:t>.</w:t>
      </w:r>
      <w:r w:rsidRPr="00573777">
        <w:t xml:space="preserve"> </w:t>
      </w:r>
      <w:r w:rsidR="00573777">
        <w:t>(</w:t>
      </w:r>
      <w:r w:rsidRPr="00573777">
        <w:t>2019</w:t>
      </w:r>
      <w:r w:rsidR="00573777">
        <w:t>)</w:t>
      </w:r>
      <w:r w:rsidR="00573777" w:rsidRPr="00573777">
        <w:rPr>
          <w:vertAlign w:val="superscript"/>
        </w:rPr>
        <w:fldChar w:fldCharType="begin"/>
      </w:r>
      <w:r w:rsidR="00573777" w:rsidRPr="00573777">
        <w:rPr>
          <w:vertAlign w:val="superscript"/>
        </w:rPr>
        <w:instrText xml:space="preserve"> NOTEREF _Ref83585967 \h </w:instrText>
      </w:r>
      <w:r w:rsidR="00573777">
        <w:rPr>
          <w:vertAlign w:val="superscript"/>
        </w:rPr>
        <w:instrText xml:space="preserve"> \* MERGEFORMAT </w:instrText>
      </w:r>
      <w:r w:rsidR="00573777" w:rsidRPr="00573777">
        <w:rPr>
          <w:vertAlign w:val="superscript"/>
        </w:rPr>
      </w:r>
      <w:r w:rsidR="00573777" w:rsidRPr="00573777">
        <w:rPr>
          <w:vertAlign w:val="superscript"/>
        </w:rPr>
        <w:fldChar w:fldCharType="separate"/>
      </w:r>
      <w:r w:rsidR="005906D0">
        <w:rPr>
          <w:vertAlign w:val="superscript"/>
        </w:rPr>
        <w:t>20</w:t>
      </w:r>
      <w:r w:rsidR="00573777" w:rsidRPr="00573777">
        <w:rPr>
          <w:vertAlign w:val="superscript"/>
        </w:rPr>
        <w:fldChar w:fldCharType="end"/>
      </w:r>
      <w:r>
        <w:t xml:space="preserve"> reported safety findings from the prospective study of 52 patients (</w:t>
      </w:r>
      <w:r w:rsidR="00573777">
        <w:t xml:space="preserve">shown in </w:t>
      </w:r>
      <w:r>
        <w:fldChar w:fldCharType="begin"/>
      </w:r>
      <w:r>
        <w:instrText xml:space="preserve"> REF _Ref52888524 \h </w:instrText>
      </w:r>
      <w:r>
        <w:fldChar w:fldCharType="separate"/>
      </w:r>
      <w:r w:rsidR="005906D0">
        <w:t xml:space="preserve">Table </w:t>
      </w:r>
      <w:r w:rsidR="005906D0">
        <w:rPr>
          <w:noProof/>
        </w:rPr>
        <w:t>11</w:t>
      </w:r>
      <w:r>
        <w:fldChar w:fldCharType="end"/>
      </w:r>
      <w:r>
        <w:t>).</w:t>
      </w:r>
    </w:p>
    <w:p w14:paraId="0F2DACBF" w14:textId="3D3E8B4C" w:rsidR="00F15FDF" w:rsidRDefault="00F15FDF" w:rsidP="00573777">
      <w:pPr>
        <w:pStyle w:val="TableTitle"/>
      </w:pPr>
      <w:bookmarkStart w:id="67" w:name="_Ref52888524"/>
      <w:r>
        <w:t xml:space="preserve">Table </w:t>
      </w:r>
      <w:fldSimple w:instr=" SEQ Table \* ARABIC ">
        <w:r w:rsidR="005906D0">
          <w:rPr>
            <w:noProof/>
          </w:rPr>
          <w:t>11</w:t>
        </w:r>
      </w:fldSimple>
      <w:bookmarkEnd w:id="67"/>
      <w:r w:rsidR="00573777">
        <w:rPr>
          <w:noProof/>
        </w:rPr>
        <w:t>:</w:t>
      </w:r>
      <w:r w:rsidR="00544119">
        <w:t xml:space="preserve"> </w:t>
      </w:r>
      <w:r>
        <w:t xml:space="preserve">Weiss </w:t>
      </w:r>
      <w:r w:rsidR="00573777">
        <w:t>et al. (</w:t>
      </w:r>
      <w:r>
        <w:t>2019</w:t>
      </w:r>
      <w:r w:rsidR="00573777">
        <w:t>)</w:t>
      </w:r>
      <w:r>
        <w:t xml:space="preserve"> Summary of </w:t>
      </w:r>
      <w:r w:rsidR="00573777">
        <w:t>adverse events</w:t>
      </w:r>
      <w:r>
        <w:t xml:space="preserve">, and treatment-related </w:t>
      </w:r>
      <w:r w:rsidR="00573777">
        <w:t>adverse events</w:t>
      </w:r>
    </w:p>
    <w:p w14:paraId="6648CAD0" w14:textId="284AA09D" w:rsidR="00F15FDF" w:rsidRDefault="00F15FDF" w:rsidP="00F15FDF">
      <w:r>
        <w:rPr>
          <w:noProof/>
          <w:lang w:val="en-GB" w:eastAsia="en-GB"/>
        </w:rPr>
        <w:drawing>
          <wp:inline distT="0" distB="0" distL="0" distR="0" wp14:anchorId="6D3494D7" wp14:editId="48628E74">
            <wp:extent cx="4657725" cy="1171575"/>
            <wp:effectExtent l="0" t="0" r="9525" b="9525"/>
            <wp:docPr id="7" name="Picture 7" descr="Weiss et al. (2019) Summary of adverse events, and treatment-related adverse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eiss et al. (2019) Summary of adverse events, and treatment-related adverse events"/>
                    <pic:cNvPicPr/>
                  </pic:nvPicPr>
                  <pic:blipFill>
                    <a:blip r:embed="rId23"/>
                    <a:stretch>
                      <a:fillRect/>
                    </a:stretch>
                  </pic:blipFill>
                  <pic:spPr>
                    <a:xfrm>
                      <a:off x="0" y="0"/>
                      <a:ext cx="4657725" cy="1171575"/>
                    </a:xfrm>
                    <a:prstGeom prst="rect">
                      <a:avLst/>
                    </a:prstGeom>
                  </pic:spPr>
                </pic:pic>
              </a:graphicData>
            </a:graphic>
          </wp:inline>
        </w:drawing>
      </w:r>
    </w:p>
    <w:p w14:paraId="5200720A" w14:textId="438569A1" w:rsidR="00573777" w:rsidRDefault="00CB6BF6" w:rsidP="00573777">
      <w:pPr>
        <w:pStyle w:val="TableDescription"/>
      </w:pPr>
      <w:r>
        <w:t xml:space="preserve">2HCl = dihydrochloride; </w:t>
      </w:r>
      <w:r w:rsidR="00573777">
        <w:t>AE = adverse event; TEAE = treatment-emergent adverse event</w:t>
      </w:r>
      <w:r w:rsidR="00F45B8E">
        <w:t>.</w:t>
      </w:r>
    </w:p>
    <w:p w14:paraId="11998CF2" w14:textId="1821C3B4" w:rsidR="00F15FDF" w:rsidRDefault="00F15FDF" w:rsidP="00F15FDF">
      <w:pPr>
        <w:rPr>
          <w:lang w:eastAsia="ja-JP"/>
        </w:rPr>
      </w:pPr>
      <w:r>
        <w:t xml:space="preserve">In the prospective study published </w:t>
      </w:r>
      <w:r w:rsidRPr="00573777">
        <w:t>by Ala et al</w:t>
      </w:r>
      <w:r w:rsidR="00573777" w:rsidRPr="00573777">
        <w:t>.</w:t>
      </w:r>
      <w:r w:rsidRPr="00573777">
        <w:t xml:space="preserve"> </w:t>
      </w:r>
      <w:r w:rsidR="00573777" w:rsidRPr="00573777">
        <w:t>(</w:t>
      </w:r>
      <w:r w:rsidRPr="00573777">
        <w:t>2015</w:t>
      </w:r>
      <w:r w:rsidR="00573777" w:rsidRPr="00573777">
        <w:t>)</w:t>
      </w:r>
      <w:r w:rsidR="00573777" w:rsidRPr="00573777">
        <w:rPr>
          <w:vertAlign w:val="superscript"/>
        </w:rPr>
        <w:fldChar w:fldCharType="begin"/>
      </w:r>
      <w:r w:rsidR="00573777" w:rsidRPr="00573777">
        <w:rPr>
          <w:vertAlign w:val="superscript"/>
        </w:rPr>
        <w:instrText xml:space="preserve"> NOTEREF _Ref83586236 \h </w:instrText>
      </w:r>
      <w:r w:rsidR="00573777">
        <w:rPr>
          <w:vertAlign w:val="superscript"/>
        </w:rPr>
        <w:instrText xml:space="preserve"> \* MERGEFORMAT </w:instrText>
      </w:r>
      <w:r w:rsidR="00573777" w:rsidRPr="00573777">
        <w:rPr>
          <w:vertAlign w:val="superscript"/>
        </w:rPr>
      </w:r>
      <w:r w:rsidR="00573777" w:rsidRPr="00573777">
        <w:rPr>
          <w:vertAlign w:val="superscript"/>
        </w:rPr>
        <w:fldChar w:fldCharType="separate"/>
      </w:r>
      <w:r w:rsidR="005906D0">
        <w:rPr>
          <w:vertAlign w:val="superscript"/>
        </w:rPr>
        <w:t>22</w:t>
      </w:r>
      <w:r w:rsidR="00573777" w:rsidRPr="00573777">
        <w:rPr>
          <w:vertAlign w:val="superscript"/>
        </w:rPr>
        <w:fldChar w:fldCharType="end"/>
      </w:r>
      <w:r w:rsidRPr="00573777">
        <w:t xml:space="preserve"> eight patients were treated with a once-daily dose of </w:t>
      </w:r>
      <w:proofErr w:type="spellStart"/>
      <w:r w:rsidRPr="00573777">
        <w:t>trientine</w:t>
      </w:r>
      <w:proofErr w:type="spellEnd"/>
      <w:r w:rsidRPr="00573777">
        <w:t xml:space="preserve"> (15</w:t>
      </w:r>
      <w:r w:rsidR="00573777" w:rsidRPr="00573777">
        <w:t xml:space="preserve"> </w:t>
      </w:r>
      <w:r w:rsidRPr="00573777">
        <w:t>mg/kg) for twelve months with</w:t>
      </w:r>
      <w:r>
        <w:rPr>
          <w:lang w:eastAsia="ja-JP"/>
        </w:rPr>
        <w:t xml:space="preserve"> no treatment stoppages or drop-outs from the study.</w:t>
      </w:r>
    </w:p>
    <w:p w14:paraId="4AC0CB4C" w14:textId="3781D9DE" w:rsidR="00F15FDF" w:rsidRPr="00573777" w:rsidRDefault="00F15FDF" w:rsidP="00573777">
      <w:r>
        <w:rPr>
          <w:lang w:eastAsia="ja-JP"/>
        </w:rPr>
        <w:t>The retrospe</w:t>
      </w:r>
      <w:r w:rsidRPr="00573777">
        <w:t xml:space="preserve">ctive study by </w:t>
      </w:r>
      <w:proofErr w:type="spellStart"/>
      <w:r w:rsidRPr="00573777">
        <w:t>Scheinberg</w:t>
      </w:r>
      <w:proofErr w:type="spellEnd"/>
      <w:r w:rsidRPr="00573777">
        <w:t xml:space="preserve"> et al</w:t>
      </w:r>
      <w:r w:rsidR="00573777" w:rsidRPr="00573777">
        <w:t>.</w:t>
      </w:r>
      <w:r w:rsidRPr="00573777">
        <w:t xml:space="preserve"> </w:t>
      </w:r>
      <w:r w:rsidR="00573777" w:rsidRPr="00573777">
        <w:t>(</w:t>
      </w:r>
      <w:r w:rsidRPr="00573777">
        <w:t>1987</w:t>
      </w:r>
      <w:r w:rsidR="00573777" w:rsidRPr="00573777">
        <w:t>)</w:t>
      </w:r>
      <w:r w:rsidR="00573777" w:rsidRPr="00573777">
        <w:rPr>
          <w:vertAlign w:val="superscript"/>
        </w:rPr>
        <w:fldChar w:fldCharType="begin"/>
      </w:r>
      <w:r w:rsidR="00573777" w:rsidRPr="00573777">
        <w:rPr>
          <w:vertAlign w:val="superscript"/>
        </w:rPr>
        <w:instrText xml:space="preserve"> NOTEREF _Ref83586285 \h </w:instrText>
      </w:r>
      <w:r w:rsidR="00573777">
        <w:rPr>
          <w:vertAlign w:val="superscript"/>
        </w:rPr>
        <w:instrText xml:space="preserve"> \* MERGEFORMAT </w:instrText>
      </w:r>
      <w:r w:rsidR="00573777" w:rsidRPr="00573777">
        <w:rPr>
          <w:vertAlign w:val="superscript"/>
        </w:rPr>
      </w:r>
      <w:r w:rsidR="00573777" w:rsidRPr="00573777">
        <w:rPr>
          <w:vertAlign w:val="superscript"/>
        </w:rPr>
        <w:fldChar w:fldCharType="separate"/>
      </w:r>
      <w:r w:rsidR="005906D0">
        <w:rPr>
          <w:vertAlign w:val="superscript"/>
        </w:rPr>
        <w:t>15</w:t>
      </w:r>
      <w:r w:rsidR="00573777" w:rsidRPr="00573777">
        <w:rPr>
          <w:vertAlign w:val="superscript"/>
        </w:rPr>
        <w:fldChar w:fldCharType="end"/>
      </w:r>
      <w:r w:rsidRPr="00573777">
        <w:t xml:space="preserve"> did not report any adverse events in the cohort of 13 patients treated with </w:t>
      </w:r>
      <w:proofErr w:type="spellStart"/>
      <w:r w:rsidRPr="00573777">
        <w:t>trientine</w:t>
      </w:r>
      <w:proofErr w:type="spellEnd"/>
      <w:r w:rsidRPr="00573777">
        <w:t xml:space="preserve"> after developing intolerance to penicillamine.</w:t>
      </w:r>
    </w:p>
    <w:p w14:paraId="614402F7" w14:textId="2915DB45" w:rsidR="00F15FDF" w:rsidRDefault="00F15FDF" w:rsidP="00573777">
      <w:pPr>
        <w:rPr>
          <w:lang w:eastAsia="ja-JP"/>
        </w:rPr>
      </w:pPr>
      <w:r w:rsidRPr="00573777">
        <w:t xml:space="preserve">The retrospective study by </w:t>
      </w:r>
      <w:proofErr w:type="spellStart"/>
      <w:r w:rsidRPr="00573777">
        <w:t>Dahlman</w:t>
      </w:r>
      <w:proofErr w:type="spellEnd"/>
      <w:r w:rsidRPr="00573777">
        <w:t xml:space="preserve"> et al</w:t>
      </w:r>
      <w:r w:rsidR="00573777">
        <w:t>.</w:t>
      </w:r>
      <w:r w:rsidRPr="00573777">
        <w:t xml:space="preserve"> </w:t>
      </w:r>
      <w:r w:rsidR="00573777">
        <w:t>(</w:t>
      </w:r>
      <w:r w:rsidRPr="00573777">
        <w:t>1995</w:t>
      </w:r>
      <w:r w:rsidR="00573777">
        <w:t>)</w:t>
      </w:r>
      <w:r w:rsidR="00573777" w:rsidRPr="00573777">
        <w:rPr>
          <w:vertAlign w:val="superscript"/>
        </w:rPr>
        <w:fldChar w:fldCharType="begin"/>
      </w:r>
      <w:r w:rsidR="00573777" w:rsidRPr="00573777">
        <w:rPr>
          <w:vertAlign w:val="superscript"/>
        </w:rPr>
        <w:instrText xml:space="preserve"> NOTEREF _Ref83586342 \h </w:instrText>
      </w:r>
      <w:r w:rsidR="00573777">
        <w:rPr>
          <w:vertAlign w:val="superscript"/>
        </w:rPr>
        <w:instrText xml:space="preserve"> \* MERGEFORMAT </w:instrText>
      </w:r>
      <w:r w:rsidR="00573777" w:rsidRPr="00573777">
        <w:rPr>
          <w:vertAlign w:val="superscript"/>
        </w:rPr>
      </w:r>
      <w:r w:rsidR="00573777" w:rsidRPr="00573777">
        <w:rPr>
          <w:vertAlign w:val="superscript"/>
        </w:rPr>
        <w:fldChar w:fldCharType="separate"/>
      </w:r>
      <w:r w:rsidR="005906D0">
        <w:rPr>
          <w:vertAlign w:val="superscript"/>
        </w:rPr>
        <w:t>17</w:t>
      </w:r>
      <w:r w:rsidR="00573777" w:rsidRPr="00573777">
        <w:rPr>
          <w:vertAlign w:val="superscript"/>
        </w:rPr>
        <w:fldChar w:fldCharType="end"/>
      </w:r>
      <w:r w:rsidRPr="00573777">
        <w:t xml:space="preserve"> reviewed 19 patients treated with </w:t>
      </w:r>
      <w:proofErr w:type="spellStart"/>
      <w:r w:rsidR="00573777">
        <w:t>trientine</w:t>
      </w:r>
      <w:proofErr w:type="spellEnd"/>
      <w:r w:rsidR="00573777">
        <w:t xml:space="preserve"> dihydrochloride 1000 to</w:t>
      </w:r>
      <w:r w:rsidRPr="00573777">
        <w:t xml:space="preserve"> 1800 mg/day (duration </w:t>
      </w:r>
      <w:r>
        <w:rPr>
          <w:lang w:eastAsia="ja-JP"/>
        </w:rPr>
        <w:t xml:space="preserve">4 months to 17.5 years), 2 as first-line treatment and 17 following treatment with </w:t>
      </w:r>
      <w:r>
        <w:rPr>
          <w:rFonts w:asciiTheme="minorHAnsi" w:hAnsiTheme="minorHAnsi"/>
        </w:rPr>
        <w:t>penicillamine</w:t>
      </w:r>
      <w:r>
        <w:rPr>
          <w:lang w:eastAsia="ja-JP"/>
        </w:rPr>
        <w:t>.</w:t>
      </w:r>
      <w:r w:rsidR="00544119">
        <w:rPr>
          <w:lang w:eastAsia="ja-JP"/>
        </w:rPr>
        <w:t xml:space="preserve"> </w:t>
      </w:r>
      <w:r>
        <w:rPr>
          <w:lang w:eastAsia="ja-JP"/>
        </w:rPr>
        <w:t>Colitis was reported in two patients, one of whom also developed</w:t>
      </w:r>
      <w:r w:rsidRPr="00C755DF">
        <w:rPr>
          <w:lang w:eastAsia="ja-JP"/>
        </w:rPr>
        <w:t xml:space="preserve"> duodenitis.</w:t>
      </w:r>
      <w:r w:rsidR="00544119">
        <w:rPr>
          <w:lang w:eastAsia="ja-JP"/>
        </w:rPr>
        <w:t xml:space="preserve"> </w:t>
      </w:r>
      <w:r>
        <w:rPr>
          <w:lang w:eastAsia="ja-JP"/>
        </w:rPr>
        <w:t>No other adverse effects were reported.</w:t>
      </w:r>
    </w:p>
    <w:p w14:paraId="0932AE34" w14:textId="2AEAB79B" w:rsidR="00F15FDF" w:rsidRPr="00573777" w:rsidRDefault="00F15FDF" w:rsidP="00573777">
      <w:proofErr w:type="spellStart"/>
      <w:r w:rsidRPr="00573777">
        <w:t>Arnon</w:t>
      </w:r>
      <w:proofErr w:type="spellEnd"/>
      <w:r w:rsidRPr="00573777">
        <w:t xml:space="preserve"> et al</w:t>
      </w:r>
      <w:r w:rsidR="00573777">
        <w:t>.</w:t>
      </w:r>
      <w:r w:rsidRPr="00573777">
        <w:t xml:space="preserve"> </w:t>
      </w:r>
      <w:r w:rsidR="00573777">
        <w:t>(</w:t>
      </w:r>
      <w:r w:rsidRPr="00573777">
        <w:t>2007</w:t>
      </w:r>
      <w:r w:rsidR="00573777">
        <w:t>)</w:t>
      </w:r>
      <w:r w:rsidR="00573777" w:rsidRPr="00573777">
        <w:rPr>
          <w:vertAlign w:val="superscript"/>
        </w:rPr>
        <w:fldChar w:fldCharType="begin"/>
      </w:r>
      <w:r w:rsidR="00573777" w:rsidRPr="00573777">
        <w:rPr>
          <w:vertAlign w:val="superscript"/>
        </w:rPr>
        <w:instrText xml:space="preserve"> NOTEREF _Ref83586376 \h </w:instrText>
      </w:r>
      <w:r w:rsidR="00573777">
        <w:rPr>
          <w:vertAlign w:val="superscript"/>
        </w:rPr>
        <w:instrText xml:space="preserve"> \* MERGEFORMAT </w:instrText>
      </w:r>
      <w:r w:rsidR="00573777" w:rsidRPr="00573777">
        <w:rPr>
          <w:vertAlign w:val="superscript"/>
        </w:rPr>
      </w:r>
      <w:r w:rsidR="00573777" w:rsidRPr="00573777">
        <w:rPr>
          <w:vertAlign w:val="superscript"/>
        </w:rPr>
        <w:fldChar w:fldCharType="separate"/>
      </w:r>
      <w:r w:rsidR="005906D0">
        <w:rPr>
          <w:vertAlign w:val="superscript"/>
        </w:rPr>
        <w:t>18</w:t>
      </w:r>
      <w:r w:rsidR="00573777" w:rsidRPr="00573777">
        <w:rPr>
          <w:vertAlign w:val="superscript"/>
        </w:rPr>
        <w:fldChar w:fldCharType="end"/>
      </w:r>
      <w:r w:rsidRPr="00573777">
        <w:t xml:space="preserve"> retrospectively reviewed the records of 22 children with hepatic </w:t>
      </w:r>
      <w:r w:rsidR="00FB5136" w:rsidRPr="00573777">
        <w:t>Wilson’s disease</w:t>
      </w:r>
      <w:r w:rsidRPr="00573777">
        <w:t xml:space="preserve"> treated with </w:t>
      </w:r>
      <w:proofErr w:type="spellStart"/>
      <w:r w:rsidRPr="00573777">
        <w:t>trientine</w:t>
      </w:r>
      <w:proofErr w:type="spellEnd"/>
      <w:r w:rsidRPr="00573777">
        <w:t xml:space="preserve"> dihydrochloride and/or zinc.</w:t>
      </w:r>
      <w:r w:rsidR="00544119" w:rsidRPr="00573777">
        <w:t xml:space="preserve"> </w:t>
      </w:r>
      <w:proofErr w:type="gramStart"/>
      <w:r w:rsidRPr="00573777">
        <w:t>The children,</w:t>
      </w:r>
      <w:proofErr w:type="gramEnd"/>
      <w:r w:rsidRPr="00573777">
        <w:t xml:space="preserve"> aged between 7 and 17 years received between 250 and 500</w:t>
      </w:r>
      <w:r w:rsidR="00573777">
        <w:t xml:space="preserve"> mg </w:t>
      </w:r>
      <w:proofErr w:type="spellStart"/>
      <w:r w:rsidR="00573777">
        <w:t>trientine</w:t>
      </w:r>
      <w:proofErr w:type="spellEnd"/>
      <w:r w:rsidR="00573777">
        <w:t xml:space="preserve"> twice daily (500 to</w:t>
      </w:r>
      <w:r w:rsidRPr="00573777">
        <w:t xml:space="preserve"> </w:t>
      </w:r>
      <w:r w:rsidRPr="00573777">
        <w:lastRenderedPageBreak/>
        <w:t>1000</w:t>
      </w:r>
      <w:r w:rsidR="00573777">
        <w:t> </w:t>
      </w:r>
      <w:r w:rsidRPr="00573777">
        <w:t>mg daily).</w:t>
      </w:r>
      <w:r w:rsidR="00544119" w:rsidRPr="00573777">
        <w:t xml:space="preserve"> </w:t>
      </w:r>
      <w:r w:rsidRPr="00573777">
        <w:t>No significant side effects were observed in any of the patients.</w:t>
      </w:r>
      <w:r w:rsidR="00544119" w:rsidRPr="00573777">
        <w:t xml:space="preserve"> </w:t>
      </w:r>
      <w:proofErr w:type="spellStart"/>
      <w:r w:rsidRPr="00573777">
        <w:t>Trientine</w:t>
      </w:r>
      <w:proofErr w:type="spellEnd"/>
      <w:r w:rsidRPr="00573777">
        <w:t xml:space="preserve"> was stopped in one patient after 12 months due to elevated liver enzyme levels, which normalised after zinc dosing was increased.</w:t>
      </w:r>
    </w:p>
    <w:p w14:paraId="7851A6A7" w14:textId="535CFB13" w:rsidR="00F15FDF" w:rsidRDefault="00F15FDF" w:rsidP="00F15FDF">
      <w:r>
        <w:t xml:space="preserve">The retrospective review </w:t>
      </w:r>
      <w:r w:rsidRPr="00573777">
        <w:t xml:space="preserve">by Walshe </w:t>
      </w:r>
      <w:r w:rsidR="00573777">
        <w:t>et al. (</w:t>
      </w:r>
      <w:r w:rsidRPr="00573777">
        <w:t>1982</w:t>
      </w:r>
      <w:r w:rsidR="00573777">
        <w:t>)</w:t>
      </w:r>
      <w:r w:rsidR="00573777" w:rsidRPr="00573777">
        <w:rPr>
          <w:vertAlign w:val="superscript"/>
        </w:rPr>
        <w:fldChar w:fldCharType="begin"/>
      </w:r>
      <w:r w:rsidR="00573777" w:rsidRPr="00573777">
        <w:rPr>
          <w:vertAlign w:val="superscript"/>
        </w:rPr>
        <w:instrText xml:space="preserve"> NOTEREF _Ref83586437 \h </w:instrText>
      </w:r>
      <w:r w:rsidR="00573777">
        <w:rPr>
          <w:vertAlign w:val="superscript"/>
        </w:rPr>
        <w:instrText xml:space="preserve"> \* MERGEFORMAT </w:instrText>
      </w:r>
      <w:r w:rsidR="00573777" w:rsidRPr="00573777">
        <w:rPr>
          <w:vertAlign w:val="superscript"/>
        </w:rPr>
      </w:r>
      <w:r w:rsidR="00573777" w:rsidRPr="00573777">
        <w:rPr>
          <w:vertAlign w:val="superscript"/>
        </w:rPr>
        <w:fldChar w:fldCharType="separate"/>
      </w:r>
      <w:r w:rsidR="005906D0">
        <w:rPr>
          <w:vertAlign w:val="superscript"/>
        </w:rPr>
        <w:t>14</w:t>
      </w:r>
      <w:r w:rsidR="00573777" w:rsidRPr="00573777">
        <w:rPr>
          <w:vertAlign w:val="superscript"/>
        </w:rPr>
        <w:fldChar w:fldCharType="end"/>
      </w:r>
      <w:r w:rsidRPr="00573777">
        <w:t xml:space="preserve"> of 20 penicillamine-intolerant patients treated with </w:t>
      </w:r>
      <w:proofErr w:type="spellStart"/>
      <w:r w:rsidRPr="00573777">
        <w:t>trientine</w:t>
      </w:r>
      <w:proofErr w:type="spellEnd"/>
      <w:r w:rsidRPr="00573777">
        <w:t xml:space="preserve"> dihydrochloride did not report</w:t>
      </w:r>
      <w:r>
        <w:t xml:space="preserve"> any toxic signs or symptoms relating to treatment with </w:t>
      </w:r>
      <w:proofErr w:type="spellStart"/>
      <w:r>
        <w:t>trientine</w:t>
      </w:r>
      <w:proofErr w:type="spellEnd"/>
      <w:r>
        <w:t>.</w:t>
      </w:r>
    </w:p>
    <w:p w14:paraId="6F73437C" w14:textId="06008E8E" w:rsidR="00F15FDF" w:rsidRDefault="00F15FDF" w:rsidP="00F15FDF">
      <w:pPr>
        <w:rPr>
          <w:lang w:eastAsia="ja-JP"/>
        </w:rPr>
      </w:pPr>
      <w:r w:rsidRPr="00F564C1">
        <w:t>Dubois et al</w:t>
      </w:r>
      <w:r w:rsidR="00CB6BF6" w:rsidRPr="00F564C1">
        <w:t>.</w:t>
      </w:r>
      <w:r w:rsidRPr="00F564C1">
        <w:t xml:space="preserve"> </w:t>
      </w:r>
      <w:r w:rsidR="00CB6BF6" w:rsidRPr="00F564C1">
        <w:t>(</w:t>
      </w:r>
      <w:r w:rsidRPr="00F564C1">
        <w:t>1990</w:t>
      </w:r>
      <w:r w:rsidR="00CB6BF6" w:rsidRPr="00F564C1">
        <w:t>)</w:t>
      </w:r>
      <w:r w:rsidR="00F564C1">
        <w:rPr>
          <w:rStyle w:val="FootnoteReference"/>
        </w:rPr>
        <w:footnoteReference w:id="25"/>
      </w:r>
      <w:r>
        <w:rPr>
          <w:lang w:eastAsia="ja-JP"/>
        </w:rPr>
        <w:t xml:space="preserve"> reported clinical experience with seven patients aged 13 to 33 years with </w:t>
      </w:r>
      <w:r w:rsidR="00FB5136">
        <w:rPr>
          <w:lang w:eastAsia="ja-JP"/>
        </w:rPr>
        <w:t>Wilson’s disease</w:t>
      </w:r>
      <w:r>
        <w:rPr>
          <w:lang w:eastAsia="ja-JP"/>
        </w:rPr>
        <w:t xml:space="preserve"> who were treated with </w:t>
      </w:r>
      <w:proofErr w:type="spellStart"/>
      <w:r>
        <w:rPr>
          <w:lang w:eastAsia="ja-JP"/>
        </w:rPr>
        <w:t>trientine</w:t>
      </w:r>
      <w:proofErr w:type="spellEnd"/>
      <w:r>
        <w:rPr>
          <w:lang w:eastAsia="ja-JP"/>
        </w:rPr>
        <w:t xml:space="preserve"> following intolerance to </w:t>
      </w:r>
      <w:r>
        <w:rPr>
          <w:rFonts w:asciiTheme="minorHAnsi" w:hAnsiTheme="minorHAnsi"/>
        </w:rPr>
        <w:t>penicillamine</w:t>
      </w:r>
      <w:r>
        <w:rPr>
          <w:lang w:eastAsia="ja-JP"/>
        </w:rPr>
        <w:t>.</w:t>
      </w:r>
      <w:r w:rsidR="00544119">
        <w:rPr>
          <w:lang w:eastAsia="ja-JP"/>
        </w:rPr>
        <w:t xml:space="preserve"> </w:t>
      </w:r>
      <w:r>
        <w:rPr>
          <w:lang w:eastAsia="ja-JP"/>
        </w:rPr>
        <w:t xml:space="preserve">The duration of treatment with </w:t>
      </w:r>
      <w:proofErr w:type="spellStart"/>
      <w:r>
        <w:rPr>
          <w:lang w:eastAsia="ja-JP"/>
        </w:rPr>
        <w:t>trientine</w:t>
      </w:r>
      <w:proofErr w:type="spellEnd"/>
      <w:r>
        <w:rPr>
          <w:lang w:eastAsia="ja-JP"/>
        </w:rPr>
        <w:t xml:space="preserve"> ranged from six weeks to 16 years, and doses ranged from 500 to 2000 mg/day.</w:t>
      </w:r>
      <w:r w:rsidR="00544119">
        <w:rPr>
          <w:lang w:eastAsia="ja-JP"/>
        </w:rPr>
        <w:t xml:space="preserve"> </w:t>
      </w:r>
      <w:r>
        <w:rPr>
          <w:lang w:eastAsia="ja-JP"/>
        </w:rPr>
        <w:t>No serious adverse effects were reported.</w:t>
      </w:r>
      <w:r w:rsidR="00544119">
        <w:rPr>
          <w:lang w:eastAsia="ja-JP"/>
        </w:rPr>
        <w:t xml:space="preserve"> </w:t>
      </w:r>
      <w:r>
        <w:rPr>
          <w:lang w:eastAsia="ja-JP"/>
        </w:rPr>
        <w:t>In one patient, the initial dose of 1750 mg/day was decreased to 1000 mg/day due to mild thrombocytopaenia.</w:t>
      </w:r>
    </w:p>
    <w:p w14:paraId="33F0DEC3" w14:textId="1CD3510F" w:rsidR="00F15FDF" w:rsidRDefault="00F15FDF" w:rsidP="00F15FDF">
      <w:pPr>
        <w:rPr>
          <w:lang w:eastAsia="ja-JP"/>
        </w:rPr>
      </w:pPr>
      <w:r>
        <w:rPr>
          <w:lang w:eastAsia="ja-JP"/>
        </w:rPr>
        <w:t xml:space="preserve">Case reports describing adverse events with </w:t>
      </w:r>
      <w:proofErr w:type="spellStart"/>
      <w:r>
        <w:rPr>
          <w:lang w:eastAsia="ja-JP"/>
        </w:rPr>
        <w:t>trientine</w:t>
      </w:r>
      <w:proofErr w:type="spellEnd"/>
      <w:r>
        <w:rPr>
          <w:lang w:eastAsia="ja-JP"/>
        </w:rPr>
        <w:t xml:space="preserve"> are summarised in </w:t>
      </w:r>
      <w:r>
        <w:rPr>
          <w:lang w:eastAsia="ja-JP"/>
        </w:rPr>
        <w:fldChar w:fldCharType="begin"/>
      </w:r>
      <w:r>
        <w:rPr>
          <w:lang w:eastAsia="ja-JP"/>
        </w:rPr>
        <w:instrText xml:space="preserve"> REF _Ref52896633 \h </w:instrText>
      </w:r>
      <w:r>
        <w:rPr>
          <w:lang w:eastAsia="ja-JP"/>
        </w:rPr>
      </w:r>
      <w:r>
        <w:rPr>
          <w:lang w:eastAsia="ja-JP"/>
        </w:rPr>
        <w:fldChar w:fldCharType="separate"/>
      </w:r>
      <w:r w:rsidR="005906D0" w:rsidRPr="00C653AF">
        <w:t xml:space="preserve">Table </w:t>
      </w:r>
      <w:r w:rsidR="005906D0">
        <w:rPr>
          <w:noProof/>
        </w:rPr>
        <w:t>12</w:t>
      </w:r>
      <w:r>
        <w:rPr>
          <w:lang w:eastAsia="ja-JP"/>
        </w:rPr>
        <w:fldChar w:fldCharType="end"/>
      </w:r>
      <w:r>
        <w:rPr>
          <w:lang w:eastAsia="ja-JP"/>
        </w:rPr>
        <w:t>.</w:t>
      </w:r>
    </w:p>
    <w:p w14:paraId="3A9EBC47" w14:textId="43F26CA9" w:rsidR="00F15FDF" w:rsidRDefault="00F15FDF" w:rsidP="00573777">
      <w:pPr>
        <w:pStyle w:val="TableTitle"/>
      </w:pPr>
      <w:bookmarkStart w:id="68" w:name="_Ref52896633"/>
      <w:r w:rsidRPr="00C653AF">
        <w:t xml:space="preserve">Table </w:t>
      </w:r>
      <w:fldSimple w:instr=" SEQ Table \* ARABIC ">
        <w:r w:rsidR="005906D0">
          <w:rPr>
            <w:noProof/>
          </w:rPr>
          <w:t>12</w:t>
        </w:r>
      </w:fldSimple>
      <w:bookmarkEnd w:id="68"/>
      <w:r w:rsidR="00573777">
        <w:t>:</w:t>
      </w:r>
      <w:r w:rsidRPr="00C653AF">
        <w:t xml:space="preserve"> Case reports of adverse events with </w:t>
      </w:r>
      <w:proofErr w:type="spellStart"/>
      <w:r w:rsidRPr="00C653AF">
        <w:t>trientine</w:t>
      </w:r>
      <w:proofErr w:type="spellEnd"/>
      <w:r w:rsidRPr="00C653AF">
        <w:t xml:space="preserve"> from the published literature</w:t>
      </w:r>
    </w:p>
    <w:tbl>
      <w:tblPr>
        <w:tblStyle w:val="TableTGAblue"/>
        <w:tblW w:w="0" w:type="auto"/>
        <w:tblLook w:val="04A0" w:firstRow="1" w:lastRow="0" w:firstColumn="1" w:lastColumn="0" w:noHBand="0" w:noVBand="1"/>
      </w:tblPr>
      <w:tblGrid>
        <w:gridCol w:w="3230"/>
        <w:gridCol w:w="5254"/>
      </w:tblGrid>
      <w:tr w:rsidR="00F564C1" w:rsidRPr="00F564C1" w14:paraId="202444D7" w14:textId="77777777" w:rsidTr="00F564C1">
        <w:trPr>
          <w:cnfStyle w:val="100000000000" w:firstRow="1" w:lastRow="0" w:firstColumn="0" w:lastColumn="0" w:oddVBand="0" w:evenVBand="0" w:oddHBand="0" w:evenHBand="0" w:firstRowFirstColumn="0" w:firstRowLastColumn="0" w:lastRowFirstColumn="0" w:lastRowLastColumn="0"/>
        </w:trPr>
        <w:tc>
          <w:tcPr>
            <w:tcW w:w="3230" w:type="dxa"/>
          </w:tcPr>
          <w:p w14:paraId="4AB1FC8F" w14:textId="47D3B091" w:rsidR="00F564C1" w:rsidRPr="00F564C1" w:rsidRDefault="00F564C1" w:rsidP="00F564C1">
            <w:r w:rsidRPr="00F564C1">
              <w:t>Reference</w:t>
            </w:r>
          </w:p>
        </w:tc>
        <w:tc>
          <w:tcPr>
            <w:tcW w:w="5254" w:type="dxa"/>
          </w:tcPr>
          <w:p w14:paraId="2932E267" w14:textId="1F29826B" w:rsidR="00F564C1" w:rsidRPr="00F564C1" w:rsidRDefault="00F564C1" w:rsidP="00F564C1">
            <w:r w:rsidRPr="00F564C1">
              <w:t>Adverse event</w:t>
            </w:r>
          </w:p>
        </w:tc>
      </w:tr>
      <w:tr w:rsidR="00F564C1" w:rsidRPr="00F564C1" w14:paraId="10CD8992" w14:textId="77777777" w:rsidTr="00F564C1">
        <w:tc>
          <w:tcPr>
            <w:tcW w:w="3230" w:type="dxa"/>
          </w:tcPr>
          <w:p w14:paraId="2A71A128" w14:textId="7A53E4AA" w:rsidR="00F564C1" w:rsidRPr="00F564C1" w:rsidRDefault="00F564C1" w:rsidP="00F564C1">
            <w:proofErr w:type="spellStart"/>
            <w:r>
              <w:t>Sabolek</w:t>
            </w:r>
            <w:proofErr w:type="spellEnd"/>
            <w:r>
              <w:t xml:space="preserve"> et al.</w:t>
            </w:r>
            <w:r w:rsidRPr="00F564C1">
              <w:t xml:space="preserve"> </w:t>
            </w:r>
            <w:r>
              <w:t>(</w:t>
            </w:r>
            <w:r w:rsidRPr="00F564C1">
              <w:t>2004</w:t>
            </w:r>
            <w:r>
              <w:t>)</w:t>
            </w:r>
          </w:p>
        </w:tc>
        <w:tc>
          <w:tcPr>
            <w:tcW w:w="5254" w:type="dxa"/>
          </w:tcPr>
          <w:p w14:paraId="64404615" w14:textId="570B7793" w:rsidR="00F564C1" w:rsidRPr="00F564C1" w:rsidRDefault="00F564C1" w:rsidP="00F564C1">
            <w:r w:rsidRPr="00F564C1">
              <w:t>Transient thrombocytopenia (treated with dose reduction)</w:t>
            </w:r>
          </w:p>
        </w:tc>
      </w:tr>
      <w:tr w:rsidR="00F564C1" w:rsidRPr="00F564C1" w14:paraId="56679AFB" w14:textId="77777777" w:rsidTr="00F564C1">
        <w:tc>
          <w:tcPr>
            <w:tcW w:w="3230" w:type="dxa"/>
          </w:tcPr>
          <w:p w14:paraId="382355C5" w14:textId="2D6F40C4" w:rsidR="00F564C1" w:rsidRPr="00F564C1" w:rsidRDefault="00F564C1" w:rsidP="00F564C1">
            <w:r>
              <w:t>Chung et al.</w:t>
            </w:r>
            <w:r w:rsidRPr="00F564C1">
              <w:t xml:space="preserve"> </w:t>
            </w:r>
            <w:r>
              <w:t>(</w:t>
            </w:r>
            <w:r w:rsidRPr="00F564C1">
              <w:t>2016</w:t>
            </w:r>
            <w:r>
              <w:t>)</w:t>
            </w:r>
          </w:p>
        </w:tc>
        <w:tc>
          <w:tcPr>
            <w:tcW w:w="5254" w:type="dxa"/>
          </w:tcPr>
          <w:p w14:paraId="3E9E3517" w14:textId="606EA1CC" w:rsidR="00F564C1" w:rsidRPr="00F564C1" w:rsidRDefault="00F564C1" w:rsidP="00F564C1">
            <w:r w:rsidRPr="00F564C1">
              <w:t>Memory impairments and without Parkinsonian or extrapyramidal sign</w:t>
            </w:r>
            <w:r w:rsidR="00F6310C">
              <w:t>s</w:t>
            </w:r>
          </w:p>
        </w:tc>
      </w:tr>
      <w:tr w:rsidR="00F564C1" w:rsidRPr="00F564C1" w14:paraId="0391B2E4" w14:textId="77777777" w:rsidTr="00F564C1">
        <w:tc>
          <w:tcPr>
            <w:tcW w:w="3230" w:type="dxa"/>
          </w:tcPr>
          <w:p w14:paraId="5FB1710A" w14:textId="12569834" w:rsidR="00F564C1" w:rsidRPr="00F564C1" w:rsidRDefault="00F564C1" w:rsidP="00F564C1">
            <w:r>
              <w:t>Boga et al.</w:t>
            </w:r>
            <w:r w:rsidRPr="00F564C1">
              <w:t xml:space="preserve"> </w:t>
            </w:r>
            <w:r>
              <w:t>(</w:t>
            </w:r>
            <w:r w:rsidRPr="00F564C1">
              <w:t>2015</w:t>
            </w:r>
            <w:r>
              <w:t>)</w:t>
            </w:r>
          </w:p>
        </w:tc>
        <w:tc>
          <w:tcPr>
            <w:tcW w:w="5254" w:type="dxa"/>
          </w:tcPr>
          <w:p w14:paraId="354A6F04" w14:textId="04DE14B0" w:rsidR="00F564C1" w:rsidRPr="00F564C1" w:rsidRDefault="00F564C1" w:rsidP="00F564C1">
            <w:r w:rsidRPr="00F564C1">
              <w:t xml:space="preserve">Drug-induced colitis -resolved on </w:t>
            </w:r>
            <w:proofErr w:type="spellStart"/>
            <w:r w:rsidRPr="00F564C1">
              <w:t>trientine</w:t>
            </w:r>
            <w:proofErr w:type="spellEnd"/>
            <w:r w:rsidRPr="00F564C1">
              <w:t xml:space="preserve"> withdrawal and returned on re-challenge</w:t>
            </w:r>
          </w:p>
        </w:tc>
      </w:tr>
      <w:tr w:rsidR="00F564C1" w:rsidRPr="00F564C1" w14:paraId="688C8E8C" w14:textId="77777777" w:rsidTr="00F564C1">
        <w:tc>
          <w:tcPr>
            <w:tcW w:w="3230" w:type="dxa"/>
          </w:tcPr>
          <w:p w14:paraId="07887E6B" w14:textId="2D42CC7D" w:rsidR="00F564C1" w:rsidRPr="00F564C1" w:rsidRDefault="00F564C1" w:rsidP="00F564C1">
            <w:r>
              <w:t>Kim et al.</w:t>
            </w:r>
            <w:r w:rsidRPr="00F564C1">
              <w:t xml:space="preserve"> </w:t>
            </w:r>
            <w:r>
              <w:t>(</w:t>
            </w:r>
            <w:r w:rsidRPr="00F564C1">
              <w:t>2013</w:t>
            </w:r>
            <w:r>
              <w:t>)</w:t>
            </w:r>
          </w:p>
        </w:tc>
        <w:tc>
          <w:tcPr>
            <w:tcW w:w="5254" w:type="dxa"/>
          </w:tcPr>
          <w:p w14:paraId="1A667B15" w14:textId="75FDA94D" w:rsidR="00F564C1" w:rsidRPr="00F564C1" w:rsidRDefault="00F564C1" w:rsidP="00F564C1">
            <w:r w:rsidRPr="00F564C1">
              <w:t xml:space="preserve">Neurological deterioration - resolved on withdrawal of </w:t>
            </w:r>
            <w:proofErr w:type="spellStart"/>
            <w:r w:rsidRPr="00F564C1">
              <w:t>trientine</w:t>
            </w:r>
            <w:proofErr w:type="spellEnd"/>
          </w:p>
        </w:tc>
      </w:tr>
      <w:tr w:rsidR="00F564C1" w:rsidRPr="00F564C1" w14:paraId="3924EDA4" w14:textId="77777777" w:rsidTr="00F564C1">
        <w:tc>
          <w:tcPr>
            <w:tcW w:w="3230" w:type="dxa"/>
          </w:tcPr>
          <w:p w14:paraId="73457A5B" w14:textId="2CFF2DE8" w:rsidR="00F564C1" w:rsidRPr="00F564C1" w:rsidRDefault="00F564C1" w:rsidP="00F564C1">
            <w:r>
              <w:t>Harada et al.</w:t>
            </w:r>
            <w:r w:rsidRPr="00F564C1">
              <w:t xml:space="preserve"> </w:t>
            </w:r>
            <w:r>
              <w:t>(</w:t>
            </w:r>
            <w:r w:rsidRPr="00F564C1">
              <w:t>2011</w:t>
            </w:r>
            <w:r>
              <w:t>)</w:t>
            </w:r>
          </w:p>
        </w:tc>
        <w:tc>
          <w:tcPr>
            <w:tcW w:w="5254" w:type="dxa"/>
          </w:tcPr>
          <w:p w14:paraId="4B73EBAB" w14:textId="169C77CA" w:rsidR="00F564C1" w:rsidRPr="00F564C1" w:rsidRDefault="00F564C1" w:rsidP="00F564C1">
            <w:r w:rsidRPr="00F564C1">
              <w:t>Anaemia and liver dysfunction</w:t>
            </w:r>
          </w:p>
        </w:tc>
      </w:tr>
      <w:tr w:rsidR="00F564C1" w:rsidRPr="00F564C1" w14:paraId="266E205F" w14:textId="77777777" w:rsidTr="00F564C1">
        <w:tc>
          <w:tcPr>
            <w:tcW w:w="3230" w:type="dxa"/>
          </w:tcPr>
          <w:p w14:paraId="58BD8358" w14:textId="1D852471" w:rsidR="00F564C1" w:rsidRPr="00F564C1" w:rsidRDefault="00F564C1" w:rsidP="00F564C1">
            <w:r>
              <w:t>Perry et al.</w:t>
            </w:r>
            <w:r w:rsidRPr="00F564C1">
              <w:t xml:space="preserve"> </w:t>
            </w:r>
            <w:r>
              <w:t>(</w:t>
            </w:r>
            <w:r w:rsidRPr="00F564C1">
              <w:t>1996</w:t>
            </w:r>
            <w:r>
              <w:t>)</w:t>
            </w:r>
          </w:p>
        </w:tc>
        <w:tc>
          <w:tcPr>
            <w:tcW w:w="5254" w:type="dxa"/>
          </w:tcPr>
          <w:p w14:paraId="7964ADD8" w14:textId="6A5C58ED" w:rsidR="00F564C1" w:rsidRPr="00F564C1" w:rsidRDefault="00F564C1" w:rsidP="00F564C1">
            <w:r w:rsidRPr="00F564C1">
              <w:t>Secondary acquired sideroblastic anaemia</w:t>
            </w:r>
          </w:p>
        </w:tc>
      </w:tr>
    </w:tbl>
    <w:p w14:paraId="504D6CF5" w14:textId="279803D5" w:rsidR="006240FB" w:rsidRDefault="00F15FDF" w:rsidP="00325803">
      <w:pPr>
        <w:rPr>
          <w:lang w:eastAsia="ja-JP"/>
        </w:rPr>
      </w:pPr>
      <w:r>
        <w:rPr>
          <w:lang w:eastAsia="ja-JP"/>
        </w:rPr>
        <w:t xml:space="preserve">The submission included published literature reporting use of </w:t>
      </w:r>
      <w:proofErr w:type="spellStart"/>
      <w:r>
        <w:rPr>
          <w:lang w:eastAsia="ja-JP"/>
        </w:rPr>
        <w:t>trientine</w:t>
      </w:r>
      <w:proofErr w:type="spellEnd"/>
      <w:r>
        <w:rPr>
          <w:lang w:eastAsia="ja-JP"/>
        </w:rPr>
        <w:t xml:space="preserve"> in pregnancy.</w:t>
      </w:r>
      <w:r w:rsidR="00544119">
        <w:rPr>
          <w:lang w:eastAsia="ja-JP"/>
        </w:rPr>
        <w:t xml:space="preserve"> </w:t>
      </w:r>
      <w:r w:rsidRPr="00325803">
        <w:t>Pfeiffenberger et al</w:t>
      </w:r>
      <w:r w:rsidR="00325803">
        <w:t>.</w:t>
      </w:r>
      <w:r w:rsidRPr="00325803">
        <w:t xml:space="preserve"> </w:t>
      </w:r>
      <w:r w:rsidR="00325803">
        <w:t>(</w:t>
      </w:r>
      <w:r w:rsidRPr="00325803">
        <w:t>2018</w:t>
      </w:r>
      <w:r w:rsidR="00325803">
        <w:t>)</w:t>
      </w:r>
      <w:r w:rsidR="00325803">
        <w:rPr>
          <w:rStyle w:val="FootnoteReference"/>
        </w:rPr>
        <w:footnoteReference w:id="26"/>
      </w:r>
      <w:r w:rsidRPr="00325803">
        <w:t xml:space="preserve"> reviewed</w:t>
      </w:r>
      <w:r>
        <w:rPr>
          <w:lang w:eastAsia="ja-JP"/>
        </w:rPr>
        <w:t xml:space="preserve"> outcomes of 282 pregnancies in 136 women with </w:t>
      </w:r>
      <w:r w:rsidR="00FB5136">
        <w:rPr>
          <w:lang w:eastAsia="ja-JP"/>
        </w:rPr>
        <w:t>Wilson’s disease</w:t>
      </w:r>
      <w:r>
        <w:rPr>
          <w:lang w:eastAsia="ja-JP"/>
        </w:rPr>
        <w:t xml:space="preserve"> treated at three tertiary hospitals between 1965 and 2015.</w:t>
      </w:r>
      <w:r w:rsidR="00544119">
        <w:rPr>
          <w:lang w:eastAsia="ja-JP"/>
        </w:rPr>
        <w:t xml:space="preserve"> </w:t>
      </w:r>
      <w:r>
        <w:t>The overall spontaneous abortion rate in the study cohort was 73 of 282 (26%).</w:t>
      </w:r>
      <w:r w:rsidR="00544119">
        <w:t xml:space="preserve"> </w:t>
      </w:r>
      <w:r>
        <w:t xml:space="preserve">Patients with an established diagnosis of </w:t>
      </w:r>
      <w:r w:rsidR="00FB5136">
        <w:t>Wilson’s disease</w:t>
      </w:r>
      <w:r>
        <w:t xml:space="preserve"> receiving medical treatment experienced significantly fewer spontaneous abortions than patients with undiagnosed </w:t>
      </w:r>
      <w:r w:rsidR="00FB5136">
        <w:t>Wilson’s disease</w:t>
      </w:r>
      <w:r>
        <w:t xml:space="preserve"> (odds ratio, 2.853; 95% </w:t>
      </w:r>
      <w:r w:rsidR="006240FB">
        <w:t>confidence intervals (</w:t>
      </w:r>
      <w:r>
        <w:t>CI</w:t>
      </w:r>
      <w:r w:rsidR="006240FB">
        <w:t xml:space="preserve">) 1.634 to </w:t>
      </w:r>
      <w:r>
        <w:t>4.982).</w:t>
      </w:r>
      <w:r w:rsidR="00544119">
        <w:t xml:space="preserve"> </w:t>
      </w:r>
      <w:r>
        <w:t xml:space="preserve">Birth defects occurred in 7 of 209 (3%) live births (4 were treated with </w:t>
      </w:r>
      <w:r>
        <w:rPr>
          <w:rFonts w:asciiTheme="minorHAnsi" w:hAnsiTheme="minorHAnsi"/>
        </w:rPr>
        <w:t>penicillamine</w:t>
      </w:r>
      <w:r w:rsidR="00F564C1">
        <w:t>, one</w:t>
      </w:r>
      <w:r>
        <w:t xml:space="preserve"> with </w:t>
      </w:r>
      <w:proofErr w:type="spellStart"/>
      <w:r>
        <w:t>trientine</w:t>
      </w:r>
      <w:proofErr w:type="spellEnd"/>
      <w:r>
        <w:t>, 2 were not on treatment).</w:t>
      </w:r>
      <w:r w:rsidR="00544119">
        <w:t xml:space="preserve"> </w:t>
      </w:r>
      <w:r>
        <w:rPr>
          <w:lang w:eastAsia="ja-JP"/>
        </w:rPr>
        <w:t xml:space="preserve">The spontaneous abortion rate was lower in women treated with </w:t>
      </w:r>
      <w:proofErr w:type="spellStart"/>
      <w:r>
        <w:rPr>
          <w:lang w:eastAsia="ja-JP"/>
        </w:rPr>
        <w:t>trientine</w:t>
      </w:r>
      <w:proofErr w:type="spellEnd"/>
      <w:r>
        <w:rPr>
          <w:lang w:eastAsia="ja-JP"/>
        </w:rPr>
        <w:t xml:space="preserve"> (10 of 36, 28%) than in women with undiagnosed </w:t>
      </w:r>
      <w:r w:rsidR="00FB5136">
        <w:rPr>
          <w:lang w:eastAsia="ja-JP"/>
        </w:rPr>
        <w:t>Wilson’s disease</w:t>
      </w:r>
      <w:r>
        <w:rPr>
          <w:lang w:eastAsia="ja-JP"/>
        </w:rPr>
        <w:t xml:space="preserve"> (35 of 86, 41%).</w:t>
      </w:r>
    </w:p>
    <w:p w14:paraId="3CB680A5" w14:textId="3D10A3F3" w:rsidR="00F15FDF" w:rsidRPr="00F15FDF" w:rsidRDefault="00F15FDF" w:rsidP="00325803">
      <w:pPr>
        <w:rPr>
          <w:lang w:eastAsia="ja-JP"/>
        </w:rPr>
      </w:pPr>
      <w:proofErr w:type="spellStart"/>
      <w:r w:rsidRPr="006240FB">
        <w:lastRenderedPageBreak/>
        <w:t>Dathe</w:t>
      </w:r>
      <w:proofErr w:type="spellEnd"/>
      <w:r w:rsidRPr="006240FB">
        <w:t xml:space="preserve"> et al</w:t>
      </w:r>
      <w:r w:rsidR="006240FB" w:rsidRPr="006240FB">
        <w:t>.</w:t>
      </w:r>
      <w:r w:rsidRPr="006240FB">
        <w:t xml:space="preserve"> </w:t>
      </w:r>
      <w:r w:rsidR="006240FB" w:rsidRPr="006240FB">
        <w:t>(</w:t>
      </w:r>
      <w:r w:rsidRPr="006240FB">
        <w:t>2016</w:t>
      </w:r>
      <w:r w:rsidR="006240FB" w:rsidRPr="006240FB">
        <w:t>)</w:t>
      </w:r>
      <w:r w:rsidR="006240FB">
        <w:rPr>
          <w:rStyle w:val="FootnoteReference"/>
        </w:rPr>
        <w:footnoteReference w:id="27"/>
      </w:r>
      <w:r>
        <w:rPr>
          <w:lang w:eastAsia="ja-JP"/>
        </w:rPr>
        <w:t xml:space="preserve"> reported pregnancy outcomes for 3 women treated with </w:t>
      </w:r>
      <w:proofErr w:type="spellStart"/>
      <w:r>
        <w:rPr>
          <w:lang w:eastAsia="ja-JP"/>
        </w:rPr>
        <w:t>trientine</w:t>
      </w:r>
      <w:proofErr w:type="spellEnd"/>
      <w:r>
        <w:rPr>
          <w:lang w:eastAsia="ja-JP"/>
        </w:rPr>
        <w:t xml:space="preserve"> throughout pregnancy.</w:t>
      </w:r>
      <w:r w:rsidR="00544119">
        <w:rPr>
          <w:lang w:eastAsia="ja-JP"/>
        </w:rPr>
        <w:t xml:space="preserve"> </w:t>
      </w:r>
      <w:r>
        <w:rPr>
          <w:lang w:eastAsia="ja-JP"/>
        </w:rPr>
        <w:t>One infant had transient bradycardia on day</w:t>
      </w:r>
      <w:r w:rsidR="006240FB">
        <w:rPr>
          <w:lang w:eastAsia="ja-JP"/>
        </w:rPr>
        <w:t>s</w:t>
      </w:r>
      <w:r>
        <w:rPr>
          <w:lang w:eastAsia="ja-JP"/>
        </w:rPr>
        <w:t xml:space="preserve"> 2 and 3 and elevated blood copper levels.</w:t>
      </w:r>
      <w:r w:rsidR="00544119">
        <w:rPr>
          <w:lang w:eastAsia="ja-JP"/>
        </w:rPr>
        <w:t xml:space="preserve"> </w:t>
      </w:r>
      <w:r w:rsidRPr="006240FB">
        <w:t xml:space="preserve">Walshe </w:t>
      </w:r>
      <w:r w:rsidR="006240FB">
        <w:t xml:space="preserve">et al. </w:t>
      </w:r>
      <w:r w:rsidR="006240FB" w:rsidRPr="006240FB">
        <w:t>(</w:t>
      </w:r>
      <w:r w:rsidRPr="006240FB">
        <w:t>1982</w:t>
      </w:r>
      <w:r w:rsidR="006240FB" w:rsidRPr="006240FB">
        <w:t>)</w:t>
      </w:r>
      <w:r w:rsidR="006240FB" w:rsidRPr="006240FB">
        <w:rPr>
          <w:vertAlign w:val="superscript"/>
        </w:rPr>
        <w:fldChar w:fldCharType="begin"/>
      </w:r>
      <w:r w:rsidR="006240FB" w:rsidRPr="006240FB">
        <w:rPr>
          <w:vertAlign w:val="superscript"/>
        </w:rPr>
        <w:instrText xml:space="preserve"> NOTEREF _Ref83586437 \h </w:instrText>
      </w:r>
      <w:r w:rsidR="006240FB">
        <w:rPr>
          <w:vertAlign w:val="superscript"/>
        </w:rPr>
        <w:instrText xml:space="preserve"> \* MERGEFORMAT </w:instrText>
      </w:r>
      <w:r w:rsidR="006240FB" w:rsidRPr="006240FB">
        <w:rPr>
          <w:vertAlign w:val="superscript"/>
        </w:rPr>
      </w:r>
      <w:r w:rsidR="006240FB" w:rsidRPr="006240FB">
        <w:rPr>
          <w:vertAlign w:val="superscript"/>
        </w:rPr>
        <w:fldChar w:fldCharType="separate"/>
      </w:r>
      <w:r w:rsidR="005906D0">
        <w:rPr>
          <w:vertAlign w:val="superscript"/>
        </w:rPr>
        <w:t>14</w:t>
      </w:r>
      <w:r w:rsidR="006240FB" w:rsidRPr="006240FB">
        <w:rPr>
          <w:vertAlign w:val="superscript"/>
        </w:rPr>
        <w:fldChar w:fldCharType="end"/>
      </w:r>
      <w:r>
        <w:rPr>
          <w:lang w:eastAsia="ja-JP"/>
        </w:rPr>
        <w:t xml:space="preserve"> reported no </w:t>
      </w:r>
      <w:r w:rsidR="006240FB">
        <w:rPr>
          <w:lang w:eastAsia="ja-JP"/>
        </w:rPr>
        <w:t>evidence of teratogenicity in 6 </w:t>
      </w:r>
      <w:r>
        <w:rPr>
          <w:lang w:eastAsia="ja-JP"/>
        </w:rPr>
        <w:t xml:space="preserve">infants of mothers who became pregnant while taking </w:t>
      </w:r>
      <w:proofErr w:type="spellStart"/>
      <w:r>
        <w:rPr>
          <w:lang w:eastAsia="ja-JP"/>
        </w:rPr>
        <w:t>trientine</w:t>
      </w:r>
      <w:proofErr w:type="spellEnd"/>
      <w:r>
        <w:rPr>
          <w:lang w:eastAsia="ja-JP"/>
        </w:rPr>
        <w:t>.</w:t>
      </w:r>
      <w:r w:rsidR="00544119">
        <w:rPr>
          <w:lang w:eastAsia="ja-JP"/>
        </w:rPr>
        <w:t xml:space="preserve"> </w:t>
      </w:r>
      <w:r w:rsidRPr="006240FB">
        <w:t xml:space="preserve">Walshe </w:t>
      </w:r>
      <w:r w:rsidR="006240FB">
        <w:t>(</w:t>
      </w:r>
      <w:r w:rsidRPr="006240FB">
        <w:t>1986</w:t>
      </w:r>
      <w:r w:rsidR="006240FB">
        <w:t>)</w:t>
      </w:r>
      <w:r w:rsidR="006240FB">
        <w:rPr>
          <w:rStyle w:val="FootnoteReference"/>
        </w:rPr>
        <w:footnoteReference w:id="28"/>
      </w:r>
      <w:r>
        <w:rPr>
          <w:lang w:eastAsia="ja-JP"/>
        </w:rPr>
        <w:t xml:space="preserve"> reported outcomes for 11 pregnancies in 8 women with </w:t>
      </w:r>
      <w:r w:rsidR="00FB5136">
        <w:rPr>
          <w:lang w:eastAsia="ja-JP"/>
        </w:rPr>
        <w:t>Wilson’s disease</w:t>
      </w:r>
      <w:r>
        <w:rPr>
          <w:lang w:eastAsia="ja-JP"/>
        </w:rPr>
        <w:t xml:space="preserve"> treated with </w:t>
      </w:r>
      <w:proofErr w:type="spellStart"/>
      <w:r>
        <w:rPr>
          <w:lang w:eastAsia="ja-JP"/>
        </w:rPr>
        <w:t>trientine</w:t>
      </w:r>
      <w:proofErr w:type="spellEnd"/>
      <w:r>
        <w:rPr>
          <w:lang w:eastAsia="ja-JP"/>
        </w:rPr>
        <w:t>.</w:t>
      </w:r>
      <w:r w:rsidR="00544119">
        <w:rPr>
          <w:lang w:eastAsia="ja-JP"/>
        </w:rPr>
        <w:t xml:space="preserve"> </w:t>
      </w:r>
      <w:r>
        <w:t>Eight pregnancies resulted in the delivery of normal infants.</w:t>
      </w:r>
      <w:r w:rsidR="00544119">
        <w:t xml:space="preserve"> </w:t>
      </w:r>
      <w:r>
        <w:t>One infant was born premature (31 weeks) and was later shown to have a chromosomal defect, isochromosome X.</w:t>
      </w:r>
      <w:r w:rsidR="00544119">
        <w:t xml:space="preserve"> </w:t>
      </w:r>
      <w:r>
        <w:t>There was one therapeutic termination and one miscarriage associated with a contraceptive coil.</w:t>
      </w:r>
    </w:p>
    <w:p w14:paraId="3D829C09" w14:textId="77777777" w:rsidR="008E7846" w:rsidRDefault="00386150" w:rsidP="007B6132">
      <w:pPr>
        <w:pStyle w:val="Heading3"/>
        <w:rPr>
          <w:lang w:eastAsia="en-AU"/>
        </w:rPr>
      </w:pPr>
      <w:bookmarkStart w:id="69" w:name="_Toc314842514"/>
      <w:bookmarkStart w:id="70" w:name="_Toc88670219"/>
      <w:r>
        <w:rPr>
          <w:lang w:eastAsia="en-AU"/>
        </w:rPr>
        <w:t>Risk m</w:t>
      </w:r>
      <w:r w:rsidR="008E7846">
        <w:rPr>
          <w:lang w:eastAsia="en-AU"/>
        </w:rPr>
        <w:t xml:space="preserve">anagement </w:t>
      </w:r>
      <w:r>
        <w:rPr>
          <w:lang w:eastAsia="en-AU"/>
        </w:rPr>
        <w:t>p</w:t>
      </w:r>
      <w:r w:rsidR="008E7846">
        <w:rPr>
          <w:lang w:eastAsia="en-AU"/>
        </w:rPr>
        <w:t>lan</w:t>
      </w:r>
      <w:bookmarkEnd w:id="69"/>
      <w:bookmarkEnd w:id="70"/>
    </w:p>
    <w:p w14:paraId="64E2BD4F" w14:textId="36F69A06" w:rsidR="00790E2C" w:rsidRDefault="009A40D3" w:rsidP="00790E2C">
      <w:r>
        <w:t xml:space="preserve">The sponsor </w:t>
      </w:r>
      <w:r w:rsidR="00790E2C">
        <w:t>has submitted Australian risk management plan (RMP) version 0.0 (dated 20</w:t>
      </w:r>
      <w:r w:rsidR="00941BCE">
        <w:t> </w:t>
      </w:r>
      <w:r w:rsidR="00790E2C">
        <w:t>January 2020; data lock point (DLP) 30 November 2019) in support of this application. In the sponsor’s response to the clinical evaluators report, an updated Australian-RMP, version 0.1 (dated 25 June 2020; DLP 31 March 2020) was submitted. In the sponsor’s response to the first round RMP evaluation report, a further updated Australian RMP, version 0.2 (dated 21 October 2020; DLP 31 March 2020) was submitted. At the third round, the sponsor submitted Australian RMP version 0.4 (dated 22 December 2020; DLP 31 March 2020).</w:t>
      </w:r>
    </w:p>
    <w:p w14:paraId="69855E2E" w14:textId="1DFE5F57" w:rsidR="00790E2C" w:rsidRDefault="00790E2C" w:rsidP="00790E2C">
      <w:r>
        <w:t xml:space="preserve">In the sponsor’s response to TGA evaluations, the draft PI was updated to change the reference from </w:t>
      </w:r>
      <w:proofErr w:type="spellStart"/>
      <w:r>
        <w:t>trientine</w:t>
      </w:r>
      <w:proofErr w:type="spellEnd"/>
      <w:r>
        <w:t xml:space="preserve"> </w:t>
      </w:r>
      <w:r w:rsidRPr="00790E2C">
        <w:rPr>
          <w:i/>
        </w:rPr>
        <w:t>hydrochloride</w:t>
      </w:r>
      <w:r>
        <w:t xml:space="preserve"> to the </w:t>
      </w:r>
      <w:r w:rsidRPr="00790E2C">
        <w:rPr>
          <w:i/>
        </w:rPr>
        <w:t>dihydrochloride</w:t>
      </w:r>
      <w:r>
        <w:t xml:space="preserve"> salt in line with the Au</w:t>
      </w:r>
      <w:r w:rsidR="002F47C7">
        <w:t>stralian Approved Name</w:t>
      </w:r>
      <w:r w:rsidR="009A40D3">
        <w:t xml:space="preserve"> (AAN</w:t>
      </w:r>
      <w:r>
        <w:t>).</w:t>
      </w:r>
      <w:r w:rsidR="002F47C7">
        <w:rPr>
          <w:rStyle w:val="FootnoteReference"/>
        </w:rPr>
        <w:footnoteReference w:id="29"/>
      </w:r>
      <w:r w:rsidR="002F47C7">
        <w:t xml:space="preserve"> The Australian </w:t>
      </w:r>
      <w:r>
        <w:t xml:space="preserve">RMP was also updated with the name </w:t>
      </w:r>
      <w:proofErr w:type="spellStart"/>
      <w:r>
        <w:t>trientine</w:t>
      </w:r>
      <w:proofErr w:type="spellEnd"/>
      <w:r>
        <w:t xml:space="preserve"> dihydrochloride in Aus</w:t>
      </w:r>
      <w:r w:rsidR="002F47C7">
        <w:t xml:space="preserve">tralian </w:t>
      </w:r>
      <w:r>
        <w:t>RMP version 0.2. This change does not impact the RMP evaluation.</w:t>
      </w:r>
    </w:p>
    <w:p w14:paraId="67569C31" w14:textId="2C03A829" w:rsidR="002632C6" w:rsidRDefault="007D53B6" w:rsidP="002632C6">
      <w:r>
        <w:t>The summary of safety concerns and their associated risk monitoring and mitigation strategies are summarised in</w:t>
      </w:r>
      <w:r w:rsidR="0051685A">
        <w:t xml:space="preserve"> </w:t>
      </w:r>
      <w:r w:rsidR="0051685A">
        <w:fldChar w:fldCharType="begin"/>
      </w:r>
      <w:r w:rsidR="0051685A">
        <w:instrText xml:space="preserve"> REF _Ref84603329 \h </w:instrText>
      </w:r>
      <w:r w:rsidR="0051685A">
        <w:fldChar w:fldCharType="separate"/>
      </w:r>
      <w:r w:rsidR="005906D0">
        <w:t xml:space="preserve">Table </w:t>
      </w:r>
      <w:r w:rsidR="005906D0">
        <w:rPr>
          <w:noProof/>
        </w:rPr>
        <w:t>13</w:t>
      </w:r>
      <w:r w:rsidR="0051685A">
        <w:fldChar w:fldCharType="end"/>
      </w:r>
      <w:r>
        <w:t xml:space="preserve"> </w:t>
      </w:r>
      <w:r w:rsidR="00344550">
        <w:t>shown below</w:t>
      </w:r>
      <w:r>
        <w:t>.</w:t>
      </w:r>
      <w:r>
        <w:rPr>
          <w:rStyle w:val="FootnoteReference"/>
        </w:rPr>
        <w:footnoteReference w:id="30"/>
      </w:r>
    </w:p>
    <w:p w14:paraId="48284A80" w14:textId="51BE338E" w:rsidR="002F47C7" w:rsidRDefault="002F47C7" w:rsidP="002F47C7">
      <w:pPr>
        <w:pStyle w:val="TableTitle"/>
      </w:pPr>
      <w:bookmarkStart w:id="71" w:name="_Ref84603329"/>
      <w:bookmarkStart w:id="72" w:name="_Ref83615960"/>
      <w:r>
        <w:t xml:space="preserve">Table </w:t>
      </w:r>
      <w:fldSimple w:instr=" SEQ Table \* ARABIC ">
        <w:r w:rsidR="005906D0">
          <w:rPr>
            <w:noProof/>
          </w:rPr>
          <w:t>13</w:t>
        </w:r>
      </w:fldSimple>
      <w:bookmarkEnd w:id="71"/>
      <w:r>
        <w:t>: Summary of safety concerns</w:t>
      </w:r>
      <w:bookmarkEnd w:id="72"/>
    </w:p>
    <w:tbl>
      <w:tblPr>
        <w:tblStyle w:val="TableTGAblue"/>
        <w:tblW w:w="8540" w:type="dxa"/>
        <w:tblLayout w:type="fixed"/>
        <w:tblLook w:val="04A0" w:firstRow="1" w:lastRow="0" w:firstColumn="1" w:lastColumn="0" w:noHBand="0" w:noVBand="1"/>
      </w:tblPr>
      <w:tblGrid>
        <w:gridCol w:w="1833"/>
        <w:gridCol w:w="2517"/>
        <w:gridCol w:w="968"/>
        <w:gridCol w:w="1105"/>
        <w:gridCol w:w="968"/>
        <w:gridCol w:w="1149"/>
      </w:tblGrid>
      <w:tr w:rsidR="002632C6" w:rsidRPr="002632C6" w14:paraId="3BCC969B" w14:textId="77777777" w:rsidTr="0051685A">
        <w:trPr>
          <w:cnfStyle w:val="100000000000" w:firstRow="1" w:lastRow="0" w:firstColumn="0" w:lastColumn="0" w:oddVBand="0" w:evenVBand="0" w:oddHBand="0" w:evenHBand="0" w:firstRowFirstColumn="0" w:firstRowLastColumn="0" w:lastRowFirstColumn="0" w:lastRowLastColumn="0"/>
          <w:trHeight w:val="131"/>
        </w:trPr>
        <w:tc>
          <w:tcPr>
            <w:tcW w:w="4350" w:type="dxa"/>
            <w:gridSpan w:val="2"/>
            <w:vMerge w:val="restart"/>
            <w:tcBorders>
              <w:right w:val="single" w:sz="4" w:space="0" w:color="auto"/>
            </w:tcBorders>
          </w:tcPr>
          <w:p w14:paraId="21FB24D9" w14:textId="77777777" w:rsidR="002632C6" w:rsidRPr="002F47C7" w:rsidRDefault="002632C6" w:rsidP="008A5799">
            <w:pPr>
              <w:spacing w:line="252" w:lineRule="auto"/>
              <w:ind w:left="0" w:right="0"/>
              <w:rPr>
                <w:rFonts w:eastAsia="Times New Roman"/>
                <w:snapToGrid w:val="0"/>
                <w:sz w:val="20"/>
                <w:szCs w:val="24"/>
              </w:rPr>
            </w:pPr>
            <w:r w:rsidRPr="002F47C7">
              <w:rPr>
                <w:rFonts w:eastAsia="Times New Roman"/>
                <w:snapToGrid w:val="0"/>
                <w:sz w:val="20"/>
                <w:szCs w:val="24"/>
              </w:rPr>
              <w:t>Summary of safety concerns</w:t>
            </w:r>
          </w:p>
        </w:tc>
        <w:tc>
          <w:tcPr>
            <w:tcW w:w="2073" w:type="dxa"/>
            <w:gridSpan w:val="2"/>
            <w:tcBorders>
              <w:left w:val="single" w:sz="4" w:space="0" w:color="auto"/>
              <w:bottom w:val="single" w:sz="4" w:space="0" w:color="auto"/>
              <w:right w:val="single" w:sz="4" w:space="0" w:color="auto"/>
            </w:tcBorders>
          </w:tcPr>
          <w:p w14:paraId="3AC169FB" w14:textId="77777777" w:rsidR="002632C6" w:rsidRPr="002F47C7" w:rsidRDefault="002632C6" w:rsidP="008A5799">
            <w:pPr>
              <w:spacing w:line="252" w:lineRule="auto"/>
              <w:ind w:left="0" w:right="0"/>
              <w:rPr>
                <w:rFonts w:eastAsia="Times New Roman"/>
                <w:snapToGrid w:val="0"/>
                <w:sz w:val="18"/>
                <w:szCs w:val="24"/>
              </w:rPr>
            </w:pPr>
            <w:r w:rsidRPr="002F47C7">
              <w:rPr>
                <w:rFonts w:eastAsia="Times New Roman"/>
                <w:snapToGrid w:val="0"/>
                <w:sz w:val="18"/>
                <w:szCs w:val="24"/>
              </w:rPr>
              <w:t>Pharmacovigilance</w:t>
            </w:r>
          </w:p>
        </w:tc>
        <w:tc>
          <w:tcPr>
            <w:tcW w:w="2117" w:type="dxa"/>
            <w:gridSpan w:val="2"/>
            <w:tcBorders>
              <w:left w:val="single" w:sz="4" w:space="0" w:color="auto"/>
              <w:bottom w:val="single" w:sz="4" w:space="0" w:color="auto"/>
            </w:tcBorders>
          </w:tcPr>
          <w:p w14:paraId="290B9129" w14:textId="77777777" w:rsidR="002632C6" w:rsidRPr="002F47C7" w:rsidRDefault="002632C6" w:rsidP="008A5799">
            <w:pPr>
              <w:spacing w:line="252" w:lineRule="auto"/>
              <w:ind w:left="0" w:right="0"/>
              <w:rPr>
                <w:rFonts w:eastAsia="Times New Roman"/>
                <w:snapToGrid w:val="0"/>
                <w:sz w:val="18"/>
                <w:szCs w:val="24"/>
              </w:rPr>
            </w:pPr>
            <w:r w:rsidRPr="002F47C7">
              <w:rPr>
                <w:rFonts w:eastAsia="Times New Roman"/>
                <w:snapToGrid w:val="0"/>
                <w:sz w:val="18"/>
                <w:szCs w:val="24"/>
              </w:rPr>
              <w:t>Risk Minimisation</w:t>
            </w:r>
          </w:p>
        </w:tc>
      </w:tr>
      <w:tr w:rsidR="002632C6" w:rsidRPr="002632C6" w14:paraId="4228E20C" w14:textId="77777777" w:rsidTr="0051685A">
        <w:trPr>
          <w:trHeight w:val="150"/>
        </w:trPr>
        <w:tc>
          <w:tcPr>
            <w:tcW w:w="4350" w:type="dxa"/>
            <w:gridSpan w:val="2"/>
            <w:vMerge/>
            <w:tcBorders>
              <w:right w:val="single" w:sz="4" w:space="0" w:color="auto"/>
            </w:tcBorders>
          </w:tcPr>
          <w:p w14:paraId="32BA8171" w14:textId="77777777" w:rsidR="002632C6" w:rsidRPr="002632C6" w:rsidRDefault="002632C6" w:rsidP="008A5799">
            <w:pPr>
              <w:spacing w:line="252" w:lineRule="auto"/>
              <w:ind w:left="0" w:right="0"/>
              <w:rPr>
                <w:rFonts w:eastAsia="Times New Roman"/>
                <w:b/>
                <w:snapToGrid w:val="0"/>
                <w:sz w:val="20"/>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006DA7"/>
          </w:tcPr>
          <w:p w14:paraId="38048A51" w14:textId="77777777" w:rsidR="002632C6" w:rsidRPr="0051685A" w:rsidRDefault="002632C6" w:rsidP="008A5799">
            <w:pPr>
              <w:spacing w:line="252" w:lineRule="auto"/>
              <w:ind w:left="0" w:right="0"/>
              <w:rPr>
                <w:rFonts w:eastAsia="Times New Roman"/>
                <w:b/>
                <w:bCs/>
                <w:snapToGrid w:val="0"/>
                <w:color w:val="FFFFFF" w:themeColor="background1"/>
                <w:sz w:val="18"/>
                <w:szCs w:val="24"/>
              </w:rPr>
            </w:pPr>
            <w:r w:rsidRPr="0051685A">
              <w:rPr>
                <w:rFonts w:eastAsia="Times New Roman"/>
                <w:b/>
                <w:bCs/>
                <w:snapToGrid w:val="0"/>
                <w:color w:val="FFFFFF" w:themeColor="background1"/>
                <w:sz w:val="18"/>
                <w:szCs w:val="24"/>
              </w:rPr>
              <w:t>Routine</w:t>
            </w:r>
          </w:p>
        </w:tc>
        <w:tc>
          <w:tcPr>
            <w:tcW w:w="1105" w:type="dxa"/>
            <w:tcBorders>
              <w:top w:val="single" w:sz="4" w:space="0" w:color="auto"/>
              <w:left w:val="single" w:sz="4" w:space="0" w:color="auto"/>
              <w:bottom w:val="single" w:sz="4" w:space="0" w:color="auto"/>
              <w:right w:val="single" w:sz="4" w:space="0" w:color="auto"/>
            </w:tcBorders>
            <w:shd w:val="clear" w:color="auto" w:fill="006DA7"/>
          </w:tcPr>
          <w:p w14:paraId="213B1D18" w14:textId="77777777" w:rsidR="002632C6" w:rsidRPr="0051685A" w:rsidRDefault="002632C6" w:rsidP="008A5799">
            <w:pPr>
              <w:spacing w:line="252" w:lineRule="auto"/>
              <w:ind w:left="0" w:right="0"/>
              <w:rPr>
                <w:rFonts w:eastAsia="Times New Roman"/>
                <w:b/>
                <w:bCs/>
                <w:snapToGrid w:val="0"/>
                <w:color w:val="FFFFFF" w:themeColor="background1"/>
                <w:sz w:val="18"/>
                <w:szCs w:val="24"/>
              </w:rPr>
            </w:pPr>
            <w:r w:rsidRPr="0051685A">
              <w:rPr>
                <w:rFonts w:eastAsia="Times New Roman"/>
                <w:b/>
                <w:bCs/>
                <w:snapToGrid w:val="0"/>
                <w:color w:val="FFFFFF" w:themeColor="background1"/>
                <w:sz w:val="18"/>
                <w:szCs w:val="24"/>
              </w:rPr>
              <w:t>Additional</w:t>
            </w:r>
          </w:p>
        </w:tc>
        <w:tc>
          <w:tcPr>
            <w:tcW w:w="968" w:type="dxa"/>
            <w:tcBorders>
              <w:top w:val="single" w:sz="4" w:space="0" w:color="auto"/>
              <w:left w:val="single" w:sz="4" w:space="0" w:color="auto"/>
              <w:bottom w:val="single" w:sz="4" w:space="0" w:color="auto"/>
              <w:right w:val="single" w:sz="4" w:space="0" w:color="auto"/>
            </w:tcBorders>
            <w:shd w:val="clear" w:color="auto" w:fill="006DA7"/>
          </w:tcPr>
          <w:p w14:paraId="73D7E91F" w14:textId="77777777" w:rsidR="002632C6" w:rsidRPr="0051685A" w:rsidRDefault="002632C6" w:rsidP="008A5799">
            <w:pPr>
              <w:spacing w:line="252" w:lineRule="auto"/>
              <w:ind w:left="0" w:right="0"/>
              <w:rPr>
                <w:rFonts w:eastAsia="Times New Roman"/>
                <w:b/>
                <w:bCs/>
                <w:snapToGrid w:val="0"/>
                <w:color w:val="FFFFFF" w:themeColor="background1"/>
                <w:sz w:val="18"/>
                <w:szCs w:val="24"/>
              </w:rPr>
            </w:pPr>
            <w:r w:rsidRPr="0051685A">
              <w:rPr>
                <w:rFonts w:eastAsia="Times New Roman"/>
                <w:b/>
                <w:bCs/>
                <w:snapToGrid w:val="0"/>
                <w:color w:val="FFFFFF" w:themeColor="background1"/>
                <w:sz w:val="18"/>
                <w:szCs w:val="24"/>
              </w:rPr>
              <w:t>Routine</w:t>
            </w:r>
          </w:p>
        </w:tc>
        <w:tc>
          <w:tcPr>
            <w:tcW w:w="1149" w:type="dxa"/>
            <w:tcBorders>
              <w:top w:val="single" w:sz="4" w:space="0" w:color="auto"/>
              <w:left w:val="single" w:sz="4" w:space="0" w:color="auto"/>
              <w:bottom w:val="single" w:sz="4" w:space="0" w:color="auto"/>
              <w:right w:val="single" w:sz="4" w:space="0" w:color="auto"/>
            </w:tcBorders>
            <w:shd w:val="clear" w:color="auto" w:fill="006DA7"/>
          </w:tcPr>
          <w:p w14:paraId="3D174E70" w14:textId="77777777" w:rsidR="002632C6" w:rsidRPr="0051685A" w:rsidRDefault="002632C6" w:rsidP="008A5799">
            <w:pPr>
              <w:spacing w:line="252" w:lineRule="auto"/>
              <w:ind w:left="0" w:right="0"/>
              <w:rPr>
                <w:rFonts w:eastAsia="Times New Roman"/>
                <w:b/>
                <w:bCs/>
                <w:snapToGrid w:val="0"/>
                <w:color w:val="FFFFFF" w:themeColor="background1"/>
                <w:sz w:val="18"/>
                <w:szCs w:val="24"/>
              </w:rPr>
            </w:pPr>
            <w:r w:rsidRPr="0051685A">
              <w:rPr>
                <w:rFonts w:eastAsia="Times New Roman"/>
                <w:b/>
                <w:bCs/>
                <w:snapToGrid w:val="0"/>
                <w:color w:val="FFFFFF" w:themeColor="background1"/>
                <w:sz w:val="18"/>
                <w:szCs w:val="24"/>
              </w:rPr>
              <w:t>Additional</w:t>
            </w:r>
          </w:p>
        </w:tc>
      </w:tr>
      <w:tr w:rsidR="002632C6" w:rsidRPr="002632C6" w14:paraId="4665FE71" w14:textId="77777777" w:rsidTr="0051685A">
        <w:trPr>
          <w:trHeight w:val="137"/>
        </w:trPr>
        <w:tc>
          <w:tcPr>
            <w:tcW w:w="1833" w:type="dxa"/>
          </w:tcPr>
          <w:p w14:paraId="3574CB83" w14:textId="77777777" w:rsidR="002632C6" w:rsidRPr="002632C6" w:rsidRDefault="002632C6" w:rsidP="008A5799">
            <w:pPr>
              <w:spacing w:line="252" w:lineRule="auto"/>
              <w:ind w:left="0" w:right="0"/>
              <w:rPr>
                <w:rFonts w:eastAsia="Times New Roman"/>
                <w:b/>
                <w:snapToGrid w:val="0"/>
                <w:sz w:val="20"/>
                <w:szCs w:val="24"/>
              </w:rPr>
            </w:pPr>
            <w:r w:rsidRPr="002632C6">
              <w:rPr>
                <w:rFonts w:eastAsia="Times New Roman"/>
                <w:b/>
                <w:snapToGrid w:val="0"/>
                <w:sz w:val="20"/>
                <w:szCs w:val="24"/>
              </w:rPr>
              <w:t>Important identified risks</w:t>
            </w:r>
          </w:p>
        </w:tc>
        <w:tc>
          <w:tcPr>
            <w:tcW w:w="2517" w:type="dxa"/>
          </w:tcPr>
          <w:p w14:paraId="5CB042AB" w14:textId="77777777" w:rsidR="002632C6" w:rsidRPr="002632C6" w:rsidRDefault="002632C6" w:rsidP="008A5799">
            <w:pPr>
              <w:spacing w:line="252" w:lineRule="auto"/>
              <w:ind w:left="0" w:right="0"/>
              <w:rPr>
                <w:rFonts w:eastAsia="Times New Roman"/>
                <w:snapToGrid w:val="0"/>
                <w:sz w:val="20"/>
                <w:szCs w:val="24"/>
              </w:rPr>
            </w:pPr>
            <w:r w:rsidRPr="002632C6">
              <w:rPr>
                <w:rFonts w:eastAsia="Times New Roman"/>
                <w:snapToGrid w:val="0"/>
                <w:sz w:val="20"/>
                <w:szCs w:val="24"/>
              </w:rPr>
              <w:t>Risk of neurological deterioration during early stages of treatment</w:t>
            </w:r>
          </w:p>
        </w:tc>
        <w:tc>
          <w:tcPr>
            <w:tcW w:w="968" w:type="dxa"/>
            <w:tcBorders>
              <w:top w:val="single" w:sz="4" w:space="0" w:color="auto"/>
            </w:tcBorders>
          </w:tcPr>
          <w:p w14:paraId="70FA9167" w14:textId="77777777" w:rsidR="002632C6" w:rsidRPr="008A5799" w:rsidRDefault="002632C6" w:rsidP="008A5799">
            <w:r w:rsidRPr="008A5799">
              <w:sym w:font="Wingdings" w:char="F0FC"/>
            </w:r>
          </w:p>
        </w:tc>
        <w:tc>
          <w:tcPr>
            <w:tcW w:w="1105" w:type="dxa"/>
            <w:tcBorders>
              <w:top w:val="single" w:sz="4" w:space="0" w:color="auto"/>
            </w:tcBorders>
          </w:tcPr>
          <w:p w14:paraId="57A92336" w14:textId="77777777" w:rsidR="002632C6" w:rsidRPr="008A5799" w:rsidRDefault="002632C6" w:rsidP="008A5799">
            <w:r w:rsidRPr="008A5799">
              <w:t>–</w:t>
            </w:r>
          </w:p>
        </w:tc>
        <w:tc>
          <w:tcPr>
            <w:tcW w:w="968" w:type="dxa"/>
            <w:tcBorders>
              <w:top w:val="single" w:sz="4" w:space="0" w:color="auto"/>
            </w:tcBorders>
          </w:tcPr>
          <w:p w14:paraId="0EB8C622" w14:textId="77777777" w:rsidR="002632C6" w:rsidRPr="008A5799" w:rsidRDefault="002632C6" w:rsidP="008A5799">
            <w:r w:rsidRPr="008A5799">
              <w:sym w:font="Wingdings" w:char="F0FC"/>
            </w:r>
          </w:p>
        </w:tc>
        <w:tc>
          <w:tcPr>
            <w:tcW w:w="1149" w:type="dxa"/>
            <w:tcBorders>
              <w:top w:val="single" w:sz="4" w:space="0" w:color="auto"/>
            </w:tcBorders>
          </w:tcPr>
          <w:p w14:paraId="6195AEF6" w14:textId="77777777" w:rsidR="002632C6" w:rsidRPr="008A5799" w:rsidRDefault="002632C6" w:rsidP="008A5799">
            <w:r w:rsidRPr="008A5799">
              <w:t>–</w:t>
            </w:r>
          </w:p>
        </w:tc>
      </w:tr>
      <w:tr w:rsidR="002632C6" w:rsidRPr="002632C6" w14:paraId="22ADFA7A" w14:textId="77777777" w:rsidTr="0051685A">
        <w:trPr>
          <w:trHeight w:val="156"/>
        </w:trPr>
        <w:tc>
          <w:tcPr>
            <w:tcW w:w="1833" w:type="dxa"/>
            <w:vMerge w:val="restart"/>
          </w:tcPr>
          <w:p w14:paraId="51DEFE2E" w14:textId="77777777" w:rsidR="002632C6" w:rsidRPr="002632C6" w:rsidRDefault="002632C6" w:rsidP="008A5799">
            <w:pPr>
              <w:spacing w:line="252" w:lineRule="auto"/>
              <w:ind w:left="0" w:right="0"/>
              <w:rPr>
                <w:rFonts w:eastAsia="Times New Roman"/>
                <w:b/>
                <w:snapToGrid w:val="0"/>
                <w:sz w:val="20"/>
                <w:szCs w:val="24"/>
              </w:rPr>
            </w:pPr>
            <w:r w:rsidRPr="002632C6">
              <w:rPr>
                <w:rFonts w:eastAsia="Times New Roman"/>
                <w:b/>
                <w:snapToGrid w:val="0"/>
                <w:sz w:val="20"/>
                <w:szCs w:val="24"/>
              </w:rPr>
              <w:lastRenderedPageBreak/>
              <w:t>Important potential risks</w:t>
            </w:r>
          </w:p>
        </w:tc>
        <w:tc>
          <w:tcPr>
            <w:tcW w:w="2517" w:type="dxa"/>
          </w:tcPr>
          <w:p w14:paraId="72CA0F56" w14:textId="77777777" w:rsidR="002632C6" w:rsidRPr="002632C6" w:rsidRDefault="002632C6" w:rsidP="008A5799">
            <w:pPr>
              <w:spacing w:line="252" w:lineRule="auto"/>
              <w:ind w:left="0" w:right="0"/>
              <w:rPr>
                <w:rFonts w:eastAsia="Times New Roman"/>
                <w:snapToGrid w:val="0"/>
                <w:sz w:val="20"/>
                <w:szCs w:val="24"/>
              </w:rPr>
            </w:pPr>
            <w:r w:rsidRPr="002632C6">
              <w:rPr>
                <w:rFonts w:eastAsia="Times New Roman"/>
                <w:snapToGrid w:val="0"/>
                <w:sz w:val="20"/>
                <w:szCs w:val="24"/>
              </w:rPr>
              <w:t>Gastrointestinal disturbance</w:t>
            </w:r>
          </w:p>
        </w:tc>
        <w:tc>
          <w:tcPr>
            <w:tcW w:w="968" w:type="dxa"/>
          </w:tcPr>
          <w:p w14:paraId="4CBB5445" w14:textId="77777777" w:rsidR="002632C6" w:rsidRPr="008A5799" w:rsidRDefault="002632C6" w:rsidP="008A5799">
            <w:r w:rsidRPr="008A5799">
              <w:sym w:font="Wingdings" w:char="F0FC"/>
            </w:r>
          </w:p>
        </w:tc>
        <w:tc>
          <w:tcPr>
            <w:tcW w:w="1105" w:type="dxa"/>
          </w:tcPr>
          <w:p w14:paraId="499CC8FC" w14:textId="77777777" w:rsidR="002632C6" w:rsidRPr="008A5799" w:rsidRDefault="002632C6" w:rsidP="008A5799">
            <w:r w:rsidRPr="008A5799">
              <w:t>–</w:t>
            </w:r>
          </w:p>
        </w:tc>
        <w:tc>
          <w:tcPr>
            <w:tcW w:w="968" w:type="dxa"/>
          </w:tcPr>
          <w:p w14:paraId="1ED7574C" w14:textId="77777777" w:rsidR="002632C6" w:rsidRPr="008A5799" w:rsidRDefault="002632C6" w:rsidP="008A5799">
            <w:r w:rsidRPr="008A5799">
              <w:sym w:font="Wingdings" w:char="F0FC"/>
            </w:r>
          </w:p>
        </w:tc>
        <w:tc>
          <w:tcPr>
            <w:tcW w:w="1149" w:type="dxa"/>
          </w:tcPr>
          <w:p w14:paraId="463CB9BA" w14:textId="77777777" w:rsidR="002632C6" w:rsidRPr="008A5799" w:rsidRDefault="002632C6" w:rsidP="008A5799">
            <w:r w:rsidRPr="008A5799">
              <w:t>–</w:t>
            </w:r>
          </w:p>
        </w:tc>
      </w:tr>
      <w:tr w:rsidR="002632C6" w:rsidRPr="002632C6" w14:paraId="1925C396" w14:textId="77777777" w:rsidTr="0051685A">
        <w:trPr>
          <w:trHeight w:val="156"/>
        </w:trPr>
        <w:tc>
          <w:tcPr>
            <w:tcW w:w="1833" w:type="dxa"/>
            <w:vMerge/>
          </w:tcPr>
          <w:p w14:paraId="076ECF00" w14:textId="77777777" w:rsidR="002632C6" w:rsidRPr="002632C6" w:rsidRDefault="002632C6" w:rsidP="008A5799">
            <w:pPr>
              <w:spacing w:line="252" w:lineRule="auto"/>
              <w:ind w:left="0" w:right="0"/>
              <w:rPr>
                <w:rFonts w:eastAsia="Times New Roman"/>
                <w:b/>
                <w:snapToGrid w:val="0"/>
                <w:sz w:val="20"/>
                <w:szCs w:val="24"/>
              </w:rPr>
            </w:pPr>
          </w:p>
        </w:tc>
        <w:tc>
          <w:tcPr>
            <w:tcW w:w="2517" w:type="dxa"/>
          </w:tcPr>
          <w:p w14:paraId="4107DAB6" w14:textId="77777777" w:rsidR="002632C6" w:rsidRPr="002632C6" w:rsidRDefault="002632C6" w:rsidP="008A5799">
            <w:pPr>
              <w:spacing w:line="252" w:lineRule="auto"/>
              <w:ind w:left="0" w:right="0"/>
              <w:rPr>
                <w:rFonts w:eastAsia="Times New Roman"/>
                <w:snapToGrid w:val="0"/>
                <w:sz w:val="20"/>
                <w:szCs w:val="24"/>
              </w:rPr>
            </w:pPr>
            <w:r w:rsidRPr="002632C6">
              <w:rPr>
                <w:rFonts w:eastAsia="Times New Roman"/>
                <w:snapToGrid w:val="0"/>
                <w:sz w:val="20"/>
                <w:szCs w:val="24"/>
              </w:rPr>
              <w:t>Iron-deficiency including anaemia</w:t>
            </w:r>
          </w:p>
        </w:tc>
        <w:tc>
          <w:tcPr>
            <w:tcW w:w="968" w:type="dxa"/>
          </w:tcPr>
          <w:p w14:paraId="655E5C4B" w14:textId="77777777" w:rsidR="002632C6" w:rsidRPr="008A5799" w:rsidRDefault="002632C6" w:rsidP="008A5799">
            <w:r w:rsidRPr="008A5799">
              <w:sym w:font="Wingdings" w:char="F0FC"/>
            </w:r>
          </w:p>
        </w:tc>
        <w:tc>
          <w:tcPr>
            <w:tcW w:w="1105" w:type="dxa"/>
          </w:tcPr>
          <w:p w14:paraId="7007A3D3" w14:textId="77777777" w:rsidR="002632C6" w:rsidRPr="008A5799" w:rsidRDefault="002632C6" w:rsidP="008A5799">
            <w:r w:rsidRPr="008A5799">
              <w:t>–</w:t>
            </w:r>
          </w:p>
        </w:tc>
        <w:tc>
          <w:tcPr>
            <w:tcW w:w="968" w:type="dxa"/>
          </w:tcPr>
          <w:p w14:paraId="7024DC25" w14:textId="77777777" w:rsidR="002632C6" w:rsidRPr="008A5799" w:rsidRDefault="002632C6" w:rsidP="008A5799">
            <w:r w:rsidRPr="008A5799">
              <w:sym w:font="Wingdings" w:char="F0FC"/>
            </w:r>
          </w:p>
        </w:tc>
        <w:tc>
          <w:tcPr>
            <w:tcW w:w="1149" w:type="dxa"/>
          </w:tcPr>
          <w:p w14:paraId="511E7971" w14:textId="77777777" w:rsidR="002632C6" w:rsidRPr="008A5799" w:rsidRDefault="002632C6" w:rsidP="008A5799">
            <w:r w:rsidRPr="008A5799">
              <w:t>–</w:t>
            </w:r>
          </w:p>
        </w:tc>
      </w:tr>
      <w:tr w:rsidR="002632C6" w:rsidRPr="002632C6" w14:paraId="3C8FDD28" w14:textId="77777777" w:rsidTr="0051685A">
        <w:trPr>
          <w:trHeight w:val="156"/>
        </w:trPr>
        <w:tc>
          <w:tcPr>
            <w:tcW w:w="1833" w:type="dxa"/>
            <w:vMerge/>
          </w:tcPr>
          <w:p w14:paraId="58CD1BAC" w14:textId="77777777" w:rsidR="002632C6" w:rsidRPr="002632C6" w:rsidRDefault="002632C6" w:rsidP="008A5799">
            <w:pPr>
              <w:spacing w:line="252" w:lineRule="auto"/>
              <w:ind w:left="0" w:right="0"/>
              <w:rPr>
                <w:rFonts w:eastAsia="Times New Roman"/>
                <w:b/>
                <w:snapToGrid w:val="0"/>
                <w:sz w:val="20"/>
                <w:szCs w:val="24"/>
              </w:rPr>
            </w:pPr>
          </w:p>
        </w:tc>
        <w:tc>
          <w:tcPr>
            <w:tcW w:w="2517" w:type="dxa"/>
          </w:tcPr>
          <w:p w14:paraId="4FAB6894" w14:textId="77777777" w:rsidR="002632C6" w:rsidRPr="002632C6" w:rsidRDefault="002632C6" w:rsidP="008A5799">
            <w:pPr>
              <w:spacing w:line="252" w:lineRule="auto"/>
              <w:ind w:left="0" w:right="0"/>
              <w:rPr>
                <w:rFonts w:eastAsia="Times New Roman"/>
                <w:snapToGrid w:val="0"/>
                <w:sz w:val="20"/>
                <w:szCs w:val="24"/>
              </w:rPr>
            </w:pPr>
            <w:r w:rsidRPr="002632C6">
              <w:rPr>
                <w:rFonts w:eastAsia="Times New Roman"/>
                <w:snapToGrid w:val="0"/>
                <w:sz w:val="20"/>
                <w:szCs w:val="24"/>
              </w:rPr>
              <w:t>Zinc-deficiency</w:t>
            </w:r>
          </w:p>
        </w:tc>
        <w:tc>
          <w:tcPr>
            <w:tcW w:w="968" w:type="dxa"/>
          </w:tcPr>
          <w:p w14:paraId="7DD7E076" w14:textId="77777777" w:rsidR="002632C6" w:rsidRPr="008A5799" w:rsidRDefault="002632C6" w:rsidP="008A5799">
            <w:r w:rsidRPr="008A5799">
              <w:sym w:font="Wingdings" w:char="F0FC"/>
            </w:r>
          </w:p>
        </w:tc>
        <w:tc>
          <w:tcPr>
            <w:tcW w:w="1105" w:type="dxa"/>
          </w:tcPr>
          <w:p w14:paraId="5DCB01E1" w14:textId="77777777" w:rsidR="002632C6" w:rsidRPr="008A5799" w:rsidRDefault="002632C6" w:rsidP="008A5799">
            <w:r w:rsidRPr="008A5799">
              <w:t>–</w:t>
            </w:r>
          </w:p>
        </w:tc>
        <w:tc>
          <w:tcPr>
            <w:tcW w:w="968" w:type="dxa"/>
          </w:tcPr>
          <w:p w14:paraId="50140E0C" w14:textId="77777777" w:rsidR="002632C6" w:rsidRPr="008A5799" w:rsidRDefault="002632C6" w:rsidP="008A5799">
            <w:r w:rsidRPr="008A5799">
              <w:sym w:font="Wingdings" w:char="F0FC"/>
            </w:r>
          </w:p>
        </w:tc>
        <w:tc>
          <w:tcPr>
            <w:tcW w:w="1149" w:type="dxa"/>
          </w:tcPr>
          <w:p w14:paraId="2C6BBF1F" w14:textId="77777777" w:rsidR="002632C6" w:rsidRPr="008A5799" w:rsidRDefault="002632C6" w:rsidP="008A5799">
            <w:r w:rsidRPr="008A5799">
              <w:t>–</w:t>
            </w:r>
          </w:p>
        </w:tc>
      </w:tr>
      <w:tr w:rsidR="002632C6" w:rsidRPr="002632C6" w14:paraId="1C1A0D7D" w14:textId="77777777" w:rsidTr="0051685A">
        <w:trPr>
          <w:trHeight w:val="156"/>
        </w:trPr>
        <w:tc>
          <w:tcPr>
            <w:tcW w:w="1833" w:type="dxa"/>
            <w:vMerge/>
          </w:tcPr>
          <w:p w14:paraId="762419A6" w14:textId="77777777" w:rsidR="002632C6" w:rsidRPr="002632C6" w:rsidRDefault="002632C6" w:rsidP="008A5799">
            <w:pPr>
              <w:spacing w:line="252" w:lineRule="auto"/>
              <w:ind w:left="0" w:right="0"/>
              <w:rPr>
                <w:rFonts w:eastAsia="Times New Roman"/>
                <w:b/>
                <w:snapToGrid w:val="0"/>
                <w:sz w:val="20"/>
                <w:szCs w:val="24"/>
              </w:rPr>
            </w:pPr>
          </w:p>
        </w:tc>
        <w:tc>
          <w:tcPr>
            <w:tcW w:w="2517" w:type="dxa"/>
          </w:tcPr>
          <w:p w14:paraId="61F8F881" w14:textId="77777777" w:rsidR="002632C6" w:rsidRPr="002632C6" w:rsidRDefault="002632C6" w:rsidP="008A5799">
            <w:pPr>
              <w:spacing w:line="252" w:lineRule="auto"/>
              <w:ind w:left="0" w:right="0"/>
              <w:rPr>
                <w:rFonts w:eastAsia="Times New Roman"/>
                <w:snapToGrid w:val="0"/>
                <w:sz w:val="20"/>
                <w:szCs w:val="24"/>
              </w:rPr>
            </w:pPr>
            <w:r w:rsidRPr="002632C6">
              <w:rPr>
                <w:rFonts w:eastAsia="Times New Roman"/>
                <w:snapToGrid w:val="0"/>
                <w:sz w:val="20"/>
                <w:szCs w:val="24"/>
              </w:rPr>
              <w:t>Isolated elevation of liver enzymes</w:t>
            </w:r>
          </w:p>
        </w:tc>
        <w:tc>
          <w:tcPr>
            <w:tcW w:w="968" w:type="dxa"/>
          </w:tcPr>
          <w:p w14:paraId="276248CD" w14:textId="77777777" w:rsidR="002632C6" w:rsidRPr="008A5799" w:rsidRDefault="002632C6" w:rsidP="008A5799">
            <w:r w:rsidRPr="008A5799">
              <w:sym w:font="Wingdings" w:char="F0FC"/>
            </w:r>
          </w:p>
        </w:tc>
        <w:tc>
          <w:tcPr>
            <w:tcW w:w="1105" w:type="dxa"/>
          </w:tcPr>
          <w:p w14:paraId="008FB572" w14:textId="77777777" w:rsidR="002632C6" w:rsidRPr="008A5799" w:rsidRDefault="002632C6" w:rsidP="008A5799">
            <w:r w:rsidRPr="008A5799">
              <w:t>–</w:t>
            </w:r>
          </w:p>
        </w:tc>
        <w:tc>
          <w:tcPr>
            <w:tcW w:w="968" w:type="dxa"/>
          </w:tcPr>
          <w:p w14:paraId="24308924" w14:textId="77777777" w:rsidR="002632C6" w:rsidRPr="008A5799" w:rsidRDefault="002632C6" w:rsidP="008A5799">
            <w:r w:rsidRPr="008A5799">
              <w:sym w:font="Wingdings" w:char="F0FC"/>
            </w:r>
          </w:p>
        </w:tc>
        <w:tc>
          <w:tcPr>
            <w:tcW w:w="1149" w:type="dxa"/>
          </w:tcPr>
          <w:p w14:paraId="750A02CB" w14:textId="77777777" w:rsidR="002632C6" w:rsidRPr="008A5799" w:rsidRDefault="002632C6" w:rsidP="008A5799">
            <w:r w:rsidRPr="008A5799">
              <w:t>–</w:t>
            </w:r>
          </w:p>
        </w:tc>
      </w:tr>
      <w:tr w:rsidR="002632C6" w:rsidRPr="002632C6" w14:paraId="5B6C5C2D" w14:textId="77777777" w:rsidTr="0051685A">
        <w:trPr>
          <w:trHeight w:val="156"/>
        </w:trPr>
        <w:tc>
          <w:tcPr>
            <w:tcW w:w="1833" w:type="dxa"/>
            <w:vMerge/>
          </w:tcPr>
          <w:p w14:paraId="2E84274A" w14:textId="77777777" w:rsidR="002632C6" w:rsidRPr="002632C6" w:rsidRDefault="002632C6" w:rsidP="008A5799">
            <w:pPr>
              <w:spacing w:line="252" w:lineRule="auto"/>
              <w:ind w:left="0" w:right="0"/>
              <w:rPr>
                <w:rFonts w:eastAsia="Times New Roman"/>
                <w:b/>
                <w:snapToGrid w:val="0"/>
                <w:sz w:val="20"/>
                <w:szCs w:val="24"/>
              </w:rPr>
            </w:pPr>
          </w:p>
        </w:tc>
        <w:tc>
          <w:tcPr>
            <w:tcW w:w="2517" w:type="dxa"/>
          </w:tcPr>
          <w:p w14:paraId="1EE4022C" w14:textId="77777777" w:rsidR="002632C6" w:rsidRPr="002632C6" w:rsidRDefault="002632C6" w:rsidP="008A5799">
            <w:pPr>
              <w:spacing w:line="252" w:lineRule="auto"/>
              <w:ind w:left="0" w:right="0"/>
              <w:rPr>
                <w:rFonts w:eastAsia="Times New Roman"/>
                <w:snapToGrid w:val="0"/>
                <w:sz w:val="20"/>
                <w:szCs w:val="24"/>
              </w:rPr>
            </w:pPr>
            <w:r w:rsidRPr="002632C6">
              <w:rPr>
                <w:rFonts w:eastAsia="Times New Roman"/>
                <w:snapToGrid w:val="0"/>
                <w:sz w:val="20"/>
                <w:szCs w:val="24"/>
              </w:rPr>
              <w:t>Increased pregnancy loss</w:t>
            </w:r>
          </w:p>
        </w:tc>
        <w:tc>
          <w:tcPr>
            <w:tcW w:w="968" w:type="dxa"/>
          </w:tcPr>
          <w:p w14:paraId="2C3425FB" w14:textId="2D7FA6A2" w:rsidR="002632C6" w:rsidRPr="008A5799" w:rsidRDefault="002632C6" w:rsidP="008A5799">
            <w:r w:rsidRPr="008A5799">
              <w:sym w:font="Wingdings" w:char="F0FC"/>
            </w:r>
          </w:p>
        </w:tc>
        <w:tc>
          <w:tcPr>
            <w:tcW w:w="1105" w:type="dxa"/>
          </w:tcPr>
          <w:p w14:paraId="67A1D969" w14:textId="77777777" w:rsidR="002632C6" w:rsidRPr="008A5799" w:rsidRDefault="002632C6" w:rsidP="008A5799">
            <w:r w:rsidRPr="008A5799">
              <w:t>–</w:t>
            </w:r>
          </w:p>
        </w:tc>
        <w:tc>
          <w:tcPr>
            <w:tcW w:w="968" w:type="dxa"/>
          </w:tcPr>
          <w:p w14:paraId="471E7912" w14:textId="77777777" w:rsidR="002632C6" w:rsidRPr="008A5799" w:rsidRDefault="002632C6" w:rsidP="008A5799">
            <w:r w:rsidRPr="008A5799">
              <w:sym w:font="Wingdings" w:char="F0FC"/>
            </w:r>
          </w:p>
        </w:tc>
        <w:tc>
          <w:tcPr>
            <w:tcW w:w="1149" w:type="dxa"/>
          </w:tcPr>
          <w:p w14:paraId="77177EE7" w14:textId="77777777" w:rsidR="002632C6" w:rsidRPr="008A5799" w:rsidRDefault="002632C6" w:rsidP="008A5799">
            <w:r w:rsidRPr="008A5799">
              <w:t>–</w:t>
            </w:r>
          </w:p>
        </w:tc>
      </w:tr>
      <w:tr w:rsidR="002632C6" w:rsidRPr="002632C6" w14:paraId="39D11B41" w14:textId="77777777" w:rsidTr="0051685A">
        <w:trPr>
          <w:trHeight w:val="178"/>
        </w:trPr>
        <w:tc>
          <w:tcPr>
            <w:tcW w:w="1833" w:type="dxa"/>
            <w:vMerge w:val="restart"/>
          </w:tcPr>
          <w:p w14:paraId="671918B7" w14:textId="77777777" w:rsidR="002632C6" w:rsidRPr="002632C6" w:rsidRDefault="002632C6" w:rsidP="008A5799">
            <w:pPr>
              <w:spacing w:line="252" w:lineRule="auto"/>
              <w:ind w:left="0" w:right="0"/>
              <w:rPr>
                <w:rFonts w:eastAsia="Times New Roman"/>
                <w:b/>
                <w:snapToGrid w:val="0"/>
                <w:sz w:val="20"/>
                <w:szCs w:val="24"/>
              </w:rPr>
            </w:pPr>
            <w:r w:rsidRPr="002632C6">
              <w:rPr>
                <w:rFonts w:eastAsia="Times New Roman"/>
                <w:b/>
                <w:snapToGrid w:val="0"/>
                <w:sz w:val="20"/>
                <w:szCs w:val="24"/>
              </w:rPr>
              <w:t>Missing information</w:t>
            </w:r>
          </w:p>
        </w:tc>
        <w:tc>
          <w:tcPr>
            <w:tcW w:w="2517" w:type="dxa"/>
          </w:tcPr>
          <w:p w14:paraId="48D613AD" w14:textId="77777777" w:rsidR="002632C6" w:rsidRPr="002632C6" w:rsidRDefault="002632C6" w:rsidP="008A5799">
            <w:pPr>
              <w:spacing w:line="252" w:lineRule="auto"/>
              <w:ind w:left="0" w:right="0"/>
              <w:rPr>
                <w:rFonts w:eastAsia="Times New Roman"/>
                <w:snapToGrid w:val="0"/>
                <w:sz w:val="20"/>
                <w:szCs w:val="24"/>
              </w:rPr>
            </w:pPr>
            <w:r w:rsidRPr="002632C6">
              <w:rPr>
                <w:rFonts w:eastAsia="Times New Roman"/>
                <w:snapToGrid w:val="0"/>
                <w:sz w:val="20"/>
                <w:szCs w:val="24"/>
              </w:rPr>
              <w:t>Drug exposure during pregnancy</w:t>
            </w:r>
          </w:p>
        </w:tc>
        <w:tc>
          <w:tcPr>
            <w:tcW w:w="968" w:type="dxa"/>
          </w:tcPr>
          <w:p w14:paraId="57BD9C9A" w14:textId="15284F26" w:rsidR="002632C6" w:rsidRPr="008A5799" w:rsidRDefault="002632C6" w:rsidP="008A5799">
            <w:r w:rsidRPr="008A5799">
              <w:sym w:font="Wingdings" w:char="F0FC"/>
            </w:r>
          </w:p>
        </w:tc>
        <w:tc>
          <w:tcPr>
            <w:tcW w:w="1105" w:type="dxa"/>
          </w:tcPr>
          <w:p w14:paraId="202DA819" w14:textId="77777777" w:rsidR="002632C6" w:rsidRPr="008A5799" w:rsidRDefault="002632C6" w:rsidP="008A5799">
            <w:r w:rsidRPr="008A5799">
              <w:t>–</w:t>
            </w:r>
          </w:p>
        </w:tc>
        <w:tc>
          <w:tcPr>
            <w:tcW w:w="968" w:type="dxa"/>
          </w:tcPr>
          <w:p w14:paraId="12968CFE" w14:textId="77777777" w:rsidR="002632C6" w:rsidRPr="008A5799" w:rsidRDefault="002632C6" w:rsidP="008A5799">
            <w:r w:rsidRPr="008A5799">
              <w:sym w:font="Wingdings" w:char="F0FC"/>
            </w:r>
          </w:p>
        </w:tc>
        <w:tc>
          <w:tcPr>
            <w:tcW w:w="1149" w:type="dxa"/>
          </w:tcPr>
          <w:p w14:paraId="34ABB1CF" w14:textId="77777777" w:rsidR="002632C6" w:rsidRPr="008A5799" w:rsidRDefault="002632C6" w:rsidP="008A5799">
            <w:r w:rsidRPr="008A5799">
              <w:t>–</w:t>
            </w:r>
          </w:p>
        </w:tc>
      </w:tr>
      <w:tr w:rsidR="002632C6" w:rsidRPr="002632C6" w14:paraId="15F89174" w14:textId="77777777" w:rsidTr="0051685A">
        <w:trPr>
          <w:trHeight w:val="140"/>
        </w:trPr>
        <w:tc>
          <w:tcPr>
            <w:tcW w:w="1833" w:type="dxa"/>
            <w:vMerge/>
          </w:tcPr>
          <w:p w14:paraId="260F6A47" w14:textId="77777777" w:rsidR="002632C6" w:rsidRPr="002632C6" w:rsidRDefault="002632C6" w:rsidP="008A5799">
            <w:pPr>
              <w:spacing w:line="252" w:lineRule="auto"/>
              <w:ind w:left="0" w:right="0"/>
              <w:rPr>
                <w:rFonts w:eastAsia="Times New Roman"/>
                <w:snapToGrid w:val="0"/>
                <w:sz w:val="20"/>
                <w:szCs w:val="24"/>
              </w:rPr>
            </w:pPr>
          </w:p>
        </w:tc>
        <w:tc>
          <w:tcPr>
            <w:tcW w:w="2517" w:type="dxa"/>
          </w:tcPr>
          <w:p w14:paraId="386CDB38" w14:textId="77777777" w:rsidR="002632C6" w:rsidRPr="002632C6" w:rsidRDefault="002632C6" w:rsidP="008A5799">
            <w:pPr>
              <w:spacing w:line="252" w:lineRule="auto"/>
              <w:ind w:left="0" w:right="0"/>
              <w:rPr>
                <w:rFonts w:eastAsia="Times New Roman"/>
                <w:snapToGrid w:val="0"/>
                <w:sz w:val="20"/>
                <w:szCs w:val="24"/>
              </w:rPr>
            </w:pPr>
            <w:r w:rsidRPr="002632C6">
              <w:rPr>
                <w:rFonts w:eastAsia="Times New Roman"/>
                <w:snapToGrid w:val="0"/>
                <w:sz w:val="20"/>
                <w:szCs w:val="24"/>
              </w:rPr>
              <w:t>Use of drugs in lactation and in neonates</w:t>
            </w:r>
          </w:p>
        </w:tc>
        <w:tc>
          <w:tcPr>
            <w:tcW w:w="968" w:type="dxa"/>
          </w:tcPr>
          <w:p w14:paraId="4322BA60" w14:textId="77777777" w:rsidR="002632C6" w:rsidRPr="008A5799" w:rsidRDefault="002632C6" w:rsidP="008A5799">
            <w:r w:rsidRPr="008A5799">
              <w:sym w:font="Wingdings" w:char="F0FC"/>
            </w:r>
          </w:p>
        </w:tc>
        <w:tc>
          <w:tcPr>
            <w:tcW w:w="1105" w:type="dxa"/>
          </w:tcPr>
          <w:p w14:paraId="2654D635" w14:textId="77777777" w:rsidR="002632C6" w:rsidRPr="008A5799" w:rsidRDefault="002632C6" w:rsidP="008A5799">
            <w:r w:rsidRPr="008A5799">
              <w:t>–</w:t>
            </w:r>
          </w:p>
        </w:tc>
        <w:tc>
          <w:tcPr>
            <w:tcW w:w="968" w:type="dxa"/>
          </w:tcPr>
          <w:p w14:paraId="1FAA8739" w14:textId="77777777" w:rsidR="002632C6" w:rsidRPr="008A5799" w:rsidRDefault="002632C6" w:rsidP="008A5799">
            <w:r w:rsidRPr="008A5799">
              <w:sym w:font="Wingdings" w:char="F0FC"/>
            </w:r>
          </w:p>
        </w:tc>
        <w:tc>
          <w:tcPr>
            <w:tcW w:w="1149" w:type="dxa"/>
          </w:tcPr>
          <w:p w14:paraId="6C12529F" w14:textId="77777777" w:rsidR="002632C6" w:rsidRPr="008A5799" w:rsidRDefault="002632C6" w:rsidP="008A5799">
            <w:r w:rsidRPr="008A5799">
              <w:t>–</w:t>
            </w:r>
          </w:p>
        </w:tc>
      </w:tr>
    </w:tbl>
    <w:p w14:paraId="61FEB21D" w14:textId="5059F227" w:rsidR="002632C6" w:rsidRPr="002F47C7" w:rsidRDefault="002632C6" w:rsidP="0051685A">
      <w:pPr>
        <w:pStyle w:val="ListBullet"/>
      </w:pPr>
      <w:r w:rsidRPr="002F47C7">
        <w:t xml:space="preserve">The summary of safety concerns is considered acceptable from an RMP perspective at </w:t>
      </w:r>
      <w:r w:rsidR="002F47C7">
        <w:t>the third round</w:t>
      </w:r>
      <w:r w:rsidR="008A5799">
        <w:t xml:space="preserve"> of evaluation.</w:t>
      </w:r>
    </w:p>
    <w:p w14:paraId="0303FA80" w14:textId="58CAE14E" w:rsidR="002632C6" w:rsidRDefault="002632C6" w:rsidP="0051685A">
      <w:pPr>
        <w:pStyle w:val="ListBullet"/>
      </w:pPr>
      <w:r>
        <w:t xml:space="preserve">The sponsor has proposed routine pharmacovigilance activities only for all safety concerns. The proposed pharmacovigilance plan is acceptable at </w:t>
      </w:r>
      <w:r w:rsidR="002F47C7">
        <w:t>the third round.</w:t>
      </w:r>
      <w:r>
        <w:t xml:space="preserve"> The sponsor has been requested to make some further changes to the pregnancy follow-up form and submit it to the TGA for review at least six weeks prior to launch of the product in Australia.</w:t>
      </w:r>
    </w:p>
    <w:p w14:paraId="5731C4F0" w14:textId="7728FE1E" w:rsidR="002632C6" w:rsidRDefault="002632C6" w:rsidP="0051685A">
      <w:pPr>
        <w:pStyle w:val="ListBullet"/>
      </w:pPr>
      <w:r>
        <w:t xml:space="preserve">The sponsor has proposed routine risk minimisation activities only for all safety concerns. The risk minimisation plan is acceptable at </w:t>
      </w:r>
      <w:r w:rsidR="008A5799">
        <w:t>the third round of evaluation.</w:t>
      </w:r>
    </w:p>
    <w:p w14:paraId="2CCAE1C3" w14:textId="6ACC552E" w:rsidR="00E7279F" w:rsidRPr="0059452D" w:rsidRDefault="00E7279F" w:rsidP="0051685A">
      <w:pPr>
        <w:pStyle w:val="ListBullet"/>
      </w:pPr>
      <w:r w:rsidRPr="002F47C7">
        <w:t xml:space="preserve">There are no new recommendations and one </w:t>
      </w:r>
      <w:r w:rsidR="008A5799">
        <w:t>outstanding recommendation. The</w:t>
      </w:r>
      <w:r w:rsidR="001707B7">
        <w:t xml:space="preserve"> </w:t>
      </w:r>
      <w:r w:rsidRPr="002F47C7">
        <w:t>outstanding recommendation does not impede the decision on this submission.</w:t>
      </w:r>
    </w:p>
    <w:p w14:paraId="7E43B24E" w14:textId="77777777" w:rsidR="00E7279F" w:rsidRPr="00BF52F4" w:rsidRDefault="00E7279F" w:rsidP="00344550">
      <w:pPr>
        <w:pStyle w:val="Heading4"/>
      </w:pPr>
      <w:bookmarkStart w:id="73" w:name="_Toc61960812"/>
      <w:r w:rsidRPr="00BF52F4">
        <w:t>Wording for conditions of registration</w:t>
      </w:r>
      <w:bookmarkEnd w:id="73"/>
    </w:p>
    <w:p w14:paraId="061C4A95" w14:textId="5303D461" w:rsidR="00E7279F" w:rsidRPr="00344550" w:rsidRDefault="00E7279F" w:rsidP="00344550">
      <w:r w:rsidRPr="00344550">
        <w:t xml:space="preserve">Any changes to which the sponsor has agreed should be included in a revised RMP and </w:t>
      </w:r>
      <w:r w:rsidR="00344550">
        <w:t>Australian-specific annex (</w:t>
      </w:r>
      <w:r w:rsidRPr="00344550">
        <w:t>ASA</w:t>
      </w:r>
      <w:r w:rsidR="00344550">
        <w:t>)</w:t>
      </w:r>
      <w:r w:rsidRPr="00344550">
        <w:t xml:space="preserve">. However, irrespective of </w:t>
      </w:r>
      <w:proofErr w:type="gramStart"/>
      <w:r w:rsidRPr="00344550">
        <w:t>whether or not</w:t>
      </w:r>
      <w:proofErr w:type="gramEnd"/>
      <w:r w:rsidRPr="00344550">
        <w:t xml:space="preserve"> they are included in the currently available version of the RMP document, the agreed changes become part</w:t>
      </w:r>
      <w:r w:rsidR="00344550">
        <w:t xml:space="preserve"> of the risk management system.</w:t>
      </w:r>
    </w:p>
    <w:p w14:paraId="0665ED81" w14:textId="0B5D6BC7" w:rsidR="00E7279F" w:rsidRPr="00344550" w:rsidRDefault="00E7279F" w:rsidP="00344550">
      <w:r w:rsidRPr="00344550">
        <w:t>The suggested wording is:</w:t>
      </w:r>
    </w:p>
    <w:p w14:paraId="0F552A42" w14:textId="77777777" w:rsidR="00E7279F" w:rsidRPr="00344550" w:rsidRDefault="00E7279F" w:rsidP="00344550">
      <w:pPr>
        <w:ind w:left="720"/>
        <w:rPr>
          <w:i/>
        </w:rPr>
      </w:pPr>
      <w:r w:rsidRPr="00344550">
        <w:rPr>
          <w:i/>
        </w:rPr>
        <w:t xml:space="preserve">The </w:t>
      </w:r>
      <w:proofErr w:type="spellStart"/>
      <w:r w:rsidRPr="00344550">
        <w:rPr>
          <w:i/>
        </w:rPr>
        <w:t>trientine</w:t>
      </w:r>
      <w:proofErr w:type="spellEnd"/>
      <w:r w:rsidRPr="00344550">
        <w:rPr>
          <w:i/>
        </w:rPr>
        <w:t xml:space="preserve"> dihydrochloride Australian Risk Management Plan (RMP) (version 0.4, dated 22 December 2020, data lock point 31 March 2020), included with submission PM-2020-00155-1-3, and any subsequent revisions, as agreed with the TGA will be implemented in Australia.</w:t>
      </w:r>
    </w:p>
    <w:p w14:paraId="5142E8E3" w14:textId="45E1DBD3" w:rsidR="00E7279F" w:rsidRPr="00BF52F4" w:rsidRDefault="00E7279F" w:rsidP="00344550">
      <w:r w:rsidRPr="00344550">
        <w:t>The</w:t>
      </w:r>
      <w:r w:rsidRPr="00BF52F4">
        <w:t xml:space="preserve"> following wording is recommended for the </w:t>
      </w:r>
      <w:r w:rsidR="00F60A42">
        <w:t>periodic safety update report (</w:t>
      </w:r>
      <w:r w:rsidRPr="00BF52F4">
        <w:t>PSUR</w:t>
      </w:r>
      <w:r w:rsidR="00F60A42">
        <w:t>)</w:t>
      </w:r>
      <w:r w:rsidRPr="00BF52F4">
        <w:t xml:space="preserve"> requirement:</w:t>
      </w:r>
    </w:p>
    <w:p w14:paraId="0EED2E2D" w14:textId="77777777" w:rsidR="00E7279F" w:rsidRPr="00344550" w:rsidRDefault="00E7279F" w:rsidP="00344550">
      <w:pPr>
        <w:ind w:left="720"/>
        <w:rPr>
          <w:i/>
        </w:rPr>
      </w:pPr>
      <w:r w:rsidRPr="00344550">
        <w:rPr>
          <w:i/>
        </w:rPr>
        <w:t xml:space="preserve">An obligatory component of risk management plans is routine pharmacovigilance. Routine pharmacovigilance includes the submission of periodic safety update reports (PSURs). </w:t>
      </w:r>
    </w:p>
    <w:p w14:paraId="3C11226E" w14:textId="77777777" w:rsidR="00E7279F" w:rsidRPr="00344550" w:rsidRDefault="00E7279F" w:rsidP="00344550">
      <w:pPr>
        <w:ind w:left="720"/>
        <w:rPr>
          <w:i/>
        </w:rPr>
      </w:pPr>
      <w:r w:rsidRPr="00344550">
        <w:rPr>
          <w:i/>
        </w:rPr>
        <w:lastRenderedPageBreak/>
        <w:t xml:space="preserve">Unless agreed separately between the supplier who is the recipient of the approval and the TGA, the first report must be submitted to TGA no later than 15 calendar months after the date of this approval letter. The subsequent reports must be submitted no less frequently than annually from the date of the first submitted report until the period covered by such reports is not less than three years from the date of this approval letter. The annual submission may be made up of two PSURs each covering six months. If the sponsor wishes, the </w:t>
      </w:r>
      <w:proofErr w:type="gramStart"/>
      <w:r w:rsidRPr="00344550">
        <w:rPr>
          <w:i/>
        </w:rPr>
        <w:t>six monthly</w:t>
      </w:r>
      <w:proofErr w:type="gramEnd"/>
      <w:r w:rsidRPr="00344550">
        <w:rPr>
          <w:i/>
        </w:rPr>
        <w:t xml:space="preserve"> reports may be submitted separately as they become available.</w:t>
      </w:r>
    </w:p>
    <w:p w14:paraId="7862A4A2" w14:textId="77777777" w:rsidR="00E7279F" w:rsidRPr="00344550" w:rsidRDefault="00E7279F" w:rsidP="00344550">
      <w:pPr>
        <w:ind w:left="720"/>
        <w:rPr>
          <w:i/>
        </w:rPr>
      </w:pPr>
      <w:r w:rsidRPr="00344550">
        <w:rPr>
          <w:i/>
        </w:rPr>
        <w:t>If the product is approved in the EU during the three years period, reports can be provided in line with the published list of EU reference dates no less frequently than annually from the date of the first submitted report until the period covered by such reports is not less than three years from the date of this approval letter.</w:t>
      </w:r>
    </w:p>
    <w:p w14:paraId="7B52D069" w14:textId="77777777" w:rsidR="00E7279F" w:rsidRPr="00344550" w:rsidRDefault="00E7279F" w:rsidP="00344550">
      <w:pPr>
        <w:ind w:left="720"/>
        <w:rPr>
          <w:i/>
        </w:rPr>
      </w:pPr>
      <w:r w:rsidRPr="00344550">
        <w:rPr>
          <w:i/>
        </w:rPr>
        <w:t>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 Each report must have been prepared within ninety calendar days of the data lock point for that report.</w:t>
      </w:r>
    </w:p>
    <w:p w14:paraId="33124C33" w14:textId="231B6556" w:rsidR="00E7279F" w:rsidRPr="00344550" w:rsidRDefault="00E7279F" w:rsidP="00E7279F">
      <w:pPr>
        <w:pStyle w:val="Standard"/>
      </w:pPr>
      <w:r w:rsidRPr="00344550">
        <w:t xml:space="preserve">As </w:t>
      </w:r>
      <w:r w:rsidR="00E90987">
        <w:t xml:space="preserve">the four named </w:t>
      </w:r>
      <w:proofErr w:type="spellStart"/>
      <w:r w:rsidRPr="00344550">
        <w:t>Trientine</w:t>
      </w:r>
      <w:proofErr w:type="spellEnd"/>
      <w:r w:rsidRPr="00344550">
        <w:t xml:space="preserve">-DRLA, </w:t>
      </w:r>
      <w:proofErr w:type="spellStart"/>
      <w:r w:rsidRPr="00344550">
        <w:t>Trientine</w:t>
      </w:r>
      <w:proofErr w:type="spellEnd"/>
      <w:r w:rsidRPr="00344550">
        <w:t xml:space="preserve">-RZ, </w:t>
      </w:r>
      <w:proofErr w:type="spellStart"/>
      <w:r w:rsidRPr="00344550">
        <w:t>Trientine</w:t>
      </w:r>
      <w:proofErr w:type="spellEnd"/>
      <w:r w:rsidRPr="00344550">
        <w:t xml:space="preserve">-Reddy’s, </w:t>
      </w:r>
      <w:proofErr w:type="spellStart"/>
      <w:r w:rsidRPr="00344550">
        <w:t>Trientine</w:t>
      </w:r>
      <w:proofErr w:type="spellEnd"/>
      <w:r w:rsidRPr="00344550">
        <w:t xml:space="preserve"> Dr. Reddy’s is a new chemical entity it should be included in the Black Triangle Scheme as a condition of registration. The following wording is recommended for the condition of registration:</w:t>
      </w:r>
    </w:p>
    <w:p w14:paraId="60020456" w14:textId="77777777" w:rsidR="00E7279F" w:rsidRPr="00344550" w:rsidRDefault="00E7279F" w:rsidP="00344550">
      <w:pPr>
        <w:ind w:left="720"/>
        <w:rPr>
          <w:i/>
        </w:rPr>
      </w:pPr>
      <w:proofErr w:type="spellStart"/>
      <w:r w:rsidRPr="00344550">
        <w:rPr>
          <w:i/>
        </w:rPr>
        <w:t>Trientine</w:t>
      </w:r>
      <w:proofErr w:type="spellEnd"/>
      <w:r w:rsidRPr="00344550">
        <w:rPr>
          <w:i/>
        </w:rPr>
        <w:t xml:space="preserve">-DRLA, </w:t>
      </w:r>
      <w:proofErr w:type="spellStart"/>
      <w:r w:rsidRPr="00344550">
        <w:rPr>
          <w:i/>
        </w:rPr>
        <w:t>Trientine</w:t>
      </w:r>
      <w:proofErr w:type="spellEnd"/>
      <w:r w:rsidRPr="00344550">
        <w:rPr>
          <w:i/>
        </w:rPr>
        <w:t xml:space="preserve">-RZ, </w:t>
      </w:r>
      <w:proofErr w:type="spellStart"/>
      <w:r w:rsidRPr="00344550">
        <w:rPr>
          <w:i/>
        </w:rPr>
        <w:t>Trientine</w:t>
      </w:r>
      <w:proofErr w:type="spellEnd"/>
      <w:r w:rsidRPr="00344550">
        <w:rPr>
          <w:i/>
        </w:rPr>
        <w:t xml:space="preserve">-Reddy’s, </w:t>
      </w:r>
      <w:proofErr w:type="spellStart"/>
      <w:r w:rsidRPr="00344550">
        <w:rPr>
          <w:i/>
        </w:rPr>
        <w:t>Trientine</w:t>
      </w:r>
      <w:proofErr w:type="spellEnd"/>
      <w:r w:rsidRPr="00344550">
        <w:rPr>
          <w:i/>
        </w:rPr>
        <w:t xml:space="preserve"> Dr. Reddy’s (</w:t>
      </w:r>
      <w:proofErr w:type="spellStart"/>
      <w:r w:rsidRPr="00344550">
        <w:rPr>
          <w:i/>
        </w:rPr>
        <w:t>trientine</w:t>
      </w:r>
      <w:proofErr w:type="spellEnd"/>
      <w:r w:rsidRPr="00344550">
        <w:rPr>
          <w:i/>
        </w:rPr>
        <w:t xml:space="preserve"> dihydrochloride) is to be included in the Black Triangle Scheme. The PI and CMI for </w:t>
      </w:r>
      <w:proofErr w:type="spellStart"/>
      <w:r w:rsidRPr="00344550">
        <w:rPr>
          <w:i/>
        </w:rPr>
        <w:t>Trientine</w:t>
      </w:r>
      <w:proofErr w:type="spellEnd"/>
      <w:r w:rsidRPr="00344550">
        <w:rPr>
          <w:i/>
        </w:rPr>
        <w:t xml:space="preserve">-DRLA, </w:t>
      </w:r>
      <w:proofErr w:type="spellStart"/>
      <w:r w:rsidRPr="00344550">
        <w:rPr>
          <w:i/>
        </w:rPr>
        <w:t>Trientine</w:t>
      </w:r>
      <w:proofErr w:type="spellEnd"/>
      <w:r w:rsidRPr="00344550">
        <w:rPr>
          <w:i/>
        </w:rPr>
        <w:t xml:space="preserve">-RZ, </w:t>
      </w:r>
      <w:proofErr w:type="spellStart"/>
      <w:r w:rsidRPr="00344550">
        <w:rPr>
          <w:i/>
        </w:rPr>
        <w:t>Trientine</w:t>
      </w:r>
      <w:proofErr w:type="spellEnd"/>
      <w:r w:rsidRPr="00344550">
        <w:rPr>
          <w:i/>
        </w:rPr>
        <w:t xml:space="preserve">-Reddy’s, </w:t>
      </w:r>
      <w:proofErr w:type="spellStart"/>
      <w:r w:rsidRPr="00344550">
        <w:rPr>
          <w:i/>
        </w:rPr>
        <w:t>Trientine</w:t>
      </w:r>
      <w:proofErr w:type="spellEnd"/>
      <w:r w:rsidRPr="00344550">
        <w:rPr>
          <w:i/>
        </w:rPr>
        <w:t xml:space="preserve"> Dr. Reddy’s must include the black triangle symbol and mandatory accompanying text for five years, which starts from the date that the sponsor notifies the TGA of supply of the product.</w:t>
      </w:r>
    </w:p>
    <w:p w14:paraId="69CF8F31" w14:textId="79A75A53" w:rsidR="008E7846" w:rsidRDefault="00AA0ED0" w:rsidP="008E7846">
      <w:pPr>
        <w:pStyle w:val="Heading3"/>
      </w:pPr>
      <w:bookmarkStart w:id="74" w:name="_Toc247691531"/>
      <w:bookmarkStart w:id="75" w:name="_Toc314842515"/>
      <w:bookmarkStart w:id="76" w:name="_Toc88670220"/>
      <w:bookmarkStart w:id="77" w:name="_Toc196046505"/>
      <w:bookmarkStart w:id="78" w:name="_Toc196046949"/>
      <w:r>
        <w:t>Risk-benefit a</w:t>
      </w:r>
      <w:r w:rsidR="008E7846">
        <w:t>nalysis</w:t>
      </w:r>
      <w:bookmarkEnd w:id="74"/>
      <w:bookmarkEnd w:id="75"/>
      <w:bookmarkEnd w:id="76"/>
    </w:p>
    <w:p w14:paraId="72C423BC" w14:textId="77777777" w:rsidR="00B85887" w:rsidRDefault="00B85887" w:rsidP="00B85887">
      <w:pPr>
        <w:pStyle w:val="Heading4"/>
      </w:pPr>
      <w:r>
        <w:t>Delegate’s considerations</w:t>
      </w:r>
    </w:p>
    <w:p w14:paraId="16B27076" w14:textId="77777777" w:rsidR="00F15FDF" w:rsidRDefault="00F15FDF" w:rsidP="0051685A">
      <w:pPr>
        <w:pStyle w:val="Heading5"/>
      </w:pPr>
      <w:r>
        <w:t>Efficacy</w:t>
      </w:r>
    </w:p>
    <w:p w14:paraId="56911EDB" w14:textId="30C4B055" w:rsidR="00F15FDF" w:rsidRDefault="00F15FDF" w:rsidP="00F15FDF">
      <w:pPr>
        <w:rPr>
          <w:rFonts w:asciiTheme="minorHAnsi" w:eastAsiaTheme="minorHAnsi" w:hAnsiTheme="minorHAnsi" w:cs="LegacySerif-Book"/>
        </w:rPr>
      </w:pPr>
      <w:r>
        <w:rPr>
          <w:rFonts w:asciiTheme="minorHAnsi" w:eastAsiaTheme="minorHAnsi" w:hAnsiTheme="minorHAnsi" w:cs="LegacySerif-Book"/>
        </w:rPr>
        <w:t>Efficacy data for this application are derived from a systematic review of published literature.</w:t>
      </w:r>
      <w:r w:rsidR="00544119">
        <w:rPr>
          <w:rFonts w:asciiTheme="minorHAnsi" w:eastAsiaTheme="minorHAnsi" w:hAnsiTheme="minorHAnsi" w:cs="LegacySerif-Book"/>
        </w:rPr>
        <w:t xml:space="preserve"> </w:t>
      </w:r>
      <w:r>
        <w:rPr>
          <w:rFonts w:asciiTheme="minorHAnsi" w:eastAsiaTheme="minorHAnsi" w:hAnsiTheme="minorHAnsi" w:cs="LegacySerif-Book"/>
        </w:rPr>
        <w:t>H</w:t>
      </w:r>
      <w:r>
        <w:t xml:space="preserve">igh quality evidence for the comparative effectiveness and safety of therapies for </w:t>
      </w:r>
      <w:r w:rsidR="00FB5136">
        <w:t>Wilson’s disease</w:t>
      </w:r>
      <w:r>
        <w:t xml:space="preserve"> is limited.</w:t>
      </w:r>
      <w:r w:rsidR="00544119">
        <w:t xml:space="preserve"> </w:t>
      </w:r>
      <w:r w:rsidR="00F60A42">
        <w:rPr>
          <w:lang w:eastAsia="ja-JP"/>
        </w:rPr>
        <w:t>The L</w:t>
      </w:r>
      <w:r>
        <w:rPr>
          <w:lang w:eastAsia="ja-JP"/>
        </w:rPr>
        <w:t>evel</w:t>
      </w:r>
      <w:r w:rsidR="00E90987">
        <w:rPr>
          <w:lang w:eastAsia="ja-JP"/>
        </w:rPr>
        <w:t>s</w:t>
      </w:r>
      <w:r>
        <w:rPr>
          <w:lang w:eastAsia="ja-JP"/>
        </w:rPr>
        <w:t xml:space="preserve"> I and II literature references provide very limited data relevant to the proposed use of </w:t>
      </w:r>
      <w:proofErr w:type="spellStart"/>
      <w:r>
        <w:rPr>
          <w:lang w:eastAsia="ja-JP"/>
        </w:rPr>
        <w:t>trientine</w:t>
      </w:r>
      <w:proofErr w:type="spellEnd"/>
      <w:r>
        <w:rPr>
          <w:lang w:eastAsia="ja-JP"/>
        </w:rPr>
        <w:t xml:space="preserve"> in patients intolerant to penicillamine.</w:t>
      </w:r>
      <w:r w:rsidR="00544119">
        <w:rPr>
          <w:lang w:eastAsia="ja-JP"/>
        </w:rPr>
        <w:t xml:space="preserve"> </w:t>
      </w:r>
      <w:r>
        <w:rPr>
          <w:lang w:eastAsia="ja-JP"/>
        </w:rPr>
        <w:t>Retrospective and prospective observational studies provide lower level evidence relevant to the proposed indication.</w:t>
      </w:r>
    </w:p>
    <w:p w14:paraId="1859960C" w14:textId="74E11E7C" w:rsidR="00F15FDF" w:rsidRDefault="00F15FDF" w:rsidP="00F15FDF">
      <w:pPr>
        <w:rPr>
          <w:rFonts w:asciiTheme="minorHAnsi" w:eastAsiaTheme="minorHAnsi" w:hAnsiTheme="minorHAnsi" w:cs="LegacySerif-Book"/>
        </w:rPr>
      </w:pPr>
      <w:r w:rsidRPr="00FA451B">
        <w:rPr>
          <w:rFonts w:asciiTheme="minorHAnsi" w:eastAsiaTheme="minorHAnsi" w:hAnsiTheme="minorHAnsi" w:cs="LegacySerif-Book"/>
        </w:rPr>
        <w:t>Weiss</w:t>
      </w:r>
      <w:r w:rsidR="006240FB">
        <w:rPr>
          <w:rFonts w:asciiTheme="minorHAnsi" w:eastAsiaTheme="minorHAnsi" w:hAnsiTheme="minorHAnsi" w:cs="LegacySerif-Book"/>
        </w:rPr>
        <w:t xml:space="preserve"> et al.</w:t>
      </w:r>
      <w:r w:rsidRPr="00FA451B">
        <w:rPr>
          <w:rFonts w:asciiTheme="minorHAnsi" w:eastAsiaTheme="minorHAnsi" w:hAnsiTheme="minorHAnsi" w:cs="LegacySerif-Book"/>
        </w:rPr>
        <w:t xml:space="preserve"> </w:t>
      </w:r>
      <w:r w:rsidR="006240FB">
        <w:rPr>
          <w:rFonts w:asciiTheme="minorHAnsi" w:eastAsiaTheme="minorHAnsi" w:hAnsiTheme="minorHAnsi" w:cs="LegacySerif-Book"/>
        </w:rPr>
        <w:t>(</w:t>
      </w:r>
      <w:r w:rsidRPr="00FA451B">
        <w:rPr>
          <w:rFonts w:asciiTheme="minorHAnsi" w:eastAsiaTheme="minorHAnsi" w:hAnsiTheme="minorHAnsi" w:cs="LegacySerif-Book"/>
        </w:rPr>
        <w:t>2013</w:t>
      </w:r>
      <w:r w:rsidR="006240FB">
        <w:rPr>
          <w:rFonts w:asciiTheme="minorHAnsi" w:eastAsiaTheme="minorHAnsi" w:hAnsiTheme="minorHAnsi" w:cs="LegacySerif-Book"/>
        </w:rPr>
        <w:t>)</w:t>
      </w:r>
      <w:r w:rsidR="006240FB" w:rsidRPr="006240FB">
        <w:rPr>
          <w:rFonts w:asciiTheme="minorHAnsi" w:eastAsiaTheme="minorHAnsi" w:hAnsiTheme="minorHAnsi" w:cs="LegacySerif-Book"/>
          <w:vertAlign w:val="superscript"/>
        </w:rPr>
        <w:fldChar w:fldCharType="begin"/>
      </w:r>
      <w:r w:rsidR="006240FB" w:rsidRPr="006240FB">
        <w:rPr>
          <w:rFonts w:asciiTheme="minorHAnsi" w:eastAsiaTheme="minorHAnsi" w:hAnsiTheme="minorHAnsi" w:cs="LegacySerif-Book"/>
          <w:vertAlign w:val="superscript"/>
        </w:rPr>
        <w:instrText xml:space="preserve"> NOTEREF _Ref83587707 \h  \* MERGEFORMAT </w:instrText>
      </w:r>
      <w:r w:rsidR="006240FB" w:rsidRPr="006240FB">
        <w:rPr>
          <w:rFonts w:asciiTheme="minorHAnsi" w:eastAsiaTheme="minorHAnsi" w:hAnsiTheme="minorHAnsi" w:cs="LegacySerif-Book"/>
          <w:vertAlign w:val="superscript"/>
        </w:rPr>
      </w:r>
      <w:r w:rsidR="006240FB" w:rsidRPr="006240FB">
        <w:rPr>
          <w:rFonts w:asciiTheme="minorHAnsi" w:eastAsiaTheme="minorHAnsi" w:hAnsiTheme="minorHAnsi" w:cs="LegacySerif-Book"/>
          <w:vertAlign w:val="superscript"/>
        </w:rPr>
        <w:fldChar w:fldCharType="separate"/>
      </w:r>
      <w:r w:rsidR="005906D0">
        <w:rPr>
          <w:rFonts w:asciiTheme="minorHAnsi" w:eastAsiaTheme="minorHAnsi" w:hAnsiTheme="minorHAnsi" w:cs="LegacySerif-Book"/>
          <w:vertAlign w:val="superscript"/>
        </w:rPr>
        <w:t>12</w:t>
      </w:r>
      <w:r w:rsidR="006240FB" w:rsidRPr="006240FB">
        <w:rPr>
          <w:rFonts w:asciiTheme="minorHAnsi" w:eastAsiaTheme="minorHAnsi" w:hAnsiTheme="minorHAnsi" w:cs="LegacySerif-Book"/>
          <w:vertAlign w:val="superscript"/>
        </w:rPr>
        <w:fldChar w:fldCharType="end"/>
      </w:r>
      <w:r w:rsidRPr="00FA451B">
        <w:rPr>
          <w:rFonts w:asciiTheme="minorHAnsi" w:eastAsiaTheme="minorHAnsi" w:hAnsiTheme="minorHAnsi" w:cs="LegacySerif-Book"/>
        </w:rPr>
        <w:t xml:space="preserve"> was a retrospective </w:t>
      </w:r>
      <w:r>
        <w:t xml:space="preserve">cohort study of 380 patients with </w:t>
      </w:r>
      <w:r w:rsidR="00FB5136">
        <w:t>Wilson’s disease</w:t>
      </w:r>
      <w:r>
        <w:t xml:space="preserve"> treated at six </w:t>
      </w:r>
      <w:r w:rsidRPr="000968A8">
        <w:t xml:space="preserve">tertiary care centres in Germany and Austria, and 25 additional patients from the </w:t>
      </w:r>
      <w:proofErr w:type="spellStart"/>
      <w:r w:rsidR="006240FB">
        <w:t>EuroW</w:t>
      </w:r>
      <w:r w:rsidR="006240FB" w:rsidRPr="000968A8">
        <w:t>ilson</w:t>
      </w:r>
      <w:proofErr w:type="spellEnd"/>
      <w:r w:rsidRPr="000968A8">
        <w:t xml:space="preserve"> registry.</w:t>
      </w:r>
      <w:r w:rsidR="006240FB" w:rsidRPr="006240FB">
        <w:rPr>
          <w:vertAlign w:val="superscript"/>
        </w:rPr>
        <w:fldChar w:fldCharType="begin"/>
      </w:r>
      <w:r w:rsidR="006240FB" w:rsidRPr="006240FB">
        <w:rPr>
          <w:vertAlign w:val="superscript"/>
        </w:rPr>
        <w:instrText xml:space="preserve"> NOTEREF _Ref83587658 \h </w:instrText>
      </w:r>
      <w:r w:rsidR="006240FB">
        <w:rPr>
          <w:vertAlign w:val="superscript"/>
        </w:rPr>
        <w:instrText xml:space="preserve"> \* MERGEFORMAT </w:instrText>
      </w:r>
      <w:r w:rsidR="006240FB" w:rsidRPr="006240FB">
        <w:rPr>
          <w:vertAlign w:val="superscript"/>
        </w:rPr>
      </w:r>
      <w:r w:rsidR="006240FB" w:rsidRPr="006240FB">
        <w:rPr>
          <w:vertAlign w:val="superscript"/>
        </w:rPr>
        <w:fldChar w:fldCharType="separate"/>
      </w:r>
      <w:r w:rsidR="005906D0">
        <w:rPr>
          <w:vertAlign w:val="superscript"/>
        </w:rPr>
        <w:t>13</w:t>
      </w:r>
      <w:r w:rsidR="006240FB" w:rsidRPr="006240FB">
        <w:rPr>
          <w:vertAlign w:val="superscript"/>
        </w:rPr>
        <w:fldChar w:fldCharType="end"/>
      </w:r>
      <w:r w:rsidR="00544119">
        <w:t xml:space="preserve"> </w:t>
      </w:r>
      <w:r w:rsidRPr="000968A8">
        <w:t xml:space="preserve">For </w:t>
      </w:r>
      <w:proofErr w:type="spellStart"/>
      <w:r w:rsidRPr="000968A8">
        <w:t>trientine</w:t>
      </w:r>
      <w:proofErr w:type="spellEnd"/>
      <w:r w:rsidRPr="000968A8">
        <w:t xml:space="preserve"> in the se</w:t>
      </w:r>
      <w:r>
        <w:t xml:space="preserve">cond-line setting (proposed for </w:t>
      </w:r>
      <w:r w:rsidRPr="000968A8">
        <w:t>registration), 31 of 45 (68.9%) patients with hepatic symptoms showed hepatic improvement, and 26 of 51 (51%) patients with neurologic symptoms showed neurologic</w:t>
      </w:r>
      <w:r w:rsidRPr="00FA451B">
        <w:rPr>
          <w:rFonts w:asciiTheme="minorHAnsi" w:eastAsiaTheme="minorHAnsi" w:hAnsiTheme="minorHAnsi" w:cs="LegacySerif-Book"/>
        </w:rPr>
        <w:t xml:space="preserve"> improvement. 4 of 45 (8.9%) patients with hepatic symptoms showed hepatic worsenin</w:t>
      </w:r>
      <w:r>
        <w:rPr>
          <w:rFonts w:asciiTheme="minorHAnsi" w:eastAsiaTheme="minorHAnsi" w:hAnsiTheme="minorHAnsi" w:cs="LegacySerif-Book"/>
        </w:rPr>
        <w:t xml:space="preserve">g, and </w:t>
      </w:r>
      <w:r w:rsidRPr="00790E47">
        <w:rPr>
          <w:rFonts w:asciiTheme="minorHAnsi" w:eastAsiaTheme="minorHAnsi" w:hAnsiTheme="minorHAnsi" w:cs="LegacySerif-Book"/>
        </w:rPr>
        <w:t xml:space="preserve">8 </w:t>
      </w:r>
      <w:r>
        <w:rPr>
          <w:rFonts w:asciiTheme="minorHAnsi" w:eastAsiaTheme="minorHAnsi" w:hAnsiTheme="minorHAnsi" w:cs="LegacySerif-Book"/>
        </w:rPr>
        <w:t xml:space="preserve">of 51 </w:t>
      </w:r>
      <w:r w:rsidRPr="00790E47">
        <w:rPr>
          <w:rFonts w:asciiTheme="minorHAnsi" w:eastAsiaTheme="minorHAnsi" w:hAnsiTheme="minorHAnsi" w:cs="LegacySerif-Book"/>
        </w:rPr>
        <w:t>(</w:t>
      </w:r>
      <w:r>
        <w:rPr>
          <w:rFonts w:asciiTheme="minorHAnsi" w:eastAsiaTheme="minorHAnsi" w:hAnsiTheme="minorHAnsi" w:cs="LegacySerif-Book"/>
        </w:rPr>
        <w:t>15.7%) patients with neurologic symptoms</w:t>
      </w:r>
      <w:r w:rsidRPr="00790E47">
        <w:rPr>
          <w:rFonts w:asciiTheme="minorHAnsi" w:eastAsiaTheme="minorHAnsi" w:hAnsiTheme="minorHAnsi" w:cs="LegacySerif-Book"/>
        </w:rPr>
        <w:t xml:space="preserve"> showed neurologic worsening.</w:t>
      </w:r>
      <w:r w:rsidR="00544119">
        <w:rPr>
          <w:rFonts w:asciiTheme="minorHAnsi" w:eastAsiaTheme="minorHAnsi" w:hAnsiTheme="minorHAnsi" w:cs="LegacySerif-Book"/>
        </w:rPr>
        <w:t xml:space="preserve"> </w:t>
      </w:r>
      <w:r>
        <w:rPr>
          <w:rFonts w:asciiTheme="minorHAnsi" w:eastAsiaTheme="minorHAnsi" w:hAnsiTheme="minorHAnsi" w:cs="LegacySerif-Book"/>
        </w:rPr>
        <w:t xml:space="preserve">Asymptomatic patients treated with </w:t>
      </w:r>
      <w:proofErr w:type="spellStart"/>
      <w:r>
        <w:rPr>
          <w:rFonts w:asciiTheme="minorHAnsi" w:eastAsiaTheme="minorHAnsi" w:hAnsiTheme="minorHAnsi" w:cs="LegacySerif-Book"/>
        </w:rPr>
        <w:t>trientine</w:t>
      </w:r>
      <w:proofErr w:type="spellEnd"/>
      <w:r>
        <w:rPr>
          <w:rFonts w:asciiTheme="minorHAnsi" w:eastAsiaTheme="minorHAnsi" w:hAnsiTheme="minorHAnsi" w:cs="LegacySerif-Book"/>
        </w:rPr>
        <w:t xml:space="preserve"> did not show hepatic worsening or neurologic worsening.</w:t>
      </w:r>
    </w:p>
    <w:p w14:paraId="3FDDFFB5" w14:textId="000CD292" w:rsidR="00F15FDF" w:rsidRPr="00410BA1" w:rsidRDefault="00F15FDF" w:rsidP="00F15FDF">
      <w:r w:rsidRPr="00474374">
        <w:rPr>
          <w:rFonts w:asciiTheme="minorHAnsi" w:eastAsiaTheme="minorHAnsi" w:hAnsiTheme="minorHAnsi" w:cs="LegacySerif-Book"/>
        </w:rPr>
        <w:lastRenderedPageBreak/>
        <w:t xml:space="preserve">There are limitations in the </w:t>
      </w:r>
      <w:r>
        <w:rPr>
          <w:rFonts w:asciiTheme="minorHAnsi" w:eastAsiaTheme="minorHAnsi" w:hAnsiTheme="minorHAnsi" w:cs="LegacySerif-Book"/>
        </w:rPr>
        <w:t>strength</w:t>
      </w:r>
      <w:r w:rsidRPr="00474374">
        <w:rPr>
          <w:rFonts w:asciiTheme="minorHAnsi" w:eastAsiaTheme="minorHAnsi" w:hAnsiTheme="minorHAnsi" w:cs="LegacySerif-Book"/>
        </w:rPr>
        <w:t xml:space="preserve"> of the evidence provided by retrospective </w:t>
      </w:r>
      <w:r w:rsidRPr="00474374">
        <w:rPr>
          <w:lang w:eastAsia="ja-JP"/>
        </w:rPr>
        <w:t>studies, as these stud</w:t>
      </w:r>
      <w:r>
        <w:rPr>
          <w:lang w:eastAsia="ja-JP"/>
        </w:rPr>
        <w:t>ies</w:t>
      </w:r>
      <w:r w:rsidRPr="00474374">
        <w:rPr>
          <w:lang w:eastAsia="ja-JP"/>
        </w:rPr>
        <w:t xml:space="preserve"> </w:t>
      </w:r>
      <w:r>
        <w:rPr>
          <w:lang w:eastAsia="ja-JP"/>
        </w:rPr>
        <w:t>may be</w:t>
      </w:r>
      <w:r w:rsidRPr="00474374">
        <w:rPr>
          <w:lang w:eastAsia="ja-JP"/>
        </w:rPr>
        <w:t xml:space="preserve"> </w:t>
      </w:r>
      <w:r w:rsidRPr="00474374">
        <w:rPr>
          <w:rFonts w:asciiTheme="minorHAnsi" w:eastAsiaTheme="minorHAnsi" w:hAnsiTheme="minorHAnsi" w:cs="LegacySerif-Book"/>
        </w:rPr>
        <w:t>subject to bias and uncertainty due to missing information.</w:t>
      </w:r>
      <w:r w:rsidR="00544119">
        <w:rPr>
          <w:rFonts w:asciiTheme="minorHAnsi" w:eastAsiaTheme="minorHAnsi" w:hAnsiTheme="minorHAnsi" w:cs="LegacySerif-Book"/>
        </w:rPr>
        <w:t xml:space="preserve"> </w:t>
      </w:r>
      <w:r>
        <w:rPr>
          <w:rFonts w:asciiTheme="minorHAnsi" w:eastAsiaTheme="minorHAnsi" w:hAnsiTheme="minorHAnsi" w:cs="LegacySerif-Book"/>
        </w:rPr>
        <w:t>W</w:t>
      </w:r>
      <w:r w:rsidRPr="00474374">
        <w:rPr>
          <w:rFonts w:asciiTheme="minorHAnsi" w:eastAsiaTheme="minorHAnsi" w:hAnsiTheme="minorHAnsi" w:cs="LegacySerif-Book"/>
        </w:rPr>
        <w:t xml:space="preserve">eiss </w:t>
      </w:r>
      <w:r w:rsidR="006240FB">
        <w:rPr>
          <w:rFonts w:asciiTheme="minorHAnsi" w:eastAsiaTheme="minorHAnsi" w:hAnsiTheme="minorHAnsi" w:cs="LegacySerif-Book"/>
        </w:rPr>
        <w:t>et al. (</w:t>
      </w:r>
      <w:r w:rsidRPr="00474374">
        <w:rPr>
          <w:rFonts w:asciiTheme="minorHAnsi" w:eastAsiaTheme="minorHAnsi" w:hAnsiTheme="minorHAnsi" w:cs="LegacySerif-Book"/>
        </w:rPr>
        <w:t>2013</w:t>
      </w:r>
      <w:r w:rsidR="006240FB">
        <w:rPr>
          <w:rFonts w:asciiTheme="minorHAnsi" w:eastAsiaTheme="minorHAnsi" w:hAnsiTheme="minorHAnsi" w:cs="LegacySerif-Book"/>
        </w:rPr>
        <w:t>)</w:t>
      </w:r>
      <w:r w:rsidR="006240FB" w:rsidRPr="006240FB">
        <w:rPr>
          <w:rFonts w:asciiTheme="minorHAnsi" w:eastAsiaTheme="minorHAnsi" w:hAnsiTheme="minorHAnsi" w:cs="LegacySerif-Book"/>
          <w:vertAlign w:val="superscript"/>
        </w:rPr>
        <w:fldChar w:fldCharType="begin"/>
      </w:r>
      <w:r w:rsidR="006240FB" w:rsidRPr="006240FB">
        <w:rPr>
          <w:rFonts w:asciiTheme="minorHAnsi" w:eastAsiaTheme="minorHAnsi" w:hAnsiTheme="minorHAnsi" w:cs="LegacySerif-Book"/>
          <w:vertAlign w:val="superscript"/>
        </w:rPr>
        <w:instrText xml:space="preserve"> NOTEREF _Ref83587707 \h </w:instrText>
      </w:r>
      <w:r w:rsidR="006240FB">
        <w:rPr>
          <w:rFonts w:asciiTheme="minorHAnsi" w:eastAsiaTheme="minorHAnsi" w:hAnsiTheme="minorHAnsi" w:cs="LegacySerif-Book"/>
          <w:vertAlign w:val="superscript"/>
        </w:rPr>
        <w:instrText xml:space="preserve"> \* MERGEFORMAT </w:instrText>
      </w:r>
      <w:r w:rsidR="006240FB" w:rsidRPr="006240FB">
        <w:rPr>
          <w:rFonts w:asciiTheme="minorHAnsi" w:eastAsiaTheme="minorHAnsi" w:hAnsiTheme="minorHAnsi" w:cs="LegacySerif-Book"/>
          <w:vertAlign w:val="superscript"/>
        </w:rPr>
      </w:r>
      <w:r w:rsidR="006240FB" w:rsidRPr="006240FB">
        <w:rPr>
          <w:rFonts w:asciiTheme="minorHAnsi" w:eastAsiaTheme="minorHAnsi" w:hAnsiTheme="minorHAnsi" w:cs="LegacySerif-Book"/>
          <w:vertAlign w:val="superscript"/>
        </w:rPr>
        <w:fldChar w:fldCharType="separate"/>
      </w:r>
      <w:r w:rsidR="005906D0">
        <w:rPr>
          <w:rFonts w:asciiTheme="minorHAnsi" w:eastAsiaTheme="minorHAnsi" w:hAnsiTheme="minorHAnsi" w:cs="LegacySerif-Book"/>
          <w:vertAlign w:val="superscript"/>
        </w:rPr>
        <w:t>12</w:t>
      </w:r>
      <w:r w:rsidR="006240FB" w:rsidRPr="006240FB">
        <w:rPr>
          <w:rFonts w:asciiTheme="minorHAnsi" w:eastAsiaTheme="minorHAnsi" w:hAnsiTheme="minorHAnsi" w:cs="LegacySerif-Book"/>
          <w:vertAlign w:val="superscript"/>
        </w:rPr>
        <w:fldChar w:fldCharType="end"/>
      </w:r>
      <w:r w:rsidRPr="00474374">
        <w:rPr>
          <w:rFonts w:asciiTheme="minorHAnsi" w:eastAsiaTheme="minorHAnsi" w:hAnsiTheme="minorHAnsi" w:cs="LegacySerif-Book"/>
        </w:rPr>
        <w:t xml:space="preserve"> did not report dosages, dose titration, and the formulation of </w:t>
      </w:r>
      <w:proofErr w:type="spellStart"/>
      <w:r w:rsidRPr="00474374">
        <w:rPr>
          <w:rFonts w:asciiTheme="minorHAnsi" w:eastAsiaTheme="minorHAnsi" w:hAnsiTheme="minorHAnsi" w:cs="LegacySerif-Book"/>
        </w:rPr>
        <w:t>trientine</w:t>
      </w:r>
      <w:proofErr w:type="spellEnd"/>
      <w:r w:rsidRPr="00474374">
        <w:rPr>
          <w:rFonts w:asciiTheme="minorHAnsi" w:eastAsiaTheme="minorHAnsi" w:hAnsiTheme="minorHAnsi" w:cs="LegacySerif-Book"/>
        </w:rPr>
        <w:t xml:space="preserve"> used by patients, </w:t>
      </w:r>
      <w:r w:rsidRPr="00474374">
        <w:rPr>
          <w:rFonts w:asciiTheme="minorHAnsi" w:hAnsiTheme="minorHAnsi"/>
        </w:rPr>
        <w:t>no systematic criteria were applied in the initial choice of chelating agent,</w:t>
      </w:r>
      <w:r w:rsidRPr="00474374">
        <w:rPr>
          <w:rFonts w:asciiTheme="minorHAnsi" w:eastAsiaTheme="minorHAnsi" w:hAnsiTheme="minorHAnsi" w:cs="LegacySerif-Book"/>
        </w:rPr>
        <w:t xml:space="preserve"> and neurologic outcomes were not assessed by a standardised or quantitative neurologic scale.</w:t>
      </w:r>
      <w:r w:rsidR="00544119">
        <w:rPr>
          <w:rFonts w:asciiTheme="minorHAnsi" w:eastAsiaTheme="minorHAnsi" w:hAnsiTheme="minorHAnsi" w:cs="LegacySerif-Book"/>
        </w:rPr>
        <w:t xml:space="preserve"> </w:t>
      </w:r>
      <w:r w:rsidRPr="009851F8">
        <w:rPr>
          <w:rFonts w:asciiTheme="minorHAnsi" w:eastAsiaTheme="minorHAnsi" w:hAnsiTheme="minorHAnsi" w:cs="LegacySerif-Book"/>
        </w:rPr>
        <w:t>Treatment decisions were made according to accepted standards at the time and may have been influenced by confounders.</w:t>
      </w:r>
      <w:r w:rsidR="00544119">
        <w:rPr>
          <w:rFonts w:asciiTheme="minorHAnsi" w:eastAsiaTheme="minorHAnsi" w:hAnsiTheme="minorHAnsi" w:cs="LegacySerif-Book"/>
        </w:rPr>
        <w:t xml:space="preserve"> </w:t>
      </w:r>
      <w:r>
        <w:rPr>
          <w:rFonts w:asciiTheme="minorHAnsi" w:eastAsiaTheme="minorHAnsi" w:hAnsiTheme="minorHAnsi" w:cs="LegacySerif-Book"/>
        </w:rPr>
        <w:t>Although there are limitations in the strength of the evidence</w:t>
      </w:r>
      <w:r w:rsidRPr="00474374">
        <w:rPr>
          <w:rFonts w:asciiTheme="minorHAnsi" w:eastAsiaTheme="minorHAnsi" w:hAnsiTheme="minorHAnsi" w:cs="LegacySerif-Book"/>
        </w:rPr>
        <w:t xml:space="preserve">, Weiss </w:t>
      </w:r>
      <w:r w:rsidR="006240FB">
        <w:rPr>
          <w:rFonts w:asciiTheme="minorHAnsi" w:eastAsiaTheme="minorHAnsi" w:hAnsiTheme="minorHAnsi" w:cs="LegacySerif-Book"/>
        </w:rPr>
        <w:t>et al. (</w:t>
      </w:r>
      <w:r w:rsidRPr="00474374">
        <w:rPr>
          <w:rFonts w:asciiTheme="minorHAnsi" w:eastAsiaTheme="minorHAnsi" w:hAnsiTheme="minorHAnsi" w:cs="LegacySerif-Book"/>
        </w:rPr>
        <w:t>2013</w:t>
      </w:r>
      <w:r w:rsidR="006240FB">
        <w:rPr>
          <w:rFonts w:asciiTheme="minorHAnsi" w:eastAsiaTheme="minorHAnsi" w:hAnsiTheme="minorHAnsi" w:cs="LegacySerif-Book"/>
        </w:rPr>
        <w:t>)</w:t>
      </w:r>
      <w:r w:rsidRPr="00474374">
        <w:rPr>
          <w:rFonts w:asciiTheme="minorHAnsi" w:eastAsiaTheme="minorHAnsi" w:hAnsiTheme="minorHAnsi" w:cs="LegacySerif-Book"/>
        </w:rPr>
        <w:t xml:space="preserve"> reviewed </w:t>
      </w:r>
      <w:r>
        <w:rPr>
          <w:rFonts w:asciiTheme="minorHAnsi" w:eastAsiaTheme="minorHAnsi" w:hAnsiTheme="minorHAnsi" w:cs="LegacySerif-Book"/>
        </w:rPr>
        <w:t xml:space="preserve">the efficacy and safety of </w:t>
      </w:r>
      <w:r>
        <w:rPr>
          <w:rFonts w:asciiTheme="minorHAnsi" w:hAnsiTheme="minorHAnsi"/>
        </w:rPr>
        <w:t xml:space="preserve">penicillamine </w:t>
      </w:r>
      <w:r>
        <w:rPr>
          <w:rFonts w:asciiTheme="minorHAnsi" w:eastAsiaTheme="minorHAnsi" w:hAnsiTheme="minorHAnsi" w:cs="LegacySerif-Book"/>
        </w:rPr>
        <w:t xml:space="preserve">and </w:t>
      </w:r>
      <w:proofErr w:type="spellStart"/>
      <w:r>
        <w:rPr>
          <w:rFonts w:asciiTheme="minorHAnsi" w:eastAsiaTheme="minorHAnsi" w:hAnsiTheme="minorHAnsi" w:cs="LegacySerif-Book"/>
        </w:rPr>
        <w:t>trientine</w:t>
      </w:r>
      <w:proofErr w:type="spellEnd"/>
      <w:r>
        <w:rPr>
          <w:rFonts w:asciiTheme="minorHAnsi" w:eastAsiaTheme="minorHAnsi" w:hAnsiTheme="minorHAnsi" w:cs="LegacySerif-Book"/>
        </w:rPr>
        <w:t xml:space="preserve"> in</w:t>
      </w:r>
      <w:r w:rsidRPr="00474374">
        <w:rPr>
          <w:rFonts w:asciiTheme="minorHAnsi" w:eastAsiaTheme="minorHAnsi" w:hAnsiTheme="minorHAnsi" w:cs="LegacySerif-Book"/>
        </w:rPr>
        <w:t xml:space="preserve"> 405 patients </w:t>
      </w:r>
      <w:r>
        <w:rPr>
          <w:rFonts w:asciiTheme="minorHAnsi" w:eastAsiaTheme="minorHAnsi" w:hAnsiTheme="minorHAnsi" w:cs="LegacySerif-Book"/>
        </w:rPr>
        <w:t xml:space="preserve">treated </w:t>
      </w:r>
      <w:r w:rsidRPr="00474374">
        <w:rPr>
          <w:rFonts w:asciiTheme="minorHAnsi" w:eastAsiaTheme="minorHAnsi" w:hAnsiTheme="minorHAnsi" w:cs="LegacySerif-Book"/>
        </w:rPr>
        <w:t>over a mean duration of 13.3 years</w:t>
      </w:r>
      <w:r>
        <w:rPr>
          <w:rFonts w:asciiTheme="minorHAnsi" w:eastAsiaTheme="minorHAnsi" w:hAnsiTheme="minorHAnsi" w:cs="LegacySerif-Book"/>
        </w:rPr>
        <w:t>.</w:t>
      </w:r>
      <w:r w:rsidR="00544119">
        <w:rPr>
          <w:rFonts w:asciiTheme="minorHAnsi" w:eastAsiaTheme="minorHAnsi" w:hAnsiTheme="minorHAnsi" w:cs="LegacySerif-Book"/>
        </w:rPr>
        <w:t xml:space="preserve"> </w:t>
      </w:r>
      <w:r>
        <w:rPr>
          <w:rFonts w:asciiTheme="minorHAnsi" w:eastAsiaTheme="minorHAnsi" w:hAnsiTheme="minorHAnsi" w:cs="LegacySerif-Book"/>
        </w:rPr>
        <w:t>The ou</w:t>
      </w:r>
      <w:r w:rsidRPr="00474374">
        <w:rPr>
          <w:rFonts w:asciiTheme="minorHAnsi" w:eastAsiaTheme="minorHAnsi" w:hAnsiTheme="minorHAnsi" w:cs="LegacySerif-Book"/>
        </w:rPr>
        <w:t xml:space="preserve">tcomes support a clinical benefit with </w:t>
      </w:r>
      <w:proofErr w:type="spellStart"/>
      <w:r w:rsidRPr="00474374">
        <w:rPr>
          <w:rFonts w:asciiTheme="minorHAnsi" w:eastAsiaTheme="minorHAnsi" w:hAnsiTheme="minorHAnsi" w:cs="LegacySerif-Book"/>
        </w:rPr>
        <w:t>trientine</w:t>
      </w:r>
      <w:proofErr w:type="spellEnd"/>
      <w:r w:rsidRPr="00474374">
        <w:rPr>
          <w:rFonts w:asciiTheme="minorHAnsi" w:eastAsiaTheme="minorHAnsi" w:hAnsiTheme="minorHAnsi" w:cs="LegacySerif-Book"/>
        </w:rPr>
        <w:t xml:space="preserve"> in patients who are intolerant of penicillamine.</w:t>
      </w:r>
      <w:r w:rsidR="00544119">
        <w:rPr>
          <w:rFonts w:asciiTheme="minorHAnsi" w:eastAsiaTheme="minorHAnsi" w:hAnsiTheme="minorHAnsi" w:cs="LegacySerif-Book"/>
        </w:rPr>
        <w:t xml:space="preserve"> </w:t>
      </w:r>
      <w:r>
        <w:rPr>
          <w:rFonts w:asciiTheme="minorHAnsi" w:eastAsiaTheme="minorHAnsi" w:hAnsiTheme="minorHAnsi" w:cs="LegacySerif-Book"/>
        </w:rPr>
        <w:t xml:space="preserve">Other retrospective and prospective studies presented in this submission provide data informing use in paediatric patients, supporting the efficacy of </w:t>
      </w:r>
      <w:proofErr w:type="spellStart"/>
      <w:r>
        <w:rPr>
          <w:rFonts w:asciiTheme="minorHAnsi" w:eastAsiaTheme="minorHAnsi" w:hAnsiTheme="minorHAnsi" w:cs="LegacySerif-Book"/>
        </w:rPr>
        <w:t>trientine</w:t>
      </w:r>
      <w:proofErr w:type="spellEnd"/>
      <w:r>
        <w:rPr>
          <w:rFonts w:asciiTheme="minorHAnsi" w:eastAsiaTheme="minorHAnsi" w:hAnsiTheme="minorHAnsi" w:cs="LegacySerif-Book"/>
        </w:rPr>
        <w:t xml:space="preserve"> in the proposed indication.</w:t>
      </w:r>
    </w:p>
    <w:p w14:paraId="42A7A92E" w14:textId="77777777" w:rsidR="00F15FDF" w:rsidRDefault="00F15FDF" w:rsidP="0051685A">
      <w:pPr>
        <w:pStyle w:val="Heading5"/>
      </w:pPr>
      <w:r>
        <w:t>Safety</w:t>
      </w:r>
    </w:p>
    <w:p w14:paraId="35122F2A" w14:textId="34193560" w:rsidR="00F15FDF" w:rsidRDefault="00F15FDF" w:rsidP="00F15FDF">
      <w:r>
        <w:t>The safety dataset based on published literature is limited, as most of the studies were retrospective reviews reliant on safety information recorded in clinical notes.</w:t>
      </w:r>
      <w:r w:rsidR="00544119">
        <w:t xml:space="preserve"> </w:t>
      </w:r>
      <w:r>
        <w:t>Many of the studies were small, and safety reporting varied across the studies.</w:t>
      </w:r>
      <w:r w:rsidR="00544119">
        <w:t xml:space="preserve"> </w:t>
      </w:r>
      <w:r>
        <w:t xml:space="preserve">Although there are limitations in the safety dataset based on published literature, there is a long history of clinical experience with </w:t>
      </w:r>
      <w:proofErr w:type="spellStart"/>
      <w:r>
        <w:t>trientine</w:t>
      </w:r>
      <w:proofErr w:type="spellEnd"/>
      <w:r>
        <w:t>, including</w:t>
      </w:r>
      <w:r w:rsidRPr="00FD0FB4">
        <w:t xml:space="preserve"> </w:t>
      </w:r>
      <w:r>
        <w:t xml:space="preserve">35 years of marketing authorisation in </w:t>
      </w:r>
      <w:r w:rsidR="00F60A42">
        <w:t xml:space="preserve">the </w:t>
      </w:r>
      <w:r>
        <w:t>USA and UK.</w:t>
      </w:r>
      <w:r w:rsidR="00544119">
        <w:t xml:space="preserve"> </w:t>
      </w:r>
      <w:r>
        <w:t xml:space="preserve">Overall, the published literature and the long history of clinical experience support the safety of </w:t>
      </w:r>
      <w:proofErr w:type="spellStart"/>
      <w:r>
        <w:t>trientine</w:t>
      </w:r>
      <w:proofErr w:type="spellEnd"/>
      <w:r>
        <w:t xml:space="preserve"> in the treatment of patients with </w:t>
      </w:r>
      <w:r w:rsidR="00FB5136">
        <w:t>Wilson’s disease</w:t>
      </w:r>
      <w:r>
        <w:t xml:space="preserve"> who are intolerant of penicillamine.</w:t>
      </w:r>
    </w:p>
    <w:p w14:paraId="15A835DA" w14:textId="77777777" w:rsidR="00F15FDF" w:rsidRDefault="00F15FDF" w:rsidP="0051685A">
      <w:pPr>
        <w:pStyle w:val="Heading5"/>
      </w:pPr>
      <w:r>
        <w:t>Labelling</w:t>
      </w:r>
    </w:p>
    <w:p w14:paraId="7126ACA2" w14:textId="45CF1621" w:rsidR="00F15FDF" w:rsidRDefault="00F15FDF" w:rsidP="00F15FDF">
      <w:r>
        <w:t>The strength of the proposed product is expressed in terms of the dihydrochloride salt (250 mg) rather than the free base (167 mg).</w:t>
      </w:r>
      <w:r w:rsidR="00544119">
        <w:t xml:space="preserve"> </w:t>
      </w:r>
      <w:r>
        <w:t xml:space="preserve">The proposed product was developed as a generic of </w:t>
      </w:r>
      <w:proofErr w:type="spellStart"/>
      <w:r>
        <w:rPr>
          <w:rFonts w:cs="Arial"/>
          <w:szCs w:val="23"/>
        </w:rPr>
        <w:t>Syprine</w:t>
      </w:r>
      <w:proofErr w:type="spellEnd"/>
      <w:r>
        <w:rPr>
          <w:rFonts w:cs="Arial"/>
          <w:szCs w:val="23"/>
        </w:rPr>
        <w:t xml:space="preserve"> 250 mg capsules, and is registered in the USA as </w:t>
      </w:r>
      <w:r>
        <w:t xml:space="preserve">Dr Reddy’s </w:t>
      </w:r>
      <w:proofErr w:type="spellStart"/>
      <w:r>
        <w:rPr>
          <w:rFonts w:cs="Arial"/>
          <w:szCs w:val="23"/>
        </w:rPr>
        <w:t>Trientine</w:t>
      </w:r>
      <w:proofErr w:type="spellEnd"/>
      <w:r>
        <w:rPr>
          <w:rFonts w:cs="Arial"/>
          <w:szCs w:val="23"/>
        </w:rPr>
        <w:t xml:space="preserve"> Hydrochloride Capsules USP 250 mg.</w:t>
      </w:r>
      <w:r w:rsidR="00544119">
        <w:rPr>
          <w:rFonts w:cs="Arial"/>
          <w:szCs w:val="23"/>
        </w:rPr>
        <w:t xml:space="preserve"> </w:t>
      </w:r>
      <w:r>
        <w:rPr>
          <w:rFonts w:cs="Arial"/>
          <w:szCs w:val="23"/>
        </w:rPr>
        <w:t>There is a long history</w:t>
      </w:r>
      <w:r w:rsidR="00D36AFA">
        <w:rPr>
          <w:rFonts w:cs="Arial"/>
          <w:szCs w:val="23"/>
        </w:rPr>
        <w:t xml:space="preserve"> of clinical use of </w:t>
      </w:r>
      <w:proofErr w:type="spellStart"/>
      <w:r w:rsidR="00D36AFA">
        <w:rPr>
          <w:rFonts w:cs="Arial"/>
          <w:szCs w:val="23"/>
        </w:rPr>
        <w:t>Syprine</w:t>
      </w:r>
      <w:proofErr w:type="spellEnd"/>
      <w:r w:rsidR="00D36AFA">
        <w:rPr>
          <w:rFonts w:cs="Arial"/>
          <w:szCs w:val="23"/>
        </w:rPr>
        <w:t xml:space="preserve"> 250 </w:t>
      </w:r>
      <w:r>
        <w:rPr>
          <w:rFonts w:cs="Arial"/>
          <w:szCs w:val="23"/>
        </w:rPr>
        <w:t>mg capsules internationally, including Australian patients accessing 250 mg capsules through the Special Access Scheme.</w:t>
      </w:r>
      <w:r w:rsidR="00D36AFA" w:rsidRPr="00D36AFA">
        <w:rPr>
          <w:rFonts w:cs="Arial"/>
          <w:szCs w:val="23"/>
          <w:vertAlign w:val="superscript"/>
        </w:rPr>
        <w:fldChar w:fldCharType="begin"/>
      </w:r>
      <w:r w:rsidR="00D36AFA" w:rsidRPr="00D36AFA">
        <w:rPr>
          <w:rFonts w:cs="Arial"/>
          <w:szCs w:val="23"/>
          <w:vertAlign w:val="superscript"/>
        </w:rPr>
        <w:instrText xml:space="preserve"> NOTEREF _Ref83582062 \h </w:instrText>
      </w:r>
      <w:r w:rsidR="00D36AFA">
        <w:rPr>
          <w:rFonts w:cs="Arial"/>
          <w:szCs w:val="23"/>
          <w:vertAlign w:val="superscript"/>
        </w:rPr>
        <w:instrText xml:space="preserve"> \* MERGEFORMAT </w:instrText>
      </w:r>
      <w:r w:rsidR="00D36AFA" w:rsidRPr="00D36AFA">
        <w:rPr>
          <w:rFonts w:cs="Arial"/>
          <w:szCs w:val="23"/>
          <w:vertAlign w:val="superscript"/>
        </w:rPr>
      </w:r>
      <w:r w:rsidR="00D36AFA" w:rsidRPr="00D36AFA">
        <w:rPr>
          <w:rFonts w:cs="Arial"/>
          <w:szCs w:val="23"/>
          <w:vertAlign w:val="superscript"/>
        </w:rPr>
        <w:fldChar w:fldCharType="separate"/>
      </w:r>
      <w:r w:rsidR="005906D0">
        <w:rPr>
          <w:rFonts w:cs="Arial"/>
          <w:szCs w:val="23"/>
          <w:vertAlign w:val="superscript"/>
        </w:rPr>
        <w:t>2</w:t>
      </w:r>
      <w:r w:rsidR="00D36AFA" w:rsidRPr="00D36AFA">
        <w:rPr>
          <w:rFonts w:cs="Arial"/>
          <w:szCs w:val="23"/>
          <w:vertAlign w:val="superscript"/>
        </w:rPr>
        <w:fldChar w:fldCharType="end"/>
      </w:r>
      <w:r w:rsidR="00544119">
        <w:rPr>
          <w:rFonts w:cs="Arial"/>
          <w:szCs w:val="23"/>
        </w:rPr>
        <w:t xml:space="preserve"> </w:t>
      </w:r>
      <w:r>
        <w:rPr>
          <w:rFonts w:cs="Arial"/>
          <w:szCs w:val="23"/>
        </w:rPr>
        <w:t>Given the familiarity of this product t</w:t>
      </w:r>
      <w:r w:rsidR="00D36AFA">
        <w:rPr>
          <w:rFonts w:cs="Arial"/>
          <w:szCs w:val="23"/>
        </w:rPr>
        <w:t>o patients and prescribers, the Delegate was</w:t>
      </w:r>
      <w:r>
        <w:rPr>
          <w:rFonts w:cs="Arial"/>
          <w:szCs w:val="23"/>
        </w:rPr>
        <w:t xml:space="preserve"> satisfied that the proposed labelling is acceptable.</w:t>
      </w:r>
    </w:p>
    <w:p w14:paraId="73B9A4C8" w14:textId="2ACDD5EB" w:rsidR="00F15FDF" w:rsidRPr="005C7701" w:rsidRDefault="00F15FDF" w:rsidP="00F15FDF">
      <w:r>
        <w:t xml:space="preserve">Switching between different </w:t>
      </w:r>
      <w:proofErr w:type="spellStart"/>
      <w:r>
        <w:t>trientine</w:t>
      </w:r>
      <w:proofErr w:type="spellEnd"/>
      <w:r>
        <w:t xml:space="preserve"> products may present a risk for patients, as different formulations may have a different </w:t>
      </w:r>
      <w:proofErr w:type="spellStart"/>
      <w:r>
        <w:t>trientine</w:t>
      </w:r>
      <w:proofErr w:type="spellEnd"/>
      <w:r>
        <w:t xml:space="preserve"> content and different bioavailability.</w:t>
      </w:r>
      <w:r w:rsidR="00544119">
        <w:t xml:space="preserve"> </w:t>
      </w:r>
      <w:r>
        <w:t xml:space="preserve">The draft Product Information </w:t>
      </w:r>
      <w:r w:rsidR="00D36AFA">
        <w:t xml:space="preserve">(PI) </w:t>
      </w:r>
      <w:r>
        <w:t xml:space="preserve">contains a precaution regarding switching between different formulations of </w:t>
      </w:r>
      <w:proofErr w:type="spellStart"/>
      <w:r>
        <w:t>trientine</w:t>
      </w:r>
      <w:proofErr w:type="spellEnd"/>
      <w:r>
        <w:t>.</w:t>
      </w:r>
      <w:r w:rsidR="00544119">
        <w:t xml:space="preserve"> </w:t>
      </w:r>
      <w:r>
        <w:t>The strength of the product is described in terms of the dihydrochlo</w:t>
      </w:r>
      <w:r w:rsidR="00D36AFA">
        <w:t xml:space="preserve">ride salt and the free base in </w:t>
      </w:r>
      <w:r w:rsidR="00D36AFA" w:rsidRPr="00D36AFA">
        <w:rPr>
          <w:i/>
        </w:rPr>
        <w:t>S</w:t>
      </w:r>
      <w:r w:rsidRPr="00D36AFA">
        <w:rPr>
          <w:i/>
        </w:rPr>
        <w:t xml:space="preserve">ection 2 </w:t>
      </w:r>
      <w:r w:rsidR="00D36AFA" w:rsidRPr="00D36AFA">
        <w:rPr>
          <w:i/>
        </w:rPr>
        <w:t xml:space="preserve">Qualitative </w:t>
      </w:r>
      <w:r w:rsidR="00B85887">
        <w:rPr>
          <w:i/>
        </w:rPr>
        <w:t>a</w:t>
      </w:r>
      <w:r w:rsidR="00D36AFA" w:rsidRPr="00D36AFA">
        <w:rPr>
          <w:i/>
        </w:rPr>
        <w:t>nd Quantitative Composition</w:t>
      </w:r>
      <w:r w:rsidR="00D36AFA">
        <w:t xml:space="preserve">; and </w:t>
      </w:r>
      <w:r w:rsidR="00D36AFA" w:rsidRPr="00D36AFA">
        <w:rPr>
          <w:i/>
        </w:rPr>
        <w:t xml:space="preserve">Section 4.2 Dose </w:t>
      </w:r>
      <w:r w:rsidR="00B85887">
        <w:rPr>
          <w:i/>
        </w:rPr>
        <w:t>a</w:t>
      </w:r>
      <w:r w:rsidR="00D36AFA" w:rsidRPr="00D36AFA">
        <w:rPr>
          <w:i/>
        </w:rPr>
        <w:t xml:space="preserve">nd Method </w:t>
      </w:r>
      <w:r w:rsidR="00B85887">
        <w:rPr>
          <w:i/>
        </w:rPr>
        <w:t>o</w:t>
      </w:r>
      <w:r w:rsidR="00D36AFA" w:rsidRPr="00D36AFA">
        <w:rPr>
          <w:i/>
        </w:rPr>
        <w:t>f Administration</w:t>
      </w:r>
      <w:r w:rsidR="00D36AFA">
        <w:t xml:space="preserve"> </w:t>
      </w:r>
      <w:r>
        <w:t xml:space="preserve">contains a qualifying statement that doses are expressed in terms of </w:t>
      </w:r>
      <w:proofErr w:type="spellStart"/>
      <w:r>
        <w:t>trientine</w:t>
      </w:r>
      <w:proofErr w:type="spellEnd"/>
      <w:r>
        <w:t xml:space="preserve"> dihydrochloride, and that 300 mg of </w:t>
      </w:r>
      <w:proofErr w:type="spellStart"/>
      <w:r>
        <w:t>trientine</w:t>
      </w:r>
      <w:proofErr w:type="spellEnd"/>
      <w:r>
        <w:t xml:space="preserve"> dihydrochloride corresponds to a dose of 200 mg </w:t>
      </w:r>
      <w:proofErr w:type="spellStart"/>
      <w:r>
        <w:t>trientine</w:t>
      </w:r>
      <w:proofErr w:type="spellEnd"/>
      <w:r>
        <w:t xml:space="preserve"> base; however,</w:t>
      </w:r>
      <w:r w:rsidR="00D36AFA">
        <w:t xml:space="preserve"> the Delegate is </w:t>
      </w:r>
      <w:r>
        <w:t xml:space="preserve">not satisfied that this statement </w:t>
      </w:r>
      <w:r w:rsidR="00D36AFA">
        <w:t>adequately addresses this issue.</w:t>
      </w:r>
    </w:p>
    <w:p w14:paraId="33F37615" w14:textId="77777777" w:rsidR="00F15FDF" w:rsidRDefault="00F15FDF" w:rsidP="0051685A">
      <w:pPr>
        <w:pStyle w:val="Heading5"/>
      </w:pPr>
      <w:bookmarkStart w:id="79" w:name="_Ref59450404"/>
      <w:r w:rsidRPr="005529C3">
        <w:t>Proposed indication</w:t>
      </w:r>
      <w:bookmarkEnd w:id="79"/>
    </w:p>
    <w:p w14:paraId="1E05CCFC" w14:textId="5DA213C7" w:rsidR="00F15FDF" w:rsidRDefault="00F15FDF" w:rsidP="00F15FDF">
      <w:r>
        <w:t xml:space="preserve">In the most recent draft </w:t>
      </w:r>
      <w:r w:rsidR="00D36AFA">
        <w:t>PI, the s</w:t>
      </w:r>
      <w:r>
        <w:t>ponsor has rearranged the wording of the indication to:</w:t>
      </w:r>
    </w:p>
    <w:p w14:paraId="5F95B2B7" w14:textId="77777777" w:rsidR="00F15FDF" w:rsidRPr="00D36AFA" w:rsidRDefault="00F15FDF" w:rsidP="00D36AFA">
      <w:pPr>
        <w:ind w:left="720"/>
        <w:rPr>
          <w:i/>
        </w:rPr>
      </w:pPr>
      <w:proofErr w:type="spellStart"/>
      <w:r w:rsidRPr="00D36AFA">
        <w:rPr>
          <w:i/>
        </w:rPr>
        <w:t>Trientine</w:t>
      </w:r>
      <w:proofErr w:type="spellEnd"/>
      <w:r w:rsidRPr="00D36AFA">
        <w:rPr>
          <w:i/>
        </w:rPr>
        <w:t xml:space="preserve"> dihydrochloride capsules are indicated for the treatment of adults, </w:t>
      </w:r>
      <w:proofErr w:type="gramStart"/>
      <w:r w:rsidRPr="00D36AFA">
        <w:rPr>
          <w:i/>
        </w:rPr>
        <w:t>adolescents</w:t>
      </w:r>
      <w:proofErr w:type="gramEnd"/>
      <w:r w:rsidRPr="00D36AFA">
        <w:rPr>
          <w:i/>
        </w:rPr>
        <w:t xml:space="preserve"> and children &gt; 5 years with Wilson's disease in who are intolerant of penicillamine.</w:t>
      </w:r>
    </w:p>
    <w:p w14:paraId="0CF60826" w14:textId="1F136E53" w:rsidR="00F15FDF" w:rsidRDefault="00D36AFA" w:rsidP="00F15FDF">
      <w:r>
        <w:t>The word ‘in’</w:t>
      </w:r>
      <w:r w:rsidR="00F15FDF">
        <w:t xml:space="preserve"> has inadvertently been retained following the </w:t>
      </w:r>
      <w:proofErr w:type="gramStart"/>
      <w:r w:rsidR="00F15FDF">
        <w:t>rearrangement, and</w:t>
      </w:r>
      <w:proofErr w:type="gramEnd"/>
      <w:r w:rsidR="00F15FDF">
        <w:t xml:space="preserve"> should be removed.</w:t>
      </w:r>
    </w:p>
    <w:p w14:paraId="6EE0A56A" w14:textId="77777777" w:rsidR="00E134CB" w:rsidRDefault="00D36AFA" w:rsidP="00F15FDF">
      <w:r>
        <w:t>The Delegate’s</w:t>
      </w:r>
      <w:r w:rsidR="00F15FDF">
        <w:t xml:space="preserve"> </w:t>
      </w:r>
      <w:r>
        <w:t>preference would be to replace ‘</w:t>
      </w:r>
      <w:r w:rsidR="00F15FDF" w:rsidRPr="00E134CB">
        <w:rPr>
          <w:i/>
          <w:sz w:val="23"/>
          <w:szCs w:val="23"/>
        </w:rPr>
        <w:t xml:space="preserve">adults, </w:t>
      </w:r>
      <w:proofErr w:type="gramStart"/>
      <w:r w:rsidR="00F15FDF" w:rsidRPr="00E134CB">
        <w:rPr>
          <w:i/>
          <w:sz w:val="23"/>
          <w:szCs w:val="23"/>
        </w:rPr>
        <w:t>adolescents</w:t>
      </w:r>
      <w:proofErr w:type="gramEnd"/>
      <w:r w:rsidR="00F15FDF" w:rsidRPr="00E134CB">
        <w:rPr>
          <w:i/>
          <w:sz w:val="23"/>
          <w:szCs w:val="23"/>
        </w:rPr>
        <w:t xml:space="preserve"> and children &gt; 5 years</w:t>
      </w:r>
      <w:r w:rsidR="000B1A83">
        <w:rPr>
          <w:sz w:val="23"/>
          <w:szCs w:val="23"/>
        </w:rPr>
        <w:t>’</w:t>
      </w:r>
      <w:r w:rsidR="00E134CB">
        <w:t xml:space="preserve"> with ‘</w:t>
      </w:r>
      <w:r w:rsidR="000B1A83" w:rsidRPr="00E134CB">
        <w:rPr>
          <w:i/>
        </w:rPr>
        <w:t>patients’</w:t>
      </w:r>
      <w:r w:rsidR="00F15FDF">
        <w:t xml:space="preserve">, as paediatric use is appropriately </w:t>
      </w:r>
      <w:r w:rsidR="00E134CB">
        <w:t>informed by the information in Section </w:t>
      </w:r>
      <w:r w:rsidR="00F15FDF">
        <w:t>4.4 of the Product Information.</w:t>
      </w:r>
      <w:r w:rsidR="00544119">
        <w:t xml:space="preserve"> </w:t>
      </w:r>
      <w:r w:rsidR="00F15FDF">
        <w:t>This would be cons</w:t>
      </w:r>
      <w:r w:rsidR="00E134CB">
        <w:t>istent with the wording of the s</w:t>
      </w:r>
      <w:r w:rsidR="00F15FDF">
        <w:t>ponsor’s product in the USA.</w:t>
      </w:r>
    </w:p>
    <w:p w14:paraId="55A36256" w14:textId="1AE312F0" w:rsidR="00F15FDF" w:rsidRDefault="00E134CB" w:rsidP="00F15FDF">
      <w:r>
        <w:lastRenderedPageBreak/>
        <w:t>The Delegate would be happy to consider the s</w:t>
      </w:r>
      <w:r w:rsidR="00F15FDF">
        <w:t>ponsor’s position on the following indication:</w:t>
      </w:r>
    </w:p>
    <w:p w14:paraId="7800507C" w14:textId="77777777" w:rsidR="00F15FDF" w:rsidRPr="00E134CB" w:rsidRDefault="00F15FDF" w:rsidP="00F15FDF">
      <w:pPr>
        <w:ind w:left="284"/>
        <w:rPr>
          <w:i/>
        </w:rPr>
      </w:pPr>
      <w:proofErr w:type="spellStart"/>
      <w:r w:rsidRPr="00E134CB">
        <w:rPr>
          <w:i/>
          <w:sz w:val="23"/>
          <w:szCs w:val="23"/>
        </w:rPr>
        <w:t>Trientine</w:t>
      </w:r>
      <w:proofErr w:type="spellEnd"/>
      <w:r w:rsidRPr="00E134CB">
        <w:rPr>
          <w:i/>
          <w:sz w:val="23"/>
          <w:szCs w:val="23"/>
        </w:rPr>
        <w:t xml:space="preserve"> dihydrochloride capsules are indicated for the treatment of patients with Wilson’s disease who are intolerant of penicillamine.</w:t>
      </w:r>
    </w:p>
    <w:p w14:paraId="3F1C9DAF" w14:textId="77777777" w:rsidR="00F15FDF" w:rsidRDefault="00F15FDF" w:rsidP="0051685A">
      <w:pPr>
        <w:pStyle w:val="Heading5"/>
      </w:pPr>
      <w:r>
        <w:t>Deficiencies and limitations of the data</w:t>
      </w:r>
    </w:p>
    <w:p w14:paraId="47DA0722" w14:textId="108399E1" w:rsidR="00F15FDF" w:rsidRDefault="00F15FDF" w:rsidP="00F15FDF">
      <w:r>
        <w:t>Efficacy and safety data relevant to the proposed indication are derived mostly from retrospective studies, which can be subject to bias and missing information.</w:t>
      </w:r>
    </w:p>
    <w:p w14:paraId="125084E9" w14:textId="2BEF9E3B" w:rsidR="00F15FDF" w:rsidRPr="005C7701" w:rsidRDefault="00F15FDF" w:rsidP="00F15FDF">
      <w:r>
        <w:t>The clinical dossier lacks direct linkage between the proposed product and the published literature.</w:t>
      </w:r>
      <w:r w:rsidR="00544119">
        <w:t xml:space="preserve"> </w:t>
      </w:r>
      <w:r>
        <w:t xml:space="preserve">Many of the literature references did not specify the </w:t>
      </w:r>
      <w:proofErr w:type="spellStart"/>
      <w:r>
        <w:t>trientine</w:t>
      </w:r>
      <w:proofErr w:type="spellEnd"/>
      <w:r>
        <w:t xml:space="preserve"> product or formulation used in the study.</w:t>
      </w:r>
    </w:p>
    <w:p w14:paraId="3607A527" w14:textId="77777777" w:rsidR="00F15FDF" w:rsidRPr="004C0426" w:rsidRDefault="00F15FDF" w:rsidP="0051685A">
      <w:pPr>
        <w:pStyle w:val="Heading5"/>
      </w:pPr>
      <w:r w:rsidRPr="004C0426">
        <w:t>Proposed conditions of registration</w:t>
      </w:r>
    </w:p>
    <w:p w14:paraId="5E57A015" w14:textId="16CFF49E" w:rsidR="00F15FDF" w:rsidRDefault="00F15FDF" w:rsidP="00F15FDF">
      <w:r w:rsidRPr="00C22418">
        <w:t xml:space="preserve">Conditions of registration recommended by the RMP evaluator will be </w:t>
      </w:r>
      <w:r>
        <w:t xml:space="preserve">advised in </w:t>
      </w:r>
      <w:r w:rsidRPr="00C22418">
        <w:t xml:space="preserve">the </w:t>
      </w:r>
      <w:r>
        <w:t xml:space="preserve">final </w:t>
      </w:r>
      <w:r w:rsidRPr="00C22418">
        <w:t>RMP evaluation.</w:t>
      </w:r>
    </w:p>
    <w:p w14:paraId="5C90DA35" w14:textId="77777777" w:rsidR="00B85887" w:rsidRDefault="00B85887" w:rsidP="00B85887">
      <w:pPr>
        <w:pStyle w:val="Heading4"/>
      </w:pPr>
      <w:r w:rsidRPr="00D23139">
        <w:t>Proposed action</w:t>
      </w:r>
    </w:p>
    <w:p w14:paraId="47ECC1ED" w14:textId="37DD98F0" w:rsidR="00E134CB" w:rsidRDefault="00E134CB" w:rsidP="00E134CB">
      <w:r>
        <w:t xml:space="preserve">There are limitations in the efficacy and safety data provided from published literature, but there is a long history of clinical experience with </w:t>
      </w:r>
      <w:proofErr w:type="spellStart"/>
      <w:r>
        <w:t>trientine</w:t>
      </w:r>
      <w:proofErr w:type="spellEnd"/>
      <w:r>
        <w:t>, including</w:t>
      </w:r>
      <w:r w:rsidRPr="00FD0FB4">
        <w:t xml:space="preserve"> </w:t>
      </w:r>
      <w:r>
        <w:t>35 years of marketing authorisation</w:t>
      </w:r>
      <w:r w:rsidRPr="00434DF8">
        <w:t xml:space="preserve"> </w:t>
      </w:r>
      <w:r>
        <w:t xml:space="preserve">internationally. The use of </w:t>
      </w:r>
      <w:proofErr w:type="spellStart"/>
      <w:r>
        <w:t>trientine</w:t>
      </w:r>
      <w:proofErr w:type="spellEnd"/>
      <w:r>
        <w:t xml:space="preserve"> as a chelating agent in patients with Wilson’s disease is recommended in clinical practice guidelines internationally, including the Australian Therapeutic Guidelines.</w:t>
      </w:r>
      <w:r w:rsidR="00E90987">
        <w:rPr>
          <w:rStyle w:val="FootnoteReference"/>
        </w:rPr>
        <w:footnoteReference w:id="31"/>
      </w:r>
    </w:p>
    <w:p w14:paraId="60D884AD" w14:textId="0449C205" w:rsidR="00E134CB" w:rsidRDefault="00E134CB" w:rsidP="00E134CB">
      <w:r>
        <w:t xml:space="preserve">Wilson’s disease is a rare disease which is managed by specialists with expertise in the treatment of the condition. Treatment options are limited in patients who are intolerant of penicillamine. The clinical consequences of untreated or inadequately treated disease are severe, and include hepatic failure, neurologic </w:t>
      </w:r>
      <w:proofErr w:type="gramStart"/>
      <w:r>
        <w:t>impairment</w:t>
      </w:r>
      <w:proofErr w:type="gramEnd"/>
      <w:r>
        <w:t xml:space="preserve"> and death. In this context, the clinical studies presented in this literature-based submission adequately support the efficacy and safety of </w:t>
      </w:r>
      <w:proofErr w:type="spellStart"/>
      <w:r>
        <w:t>trientine</w:t>
      </w:r>
      <w:proofErr w:type="spellEnd"/>
      <w:r>
        <w:t xml:space="preserve"> dihydrochloride for the treatment of patients with Wilson’s disease who are intolerant of penicillamine.</w:t>
      </w:r>
    </w:p>
    <w:p w14:paraId="02B2F40B" w14:textId="1AD2A23E" w:rsidR="00E134CB" w:rsidRPr="00E134CB" w:rsidRDefault="00E134CB" w:rsidP="00E134CB">
      <w:r>
        <w:t>There are no outstanding clinical issues requiring expert advice from Advisory Committee on Medicines (ACM).</w:t>
      </w:r>
    </w:p>
    <w:p w14:paraId="3124CFD8" w14:textId="47293C72" w:rsidR="00F60A42" w:rsidRPr="00E03DC2" w:rsidRDefault="00F60A42" w:rsidP="0051685A">
      <w:r w:rsidRPr="00E03DC2">
        <w:t xml:space="preserve">The Delegate had no reason to say, at the time, that the application for </w:t>
      </w:r>
      <w:proofErr w:type="spellStart"/>
      <w:r w:rsidRPr="00E03DC2">
        <w:t>Trientine</w:t>
      </w:r>
      <w:proofErr w:type="spellEnd"/>
      <w:r w:rsidRPr="00E03DC2">
        <w:t xml:space="preserve"> </w:t>
      </w:r>
      <w:proofErr w:type="spellStart"/>
      <w:proofErr w:type="gramStart"/>
      <w:r w:rsidRPr="00E03DC2">
        <w:t>Dr.Reddy’s</w:t>
      </w:r>
      <w:proofErr w:type="spellEnd"/>
      <w:proofErr w:type="gramEnd"/>
      <w:r w:rsidRPr="00E03DC2">
        <w:t xml:space="preserve">. </w:t>
      </w:r>
      <w:proofErr w:type="spellStart"/>
      <w:r w:rsidRPr="00E03DC2">
        <w:t>Trientine</w:t>
      </w:r>
      <w:proofErr w:type="spellEnd"/>
      <w:r w:rsidRPr="00E03DC2">
        <w:t xml:space="preserve">-Reddy’s, </w:t>
      </w:r>
      <w:proofErr w:type="spellStart"/>
      <w:r w:rsidRPr="00E03DC2">
        <w:t>Trientine</w:t>
      </w:r>
      <w:proofErr w:type="spellEnd"/>
      <w:r w:rsidRPr="00E03DC2">
        <w:t xml:space="preserve">-RZ, and </w:t>
      </w:r>
      <w:proofErr w:type="spellStart"/>
      <w:r w:rsidRPr="00E03DC2">
        <w:t>Trientine</w:t>
      </w:r>
      <w:proofErr w:type="spellEnd"/>
      <w:r w:rsidRPr="00E03DC2">
        <w:t xml:space="preserve"> DRLA should not be approved for registration.</w:t>
      </w:r>
    </w:p>
    <w:p w14:paraId="57CC2C52" w14:textId="207181F0" w:rsidR="008E7846" w:rsidRDefault="00F60A42" w:rsidP="00F60A42">
      <w:pPr>
        <w:pStyle w:val="Heading4"/>
      </w:pPr>
      <w:r w:rsidRPr="00F60A42">
        <w:t xml:space="preserve">Advisory </w:t>
      </w:r>
      <w:r w:rsidR="008E7846" w:rsidRPr="00F60A42">
        <w:t xml:space="preserve">Committee </w:t>
      </w:r>
      <w:r w:rsidR="007D53B6" w:rsidRPr="00F60A42">
        <w:t>c</w:t>
      </w:r>
      <w:r w:rsidR="008E7846" w:rsidRPr="00F60A42">
        <w:t>onsiderations</w:t>
      </w:r>
      <w:r w:rsidR="00456765">
        <w:rPr>
          <w:rStyle w:val="FootnoteReference"/>
        </w:rPr>
        <w:footnoteReference w:id="32"/>
      </w:r>
    </w:p>
    <w:p w14:paraId="233BB16B" w14:textId="77777777" w:rsidR="00744121" w:rsidRPr="007D53B6" w:rsidRDefault="00744121" w:rsidP="00744121">
      <w:bookmarkStart w:id="80" w:name="_Toc247691532"/>
      <w:bookmarkStart w:id="81" w:name="_Toc314842516"/>
      <w:bookmarkEnd w:id="38"/>
      <w:bookmarkEnd w:id="77"/>
      <w:bookmarkEnd w:id="78"/>
      <w:r w:rsidRPr="007D53B6">
        <w:t>The Delegate did not refer this application to the Advisory Committee on Medicines (ACM) for advice.</w:t>
      </w:r>
    </w:p>
    <w:p w14:paraId="04CF180F" w14:textId="77777777" w:rsidR="008E7846" w:rsidRPr="002E238E" w:rsidRDefault="008E7846" w:rsidP="008E7846">
      <w:pPr>
        <w:pStyle w:val="Heading3"/>
      </w:pPr>
      <w:bookmarkStart w:id="82" w:name="_Toc88670221"/>
      <w:r>
        <w:lastRenderedPageBreak/>
        <w:t>Outcome</w:t>
      </w:r>
      <w:bookmarkEnd w:id="80"/>
      <w:bookmarkEnd w:id="81"/>
      <w:bookmarkEnd w:id="82"/>
    </w:p>
    <w:p w14:paraId="17DA9B0B" w14:textId="6A09FA18" w:rsidR="00744121" w:rsidRDefault="00744121" w:rsidP="00744121">
      <w:bookmarkStart w:id="83" w:name="_Toc247691533"/>
      <w:bookmarkStart w:id="84" w:name="_Toc314842517"/>
      <w:r>
        <w:t xml:space="preserve">Based on a review of quality, safety and efficacy, the TGA approved the registration of </w:t>
      </w:r>
      <w:proofErr w:type="spellStart"/>
      <w:r w:rsidR="00262339">
        <w:t>Trientine</w:t>
      </w:r>
      <w:proofErr w:type="spellEnd"/>
      <w:r w:rsidR="00262339">
        <w:t xml:space="preserve"> </w:t>
      </w:r>
      <w:proofErr w:type="spellStart"/>
      <w:proofErr w:type="gramStart"/>
      <w:r w:rsidR="00262339">
        <w:t>Dr.Reddy's</w:t>
      </w:r>
      <w:proofErr w:type="spellEnd"/>
      <w:proofErr w:type="gramEnd"/>
      <w:r w:rsidR="00262339">
        <w:t xml:space="preserve">, </w:t>
      </w:r>
      <w:proofErr w:type="spellStart"/>
      <w:r w:rsidR="00262339">
        <w:t>Trientine</w:t>
      </w:r>
      <w:proofErr w:type="spellEnd"/>
      <w:r w:rsidR="00262339">
        <w:t xml:space="preserve">-Reddy's, </w:t>
      </w:r>
      <w:proofErr w:type="spellStart"/>
      <w:r w:rsidR="00262339">
        <w:t>Trientine</w:t>
      </w:r>
      <w:proofErr w:type="spellEnd"/>
      <w:r w:rsidR="00262339">
        <w:t xml:space="preserve">-RZ, and </w:t>
      </w:r>
      <w:proofErr w:type="spellStart"/>
      <w:r w:rsidR="00262339">
        <w:t>Trientine</w:t>
      </w:r>
      <w:proofErr w:type="spellEnd"/>
      <w:r w:rsidR="00262339">
        <w:noBreakHyphen/>
      </w:r>
      <w:r w:rsidR="00262339" w:rsidRPr="007A028B">
        <w:t xml:space="preserve">DRLA </w:t>
      </w:r>
      <w:r w:rsidR="00262339" w:rsidRPr="00250271">
        <w:t>(</w:t>
      </w:r>
      <w:proofErr w:type="spellStart"/>
      <w:r w:rsidR="00262339">
        <w:t>trientine</w:t>
      </w:r>
      <w:proofErr w:type="spellEnd"/>
      <w:r w:rsidR="00262339">
        <w:t xml:space="preserve"> dihydrochloride) 250 mg</w:t>
      </w:r>
      <w:r w:rsidR="00E03DC2">
        <w:t xml:space="preserve">, </w:t>
      </w:r>
      <w:r w:rsidR="00E03DC2" w:rsidRPr="000E73CB">
        <w:t>capsule</w:t>
      </w:r>
      <w:r w:rsidR="00262339">
        <w:t>,</w:t>
      </w:r>
      <w:r w:rsidR="00E03DC2">
        <w:t xml:space="preserve"> </w:t>
      </w:r>
      <w:r w:rsidR="00E03DC2" w:rsidRPr="009A4926">
        <w:t>bottle</w:t>
      </w:r>
      <w:r w:rsidR="00E03DC2">
        <w:t xml:space="preserve"> </w:t>
      </w:r>
      <w:r w:rsidR="00262339">
        <w:t>indicated for:</w:t>
      </w:r>
    </w:p>
    <w:p w14:paraId="57A7CC9D" w14:textId="6CB82C28" w:rsidR="00262339" w:rsidRPr="0051685A" w:rsidRDefault="00E03DC2" w:rsidP="0051685A">
      <w:pPr>
        <w:ind w:left="720"/>
        <w:rPr>
          <w:i/>
        </w:rPr>
      </w:pPr>
      <w:proofErr w:type="spellStart"/>
      <w:r w:rsidRPr="00871392">
        <w:rPr>
          <w:i/>
        </w:rPr>
        <w:t>Trientine</w:t>
      </w:r>
      <w:proofErr w:type="spellEnd"/>
      <w:r w:rsidRPr="00871392">
        <w:rPr>
          <w:i/>
        </w:rPr>
        <w:t xml:space="preserve"> dihydrochloride capsules are indicated for the treatment of patients with Wilson's disease who are intolerant of penicillamine.</w:t>
      </w:r>
    </w:p>
    <w:p w14:paraId="670028A5" w14:textId="743271FA" w:rsidR="00D23139" w:rsidRDefault="00D23139" w:rsidP="00D23139">
      <w:pPr>
        <w:pStyle w:val="Heading4"/>
      </w:pPr>
      <w:r w:rsidRPr="00D23139">
        <w:t>Specific conditions of registration applying to these goods</w:t>
      </w:r>
    </w:p>
    <w:p w14:paraId="6E7AF360" w14:textId="77777777" w:rsidR="00E03DC2" w:rsidRPr="00AF6A69" w:rsidRDefault="00E03DC2" w:rsidP="00E03DC2">
      <w:pPr>
        <w:pStyle w:val="ListBullet"/>
      </w:pPr>
      <w:proofErr w:type="spellStart"/>
      <w:r w:rsidRPr="00AF6A69">
        <w:t>Trientine</w:t>
      </w:r>
      <w:proofErr w:type="spellEnd"/>
      <w:r w:rsidRPr="00AF6A69">
        <w:t xml:space="preserve">-DRLA, </w:t>
      </w:r>
      <w:proofErr w:type="spellStart"/>
      <w:r w:rsidRPr="00AF6A69">
        <w:t>Trientine</w:t>
      </w:r>
      <w:proofErr w:type="spellEnd"/>
      <w:r w:rsidRPr="00AF6A69">
        <w:t xml:space="preserve">-RZ, </w:t>
      </w:r>
      <w:proofErr w:type="spellStart"/>
      <w:r w:rsidRPr="00AF6A69">
        <w:t>Trientine</w:t>
      </w:r>
      <w:proofErr w:type="spellEnd"/>
      <w:r w:rsidRPr="00AF6A69">
        <w:t xml:space="preserve">-Reddy’s, </w:t>
      </w:r>
      <w:proofErr w:type="spellStart"/>
      <w:r w:rsidRPr="00AF6A69">
        <w:t>Trientine</w:t>
      </w:r>
      <w:proofErr w:type="spellEnd"/>
      <w:r w:rsidRPr="00AF6A69">
        <w:t xml:space="preserve"> </w:t>
      </w:r>
      <w:r>
        <w:t>Dr</w:t>
      </w:r>
      <w:r w:rsidRPr="00AF6A69">
        <w:t>. Reddy’s (</w:t>
      </w:r>
      <w:proofErr w:type="spellStart"/>
      <w:r w:rsidRPr="00AF6A69">
        <w:t>trientine</w:t>
      </w:r>
      <w:proofErr w:type="spellEnd"/>
      <w:r w:rsidRPr="00AF6A69">
        <w:t xml:space="preserve"> dihydrochloride) is to be included in the Black Triangle Scheme. The </w:t>
      </w:r>
      <w:r>
        <w:t>Product Information (</w:t>
      </w:r>
      <w:r w:rsidRPr="00AF6A69">
        <w:t>PI</w:t>
      </w:r>
      <w:r>
        <w:t>)</w:t>
      </w:r>
      <w:r w:rsidRPr="00AF6A69">
        <w:t xml:space="preserve"> and </w:t>
      </w:r>
      <w:r w:rsidRPr="00BD64A7">
        <w:t xml:space="preserve">Consumer Medicines Information </w:t>
      </w:r>
      <w:r>
        <w:t>(</w:t>
      </w:r>
      <w:r w:rsidRPr="00AF6A69">
        <w:t>CMI</w:t>
      </w:r>
      <w:r>
        <w:t>)</w:t>
      </w:r>
      <w:r w:rsidRPr="00AF6A69">
        <w:t xml:space="preserve"> for </w:t>
      </w:r>
      <w:proofErr w:type="spellStart"/>
      <w:r w:rsidRPr="00AF6A69">
        <w:t>Trientine</w:t>
      </w:r>
      <w:proofErr w:type="spellEnd"/>
      <w:r w:rsidRPr="00AF6A69">
        <w:t xml:space="preserve">-DRLA, </w:t>
      </w:r>
      <w:proofErr w:type="spellStart"/>
      <w:r w:rsidRPr="00AF6A69">
        <w:t>Trientine</w:t>
      </w:r>
      <w:proofErr w:type="spellEnd"/>
      <w:r w:rsidRPr="00AF6A69">
        <w:t xml:space="preserve">-RZ, </w:t>
      </w:r>
      <w:proofErr w:type="spellStart"/>
      <w:r w:rsidRPr="00AF6A69">
        <w:t>Trientine</w:t>
      </w:r>
      <w:proofErr w:type="spellEnd"/>
      <w:r w:rsidRPr="00AF6A69">
        <w:t xml:space="preserve">-Reddy’s, </w:t>
      </w:r>
      <w:proofErr w:type="spellStart"/>
      <w:r w:rsidRPr="00AF6A69">
        <w:t>Trientine</w:t>
      </w:r>
      <w:proofErr w:type="spellEnd"/>
      <w:r w:rsidRPr="00AF6A69">
        <w:t xml:space="preserve"> Dr. Reddy’s must include the black triangle symbol and mandatory accompanying text for five years, which starts from the date that the sponsor notifies the TGA of supply of the product.</w:t>
      </w:r>
    </w:p>
    <w:p w14:paraId="7DD796E4" w14:textId="77777777" w:rsidR="00E03DC2" w:rsidRPr="008C2B0D" w:rsidRDefault="00E03DC2" w:rsidP="00E03DC2">
      <w:pPr>
        <w:pStyle w:val="ListBullet"/>
      </w:pPr>
      <w:r w:rsidRPr="008C2B0D">
        <w:t xml:space="preserve">The </w:t>
      </w:r>
      <w:proofErr w:type="spellStart"/>
      <w:r w:rsidRPr="008C2B0D">
        <w:t>trientine</w:t>
      </w:r>
      <w:proofErr w:type="spellEnd"/>
      <w:r w:rsidRPr="008C2B0D">
        <w:t xml:space="preserve"> dihydrochloride Australian Risk Management Plan (RMP) (version 0.4, dated 22 December 2020, data lock point 31 March 2020), included with submission PM-2020-00155-1-3, and any subsequent revisions, as agreed with the TGA will be implemented in Australia.</w:t>
      </w:r>
    </w:p>
    <w:p w14:paraId="52C4B41E" w14:textId="77777777" w:rsidR="00E03DC2" w:rsidRDefault="00E03DC2" w:rsidP="00E03DC2">
      <w:pPr>
        <w:pStyle w:val="ListBullet"/>
        <w:numPr>
          <w:ilvl w:val="0"/>
          <w:numId w:val="0"/>
        </w:numPr>
        <w:ind w:left="360"/>
      </w:pPr>
      <w:r>
        <w:t>An obligatory component of risk management plans is routine pharmacovigilance. Routine pharmacovigilance includes the submission of periodic safety update reports (PSURs).</w:t>
      </w:r>
    </w:p>
    <w:p w14:paraId="5F3ED683" w14:textId="1D0E96EA" w:rsidR="00E03DC2" w:rsidRPr="008C2B0D" w:rsidRDefault="00E03DC2" w:rsidP="00E03DC2">
      <w:pPr>
        <w:pStyle w:val="ListBullet"/>
        <w:numPr>
          <w:ilvl w:val="0"/>
          <w:numId w:val="0"/>
        </w:numPr>
        <w:ind w:left="360"/>
      </w:pPr>
      <w:r w:rsidRPr="008C2B0D">
        <w:t xml:space="preserve">Unless agreed separately between the supplier who is the recipient of the approval and the TGA, the first report must be submitted to TGA no later than 15 calendar months after the date of </w:t>
      </w:r>
      <w:r w:rsidR="00F45B8E">
        <w:t>the</w:t>
      </w:r>
      <w:r w:rsidRPr="008C2B0D">
        <w:t xml:space="preserve"> approval letter. The subsequent reports must be submitted no less frequently than annually from the date of the first submitted report until the period covered by such reports is not less than three years from the date of </w:t>
      </w:r>
      <w:r w:rsidR="00F45B8E">
        <w:t>the</w:t>
      </w:r>
      <w:r w:rsidRPr="008C2B0D">
        <w:t xml:space="preserve"> approval letter. The annual submission may be made up of two PSURs each covering six months. If the sponsor wishes, the </w:t>
      </w:r>
      <w:proofErr w:type="gramStart"/>
      <w:r w:rsidRPr="008C2B0D">
        <w:t>six monthly</w:t>
      </w:r>
      <w:proofErr w:type="gramEnd"/>
      <w:r w:rsidRPr="008C2B0D">
        <w:t xml:space="preserve"> reports may be submitted separately as they become available.</w:t>
      </w:r>
    </w:p>
    <w:p w14:paraId="08B843D9" w14:textId="1E939C5E" w:rsidR="00E03DC2" w:rsidRPr="008C2B0D" w:rsidRDefault="00E03DC2" w:rsidP="00E03DC2">
      <w:pPr>
        <w:pStyle w:val="ListBullet"/>
        <w:numPr>
          <w:ilvl w:val="0"/>
          <w:numId w:val="0"/>
        </w:numPr>
        <w:ind w:left="360"/>
      </w:pPr>
      <w:r w:rsidRPr="008C2B0D">
        <w:t xml:space="preserve">If the product is approved in the </w:t>
      </w:r>
      <w:r>
        <w:t>European Union (</w:t>
      </w:r>
      <w:r w:rsidRPr="008C2B0D">
        <w:t>EU</w:t>
      </w:r>
      <w:r>
        <w:t>)</w:t>
      </w:r>
      <w:r w:rsidRPr="008C2B0D">
        <w:t xml:space="preserve"> during the three years period, reports can be provided in line with the published list of EU reference dates no less frequently than annually from the date of the first submitted report until the period covered by such reports is not less than three years from the date of </w:t>
      </w:r>
      <w:r w:rsidR="00F45B8E">
        <w:t>the</w:t>
      </w:r>
      <w:r w:rsidRPr="008C2B0D">
        <w:t xml:space="preserve"> approval letter.</w:t>
      </w:r>
    </w:p>
    <w:p w14:paraId="4127292B" w14:textId="10653988" w:rsidR="00E03DC2" w:rsidRPr="00E03DC2" w:rsidRDefault="00E03DC2" w:rsidP="0051685A">
      <w:pPr>
        <w:pStyle w:val="ListBullet"/>
        <w:numPr>
          <w:ilvl w:val="0"/>
          <w:numId w:val="0"/>
        </w:numPr>
        <w:ind w:left="360"/>
      </w:pPr>
      <w:r w:rsidRPr="008C2B0D">
        <w:t>The reports are to at least meet the requirements for PSURs as described in the European Medicines Agency’s Guideline on Good Pharmacovigilance Practices (GVP) Module VII-</w:t>
      </w:r>
      <w:r w:rsidR="00F45B8E">
        <w:t>P</w:t>
      </w:r>
      <w:r w:rsidRPr="008C2B0D">
        <w:t>eriodic safety update report (Rev 1), Part VII.B Structures and processes. Note that submission of a PSUR does not constitute an application to vary the registration. Each report must have been prepared within ninety calendar days of the data lock point for that report.</w:t>
      </w:r>
    </w:p>
    <w:p w14:paraId="4516CE2C" w14:textId="77777777" w:rsidR="008E7846" w:rsidRDefault="00A80B5B" w:rsidP="00D23139">
      <w:pPr>
        <w:pStyle w:val="Heading2"/>
      </w:pPr>
      <w:bookmarkStart w:id="85" w:name="_Toc88670222"/>
      <w:r>
        <w:t xml:space="preserve">Attachment 1. </w:t>
      </w:r>
      <w:r w:rsidR="008E7846">
        <w:t xml:space="preserve">Product </w:t>
      </w:r>
      <w:r w:rsidR="00AA0ED0">
        <w:t>I</w:t>
      </w:r>
      <w:r w:rsidR="008E7846">
        <w:t>nformation</w:t>
      </w:r>
      <w:bookmarkEnd w:id="83"/>
      <w:bookmarkEnd w:id="84"/>
      <w:bookmarkEnd w:id="85"/>
    </w:p>
    <w:p w14:paraId="16F059CF" w14:textId="1C2387FA" w:rsidR="00C80137" w:rsidRDefault="006136D7" w:rsidP="00C80137">
      <w:pPr>
        <w:rPr>
          <w:color w:val="000000"/>
          <w:lang w:eastAsia="en-AU"/>
        </w:rPr>
      </w:pPr>
      <w:r w:rsidRPr="002B3624">
        <w:t xml:space="preserve">The </w:t>
      </w:r>
      <w:r>
        <w:t>PI</w:t>
      </w:r>
      <w:r w:rsidRPr="002B3624">
        <w:t xml:space="preserve"> for </w:t>
      </w:r>
      <w:proofErr w:type="spellStart"/>
      <w:r w:rsidR="00262339">
        <w:t>Trientine</w:t>
      </w:r>
      <w:proofErr w:type="spellEnd"/>
      <w:r w:rsidR="00262339">
        <w:t xml:space="preserve"> </w:t>
      </w:r>
      <w:proofErr w:type="spellStart"/>
      <w:proofErr w:type="gramStart"/>
      <w:r w:rsidR="00262339">
        <w:t>Dr.Reddy's</w:t>
      </w:r>
      <w:proofErr w:type="spellEnd"/>
      <w:proofErr w:type="gramEnd"/>
      <w:r w:rsidR="00262339">
        <w:t xml:space="preserve">, </w:t>
      </w:r>
      <w:proofErr w:type="spellStart"/>
      <w:r w:rsidR="00262339">
        <w:t>Trientine</w:t>
      </w:r>
      <w:proofErr w:type="spellEnd"/>
      <w:r w:rsidR="00262339">
        <w:t xml:space="preserve">-Reddy's, </w:t>
      </w:r>
      <w:proofErr w:type="spellStart"/>
      <w:r w:rsidR="00262339">
        <w:t>Trientine</w:t>
      </w:r>
      <w:proofErr w:type="spellEnd"/>
      <w:r w:rsidR="00262339">
        <w:t xml:space="preserve">-RZ, and </w:t>
      </w:r>
      <w:proofErr w:type="spellStart"/>
      <w:r w:rsidR="00262339">
        <w:t>Trientine</w:t>
      </w:r>
      <w:proofErr w:type="spellEnd"/>
      <w:r w:rsidR="00262339">
        <w:noBreakHyphen/>
        <w:t xml:space="preserve">DRLA </w:t>
      </w:r>
      <w:r>
        <w:t xml:space="preserve">approved with the submission which is described in </w:t>
      </w:r>
      <w:r w:rsidRPr="002B3624">
        <w:t xml:space="preserve">this </w:t>
      </w:r>
      <w:proofErr w:type="spellStart"/>
      <w:r w:rsidRPr="002B3624">
        <w:t>AusPAR</w:t>
      </w:r>
      <w:proofErr w:type="spellEnd"/>
      <w:r w:rsidRPr="002B3624">
        <w:t xml:space="preserve"> is at Attachment 1. For the most recent </w:t>
      </w:r>
      <w:r>
        <w:t>PI,</w:t>
      </w:r>
      <w:r w:rsidRPr="002B3624">
        <w:t xml:space="preserve"> please refer to the </w:t>
      </w:r>
      <w:r w:rsidRPr="007C6B9B">
        <w:t xml:space="preserve">TGA website at </w:t>
      </w:r>
      <w:r w:rsidR="007C6B9B" w:rsidRPr="007C6B9B">
        <w:t>&lt;</w:t>
      </w:r>
      <w:hyperlink r:id="rId24" w:history="1">
        <w:r w:rsidR="007C6B9B" w:rsidRPr="007C6B9B">
          <w:rPr>
            <w:rStyle w:val="Hyperlink"/>
          </w:rPr>
          <w:t>https://www.tga.gov.au/product-information-pi</w:t>
        </w:r>
      </w:hyperlink>
      <w:r w:rsidR="00262339">
        <w:t>&gt;.</w:t>
      </w:r>
    </w:p>
    <w:p w14:paraId="0D1839D0" w14:textId="77777777" w:rsidR="00C80137" w:rsidRPr="001D043B" w:rsidRDefault="00C80137" w:rsidP="0051685A">
      <w:pPr>
        <w:autoSpaceDE w:val="0"/>
        <w:autoSpaceDN w:val="0"/>
        <w:adjustRightInd w:val="0"/>
        <w:spacing w:after="0"/>
        <w:rPr>
          <w:b/>
        </w:rPr>
        <w:sectPr w:rsidR="00C80137" w:rsidRPr="001D043B" w:rsidSect="00B452CE">
          <w:headerReference w:type="even" r:id="rId25"/>
          <w:headerReference w:type="default" r:id="rId26"/>
          <w:headerReference w:type="first" r:id="rId27"/>
          <w:footerReference w:type="first" r:id="rId28"/>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312BD309" w14:textId="77777777" w:rsidTr="00A05FA4">
        <w:trPr>
          <w:trHeight w:hRule="exact" w:val="704"/>
        </w:trPr>
        <w:tc>
          <w:tcPr>
            <w:tcW w:w="9175" w:type="dxa"/>
          </w:tcPr>
          <w:p w14:paraId="756EA7E4" w14:textId="77777777" w:rsidR="001C32CD" w:rsidRPr="00487162" w:rsidRDefault="001C32CD" w:rsidP="00A05FA4">
            <w:pPr>
              <w:pStyle w:val="TGASignoff"/>
            </w:pPr>
            <w:r w:rsidRPr="00487162">
              <w:lastRenderedPageBreak/>
              <w:t>Therapeutic Goods Administration</w:t>
            </w:r>
          </w:p>
        </w:tc>
      </w:tr>
      <w:tr w:rsidR="001C32CD" w:rsidRPr="004C239D" w14:paraId="676BAC7C" w14:textId="77777777" w:rsidTr="00A05FA4">
        <w:trPr>
          <w:trHeight w:val="1221"/>
        </w:trPr>
        <w:tc>
          <w:tcPr>
            <w:tcW w:w="9175" w:type="dxa"/>
            <w:tcMar>
              <w:top w:w="28" w:type="dxa"/>
            </w:tcMar>
          </w:tcPr>
          <w:p w14:paraId="794BC7D3" w14:textId="77777777" w:rsidR="001C32CD" w:rsidRPr="00487162" w:rsidRDefault="001C32CD" w:rsidP="00A05FA4">
            <w:pPr>
              <w:pStyle w:val="Address"/>
            </w:pPr>
            <w:r w:rsidRPr="00487162">
              <w:t>PO Box 100 Woden ACT 2606 Australia</w:t>
            </w:r>
          </w:p>
          <w:p w14:paraId="6B3DD566" w14:textId="1A243CB7" w:rsidR="001C32CD" w:rsidRPr="00487162" w:rsidRDefault="001C32CD" w:rsidP="00A05FA4">
            <w:pPr>
              <w:pStyle w:val="Address"/>
            </w:pPr>
            <w:r w:rsidRPr="00487162">
              <w:t xml:space="preserve">Email: </w:t>
            </w:r>
            <w:hyperlink r:id="rId29" w:history="1">
              <w:r w:rsidRPr="004C239D">
                <w:rPr>
                  <w:rStyle w:val="Hyperlink"/>
                </w:rPr>
                <w:t>info@tga.gov.au</w:t>
              </w:r>
            </w:hyperlink>
            <w:r w:rsidR="00544119">
              <w:t xml:space="preserve"> </w:t>
            </w:r>
            <w:r w:rsidRPr="00487162">
              <w:t>Phone: 1800 020 653</w:t>
            </w:r>
            <w:r w:rsidR="00544119">
              <w:t xml:space="preserve"> </w:t>
            </w:r>
            <w:r w:rsidRPr="00487162">
              <w:t>Fax: 02 6232 8605</w:t>
            </w:r>
          </w:p>
          <w:p w14:paraId="3E308BB0" w14:textId="7B3A097A" w:rsidR="001C32CD" w:rsidRPr="004C239D" w:rsidRDefault="00022849" w:rsidP="00A05FA4">
            <w:pPr>
              <w:pStyle w:val="Address"/>
              <w:spacing w:line="260" w:lineRule="atLeast"/>
              <w:rPr>
                <w:b/>
                <w:color w:val="0000FF"/>
                <w:u w:val="single"/>
              </w:rPr>
            </w:pPr>
            <w:hyperlink r:id="rId30" w:history="1">
              <w:r w:rsidR="007C6B9B" w:rsidRPr="007C6B9B">
                <w:rPr>
                  <w:rStyle w:val="Hyperlink"/>
                  <w:b/>
                </w:rPr>
                <w:t>https://www.tga.gov.au</w:t>
              </w:r>
            </w:hyperlink>
          </w:p>
        </w:tc>
      </w:tr>
    </w:tbl>
    <w:p w14:paraId="28C5112D" w14:textId="77777777" w:rsidR="00774E1D" w:rsidRPr="008A5E0B" w:rsidRDefault="00774E1D" w:rsidP="004C239D"/>
    <w:sectPr w:rsidR="00774E1D" w:rsidRPr="008A5E0B" w:rsidSect="001C32CD">
      <w:headerReference w:type="even" r:id="rId31"/>
      <w:headerReference w:type="default" r:id="rId32"/>
      <w:footerReference w:type="default" r:id="rId33"/>
      <w:headerReference w:type="first" r:id="rId34"/>
      <w:footerReference w:type="first" r:id="rId35"/>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1AA5A" w14:textId="77777777" w:rsidR="00D353F1" w:rsidRDefault="00D353F1" w:rsidP="00C40A36">
      <w:pPr>
        <w:spacing w:after="0"/>
      </w:pPr>
      <w:r>
        <w:separator/>
      </w:r>
    </w:p>
  </w:endnote>
  <w:endnote w:type="continuationSeparator" w:id="0">
    <w:p w14:paraId="17608A9B" w14:textId="77777777" w:rsidR="00D353F1" w:rsidRDefault="00D353F1"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LegacySerif-Book">
    <w:panose1 w:val="00000000000000000000"/>
    <w:charset w:val="00"/>
    <w:family w:val="roman"/>
    <w:notTrueType/>
    <w:pitch w:val="default"/>
    <w:sig w:usb0="00000003" w:usb1="00000000" w:usb2="00000000" w:usb3="00000000" w:csb0="00000001" w:csb1="00000000"/>
  </w:font>
  <w:font w:name="MathematicalPi-One">
    <w:altName w:val="Calibri"/>
    <w:panose1 w:val="00000000000000000000"/>
    <w:charset w:val="00"/>
    <w:family w:val="auto"/>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D353F1" w:rsidRPr="00487162" w14:paraId="63E3B40B" w14:textId="77777777" w:rsidTr="00DB750B">
      <w:trPr>
        <w:trHeight w:val="269"/>
      </w:trPr>
      <w:tc>
        <w:tcPr>
          <w:tcW w:w="7371" w:type="dxa"/>
          <w:tcMar>
            <w:top w:w="142" w:type="dxa"/>
            <w:bottom w:w="0" w:type="dxa"/>
          </w:tcMar>
        </w:tcPr>
        <w:p w14:paraId="0FDA1FB0" w14:textId="1E5530D5" w:rsidR="00D353F1" w:rsidRPr="00487162" w:rsidRDefault="00D353F1" w:rsidP="007A404C">
          <w:pPr>
            <w:pStyle w:val="Footer"/>
          </w:pPr>
          <w:proofErr w:type="spellStart"/>
          <w:r w:rsidRPr="00487162">
            <w:t>AusPA</w:t>
          </w:r>
          <w:r>
            <w:t>R</w:t>
          </w:r>
          <w:proofErr w:type="spellEnd"/>
          <w:r>
            <w:t xml:space="preserve"> - </w:t>
          </w:r>
          <w:proofErr w:type="spellStart"/>
          <w:r w:rsidRPr="007A404C">
            <w:t>Trientine</w:t>
          </w:r>
          <w:proofErr w:type="spellEnd"/>
          <w:r w:rsidRPr="007A404C">
            <w:t xml:space="preserve">-Reddy's </w:t>
          </w:r>
          <w:r>
            <w:t>/</w:t>
          </w:r>
          <w:r w:rsidRPr="007A404C">
            <w:t xml:space="preserve"> </w:t>
          </w:r>
          <w:proofErr w:type="spellStart"/>
          <w:r w:rsidRPr="007A404C">
            <w:t>Trientine</w:t>
          </w:r>
          <w:proofErr w:type="spellEnd"/>
          <w:r w:rsidRPr="007A404C">
            <w:t>-R</w:t>
          </w:r>
          <w:r>
            <w:t>Z</w:t>
          </w:r>
          <w:r w:rsidRPr="007A404C">
            <w:t xml:space="preserve"> </w:t>
          </w:r>
          <w:r>
            <w:t>/</w:t>
          </w:r>
          <w:r w:rsidRPr="007A404C">
            <w:t xml:space="preserve"> </w:t>
          </w:r>
          <w:proofErr w:type="spellStart"/>
          <w:r w:rsidRPr="007A404C">
            <w:t>Trie</w:t>
          </w:r>
          <w:r>
            <w:t>ntine</w:t>
          </w:r>
          <w:proofErr w:type="spellEnd"/>
          <w:r>
            <w:t xml:space="preserve"> </w:t>
          </w:r>
          <w:proofErr w:type="spellStart"/>
          <w:proofErr w:type="gramStart"/>
          <w:r>
            <w:t>Dr.Reddy's</w:t>
          </w:r>
          <w:proofErr w:type="spellEnd"/>
          <w:proofErr w:type="gramEnd"/>
          <w:r>
            <w:t xml:space="preserve"> / </w:t>
          </w:r>
          <w:proofErr w:type="spellStart"/>
          <w:r>
            <w:t>Trientine</w:t>
          </w:r>
          <w:proofErr w:type="spellEnd"/>
          <w:r>
            <w:t>-DRLA</w:t>
          </w:r>
          <w:r w:rsidRPr="007A404C">
            <w:t xml:space="preserve"> </w:t>
          </w:r>
          <w:r>
            <w:t xml:space="preserve">– </w:t>
          </w:r>
          <w:proofErr w:type="spellStart"/>
          <w:r>
            <w:t>trientine</w:t>
          </w:r>
          <w:proofErr w:type="spellEnd"/>
          <w:r>
            <w:t> </w:t>
          </w:r>
          <w:r w:rsidRPr="007A404C">
            <w:t>dihydrochloride - Dr. Reddy’s Laboratories Australia Pty Ltd - PM-</w:t>
          </w:r>
          <w:bookmarkStart w:id="3" w:name="_Hlk89331942"/>
          <w:r w:rsidRPr="007A404C">
            <w:t>2020-00155-1-3</w:t>
          </w:r>
          <w:bookmarkEnd w:id="3"/>
          <w:r>
            <w:br/>
            <w:t xml:space="preserve">FINAL </w:t>
          </w:r>
          <w:bookmarkStart w:id="4" w:name="_Hlk89331956"/>
          <w:r>
            <w:t>23 November 2021</w:t>
          </w:r>
          <w:bookmarkEnd w:id="4"/>
        </w:p>
      </w:tc>
      <w:tc>
        <w:tcPr>
          <w:tcW w:w="1490" w:type="dxa"/>
          <w:tcMar>
            <w:top w:w="142" w:type="dxa"/>
            <w:bottom w:w="0" w:type="dxa"/>
          </w:tcMar>
        </w:tcPr>
        <w:p w14:paraId="3DFE67DF" w14:textId="3AADC139" w:rsidR="00D353F1" w:rsidRPr="00487162" w:rsidRDefault="00D353F1" w:rsidP="00DB750B">
          <w:pPr>
            <w:pStyle w:val="Footer"/>
            <w:jc w:val="right"/>
          </w:pPr>
          <w:r w:rsidRPr="00487162">
            <w:t xml:space="preserve">Page </w:t>
          </w:r>
          <w:r>
            <w:fldChar w:fldCharType="begin"/>
          </w:r>
          <w:r>
            <w:instrText xml:space="preserve"> PAGE  \* Arabic </w:instrText>
          </w:r>
          <w:r>
            <w:fldChar w:fldCharType="separate"/>
          </w:r>
          <w:r>
            <w:rPr>
              <w:noProof/>
            </w:rPr>
            <w:t>31</w:t>
          </w:r>
          <w:r>
            <w:fldChar w:fldCharType="end"/>
          </w:r>
          <w:r w:rsidRPr="00487162">
            <w:t xml:space="preserve"> of </w:t>
          </w:r>
          <w:fldSimple w:instr=" NUMPAGES  \* Arabic ">
            <w:r>
              <w:rPr>
                <w:noProof/>
              </w:rPr>
              <w:t>32</w:t>
            </w:r>
          </w:fldSimple>
        </w:p>
      </w:tc>
    </w:tr>
  </w:tbl>
  <w:p w14:paraId="317F08A0" w14:textId="77777777" w:rsidR="00D353F1" w:rsidRDefault="00D353F1" w:rsidP="003D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D353F1" w:rsidRPr="00487162" w14:paraId="06F6F7AC" w14:textId="77777777" w:rsidTr="00E45619">
      <w:trPr>
        <w:trHeight w:val="269"/>
      </w:trPr>
      <w:tc>
        <w:tcPr>
          <w:tcW w:w="4519" w:type="dxa"/>
          <w:tcBorders>
            <w:top w:val="single" w:sz="4" w:space="0" w:color="auto"/>
          </w:tcBorders>
          <w:tcMar>
            <w:top w:w="142" w:type="dxa"/>
            <w:bottom w:w="0" w:type="dxa"/>
          </w:tcMar>
        </w:tcPr>
        <w:p w14:paraId="0E66AEA7" w14:textId="77777777" w:rsidR="00D353F1" w:rsidRPr="00487162" w:rsidRDefault="00D353F1" w:rsidP="00FE1DEE">
          <w:pPr>
            <w:pStyle w:val="Footer"/>
          </w:pPr>
          <w:r w:rsidRPr="00487162">
            <w:t>Document title, Part #, Section # - Section title</w:t>
          </w:r>
        </w:p>
        <w:p w14:paraId="14470175" w14:textId="77777777" w:rsidR="00D353F1" w:rsidRPr="00487162" w:rsidRDefault="00D353F1" w:rsidP="00FE1DEE">
          <w:pPr>
            <w:pStyle w:val="Footer"/>
          </w:pPr>
          <w:r w:rsidRPr="00487162">
            <w:t>V1.0 October 2010</w:t>
          </w:r>
        </w:p>
      </w:tc>
      <w:tc>
        <w:tcPr>
          <w:tcW w:w="4342" w:type="dxa"/>
          <w:tcBorders>
            <w:top w:val="single" w:sz="4" w:space="0" w:color="auto"/>
          </w:tcBorders>
          <w:tcMar>
            <w:top w:w="142" w:type="dxa"/>
            <w:bottom w:w="0" w:type="dxa"/>
          </w:tcMar>
        </w:tcPr>
        <w:p w14:paraId="030F8F3E" w14:textId="77777777" w:rsidR="00D353F1" w:rsidRPr="00487162" w:rsidRDefault="00D353F1"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21</w:t>
            </w:r>
          </w:fldSimple>
        </w:p>
      </w:tc>
    </w:tr>
  </w:tbl>
  <w:p w14:paraId="4B88332A" w14:textId="77777777" w:rsidR="00D353F1" w:rsidRDefault="00D353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D33B7" w14:textId="77777777" w:rsidR="00D353F1" w:rsidRPr="001C32CD" w:rsidRDefault="00D353F1" w:rsidP="001C3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D353F1" w14:paraId="46955DC7" w14:textId="77777777" w:rsidTr="0010601F">
      <w:trPr>
        <w:trHeight w:val="108"/>
      </w:trPr>
      <w:tc>
        <w:tcPr>
          <w:tcW w:w="8875" w:type="dxa"/>
          <w:gridSpan w:val="2"/>
          <w:tcBorders>
            <w:bottom w:val="single" w:sz="4" w:space="0" w:color="auto"/>
          </w:tcBorders>
          <w:tcMar>
            <w:right w:w="284" w:type="dxa"/>
          </w:tcMar>
        </w:tcPr>
        <w:p w14:paraId="254AA260" w14:textId="77777777" w:rsidR="00D353F1" w:rsidRDefault="00D353F1" w:rsidP="006E08B3">
          <w:pPr>
            <w:pStyle w:val="Heading3"/>
          </w:pPr>
          <w:r>
            <w:t>Copyright</w:t>
          </w:r>
        </w:p>
        <w:p w14:paraId="3B43FCDD" w14:textId="77777777" w:rsidR="00D353F1" w:rsidRDefault="00D353F1" w:rsidP="006E08B3">
          <w:r>
            <w:rPr>
              <w:rFonts w:cs="Arial"/>
            </w:rPr>
            <w:t>©</w:t>
          </w:r>
          <w:r>
            <w:t xml:space="preserve"> Commonwealth of Australia [add year]</w:t>
          </w:r>
        </w:p>
        <w:p w14:paraId="3A4888C5" w14:textId="77777777" w:rsidR="00D353F1" w:rsidRDefault="00D353F1" w:rsidP="006E08B3"/>
        <w:p w14:paraId="0BB3C948" w14:textId="181651A4" w:rsidR="00D353F1" w:rsidRDefault="00D353F1"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0B3D8F39" w14:textId="77777777" w:rsidR="00D353F1" w:rsidRDefault="00D353F1" w:rsidP="006E08B3"/>
        <w:p w14:paraId="53AC3CCC" w14:textId="77777777" w:rsidR="00D353F1" w:rsidRDefault="00D353F1" w:rsidP="006E08B3">
          <w:pPr>
            <w:pStyle w:val="Heading3"/>
          </w:pPr>
          <w:r>
            <w:t>Confidentiality</w:t>
          </w:r>
        </w:p>
        <w:p w14:paraId="11A535B4" w14:textId="77777777" w:rsidR="00D353F1" w:rsidRDefault="00D353F1"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0A09FAD5" w14:textId="77777777" w:rsidR="00D353F1" w:rsidRDefault="00D353F1" w:rsidP="006E08B3"/>
        <w:p w14:paraId="3BE878F3" w14:textId="77777777" w:rsidR="00D353F1" w:rsidRDefault="00D353F1" w:rsidP="006E08B3">
          <w:r>
            <w:t>For submission made by individuals, all personal details, other than your name, will be removed from your submission before it is published on the TGA’s Internet site.</w:t>
          </w:r>
        </w:p>
        <w:p w14:paraId="6074C543" w14:textId="77777777" w:rsidR="00D353F1" w:rsidRDefault="00D353F1" w:rsidP="006E08B3"/>
        <w:p w14:paraId="7AC08403" w14:textId="77777777" w:rsidR="00D353F1" w:rsidRDefault="00D353F1"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D353F1" w14:paraId="29F7B7CF" w14:textId="77777777" w:rsidTr="0010601F">
      <w:trPr>
        <w:trHeight w:val="417"/>
      </w:trPr>
      <w:tc>
        <w:tcPr>
          <w:tcW w:w="4519" w:type="dxa"/>
          <w:tcBorders>
            <w:top w:val="single" w:sz="4" w:space="0" w:color="auto"/>
          </w:tcBorders>
          <w:tcMar>
            <w:top w:w="142" w:type="dxa"/>
            <w:bottom w:w="0" w:type="dxa"/>
          </w:tcMar>
        </w:tcPr>
        <w:p w14:paraId="6B3B6A57" w14:textId="77777777" w:rsidR="00D353F1" w:rsidRDefault="00D353F1" w:rsidP="006E08B3">
          <w:r>
            <w:t>Document title, Part #, Section # - Section title</w:t>
          </w:r>
        </w:p>
        <w:p w14:paraId="616B7DA5" w14:textId="77777777" w:rsidR="00D353F1" w:rsidRDefault="00D353F1" w:rsidP="006E08B3">
          <w:r>
            <w:t>V1.0 October 2010</w:t>
          </w:r>
        </w:p>
      </w:tc>
      <w:tc>
        <w:tcPr>
          <w:tcW w:w="4356" w:type="dxa"/>
          <w:tcBorders>
            <w:top w:val="single" w:sz="4" w:space="0" w:color="auto"/>
          </w:tcBorders>
          <w:tcMar>
            <w:top w:w="142" w:type="dxa"/>
            <w:bottom w:w="0" w:type="dxa"/>
          </w:tcMar>
        </w:tcPr>
        <w:p w14:paraId="73C00E76" w14:textId="5639436F" w:rsidR="00D353F1" w:rsidRDefault="00D353F1"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21</w:t>
            </w:r>
          </w:fldSimple>
          <w:r>
            <w:t xml:space="preserve"> </w:t>
          </w:r>
        </w:p>
      </w:tc>
    </w:tr>
  </w:tbl>
  <w:p w14:paraId="1F534C41" w14:textId="77777777" w:rsidR="00D353F1" w:rsidRDefault="00D353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0B60E" w14:textId="77777777" w:rsidR="00D353F1" w:rsidRDefault="00D353F1" w:rsidP="00C40A36">
      <w:pPr>
        <w:spacing w:after="0"/>
      </w:pPr>
      <w:r>
        <w:separator/>
      </w:r>
    </w:p>
  </w:footnote>
  <w:footnote w:type="continuationSeparator" w:id="0">
    <w:p w14:paraId="4BF441A6" w14:textId="77777777" w:rsidR="00D353F1" w:rsidRDefault="00D353F1" w:rsidP="00C40A36">
      <w:pPr>
        <w:spacing w:after="0"/>
      </w:pPr>
      <w:r>
        <w:continuationSeparator/>
      </w:r>
    </w:p>
  </w:footnote>
  <w:footnote w:id="1">
    <w:p w14:paraId="46F1917A" w14:textId="77777777" w:rsidR="00D353F1" w:rsidRDefault="00D353F1">
      <w:pPr>
        <w:pStyle w:val="FootnoteText"/>
      </w:pPr>
      <w:r>
        <w:rPr>
          <w:rStyle w:val="FootnoteReference"/>
        </w:rPr>
        <w:footnoteRef/>
      </w:r>
      <w:r>
        <w:t xml:space="preserve"> </w:t>
      </w:r>
      <w:r w:rsidRPr="00460036">
        <w:t xml:space="preserve">The </w:t>
      </w:r>
      <w:r w:rsidRPr="00460036">
        <w:rPr>
          <w:b/>
        </w:rPr>
        <w:t>Black Triangle Scheme</w:t>
      </w:r>
      <w:r w:rsidRPr="00460036">
        <w:t xml:space="preserve"> provides a simple means for practitioners and patients to identify certain types of new prescription medicines, including those being used in new ways and to encourage the reporting of adverse events associated with their use. The Black Triangle does not denote that there are known safety problems, just that the TGA is encouraging adverse event reporting to help us build up the full picture of a medicine's safety profile.</w:t>
      </w:r>
    </w:p>
  </w:footnote>
  <w:footnote w:id="2">
    <w:p w14:paraId="1397CBA3" w14:textId="77777777" w:rsidR="00D353F1" w:rsidRPr="00936E59" w:rsidRDefault="00D353F1" w:rsidP="002C4EE8">
      <w:pPr>
        <w:pStyle w:val="FootnoteText"/>
        <w:rPr>
          <w:lang w:val="en-US"/>
        </w:rPr>
      </w:pPr>
      <w:r>
        <w:rPr>
          <w:rStyle w:val="FootnoteReference"/>
        </w:rPr>
        <w:footnoteRef/>
      </w:r>
      <w:r>
        <w:t xml:space="preserve"> </w:t>
      </w:r>
      <w:r w:rsidRPr="002C4EE8">
        <w:t xml:space="preserve">The </w:t>
      </w:r>
      <w:r w:rsidRPr="002C4EE8">
        <w:rPr>
          <w:b/>
        </w:rPr>
        <w:t>Special Access Scheme</w:t>
      </w:r>
      <w:r w:rsidRPr="002C4EE8">
        <w:t xml:space="preserve"> (SAS) allows certain health practitioners to access therapeutic goods (such as medicines, medical devices or biologicals) that are not included in the Australian Register of Therapeutic </w:t>
      </w:r>
      <w:r w:rsidRPr="00936E59">
        <w:rPr>
          <w:lang w:val="en-US"/>
        </w:rPr>
        <w:t>Goods (ARTG) for a single patient. Therapeutic goods that are not included in the ARTG (and are not otherwise exempt from being in the ARTG) are described by us as 'unapproved'.</w:t>
      </w:r>
    </w:p>
  </w:footnote>
  <w:footnote w:id="3">
    <w:p w14:paraId="6928A437" w14:textId="364B145A" w:rsidR="00D353F1" w:rsidRPr="002C4EE8" w:rsidRDefault="00D353F1">
      <w:pPr>
        <w:pStyle w:val="FootnoteText"/>
        <w:rPr>
          <w:lang w:val="en-US"/>
        </w:rPr>
      </w:pPr>
      <w:r>
        <w:rPr>
          <w:rStyle w:val="FootnoteReference"/>
        </w:rPr>
        <w:footnoteRef/>
      </w:r>
      <w:r>
        <w:t xml:space="preserve"> </w:t>
      </w:r>
      <w:r w:rsidRPr="002C4EE8">
        <w:rPr>
          <w:b/>
        </w:rPr>
        <w:t>Orphan drugs</w:t>
      </w:r>
      <w:r w:rsidRPr="002C4EE8">
        <w:t xml:space="preserve"> are often developed to treat small and very specific patient populations who suffer from rare diseases and conditions. In order to facilitate orphan drug access to the Australian marketplace and help offset orphan drug development costs the TGA waives application and evaluation fees for prescription medicine registration applications if a related orphan designation is in force. A medicine may be eligible for orphan drug designation if all orphan criteria set by the TGA are met. The orphan designation application precedes the registration application and the designation is specific to the sponsor, orphan indication for which designation was granted and dosage form of the medicine.</w:t>
      </w:r>
    </w:p>
  </w:footnote>
  <w:footnote w:id="4">
    <w:p w14:paraId="1758746D" w14:textId="3E4BD3B0" w:rsidR="00D353F1" w:rsidRPr="00DB4657" w:rsidRDefault="00D353F1">
      <w:pPr>
        <w:pStyle w:val="FootnoteText"/>
        <w:rPr>
          <w:lang w:val="en-US"/>
        </w:rPr>
      </w:pPr>
      <w:r>
        <w:rPr>
          <w:rStyle w:val="FootnoteReference"/>
        </w:rPr>
        <w:footnoteRef/>
      </w:r>
      <w:r>
        <w:t xml:space="preserve"> AusPAR Trientine Waymade trientine dihydrochloride Waymade Australia Pty Ltd </w:t>
      </w:r>
      <w:r w:rsidRPr="00DB4657">
        <w:t>PM-2019-05976-1-3</w:t>
      </w:r>
      <w:r>
        <w:t xml:space="preserve"> </w:t>
      </w:r>
      <w:r w:rsidRPr="00DB4657">
        <w:t>https://www.tga.gov.au/auspar/auspar-trientine-dihydrochloride</w:t>
      </w:r>
    </w:p>
  </w:footnote>
  <w:footnote w:id="5">
    <w:p w14:paraId="78DC93AE" w14:textId="5808CA8E" w:rsidR="00D353F1" w:rsidRDefault="00D353F1" w:rsidP="00CE17A8">
      <w:pPr>
        <w:pStyle w:val="FootnoteText"/>
      </w:pPr>
      <w:r>
        <w:rPr>
          <w:rStyle w:val="FootnoteReference"/>
        </w:rPr>
        <w:footnoteRef/>
      </w:r>
      <w:r>
        <w:rPr>
          <w:lang w:val="en-US"/>
        </w:rPr>
        <w:t xml:space="preserve"> This is a dihydrochloride formulation, referred to in USA as hydrochloride.</w:t>
      </w:r>
    </w:p>
  </w:footnote>
  <w:footnote w:id="6">
    <w:p w14:paraId="623167AE" w14:textId="6BB7CAC0" w:rsidR="00D353F1" w:rsidRPr="00C82174" w:rsidRDefault="00D353F1" w:rsidP="00E03DC2">
      <w:pPr>
        <w:pStyle w:val="FootnoteText"/>
        <w:rPr>
          <w:lang w:val="en-US"/>
        </w:rPr>
      </w:pPr>
      <w:r>
        <w:rPr>
          <w:rStyle w:val="FootnoteReference"/>
        </w:rPr>
        <w:footnoteRef/>
      </w:r>
      <w:r>
        <w:t xml:space="preserve"> </w:t>
      </w:r>
      <w:r w:rsidRPr="00786F9F">
        <w:t>Therapeutic Good Administration (TGA) Literature based submissions, 27 May 2014</w:t>
      </w:r>
      <w:r>
        <w:t xml:space="preserve">. Available at: </w:t>
      </w:r>
      <w:hyperlink r:id="rId1" w:history="1">
        <w:r w:rsidRPr="00A40F81">
          <w:rPr>
            <w:rStyle w:val="Hyperlink"/>
          </w:rPr>
          <w:t>https://www.tga.gov.au/publication/literature-based-submissions</w:t>
        </w:r>
      </w:hyperlink>
      <w:r>
        <w:t>.</w:t>
      </w:r>
    </w:p>
  </w:footnote>
  <w:footnote w:id="7">
    <w:p w14:paraId="3083F016" w14:textId="76199B44" w:rsidR="00D353F1" w:rsidRPr="009977F1" w:rsidRDefault="00D353F1">
      <w:pPr>
        <w:pStyle w:val="FootnoteText"/>
        <w:rPr>
          <w:lang w:val="en-US"/>
        </w:rPr>
      </w:pPr>
      <w:r>
        <w:rPr>
          <w:rStyle w:val="FootnoteReference"/>
        </w:rPr>
        <w:footnoteRef/>
      </w:r>
      <w:r>
        <w:t xml:space="preserve"> </w:t>
      </w:r>
      <w:r w:rsidRPr="00315294">
        <w:rPr>
          <w:b/>
        </w:rPr>
        <w:t>Pregnancy Category D</w:t>
      </w:r>
      <w:r>
        <w:t xml:space="preserve">: </w:t>
      </w:r>
      <w:r w:rsidRPr="009977F1">
        <w:t>Drugs which have caused, are suspected to have caused or may be expected to cause, an increased incidence of human fetal malformations or irreversible damage. These drugs may also have adverse pharmacological effects. Accompanying texts should be consulted for further details.</w:t>
      </w:r>
    </w:p>
  </w:footnote>
  <w:footnote w:id="8">
    <w:p w14:paraId="08AC0B2F" w14:textId="036F42E9" w:rsidR="00D353F1" w:rsidRPr="00803422" w:rsidRDefault="00D353F1">
      <w:pPr>
        <w:pStyle w:val="FootnoteText"/>
        <w:rPr>
          <w:lang w:val="en-US"/>
        </w:rPr>
      </w:pPr>
      <w:r>
        <w:rPr>
          <w:rStyle w:val="FootnoteReference"/>
        </w:rPr>
        <w:footnoteRef/>
      </w:r>
      <w:r>
        <w:t xml:space="preserve"> </w:t>
      </w:r>
      <w:r w:rsidRPr="00803422">
        <w:t>Cho</w:t>
      </w:r>
      <w:r>
        <w:t>,</w:t>
      </w:r>
      <w:r w:rsidRPr="00803422">
        <w:t xml:space="preserve"> H</w:t>
      </w:r>
      <w:r>
        <w:t xml:space="preserve">. </w:t>
      </w:r>
      <w:r w:rsidRPr="00803422">
        <w:t>Y</w:t>
      </w:r>
      <w:r>
        <w:t xml:space="preserve">. et al. </w:t>
      </w:r>
      <w:r w:rsidRPr="00803422">
        <w:t>Pharmacokinetic and pharmacodynamic modeling of a copper-selective chelator (TETA) in healthy adults</w:t>
      </w:r>
      <w:r>
        <w:t>,</w:t>
      </w:r>
      <w:r w:rsidRPr="00803422">
        <w:t xml:space="preserve"> </w:t>
      </w:r>
      <w:r w:rsidRPr="0051685A">
        <w:rPr>
          <w:i/>
          <w:iCs/>
        </w:rPr>
        <w:t>J Clin Pharmacol</w:t>
      </w:r>
      <w:r w:rsidRPr="00803422">
        <w:t>. 2009;</w:t>
      </w:r>
      <w:r>
        <w:t xml:space="preserve"> </w:t>
      </w:r>
      <w:r w:rsidRPr="00803422">
        <w:t>49(8):</w:t>
      </w:r>
      <w:r>
        <w:t xml:space="preserve"> </w:t>
      </w:r>
      <w:r w:rsidRPr="00803422">
        <w:t>916-</w:t>
      </w:r>
      <w:r>
        <w:t>9</w:t>
      </w:r>
      <w:r w:rsidRPr="00803422">
        <w:t>28.</w:t>
      </w:r>
    </w:p>
  </w:footnote>
  <w:footnote w:id="9">
    <w:p w14:paraId="1046BEA9" w14:textId="21BA58C8" w:rsidR="00D353F1" w:rsidRPr="00936E59" w:rsidRDefault="00D353F1" w:rsidP="00936E59">
      <w:pPr>
        <w:pStyle w:val="FootnoteText"/>
      </w:pPr>
      <w:r>
        <w:rPr>
          <w:rStyle w:val="FootnoteReference"/>
        </w:rPr>
        <w:footnoteRef/>
      </w:r>
      <w:r>
        <w:t xml:space="preserve"> eTG complete. Melbourne: Therapeutic Guidelines Ltd; 2019. Wilson disease</w:t>
      </w:r>
    </w:p>
  </w:footnote>
  <w:footnote w:id="10">
    <w:p w14:paraId="64D78D2B" w14:textId="55EE484B" w:rsidR="00D353F1" w:rsidRPr="00936E59" w:rsidRDefault="00D353F1" w:rsidP="00936E59">
      <w:pPr>
        <w:pStyle w:val="FootnoteText"/>
      </w:pPr>
      <w:r>
        <w:rPr>
          <w:rStyle w:val="FootnoteReference"/>
        </w:rPr>
        <w:footnoteRef/>
      </w:r>
      <w:r>
        <w:t xml:space="preserve"> Roberts, E. A. and Schilsky, M.L. American Association for the Study of Liver Diseases (AASLD) Practice guidelines. Diagnosis and treatment of Wilson disease: an update. A practice guideline on Wilson disease, </w:t>
      </w:r>
      <w:r w:rsidRPr="0051685A">
        <w:rPr>
          <w:i/>
          <w:iCs/>
        </w:rPr>
        <w:t>Hepatology</w:t>
      </w:r>
      <w:r>
        <w:t>, 2008; 47(6): 2089-2111.</w:t>
      </w:r>
    </w:p>
  </w:footnote>
  <w:footnote w:id="11">
    <w:p w14:paraId="50F1C12B" w14:textId="729D7187" w:rsidR="00D353F1" w:rsidRPr="00936E59" w:rsidRDefault="00D353F1">
      <w:pPr>
        <w:pStyle w:val="FootnoteText"/>
        <w:rPr>
          <w:lang w:val="en-US"/>
        </w:rPr>
      </w:pPr>
      <w:r>
        <w:rPr>
          <w:rStyle w:val="FootnoteReference"/>
        </w:rPr>
        <w:footnoteRef/>
      </w:r>
      <w:r>
        <w:t xml:space="preserve"> </w:t>
      </w:r>
      <w:r w:rsidRPr="00936E59">
        <w:t xml:space="preserve">European Association for the Study of the Liver (EASL), Clinical Practice </w:t>
      </w:r>
      <w:r>
        <w:t xml:space="preserve">Guidelines: Wilson's disease, </w:t>
      </w:r>
      <w:r w:rsidRPr="0051685A">
        <w:rPr>
          <w:i/>
          <w:iCs/>
        </w:rPr>
        <w:t>J Hepatology</w:t>
      </w:r>
      <w:r w:rsidRPr="00936E59">
        <w:t>, 2012; 56: 671-685.</w:t>
      </w:r>
    </w:p>
  </w:footnote>
  <w:footnote w:id="12">
    <w:p w14:paraId="4E945BBD" w14:textId="206AC196" w:rsidR="00D353F1" w:rsidRPr="007E670B" w:rsidRDefault="00D353F1" w:rsidP="007E670B">
      <w:pPr>
        <w:pStyle w:val="FootnoteText"/>
      </w:pPr>
      <w:r>
        <w:rPr>
          <w:rStyle w:val="FootnoteReference"/>
        </w:rPr>
        <w:footnoteRef/>
      </w:r>
      <w:r>
        <w:t xml:space="preserve"> Weiss, K. H. et al. Efficacy and Safety of oral Chelators in Treatment of Patients with Wilson Disease, </w:t>
      </w:r>
      <w:r w:rsidRPr="0051685A">
        <w:rPr>
          <w:i/>
          <w:iCs/>
        </w:rPr>
        <w:t>Clin Gastroenterol Hepatol</w:t>
      </w:r>
      <w:r>
        <w:t>, 2013; 11: 1028-1035.</w:t>
      </w:r>
    </w:p>
  </w:footnote>
  <w:footnote w:id="13">
    <w:p w14:paraId="008BEBD0" w14:textId="6F4BBD7F" w:rsidR="00D353F1" w:rsidRDefault="00D353F1" w:rsidP="007E670B">
      <w:pPr>
        <w:pStyle w:val="FootnoteText"/>
      </w:pPr>
      <w:r>
        <w:rPr>
          <w:rStyle w:val="FootnoteReference"/>
        </w:rPr>
        <w:footnoteRef/>
      </w:r>
      <w:r>
        <w:t xml:space="preserve"> </w:t>
      </w:r>
      <w:r w:rsidRPr="007E670B">
        <w:rPr>
          <w:b/>
        </w:rPr>
        <w:t>EuroWilson</w:t>
      </w:r>
      <w:r>
        <w:t xml:space="preserve"> was initially funded through the EU Framework Programme 6 from 2004-2008. The overall aim of EuroWilson was to assess the feasibility of mounting randomised controlled trials of treatment in Wilson’s disease. This was achieved by establishing a clinical database of newly presenting cases of Wilson’s disease and gathering data on the incidence of Wilson’s disease, and the numbers of patients within clinically homogenous groups.</w:t>
      </w:r>
    </w:p>
    <w:p w14:paraId="58EBAB47" w14:textId="529EDDD6" w:rsidR="00D353F1" w:rsidRPr="007E670B" w:rsidRDefault="00D353F1" w:rsidP="007E670B">
      <w:pPr>
        <w:pStyle w:val="FootnoteText"/>
        <w:rPr>
          <w:lang w:val="en-US"/>
        </w:rPr>
      </w:pPr>
      <w:r>
        <w:t>EuroWilson’s initial purpose is achieved and has established a rich data resource. This is giving data about epidemiology, quality, and current choice of treatments. Follow-up of this uniquely well-documented cohort will give information about outcomes from different treatment regimes, late neurological deterioration, neurological outcome after transplantation, and other current long-term concerns.</w:t>
      </w:r>
    </w:p>
  </w:footnote>
  <w:footnote w:id="14">
    <w:p w14:paraId="1CCA6183" w14:textId="567549EC" w:rsidR="00D353F1" w:rsidRPr="00FB5136" w:rsidRDefault="00D353F1">
      <w:pPr>
        <w:pStyle w:val="FootnoteText"/>
        <w:rPr>
          <w:lang w:val="en-US"/>
        </w:rPr>
      </w:pPr>
      <w:r>
        <w:rPr>
          <w:rStyle w:val="FootnoteReference"/>
        </w:rPr>
        <w:footnoteRef/>
      </w:r>
      <w:r>
        <w:t xml:space="preserve"> </w:t>
      </w:r>
      <w:r w:rsidRPr="00FB5136">
        <w:t xml:space="preserve">Walshe, J. M. Treatment of Wilson’s Disease with Trientine (Triethylene Tetramine) Dihydrochloride, </w:t>
      </w:r>
      <w:r w:rsidRPr="0051685A">
        <w:rPr>
          <w:i/>
          <w:iCs/>
        </w:rPr>
        <w:t>Lancet</w:t>
      </w:r>
      <w:r w:rsidRPr="00FB5136">
        <w:t xml:space="preserve">, 1982; </w:t>
      </w:r>
      <w:r w:rsidRPr="00F45B8E">
        <w:t>1(8273)</w:t>
      </w:r>
      <w:r>
        <w:t>:</w:t>
      </w:r>
      <w:r w:rsidRPr="00FB5136">
        <w:t xml:space="preserve"> 643-647.</w:t>
      </w:r>
    </w:p>
  </w:footnote>
  <w:footnote w:id="15">
    <w:p w14:paraId="1E09A5B0" w14:textId="5931174F" w:rsidR="00D353F1" w:rsidRPr="00544119" w:rsidRDefault="00D353F1" w:rsidP="00544119">
      <w:pPr>
        <w:pStyle w:val="FootnoteText"/>
      </w:pPr>
      <w:r>
        <w:rPr>
          <w:rStyle w:val="FootnoteReference"/>
        </w:rPr>
        <w:footnoteRef/>
      </w:r>
      <w:r>
        <w:t xml:space="preserve"> Scheinberg, I. H. et al. The Use of Trientine in Preventing the Effects of Interrupting Penicillamne Therapy in Wilson's Disease, </w:t>
      </w:r>
      <w:r w:rsidRPr="0051685A">
        <w:rPr>
          <w:i/>
          <w:iCs/>
        </w:rPr>
        <w:t>N Engl J Med</w:t>
      </w:r>
      <w:r>
        <w:t>,</w:t>
      </w:r>
      <w:r w:rsidRPr="00544119">
        <w:t xml:space="preserve"> 1987; 317:</w:t>
      </w:r>
      <w:r>
        <w:t xml:space="preserve"> </w:t>
      </w:r>
      <w:r w:rsidRPr="00544119">
        <w:t>209-213</w:t>
      </w:r>
      <w:r>
        <w:t>.</w:t>
      </w:r>
    </w:p>
  </w:footnote>
  <w:footnote w:id="16">
    <w:p w14:paraId="7AFFCC98" w14:textId="7BF79D5F" w:rsidR="00D353F1" w:rsidRPr="00544119" w:rsidRDefault="00D353F1">
      <w:pPr>
        <w:pStyle w:val="FootnoteText"/>
        <w:rPr>
          <w:lang w:val="en-US"/>
        </w:rPr>
      </w:pPr>
      <w:r>
        <w:rPr>
          <w:rStyle w:val="FootnoteReference"/>
        </w:rPr>
        <w:footnoteRef/>
      </w:r>
      <w:r>
        <w:t xml:space="preserve"> </w:t>
      </w:r>
      <w:r w:rsidRPr="00544119">
        <w:t>Brewer</w:t>
      </w:r>
      <w:r>
        <w:t>,</w:t>
      </w:r>
      <w:r w:rsidRPr="00544119">
        <w:t xml:space="preserve"> G</w:t>
      </w:r>
      <w:r>
        <w:t xml:space="preserve">. </w:t>
      </w:r>
      <w:r w:rsidRPr="00544119">
        <w:t>J</w:t>
      </w:r>
      <w:r>
        <w:t xml:space="preserve">. </w:t>
      </w:r>
      <w:r w:rsidRPr="00544119">
        <w:t>et al. Treatment of Wilson disease with ammonium tetrathiomolybdate: IV. Comparison of tetrathiomolybdate and trientine in a double-blind study of treatment of the neurologic presentation of Wilson disease</w:t>
      </w:r>
      <w:r>
        <w:t>,</w:t>
      </w:r>
      <w:r w:rsidRPr="00544119">
        <w:t xml:space="preserve"> </w:t>
      </w:r>
      <w:r w:rsidRPr="0051685A">
        <w:rPr>
          <w:i/>
          <w:iCs/>
        </w:rPr>
        <w:t>Arch Neurol</w:t>
      </w:r>
      <w:r>
        <w:t>, 2006; 63(4): 521-527.</w:t>
      </w:r>
    </w:p>
  </w:footnote>
  <w:footnote w:id="17">
    <w:p w14:paraId="46AC26FA" w14:textId="31BCF048" w:rsidR="00D353F1" w:rsidRPr="00452E41" w:rsidRDefault="00D353F1">
      <w:pPr>
        <w:pStyle w:val="FootnoteText"/>
        <w:rPr>
          <w:lang w:val="en-US"/>
        </w:rPr>
      </w:pPr>
      <w:r>
        <w:rPr>
          <w:rStyle w:val="FootnoteReference"/>
        </w:rPr>
        <w:footnoteRef/>
      </w:r>
      <w:r>
        <w:t xml:space="preserve"> </w:t>
      </w:r>
      <w:r w:rsidRPr="00452E41">
        <w:t xml:space="preserve">Dahlman, T. et al. Long-term Treatment of Wilson’s Disease with Triethylene Tetramine Dihydrochloride (Trientine), </w:t>
      </w:r>
      <w:r w:rsidRPr="0051685A">
        <w:rPr>
          <w:i/>
          <w:iCs/>
        </w:rPr>
        <w:t>Q J Med</w:t>
      </w:r>
      <w:r w:rsidRPr="00452E41">
        <w:t>, 1995; 88: 609-616.</w:t>
      </w:r>
    </w:p>
  </w:footnote>
  <w:footnote w:id="18">
    <w:p w14:paraId="47DA3048" w14:textId="569130AC" w:rsidR="00D353F1" w:rsidRPr="00452E41" w:rsidRDefault="00D353F1">
      <w:pPr>
        <w:pStyle w:val="FootnoteText"/>
        <w:rPr>
          <w:lang w:val="en-US"/>
        </w:rPr>
      </w:pPr>
      <w:r>
        <w:rPr>
          <w:rStyle w:val="FootnoteReference"/>
        </w:rPr>
        <w:footnoteRef/>
      </w:r>
      <w:r>
        <w:t xml:space="preserve"> Arnon, R.</w:t>
      </w:r>
      <w:r w:rsidRPr="00452E41">
        <w:t xml:space="preserve"> et al. Wilson Disease in Children: Serum Aminotransferases and Urinary Copper on Triethylene Tetramine Dihydrochloride (Trientine) Treatment, </w:t>
      </w:r>
      <w:r w:rsidRPr="0051685A">
        <w:rPr>
          <w:i/>
          <w:iCs/>
        </w:rPr>
        <w:t>J Ped Gastroent Nutr</w:t>
      </w:r>
      <w:r w:rsidRPr="00452E41">
        <w:t>, 2007; 44: 596-602.</w:t>
      </w:r>
    </w:p>
  </w:footnote>
  <w:footnote w:id="19">
    <w:p w14:paraId="7EE86165" w14:textId="53449778" w:rsidR="00D353F1" w:rsidRPr="00452E41" w:rsidRDefault="00D353F1">
      <w:pPr>
        <w:pStyle w:val="FootnoteText"/>
        <w:rPr>
          <w:lang w:val="en-US"/>
        </w:rPr>
      </w:pPr>
      <w:r>
        <w:rPr>
          <w:rStyle w:val="FootnoteReference"/>
        </w:rPr>
        <w:footnoteRef/>
      </w:r>
      <w:r>
        <w:t xml:space="preserve"> Weiss, K. H.</w:t>
      </w:r>
      <w:r w:rsidRPr="00452E41">
        <w:t xml:space="preserve"> et al. Long Term Outcomes of Treatment with Trientine in Wilson Disease: Final Results from a Multicentre Study in patients Withdrawn from D-penicillamine Therapy, </w:t>
      </w:r>
      <w:r w:rsidRPr="0051685A">
        <w:rPr>
          <w:i/>
          <w:iCs/>
        </w:rPr>
        <w:t>J Hepato</w:t>
      </w:r>
      <w:r w:rsidRPr="00452E41">
        <w:t>, 2018; 68: S106-S107.</w:t>
      </w:r>
    </w:p>
  </w:footnote>
  <w:footnote w:id="20">
    <w:p w14:paraId="05D9A1B3" w14:textId="4AC6A9EA" w:rsidR="00D353F1" w:rsidRPr="00452E41" w:rsidRDefault="00D353F1">
      <w:pPr>
        <w:pStyle w:val="FootnoteText"/>
        <w:rPr>
          <w:lang w:val="en-US"/>
        </w:rPr>
      </w:pPr>
      <w:r>
        <w:rPr>
          <w:rStyle w:val="FootnoteReference"/>
        </w:rPr>
        <w:footnoteRef/>
      </w:r>
      <w:r>
        <w:t xml:space="preserve"> Weiss, K. H. </w:t>
      </w:r>
      <w:r w:rsidRPr="00452E41">
        <w:t>et al. Safety and Efficacy of Trientine Treatment in Wilson Disea</w:t>
      </w:r>
      <w:r>
        <w:t>se in Patients Withdrawn from D</w:t>
      </w:r>
      <w:r>
        <w:noBreakHyphen/>
      </w:r>
      <w:r w:rsidRPr="00452E41">
        <w:t xml:space="preserve">Penicillamine: Final Results from a Prospective Study, </w:t>
      </w:r>
      <w:r w:rsidRPr="0051685A">
        <w:rPr>
          <w:i/>
          <w:iCs/>
        </w:rPr>
        <w:t>J Hepatol</w:t>
      </w:r>
      <w:r w:rsidRPr="00452E41">
        <w:t>, 2019; 70: e383-e624.</w:t>
      </w:r>
    </w:p>
  </w:footnote>
  <w:footnote w:id="21">
    <w:p w14:paraId="0E1346EA" w14:textId="7C91366A" w:rsidR="00D353F1" w:rsidRPr="00C31D1B" w:rsidRDefault="00D353F1">
      <w:pPr>
        <w:pStyle w:val="FootnoteText"/>
        <w:rPr>
          <w:lang w:val="en-US"/>
        </w:rPr>
      </w:pPr>
      <w:r>
        <w:rPr>
          <w:rStyle w:val="FootnoteReference"/>
        </w:rPr>
        <w:footnoteRef/>
      </w:r>
      <w:r>
        <w:t xml:space="preserve"> </w:t>
      </w:r>
      <w:r w:rsidRPr="00C31D1B">
        <w:t>EMA, CHMP, European Assessment Report, Cufence (trientine dihydr</w:t>
      </w:r>
      <w:r>
        <w:t>ochloride), EMA/330602/2019, 29 May </w:t>
      </w:r>
      <w:r w:rsidRPr="00C31D1B">
        <w:t>2019. Available from the EMA website.</w:t>
      </w:r>
    </w:p>
  </w:footnote>
  <w:footnote w:id="22">
    <w:p w14:paraId="03EEA20C" w14:textId="3DA5E7A0" w:rsidR="00D353F1" w:rsidRPr="00C31D1B" w:rsidRDefault="00D353F1">
      <w:pPr>
        <w:pStyle w:val="FootnoteText"/>
        <w:rPr>
          <w:lang w:val="en-US"/>
        </w:rPr>
      </w:pPr>
      <w:r>
        <w:rPr>
          <w:rStyle w:val="FootnoteReference"/>
        </w:rPr>
        <w:footnoteRef/>
      </w:r>
      <w:r>
        <w:t xml:space="preserve"> Ala, A.</w:t>
      </w:r>
      <w:r w:rsidRPr="00C31D1B">
        <w:t xml:space="preserve"> et al. Prospective Pilot Study of a Single Daily Dosage of Trientine for the Treatment of Wilson Disease, </w:t>
      </w:r>
      <w:r w:rsidRPr="0051685A">
        <w:rPr>
          <w:i/>
          <w:iCs/>
        </w:rPr>
        <w:t>Dig Dis Sci</w:t>
      </w:r>
      <w:r w:rsidRPr="00C31D1B">
        <w:t>, 2015; 60:</w:t>
      </w:r>
      <w:r>
        <w:t xml:space="preserve"> </w:t>
      </w:r>
      <w:r w:rsidRPr="00C31D1B">
        <w:t>1433-1439</w:t>
      </w:r>
    </w:p>
  </w:footnote>
  <w:footnote w:id="23">
    <w:p w14:paraId="5F44461A" w14:textId="4C6036B4" w:rsidR="00D353F1" w:rsidRPr="00C31D1B" w:rsidRDefault="00D353F1">
      <w:pPr>
        <w:pStyle w:val="FootnoteText"/>
        <w:rPr>
          <w:lang w:val="en-US"/>
        </w:rPr>
      </w:pPr>
      <w:r>
        <w:rPr>
          <w:rStyle w:val="FootnoteReference"/>
        </w:rPr>
        <w:footnoteRef/>
      </w:r>
      <w:r>
        <w:t xml:space="preserve"> </w:t>
      </w:r>
      <w:r w:rsidRPr="00363D4C">
        <w:t>Appenzeller-Herzog</w:t>
      </w:r>
      <w:r>
        <w:t>,</w:t>
      </w:r>
      <w:r w:rsidRPr="00363D4C">
        <w:t xml:space="preserve"> C</w:t>
      </w:r>
      <w:r>
        <w:t>. et al.</w:t>
      </w:r>
      <w:r w:rsidRPr="00363D4C">
        <w:t xml:space="preserve"> Comparative effectiveness of common therapies for Wilson disease: A systematic review and meta-analysis of controlled studies</w:t>
      </w:r>
      <w:r>
        <w:t>,</w:t>
      </w:r>
      <w:r w:rsidRPr="00363D4C">
        <w:t xml:space="preserve"> </w:t>
      </w:r>
      <w:r w:rsidRPr="0051685A">
        <w:rPr>
          <w:i/>
          <w:iCs/>
        </w:rPr>
        <w:t>Liver Int</w:t>
      </w:r>
      <w:r>
        <w:t>, 2019; 39(11): 2136-2152.</w:t>
      </w:r>
    </w:p>
  </w:footnote>
  <w:footnote w:id="24">
    <w:p w14:paraId="66D29ADF" w14:textId="0FB9AF26" w:rsidR="00D353F1" w:rsidRPr="00363D4C" w:rsidRDefault="00D353F1">
      <w:pPr>
        <w:pStyle w:val="FootnoteText"/>
        <w:rPr>
          <w:lang w:val="en-US"/>
        </w:rPr>
      </w:pPr>
      <w:r>
        <w:rPr>
          <w:rStyle w:val="FootnoteReference"/>
        </w:rPr>
        <w:footnoteRef/>
      </w:r>
      <w:r>
        <w:t xml:space="preserve"> </w:t>
      </w:r>
      <w:r w:rsidRPr="00363D4C">
        <w:t>Wiggelinkhuizen</w:t>
      </w:r>
      <w:r>
        <w:t>,</w:t>
      </w:r>
      <w:r w:rsidRPr="00363D4C">
        <w:t xml:space="preserve"> M</w:t>
      </w:r>
      <w:r>
        <w:t xml:space="preserve">. et al. </w:t>
      </w:r>
      <w:r w:rsidRPr="00363D4C">
        <w:t>Systematic review: clinical efficacy of chelator agents and zinc in the initial treatment of Wilson disease</w:t>
      </w:r>
      <w:r>
        <w:t>,</w:t>
      </w:r>
      <w:r w:rsidRPr="00363D4C">
        <w:t xml:space="preserve"> </w:t>
      </w:r>
      <w:r w:rsidRPr="0051685A">
        <w:rPr>
          <w:i/>
          <w:iCs/>
        </w:rPr>
        <w:t>Aliment Pharmacol Ther</w:t>
      </w:r>
      <w:r>
        <w:t>, 2009; 29(9): 947-958.</w:t>
      </w:r>
    </w:p>
  </w:footnote>
  <w:footnote w:id="25">
    <w:p w14:paraId="5E6986DF" w14:textId="294DCDE1" w:rsidR="00D353F1" w:rsidRPr="00F564C1" w:rsidRDefault="00D353F1">
      <w:pPr>
        <w:pStyle w:val="FootnoteText"/>
        <w:rPr>
          <w:lang w:val="en-US"/>
        </w:rPr>
      </w:pPr>
      <w:r>
        <w:rPr>
          <w:rStyle w:val="FootnoteReference"/>
        </w:rPr>
        <w:footnoteRef/>
      </w:r>
      <w:r>
        <w:t xml:space="preserve"> </w:t>
      </w:r>
      <w:r w:rsidRPr="00F564C1">
        <w:t>Dubois</w:t>
      </w:r>
      <w:r>
        <w:t>,</w:t>
      </w:r>
      <w:r w:rsidRPr="00F564C1">
        <w:t xml:space="preserve"> R</w:t>
      </w:r>
      <w:r>
        <w:t xml:space="preserve">. </w:t>
      </w:r>
      <w:r w:rsidRPr="00F564C1">
        <w:t>S</w:t>
      </w:r>
      <w:r>
        <w:t>. et al</w:t>
      </w:r>
      <w:r w:rsidRPr="00F564C1">
        <w:t>. Treatment of Wilson's disease with triethylene tetramine hydrochloride (Trientine)</w:t>
      </w:r>
      <w:r>
        <w:t>,</w:t>
      </w:r>
      <w:r w:rsidRPr="00F564C1">
        <w:t xml:space="preserve"> </w:t>
      </w:r>
      <w:r w:rsidRPr="0051685A">
        <w:rPr>
          <w:i/>
          <w:iCs/>
        </w:rPr>
        <w:t>J Pediatr Gastroenterol Nutr</w:t>
      </w:r>
      <w:r>
        <w:t xml:space="preserve">, </w:t>
      </w:r>
      <w:r w:rsidRPr="00F564C1">
        <w:t>1990;</w:t>
      </w:r>
      <w:r>
        <w:t xml:space="preserve"> </w:t>
      </w:r>
      <w:r w:rsidRPr="00F564C1">
        <w:t>10(1):</w:t>
      </w:r>
      <w:r>
        <w:t xml:space="preserve"> </w:t>
      </w:r>
      <w:r w:rsidRPr="00F564C1">
        <w:t>77-81.</w:t>
      </w:r>
    </w:p>
  </w:footnote>
  <w:footnote w:id="26">
    <w:p w14:paraId="2D0FC038" w14:textId="429A8A34" w:rsidR="00D353F1" w:rsidRPr="00325803" w:rsidRDefault="00D353F1">
      <w:pPr>
        <w:pStyle w:val="FootnoteText"/>
        <w:rPr>
          <w:lang w:val="en-US"/>
        </w:rPr>
      </w:pPr>
      <w:r>
        <w:rPr>
          <w:rStyle w:val="FootnoteReference"/>
        </w:rPr>
        <w:footnoteRef/>
      </w:r>
      <w:r>
        <w:t xml:space="preserve"> </w:t>
      </w:r>
      <w:r w:rsidRPr="00325803">
        <w:t>Pfeiffenberger</w:t>
      </w:r>
      <w:r>
        <w:t>,</w:t>
      </w:r>
      <w:r w:rsidRPr="00325803">
        <w:t xml:space="preserve"> J</w:t>
      </w:r>
      <w:r>
        <w:t xml:space="preserve">. </w:t>
      </w:r>
      <w:r w:rsidRPr="00325803">
        <w:t>et al. Pregnancy in Wilson's disease: Management and outcome</w:t>
      </w:r>
      <w:r>
        <w:t xml:space="preserve">, </w:t>
      </w:r>
      <w:r w:rsidRPr="0051685A">
        <w:rPr>
          <w:i/>
          <w:iCs/>
        </w:rPr>
        <w:t>Hepatology</w:t>
      </w:r>
      <w:r>
        <w:t>, 2018; 67(4): 1261-1269.</w:t>
      </w:r>
    </w:p>
  </w:footnote>
  <w:footnote w:id="27">
    <w:p w14:paraId="17C84C8F" w14:textId="14BBD424" w:rsidR="00D353F1" w:rsidRPr="006240FB" w:rsidRDefault="00D353F1">
      <w:pPr>
        <w:pStyle w:val="FootnoteText"/>
        <w:rPr>
          <w:lang w:val="en-US"/>
        </w:rPr>
      </w:pPr>
      <w:r>
        <w:rPr>
          <w:rStyle w:val="FootnoteReference"/>
        </w:rPr>
        <w:footnoteRef/>
      </w:r>
      <w:r>
        <w:t xml:space="preserve"> </w:t>
      </w:r>
      <w:r w:rsidRPr="006240FB">
        <w:t>Dathe K, Beck E, Schaefer C. Pregnancy outcome after chelation therapy in Wilson disease. Evaluation</w:t>
      </w:r>
      <w:r>
        <w:t xml:space="preserve"> of the </w:t>
      </w:r>
      <w:r w:rsidRPr="006240FB">
        <w:t>German Embryotox Database.</w:t>
      </w:r>
      <w:r>
        <w:t xml:space="preserve"> Reprod Toxicol. 2016;65:39-45.</w:t>
      </w:r>
    </w:p>
  </w:footnote>
  <w:footnote w:id="28">
    <w:p w14:paraId="2F0C0E12" w14:textId="1D529534" w:rsidR="00D353F1" w:rsidRPr="006240FB" w:rsidRDefault="00D353F1">
      <w:pPr>
        <w:pStyle w:val="FootnoteText"/>
        <w:rPr>
          <w:lang w:val="en-US"/>
        </w:rPr>
      </w:pPr>
      <w:r>
        <w:rPr>
          <w:rStyle w:val="FootnoteReference"/>
        </w:rPr>
        <w:footnoteRef/>
      </w:r>
      <w:r>
        <w:t xml:space="preserve"> </w:t>
      </w:r>
      <w:r w:rsidRPr="006240FB">
        <w:t>Walshe JM. The management of pregnancy in Wilson's disease treated with trientine. Q J Med. 1986;58(225):81-87.</w:t>
      </w:r>
    </w:p>
  </w:footnote>
  <w:footnote w:id="29">
    <w:p w14:paraId="2CBDFECB" w14:textId="1F9E1EDC" w:rsidR="00D353F1" w:rsidRPr="002F47C7" w:rsidRDefault="00D353F1">
      <w:pPr>
        <w:pStyle w:val="FootnoteText"/>
        <w:rPr>
          <w:lang w:val="en-US"/>
        </w:rPr>
      </w:pPr>
      <w:r>
        <w:rPr>
          <w:rStyle w:val="FootnoteReference"/>
        </w:rPr>
        <w:footnoteRef/>
      </w:r>
      <w:r>
        <w:t xml:space="preserve"> </w:t>
      </w:r>
      <w:r>
        <w:rPr>
          <w:lang w:val="en-US"/>
        </w:rPr>
        <w:t>Australian Approved Names are a set of generic names approved by the TGA for drugs (chemical entities, including antibiotics) used in Australia.</w:t>
      </w:r>
    </w:p>
  </w:footnote>
  <w:footnote w:id="30">
    <w:p w14:paraId="3C66D6CD" w14:textId="77777777" w:rsidR="00D353F1" w:rsidRDefault="00D353F1" w:rsidP="007D53B6">
      <w:pPr>
        <w:pStyle w:val="FootnoteText"/>
      </w:pPr>
      <w:r>
        <w:rPr>
          <w:rStyle w:val="FootnoteReference"/>
        </w:rPr>
        <w:footnoteRef/>
      </w:r>
      <w:r>
        <w:t xml:space="preserve"> </w:t>
      </w:r>
      <w:r w:rsidRPr="007D53B6">
        <w:rPr>
          <w:i/>
        </w:rPr>
        <w:t xml:space="preserve">Routine risk minimisation </w:t>
      </w:r>
      <w:r>
        <w:t>activities may be limited to ensuring that suitable warnings are included in the product information or by careful use of labelling and packaging.</w:t>
      </w:r>
    </w:p>
    <w:p w14:paraId="504B5C60" w14:textId="77777777" w:rsidR="00D353F1" w:rsidRDefault="00D353F1" w:rsidP="007D53B6">
      <w:pPr>
        <w:pStyle w:val="FootnoteText"/>
      </w:pPr>
      <w:r w:rsidRPr="007D53B6">
        <w:rPr>
          <w:i/>
        </w:rPr>
        <w:t>Routine pharmacovigilance</w:t>
      </w:r>
      <w:r>
        <w:t xml:space="preserve"> practices involve the following activities:</w:t>
      </w:r>
    </w:p>
    <w:p w14:paraId="7623A9E9" w14:textId="77777777" w:rsidR="00D353F1" w:rsidRDefault="00D353F1" w:rsidP="007D53B6">
      <w:pPr>
        <w:pStyle w:val="FootnoteText"/>
        <w:numPr>
          <w:ilvl w:val="0"/>
          <w:numId w:val="32"/>
        </w:numPr>
        <w:ind w:left="284" w:hanging="284"/>
      </w:pPr>
      <w:r>
        <w:t>All suspected adverse reactions that are reported to the personnel of the company are collected and collated in an accessible manner;</w:t>
      </w:r>
    </w:p>
    <w:p w14:paraId="513A4415" w14:textId="77777777" w:rsidR="00D353F1" w:rsidRDefault="00D353F1" w:rsidP="007D53B6">
      <w:pPr>
        <w:pStyle w:val="FootnoteText"/>
        <w:numPr>
          <w:ilvl w:val="0"/>
          <w:numId w:val="32"/>
        </w:numPr>
        <w:ind w:left="284" w:hanging="284"/>
      </w:pPr>
      <w:r>
        <w:t>Reporting to regulatory authorities;</w:t>
      </w:r>
    </w:p>
    <w:p w14:paraId="4352BDF5" w14:textId="77777777" w:rsidR="00D353F1" w:rsidRDefault="00D353F1" w:rsidP="007D53B6">
      <w:pPr>
        <w:pStyle w:val="FootnoteText"/>
        <w:numPr>
          <w:ilvl w:val="0"/>
          <w:numId w:val="32"/>
        </w:numPr>
        <w:ind w:left="284" w:hanging="284"/>
      </w:pPr>
      <w:r>
        <w:t>Continuous monitoring of the safety profiles of approved products including signal detection and updating of labelling;</w:t>
      </w:r>
    </w:p>
    <w:p w14:paraId="584E4229" w14:textId="77777777" w:rsidR="00D353F1" w:rsidRDefault="00D353F1" w:rsidP="007D53B6">
      <w:pPr>
        <w:pStyle w:val="FootnoteText"/>
        <w:numPr>
          <w:ilvl w:val="0"/>
          <w:numId w:val="32"/>
        </w:numPr>
        <w:ind w:left="284" w:hanging="284"/>
      </w:pPr>
      <w:r>
        <w:t>Submission of PSURs;</w:t>
      </w:r>
    </w:p>
    <w:p w14:paraId="4D4CF6C9" w14:textId="77777777" w:rsidR="00D353F1" w:rsidRDefault="00D353F1" w:rsidP="007D53B6">
      <w:pPr>
        <w:pStyle w:val="FootnoteText"/>
        <w:numPr>
          <w:ilvl w:val="0"/>
          <w:numId w:val="32"/>
        </w:numPr>
        <w:ind w:left="284" w:hanging="284"/>
      </w:pPr>
      <w:r>
        <w:t>Meeting other local regulatory agency requirements.</w:t>
      </w:r>
    </w:p>
  </w:footnote>
  <w:footnote w:id="31">
    <w:p w14:paraId="4B410C8C" w14:textId="2A6DB084" w:rsidR="00D353F1" w:rsidRPr="00E974ED" w:rsidRDefault="00D353F1">
      <w:pPr>
        <w:pStyle w:val="FootnoteText"/>
        <w:rPr>
          <w:lang w:val="en-US"/>
        </w:rPr>
      </w:pPr>
      <w:r>
        <w:rPr>
          <w:rStyle w:val="FootnoteReference"/>
        </w:rPr>
        <w:footnoteRef/>
      </w:r>
      <w:r>
        <w:t xml:space="preserve"> ¥</w:t>
      </w:r>
      <w:r w:rsidRPr="00E90987">
        <w:t>eTG complete. Melbourne: Therapeutic Guidelines Ltd; 2019. Wilson disea</w:t>
      </w:r>
      <w:r>
        <w:t>se (updated March 2017; cited 8 </w:t>
      </w:r>
      <w:r w:rsidRPr="00E90987">
        <w:t>November 2019).</w:t>
      </w:r>
    </w:p>
  </w:footnote>
  <w:footnote w:id="32">
    <w:p w14:paraId="6803E353" w14:textId="77777777" w:rsidR="00D353F1" w:rsidRPr="00456765" w:rsidRDefault="00D353F1" w:rsidP="00FB369D">
      <w:pPr>
        <w:pStyle w:val="FootnoteText"/>
        <w:rPr>
          <w:lang w:val="en-US"/>
        </w:rPr>
      </w:pPr>
      <w:r>
        <w:rPr>
          <w:rStyle w:val="FootnoteReference"/>
        </w:rPr>
        <w:footnoteRef/>
      </w:r>
      <w:r>
        <w:t xml:space="preserve"> </w:t>
      </w:r>
      <w:r w:rsidRPr="00FB369D">
        <w:t xml:space="preserve">The ACM provides independent medical and scientific advice to the Minister for Health and the TGA on issues relating to the safety, quality and efficacy of medicines supplied in Australia including issues relating to pre market and post-market functions for medicines. Further information can be found here: </w:t>
      </w:r>
      <w:hyperlink r:id="rId2" w:history="1">
        <w:r w:rsidRPr="0004151A">
          <w:rPr>
            <w:rStyle w:val="Hyperlink"/>
          </w:rPr>
          <w:t>https://www.tga.gov.au/committee/advisory-committee-medicines-acm</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882EF" w14:textId="77777777" w:rsidR="00D353F1" w:rsidRDefault="00D353F1" w:rsidP="00E45619">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18637" w14:textId="77777777" w:rsidR="00D353F1" w:rsidRDefault="00D353F1">
    <w:pPr>
      <w:rPr>
        <w:noProof/>
        <w:lang w:eastAsia="en-AU"/>
      </w:rPr>
    </w:pPr>
    <w:r w:rsidRPr="00347824">
      <w:rPr>
        <w:noProof/>
        <w:lang w:val="en-GB" w:eastAsia="en-GB"/>
      </w:rPr>
      <w:drawing>
        <wp:anchor distT="0" distB="0" distL="114300" distR="114300" simplePos="0" relativeHeight="251659264" behindDoc="1" locked="0" layoutInCell="1" allowOverlap="1" wp14:anchorId="608A287C" wp14:editId="6C630994">
          <wp:simplePos x="0" y="0"/>
          <wp:positionH relativeFrom="page">
            <wp:align>right</wp:align>
          </wp:positionH>
          <wp:positionV relativeFrom="paragraph">
            <wp:posOffset>-585470</wp:posOffset>
          </wp:positionV>
          <wp:extent cx="7572375" cy="10706100"/>
          <wp:effectExtent l="0" t="0" r="9525" b="0"/>
          <wp:wrapNone/>
          <wp:docPr id="5"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72375" cy="10706100"/>
                  </a:xfrm>
                  <a:prstGeom prst="rect">
                    <a:avLst/>
                  </a:prstGeom>
                </pic:spPr>
              </pic:pic>
            </a:graphicData>
          </a:graphic>
        </wp:anchor>
      </w:drawing>
    </w:r>
  </w:p>
  <w:p w14:paraId="1466B257" w14:textId="77777777" w:rsidR="00D353F1" w:rsidRDefault="00D353F1" w:rsidP="00593AD1">
    <w:pPr>
      <w:pStyle w:val="HeaderNo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89134" w14:textId="77777777" w:rsidR="00D353F1" w:rsidRDefault="00D353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DD198" w14:textId="77777777" w:rsidR="00D353F1" w:rsidRDefault="00D353F1">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1D9ED" w14:textId="77777777" w:rsidR="00D353F1" w:rsidRDefault="00D353F1">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EEEF" w14:textId="77777777" w:rsidR="00D353F1" w:rsidRDefault="00D353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29132" w14:textId="77777777" w:rsidR="00D353F1" w:rsidRDefault="00D353F1" w:rsidP="004C239D">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B9B4" w14:textId="77777777" w:rsidR="00D353F1" w:rsidRDefault="00D353F1" w:rsidP="006E08B3">
    <w:r>
      <w:t>Therapeutic Goods Administration</w:t>
    </w:r>
  </w:p>
  <w:p w14:paraId="7FBF2BBE" w14:textId="77777777" w:rsidR="00D353F1" w:rsidRDefault="00D353F1" w:rsidP="006D0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D076C8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F13E9"/>
    <w:multiLevelType w:val="multilevel"/>
    <w:tmpl w:val="199CD7F0"/>
    <w:styleLink w:val="ListBullets"/>
    <w:lvl w:ilvl="0">
      <w:numFmt w:val="bullet"/>
      <w:pStyle w:val="ListBullet"/>
      <w:lvlText w:val="•"/>
      <w:lvlJc w:val="left"/>
      <w:pPr>
        <w:ind w:left="360" w:hanging="360"/>
      </w:pPr>
      <w:rPr>
        <w:rFonts w:ascii="Cambria" w:eastAsia="Cambria" w:hAnsi="Cambria" w:cs="Times New Roman"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23070AB3"/>
    <w:multiLevelType w:val="hybridMultilevel"/>
    <w:tmpl w:val="DA8E24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F8B10EC"/>
    <w:multiLevelType w:val="hybridMultilevel"/>
    <w:tmpl w:val="C6CAE6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C71AB9"/>
    <w:multiLevelType w:val="hybridMultilevel"/>
    <w:tmpl w:val="F4422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D0B1B75"/>
    <w:multiLevelType w:val="multilevel"/>
    <w:tmpl w:val="985219F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5"/>
        </w:tabs>
        <w:ind w:left="1135" w:hanging="1022"/>
      </w:pPr>
      <w:rPr>
        <w:rFonts w:hint="default"/>
      </w:rPr>
    </w:lvl>
    <w:lvl w:ilvl="2">
      <w:start w:val="1"/>
      <w:numFmt w:val="decimal"/>
      <w:lvlText w:val="%1.%2.%3."/>
      <w:lvlJc w:val="left"/>
      <w:pPr>
        <w:tabs>
          <w:tab w:val="num" w:pos="1134"/>
        </w:tabs>
        <w:ind w:left="1134" w:hanging="964"/>
      </w:pPr>
      <w:rPr>
        <w:rFonts w:hint="default"/>
        <w:i w:val="0"/>
        <w:color w:val="auto"/>
      </w:rPr>
    </w:lvl>
    <w:lvl w:ilvl="3">
      <w:start w:val="1"/>
      <w:numFmt w:val="decimal"/>
      <w:lvlText w:val="%1.%2.%3.%4."/>
      <w:lvlJc w:val="left"/>
      <w:pPr>
        <w:tabs>
          <w:tab w:val="num" w:pos="1418"/>
        </w:tabs>
        <w:ind w:left="1418" w:hanging="1191"/>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15"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7"/>
  </w:num>
  <w:num w:numId="4">
    <w:abstractNumId w:val="7"/>
  </w:num>
  <w:num w:numId="5">
    <w:abstractNumId w:val="0"/>
  </w:num>
  <w:num w:numId="6">
    <w:abstractNumId w:val="7"/>
  </w:num>
  <w:num w:numId="7">
    <w:abstractNumId w:val="7"/>
  </w:num>
  <w:num w:numId="8">
    <w:abstractNumId w:val="5"/>
  </w:num>
  <w:num w:numId="9">
    <w:abstractNumId w:val="5"/>
  </w:num>
  <w:num w:numId="10">
    <w:abstractNumId w:val="5"/>
  </w:num>
  <w:num w:numId="11">
    <w:abstractNumId w:val="5"/>
  </w:num>
  <w:num w:numId="12">
    <w:abstractNumId w:val="3"/>
    <w:lvlOverride w:ilvl="0">
      <w:lvl w:ilvl="0">
        <w:numFmt w:val="bullet"/>
        <w:lvlText w:val="•"/>
        <w:legacy w:legacy="1" w:legacySpace="0" w:legacyIndent="0"/>
        <w:lvlJc w:val="left"/>
        <w:rPr>
          <w:rFonts w:ascii="Helv" w:hAnsi="Helv" w:hint="default"/>
        </w:rPr>
      </w:lvl>
    </w:lvlOverride>
  </w:num>
  <w:num w:numId="13">
    <w:abstractNumId w:val="7"/>
  </w:num>
  <w:num w:numId="14">
    <w:abstractNumId w:val="7"/>
  </w:num>
  <w:num w:numId="15">
    <w:abstractNumId w:val="7"/>
  </w:num>
  <w:num w:numId="16">
    <w:abstractNumId w:val="5"/>
  </w:num>
  <w:num w:numId="17">
    <w:abstractNumId w:val="5"/>
  </w:num>
  <w:num w:numId="18">
    <w:abstractNumId w:val="5"/>
  </w:num>
  <w:num w:numId="19">
    <w:abstractNumId w:val="7"/>
  </w:num>
  <w:num w:numId="20">
    <w:abstractNumId w:val="7"/>
  </w:num>
  <w:num w:numId="21">
    <w:abstractNumId w:val="7"/>
  </w:num>
  <w:num w:numId="22">
    <w:abstractNumId w:val="5"/>
  </w:num>
  <w:num w:numId="23">
    <w:abstractNumId w:val="5"/>
  </w:num>
  <w:num w:numId="24">
    <w:abstractNumId w:val="5"/>
  </w:num>
  <w:num w:numId="25">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2"/>
  </w:num>
  <w:num w:numId="28">
    <w:abstractNumId w:val="15"/>
  </w:num>
  <w:num w:numId="29">
    <w:abstractNumId w:val="6"/>
  </w:num>
  <w:num w:numId="30">
    <w:abstractNumId w:val="10"/>
  </w:num>
  <w:num w:numId="31">
    <w:abstractNumId w:val="4"/>
  </w:num>
  <w:num w:numId="32">
    <w:abstractNumId w:val="13"/>
  </w:num>
  <w:num w:numId="33">
    <w:abstractNumId w:val="11"/>
  </w:num>
  <w:num w:numId="34">
    <w:abstractNumId w:val="9"/>
  </w:num>
  <w:num w:numId="35">
    <w:abstractNumId w:val="1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26"/>
    <w:rsid w:val="00002031"/>
    <w:rsid w:val="00004734"/>
    <w:rsid w:val="00006B22"/>
    <w:rsid w:val="00006FAB"/>
    <w:rsid w:val="0001276A"/>
    <w:rsid w:val="00022849"/>
    <w:rsid w:val="000246AE"/>
    <w:rsid w:val="00025C67"/>
    <w:rsid w:val="00027D80"/>
    <w:rsid w:val="00044772"/>
    <w:rsid w:val="0004541C"/>
    <w:rsid w:val="0005559E"/>
    <w:rsid w:val="000604D6"/>
    <w:rsid w:val="000734D8"/>
    <w:rsid w:val="00077775"/>
    <w:rsid w:val="00090471"/>
    <w:rsid w:val="00094A8B"/>
    <w:rsid w:val="00096AA7"/>
    <w:rsid w:val="000A3AED"/>
    <w:rsid w:val="000B1A83"/>
    <w:rsid w:val="000B3532"/>
    <w:rsid w:val="000B3A75"/>
    <w:rsid w:val="000C00C2"/>
    <w:rsid w:val="000C690F"/>
    <w:rsid w:val="000C79A2"/>
    <w:rsid w:val="000D1295"/>
    <w:rsid w:val="000D391B"/>
    <w:rsid w:val="000D3D6D"/>
    <w:rsid w:val="000D4FC7"/>
    <w:rsid w:val="000D6CDD"/>
    <w:rsid w:val="000E0215"/>
    <w:rsid w:val="000E6196"/>
    <w:rsid w:val="000F4869"/>
    <w:rsid w:val="000F5B42"/>
    <w:rsid w:val="000F6E6F"/>
    <w:rsid w:val="0010601F"/>
    <w:rsid w:val="00107837"/>
    <w:rsid w:val="0010788A"/>
    <w:rsid w:val="00107A31"/>
    <w:rsid w:val="00110EA5"/>
    <w:rsid w:val="00112F56"/>
    <w:rsid w:val="00122C2E"/>
    <w:rsid w:val="00124ACD"/>
    <w:rsid w:val="00125318"/>
    <w:rsid w:val="001305A2"/>
    <w:rsid w:val="00133238"/>
    <w:rsid w:val="00133A1B"/>
    <w:rsid w:val="00134B03"/>
    <w:rsid w:val="0014197B"/>
    <w:rsid w:val="001447CD"/>
    <w:rsid w:val="001516B1"/>
    <w:rsid w:val="00152686"/>
    <w:rsid w:val="00154EBB"/>
    <w:rsid w:val="00156316"/>
    <w:rsid w:val="00161181"/>
    <w:rsid w:val="00162D14"/>
    <w:rsid w:val="00163780"/>
    <w:rsid w:val="00165389"/>
    <w:rsid w:val="001707B7"/>
    <w:rsid w:val="0017693F"/>
    <w:rsid w:val="0018110E"/>
    <w:rsid w:val="00181684"/>
    <w:rsid w:val="001843C6"/>
    <w:rsid w:val="001850E0"/>
    <w:rsid w:val="001A03AF"/>
    <w:rsid w:val="001A2158"/>
    <w:rsid w:val="001A525F"/>
    <w:rsid w:val="001B09F9"/>
    <w:rsid w:val="001B5C90"/>
    <w:rsid w:val="001B6448"/>
    <w:rsid w:val="001C32CD"/>
    <w:rsid w:val="001D2984"/>
    <w:rsid w:val="001E07CF"/>
    <w:rsid w:val="001E59F1"/>
    <w:rsid w:val="001F2CEE"/>
    <w:rsid w:val="001F49EB"/>
    <w:rsid w:val="001F6CBA"/>
    <w:rsid w:val="00201D4E"/>
    <w:rsid w:val="002076C9"/>
    <w:rsid w:val="00220B8A"/>
    <w:rsid w:val="002257F3"/>
    <w:rsid w:val="00233456"/>
    <w:rsid w:val="002339A5"/>
    <w:rsid w:val="00250271"/>
    <w:rsid w:val="00257848"/>
    <w:rsid w:val="002578E8"/>
    <w:rsid w:val="00262339"/>
    <w:rsid w:val="002632C6"/>
    <w:rsid w:val="0027084A"/>
    <w:rsid w:val="00280265"/>
    <w:rsid w:val="00286434"/>
    <w:rsid w:val="00286C59"/>
    <w:rsid w:val="00291957"/>
    <w:rsid w:val="002942D1"/>
    <w:rsid w:val="0029501A"/>
    <w:rsid w:val="002A3721"/>
    <w:rsid w:val="002A66C5"/>
    <w:rsid w:val="002B1638"/>
    <w:rsid w:val="002B3624"/>
    <w:rsid w:val="002C099F"/>
    <w:rsid w:val="002C4EE8"/>
    <w:rsid w:val="002D0952"/>
    <w:rsid w:val="002D0EDC"/>
    <w:rsid w:val="002E40B3"/>
    <w:rsid w:val="002E4C9A"/>
    <w:rsid w:val="002F11F8"/>
    <w:rsid w:val="002F3F56"/>
    <w:rsid w:val="002F44B5"/>
    <w:rsid w:val="002F47C7"/>
    <w:rsid w:val="002F5122"/>
    <w:rsid w:val="00311AC0"/>
    <w:rsid w:val="00315294"/>
    <w:rsid w:val="003176FC"/>
    <w:rsid w:val="00324E45"/>
    <w:rsid w:val="00325803"/>
    <w:rsid w:val="0032583B"/>
    <w:rsid w:val="00327883"/>
    <w:rsid w:val="00335504"/>
    <w:rsid w:val="00340C18"/>
    <w:rsid w:val="003442FD"/>
    <w:rsid w:val="00344550"/>
    <w:rsid w:val="00347824"/>
    <w:rsid w:val="00350567"/>
    <w:rsid w:val="003521E8"/>
    <w:rsid w:val="00357707"/>
    <w:rsid w:val="00363D4C"/>
    <w:rsid w:val="00370CE3"/>
    <w:rsid w:val="003728F3"/>
    <w:rsid w:val="003735BC"/>
    <w:rsid w:val="0037496E"/>
    <w:rsid w:val="00383221"/>
    <w:rsid w:val="00386150"/>
    <w:rsid w:val="003874CE"/>
    <w:rsid w:val="00390900"/>
    <w:rsid w:val="003972B9"/>
    <w:rsid w:val="003A7F6C"/>
    <w:rsid w:val="003B4D60"/>
    <w:rsid w:val="003B7E39"/>
    <w:rsid w:val="003C58DC"/>
    <w:rsid w:val="003D1E62"/>
    <w:rsid w:val="003E0B99"/>
    <w:rsid w:val="003E2486"/>
    <w:rsid w:val="003E3208"/>
    <w:rsid w:val="003F0B04"/>
    <w:rsid w:val="003F3DCD"/>
    <w:rsid w:val="0040134E"/>
    <w:rsid w:val="004015F3"/>
    <w:rsid w:val="004231F6"/>
    <w:rsid w:val="004334C7"/>
    <w:rsid w:val="00440A2D"/>
    <w:rsid w:val="00441C3F"/>
    <w:rsid w:val="00444D1A"/>
    <w:rsid w:val="0045186A"/>
    <w:rsid w:val="00452E41"/>
    <w:rsid w:val="004564A7"/>
    <w:rsid w:val="00456765"/>
    <w:rsid w:val="00460036"/>
    <w:rsid w:val="004617BF"/>
    <w:rsid w:val="00463658"/>
    <w:rsid w:val="004637A0"/>
    <w:rsid w:val="004722CC"/>
    <w:rsid w:val="00490483"/>
    <w:rsid w:val="00492C80"/>
    <w:rsid w:val="004936E4"/>
    <w:rsid w:val="00494E60"/>
    <w:rsid w:val="00497487"/>
    <w:rsid w:val="004A2771"/>
    <w:rsid w:val="004A6189"/>
    <w:rsid w:val="004A7390"/>
    <w:rsid w:val="004B7B76"/>
    <w:rsid w:val="004C239D"/>
    <w:rsid w:val="004C2719"/>
    <w:rsid w:val="004C2DCA"/>
    <w:rsid w:val="004C4FBE"/>
    <w:rsid w:val="004C61D2"/>
    <w:rsid w:val="004F0C4A"/>
    <w:rsid w:val="004F0F38"/>
    <w:rsid w:val="004F47D6"/>
    <w:rsid w:val="00500337"/>
    <w:rsid w:val="00501921"/>
    <w:rsid w:val="0051685A"/>
    <w:rsid w:val="005252B2"/>
    <w:rsid w:val="00530354"/>
    <w:rsid w:val="0053625B"/>
    <w:rsid w:val="005434C6"/>
    <w:rsid w:val="00543B39"/>
    <w:rsid w:val="00544119"/>
    <w:rsid w:val="00546154"/>
    <w:rsid w:val="00550096"/>
    <w:rsid w:val="00555280"/>
    <w:rsid w:val="00557FF9"/>
    <w:rsid w:val="00562327"/>
    <w:rsid w:val="005711D5"/>
    <w:rsid w:val="00573777"/>
    <w:rsid w:val="00576378"/>
    <w:rsid w:val="00577130"/>
    <w:rsid w:val="00577945"/>
    <w:rsid w:val="00577E38"/>
    <w:rsid w:val="00585322"/>
    <w:rsid w:val="005857C6"/>
    <w:rsid w:val="005906D0"/>
    <w:rsid w:val="00592F6E"/>
    <w:rsid w:val="00593AD1"/>
    <w:rsid w:val="005A68B6"/>
    <w:rsid w:val="005C5570"/>
    <w:rsid w:val="005C5B66"/>
    <w:rsid w:val="005C79A4"/>
    <w:rsid w:val="005D5442"/>
    <w:rsid w:val="005F1695"/>
    <w:rsid w:val="005F795E"/>
    <w:rsid w:val="00603F32"/>
    <w:rsid w:val="00605AD4"/>
    <w:rsid w:val="00607DFD"/>
    <w:rsid w:val="006136D7"/>
    <w:rsid w:val="006240FB"/>
    <w:rsid w:val="00625A6E"/>
    <w:rsid w:val="00626770"/>
    <w:rsid w:val="00632398"/>
    <w:rsid w:val="00640FC3"/>
    <w:rsid w:val="00642020"/>
    <w:rsid w:val="00642F82"/>
    <w:rsid w:val="006430EE"/>
    <w:rsid w:val="0064316E"/>
    <w:rsid w:val="006444C9"/>
    <w:rsid w:val="0065337B"/>
    <w:rsid w:val="0065419D"/>
    <w:rsid w:val="006603BC"/>
    <w:rsid w:val="006604D8"/>
    <w:rsid w:val="00664A5B"/>
    <w:rsid w:val="0066735C"/>
    <w:rsid w:val="006763D2"/>
    <w:rsid w:val="00680C08"/>
    <w:rsid w:val="006916A0"/>
    <w:rsid w:val="006931B1"/>
    <w:rsid w:val="006968BA"/>
    <w:rsid w:val="006A15C0"/>
    <w:rsid w:val="006A58A8"/>
    <w:rsid w:val="006C3E2A"/>
    <w:rsid w:val="006C642F"/>
    <w:rsid w:val="006D03E5"/>
    <w:rsid w:val="006D5D3E"/>
    <w:rsid w:val="006E08B3"/>
    <w:rsid w:val="006E2254"/>
    <w:rsid w:val="006F17AC"/>
    <w:rsid w:val="006F25B8"/>
    <w:rsid w:val="006F572E"/>
    <w:rsid w:val="007046D6"/>
    <w:rsid w:val="00705DB0"/>
    <w:rsid w:val="00722B57"/>
    <w:rsid w:val="0072375D"/>
    <w:rsid w:val="0072527C"/>
    <w:rsid w:val="00730F8A"/>
    <w:rsid w:val="00735A8C"/>
    <w:rsid w:val="0074253D"/>
    <w:rsid w:val="00744121"/>
    <w:rsid w:val="0074429B"/>
    <w:rsid w:val="007615BC"/>
    <w:rsid w:val="00762F05"/>
    <w:rsid w:val="007652FF"/>
    <w:rsid w:val="00770CAC"/>
    <w:rsid w:val="00770EF1"/>
    <w:rsid w:val="00773EF7"/>
    <w:rsid w:val="00774E1D"/>
    <w:rsid w:val="007765D8"/>
    <w:rsid w:val="0077675A"/>
    <w:rsid w:val="00780355"/>
    <w:rsid w:val="007819FD"/>
    <w:rsid w:val="00785717"/>
    <w:rsid w:val="00785721"/>
    <w:rsid w:val="00786F9F"/>
    <w:rsid w:val="00790E2C"/>
    <w:rsid w:val="00793A59"/>
    <w:rsid w:val="007A028B"/>
    <w:rsid w:val="007A404C"/>
    <w:rsid w:val="007A46F5"/>
    <w:rsid w:val="007A6505"/>
    <w:rsid w:val="007B6132"/>
    <w:rsid w:val="007B6E9F"/>
    <w:rsid w:val="007C1216"/>
    <w:rsid w:val="007C1AF7"/>
    <w:rsid w:val="007C6B9B"/>
    <w:rsid w:val="007D53B6"/>
    <w:rsid w:val="007E670B"/>
    <w:rsid w:val="00803422"/>
    <w:rsid w:val="00805D27"/>
    <w:rsid w:val="00806DCB"/>
    <w:rsid w:val="00821776"/>
    <w:rsid w:val="00827EDE"/>
    <w:rsid w:val="008321F5"/>
    <w:rsid w:val="00832369"/>
    <w:rsid w:val="00834660"/>
    <w:rsid w:val="00836BC2"/>
    <w:rsid w:val="0085156D"/>
    <w:rsid w:val="00852B28"/>
    <w:rsid w:val="0085641B"/>
    <w:rsid w:val="00857136"/>
    <w:rsid w:val="00864EB3"/>
    <w:rsid w:val="00875A6B"/>
    <w:rsid w:val="00885B11"/>
    <w:rsid w:val="00886D15"/>
    <w:rsid w:val="00887DD8"/>
    <w:rsid w:val="00891BA9"/>
    <w:rsid w:val="00896018"/>
    <w:rsid w:val="008960DD"/>
    <w:rsid w:val="0089635C"/>
    <w:rsid w:val="008A02FE"/>
    <w:rsid w:val="008A2B9D"/>
    <w:rsid w:val="008A3D9F"/>
    <w:rsid w:val="008A4FE2"/>
    <w:rsid w:val="008A5799"/>
    <w:rsid w:val="008A5E0B"/>
    <w:rsid w:val="008A6D59"/>
    <w:rsid w:val="008B4B03"/>
    <w:rsid w:val="008B596F"/>
    <w:rsid w:val="008C159F"/>
    <w:rsid w:val="008C1623"/>
    <w:rsid w:val="008C1850"/>
    <w:rsid w:val="008C2696"/>
    <w:rsid w:val="008C51A9"/>
    <w:rsid w:val="008D2BD5"/>
    <w:rsid w:val="008E7846"/>
    <w:rsid w:val="008F02E5"/>
    <w:rsid w:val="008F1CCC"/>
    <w:rsid w:val="008F2967"/>
    <w:rsid w:val="008F6943"/>
    <w:rsid w:val="00902A21"/>
    <w:rsid w:val="0091523F"/>
    <w:rsid w:val="0091731C"/>
    <w:rsid w:val="00920330"/>
    <w:rsid w:val="009219D7"/>
    <w:rsid w:val="00922D53"/>
    <w:rsid w:val="00923B70"/>
    <w:rsid w:val="00924482"/>
    <w:rsid w:val="00930237"/>
    <w:rsid w:val="00936E59"/>
    <w:rsid w:val="00937C17"/>
    <w:rsid w:val="00940A89"/>
    <w:rsid w:val="00941BCE"/>
    <w:rsid w:val="00941F77"/>
    <w:rsid w:val="00946EA5"/>
    <w:rsid w:val="00960520"/>
    <w:rsid w:val="00963C08"/>
    <w:rsid w:val="009752A5"/>
    <w:rsid w:val="0098585A"/>
    <w:rsid w:val="009977F1"/>
    <w:rsid w:val="009A40D3"/>
    <w:rsid w:val="009A4CED"/>
    <w:rsid w:val="009A690D"/>
    <w:rsid w:val="009B1D12"/>
    <w:rsid w:val="009B416B"/>
    <w:rsid w:val="009C4BD5"/>
    <w:rsid w:val="009D7B77"/>
    <w:rsid w:val="009E0BB0"/>
    <w:rsid w:val="009E3FBB"/>
    <w:rsid w:val="009F7353"/>
    <w:rsid w:val="00A04F85"/>
    <w:rsid w:val="00A05FA4"/>
    <w:rsid w:val="00A102E4"/>
    <w:rsid w:val="00A1219C"/>
    <w:rsid w:val="00A12C42"/>
    <w:rsid w:val="00A14DF7"/>
    <w:rsid w:val="00A22D57"/>
    <w:rsid w:val="00A3246D"/>
    <w:rsid w:val="00A36FA7"/>
    <w:rsid w:val="00A44DDB"/>
    <w:rsid w:val="00A475B7"/>
    <w:rsid w:val="00A47AF7"/>
    <w:rsid w:val="00A47C3E"/>
    <w:rsid w:val="00A50226"/>
    <w:rsid w:val="00A60BAD"/>
    <w:rsid w:val="00A77F87"/>
    <w:rsid w:val="00A80B5B"/>
    <w:rsid w:val="00A84E36"/>
    <w:rsid w:val="00A964D1"/>
    <w:rsid w:val="00AA0ED0"/>
    <w:rsid w:val="00AA4FC4"/>
    <w:rsid w:val="00AC2B40"/>
    <w:rsid w:val="00AC2BB2"/>
    <w:rsid w:val="00AC2C3C"/>
    <w:rsid w:val="00AC3673"/>
    <w:rsid w:val="00AC512D"/>
    <w:rsid w:val="00AD0083"/>
    <w:rsid w:val="00AD3935"/>
    <w:rsid w:val="00AE65EB"/>
    <w:rsid w:val="00AE67A7"/>
    <w:rsid w:val="00AF1D94"/>
    <w:rsid w:val="00AF60C5"/>
    <w:rsid w:val="00B009C6"/>
    <w:rsid w:val="00B01081"/>
    <w:rsid w:val="00B01548"/>
    <w:rsid w:val="00B130C5"/>
    <w:rsid w:val="00B13EBD"/>
    <w:rsid w:val="00B21D29"/>
    <w:rsid w:val="00B25034"/>
    <w:rsid w:val="00B33588"/>
    <w:rsid w:val="00B33863"/>
    <w:rsid w:val="00B37D17"/>
    <w:rsid w:val="00B4175E"/>
    <w:rsid w:val="00B41C85"/>
    <w:rsid w:val="00B452CE"/>
    <w:rsid w:val="00B54C25"/>
    <w:rsid w:val="00B76B91"/>
    <w:rsid w:val="00B77EB1"/>
    <w:rsid w:val="00B811C6"/>
    <w:rsid w:val="00B855B0"/>
    <w:rsid w:val="00B85887"/>
    <w:rsid w:val="00B92E08"/>
    <w:rsid w:val="00BA6D19"/>
    <w:rsid w:val="00BC622A"/>
    <w:rsid w:val="00BD1F85"/>
    <w:rsid w:val="00BE0A78"/>
    <w:rsid w:val="00BE79F0"/>
    <w:rsid w:val="00BF046D"/>
    <w:rsid w:val="00BF1190"/>
    <w:rsid w:val="00BF3774"/>
    <w:rsid w:val="00BF5D04"/>
    <w:rsid w:val="00C009AA"/>
    <w:rsid w:val="00C1164D"/>
    <w:rsid w:val="00C16861"/>
    <w:rsid w:val="00C24FA3"/>
    <w:rsid w:val="00C31D1B"/>
    <w:rsid w:val="00C346AB"/>
    <w:rsid w:val="00C404A6"/>
    <w:rsid w:val="00C40A36"/>
    <w:rsid w:val="00C44419"/>
    <w:rsid w:val="00C45E7B"/>
    <w:rsid w:val="00C471B1"/>
    <w:rsid w:val="00C525A2"/>
    <w:rsid w:val="00C52E24"/>
    <w:rsid w:val="00C6316B"/>
    <w:rsid w:val="00C634A9"/>
    <w:rsid w:val="00C64586"/>
    <w:rsid w:val="00C70A36"/>
    <w:rsid w:val="00C70D53"/>
    <w:rsid w:val="00C70F96"/>
    <w:rsid w:val="00C73D0B"/>
    <w:rsid w:val="00C74F5C"/>
    <w:rsid w:val="00C75526"/>
    <w:rsid w:val="00C772FF"/>
    <w:rsid w:val="00C80137"/>
    <w:rsid w:val="00C801AF"/>
    <w:rsid w:val="00C80256"/>
    <w:rsid w:val="00C82174"/>
    <w:rsid w:val="00C84FF8"/>
    <w:rsid w:val="00C94CD4"/>
    <w:rsid w:val="00C9747E"/>
    <w:rsid w:val="00CB5BE2"/>
    <w:rsid w:val="00CB6BC0"/>
    <w:rsid w:val="00CB6BF6"/>
    <w:rsid w:val="00CC1B7C"/>
    <w:rsid w:val="00CC727F"/>
    <w:rsid w:val="00CE17A8"/>
    <w:rsid w:val="00CF15C3"/>
    <w:rsid w:val="00CF2B6F"/>
    <w:rsid w:val="00CF2F3E"/>
    <w:rsid w:val="00CF58B6"/>
    <w:rsid w:val="00CF5DAD"/>
    <w:rsid w:val="00D0062D"/>
    <w:rsid w:val="00D017ED"/>
    <w:rsid w:val="00D040D3"/>
    <w:rsid w:val="00D04C65"/>
    <w:rsid w:val="00D153D8"/>
    <w:rsid w:val="00D201D2"/>
    <w:rsid w:val="00D224FE"/>
    <w:rsid w:val="00D23139"/>
    <w:rsid w:val="00D353F1"/>
    <w:rsid w:val="00D36AFA"/>
    <w:rsid w:val="00D425BB"/>
    <w:rsid w:val="00D453FA"/>
    <w:rsid w:val="00D45EDA"/>
    <w:rsid w:val="00D55425"/>
    <w:rsid w:val="00D6493E"/>
    <w:rsid w:val="00D7195D"/>
    <w:rsid w:val="00D7301E"/>
    <w:rsid w:val="00D83AE1"/>
    <w:rsid w:val="00D84A6A"/>
    <w:rsid w:val="00D855D4"/>
    <w:rsid w:val="00D902C9"/>
    <w:rsid w:val="00D93466"/>
    <w:rsid w:val="00DA1124"/>
    <w:rsid w:val="00DA4756"/>
    <w:rsid w:val="00DA64CB"/>
    <w:rsid w:val="00DB06B8"/>
    <w:rsid w:val="00DB4657"/>
    <w:rsid w:val="00DB6124"/>
    <w:rsid w:val="00DB750B"/>
    <w:rsid w:val="00DB75B7"/>
    <w:rsid w:val="00DC0A2F"/>
    <w:rsid w:val="00DC1948"/>
    <w:rsid w:val="00DC26AA"/>
    <w:rsid w:val="00DC6E02"/>
    <w:rsid w:val="00DD28CD"/>
    <w:rsid w:val="00DE02AE"/>
    <w:rsid w:val="00DE39D1"/>
    <w:rsid w:val="00DF1D7F"/>
    <w:rsid w:val="00DF4BE4"/>
    <w:rsid w:val="00E02382"/>
    <w:rsid w:val="00E02FB4"/>
    <w:rsid w:val="00E03DC2"/>
    <w:rsid w:val="00E134CB"/>
    <w:rsid w:val="00E13FC7"/>
    <w:rsid w:val="00E20571"/>
    <w:rsid w:val="00E235F7"/>
    <w:rsid w:val="00E23659"/>
    <w:rsid w:val="00E239D4"/>
    <w:rsid w:val="00E26130"/>
    <w:rsid w:val="00E33D42"/>
    <w:rsid w:val="00E40B22"/>
    <w:rsid w:val="00E44ED1"/>
    <w:rsid w:val="00E45619"/>
    <w:rsid w:val="00E4588F"/>
    <w:rsid w:val="00E46DA3"/>
    <w:rsid w:val="00E51BB1"/>
    <w:rsid w:val="00E55CB0"/>
    <w:rsid w:val="00E61CB6"/>
    <w:rsid w:val="00E624A5"/>
    <w:rsid w:val="00E64BA4"/>
    <w:rsid w:val="00E7279F"/>
    <w:rsid w:val="00E7344E"/>
    <w:rsid w:val="00E82665"/>
    <w:rsid w:val="00E90987"/>
    <w:rsid w:val="00E974ED"/>
    <w:rsid w:val="00EB0798"/>
    <w:rsid w:val="00EB40AD"/>
    <w:rsid w:val="00EB586E"/>
    <w:rsid w:val="00EB5FC8"/>
    <w:rsid w:val="00EC463D"/>
    <w:rsid w:val="00EC56DE"/>
    <w:rsid w:val="00EC7A85"/>
    <w:rsid w:val="00ED0E14"/>
    <w:rsid w:val="00ED2922"/>
    <w:rsid w:val="00ED3CAD"/>
    <w:rsid w:val="00ED5A41"/>
    <w:rsid w:val="00EE1DE8"/>
    <w:rsid w:val="00EE27C2"/>
    <w:rsid w:val="00EE301B"/>
    <w:rsid w:val="00EF4BAD"/>
    <w:rsid w:val="00EF59DC"/>
    <w:rsid w:val="00F033EC"/>
    <w:rsid w:val="00F04F68"/>
    <w:rsid w:val="00F12670"/>
    <w:rsid w:val="00F14B27"/>
    <w:rsid w:val="00F15FDF"/>
    <w:rsid w:val="00F21505"/>
    <w:rsid w:val="00F3148D"/>
    <w:rsid w:val="00F325C5"/>
    <w:rsid w:val="00F32FE0"/>
    <w:rsid w:val="00F35298"/>
    <w:rsid w:val="00F45B8E"/>
    <w:rsid w:val="00F47333"/>
    <w:rsid w:val="00F47E37"/>
    <w:rsid w:val="00F53C07"/>
    <w:rsid w:val="00F54086"/>
    <w:rsid w:val="00F54B65"/>
    <w:rsid w:val="00F564C1"/>
    <w:rsid w:val="00F60A42"/>
    <w:rsid w:val="00F6310C"/>
    <w:rsid w:val="00F63DBF"/>
    <w:rsid w:val="00F640B6"/>
    <w:rsid w:val="00F66DF2"/>
    <w:rsid w:val="00F80E40"/>
    <w:rsid w:val="00F81893"/>
    <w:rsid w:val="00F848D9"/>
    <w:rsid w:val="00F945B6"/>
    <w:rsid w:val="00FA5069"/>
    <w:rsid w:val="00FA5B82"/>
    <w:rsid w:val="00FA639E"/>
    <w:rsid w:val="00FB05AF"/>
    <w:rsid w:val="00FB369D"/>
    <w:rsid w:val="00FB5136"/>
    <w:rsid w:val="00FC1FCA"/>
    <w:rsid w:val="00FC25E4"/>
    <w:rsid w:val="00FC4EF7"/>
    <w:rsid w:val="00FD0824"/>
    <w:rsid w:val="00FD119B"/>
    <w:rsid w:val="00FD1EDC"/>
    <w:rsid w:val="00FE1DEE"/>
    <w:rsid w:val="00FE2470"/>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5AD7F8F"/>
  <w15:docId w15:val="{1A737231-FB5D-419D-AFB1-B464A0EE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72527C"/>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C74F5C"/>
    <w:pPr>
      <w:spacing w:after="480" w:line="240" w:lineRule="auto"/>
      <w:contextualSpacing/>
      <w:outlineLvl w:val="0"/>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C74F5C"/>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character" w:customStyle="1" w:styleId="UnresolvedMention1">
    <w:name w:val="Unresolved Mention1"/>
    <w:basedOn w:val="DefaultParagraphFont"/>
    <w:uiPriority w:val="99"/>
    <w:semiHidden/>
    <w:unhideWhenUsed/>
    <w:rsid w:val="00FB369D"/>
    <w:rPr>
      <w:color w:val="605E5C"/>
      <w:shd w:val="clear" w:color="auto" w:fill="E1DFDD"/>
    </w:rPr>
  </w:style>
  <w:style w:type="paragraph" w:styleId="ListParagraph">
    <w:name w:val="List Paragraph"/>
    <w:basedOn w:val="Normal"/>
    <w:link w:val="ListParagraphChar"/>
    <w:uiPriority w:val="99"/>
    <w:qFormat/>
    <w:rsid w:val="00F15FDF"/>
    <w:pPr>
      <w:adjustRightInd w:val="0"/>
      <w:snapToGrid w:val="0"/>
      <w:spacing w:before="180" w:after="180"/>
      <w:ind w:left="720"/>
      <w:contextualSpacing/>
    </w:pPr>
    <w:rPr>
      <w:rFonts w:eastAsia="MS Mincho"/>
      <w:szCs w:val="20"/>
      <w:lang w:eastAsia="ja-JP"/>
    </w:rPr>
  </w:style>
  <w:style w:type="character" w:customStyle="1" w:styleId="ListParagraphChar">
    <w:name w:val="List Paragraph Char"/>
    <w:basedOn w:val="DefaultParagraphFont"/>
    <w:link w:val="ListParagraph"/>
    <w:uiPriority w:val="34"/>
    <w:locked/>
    <w:rsid w:val="00F15FDF"/>
    <w:rPr>
      <w:rFonts w:ascii="Cambria" w:eastAsia="MS Mincho" w:hAnsi="Cambria" w:cs="Times New Roman"/>
      <w:szCs w:val="20"/>
      <w:lang w:eastAsia="ja-JP"/>
    </w:rPr>
  </w:style>
  <w:style w:type="table" w:customStyle="1" w:styleId="TableGrid1">
    <w:name w:val="Table Grid1"/>
    <w:basedOn w:val="TableNormal"/>
    <w:next w:val="TableGrid"/>
    <w:uiPriority w:val="59"/>
    <w:rsid w:val="00263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l"/>
    <w:link w:val="StandardChar"/>
    <w:qFormat/>
    <w:rsid w:val="00E7279F"/>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E7279F"/>
    <w:rPr>
      <w:rFonts w:ascii="Cambria" w:eastAsia="Times New Roman" w:hAnsi="Cambria" w:cs="Times New Roman"/>
      <w:snapToGrid w:val="0"/>
      <w:kern w:val="16"/>
      <w:sz w:val="23"/>
      <w:szCs w:val="24"/>
    </w:rPr>
  </w:style>
  <w:style w:type="character" w:customStyle="1" w:styleId="UnresolvedMention2">
    <w:name w:val="Unresolved Mention2"/>
    <w:basedOn w:val="DefaultParagraphFont"/>
    <w:uiPriority w:val="99"/>
    <w:semiHidden/>
    <w:unhideWhenUsed/>
    <w:rsid w:val="00786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hyperlink" Target="https://www.tga.gov.au/product-information-pi" TargetMode="External"/><Relationship Id="rId18" Type="http://schemas.openxmlformats.org/officeDocument/2006/relationships/image" Target="media/image6.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header" Target="header3.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yperlink" Target="mailto:info@tg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tga.gov.au/product-information-pi"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image" Target="media/image2.emf"/><Relationship Id="rId22" Type="http://schemas.openxmlformats.org/officeDocument/2006/relationships/image" Target="media/image10.png"/><Relationship Id="rId27" Type="http://schemas.openxmlformats.org/officeDocument/2006/relationships/header" Target="header5.xml"/><Relationship Id="rId30" Type="http://schemas.openxmlformats.org/officeDocument/2006/relationships/hyperlink" Target="https://www.tga.gov.au"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tga.gov.au/committee/advisory-committee-medicines-acm" TargetMode="External"/><Relationship Id="rId1" Type="http://schemas.openxmlformats.org/officeDocument/2006/relationships/hyperlink" Target="https://www.tga.gov.au/publication/literature-based-submiss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C7385-5DE8-4D02-8E26-092D998C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32</Pages>
  <Words>10409</Words>
  <Characters>59229</Characters>
  <Application>Microsoft Office Word</Application>
  <DocSecurity>0</DocSecurity>
  <Lines>1346</Lines>
  <Paragraphs>616</Paragraphs>
  <ScaleCrop>false</ScaleCrop>
  <HeadingPairs>
    <vt:vector size="2" baseType="variant">
      <vt:variant>
        <vt:lpstr>Title</vt:lpstr>
      </vt:variant>
      <vt:variant>
        <vt:i4>1</vt:i4>
      </vt:variant>
    </vt:vector>
  </HeadingPairs>
  <TitlesOfParts>
    <vt:vector size="1" baseType="lpstr">
      <vt:lpstr>Australian public assessment report for</vt:lpstr>
    </vt:vector>
  </TitlesOfParts>
  <Company>Department of Health </Company>
  <LinksUpToDate>false</LinksUpToDate>
  <CharactersWithSpaces>69022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forTrientine dihydrochloride</dc:title>
  <dc:subject>prescription medicine regulation</dc:subject>
  <dc:creator>Therapeutic Goods Administration</dc:creator>
  <cp:keywords/>
  <cp:lastModifiedBy>KOLARIK-OREILLY, Kristy</cp:lastModifiedBy>
  <cp:revision>11</cp:revision>
  <cp:lastPrinted>2019-08-14T04:30:00Z</cp:lastPrinted>
  <dcterms:created xsi:type="dcterms:W3CDTF">2021-11-10T23:58:00Z</dcterms:created>
  <dcterms:modified xsi:type="dcterms:W3CDTF">2021-12-02T00:51:00Z</dcterms:modified>
  <cp:category/>
</cp:coreProperties>
</file>