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06A25" w14:textId="77777777" w:rsidR="00C659E9" w:rsidRPr="00212203" w:rsidRDefault="00C659E9" w:rsidP="00C659E9">
      <w:pPr>
        <w:rPr>
          <w:sz w:val="22"/>
          <w:szCs w:val="22"/>
          <w:lang w:val="en-AU"/>
        </w:rPr>
      </w:pPr>
      <w:r w:rsidRPr="00212203">
        <w:rPr>
          <w:noProof/>
          <w:sz w:val="22"/>
          <w:szCs w:val="22"/>
          <w:lang w:val="en-AU" w:eastAsia="en-AU"/>
        </w:rPr>
        <mc:AlternateContent>
          <mc:Choice Requires="wps">
            <w:drawing>
              <wp:inline distT="0" distB="0" distL="0" distR="0" wp14:anchorId="7B04FBCF" wp14:editId="093D2379">
                <wp:extent cx="252095" cy="25209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D40C0" w14:textId="77777777" w:rsidR="00C659E9" w:rsidRDefault="00C659E9" w:rsidP="00C659E9">
                            <w:pPr>
                              <w:spacing w:after="0"/>
                              <w:rPr>
                                <w:rFonts w:ascii="Wingdings 3" w:hAnsi="Wingdings 3"/>
                              </w:rPr>
                            </w:pPr>
                            <w:r>
                              <w:rPr>
                                <w:rFonts w:ascii="SimSun" w:eastAsia="SimSun" w:hAnsi="SimSun" w:cs="Arial" w:hint="eastAsia"/>
                                <w:sz w:val="40"/>
                                <w:lang w:val="en-US"/>
                              </w:rPr>
                              <w:t>▼</w:t>
                            </w:r>
                          </w:p>
                        </w:txbxContent>
                      </wps:txbx>
                      <wps:bodyPr rot="0" vert="horz" wrap="square" lIns="0" tIns="0" rIns="0" bIns="0" anchor="t" anchorCtr="0" upright="1">
                        <a:noAutofit/>
                      </wps:bodyPr>
                    </wps:wsp>
                  </a:graphicData>
                </a:graphic>
              </wp:inline>
            </w:drawing>
          </mc:Choice>
          <mc:Fallback>
            <w:pict>
              <v:shapetype w14:anchorId="7B04FBCF" id="_x0000_t202" coordsize="21600,21600" o:spt="202" path="m,l,21600r21600,l21600,xe">
                <v:stroke joinstyle="miter"/>
                <v:path gradientshapeok="t" o:connecttype="rect"/>
              </v:shapetype>
              <v:shape id="Text Box 6"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Pt9gEAAN4DAAAOAAAAZHJzL2Uyb0RvYy54bWysU9tu2zAMfR+wfxD0vjgJ0GAz4hRdigwD&#10;ugvQ7gNkWbaFSaJGKbGzrx8lx2nRvQ3zg0BR5CEPeby9Ha1hJ4VBg6v4arHkTDkJjXZdxX88Hd69&#10;5yxE4RphwKmKn1Xgt7u3b7aDL9UaejCNQkYgLpSDr3gfoy+LIsheWREW4JWjxxbQikhX7IoGxUDo&#10;1hTr5XJTDICNR5AqBPLeT498l/HbVsn4rW2DisxUnHqL+cR81uksdltRdih8r+WlDfEPXVihHRW9&#10;Qt2LKNgR9V9QVkuEAG1cSLAFtK2WKnMgNqvlKzaPvfAqc6HhBH8dU/h/sPLr6Tsy3VR8w5kTllb0&#10;pMbIPsLINmk6gw8lBT16CosjuWnLmWnwDyB/BuZg3wvXqTtEGHolGupulTKLF6kTTkgg9fAFGioj&#10;jhEy0NiiTaOjYTBCpy2dr5tJrUhyrm/Wyw83nEl6utipgijnZI8hflJgWTIqjrT4DC5ODyFOoXNI&#10;qhXA6OagjckX7Oq9QXYSJJJD/nL/r8KMS8EOUtqEmDyZZSI2UYxjPdJjol5Dcya+CJPo6Cchowf8&#10;zdlAgqt4+HUUqDgznx3NLKlzNnA26tkQTlJqxSNnk7mPk4qPHnXXE/K0FQd3NNdWZ87PXVz6JBHl&#10;qV0En1T68p6jnn/L3R8AAAD//wMAUEsDBBQABgAIAAAAIQBj9U4M2QAAAAMBAAAPAAAAZHJzL2Rv&#10;d25yZXYueG1sTI9BT8JAEIXvJvyHzZB4MbAVE5TaLUHQmxxAwnnojm1Dd7bZ3dLy7131oJd5mbzJ&#10;e99ky8E04kLO15YV3E8TEMSF1TWXCg4fb5MnED4ga2wsk4IreVjmo5sMU2173tFlH0oRQ9inqKAK&#10;oU2l9EVFBv3UtsTR+7TOYIirK6V22Mdw08hZksylwZpjQ4UtrSsqzvvOKJhvXNfveH23Oby+47Yt&#10;Z8eX61Gp2/GwegYRaAh/x/CNH9Ehj0wn27H2olEQHwk/M3oPi0cQp1+VeSb/s+dfAAAA//8DAFBL&#10;AQItABQABgAIAAAAIQC2gziS/gAAAOEBAAATAAAAAAAAAAAAAAAAAAAAAABbQ29udGVudF9UeXBl&#10;c10ueG1sUEsBAi0AFAAGAAgAAAAhADj9If/WAAAAlAEAAAsAAAAAAAAAAAAAAAAALwEAAF9yZWxz&#10;Ly5yZWxzUEsBAi0AFAAGAAgAAAAhAO44w+32AQAA3gMAAA4AAAAAAAAAAAAAAAAALgIAAGRycy9l&#10;Mm9Eb2MueG1sUEsBAi0AFAAGAAgAAAAhAGP1TgzZAAAAAwEAAA8AAAAAAAAAAAAAAAAAUAQAAGRy&#10;cy9kb3ducmV2LnhtbFBLBQYAAAAABAAEAPMAAABWBQAAAAA=&#10;" stroked="f">
                <v:textbox inset="0,0,0,0">
                  <w:txbxContent>
                    <w:p w14:paraId="365D40C0" w14:textId="77777777" w:rsidR="00C659E9" w:rsidRDefault="00C659E9" w:rsidP="00C659E9">
                      <w:pPr>
                        <w:spacing w:after="0"/>
                        <w:rPr>
                          <w:rFonts w:ascii="Wingdings 3" w:hAnsi="Wingdings 3"/>
                        </w:rPr>
                      </w:pPr>
                      <w:r>
                        <w:rPr>
                          <w:rFonts w:ascii="SimSun" w:eastAsia="SimSun" w:hAnsi="SimSun" w:cs="Arial" w:hint="eastAsia"/>
                          <w:sz w:val="40"/>
                          <w:lang w:val="en-US"/>
                        </w:rPr>
                        <w:t>▼</w:t>
                      </w:r>
                    </w:p>
                  </w:txbxContent>
                </v:textbox>
                <w10:anchorlock/>
              </v:shape>
            </w:pict>
          </mc:Fallback>
        </mc:AlternateContent>
      </w:r>
      <w:r w:rsidRPr="00212203">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212203">
          <w:rPr>
            <w:rStyle w:val="Hyperlink"/>
          </w:rPr>
          <w:t>www.tga.gov.au/reporting-problems</w:t>
        </w:r>
      </w:hyperlink>
      <w:r w:rsidRPr="00212203">
        <w:t>.</w:t>
      </w:r>
    </w:p>
    <w:p w14:paraId="7F39A678" w14:textId="6580A630" w:rsidR="004032BD" w:rsidRPr="00380C7E" w:rsidRDefault="004032BD" w:rsidP="00212203">
      <w:pPr>
        <w:pStyle w:val="Heading1"/>
        <w:numPr>
          <w:ilvl w:val="0"/>
          <w:numId w:val="0"/>
        </w:numPr>
        <w:rPr>
          <w:rFonts w:eastAsia="SimSun"/>
        </w:rPr>
      </w:pPr>
      <w:r w:rsidRPr="00380C7E">
        <w:rPr>
          <w:rFonts w:eastAsia="SimSun"/>
        </w:rPr>
        <w:t>Australian P</w:t>
      </w:r>
      <w:r w:rsidR="00841B70" w:rsidRPr="00380C7E">
        <w:rPr>
          <w:rFonts w:eastAsia="SimSun"/>
        </w:rPr>
        <w:t>roduct Information</w:t>
      </w:r>
      <w:r w:rsidRPr="00380C7E">
        <w:rPr>
          <w:rFonts w:eastAsia="SimSun"/>
        </w:rPr>
        <w:t xml:space="preserve"> – </w:t>
      </w:r>
      <w:r w:rsidR="00841B70" w:rsidRPr="00380C7E">
        <w:rPr>
          <w:rFonts w:eastAsia="SimSun"/>
        </w:rPr>
        <w:t>C</w:t>
      </w:r>
      <w:r w:rsidR="00380C7E">
        <w:rPr>
          <w:rFonts w:eastAsia="SimSun"/>
        </w:rPr>
        <w:t>UPRIOR</w:t>
      </w:r>
      <w:r w:rsidR="002F484E" w:rsidRPr="002F484E">
        <w:rPr>
          <w:rFonts w:eastAsia="SimSun"/>
          <w:vertAlign w:val="superscript"/>
        </w:rPr>
        <w:t>®</w:t>
      </w:r>
      <w:r w:rsidR="007E693C" w:rsidRPr="00380C7E">
        <w:rPr>
          <w:rFonts w:eastAsia="SimSun"/>
        </w:rPr>
        <w:t xml:space="preserve"> </w:t>
      </w:r>
      <w:r w:rsidRPr="00380C7E">
        <w:rPr>
          <w:rFonts w:eastAsia="SimSun"/>
        </w:rPr>
        <w:t>(</w:t>
      </w:r>
      <w:r w:rsidR="00380C7E" w:rsidRPr="00564D92">
        <w:rPr>
          <w:szCs w:val="22"/>
        </w:rPr>
        <w:t>trientine tetrahydrochloride</w:t>
      </w:r>
      <w:r w:rsidRPr="00380C7E">
        <w:rPr>
          <w:rFonts w:eastAsia="SimSun"/>
        </w:rPr>
        <w:t>)</w:t>
      </w:r>
    </w:p>
    <w:p w14:paraId="61B4527C" w14:textId="77777777" w:rsidR="001A3992" w:rsidRPr="00380C7E" w:rsidRDefault="001A3992" w:rsidP="00212203">
      <w:pPr>
        <w:pStyle w:val="Heading1"/>
      </w:pPr>
      <w:r w:rsidRPr="00380C7E">
        <w:t>Name of the medicine</w:t>
      </w:r>
    </w:p>
    <w:p w14:paraId="5684FEBF" w14:textId="4E1435B5" w:rsidR="007146F8" w:rsidRPr="00564D92" w:rsidRDefault="00362462" w:rsidP="00362462">
      <w:pPr>
        <w:widowControl w:val="0"/>
        <w:spacing w:line="240" w:lineRule="auto"/>
        <w:rPr>
          <w:noProof/>
          <w:szCs w:val="22"/>
        </w:rPr>
      </w:pPr>
      <w:proofErr w:type="spellStart"/>
      <w:r>
        <w:rPr>
          <w:szCs w:val="22"/>
        </w:rPr>
        <w:t>T</w:t>
      </w:r>
      <w:r w:rsidRPr="00564D92">
        <w:rPr>
          <w:szCs w:val="22"/>
        </w:rPr>
        <w:t>rientine</w:t>
      </w:r>
      <w:proofErr w:type="spellEnd"/>
      <w:r w:rsidRPr="00564D92">
        <w:rPr>
          <w:szCs w:val="22"/>
        </w:rPr>
        <w:t xml:space="preserve"> tetrahydrochloride</w:t>
      </w:r>
      <w:r w:rsidR="00A611F3">
        <w:rPr>
          <w:szCs w:val="22"/>
        </w:rPr>
        <w:t>.</w:t>
      </w:r>
    </w:p>
    <w:p w14:paraId="29FCF53C" w14:textId="77777777" w:rsidR="001A3992" w:rsidRPr="007146F8" w:rsidRDefault="001A3992" w:rsidP="00212203">
      <w:pPr>
        <w:pStyle w:val="Heading1"/>
      </w:pPr>
      <w:r w:rsidRPr="007146F8">
        <w:t>Qualitative and quantitative composition</w:t>
      </w:r>
    </w:p>
    <w:p w14:paraId="16A8136E" w14:textId="7EC9CF3F" w:rsidR="007146F8" w:rsidRDefault="007146F8" w:rsidP="007146F8">
      <w:pPr>
        <w:widowControl w:val="0"/>
        <w:rPr>
          <w:szCs w:val="22"/>
        </w:rPr>
      </w:pPr>
      <w:r w:rsidRPr="00564D92">
        <w:rPr>
          <w:szCs w:val="22"/>
        </w:rPr>
        <w:t xml:space="preserve">Each </w:t>
      </w:r>
      <w:r>
        <w:rPr>
          <w:szCs w:val="22"/>
        </w:rPr>
        <w:t xml:space="preserve">film-coated </w:t>
      </w:r>
      <w:r w:rsidRPr="00564D92">
        <w:rPr>
          <w:szCs w:val="22"/>
        </w:rPr>
        <w:t xml:space="preserve">tablet contains </w:t>
      </w:r>
      <w:proofErr w:type="spellStart"/>
      <w:r w:rsidRPr="00564D92">
        <w:rPr>
          <w:szCs w:val="22"/>
        </w:rPr>
        <w:t>trientine</w:t>
      </w:r>
      <w:proofErr w:type="spellEnd"/>
      <w:r w:rsidRPr="00564D92">
        <w:rPr>
          <w:szCs w:val="22"/>
        </w:rPr>
        <w:t xml:space="preserve"> tetrahydrochloride equivalent to 150 mg </w:t>
      </w:r>
      <w:proofErr w:type="spellStart"/>
      <w:r w:rsidRPr="00564D92">
        <w:rPr>
          <w:szCs w:val="22"/>
        </w:rPr>
        <w:t>trientine</w:t>
      </w:r>
      <w:proofErr w:type="spellEnd"/>
      <w:r w:rsidRPr="00564D92">
        <w:rPr>
          <w:szCs w:val="22"/>
        </w:rPr>
        <w:t>.</w:t>
      </w:r>
    </w:p>
    <w:p w14:paraId="1F20A630" w14:textId="7C405E5C" w:rsidR="00B94C77" w:rsidRDefault="00B94C77" w:rsidP="007146F8">
      <w:pPr>
        <w:widowControl w:val="0"/>
      </w:pPr>
      <w:proofErr w:type="spellStart"/>
      <w:r>
        <w:t>Trientine</w:t>
      </w:r>
      <w:proofErr w:type="spellEnd"/>
      <w:r>
        <w:t xml:space="preserve"> tetrahydrochloride is a white powder</w:t>
      </w:r>
      <w:r w:rsidR="6697ED53">
        <w:t>.</w:t>
      </w:r>
    </w:p>
    <w:p w14:paraId="10AF4A61" w14:textId="63CE9915" w:rsidR="00497C85" w:rsidRPr="007146F8" w:rsidRDefault="00497C85" w:rsidP="00212203">
      <w:r w:rsidRPr="007146F8">
        <w:t xml:space="preserve">For the full list of excipients, see </w:t>
      </w:r>
      <w:hyperlink w:anchor="_List_of_excipients" w:history="1">
        <w:r w:rsidRPr="007146F8">
          <w:rPr>
            <w:rStyle w:val="Hyperlink"/>
          </w:rPr>
          <w:t>Section 6.1 List of excipients</w:t>
        </w:r>
      </w:hyperlink>
      <w:r w:rsidRPr="007146F8">
        <w:t>.</w:t>
      </w:r>
    </w:p>
    <w:p w14:paraId="2FC526B2" w14:textId="77777777" w:rsidR="001A3992" w:rsidRPr="00A75503" w:rsidRDefault="001A3992" w:rsidP="00212203">
      <w:pPr>
        <w:pStyle w:val="Heading1"/>
      </w:pPr>
      <w:r w:rsidRPr="00A75503">
        <w:t>Pharmaceutical form</w:t>
      </w:r>
    </w:p>
    <w:p w14:paraId="6E249F62" w14:textId="0AA4C6F3" w:rsidR="007146F8" w:rsidRPr="00564D92" w:rsidRDefault="00B94C77" w:rsidP="007146F8">
      <w:pPr>
        <w:rPr>
          <w:noProof/>
          <w:szCs w:val="22"/>
        </w:rPr>
      </w:pPr>
      <w:r>
        <w:rPr>
          <w:noProof/>
          <w:szCs w:val="22"/>
        </w:rPr>
        <w:t xml:space="preserve">CUPRIOR </w:t>
      </w:r>
      <w:r w:rsidR="00B3122B">
        <w:rPr>
          <w:noProof/>
          <w:szCs w:val="22"/>
        </w:rPr>
        <w:t>(trientine)</w:t>
      </w:r>
      <w:r w:rsidR="00DD5FF5">
        <w:rPr>
          <w:noProof/>
          <w:szCs w:val="22"/>
        </w:rPr>
        <w:t xml:space="preserve"> </w:t>
      </w:r>
      <w:r>
        <w:rPr>
          <w:noProof/>
          <w:szCs w:val="22"/>
        </w:rPr>
        <w:t>film</w:t>
      </w:r>
      <w:r w:rsidR="007146F8">
        <w:rPr>
          <w:noProof/>
          <w:szCs w:val="22"/>
        </w:rPr>
        <w:t>-coated tablet</w:t>
      </w:r>
      <w:r w:rsidR="007146F8" w:rsidRPr="00564D92">
        <w:rPr>
          <w:noProof/>
          <w:szCs w:val="22"/>
        </w:rPr>
        <w:t>.</w:t>
      </w:r>
    </w:p>
    <w:p w14:paraId="310E0BFD" w14:textId="77777777" w:rsidR="007146F8" w:rsidRPr="00564D92" w:rsidRDefault="007146F8" w:rsidP="007146F8">
      <w:pPr>
        <w:rPr>
          <w:noProof/>
          <w:szCs w:val="22"/>
        </w:rPr>
      </w:pPr>
      <w:r>
        <w:rPr>
          <w:noProof/>
          <w:szCs w:val="22"/>
        </w:rPr>
        <w:t>Yellow</w:t>
      </w:r>
      <w:r w:rsidRPr="00564D92">
        <w:rPr>
          <w:noProof/>
          <w:szCs w:val="22"/>
        </w:rPr>
        <w:t xml:space="preserve">, 16 mm x 8 mm oblong </w:t>
      </w:r>
      <w:r>
        <w:rPr>
          <w:noProof/>
          <w:szCs w:val="22"/>
        </w:rPr>
        <w:t xml:space="preserve">film-coated </w:t>
      </w:r>
      <w:r w:rsidRPr="00564D92">
        <w:rPr>
          <w:noProof/>
          <w:szCs w:val="22"/>
        </w:rPr>
        <w:t xml:space="preserve">tablet with a score line </w:t>
      </w:r>
      <w:r w:rsidRPr="00564D92">
        <w:rPr>
          <w:szCs w:val="22"/>
        </w:rPr>
        <w:t xml:space="preserve">on </w:t>
      </w:r>
      <w:r>
        <w:rPr>
          <w:szCs w:val="22"/>
        </w:rPr>
        <w:t>each</w:t>
      </w:r>
      <w:r w:rsidRPr="00564D92">
        <w:rPr>
          <w:szCs w:val="22"/>
        </w:rPr>
        <w:t xml:space="preserve"> side.</w:t>
      </w:r>
    </w:p>
    <w:p w14:paraId="1820260F" w14:textId="6E710994" w:rsidR="007146F8" w:rsidRPr="00564D92" w:rsidRDefault="007146F8" w:rsidP="007146F8">
      <w:pPr>
        <w:rPr>
          <w:noProof/>
          <w:szCs w:val="22"/>
        </w:rPr>
      </w:pPr>
      <w:r w:rsidRPr="00564D92">
        <w:rPr>
          <w:noProof/>
          <w:szCs w:val="22"/>
        </w:rPr>
        <w:t xml:space="preserve">The tablet can be divided into equal </w:t>
      </w:r>
      <w:r w:rsidR="00020934">
        <w:rPr>
          <w:noProof/>
          <w:szCs w:val="22"/>
        </w:rPr>
        <w:t>halves, each half providing 75 mg trientine</w:t>
      </w:r>
      <w:r w:rsidRPr="00564D92">
        <w:rPr>
          <w:noProof/>
          <w:szCs w:val="22"/>
        </w:rPr>
        <w:t>.</w:t>
      </w:r>
    </w:p>
    <w:p w14:paraId="18316904" w14:textId="77777777" w:rsidR="001A3992" w:rsidRPr="004D6CD7" w:rsidRDefault="001A3992" w:rsidP="00212203">
      <w:pPr>
        <w:pStyle w:val="Heading1"/>
      </w:pPr>
      <w:r w:rsidRPr="004D6CD7">
        <w:t>Clinical particulars</w:t>
      </w:r>
    </w:p>
    <w:p w14:paraId="3A968077" w14:textId="77777777" w:rsidR="005B0A8C" w:rsidRPr="004D6CD7" w:rsidRDefault="001A3992" w:rsidP="00212203">
      <w:pPr>
        <w:pStyle w:val="Heading2"/>
      </w:pPr>
      <w:r w:rsidRPr="004D6CD7">
        <w:t>Therapeutic indications</w:t>
      </w:r>
    </w:p>
    <w:p w14:paraId="5F0D789E" w14:textId="00E515A1" w:rsidR="004D6CD7" w:rsidRPr="00564D92" w:rsidRDefault="0034550B" w:rsidP="004D6CD7">
      <w:pPr>
        <w:rPr>
          <w:i/>
          <w:color w:val="000000"/>
          <w:szCs w:val="22"/>
        </w:rPr>
      </w:pPr>
      <w:r>
        <w:rPr>
          <w:noProof/>
          <w:szCs w:val="22"/>
        </w:rPr>
        <w:t>CUPRIOR</w:t>
      </w:r>
      <w:r w:rsidRPr="00564D92">
        <w:rPr>
          <w:noProof/>
          <w:szCs w:val="22"/>
        </w:rPr>
        <w:t xml:space="preserve"> </w:t>
      </w:r>
      <w:r w:rsidR="004D6CD7" w:rsidRPr="00564D92">
        <w:rPr>
          <w:noProof/>
          <w:szCs w:val="22"/>
        </w:rPr>
        <w:t>is indicated for the treatment of Wilson’s disease in adults, adolescents and children ≥ 5 years intolerant to D-penicillamine therapy.</w:t>
      </w:r>
    </w:p>
    <w:p w14:paraId="5190EA30" w14:textId="77777777" w:rsidR="005B0A8C" w:rsidRPr="004D6CD7" w:rsidRDefault="001A3992" w:rsidP="00212203">
      <w:pPr>
        <w:pStyle w:val="Heading2"/>
      </w:pPr>
      <w:bookmarkStart w:id="0" w:name="_Dose_and_method"/>
      <w:bookmarkEnd w:id="0"/>
      <w:r w:rsidRPr="004D6CD7">
        <w:t>Dose and method of administration</w:t>
      </w:r>
    </w:p>
    <w:p w14:paraId="18A173C3" w14:textId="77777777" w:rsidR="004D6CD7" w:rsidRPr="00564D92" w:rsidRDefault="004D6CD7" w:rsidP="004D6CD7">
      <w:pPr>
        <w:rPr>
          <w:szCs w:val="22"/>
        </w:rPr>
      </w:pPr>
      <w:r w:rsidRPr="00564D92">
        <w:rPr>
          <w:szCs w:val="22"/>
        </w:rPr>
        <w:t xml:space="preserve">Treatment should only be initiated by specialist physicians with experience in the management of Wilson’s disease. </w:t>
      </w:r>
    </w:p>
    <w:p w14:paraId="0BD19064" w14:textId="77777777" w:rsidR="004D6CD7" w:rsidRPr="00564D92" w:rsidRDefault="004D6CD7" w:rsidP="004D6CD7">
      <w:pPr>
        <w:rPr>
          <w:szCs w:val="22"/>
        </w:rPr>
      </w:pPr>
      <w:r w:rsidRPr="00564D92">
        <w:rPr>
          <w:szCs w:val="22"/>
          <w:u w:val="single"/>
        </w:rPr>
        <w:t>Posology</w:t>
      </w:r>
    </w:p>
    <w:p w14:paraId="019CF385" w14:textId="6B027E7E" w:rsidR="004D6CD7" w:rsidRPr="00564D92" w:rsidRDefault="004D6CD7" w:rsidP="004D6CD7">
      <w:pPr>
        <w:rPr>
          <w:rFonts w:eastAsia="SimSun"/>
          <w:szCs w:val="22"/>
        </w:rPr>
      </w:pPr>
      <w:r w:rsidRPr="00564D92">
        <w:rPr>
          <w:szCs w:val="22"/>
        </w:rPr>
        <w:t xml:space="preserve">The starting dose would </w:t>
      </w:r>
      <w:r>
        <w:rPr>
          <w:szCs w:val="22"/>
        </w:rPr>
        <w:t>usu</w:t>
      </w:r>
      <w:r w:rsidRPr="00564D92">
        <w:rPr>
          <w:szCs w:val="22"/>
        </w:rPr>
        <w:t>ally correspond to the lowest dose in the range</w:t>
      </w:r>
      <w:r w:rsidRPr="0077673F">
        <w:rPr>
          <w:szCs w:val="22"/>
        </w:rPr>
        <w:t xml:space="preserve"> </w:t>
      </w:r>
      <w:r>
        <w:rPr>
          <w:szCs w:val="22"/>
        </w:rPr>
        <w:t>and</w:t>
      </w:r>
      <w:r w:rsidRPr="00564D92">
        <w:rPr>
          <w:szCs w:val="22"/>
        </w:rPr>
        <w:t xml:space="preserve"> </w:t>
      </w:r>
      <w:r>
        <w:rPr>
          <w:szCs w:val="22"/>
        </w:rPr>
        <w:t>t</w:t>
      </w:r>
      <w:r w:rsidRPr="00564D92">
        <w:rPr>
          <w:szCs w:val="22"/>
        </w:rPr>
        <w:t xml:space="preserve">he dose should subsequently be adapted according to the patient’s clinical response </w:t>
      </w:r>
      <w:r w:rsidRPr="000A5224">
        <w:rPr>
          <w:szCs w:val="22"/>
        </w:rPr>
        <w:t xml:space="preserve">(see </w:t>
      </w:r>
      <w:hyperlink w:anchor="_Special_warnings_and_1" w:history="1">
        <w:r w:rsidR="00577514" w:rsidRPr="00577514">
          <w:rPr>
            <w:rStyle w:val="Hyperlink"/>
            <w:noProof/>
            <w:szCs w:val="22"/>
          </w:rPr>
          <w:t>Section 4.4 Special warnings and precautions for use</w:t>
        </w:r>
      </w:hyperlink>
      <w:r w:rsidRPr="000A5224">
        <w:rPr>
          <w:szCs w:val="22"/>
        </w:rPr>
        <w:t>).</w:t>
      </w:r>
    </w:p>
    <w:p w14:paraId="3E8AA58D" w14:textId="77777777" w:rsidR="004D6CD7" w:rsidRPr="000A5224" w:rsidRDefault="004D6CD7" w:rsidP="004D6CD7">
      <w:pPr>
        <w:autoSpaceDE w:val="0"/>
        <w:autoSpaceDN w:val="0"/>
        <w:adjustRightInd w:val="0"/>
        <w:spacing w:line="240" w:lineRule="auto"/>
        <w:rPr>
          <w:rFonts w:eastAsia="SimSun"/>
          <w:iCs/>
          <w:szCs w:val="22"/>
        </w:rPr>
      </w:pPr>
      <w:r w:rsidRPr="000A5224">
        <w:rPr>
          <w:rFonts w:eastAsia="SimSun"/>
          <w:iCs/>
          <w:szCs w:val="22"/>
        </w:rPr>
        <w:lastRenderedPageBreak/>
        <w:t xml:space="preserve">The recommended dose is between 450 mg and </w:t>
      </w:r>
      <w:r w:rsidRPr="00564D92">
        <w:rPr>
          <w:rFonts w:eastAsia="SimSun"/>
          <w:iCs/>
          <w:szCs w:val="22"/>
        </w:rPr>
        <w:t>975</w:t>
      </w:r>
      <w:r w:rsidRPr="000A5224">
        <w:rPr>
          <w:rFonts w:eastAsia="SimSun"/>
          <w:iCs/>
          <w:szCs w:val="22"/>
        </w:rPr>
        <w:t xml:space="preserve"> mg (3 to </w:t>
      </w:r>
      <w:r w:rsidRPr="00564D92">
        <w:rPr>
          <w:rFonts w:eastAsia="SimSun"/>
          <w:iCs/>
          <w:szCs w:val="22"/>
        </w:rPr>
        <w:t>6</w:t>
      </w:r>
      <w:r w:rsidRPr="00564D92">
        <w:rPr>
          <w:b/>
        </w:rPr>
        <w:t>½</w:t>
      </w:r>
      <w:r>
        <w:rPr>
          <w:b/>
        </w:rPr>
        <w:t xml:space="preserve"> </w:t>
      </w:r>
      <w:r w:rsidRPr="00940A33">
        <w:t>film-coated</w:t>
      </w:r>
      <w:r>
        <w:rPr>
          <w:b/>
        </w:rPr>
        <w:t xml:space="preserve"> </w:t>
      </w:r>
      <w:r w:rsidRPr="000A5224">
        <w:rPr>
          <w:rFonts w:eastAsia="SimSun"/>
          <w:iCs/>
          <w:szCs w:val="22"/>
        </w:rPr>
        <w:t xml:space="preserve">tablets) per day in 2 to 4 divided doses. </w:t>
      </w:r>
    </w:p>
    <w:p w14:paraId="0FE09B52" w14:textId="77777777" w:rsidR="004D6CD7" w:rsidRPr="000A5224" w:rsidRDefault="004D6CD7" w:rsidP="004D6CD7">
      <w:pPr>
        <w:autoSpaceDE w:val="0"/>
        <w:autoSpaceDN w:val="0"/>
        <w:adjustRightInd w:val="0"/>
        <w:spacing w:line="240" w:lineRule="auto"/>
        <w:rPr>
          <w:rFonts w:eastAsia="SimSun"/>
          <w:i/>
          <w:iCs/>
          <w:szCs w:val="22"/>
          <w:u w:val="single"/>
        </w:rPr>
      </w:pPr>
      <w:r w:rsidRPr="000A5224">
        <w:rPr>
          <w:rFonts w:eastAsia="SimSun"/>
          <w:i/>
          <w:iCs/>
          <w:szCs w:val="22"/>
          <w:u w:val="single"/>
        </w:rPr>
        <w:t>Special populations</w:t>
      </w:r>
    </w:p>
    <w:p w14:paraId="36B34F1D" w14:textId="77777777" w:rsidR="004D6CD7" w:rsidRPr="000A5224" w:rsidRDefault="004D6CD7" w:rsidP="004D6CD7">
      <w:pPr>
        <w:autoSpaceDE w:val="0"/>
        <w:autoSpaceDN w:val="0"/>
        <w:adjustRightInd w:val="0"/>
        <w:spacing w:line="240" w:lineRule="auto"/>
        <w:rPr>
          <w:rFonts w:eastAsia="SimSun"/>
          <w:i/>
          <w:iCs/>
          <w:szCs w:val="22"/>
        </w:rPr>
      </w:pPr>
      <w:r w:rsidRPr="000A5224">
        <w:rPr>
          <w:rFonts w:eastAsia="SimSun"/>
          <w:i/>
          <w:iCs/>
          <w:szCs w:val="22"/>
        </w:rPr>
        <w:t xml:space="preserve">Elderly </w:t>
      </w:r>
    </w:p>
    <w:p w14:paraId="17EED977" w14:textId="77777777" w:rsidR="004D6CD7" w:rsidRPr="000A5224" w:rsidRDefault="004D6CD7" w:rsidP="004D6CD7">
      <w:pPr>
        <w:rPr>
          <w:rFonts w:eastAsia="TimesNewRoman"/>
          <w:szCs w:val="22"/>
        </w:rPr>
      </w:pPr>
      <w:r w:rsidRPr="000A5224">
        <w:rPr>
          <w:rFonts w:eastAsia="TimesNewRoman"/>
          <w:szCs w:val="22"/>
        </w:rPr>
        <w:t>No dose adjustment is required in elderly patients.</w:t>
      </w:r>
    </w:p>
    <w:p w14:paraId="04A2C0A3" w14:textId="77777777" w:rsidR="004D6CD7" w:rsidRPr="000A5224" w:rsidRDefault="004D6CD7" w:rsidP="004D6CD7">
      <w:pPr>
        <w:autoSpaceDE w:val="0"/>
        <w:autoSpaceDN w:val="0"/>
        <w:adjustRightInd w:val="0"/>
        <w:spacing w:line="240" w:lineRule="auto"/>
        <w:rPr>
          <w:rFonts w:eastAsia="SimSun"/>
          <w:i/>
          <w:iCs/>
          <w:szCs w:val="22"/>
        </w:rPr>
      </w:pPr>
      <w:r w:rsidRPr="000A5224">
        <w:rPr>
          <w:rFonts w:eastAsia="SimSun"/>
          <w:i/>
          <w:iCs/>
          <w:szCs w:val="22"/>
        </w:rPr>
        <w:t>Renal impairment</w:t>
      </w:r>
    </w:p>
    <w:p w14:paraId="72C4E63C" w14:textId="3B8B7DE5" w:rsidR="004D6CD7" w:rsidRPr="000A5224" w:rsidRDefault="004D6CD7" w:rsidP="004D6CD7">
      <w:pPr>
        <w:autoSpaceDE w:val="0"/>
        <w:autoSpaceDN w:val="0"/>
        <w:adjustRightInd w:val="0"/>
        <w:spacing w:line="240" w:lineRule="auto"/>
        <w:rPr>
          <w:rFonts w:eastAsia="TimesNewRoman"/>
          <w:szCs w:val="22"/>
        </w:rPr>
      </w:pPr>
      <w:r>
        <w:rPr>
          <w:rFonts w:eastAsia="TimesNewRoman"/>
          <w:szCs w:val="22"/>
        </w:rPr>
        <w:t xml:space="preserve">There is limited information in patients with renal impairment. </w:t>
      </w:r>
      <w:r w:rsidRPr="000A5224">
        <w:rPr>
          <w:rFonts w:eastAsia="TimesNewRoman"/>
          <w:szCs w:val="22"/>
        </w:rPr>
        <w:t xml:space="preserve">No </w:t>
      </w:r>
      <w:r>
        <w:rPr>
          <w:rFonts w:eastAsia="TimesNewRoman"/>
          <w:szCs w:val="22"/>
        </w:rPr>
        <w:t xml:space="preserve">specific </w:t>
      </w:r>
      <w:r w:rsidRPr="000A5224">
        <w:rPr>
          <w:rFonts w:eastAsia="TimesNewRoman"/>
          <w:szCs w:val="22"/>
        </w:rPr>
        <w:t xml:space="preserve">dose adjustment is required in </w:t>
      </w:r>
      <w:r>
        <w:rPr>
          <w:rFonts w:eastAsia="TimesNewRoman"/>
          <w:szCs w:val="22"/>
        </w:rPr>
        <w:t xml:space="preserve">these </w:t>
      </w:r>
      <w:r w:rsidRPr="000A5224">
        <w:rPr>
          <w:rFonts w:eastAsia="TimesNewRoman"/>
          <w:szCs w:val="22"/>
        </w:rPr>
        <w:t>patients</w:t>
      </w:r>
      <w:r>
        <w:rPr>
          <w:rFonts w:eastAsia="TimesNewRoman"/>
          <w:szCs w:val="22"/>
        </w:rPr>
        <w:t xml:space="preserve"> </w:t>
      </w:r>
      <w:r w:rsidR="00577514">
        <w:rPr>
          <w:rFonts w:eastAsia="TimesNewRoman"/>
          <w:szCs w:val="22"/>
        </w:rPr>
        <w:t xml:space="preserve">(see </w:t>
      </w:r>
      <w:hyperlink w:anchor="_Special_warnings_and_1" w:history="1">
        <w:r w:rsidR="00577514" w:rsidRPr="00577514">
          <w:rPr>
            <w:rStyle w:val="Hyperlink"/>
            <w:noProof/>
            <w:szCs w:val="22"/>
          </w:rPr>
          <w:t>Section 4.4 Special warnings and precautions for use</w:t>
        </w:r>
      </w:hyperlink>
      <w:r w:rsidRPr="000A5224">
        <w:rPr>
          <w:rFonts w:eastAsia="TimesNewRoman"/>
          <w:szCs w:val="22"/>
        </w:rPr>
        <w:t>).</w:t>
      </w:r>
    </w:p>
    <w:p w14:paraId="45B540C1" w14:textId="77777777" w:rsidR="004D6CD7" w:rsidRPr="000A5224" w:rsidRDefault="004D6CD7" w:rsidP="004D6CD7">
      <w:pPr>
        <w:rPr>
          <w:rFonts w:eastAsia="SimSun"/>
          <w:iCs/>
          <w:szCs w:val="22"/>
          <w:u w:val="single"/>
        </w:rPr>
      </w:pPr>
      <w:proofErr w:type="spellStart"/>
      <w:r w:rsidRPr="000A5224">
        <w:rPr>
          <w:rFonts w:eastAsia="SimSun"/>
          <w:iCs/>
          <w:szCs w:val="22"/>
          <w:u w:val="single"/>
        </w:rPr>
        <w:t>Paediatric</w:t>
      </w:r>
      <w:proofErr w:type="spellEnd"/>
      <w:r w:rsidRPr="000A5224">
        <w:rPr>
          <w:rFonts w:eastAsia="SimSun"/>
          <w:iCs/>
          <w:szCs w:val="22"/>
          <w:u w:val="single"/>
        </w:rPr>
        <w:t xml:space="preserve"> population</w:t>
      </w:r>
    </w:p>
    <w:p w14:paraId="55821610" w14:textId="77777777" w:rsidR="004D6CD7" w:rsidRPr="00564D92" w:rsidRDefault="004D6CD7" w:rsidP="004D6CD7">
      <w:pPr>
        <w:rPr>
          <w:szCs w:val="22"/>
        </w:rPr>
      </w:pPr>
      <w:r w:rsidRPr="00564D92">
        <w:rPr>
          <w:szCs w:val="22"/>
        </w:rPr>
        <w:t xml:space="preserve">The starting dose in </w:t>
      </w:r>
      <w:proofErr w:type="spellStart"/>
      <w:r w:rsidRPr="00564D92">
        <w:rPr>
          <w:szCs w:val="22"/>
        </w:rPr>
        <w:t>paediatrics</w:t>
      </w:r>
      <w:proofErr w:type="spellEnd"/>
      <w:r w:rsidRPr="00564D92">
        <w:rPr>
          <w:szCs w:val="22"/>
        </w:rPr>
        <w:t xml:space="preserve"> </w:t>
      </w:r>
      <w:r w:rsidRPr="00564D92">
        <w:t xml:space="preserve">is lower than for adults and </w:t>
      </w:r>
      <w:r w:rsidRPr="00564D92">
        <w:rPr>
          <w:szCs w:val="22"/>
        </w:rPr>
        <w:t xml:space="preserve">depends on age and body weight. </w:t>
      </w:r>
    </w:p>
    <w:p w14:paraId="497F4BF2" w14:textId="77777777" w:rsidR="004D6CD7" w:rsidRPr="00564D92" w:rsidRDefault="004D6CD7" w:rsidP="004D6CD7">
      <w:pPr>
        <w:rPr>
          <w:i/>
          <w:szCs w:val="22"/>
        </w:rPr>
      </w:pPr>
      <w:r w:rsidRPr="00564D92">
        <w:rPr>
          <w:i/>
          <w:szCs w:val="22"/>
        </w:rPr>
        <w:t xml:space="preserve">Children </w:t>
      </w:r>
      <w:r w:rsidRPr="00564D92">
        <w:rPr>
          <w:noProof/>
          <w:szCs w:val="22"/>
        </w:rPr>
        <w:t>≥</w:t>
      </w:r>
      <w:r>
        <w:rPr>
          <w:noProof/>
          <w:szCs w:val="22"/>
        </w:rPr>
        <w:t xml:space="preserve"> </w:t>
      </w:r>
      <w:r w:rsidRPr="00564D92">
        <w:rPr>
          <w:i/>
          <w:szCs w:val="22"/>
        </w:rPr>
        <w:t xml:space="preserve">5 years </w:t>
      </w:r>
    </w:p>
    <w:p w14:paraId="339154F6" w14:textId="7F59E271" w:rsidR="004D6CD7" w:rsidRPr="00564D92" w:rsidRDefault="004D6CD7" w:rsidP="004D6CD7">
      <w:pPr>
        <w:rPr>
          <w:szCs w:val="22"/>
        </w:rPr>
      </w:pPr>
      <w:r w:rsidRPr="00564D92">
        <w:rPr>
          <w:szCs w:val="22"/>
        </w:rPr>
        <w:t>The dose is usually between 225 mg and 600 mg per day (1</w:t>
      </w:r>
      <w:r w:rsidRPr="00564D92">
        <w:rPr>
          <w:b/>
        </w:rPr>
        <w:t>½</w:t>
      </w:r>
      <w:r w:rsidRPr="00564D92">
        <w:rPr>
          <w:szCs w:val="22"/>
        </w:rPr>
        <w:t xml:space="preserve"> to 4 </w:t>
      </w:r>
      <w:r>
        <w:rPr>
          <w:noProof/>
          <w:szCs w:val="22"/>
        </w:rPr>
        <w:t>film-coated</w:t>
      </w:r>
      <w:r w:rsidRPr="00564D92">
        <w:rPr>
          <w:szCs w:val="22"/>
        </w:rPr>
        <w:t xml:space="preserve"> tablets) in 2 to 4 divided doses.</w:t>
      </w:r>
      <w:r w:rsidR="00836F14">
        <w:rPr>
          <w:szCs w:val="22"/>
        </w:rPr>
        <w:t xml:space="preserve"> </w:t>
      </w:r>
      <w:r w:rsidR="00047C65" w:rsidRPr="00047C65">
        <w:rPr>
          <w:szCs w:val="22"/>
        </w:rPr>
        <w:t>The initial dose for children can be expressed on a weight basis as 13</w:t>
      </w:r>
      <w:r w:rsidR="00047C65">
        <w:rPr>
          <w:szCs w:val="22"/>
        </w:rPr>
        <w:t> </w:t>
      </w:r>
      <w:r w:rsidR="00047C65" w:rsidRPr="00047C65">
        <w:rPr>
          <w:szCs w:val="22"/>
        </w:rPr>
        <w:t xml:space="preserve">mg/kg/day of </w:t>
      </w:r>
      <w:proofErr w:type="spellStart"/>
      <w:r w:rsidR="00047C65" w:rsidRPr="00047C65">
        <w:rPr>
          <w:szCs w:val="22"/>
        </w:rPr>
        <w:t>trientine</w:t>
      </w:r>
      <w:proofErr w:type="spellEnd"/>
      <w:r w:rsidR="00047C65" w:rsidRPr="00047C65">
        <w:rPr>
          <w:szCs w:val="22"/>
        </w:rPr>
        <w:t xml:space="preserve"> base, rounded off to the nearest 75 mg</w:t>
      </w:r>
      <w:r w:rsidR="00836F14">
        <w:rPr>
          <w:szCs w:val="22"/>
        </w:rPr>
        <w:t xml:space="preserve"> to a maximum of 600 mg,</w:t>
      </w:r>
      <w:r w:rsidR="00047C65" w:rsidRPr="00047C65">
        <w:rPr>
          <w:szCs w:val="22"/>
        </w:rPr>
        <w:t xml:space="preserve"> in 2-4 divided doses</w:t>
      </w:r>
      <w:r w:rsidR="00047C65">
        <w:rPr>
          <w:szCs w:val="22"/>
        </w:rPr>
        <w:t>.</w:t>
      </w:r>
      <w:r w:rsidRPr="00564D92">
        <w:rPr>
          <w:szCs w:val="22"/>
        </w:rPr>
        <w:t xml:space="preserve"> </w:t>
      </w:r>
    </w:p>
    <w:p w14:paraId="108D3E49" w14:textId="77777777" w:rsidR="004D6CD7" w:rsidRPr="00564D92" w:rsidRDefault="004D6CD7" w:rsidP="004D6CD7">
      <w:pPr>
        <w:rPr>
          <w:i/>
          <w:iCs/>
          <w:szCs w:val="22"/>
        </w:rPr>
      </w:pPr>
      <w:r w:rsidRPr="00564D92">
        <w:rPr>
          <w:i/>
          <w:iCs/>
          <w:szCs w:val="22"/>
        </w:rPr>
        <w:t xml:space="preserve">Children aged </w:t>
      </w:r>
      <w:r>
        <w:rPr>
          <w:i/>
          <w:iCs/>
          <w:szCs w:val="22"/>
        </w:rPr>
        <w:t xml:space="preserve">&lt; </w:t>
      </w:r>
      <w:r w:rsidRPr="00564D92">
        <w:rPr>
          <w:i/>
          <w:iCs/>
          <w:szCs w:val="22"/>
        </w:rPr>
        <w:t>5 years</w:t>
      </w:r>
    </w:p>
    <w:p w14:paraId="159B30E4" w14:textId="77777777" w:rsidR="004D6CD7" w:rsidRPr="00F73BB4" w:rsidRDefault="004D6CD7" w:rsidP="004D6CD7">
      <w:pPr>
        <w:autoSpaceDE w:val="0"/>
        <w:autoSpaceDN w:val="0"/>
        <w:adjustRightInd w:val="0"/>
        <w:spacing w:line="240" w:lineRule="auto"/>
        <w:rPr>
          <w:szCs w:val="22"/>
        </w:rPr>
      </w:pPr>
      <w:r w:rsidRPr="00F73BB4">
        <w:rPr>
          <w:szCs w:val="22"/>
        </w:rPr>
        <w:t xml:space="preserve">The safety and efficacy of </w:t>
      </w:r>
      <w:proofErr w:type="spellStart"/>
      <w:r w:rsidRPr="00F73BB4">
        <w:rPr>
          <w:szCs w:val="22"/>
        </w:rPr>
        <w:t>trientine</w:t>
      </w:r>
      <w:proofErr w:type="spellEnd"/>
      <w:r w:rsidRPr="00F73BB4">
        <w:rPr>
          <w:szCs w:val="22"/>
        </w:rPr>
        <w:t xml:space="preserve"> in children aged &lt; 5 years have not been established. </w:t>
      </w:r>
    </w:p>
    <w:p w14:paraId="7DAF6168" w14:textId="77777777" w:rsidR="004D6CD7" w:rsidRPr="00F73BB4" w:rsidRDefault="004D6CD7" w:rsidP="004D6CD7">
      <w:pPr>
        <w:autoSpaceDE w:val="0"/>
        <w:autoSpaceDN w:val="0"/>
        <w:adjustRightInd w:val="0"/>
        <w:spacing w:line="240" w:lineRule="auto"/>
        <w:rPr>
          <w:szCs w:val="22"/>
        </w:rPr>
      </w:pPr>
      <w:r w:rsidRPr="00F73BB4">
        <w:rPr>
          <w:szCs w:val="22"/>
        </w:rPr>
        <w:t>The pharmaceutical form is not suitable for administration to children &lt; 5 years.</w:t>
      </w:r>
    </w:p>
    <w:p w14:paraId="3B9E1850" w14:textId="46D04964" w:rsidR="004D6CD7" w:rsidRPr="00564D92" w:rsidRDefault="004D6CD7" w:rsidP="004D6CD7">
      <w:pPr>
        <w:rPr>
          <w:szCs w:val="22"/>
        </w:rPr>
      </w:pPr>
      <w:r w:rsidRPr="00564D92">
        <w:rPr>
          <w:szCs w:val="22"/>
        </w:rPr>
        <w:t xml:space="preserve">The recommended doses of </w:t>
      </w:r>
      <w:r w:rsidR="0034550B" w:rsidRPr="00E521A7">
        <w:rPr>
          <w:lang w:val="en-AU"/>
        </w:rPr>
        <w:t xml:space="preserve">CUPRIOR </w:t>
      </w:r>
      <w:r w:rsidRPr="00564D92">
        <w:rPr>
          <w:szCs w:val="22"/>
        </w:rPr>
        <w:t xml:space="preserve">are expressed as mg of </w:t>
      </w:r>
      <w:proofErr w:type="spellStart"/>
      <w:r w:rsidRPr="00564D92">
        <w:rPr>
          <w:szCs w:val="22"/>
        </w:rPr>
        <w:t>trientine</w:t>
      </w:r>
      <w:proofErr w:type="spellEnd"/>
      <w:r w:rsidRPr="00564D92">
        <w:rPr>
          <w:szCs w:val="22"/>
        </w:rPr>
        <w:t xml:space="preserve"> base (</w:t>
      </w:r>
      <w:proofErr w:type="gramStart"/>
      <w:r w:rsidRPr="00564D92">
        <w:rPr>
          <w:szCs w:val="22"/>
        </w:rPr>
        <w:t>i.e.</w:t>
      </w:r>
      <w:proofErr w:type="gramEnd"/>
      <w:r w:rsidRPr="00564D92">
        <w:rPr>
          <w:szCs w:val="22"/>
        </w:rPr>
        <w:t xml:space="preserve"> not in mg of the </w:t>
      </w:r>
      <w:proofErr w:type="spellStart"/>
      <w:r w:rsidRPr="00564D92">
        <w:rPr>
          <w:szCs w:val="22"/>
        </w:rPr>
        <w:t>trientine</w:t>
      </w:r>
      <w:proofErr w:type="spellEnd"/>
      <w:r w:rsidRPr="00564D92">
        <w:rPr>
          <w:szCs w:val="22"/>
        </w:rPr>
        <w:t xml:space="preserve"> tetrahydrochloride salt). </w:t>
      </w:r>
    </w:p>
    <w:p w14:paraId="0E318F5E" w14:textId="77777777" w:rsidR="004D6CD7" w:rsidRPr="00564D92" w:rsidRDefault="004D6CD7" w:rsidP="004D6CD7">
      <w:pPr>
        <w:autoSpaceDE w:val="0"/>
        <w:autoSpaceDN w:val="0"/>
        <w:adjustRightInd w:val="0"/>
        <w:rPr>
          <w:szCs w:val="22"/>
          <w:u w:val="single"/>
        </w:rPr>
      </w:pPr>
      <w:r w:rsidRPr="00564D92">
        <w:rPr>
          <w:szCs w:val="22"/>
          <w:u w:val="single"/>
        </w:rPr>
        <w:t>Method of administration</w:t>
      </w:r>
    </w:p>
    <w:p w14:paraId="1E55B090" w14:textId="63CE5FA4" w:rsidR="004D6CD7" w:rsidRPr="00564D92" w:rsidRDefault="0034550B" w:rsidP="004D6CD7">
      <w:pPr>
        <w:autoSpaceDE w:val="0"/>
        <w:autoSpaceDN w:val="0"/>
        <w:adjustRightInd w:val="0"/>
        <w:rPr>
          <w:szCs w:val="22"/>
        </w:rPr>
      </w:pPr>
      <w:r w:rsidRPr="00E521A7">
        <w:rPr>
          <w:lang w:val="en-AU"/>
        </w:rPr>
        <w:t xml:space="preserve">CUPRIOR </w:t>
      </w:r>
      <w:r w:rsidR="004D6CD7" w:rsidRPr="00564D92">
        <w:rPr>
          <w:noProof/>
          <w:szCs w:val="22"/>
        </w:rPr>
        <w:t xml:space="preserve">is </w:t>
      </w:r>
      <w:r w:rsidR="004D6CD7" w:rsidRPr="00564D92">
        <w:rPr>
          <w:szCs w:val="22"/>
        </w:rPr>
        <w:t xml:space="preserve">for oral use. The </w:t>
      </w:r>
      <w:r w:rsidR="004D6CD7">
        <w:rPr>
          <w:noProof/>
          <w:szCs w:val="22"/>
        </w:rPr>
        <w:t>film-coated</w:t>
      </w:r>
      <w:r w:rsidR="004D6CD7" w:rsidRPr="00564D92">
        <w:rPr>
          <w:szCs w:val="22"/>
        </w:rPr>
        <w:t xml:space="preserve"> tablets should be swallowed with water. The scored </w:t>
      </w:r>
      <w:r w:rsidR="004D6CD7">
        <w:rPr>
          <w:noProof/>
          <w:szCs w:val="22"/>
        </w:rPr>
        <w:t>film-coated</w:t>
      </w:r>
      <w:r w:rsidR="004D6CD7" w:rsidRPr="00564D92">
        <w:rPr>
          <w:szCs w:val="22"/>
        </w:rPr>
        <w:t xml:space="preserve"> tablet can be divided in two equal halves, if required, to provide a more precise dose or facilitate administration.</w:t>
      </w:r>
    </w:p>
    <w:p w14:paraId="492EBBB6" w14:textId="12DD890E" w:rsidR="00CF180D" w:rsidRPr="00380C7E" w:rsidRDefault="004D6CD7" w:rsidP="004D6CD7">
      <w:pPr>
        <w:rPr>
          <w:highlight w:val="yellow"/>
        </w:rPr>
      </w:pPr>
      <w:r w:rsidRPr="00442454">
        <w:rPr>
          <w:rFonts w:eastAsia="MS Mincho"/>
        </w:rPr>
        <w:t xml:space="preserve">It is important that </w:t>
      </w:r>
      <w:r w:rsidR="0034550B" w:rsidRPr="00E521A7">
        <w:rPr>
          <w:lang w:val="en-AU"/>
        </w:rPr>
        <w:t xml:space="preserve">CUPRIOR </w:t>
      </w:r>
      <w:r w:rsidRPr="00442454">
        <w:rPr>
          <w:rFonts w:eastAsia="MS Mincho"/>
        </w:rPr>
        <w:t xml:space="preserve">is given </w:t>
      </w:r>
      <w:r w:rsidRPr="00564D92">
        <w:rPr>
          <w:szCs w:val="22"/>
        </w:rPr>
        <w:t xml:space="preserve">on an empty stomach, </w:t>
      </w:r>
      <w:r w:rsidRPr="00442454">
        <w:rPr>
          <w:rFonts w:eastAsia="MS Mincho"/>
        </w:rPr>
        <w:t xml:space="preserve">at least </w:t>
      </w:r>
      <w:r w:rsidRPr="00564D92">
        <w:rPr>
          <w:szCs w:val="22"/>
        </w:rPr>
        <w:t xml:space="preserve">one hour before meals </w:t>
      </w:r>
      <w:r>
        <w:rPr>
          <w:szCs w:val="22"/>
        </w:rPr>
        <w:t xml:space="preserve">or two hours after meals and at least one hour apart from any other </w:t>
      </w:r>
      <w:r>
        <w:rPr>
          <w:noProof/>
          <w:szCs w:val="22"/>
        </w:rPr>
        <w:t>medicinal product</w:t>
      </w:r>
      <w:r>
        <w:rPr>
          <w:szCs w:val="22"/>
        </w:rPr>
        <w:t xml:space="preserve">, food, or milk </w:t>
      </w:r>
      <w:r w:rsidRPr="00564D92">
        <w:rPr>
          <w:szCs w:val="22"/>
        </w:rPr>
        <w:t xml:space="preserve">(see </w:t>
      </w:r>
      <w:hyperlink w:anchor="_Interactions_with_other" w:history="1">
        <w:r w:rsidR="00577514" w:rsidRPr="00577514">
          <w:rPr>
            <w:rStyle w:val="Hyperlink"/>
            <w:szCs w:val="22"/>
          </w:rPr>
          <w:t>S</w:t>
        </w:r>
        <w:r w:rsidRPr="00577514">
          <w:rPr>
            <w:rStyle w:val="Hyperlink"/>
            <w:szCs w:val="22"/>
          </w:rPr>
          <w:t>ection 4.5</w:t>
        </w:r>
        <w:r w:rsidR="00577514" w:rsidRPr="00577514">
          <w:rPr>
            <w:rStyle w:val="Hyperlink"/>
            <w:szCs w:val="22"/>
          </w:rPr>
          <w:t xml:space="preserve"> </w:t>
        </w:r>
        <w:r w:rsidR="00577514" w:rsidRPr="00577514">
          <w:rPr>
            <w:rStyle w:val="Hyperlink"/>
          </w:rPr>
          <w:t>Interactions with other medicines and other forms of interactions</w:t>
        </w:r>
      </w:hyperlink>
      <w:r w:rsidRPr="00564D92">
        <w:rPr>
          <w:szCs w:val="22"/>
        </w:rPr>
        <w:t>).</w:t>
      </w:r>
    </w:p>
    <w:p w14:paraId="20E41F4B" w14:textId="77777777" w:rsidR="001A3992" w:rsidRPr="004D6CD7" w:rsidRDefault="001A3992" w:rsidP="00212203">
      <w:pPr>
        <w:pStyle w:val="Heading2"/>
      </w:pPr>
      <w:bookmarkStart w:id="1" w:name="_Contraindications"/>
      <w:bookmarkEnd w:id="1"/>
      <w:r w:rsidRPr="004D6CD7">
        <w:t>Contraindications</w:t>
      </w:r>
    </w:p>
    <w:p w14:paraId="29882358" w14:textId="77777777" w:rsidR="004D6CD7" w:rsidRPr="00564D92" w:rsidRDefault="004D6CD7" w:rsidP="004D6CD7">
      <w:pPr>
        <w:rPr>
          <w:noProof/>
          <w:szCs w:val="22"/>
        </w:rPr>
      </w:pPr>
      <w:bookmarkStart w:id="2" w:name="_Special_warnings_and"/>
      <w:bookmarkEnd w:id="2"/>
      <w:r w:rsidRPr="00564D92">
        <w:rPr>
          <w:noProof/>
          <w:szCs w:val="22"/>
        </w:rPr>
        <w:t>Hypersensitivity to the active substance or to any of the excipients listed in section 6.1.</w:t>
      </w:r>
    </w:p>
    <w:p w14:paraId="7F342FD7" w14:textId="77777777" w:rsidR="001A3992" w:rsidRPr="004D6CD7" w:rsidRDefault="00E74A56" w:rsidP="00212203">
      <w:pPr>
        <w:pStyle w:val="Heading2"/>
      </w:pPr>
      <w:bookmarkStart w:id="3" w:name="_Special_warnings_and_1"/>
      <w:bookmarkEnd w:id="3"/>
      <w:r w:rsidRPr="004D6CD7">
        <w:lastRenderedPageBreak/>
        <w:t>Special warnings and p</w:t>
      </w:r>
      <w:r w:rsidR="001A3992" w:rsidRPr="004D6CD7">
        <w:t xml:space="preserve">recautions </w:t>
      </w:r>
      <w:r w:rsidRPr="004D6CD7">
        <w:t>for use</w:t>
      </w:r>
    </w:p>
    <w:p w14:paraId="5B01470B" w14:textId="20304967" w:rsidR="004D6CD7" w:rsidRPr="000A5224" w:rsidRDefault="004D6CD7" w:rsidP="004D6CD7">
      <w:pPr>
        <w:rPr>
          <w:szCs w:val="22"/>
        </w:rPr>
      </w:pPr>
      <w:r w:rsidRPr="00564D92">
        <w:rPr>
          <w:szCs w:val="22"/>
        </w:rPr>
        <w:t>When</w:t>
      </w:r>
      <w:r w:rsidRPr="000A5224">
        <w:rPr>
          <w:szCs w:val="22"/>
        </w:rPr>
        <w:t xml:space="preserve"> switching a patient from another formulation </w:t>
      </w:r>
      <w:proofErr w:type="spellStart"/>
      <w:r w:rsidRPr="000A5224">
        <w:rPr>
          <w:szCs w:val="22"/>
        </w:rPr>
        <w:t>trientine</w:t>
      </w:r>
      <w:proofErr w:type="spellEnd"/>
      <w:r w:rsidRPr="000A5224">
        <w:rPr>
          <w:szCs w:val="22"/>
        </w:rPr>
        <w:t xml:space="preserve">, caution is advised because doses expressed in </w:t>
      </w:r>
      <w:proofErr w:type="spellStart"/>
      <w:r w:rsidRPr="000A5224">
        <w:rPr>
          <w:szCs w:val="22"/>
        </w:rPr>
        <w:t>trientine</w:t>
      </w:r>
      <w:proofErr w:type="spellEnd"/>
      <w:r w:rsidRPr="000A5224">
        <w:rPr>
          <w:szCs w:val="22"/>
        </w:rPr>
        <w:t xml:space="preserve"> base may not be equivalent (see </w:t>
      </w:r>
      <w:hyperlink w:anchor="_Dose_and_method" w:history="1">
        <w:r w:rsidR="00577514" w:rsidRPr="00577514">
          <w:rPr>
            <w:rStyle w:val="Hyperlink"/>
            <w:noProof/>
            <w:szCs w:val="22"/>
          </w:rPr>
          <w:t>Section 4.2 Dose and method of administration</w:t>
        </w:r>
      </w:hyperlink>
      <w:r w:rsidRPr="000A5224">
        <w:rPr>
          <w:szCs w:val="22"/>
        </w:rPr>
        <w:t xml:space="preserve">).  </w:t>
      </w:r>
    </w:p>
    <w:p w14:paraId="75DED817" w14:textId="16A3C246" w:rsidR="004D6CD7" w:rsidRPr="00564D92" w:rsidRDefault="004D6CD7" w:rsidP="004D6CD7">
      <w:pPr>
        <w:autoSpaceDE w:val="0"/>
        <w:autoSpaceDN w:val="0"/>
        <w:adjustRightInd w:val="0"/>
        <w:spacing w:line="240" w:lineRule="auto"/>
        <w:rPr>
          <w:noProof/>
          <w:szCs w:val="22"/>
        </w:rPr>
      </w:pPr>
      <w:r w:rsidRPr="00564D92">
        <w:rPr>
          <w:noProof/>
          <w:szCs w:val="22"/>
        </w:rPr>
        <w:t>Trientine</w:t>
      </w:r>
      <w:r w:rsidRPr="00564D92">
        <w:rPr>
          <w:szCs w:val="22"/>
        </w:rPr>
        <w:t xml:space="preserve"> </w:t>
      </w:r>
      <w:r w:rsidRPr="00564D92">
        <w:rPr>
          <w:noProof/>
          <w:szCs w:val="22"/>
        </w:rPr>
        <w:t xml:space="preserve">is a chelating agent which has been found to reduce serum iron levels. Iron supplements may be necessary in  case of iron deficiency anaemia and should be administered at a different time (see </w:t>
      </w:r>
      <w:hyperlink w:anchor="_Interactions_with_other" w:history="1">
        <w:r w:rsidR="00577514" w:rsidRPr="00577514">
          <w:rPr>
            <w:rStyle w:val="Hyperlink"/>
            <w:szCs w:val="22"/>
          </w:rPr>
          <w:t xml:space="preserve">Section 4.5 </w:t>
        </w:r>
        <w:r w:rsidR="00577514" w:rsidRPr="00577514">
          <w:rPr>
            <w:rStyle w:val="Hyperlink"/>
          </w:rPr>
          <w:t>Interactions with other medicines and other forms of interactions</w:t>
        </w:r>
      </w:hyperlink>
      <w:r w:rsidRPr="00564D92">
        <w:rPr>
          <w:noProof/>
          <w:szCs w:val="22"/>
        </w:rPr>
        <w:t xml:space="preserve">). </w:t>
      </w:r>
    </w:p>
    <w:p w14:paraId="1A0726AB" w14:textId="77777777" w:rsidR="004D6CD7" w:rsidRPr="00564D92" w:rsidRDefault="004D6CD7" w:rsidP="004D6CD7">
      <w:pPr>
        <w:autoSpaceDE w:val="0"/>
        <w:autoSpaceDN w:val="0"/>
        <w:adjustRightInd w:val="0"/>
        <w:spacing w:line="240" w:lineRule="auto"/>
        <w:rPr>
          <w:noProof/>
          <w:szCs w:val="22"/>
        </w:rPr>
      </w:pPr>
      <w:r w:rsidRPr="0005706A">
        <w:rPr>
          <w:noProof/>
          <w:szCs w:val="22"/>
        </w:rPr>
        <w:t>The combination of trientine with zinc is not recommended. There are only limited data on concomitant use available and no specific dose recommendations can be made.</w:t>
      </w:r>
    </w:p>
    <w:p w14:paraId="3A125BFD" w14:textId="77777777" w:rsidR="004D6CD7" w:rsidRPr="00564D92" w:rsidRDefault="004D6CD7" w:rsidP="004D6CD7">
      <w:pPr>
        <w:autoSpaceDE w:val="0"/>
        <w:autoSpaceDN w:val="0"/>
        <w:adjustRightInd w:val="0"/>
        <w:spacing w:line="240" w:lineRule="auto"/>
        <w:rPr>
          <w:noProof/>
          <w:szCs w:val="22"/>
        </w:rPr>
      </w:pPr>
      <w:r w:rsidRPr="00564D92">
        <w:rPr>
          <w:noProof/>
          <w:szCs w:val="22"/>
        </w:rPr>
        <w:t>In patients who were previously treated with D-penicillamine, lupus-like reactions have been reported during subsequent  treatment with trientine, however it is not possible to determine if there is a causal relationship with trientine.</w:t>
      </w:r>
    </w:p>
    <w:p w14:paraId="0DD06C39" w14:textId="77777777" w:rsidR="004D6CD7" w:rsidRPr="00564D92" w:rsidRDefault="004D6CD7" w:rsidP="004D6CD7">
      <w:pPr>
        <w:rPr>
          <w:noProof/>
          <w:szCs w:val="22"/>
          <w:u w:val="single"/>
        </w:rPr>
      </w:pPr>
      <w:r w:rsidRPr="00564D92">
        <w:rPr>
          <w:noProof/>
          <w:szCs w:val="22"/>
          <w:u w:val="single"/>
        </w:rPr>
        <w:t>Monitoring</w:t>
      </w:r>
    </w:p>
    <w:p w14:paraId="0FD48161" w14:textId="06D1311C" w:rsidR="004D6CD7" w:rsidRPr="00564D92" w:rsidRDefault="004D6CD7" w:rsidP="004D6CD7">
      <w:pPr>
        <w:rPr>
          <w:noProof/>
          <w:szCs w:val="22"/>
        </w:rPr>
      </w:pPr>
      <w:r w:rsidRPr="00564D92">
        <w:rPr>
          <w:noProof/>
          <w:szCs w:val="22"/>
        </w:rPr>
        <w:t xml:space="preserve">Patients receiving </w:t>
      </w:r>
      <w:r w:rsidR="0034550B" w:rsidRPr="00E521A7">
        <w:rPr>
          <w:lang w:val="en-AU"/>
        </w:rPr>
        <w:t xml:space="preserve">CUPRIOR </w:t>
      </w:r>
      <w:r w:rsidRPr="00564D92">
        <w:rPr>
          <w:noProof/>
          <w:szCs w:val="22"/>
        </w:rPr>
        <w:t xml:space="preserve">should remain under regular medical supervision and be monitored for appropriate control of symptoms and copper levels </w:t>
      </w:r>
      <w:proofErr w:type="gramStart"/>
      <w:r w:rsidRPr="00564D92">
        <w:rPr>
          <w:szCs w:val="22"/>
        </w:rPr>
        <w:t>in o</w:t>
      </w:r>
      <w:r w:rsidR="00577514">
        <w:rPr>
          <w:szCs w:val="22"/>
        </w:rPr>
        <w:t>rder to</w:t>
      </w:r>
      <w:proofErr w:type="gramEnd"/>
      <w:r w:rsidR="00577514">
        <w:rPr>
          <w:szCs w:val="22"/>
        </w:rPr>
        <w:t xml:space="preserve"> </w:t>
      </w:r>
      <w:proofErr w:type="spellStart"/>
      <w:r w:rsidR="00577514">
        <w:rPr>
          <w:szCs w:val="22"/>
        </w:rPr>
        <w:t>optimise</w:t>
      </w:r>
      <w:proofErr w:type="spellEnd"/>
      <w:r w:rsidR="00577514">
        <w:rPr>
          <w:szCs w:val="22"/>
        </w:rPr>
        <w:t xml:space="preserve"> the dose (see </w:t>
      </w:r>
      <w:hyperlink w:anchor="_Dose_and_method" w:history="1">
        <w:r w:rsidR="00577514" w:rsidRPr="00577514">
          <w:rPr>
            <w:rStyle w:val="Hyperlink"/>
            <w:szCs w:val="22"/>
          </w:rPr>
          <w:t>S</w:t>
        </w:r>
        <w:r w:rsidRPr="00577514">
          <w:rPr>
            <w:rStyle w:val="Hyperlink"/>
            <w:szCs w:val="22"/>
          </w:rPr>
          <w:t>ection 4.2</w:t>
        </w:r>
        <w:r w:rsidR="00577514" w:rsidRPr="00577514">
          <w:rPr>
            <w:rStyle w:val="Hyperlink"/>
            <w:szCs w:val="22"/>
          </w:rPr>
          <w:t xml:space="preserve"> Dose and method of administration</w:t>
        </w:r>
      </w:hyperlink>
      <w:r w:rsidRPr="00564D92">
        <w:rPr>
          <w:szCs w:val="22"/>
        </w:rPr>
        <w:t>)</w:t>
      </w:r>
      <w:r w:rsidRPr="00564D92">
        <w:rPr>
          <w:noProof/>
          <w:szCs w:val="22"/>
        </w:rPr>
        <w:t xml:space="preserve">. </w:t>
      </w:r>
    </w:p>
    <w:p w14:paraId="1055E448" w14:textId="0189608A" w:rsidR="004D6CD7" w:rsidRPr="00564D92" w:rsidRDefault="004D6CD7" w:rsidP="004D6CD7">
      <w:pPr>
        <w:rPr>
          <w:noProof/>
          <w:szCs w:val="22"/>
        </w:rPr>
      </w:pPr>
      <w:r w:rsidRPr="00564D92">
        <w:rPr>
          <w:noProof/>
          <w:szCs w:val="22"/>
        </w:rPr>
        <w:t xml:space="preserve">The aim of maintenance treatment is to maintain free copper levels in the serum within acceptable limits. The most reliable index for monitoring therapy is the determination of serum free copper which is calculated using the difference between the total copper and the ceruloplasmin-bound copper (normal level of free copper in the serum is usually </w:t>
      </w:r>
      <w:r w:rsidR="004A5AC8">
        <w:rPr>
          <w:noProof/>
          <w:szCs w:val="22"/>
        </w:rPr>
        <w:br/>
        <w:t>1</w:t>
      </w:r>
      <w:r w:rsidR="001B3C9C" w:rsidRPr="001B3C9C">
        <w:rPr>
          <w:noProof/>
          <w:szCs w:val="22"/>
        </w:rPr>
        <w:t>.6 to 2.4 µmol/L</w:t>
      </w:r>
      <w:r w:rsidRPr="00564D92">
        <w:rPr>
          <w:noProof/>
          <w:szCs w:val="22"/>
        </w:rPr>
        <w:t xml:space="preserve">). </w:t>
      </w:r>
    </w:p>
    <w:p w14:paraId="4BA5BB7E" w14:textId="77777777" w:rsidR="004D6CD7" w:rsidRPr="00564D92" w:rsidRDefault="004D6CD7" w:rsidP="004D6CD7">
      <w:pPr>
        <w:rPr>
          <w:noProof/>
          <w:szCs w:val="22"/>
        </w:rPr>
      </w:pPr>
      <w:r w:rsidRPr="00564D92">
        <w:rPr>
          <w:noProof/>
          <w:szCs w:val="22"/>
        </w:rPr>
        <w:t>The measurement of copper excretion in the urine may be performed during therapy. Since chelation therapy leads to an increase in urinary copper levels, this may/will not give an accurate reflection of the excess copper load in the body but may be a useful measure of treatment compliance.</w:t>
      </w:r>
    </w:p>
    <w:p w14:paraId="710C35A9" w14:textId="77777777" w:rsidR="004D6CD7" w:rsidRPr="00564D92" w:rsidRDefault="004D6CD7" w:rsidP="004D6CD7">
      <w:pPr>
        <w:rPr>
          <w:noProof/>
          <w:szCs w:val="22"/>
        </w:rPr>
      </w:pPr>
      <w:r w:rsidRPr="00564D92">
        <w:rPr>
          <w:noProof/>
          <w:szCs w:val="22"/>
        </w:rPr>
        <w:t>Worsening of clinical symptoms, including neurological deterioration, may occur at the beginning of chelation therapy</w:t>
      </w:r>
      <w:r w:rsidRPr="00564D92" w:rsidDel="00714DE0">
        <w:rPr>
          <w:noProof/>
          <w:szCs w:val="22"/>
        </w:rPr>
        <w:t xml:space="preserve"> </w:t>
      </w:r>
      <w:r w:rsidRPr="00564D92">
        <w:rPr>
          <w:szCs w:val="22"/>
        </w:rPr>
        <w:t xml:space="preserve">due to excess of free serum copper during the initial response to treatment. </w:t>
      </w:r>
      <w:r w:rsidRPr="00564D92">
        <w:rPr>
          <w:noProof/>
          <w:szCs w:val="22"/>
        </w:rPr>
        <w:t xml:space="preserve">Close monitoring is required to optimise the dose or </w:t>
      </w:r>
      <w:r w:rsidRPr="00564D92">
        <w:rPr>
          <w:szCs w:val="22"/>
        </w:rPr>
        <w:t>to adapt treatment if necessary.</w:t>
      </w:r>
    </w:p>
    <w:p w14:paraId="77F07092" w14:textId="77777777" w:rsidR="004D6CD7" w:rsidRPr="00564D92" w:rsidRDefault="004D6CD7" w:rsidP="004D6CD7">
      <w:pPr>
        <w:keepNext/>
        <w:rPr>
          <w:noProof/>
          <w:szCs w:val="22"/>
          <w:u w:val="single"/>
        </w:rPr>
      </w:pPr>
      <w:r w:rsidRPr="00564D92">
        <w:rPr>
          <w:noProof/>
          <w:szCs w:val="22"/>
          <w:u w:val="single"/>
        </w:rPr>
        <w:t>Special populations</w:t>
      </w:r>
    </w:p>
    <w:p w14:paraId="5E1B9356" w14:textId="71BEEA2C" w:rsidR="004D6CD7" w:rsidRPr="00564D92" w:rsidRDefault="004D6CD7" w:rsidP="004D6CD7">
      <w:pPr>
        <w:rPr>
          <w:noProof/>
          <w:szCs w:val="22"/>
        </w:rPr>
      </w:pPr>
      <w:r w:rsidRPr="00564D92">
        <w:rPr>
          <w:noProof/>
          <w:szCs w:val="22"/>
        </w:rPr>
        <w:t xml:space="preserve">Overtreatment carries the risk of copper deficiency. Monitoring for manifestations of overtreatment should be undertaken, particularly when copper requirements may change, such as in pregnancy </w:t>
      </w:r>
      <w:r w:rsidR="00577514">
        <w:rPr>
          <w:noProof/>
          <w:szCs w:val="22"/>
        </w:rPr>
        <w:t xml:space="preserve">(see </w:t>
      </w:r>
      <w:hyperlink w:anchor="_Fertility,_pregnancy_and" w:history="1">
        <w:r w:rsidR="00577514" w:rsidRPr="00577514">
          <w:rPr>
            <w:rStyle w:val="Hyperlink"/>
            <w:noProof/>
            <w:szCs w:val="22"/>
          </w:rPr>
          <w:t>S</w:t>
        </w:r>
        <w:r w:rsidRPr="00577514">
          <w:rPr>
            <w:rStyle w:val="Hyperlink"/>
            <w:noProof/>
            <w:szCs w:val="22"/>
          </w:rPr>
          <w:t>ection 4.6</w:t>
        </w:r>
        <w:r w:rsidR="00577514" w:rsidRPr="00577514">
          <w:rPr>
            <w:rStyle w:val="Hyperlink"/>
            <w:noProof/>
            <w:szCs w:val="22"/>
          </w:rPr>
          <w:t xml:space="preserve"> Fertility, pregnancy and lactation</w:t>
        </w:r>
      </w:hyperlink>
      <w:r w:rsidRPr="00564D92">
        <w:rPr>
          <w:noProof/>
          <w:szCs w:val="22"/>
        </w:rPr>
        <w:t xml:space="preserve">) and in children </w:t>
      </w:r>
      <w:r w:rsidRPr="00564D92">
        <w:rPr>
          <w:noProof/>
          <w:szCs w:val="22"/>
        </w:rPr>
        <w:lastRenderedPageBreak/>
        <w:t>where appropriate control of copper levels are required to ensure proper growth and mental development.</w:t>
      </w:r>
    </w:p>
    <w:p w14:paraId="28B2F3E5" w14:textId="2E1FDD61" w:rsidR="00D746FD" w:rsidRDefault="004D6CD7" w:rsidP="00212203">
      <w:pPr>
        <w:rPr>
          <w:noProof/>
          <w:szCs w:val="22"/>
        </w:rPr>
      </w:pPr>
      <w:r w:rsidRPr="00564D92">
        <w:rPr>
          <w:noProof/>
          <w:szCs w:val="22"/>
        </w:rPr>
        <w:t xml:space="preserve">Patients with renal impairment receiving </w:t>
      </w:r>
      <w:r>
        <w:rPr>
          <w:noProof/>
          <w:szCs w:val="22"/>
        </w:rPr>
        <w:t>trientine</w:t>
      </w:r>
      <w:r w:rsidRPr="00564D92">
        <w:rPr>
          <w:noProof/>
          <w:szCs w:val="22"/>
        </w:rPr>
        <w:t xml:space="preserve"> should remain under regular medical supervision for appropriate control of symptoms and copper levels. Close monitoring of renal function is also reco</w:t>
      </w:r>
      <w:r w:rsidR="00577514">
        <w:rPr>
          <w:noProof/>
          <w:szCs w:val="22"/>
        </w:rPr>
        <w:t xml:space="preserve">mmended in these patients (see </w:t>
      </w:r>
      <w:hyperlink w:anchor="_Dose_and_method" w:history="1">
        <w:r w:rsidR="00577514" w:rsidRPr="00577514">
          <w:rPr>
            <w:rStyle w:val="Hyperlink"/>
            <w:noProof/>
            <w:szCs w:val="22"/>
          </w:rPr>
          <w:t>S</w:t>
        </w:r>
        <w:r w:rsidRPr="00577514">
          <w:rPr>
            <w:rStyle w:val="Hyperlink"/>
            <w:noProof/>
            <w:szCs w:val="22"/>
          </w:rPr>
          <w:t>ection 4.2</w:t>
        </w:r>
        <w:r w:rsidR="00577514" w:rsidRPr="00577514">
          <w:rPr>
            <w:rStyle w:val="Hyperlink"/>
            <w:noProof/>
            <w:szCs w:val="22"/>
          </w:rPr>
          <w:t xml:space="preserve"> Dose and method of administration</w:t>
        </w:r>
      </w:hyperlink>
      <w:r w:rsidRPr="00564D92">
        <w:rPr>
          <w:noProof/>
          <w:szCs w:val="22"/>
        </w:rPr>
        <w:t>).</w:t>
      </w:r>
    </w:p>
    <w:p w14:paraId="177CA017" w14:textId="364C985E" w:rsidR="00F00DC5" w:rsidRDefault="00F00DC5" w:rsidP="00F00DC5">
      <w:pPr>
        <w:pStyle w:val="Heading3"/>
        <w:rPr>
          <w:noProof/>
        </w:rPr>
      </w:pPr>
      <w:r>
        <w:rPr>
          <w:noProof/>
        </w:rPr>
        <w:t>Use in renal impairment</w:t>
      </w:r>
    </w:p>
    <w:p w14:paraId="337E1F39" w14:textId="34DF2112" w:rsidR="00F00DC5" w:rsidRPr="00F00DC5" w:rsidRDefault="00F00DC5" w:rsidP="00F00DC5">
      <w:r>
        <w:t>See Section 4.2 Dose and method of administration</w:t>
      </w:r>
      <w:r w:rsidR="00B30958">
        <w:t>.</w:t>
      </w:r>
    </w:p>
    <w:p w14:paraId="1879618B" w14:textId="77F1AB13" w:rsidR="00B3122B" w:rsidRDefault="00B3122B" w:rsidP="00B3122B">
      <w:pPr>
        <w:pStyle w:val="Heading3"/>
        <w:rPr>
          <w:noProof/>
        </w:rPr>
      </w:pPr>
      <w:r>
        <w:rPr>
          <w:noProof/>
        </w:rPr>
        <w:t>Use in the elderly</w:t>
      </w:r>
    </w:p>
    <w:p w14:paraId="0D3CEED1" w14:textId="20D20A3A" w:rsidR="00F00DC5" w:rsidRPr="00F00DC5" w:rsidRDefault="00F00DC5" w:rsidP="00F00DC5">
      <w:r>
        <w:t>See Section 4.2 Dose and method of administration</w:t>
      </w:r>
      <w:r w:rsidR="00B30958">
        <w:t>.</w:t>
      </w:r>
    </w:p>
    <w:p w14:paraId="0EFF2E74" w14:textId="664E794E" w:rsidR="00B3122B" w:rsidRDefault="00B3122B" w:rsidP="00B3122B">
      <w:pPr>
        <w:pStyle w:val="Heading3"/>
      </w:pPr>
      <w:proofErr w:type="spellStart"/>
      <w:r>
        <w:t>Paediatric</w:t>
      </w:r>
      <w:proofErr w:type="spellEnd"/>
      <w:r>
        <w:t xml:space="preserve"> use</w:t>
      </w:r>
    </w:p>
    <w:p w14:paraId="6B90902E" w14:textId="6F048CBF" w:rsidR="00F00DC5" w:rsidRPr="00F00DC5" w:rsidRDefault="00F00DC5" w:rsidP="00F00DC5">
      <w:r>
        <w:t>See Section 4.2 Dose and method of administration</w:t>
      </w:r>
      <w:r w:rsidR="00B30958">
        <w:t>.</w:t>
      </w:r>
    </w:p>
    <w:p w14:paraId="13F97F86" w14:textId="1B075114" w:rsidR="00B3122B" w:rsidRDefault="00B3122B" w:rsidP="00B3122B">
      <w:pPr>
        <w:pStyle w:val="Heading3"/>
      </w:pPr>
      <w:r>
        <w:t>Effects on laboratory tests</w:t>
      </w:r>
    </w:p>
    <w:p w14:paraId="02BE322E" w14:textId="2578A802" w:rsidR="00F00DC5" w:rsidRPr="00F00DC5" w:rsidRDefault="00F00DC5" w:rsidP="00B30958">
      <w:r>
        <w:t>No data available</w:t>
      </w:r>
      <w:r w:rsidR="00B30958">
        <w:t>.</w:t>
      </w:r>
    </w:p>
    <w:p w14:paraId="74435029" w14:textId="77777777" w:rsidR="001A3992" w:rsidRPr="00570A78" w:rsidRDefault="001A3992" w:rsidP="00212203">
      <w:pPr>
        <w:pStyle w:val="Heading2"/>
      </w:pPr>
      <w:bookmarkStart w:id="4" w:name="_Interactions_with_other"/>
      <w:bookmarkEnd w:id="4"/>
      <w:r w:rsidRPr="00570A78">
        <w:t>Interactions with other medicines and other forms of interactions</w:t>
      </w:r>
    </w:p>
    <w:p w14:paraId="612AE823" w14:textId="77777777" w:rsidR="00A5326E" w:rsidRPr="00564D92" w:rsidRDefault="00A5326E" w:rsidP="00A5326E">
      <w:pPr>
        <w:spacing w:line="240" w:lineRule="auto"/>
        <w:rPr>
          <w:noProof/>
          <w:szCs w:val="22"/>
        </w:rPr>
      </w:pPr>
      <w:r w:rsidRPr="00564D92">
        <w:rPr>
          <w:noProof/>
          <w:szCs w:val="22"/>
        </w:rPr>
        <w:t>No interaction studies have been performed.</w:t>
      </w:r>
    </w:p>
    <w:p w14:paraId="32BB1C8C" w14:textId="77777777" w:rsidR="00A5326E" w:rsidRPr="00564D92" w:rsidRDefault="00A5326E" w:rsidP="00A5326E">
      <w:pPr>
        <w:rPr>
          <w:noProof/>
          <w:szCs w:val="22"/>
        </w:rPr>
      </w:pPr>
      <w:r w:rsidRPr="00564D92">
        <w:rPr>
          <w:noProof/>
          <w:szCs w:val="22"/>
        </w:rPr>
        <w:t xml:space="preserve">Trientine has been found to reduce serum iron levels, possibly by reducing its absorption, and iron supplements may be required. Since iron and trientine may inhibit absorption of each other, iron supplements should be taken after at least two hours have elapsed from the administration of </w:t>
      </w:r>
      <w:r>
        <w:rPr>
          <w:noProof/>
          <w:szCs w:val="22"/>
        </w:rPr>
        <w:t>trientine</w:t>
      </w:r>
      <w:r w:rsidRPr="00564D92">
        <w:rPr>
          <w:noProof/>
          <w:szCs w:val="22"/>
        </w:rPr>
        <w:t>.</w:t>
      </w:r>
    </w:p>
    <w:p w14:paraId="594D9B63" w14:textId="7AEDDA66" w:rsidR="00A5326E" w:rsidRPr="00564D92" w:rsidRDefault="00A5326E" w:rsidP="00A5326E">
      <w:pPr>
        <w:rPr>
          <w:noProof/>
          <w:szCs w:val="22"/>
        </w:rPr>
      </w:pPr>
      <w:r>
        <w:rPr>
          <w:szCs w:val="22"/>
        </w:rPr>
        <w:t xml:space="preserve">As </w:t>
      </w:r>
      <w:proofErr w:type="spellStart"/>
      <w:r>
        <w:rPr>
          <w:szCs w:val="22"/>
        </w:rPr>
        <w:t>trientine</w:t>
      </w:r>
      <w:proofErr w:type="spellEnd"/>
      <w:r>
        <w:rPr>
          <w:szCs w:val="22"/>
        </w:rPr>
        <w:t xml:space="preserve"> is poorly absorbed following oral intake and the principal mechanism of action requi</w:t>
      </w:r>
      <w:r w:rsidR="00577514">
        <w:rPr>
          <w:szCs w:val="22"/>
        </w:rPr>
        <w:t xml:space="preserve">res its systemic exposure (see </w:t>
      </w:r>
      <w:hyperlink w:anchor="_Pharmacodynamic_properties" w:history="1">
        <w:r w:rsidR="00577514" w:rsidRPr="00577514">
          <w:rPr>
            <w:rStyle w:val="Hyperlink"/>
            <w:szCs w:val="22"/>
          </w:rPr>
          <w:t>S</w:t>
        </w:r>
        <w:r w:rsidRPr="00577514">
          <w:rPr>
            <w:rStyle w:val="Hyperlink"/>
            <w:szCs w:val="22"/>
          </w:rPr>
          <w:t>ection 5.1</w:t>
        </w:r>
        <w:r w:rsidR="00577514" w:rsidRPr="00577514">
          <w:rPr>
            <w:rStyle w:val="Hyperlink"/>
            <w:szCs w:val="22"/>
          </w:rPr>
          <w:t xml:space="preserve"> Pharmacodynamic properties</w:t>
        </w:r>
      </w:hyperlink>
      <w:r>
        <w:rPr>
          <w:szCs w:val="22"/>
        </w:rPr>
        <w:t>)</w:t>
      </w:r>
      <w:r w:rsidRPr="00564D92">
        <w:rPr>
          <w:szCs w:val="22"/>
        </w:rPr>
        <w:t xml:space="preserve">, it is important that </w:t>
      </w:r>
      <w:r w:rsidRPr="00564D92">
        <w:rPr>
          <w:noProof/>
          <w:szCs w:val="22"/>
        </w:rPr>
        <w:t xml:space="preserve">the </w:t>
      </w:r>
      <w:r>
        <w:rPr>
          <w:noProof/>
          <w:szCs w:val="22"/>
        </w:rPr>
        <w:t>film-coated</w:t>
      </w:r>
      <w:r w:rsidRPr="00564D92">
        <w:rPr>
          <w:noProof/>
          <w:szCs w:val="22"/>
        </w:rPr>
        <w:t xml:space="preserve"> tablets are taken on </w:t>
      </w:r>
      <w:r w:rsidR="00B3122B">
        <w:rPr>
          <w:noProof/>
          <w:szCs w:val="22"/>
        </w:rPr>
        <w:t xml:space="preserve">an </w:t>
      </w:r>
      <w:r w:rsidRPr="00564D92">
        <w:rPr>
          <w:noProof/>
          <w:szCs w:val="22"/>
        </w:rPr>
        <w:t>empty stomach</w:t>
      </w:r>
      <w:r>
        <w:rPr>
          <w:noProof/>
          <w:szCs w:val="22"/>
        </w:rPr>
        <w:t xml:space="preserve"> at least one hour before meals or 2 hours after meals and at least one hour apart from any other medicinal product, food, or milk</w:t>
      </w:r>
      <w:r w:rsidR="00577514">
        <w:rPr>
          <w:noProof/>
          <w:szCs w:val="22"/>
        </w:rPr>
        <w:t xml:space="preserve"> (see </w:t>
      </w:r>
      <w:hyperlink w:anchor="_Dose_and_method" w:history="1">
        <w:r w:rsidR="00577514" w:rsidRPr="00577514">
          <w:rPr>
            <w:rStyle w:val="Hyperlink"/>
            <w:noProof/>
            <w:szCs w:val="22"/>
          </w:rPr>
          <w:t>S</w:t>
        </w:r>
        <w:r w:rsidRPr="00577514">
          <w:rPr>
            <w:rStyle w:val="Hyperlink"/>
            <w:noProof/>
            <w:szCs w:val="22"/>
          </w:rPr>
          <w:t>ection 4.2</w:t>
        </w:r>
        <w:r w:rsidR="00577514" w:rsidRPr="00577514">
          <w:rPr>
            <w:rStyle w:val="Hyperlink"/>
            <w:noProof/>
            <w:szCs w:val="22"/>
          </w:rPr>
          <w:t xml:space="preserve"> Dose and method of administration</w:t>
        </w:r>
      </w:hyperlink>
      <w:r w:rsidRPr="00564D92">
        <w:rPr>
          <w:noProof/>
          <w:szCs w:val="22"/>
        </w:rPr>
        <w:t>).</w:t>
      </w:r>
      <w:r>
        <w:rPr>
          <w:noProof/>
          <w:szCs w:val="22"/>
        </w:rPr>
        <w:t xml:space="preserve"> </w:t>
      </w:r>
      <w:r w:rsidRPr="004215D4">
        <w:rPr>
          <w:szCs w:val="22"/>
        </w:rPr>
        <w:t xml:space="preserve"> </w:t>
      </w:r>
      <w:r>
        <w:rPr>
          <w:szCs w:val="22"/>
        </w:rPr>
        <w:t xml:space="preserve">This </w:t>
      </w:r>
      <w:proofErr w:type="spellStart"/>
      <w:r w:rsidRPr="00564D92">
        <w:rPr>
          <w:szCs w:val="22"/>
        </w:rPr>
        <w:t>maximise</w:t>
      </w:r>
      <w:r>
        <w:rPr>
          <w:szCs w:val="22"/>
        </w:rPr>
        <w:t>s</w:t>
      </w:r>
      <w:proofErr w:type="spellEnd"/>
      <w:r w:rsidRPr="00564D92">
        <w:rPr>
          <w:szCs w:val="22"/>
        </w:rPr>
        <w:t xml:space="preserve"> </w:t>
      </w:r>
      <w:r>
        <w:rPr>
          <w:szCs w:val="22"/>
        </w:rPr>
        <w:t xml:space="preserve">the </w:t>
      </w:r>
      <w:r w:rsidRPr="00564D92">
        <w:rPr>
          <w:szCs w:val="22"/>
        </w:rPr>
        <w:t xml:space="preserve">absorption of </w:t>
      </w:r>
      <w:proofErr w:type="spellStart"/>
      <w:r w:rsidRPr="00564D92">
        <w:rPr>
          <w:szCs w:val="22"/>
        </w:rPr>
        <w:t>trientine</w:t>
      </w:r>
      <w:proofErr w:type="spellEnd"/>
      <w:r w:rsidRPr="00564D92">
        <w:rPr>
          <w:szCs w:val="22"/>
        </w:rPr>
        <w:t xml:space="preserve"> and reduce</w:t>
      </w:r>
      <w:r>
        <w:rPr>
          <w:szCs w:val="22"/>
        </w:rPr>
        <w:t>s</w:t>
      </w:r>
      <w:r w:rsidRPr="00564D92">
        <w:rPr>
          <w:szCs w:val="22"/>
        </w:rPr>
        <w:t xml:space="preserve"> the likelihood of the medicinal product binding to metals in the gastrointestinal tract</w:t>
      </w:r>
      <w:r>
        <w:rPr>
          <w:szCs w:val="22"/>
        </w:rPr>
        <w:t xml:space="preserve">. However, no food interaction studies have been performed and </w:t>
      </w:r>
      <w:r w:rsidRPr="006E6635">
        <w:rPr>
          <w:szCs w:val="22"/>
        </w:rPr>
        <w:t>so</w:t>
      </w:r>
      <w:r>
        <w:rPr>
          <w:szCs w:val="22"/>
        </w:rPr>
        <w:t xml:space="preserve"> the extent of the food effect on systemic </w:t>
      </w:r>
      <w:proofErr w:type="spellStart"/>
      <w:r>
        <w:rPr>
          <w:szCs w:val="22"/>
        </w:rPr>
        <w:t>trientine</w:t>
      </w:r>
      <w:proofErr w:type="spellEnd"/>
      <w:r>
        <w:rPr>
          <w:szCs w:val="22"/>
        </w:rPr>
        <w:t xml:space="preserve"> exposure is unknown. </w:t>
      </w:r>
    </w:p>
    <w:p w14:paraId="37026529" w14:textId="5211D580" w:rsidR="0077046C" w:rsidRPr="00A5326E" w:rsidRDefault="00A5326E" w:rsidP="00A5326E">
      <w:pPr>
        <w:rPr>
          <w:noProof/>
          <w:szCs w:val="22"/>
        </w:rPr>
      </w:pPr>
      <w:r w:rsidRPr="00564D92">
        <w:rPr>
          <w:noProof/>
          <w:szCs w:val="22"/>
        </w:rPr>
        <w:t>Although there is no evidence that calcium or magnesium antacids alter the efficacy of trientine, it is good practice to separate their administration.</w:t>
      </w:r>
    </w:p>
    <w:p w14:paraId="71EFA923" w14:textId="77777777" w:rsidR="001A3992" w:rsidRPr="00570A78" w:rsidRDefault="001A3992" w:rsidP="00DF1BDC">
      <w:pPr>
        <w:pStyle w:val="Heading2"/>
        <w:pageBreakBefore/>
      </w:pPr>
      <w:bookmarkStart w:id="5" w:name="_Fertility,_pregnancy_and"/>
      <w:bookmarkEnd w:id="5"/>
      <w:r w:rsidRPr="00570A78">
        <w:lastRenderedPageBreak/>
        <w:t xml:space="preserve">Fertility, </w:t>
      </w:r>
      <w:proofErr w:type="gramStart"/>
      <w:r w:rsidRPr="00570A78">
        <w:t>pregnancy</w:t>
      </w:r>
      <w:proofErr w:type="gramEnd"/>
      <w:r w:rsidRPr="00570A78">
        <w:t xml:space="preserve"> and lactation </w:t>
      </w:r>
    </w:p>
    <w:p w14:paraId="12389C5A" w14:textId="77777777" w:rsidR="001A3992" w:rsidRPr="00570A78" w:rsidRDefault="001A3992" w:rsidP="00212203">
      <w:pPr>
        <w:pStyle w:val="Heading3"/>
      </w:pPr>
      <w:r w:rsidRPr="00570A78">
        <w:t>Effects on fertility</w:t>
      </w:r>
    </w:p>
    <w:p w14:paraId="79ED64F3" w14:textId="77777777" w:rsidR="00570A78" w:rsidRPr="00564D92" w:rsidRDefault="00570A78" w:rsidP="00570A78">
      <w:pPr>
        <w:rPr>
          <w:szCs w:val="22"/>
        </w:rPr>
      </w:pPr>
      <w:r w:rsidRPr="00564D92">
        <w:rPr>
          <w:rFonts w:eastAsia="SimSun"/>
          <w:color w:val="000000"/>
          <w:szCs w:val="22"/>
          <w:lang w:eastAsia="zh-CN"/>
        </w:rPr>
        <w:t xml:space="preserve">It is unknown whether </w:t>
      </w:r>
      <w:proofErr w:type="spellStart"/>
      <w:r w:rsidRPr="00564D92">
        <w:rPr>
          <w:rFonts w:eastAsia="SimSun"/>
          <w:color w:val="000000"/>
          <w:szCs w:val="22"/>
          <w:lang w:eastAsia="zh-CN"/>
        </w:rPr>
        <w:t>trientine</w:t>
      </w:r>
      <w:proofErr w:type="spellEnd"/>
      <w:r w:rsidRPr="00564D92">
        <w:rPr>
          <w:rFonts w:eastAsia="SimSun"/>
          <w:color w:val="000000"/>
          <w:szCs w:val="22"/>
          <w:lang w:eastAsia="zh-CN"/>
        </w:rPr>
        <w:t xml:space="preserve"> </w:t>
      </w:r>
      <w:proofErr w:type="gramStart"/>
      <w:r w:rsidRPr="00564D92">
        <w:rPr>
          <w:rFonts w:eastAsia="SimSun"/>
          <w:color w:val="000000"/>
          <w:szCs w:val="22"/>
          <w:lang w:eastAsia="zh-CN"/>
        </w:rPr>
        <w:t>has an</w:t>
      </w:r>
      <w:r w:rsidRPr="00564D92">
        <w:rPr>
          <w:color w:val="000000"/>
          <w:szCs w:val="22"/>
        </w:rPr>
        <w:t xml:space="preserve"> effect on</w:t>
      </w:r>
      <w:proofErr w:type="gramEnd"/>
      <w:r w:rsidRPr="00564D92">
        <w:rPr>
          <w:color w:val="000000"/>
          <w:szCs w:val="22"/>
        </w:rPr>
        <w:t xml:space="preserve"> human fertility</w:t>
      </w:r>
      <w:r w:rsidRPr="00564D92">
        <w:rPr>
          <w:szCs w:val="22"/>
        </w:rPr>
        <w:t>.</w:t>
      </w:r>
    </w:p>
    <w:p w14:paraId="1F7A367F" w14:textId="0E4945A8" w:rsidR="001A3992" w:rsidRPr="000C5966" w:rsidRDefault="001A3992" w:rsidP="00212203">
      <w:pPr>
        <w:pStyle w:val="Heading3"/>
      </w:pPr>
      <w:r w:rsidRPr="00570A78">
        <w:t xml:space="preserve">Use in pregnancy </w:t>
      </w:r>
      <w:r w:rsidR="00497C85" w:rsidRPr="00570A78">
        <w:t xml:space="preserve">– Pregnancy </w:t>
      </w:r>
      <w:r w:rsidR="00497C85" w:rsidRPr="000C5966">
        <w:t xml:space="preserve">Category </w:t>
      </w:r>
      <w:r w:rsidR="00E8115D">
        <w:t>D</w:t>
      </w:r>
    </w:p>
    <w:p w14:paraId="0F8F7ED2" w14:textId="77777777" w:rsidR="00570A78" w:rsidRPr="00564D92" w:rsidRDefault="00570A78" w:rsidP="00570A78">
      <w:pPr>
        <w:rPr>
          <w:noProof/>
          <w:szCs w:val="22"/>
        </w:rPr>
      </w:pPr>
      <w:r w:rsidRPr="00564D92">
        <w:rPr>
          <w:noProof/>
          <w:szCs w:val="22"/>
        </w:rPr>
        <w:t>There is a limited amount of data from the use of trientine in pregnant women.</w:t>
      </w:r>
    </w:p>
    <w:p w14:paraId="344486FC" w14:textId="19F78EDB" w:rsidR="00570A78" w:rsidRPr="00564D92" w:rsidRDefault="000E484E" w:rsidP="00570A78">
      <w:pPr>
        <w:rPr>
          <w:noProof/>
          <w:szCs w:val="22"/>
        </w:rPr>
      </w:pPr>
      <w:r w:rsidRPr="000E484E">
        <w:rPr>
          <w:noProof/>
          <w:szCs w:val="22"/>
        </w:rPr>
        <w:t>Trientine was teratogenic in animals at clinically-relevant doses, possibly due to the induction of copper deficiency or zinc toxicity. Fetal brain abnormalities like haemorrhages and haematomas, delayed ossification in the cranium, exencephaly, microcephaly, and hydrocephaly have been observed in mice and rats treated with trientine</w:t>
      </w:r>
      <w:r w:rsidR="00570A78" w:rsidRPr="00564D92">
        <w:rPr>
          <w:noProof/>
          <w:szCs w:val="22"/>
        </w:rPr>
        <w:t>.</w:t>
      </w:r>
    </w:p>
    <w:p w14:paraId="1A628852" w14:textId="72F81DAE" w:rsidR="00570A78" w:rsidRPr="00564D92" w:rsidRDefault="0034550B" w:rsidP="00570A78">
      <w:pPr>
        <w:rPr>
          <w:noProof/>
          <w:szCs w:val="22"/>
        </w:rPr>
      </w:pPr>
      <w:r w:rsidRPr="003E32A3">
        <w:rPr>
          <w:lang w:val="en-AU"/>
        </w:rPr>
        <w:t>CUPRIOR</w:t>
      </w:r>
      <w:r w:rsidRPr="00E521A7">
        <w:rPr>
          <w:lang w:val="en-AU"/>
        </w:rPr>
        <w:t xml:space="preserve"> </w:t>
      </w:r>
      <w:r w:rsidR="00570A78" w:rsidRPr="00564D92">
        <w:rPr>
          <w:noProof/>
          <w:szCs w:val="22"/>
        </w:rPr>
        <w:t xml:space="preserve">should only be used in pregnancy </w:t>
      </w:r>
      <w:r w:rsidR="003E32A3">
        <w:rPr>
          <w:noProof/>
          <w:szCs w:val="22"/>
        </w:rPr>
        <w:t>if the potential benefit justifies the potential risk to the fetus.</w:t>
      </w:r>
      <w:r w:rsidR="00570A78" w:rsidRPr="00564D92">
        <w:rPr>
          <w:noProof/>
          <w:szCs w:val="22"/>
        </w:rPr>
        <w:t>.</w:t>
      </w:r>
    </w:p>
    <w:p w14:paraId="18B3F9E7" w14:textId="3397979E" w:rsidR="00570A78" w:rsidRPr="00564D92" w:rsidRDefault="00570A78" w:rsidP="00570A78">
      <w:pPr>
        <w:rPr>
          <w:szCs w:val="22"/>
        </w:rPr>
      </w:pPr>
      <w:r w:rsidRPr="00564D92">
        <w:rPr>
          <w:noProof/>
          <w:szCs w:val="22"/>
        </w:rPr>
        <w:t xml:space="preserve">Since copper is required for proper growth and mental development, dose adjustments may be required to ensure that the </w:t>
      </w:r>
      <w:r w:rsidR="003E32A3">
        <w:rPr>
          <w:noProof/>
          <w:szCs w:val="22"/>
        </w:rPr>
        <w:t>fetus</w:t>
      </w:r>
      <w:r w:rsidR="003E32A3" w:rsidRPr="00564D92">
        <w:rPr>
          <w:noProof/>
          <w:szCs w:val="22"/>
        </w:rPr>
        <w:t xml:space="preserve"> </w:t>
      </w:r>
      <w:r w:rsidRPr="00564D92">
        <w:rPr>
          <w:noProof/>
          <w:szCs w:val="22"/>
        </w:rPr>
        <w:t>will not become copper deficient and close monitoring of</w:t>
      </w:r>
      <w:r w:rsidR="00577514">
        <w:rPr>
          <w:noProof/>
          <w:szCs w:val="22"/>
        </w:rPr>
        <w:t xml:space="preserve"> the patient is essential (see </w:t>
      </w:r>
      <w:hyperlink w:anchor="_Special_warnings_and_1" w:history="1">
        <w:r w:rsidR="00577514" w:rsidRPr="00577514">
          <w:rPr>
            <w:rStyle w:val="Hyperlink"/>
            <w:noProof/>
            <w:szCs w:val="22"/>
          </w:rPr>
          <w:t>S</w:t>
        </w:r>
        <w:r w:rsidRPr="00577514">
          <w:rPr>
            <w:rStyle w:val="Hyperlink"/>
            <w:noProof/>
            <w:szCs w:val="22"/>
          </w:rPr>
          <w:t>ection 4.4</w:t>
        </w:r>
        <w:r w:rsidR="00577514" w:rsidRPr="00577514">
          <w:rPr>
            <w:rStyle w:val="Hyperlink"/>
            <w:noProof/>
            <w:szCs w:val="22"/>
          </w:rPr>
          <w:t xml:space="preserve"> Special warnings and precautions for use</w:t>
        </w:r>
      </w:hyperlink>
      <w:r w:rsidRPr="00564D92">
        <w:rPr>
          <w:noProof/>
          <w:szCs w:val="22"/>
        </w:rPr>
        <w:t>).</w:t>
      </w:r>
    </w:p>
    <w:p w14:paraId="0B760DE0" w14:textId="59A06888" w:rsidR="00570A78" w:rsidRPr="00564D92" w:rsidRDefault="00570A78" w:rsidP="00570A78">
      <w:pPr>
        <w:rPr>
          <w:noProof/>
          <w:szCs w:val="22"/>
        </w:rPr>
      </w:pPr>
      <w:r w:rsidRPr="00564D92">
        <w:rPr>
          <w:noProof/>
          <w:szCs w:val="22"/>
        </w:rPr>
        <w:t xml:space="preserve">The pregnancy should be closely monitored in order to detect possible </w:t>
      </w:r>
      <w:r w:rsidR="003E32A3">
        <w:rPr>
          <w:noProof/>
          <w:szCs w:val="22"/>
        </w:rPr>
        <w:t>fetal</w:t>
      </w:r>
      <w:r w:rsidR="003E32A3" w:rsidRPr="00564D92">
        <w:rPr>
          <w:noProof/>
          <w:szCs w:val="22"/>
        </w:rPr>
        <w:t xml:space="preserve"> </w:t>
      </w:r>
      <w:r w:rsidRPr="00564D92">
        <w:rPr>
          <w:noProof/>
          <w:szCs w:val="22"/>
        </w:rPr>
        <w:t xml:space="preserve">abnormality and to assess maternal serum copper levels throughout the pregnancy. The dose of trientine used should be adjusted in order to maintain serum copper levels within the normal range. </w:t>
      </w:r>
    </w:p>
    <w:p w14:paraId="36852187" w14:textId="77777777" w:rsidR="00570A78" w:rsidRPr="00564D92" w:rsidRDefault="00570A78" w:rsidP="00570A78">
      <w:pPr>
        <w:rPr>
          <w:noProof/>
          <w:szCs w:val="22"/>
        </w:rPr>
      </w:pPr>
      <w:r w:rsidRPr="00564D92">
        <w:rPr>
          <w:noProof/>
          <w:szCs w:val="22"/>
        </w:rPr>
        <w:t>Babies born to mothers being treated with trientine should be monitored for serum copper levels where appropriate.</w:t>
      </w:r>
    </w:p>
    <w:p w14:paraId="44A56BC2" w14:textId="77777777" w:rsidR="00475D10" w:rsidRPr="00570A78" w:rsidRDefault="00475D10" w:rsidP="00212203">
      <w:pPr>
        <w:pStyle w:val="Heading3"/>
      </w:pPr>
      <w:r w:rsidRPr="00570A78">
        <w:t>Use in lactation</w:t>
      </w:r>
    </w:p>
    <w:p w14:paraId="6577ED0F" w14:textId="48E67695" w:rsidR="00570A78" w:rsidRPr="00564D92" w:rsidRDefault="00570A78" w:rsidP="00570A78">
      <w:pPr>
        <w:autoSpaceDE w:val="0"/>
        <w:autoSpaceDN w:val="0"/>
        <w:adjustRightInd w:val="0"/>
        <w:rPr>
          <w:color w:val="000000"/>
          <w:szCs w:val="22"/>
        </w:rPr>
      </w:pPr>
      <w:r w:rsidRPr="00564D92">
        <w:rPr>
          <w:color w:val="000000"/>
          <w:szCs w:val="22"/>
        </w:rPr>
        <w:t xml:space="preserve">It is </w:t>
      </w:r>
      <w:r w:rsidRPr="00564D92">
        <w:rPr>
          <w:rFonts w:eastAsia="SimSun"/>
          <w:color w:val="000000"/>
          <w:szCs w:val="22"/>
          <w:lang w:eastAsia="zh-CN"/>
        </w:rPr>
        <w:t>unknown</w:t>
      </w:r>
      <w:r w:rsidRPr="00564D92">
        <w:rPr>
          <w:color w:val="000000"/>
          <w:szCs w:val="22"/>
        </w:rPr>
        <w:t xml:space="preserve"> whether </w:t>
      </w:r>
      <w:proofErr w:type="spellStart"/>
      <w:r w:rsidRPr="00564D92">
        <w:rPr>
          <w:rFonts w:eastAsia="SimSun"/>
          <w:color w:val="000000"/>
          <w:szCs w:val="22"/>
          <w:lang w:eastAsia="zh-CN"/>
        </w:rPr>
        <w:t>trientine</w:t>
      </w:r>
      <w:proofErr w:type="spellEnd"/>
      <w:r w:rsidRPr="00564D92">
        <w:rPr>
          <w:color w:val="000000"/>
          <w:szCs w:val="22"/>
        </w:rPr>
        <w:t xml:space="preserve"> is excreted in human milk. </w:t>
      </w:r>
      <w:r w:rsidRPr="000A5224">
        <w:rPr>
          <w:rFonts w:eastAsia="SimSun"/>
          <w:color w:val="000000"/>
          <w:szCs w:val="22"/>
          <w:lang w:eastAsia="zh-CN"/>
        </w:rPr>
        <w:t xml:space="preserve">A risk to the newborns/infants cannot be excluded. </w:t>
      </w:r>
      <w:r w:rsidR="003E32A3">
        <w:rPr>
          <w:rFonts w:eastAsia="SimSun"/>
          <w:color w:val="000000"/>
          <w:szCs w:val="22"/>
          <w:lang w:eastAsia="zh-CN"/>
        </w:rPr>
        <w:t xml:space="preserve">Because many drugs are excreted in human milk, caution should be exercised when </w:t>
      </w:r>
      <w:proofErr w:type="spellStart"/>
      <w:r w:rsidR="003E32A3">
        <w:rPr>
          <w:rFonts w:eastAsia="SimSun"/>
          <w:color w:val="000000"/>
          <w:szCs w:val="22"/>
          <w:lang w:eastAsia="zh-CN"/>
        </w:rPr>
        <w:t>trientine</w:t>
      </w:r>
      <w:proofErr w:type="spellEnd"/>
      <w:r w:rsidR="003E32A3">
        <w:rPr>
          <w:rFonts w:eastAsia="SimSun"/>
          <w:color w:val="000000"/>
          <w:szCs w:val="22"/>
          <w:lang w:eastAsia="zh-CN"/>
        </w:rPr>
        <w:t xml:space="preserve"> tetrahydrochloride is adm</w:t>
      </w:r>
      <w:r w:rsidR="00C33BE1">
        <w:rPr>
          <w:rFonts w:eastAsia="SimSun"/>
          <w:color w:val="000000"/>
          <w:szCs w:val="22"/>
          <w:lang w:eastAsia="zh-CN"/>
        </w:rPr>
        <w:t>inistered to a nursing mother.</w:t>
      </w:r>
    </w:p>
    <w:p w14:paraId="11F8A249" w14:textId="77777777" w:rsidR="001A3992" w:rsidRPr="00D30E43" w:rsidRDefault="001A3992" w:rsidP="00212203">
      <w:pPr>
        <w:pStyle w:val="Heading2"/>
      </w:pPr>
      <w:r w:rsidRPr="00D30E43">
        <w:t xml:space="preserve">Effects on ability to drive and use machines </w:t>
      </w:r>
    </w:p>
    <w:p w14:paraId="0A76960D" w14:textId="6EDF98A7" w:rsidR="00497C85" w:rsidRPr="00380C7E" w:rsidRDefault="0034550B" w:rsidP="00212203">
      <w:pPr>
        <w:rPr>
          <w:highlight w:val="yellow"/>
        </w:rPr>
      </w:pPr>
      <w:r w:rsidRPr="00E521A7">
        <w:rPr>
          <w:lang w:val="en-AU"/>
        </w:rPr>
        <w:t xml:space="preserve">CUPRIOR </w:t>
      </w:r>
      <w:r w:rsidR="00D30E43" w:rsidRPr="00564D92">
        <w:rPr>
          <w:noProof/>
          <w:szCs w:val="22"/>
        </w:rPr>
        <w:t>has no or negligible influence on the ability to drive and use machines.</w:t>
      </w:r>
    </w:p>
    <w:p w14:paraId="026727CD" w14:textId="77777777" w:rsidR="001A3992" w:rsidRPr="00D30E43" w:rsidRDefault="001A3992" w:rsidP="00212203">
      <w:pPr>
        <w:pStyle w:val="Heading2"/>
      </w:pPr>
      <w:bookmarkStart w:id="6" w:name="_Adverse_effects_(Undesirable"/>
      <w:bookmarkEnd w:id="6"/>
      <w:r w:rsidRPr="00D30E43">
        <w:t>Adverse effects (Undesirable effects)</w:t>
      </w:r>
    </w:p>
    <w:p w14:paraId="3CA194C5" w14:textId="77777777" w:rsidR="00D30E43" w:rsidRPr="000A5224" w:rsidRDefault="00D30E43" w:rsidP="00D30E43">
      <w:pPr>
        <w:autoSpaceDE w:val="0"/>
        <w:autoSpaceDN w:val="0"/>
        <w:adjustRightInd w:val="0"/>
        <w:rPr>
          <w:noProof/>
          <w:szCs w:val="22"/>
          <w:u w:val="single"/>
        </w:rPr>
      </w:pPr>
      <w:r w:rsidRPr="000A5224">
        <w:rPr>
          <w:noProof/>
          <w:szCs w:val="22"/>
          <w:u w:val="single"/>
        </w:rPr>
        <w:t>Summary of the safety profile</w:t>
      </w:r>
    </w:p>
    <w:p w14:paraId="1DD52DD3" w14:textId="77777777" w:rsidR="00D30E43" w:rsidRPr="000A5224" w:rsidRDefault="00D30E43" w:rsidP="00D30E43">
      <w:pPr>
        <w:autoSpaceDE w:val="0"/>
        <w:autoSpaceDN w:val="0"/>
        <w:adjustRightInd w:val="0"/>
        <w:rPr>
          <w:rFonts w:eastAsia="TimesNewRoman"/>
          <w:szCs w:val="22"/>
        </w:rPr>
      </w:pPr>
      <w:r>
        <w:rPr>
          <w:rFonts w:eastAsia="TimesNewRoman"/>
          <w:szCs w:val="22"/>
        </w:rPr>
        <w:t xml:space="preserve">The </w:t>
      </w:r>
      <w:proofErr w:type="gramStart"/>
      <w:r>
        <w:rPr>
          <w:rFonts w:eastAsia="TimesNewRoman"/>
          <w:szCs w:val="22"/>
        </w:rPr>
        <w:t>most commonly reported</w:t>
      </w:r>
      <w:proofErr w:type="gramEnd"/>
      <w:r>
        <w:rPr>
          <w:rFonts w:eastAsia="TimesNewRoman"/>
          <w:szCs w:val="22"/>
        </w:rPr>
        <w:t xml:space="preserve"> adverse reaction with </w:t>
      </w:r>
      <w:proofErr w:type="spellStart"/>
      <w:r>
        <w:rPr>
          <w:rFonts w:eastAsia="TimesNewRoman"/>
          <w:szCs w:val="22"/>
        </w:rPr>
        <w:t>trientine</w:t>
      </w:r>
      <w:proofErr w:type="spellEnd"/>
      <w:r w:rsidRPr="008423CE">
        <w:rPr>
          <w:rFonts w:eastAsia="TimesNewRoman"/>
          <w:szCs w:val="22"/>
        </w:rPr>
        <w:t xml:space="preserve"> </w:t>
      </w:r>
      <w:r>
        <w:rPr>
          <w:rFonts w:eastAsia="TimesNewRoman"/>
          <w:szCs w:val="22"/>
        </w:rPr>
        <w:t xml:space="preserve">is nausea. </w:t>
      </w:r>
      <w:r w:rsidRPr="000A5224">
        <w:rPr>
          <w:rFonts w:eastAsia="TimesNewRoman"/>
          <w:szCs w:val="22"/>
        </w:rPr>
        <w:t xml:space="preserve">Serious iron deficiency </w:t>
      </w:r>
      <w:proofErr w:type="spellStart"/>
      <w:r w:rsidRPr="000A5224">
        <w:rPr>
          <w:rFonts w:eastAsia="TimesNewRoman"/>
          <w:szCs w:val="22"/>
        </w:rPr>
        <w:t>anaemia</w:t>
      </w:r>
      <w:proofErr w:type="spellEnd"/>
      <w:r w:rsidRPr="000A5224">
        <w:rPr>
          <w:rFonts w:eastAsia="TimesNewRoman"/>
          <w:szCs w:val="22"/>
        </w:rPr>
        <w:t xml:space="preserve"> and severe colitis may occur during treatment.  </w:t>
      </w:r>
    </w:p>
    <w:p w14:paraId="7024A054" w14:textId="4C601FE6" w:rsidR="00D30E43" w:rsidRPr="000A5224" w:rsidRDefault="00D30E43" w:rsidP="00DF1BDC">
      <w:pPr>
        <w:pageBreakBefore/>
        <w:autoSpaceDE w:val="0"/>
        <w:autoSpaceDN w:val="0"/>
        <w:adjustRightInd w:val="0"/>
        <w:rPr>
          <w:noProof/>
          <w:szCs w:val="22"/>
          <w:u w:val="single"/>
        </w:rPr>
      </w:pPr>
      <w:r w:rsidRPr="000A5224">
        <w:rPr>
          <w:noProof/>
          <w:szCs w:val="22"/>
          <w:u w:val="single"/>
        </w:rPr>
        <w:lastRenderedPageBreak/>
        <w:t xml:space="preserve">Tabulated list of adverse </w:t>
      </w:r>
      <w:r w:rsidR="00B30958">
        <w:rPr>
          <w:noProof/>
          <w:szCs w:val="22"/>
          <w:u w:val="single"/>
        </w:rPr>
        <w:t>events</w:t>
      </w:r>
    </w:p>
    <w:p w14:paraId="4827B8D1" w14:textId="77777777" w:rsidR="00D30E43" w:rsidRPr="00564D92" w:rsidRDefault="00D30E43" w:rsidP="00D30E43">
      <w:pPr>
        <w:autoSpaceDE w:val="0"/>
        <w:autoSpaceDN w:val="0"/>
        <w:adjustRightInd w:val="0"/>
        <w:rPr>
          <w:noProof/>
          <w:szCs w:val="22"/>
        </w:rPr>
      </w:pPr>
      <w:r w:rsidRPr="00564D92">
        <w:rPr>
          <w:noProof/>
          <w:szCs w:val="22"/>
        </w:rPr>
        <w:t xml:space="preserve">The following adverse reactions have been reported with the use of trientine for Wilson’s disease. </w:t>
      </w:r>
    </w:p>
    <w:p w14:paraId="36E9FEF8" w14:textId="77777777" w:rsidR="00D30E43" w:rsidRPr="00564D92" w:rsidRDefault="00D30E43" w:rsidP="00D30E43">
      <w:pPr>
        <w:autoSpaceDE w:val="0"/>
        <w:autoSpaceDN w:val="0"/>
        <w:adjustRightInd w:val="0"/>
        <w:rPr>
          <w:noProof/>
          <w:szCs w:val="22"/>
        </w:rPr>
      </w:pPr>
      <w:r w:rsidRPr="00564D92">
        <w:rPr>
          <w:noProof/>
          <w:szCs w:val="22"/>
        </w:rPr>
        <w:t>Frequencies are defined as: very common (≥ 1/10); common (≥ 1/100 to &lt; 1/10); uncommon (≥ 1/1,000 to &lt; 1/100); rare (≥ 1/10,000 to &lt; 1/1,000); very rare (&lt; 1/10,000); not known (cannot be estimated from the available data).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969"/>
      </w:tblGrid>
      <w:tr w:rsidR="00D30E43" w:rsidRPr="00564D92" w14:paraId="2F2F6619" w14:textId="77777777" w:rsidTr="008F24FC">
        <w:tc>
          <w:tcPr>
            <w:tcW w:w="3936" w:type="dxa"/>
            <w:tcBorders>
              <w:top w:val="single" w:sz="4" w:space="0" w:color="auto"/>
              <w:left w:val="single" w:sz="4" w:space="0" w:color="auto"/>
              <w:bottom w:val="single" w:sz="4" w:space="0" w:color="auto"/>
              <w:right w:val="single" w:sz="4" w:space="0" w:color="auto"/>
            </w:tcBorders>
            <w:hideMark/>
          </w:tcPr>
          <w:p w14:paraId="49FABCC3" w14:textId="77777777" w:rsidR="00D30E43" w:rsidRPr="00564D92" w:rsidRDefault="00D30E43" w:rsidP="008F24FC">
            <w:pPr>
              <w:autoSpaceDE w:val="0"/>
              <w:autoSpaceDN w:val="0"/>
              <w:adjustRightInd w:val="0"/>
              <w:jc w:val="both"/>
              <w:rPr>
                <w:noProof/>
                <w:szCs w:val="22"/>
              </w:rPr>
            </w:pPr>
            <w:r w:rsidRPr="00564D92">
              <w:rPr>
                <w:b/>
                <w:bCs/>
                <w:szCs w:val="22"/>
              </w:rPr>
              <w:t>System organ class</w:t>
            </w:r>
          </w:p>
        </w:tc>
        <w:tc>
          <w:tcPr>
            <w:tcW w:w="3969" w:type="dxa"/>
            <w:tcBorders>
              <w:top w:val="single" w:sz="4" w:space="0" w:color="auto"/>
              <w:left w:val="single" w:sz="4" w:space="0" w:color="auto"/>
              <w:bottom w:val="single" w:sz="4" w:space="0" w:color="auto"/>
              <w:right w:val="single" w:sz="4" w:space="0" w:color="auto"/>
            </w:tcBorders>
            <w:hideMark/>
          </w:tcPr>
          <w:p w14:paraId="33286174" w14:textId="1EB4985E" w:rsidR="00D30E43" w:rsidRPr="00564D92" w:rsidRDefault="00D30E43" w:rsidP="008F24FC">
            <w:pPr>
              <w:autoSpaceDE w:val="0"/>
              <w:autoSpaceDN w:val="0"/>
              <w:adjustRightInd w:val="0"/>
              <w:jc w:val="both"/>
              <w:rPr>
                <w:noProof/>
                <w:szCs w:val="22"/>
              </w:rPr>
            </w:pPr>
            <w:r w:rsidRPr="00564D92">
              <w:rPr>
                <w:b/>
                <w:bCs/>
                <w:szCs w:val="22"/>
              </w:rPr>
              <w:t xml:space="preserve">Adverse </w:t>
            </w:r>
            <w:r w:rsidR="00B30958">
              <w:rPr>
                <w:b/>
                <w:bCs/>
                <w:szCs w:val="22"/>
              </w:rPr>
              <w:t>events</w:t>
            </w:r>
          </w:p>
        </w:tc>
      </w:tr>
      <w:tr w:rsidR="00D30E43" w:rsidRPr="00564D92" w14:paraId="1460BD69" w14:textId="77777777" w:rsidTr="008F24FC">
        <w:tc>
          <w:tcPr>
            <w:tcW w:w="3936" w:type="dxa"/>
            <w:tcBorders>
              <w:top w:val="single" w:sz="4" w:space="0" w:color="auto"/>
              <w:left w:val="single" w:sz="4" w:space="0" w:color="auto"/>
              <w:bottom w:val="single" w:sz="4" w:space="0" w:color="auto"/>
              <w:right w:val="single" w:sz="4" w:space="0" w:color="auto"/>
            </w:tcBorders>
            <w:hideMark/>
          </w:tcPr>
          <w:p w14:paraId="486CA772" w14:textId="77777777" w:rsidR="00D30E43" w:rsidRPr="00564D92" w:rsidRDefault="00D30E43" w:rsidP="008F24FC">
            <w:pPr>
              <w:autoSpaceDE w:val="0"/>
              <w:autoSpaceDN w:val="0"/>
              <w:adjustRightInd w:val="0"/>
              <w:jc w:val="both"/>
              <w:rPr>
                <w:noProof/>
                <w:szCs w:val="22"/>
              </w:rPr>
            </w:pPr>
            <w:r w:rsidRPr="00564D92">
              <w:rPr>
                <w:noProof/>
                <w:szCs w:val="22"/>
              </w:rPr>
              <w:t>Blood and lymphatic system disorders</w:t>
            </w:r>
          </w:p>
        </w:tc>
        <w:tc>
          <w:tcPr>
            <w:tcW w:w="3969" w:type="dxa"/>
            <w:tcBorders>
              <w:top w:val="single" w:sz="4" w:space="0" w:color="auto"/>
              <w:left w:val="single" w:sz="4" w:space="0" w:color="auto"/>
              <w:bottom w:val="single" w:sz="4" w:space="0" w:color="auto"/>
              <w:right w:val="single" w:sz="4" w:space="0" w:color="auto"/>
            </w:tcBorders>
            <w:hideMark/>
          </w:tcPr>
          <w:p w14:paraId="4EBDD188" w14:textId="77777777" w:rsidR="00E42F5E" w:rsidRDefault="00E42F5E" w:rsidP="008F24FC">
            <w:pPr>
              <w:autoSpaceDE w:val="0"/>
              <w:autoSpaceDN w:val="0"/>
              <w:adjustRightInd w:val="0"/>
              <w:jc w:val="both"/>
              <w:rPr>
                <w:i/>
                <w:noProof/>
                <w:szCs w:val="22"/>
              </w:rPr>
            </w:pPr>
            <w:r>
              <w:rPr>
                <w:i/>
                <w:noProof/>
                <w:szCs w:val="22"/>
              </w:rPr>
              <w:t xml:space="preserve">Uncommon: </w:t>
            </w:r>
            <w:r w:rsidRPr="00E42F5E">
              <w:rPr>
                <w:iCs/>
                <w:noProof/>
                <w:szCs w:val="22"/>
              </w:rPr>
              <w:t>sideroblastic anaemia</w:t>
            </w:r>
          </w:p>
          <w:p w14:paraId="0B609C81" w14:textId="07BBE7F2" w:rsidR="00D30E43" w:rsidRPr="00564D92" w:rsidRDefault="00D30E43" w:rsidP="008F24FC">
            <w:pPr>
              <w:autoSpaceDE w:val="0"/>
              <w:autoSpaceDN w:val="0"/>
              <w:adjustRightInd w:val="0"/>
              <w:jc w:val="both"/>
              <w:rPr>
                <w:noProof/>
                <w:szCs w:val="22"/>
              </w:rPr>
            </w:pPr>
            <w:r w:rsidRPr="00564D92">
              <w:rPr>
                <w:i/>
                <w:noProof/>
                <w:szCs w:val="22"/>
              </w:rPr>
              <w:t xml:space="preserve">Not known: </w:t>
            </w:r>
            <w:r w:rsidRPr="00564D92">
              <w:rPr>
                <w:noProof/>
                <w:szCs w:val="22"/>
              </w:rPr>
              <w:t>iron deficiency anaemia.</w:t>
            </w:r>
          </w:p>
        </w:tc>
      </w:tr>
      <w:tr w:rsidR="00D30E43" w:rsidRPr="00564D92" w14:paraId="2C3C5660" w14:textId="77777777" w:rsidTr="008F24FC">
        <w:tc>
          <w:tcPr>
            <w:tcW w:w="3936" w:type="dxa"/>
            <w:tcBorders>
              <w:top w:val="single" w:sz="4" w:space="0" w:color="auto"/>
              <w:left w:val="single" w:sz="4" w:space="0" w:color="auto"/>
              <w:bottom w:val="single" w:sz="4" w:space="0" w:color="auto"/>
              <w:right w:val="single" w:sz="4" w:space="0" w:color="auto"/>
            </w:tcBorders>
            <w:hideMark/>
          </w:tcPr>
          <w:p w14:paraId="5E4F0FA1" w14:textId="77777777" w:rsidR="00D30E43" w:rsidRPr="00564D92" w:rsidRDefault="00D30E43" w:rsidP="008F24FC">
            <w:pPr>
              <w:autoSpaceDE w:val="0"/>
              <w:autoSpaceDN w:val="0"/>
              <w:adjustRightInd w:val="0"/>
              <w:jc w:val="both"/>
              <w:rPr>
                <w:noProof/>
                <w:szCs w:val="22"/>
              </w:rPr>
            </w:pPr>
            <w:r w:rsidRPr="00564D92">
              <w:rPr>
                <w:noProof/>
                <w:szCs w:val="22"/>
              </w:rPr>
              <w:t>Gastrointestinal disorders</w:t>
            </w:r>
          </w:p>
        </w:tc>
        <w:tc>
          <w:tcPr>
            <w:tcW w:w="3969" w:type="dxa"/>
            <w:tcBorders>
              <w:top w:val="single" w:sz="4" w:space="0" w:color="auto"/>
              <w:left w:val="single" w:sz="4" w:space="0" w:color="auto"/>
              <w:bottom w:val="single" w:sz="4" w:space="0" w:color="auto"/>
              <w:right w:val="single" w:sz="4" w:space="0" w:color="auto"/>
            </w:tcBorders>
            <w:hideMark/>
          </w:tcPr>
          <w:p w14:paraId="1A176CF5" w14:textId="77777777" w:rsidR="00D30E43" w:rsidRPr="00564D92" w:rsidRDefault="00D30E43" w:rsidP="008F24FC">
            <w:pPr>
              <w:autoSpaceDE w:val="0"/>
              <w:autoSpaceDN w:val="0"/>
              <w:adjustRightInd w:val="0"/>
              <w:jc w:val="both"/>
              <w:rPr>
                <w:noProof/>
                <w:szCs w:val="22"/>
              </w:rPr>
            </w:pPr>
            <w:r w:rsidRPr="00564D92">
              <w:rPr>
                <w:i/>
                <w:noProof/>
                <w:szCs w:val="22"/>
              </w:rPr>
              <w:t>Common:</w:t>
            </w:r>
            <w:r w:rsidRPr="00564D92">
              <w:rPr>
                <w:noProof/>
                <w:szCs w:val="22"/>
              </w:rPr>
              <w:t xml:space="preserve"> nausea. </w:t>
            </w:r>
          </w:p>
          <w:p w14:paraId="0FBBA1D6" w14:textId="77777777" w:rsidR="00D30E43" w:rsidRPr="00564D92" w:rsidRDefault="00D30E43" w:rsidP="00DF1BDC">
            <w:pPr>
              <w:autoSpaceDE w:val="0"/>
              <w:autoSpaceDN w:val="0"/>
              <w:adjustRightInd w:val="0"/>
              <w:rPr>
                <w:noProof/>
                <w:szCs w:val="22"/>
              </w:rPr>
            </w:pPr>
            <w:r w:rsidRPr="00564D92">
              <w:rPr>
                <w:i/>
                <w:noProof/>
                <w:szCs w:val="22"/>
              </w:rPr>
              <w:t xml:space="preserve">Not known: </w:t>
            </w:r>
            <w:r w:rsidRPr="00564D92">
              <w:rPr>
                <w:noProof/>
                <w:szCs w:val="22"/>
              </w:rPr>
              <w:t>duodenitis, colitis (including severe colitis).</w:t>
            </w:r>
          </w:p>
        </w:tc>
      </w:tr>
      <w:tr w:rsidR="00D30E43" w:rsidRPr="00564D92" w14:paraId="162D34C1" w14:textId="77777777" w:rsidTr="008F24FC">
        <w:tc>
          <w:tcPr>
            <w:tcW w:w="3936" w:type="dxa"/>
            <w:tcBorders>
              <w:top w:val="single" w:sz="4" w:space="0" w:color="auto"/>
              <w:left w:val="single" w:sz="4" w:space="0" w:color="auto"/>
              <w:bottom w:val="single" w:sz="4" w:space="0" w:color="auto"/>
              <w:right w:val="single" w:sz="4" w:space="0" w:color="auto"/>
            </w:tcBorders>
            <w:hideMark/>
          </w:tcPr>
          <w:p w14:paraId="21CA6D3B" w14:textId="77777777" w:rsidR="00D30E43" w:rsidRPr="00564D92" w:rsidRDefault="00D30E43" w:rsidP="008F24FC">
            <w:pPr>
              <w:autoSpaceDE w:val="0"/>
              <w:autoSpaceDN w:val="0"/>
              <w:adjustRightInd w:val="0"/>
              <w:jc w:val="both"/>
              <w:rPr>
                <w:noProof/>
                <w:szCs w:val="22"/>
              </w:rPr>
            </w:pPr>
            <w:r w:rsidRPr="00564D92">
              <w:rPr>
                <w:noProof/>
                <w:szCs w:val="22"/>
              </w:rPr>
              <w:t>Skin and subcutaneous tissue disorder</w:t>
            </w:r>
          </w:p>
        </w:tc>
        <w:tc>
          <w:tcPr>
            <w:tcW w:w="3969" w:type="dxa"/>
            <w:tcBorders>
              <w:top w:val="single" w:sz="4" w:space="0" w:color="auto"/>
              <w:left w:val="single" w:sz="4" w:space="0" w:color="auto"/>
              <w:bottom w:val="single" w:sz="4" w:space="0" w:color="auto"/>
              <w:right w:val="single" w:sz="4" w:space="0" w:color="auto"/>
            </w:tcBorders>
            <w:hideMark/>
          </w:tcPr>
          <w:p w14:paraId="6DCD276E" w14:textId="77777777" w:rsidR="00D30E43" w:rsidRPr="00564D92" w:rsidRDefault="00D30E43" w:rsidP="00DF1BDC">
            <w:pPr>
              <w:autoSpaceDE w:val="0"/>
              <w:autoSpaceDN w:val="0"/>
              <w:adjustRightInd w:val="0"/>
              <w:rPr>
                <w:noProof/>
                <w:szCs w:val="22"/>
              </w:rPr>
            </w:pPr>
            <w:r w:rsidRPr="00564D92">
              <w:rPr>
                <w:i/>
                <w:noProof/>
                <w:szCs w:val="22"/>
              </w:rPr>
              <w:t xml:space="preserve">Uncommon: </w:t>
            </w:r>
            <w:r w:rsidRPr="00564D92">
              <w:rPr>
                <w:noProof/>
                <w:szCs w:val="22"/>
              </w:rPr>
              <w:t xml:space="preserve">skin rash, pruritus, erythema. </w:t>
            </w:r>
          </w:p>
          <w:p w14:paraId="726E8D3C" w14:textId="77777777" w:rsidR="00D30E43" w:rsidRPr="00564D92" w:rsidRDefault="00D30E43" w:rsidP="008F24FC">
            <w:pPr>
              <w:autoSpaceDE w:val="0"/>
              <w:autoSpaceDN w:val="0"/>
              <w:adjustRightInd w:val="0"/>
              <w:jc w:val="both"/>
              <w:rPr>
                <w:noProof/>
                <w:szCs w:val="22"/>
              </w:rPr>
            </w:pPr>
            <w:r w:rsidRPr="00564D92">
              <w:rPr>
                <w:i/>
                <w:noProof/>
                <w:szCs w:val="22"/>
              </w:rPr>
              <w:t>Not known</w:t>
            </w:r>
            <w:r w:rsidRPr="00564D92">
              <w:rPr>
                <w:noProof/>
                <w:szCs w:val="22"/>
              </w:rPr>
              <w:t>: urticaria.</w:t>
            </w:r>
          </w:p>
        </w:tc>
      </w:tr>
    </w:tbl>
    <w:p w14:paraId="3C79BA62" w14:textId="474AADB4" w:rsidR="00475D10" w:rsidRPr="00D30E43" w:rsidRDefault="00475D10" w:rsidP="00212203">
      <w:pPr>
        <w:pStyle w:val="Heading3"/>
      </w:pPr>
      <w:r w:rsidRPr="00D30E43">
        <w:t>Reporting suspected adverse effects</w:t>
      </w:r>
    </w:p>
    <w:p w14:paraId="24F013F3" w14:textId="77777777" w:rsidR="00497C85" w:rsidRPr="00D30E43" w:rsidRDefault="00497C85" w:rsidP="00212203">
      <w:r w:rsidRPr="00D30E43">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D30E43">
          <w:rPr>
            <w:rStyle w:val="Hyperlink"/>
          </w:rPr>
          <w:t>www.tga.gov.au/reporting-problems</w:t>
        </w:r>
      </w:hyperlink>
      <w:r w:rsidRPr="00D30E43">
        <w:t>.</w:t>
      </w:r>
    </w:p>
    <w:p w14:paraId="293A1CA8" w14:textId="77777777" w:rsidR="001A3992" w:rsidRPr="00D30E43" w:rsidRDefault="001A3992" w:rsidP="00212203">
      <w:pPr>
        <w:pStyle w:val="Heading2"/>
      </w:pPr>
      <w:r w:rsidRPr="00D30E43">
        <w:t>Overdose</w:t>
      </w:r>
    </w:p>
    <w:p w14:paraId="2F83F88F" w14:textId="77777777" w:rsidR="00D30E43" w:rsidRPr="00564D92" w:rsidRDefault="00D30E43" w:rsidP="00D30E43">
      <w:pPr>
        <w:rPr>
          <w:noProof/>
          <w:szCs w:val="22"/>
        </w:rPr>
      </w:pPr>
      <w:r w:rsidRPr="007C546D">
        <w:rPr>
          <w:noProof/>
          <w:szCs w:val="22"/>
        </w:rPr>
        <w:t xml:space="preserve">Occasional cases of trientine overdose have been reported. In cases up to 20 g of trientine base there were no apparent adverse effects reported. A large overdose of 40 g of trientine base resulted in self-limiting dizziness and vomiting with no other clinical sequelae or significant biochemical abnormalities reported. </w:t>
      </w:r>
      <w:r w:rsidRPr="00564D92">
        <w:rPr>
          <w:noProof/>
          <w:szCs w:val="22"/>
        </w:rPr>
        <w:t>There is no antidote for trientine acute overdose.</w:t>
      </w:r>
    </w:p>
    <w:p w14:paraId="507FE9D5" w14:textId="7956E73C" w:rsidR="00D30E43" w:rsidRPr="00564D92" w:rsidRDefault="00D30E43" w:rsidP="00D30E43">
      <w:pPr>
        <w:spacing w:line="240" w:lineRule="auto"/>
        <w:rPr>
          <w:noProof/>
          <w:szCs w:val="22"/>
        </w:rPr>
      </w:pPr>
      <w:r w:rsidRPr="00564D92">
        <w:rPr>
          <w:szCs w:val="22"/>
        </w:rPr>
        <w:t xml:space="preserve">Chronic over treatment can lead to copper deficiency and reversible sideroblastic </w:t>
      </w:r>
      <w:proofErr w:type="spellStart"/>
      <w:r w:rsidRPr="00564D92">
        <w:rPr>
          <w:szCs w:val="22"/>
        </w:rPr>
        <w:t>anaemia</w:t>
      </w:r>
      <w:proofErr w:type="spellEnd"/>
      <w:r w:rsidRPr="00564D92">
        <w:rPr>
          <w:szCs w:val="22"/>
        </w:rPr>
        <w:t xml:space="preserve">.  Overtreatment and excess copper removal can be monitored using values of urine copper excretion and of non-ceruloplasmin bound copper. </w:t>
      </w:r>
      <w:r w:rsidRPr="00564D92">
        <w:rPr>
          <w:noProof/>
          <w:szCs w:val="22"/>
        </w:rPr>
        <w:t xml:space="preserve">Close monitoring is required to optimise the dose or </w:t>
      </w:r>
      <w:r w:rsidRPr="00564D92">
        <w:rPr>
          <w:szCs w:val="22"/>
        </w:rPr>
        <w:t xml:space="preserve">to adapt treatment if necessary (see </w:t>
      </w:r>
      <w:hyperlink w:anchor="_Special_warnings_and_1" w:history="1">
        <w:r w:rsidR="00577514" w:rsidRPr="00577514">
          <w:rPr>
            <w:rStyle w:val="Hyperlink"/>
            <w:noProof/>
            <w:szCs w:val="22"/>
          </w:rPr>
          <w:t>Section 4.4 Special warnings and precautions for use</w:t>
        </w:r>
      </w:hyperlink>
      <w:r w:rsidRPr="00564D92">
        <w:rPr>
          <w:szCs w:val="22"/>
        </w:rPr>
        <w:t>).</w:t>
      </w:r>
    </w:p>
    <w:p w14:paraId="172B76D6" w14:textId="77777777" w:rsidR="00497C85" w:rsidRPr="00D30E43" w:rsidRDefault="00497C85" w:rsidP="00212203">
      <w:r w:rsidRPr="00D30E43">
        <w:lastRenderedPageBreak/>
        <w:t>For information on the management of overdose, contact the Poisons Information Centre on 13 11 26 (Australia).</w:t>
      </w:r>
    </w:p>
    <w:p w14:paraId="797AC070" w14:textId="77777777" w:rsidR="001A3992" w:rsidRPr="00577514" w:rsidRDefault="001A3992" w:rsidP="00212203">
      <w:pPr>
        <w:pStyle w:val="Heading1"/>
        <w:rPr>
          <w:lang w:val="en-US"/>
        </w:rPr>
      </w:pPr>
      <w:r w:rsidRPr="00577514">
        <w:rPr>
          <w:lang w:val="en-US"/>
        </w:rPr>
        <w:t>Pharmacological properties</w:t>
      </w:r>
    </w:p>
    <w:p w14:paraId="75357A93" w14:textId="77777777" w:rsidR="00252A68" w:rsidRPr="000B5567" w:rsidRDefault="001A3992" w:rsidP="00212203">
      <w:pPr>
        <w:pStyle w:val="Heading2"/>
        <w:rPr>
          <w:lang w:val="en-US"/>
        </w:rPr>
      </w:pPr>
      <w:bookmarkStart w:id="7" w:name="_Pharmacodynamic_properties"/>
      <w:bookmarkEnd w:id="7"/>
      <w:r w:rsidRPr="000B5567">
        <w:rPr>
          <w:lang w:val="en-US"/>
        </w:rPr>
        <w:t>Pharmacodynamic properties</w:t>
      </w:r>
    </w:p>
    <w:p w14:paraId="07D12660" w14:textId="77777777" w:rsidR="000B5567" w:rsidRPr="000B5567" w:rsidRDefault="000B5567" w:rsidP="000B5567">
      <w:pPr>
        <w:numPr>
          <w:ilvl w:val="12"/>
          <w:numId w:val="0"/>
        </w:numPr>
        <w:ind w:right="-2"/>
        <w:rPr>
          <w:szCs w:val="22"/>
        </w:rPr>
      </w:pPr>
      <w:r w:rsidRPr="000B5567">
        <w:rPr>
          <w:szCs w:val="22"/>
        </w:rPr>
        <w:t>Pharmacotherapeutic group: Other alimentary tract and metabolism products, various alimentary tract and metabolism products, ATC code: A16AX12.</w:t>
      </w:r>
    </w:p>
    <w:p w14:paraId="32805AD9" w14:textId="77777777" w:rsidR="001A3992" w:rsidRPr="000B5567" w:rsidRDefault="001A3992" w:rsidP="00212203">
      <w:pPr>
        <w:pStyle w:val="Heading3"/>
      </w:pPr>
      <w:r w:rsidRPr="000B5567">
        <w:t>Mechanism of action</w:t>
      </w:r>
    </w:p>
    <w:p w14:paraId="16A01D08" w14:textId="0995F809" w:rsidR="000B5567" w:rsidRDefault="000B5567" w:rsidP="000B5567">
      <w:pPr>
        <w:numPr>
          <w:ilvl w:val="12"/>
          <w:numId w:val="0"/>
        </w:numPr>
        <w:ind w:right="-2"/>
        <w:rPr>
          <w:szCs w:val="22"/>
        </w:rPr>
      </w:pPr>
      <w:proofErr w:type="spellStart"/>
      <w:r w:rsidRPr="00564D92">
        <w:rPr>
          <w:szCs w:val="22"/>
        </w:rPr>
        <w:t>Trientine</w:t>
      </w:r>
      <w:proofErr w:type="spellEnd"/>
      <w:r w:rsidRPr="00564D92">
        <w:rPr>
          <w:szCs w:val="22"/>
        </w:rPr>
        <w:t xml:space="preserve"> is a copper-chelating agent </w:t>
      </w:r>
      <w:r>
        <w:rPr>
          <w:szCs w:val="22"/>
        </w:rPr>
        <w:t xml:space="preserve">whose principal mechanism of action is to eliminate absorbed </w:t>
      </w:r>
      <w:r w:rsidRPr="00564D92">
        <w:rPr>
          <w:szCs w:val="22"/>
        </w:rPr>
        <w:t xml:space="preserve">copper </w:t>
      </w:r>
      <w:r>
        <w:rPr>
          <w:szCs w:val="22"/>
        </w:rPr>
        <w:t>from the body by forming a stable complex t</w:t>
      </w:r>
      <w:r w:rsidRPr="00564D92">
        <w:rPr>
          <w:szCs w:val="22"/>
        </w:rPr>
        <w:t xml:space="preserve">hat is then eliminated through urinary excretion. </w:t>
      </w:r>
      <w:proofErr w:type="spellStart"/>
      <w:r w:rsidRPr="00564D92">
        <w:rPr>
          <w:szCs w:val="22"/>
        </w:rPr>
        <w:t>Trientine</w:t>
      </w:r>
      <w:proofErr w:type="spellEnd"/>
      <w:r w:rsidRPr="00564D92">
        <w:rPr>
          <w:szCs w:val="22"/>
        </w:rPr>
        <w:t xml:space="preserve"> may also </w:t>
      </w:r>
      <w:r>
        <w:rPr>
          <w:szCs w:val="22"/>
        </w:rPr>
        <w:t xml:space="preserve">chelate </w:t>
      </w:r>
      <w:r w:rsidRPr="00564D92">
        <w:rPr>
          <w:szCs w:val="22"/>
        </w:rPr>
        <w:t xml:space="preserve">copper </w:t>
      </w:r>
      <w:r>
        <w:rPr>
          <w:szCs w:val="22"/>
        </w:rPr>
        <w:t xml:space="preserve">in </w:t>
      </w:r>
      <w:r w:rsidRPr="00564D92">
        <w:rPr>
          <w:szCs w:val="22"/>
        </w:rPr>
        <w:t>the intestinal tract</w:t>
      </w:r>
      <w:r w:rsidRPr="00490A26">
        <w:rPr>
          <w:szCs w:val="22"/>
        </w:rPr>
        <w:t xml:space="preserve"> </w:t>
      </w:r>
      <w:r>
        <w:rPr>
          <w:szCs w:val="22"/>
        </w:rPr>
        <w:t xml:space="preserve">and so </w:t>
      </w:r>
      <w:r w:rsidRPr="00564D92">
        <w:rPr>
          <w:szCs w:val="22"/>
        </w:rPr>
        <w:t xml:space="preserve">inhibit </w:t>
      </w:r>
      <w:r w:rsidRPr="00577514">
        <w:rPr>
          <w:szCs w:val="22"/>
        </w:rPr>
        <w:t>copper absorption.</w:t>
      </w:r>
    </w:p>
    <w:p w14:paraId="59592664" w14:textId="0E644930" w:rsidR="00D103ED" w:rsidRDefault="00D103ED" w:rsidP="00D103ED">
      <w:pPr>
        <w:pStyle w:val="Heading3"/>
      </w:pPr>
      <w:r>
        <w:t>Clinical trials</w:t>
      </w:r>
    </w:p>
    <w:p w14:paraId="72C81175" w14:textId="024D317E" w:rsidR="00C4499A" w:rsidRDefault="00BB02FF" w:rsidP="00D103ED">
      <w:r>
        <w:t xml:space="preserve">Efficacy was </w:t>
      </w:r>
      <w:r w:rsidR="0057054E">
        <w:t xml:space="preserve">determined through </w:t>
      </w:r>
      <w:r>
        <w:t xml:space="preserve">a combination of </w:t>
      </w:r>
      <w:r w:rsidR="00911069">
        <w:t>comparative PK studies (</w:t>
      </w:r>
      <w:r>
        <w:t>TRIUMPH and TRIUMPH-2</w:t>
      </w:r>
      <w:r w:rsidR="0057054E">
        <w:t>,</w:t>
      </w:r>
      <w:r w:rsidR="00417952">
        <w:t xml:space="preserve"> a retrospective survey and</w:t>
      </w:r>
      <w:r>
        <w:t xml:space="preserve"> published literature reports</w:t>
      </w:r>
      <w:r w:rsidR="001C6FFB">
        <w:t>.</w:t>
      </w:r>
      <w:r w:rsidR="00C4499A">
        <w:t xml:space="preserve"> </w:t>
      </w:r>
    </w:p>
    <w:p w14:paraId="5109240D" w14:textId="1C7FF9A2" w:rsidR="00CB1991" w:rsidRDefault="00CB1991" w:rsidP="00D103ED">
      <w:r>
        <w:t xml:space="preserve">TRIUMPH and TRIUMPH-2 were </w:t>
      </w:r>
      <w:proofErr w:type="spellStart"/>
      <w:r>
        <w:t>randomised</w:t>
      </w:r>
      <w:proofErr w:type="spellEnd"/>
      <w:r>
        <w:t>, double-blind, placebo controlled, cross</w:t>
      </w:r>
      <w:r w:rsidR="00911069">
        <w:t>-</w:t>
      </w:r>
      <w:r>
        <w:t>over comparative PK studie</w:t>
      </w:r>
      <w:r w:rsidR="00911069">
        <w:t>s</w:t>
      </w:r>
      <w:r>
        <w:t xml:space="preserve">. A single oral administration of CUPRIOR or </w:t>
      </w:r>
      <w:proofErr w:type="spellStart"/>
      <w:r>
        <w:t>trientine</w:t>
      </w:r>
      <w:proofErr w:type="spellEnd"/>
      <w:r>
        <w:t xml:space="preserve"> dihydrochloride (TETA 2HCL) formulation was administered under fasted conditions and plasma levels of </w:t>
      </w:r>
      <w:proofErr w:type="spellStart"/>
      <w:r>
        <w:t>trientine</w:t>
      </w:r>
      <w:proofErr w:type="spellEnd"/>
      <w:r>
        <w:t xml:space="preserve"> and </w:t>
      </w:r>
      <w:r w:rsidR="026F1A7F">
        <w:t>its</w:t>
      </w:r>
      <w:r>
        <w:t xml:space="preserve"> two main metabolites were assessed.</w:t>
      </w:r>
      <w:r w:rsidR="001226B7">
        <w:t xml:space="preserve"> </w:t>
      </w:r>
      <w:r w:rsidR="00911069">
        <w:t xml:space="preserve">The results from these studies bridged CUPRIOR to two different </w:t>
      </w:r>
      <w:proofErr w:type="spellStart"/>
      <w:r w:rsidR="00911069">
        <w:t>trientine</w:t>
      </w:r>
      <w:proofErr w:type="spellEnd"/>
      <w:r w:rsidR="00911069">
        <w:t xml:space="preserve"> formulations (</w:t>
      </w:r>
      <w:r w:rsidR="01FD622C">
        <w:t>m</w:t>
      </w:r>
      <w:r w:rsidR="00911069">
        <w:t>arketed in EU and US) by enabling an oral dose to be recommended that provided the same systemic exposure to existing formulations.</w:t>
      </w:r>
    </w:p>
    <w:p w14:paraId="7A422ABC" w14:textId="5187D39F" w:rsidR="00327DB6" w:rsidRDefault="00370F19" w:rsidP="00370F19">
      <w:r>
        <w:t>A retrospective survey of</w:t>
      </w:r>
      <w:r w:rsidR="0057054E">
        <w:t xml:space="preserve"> the</w:t>
      </w:r>
      <w:r>
        <w:t xml:space="preserve"> clinical experience </w:t>
      </w:r>
      <w:r w:rsidR="0057054E">
        <w:t xml:space="preserve">of </w:t>
      </w:r>
      <w:proofErr w:type="spellStart"/>
      <w:r w:rsidR="0057054E">
        <w:t>trientine</w:t>
      </w:r>
      <w:proofErr w:type="spellEnd"/>
      <w:r w:rsidR="0057054E">
        <w:t xml:space="preserve"> in the management of Wilson’s disease has been </w:t>
      </w:r>
      <w:proofErr w:type="gramStart"/>
      <w:r w:rsidR="0057054E">
        <w:t xml:space="preserve">conducted </w:t>
      </w:r>
      <w:r>
        <w:t xml:space="preserve"> with</w:t>
      </w:r>
      <w:proofErr w:type="gramEnd"/>
      <w:r>
        <w:t xml:space="preserve"> </w:t>
      </w:r>
      <w:r w:rsidR="0057054E">
        <w:t xml:space="preserve">two different </w:t>
      </w:r>
      <w:proofErr w:type="spellStart"/>
      <w:r w:rsidR="00F165CD">
        <w:t>trientine</w:t>
      </w:r>
      <w:proofErr w:type="spellEnd"/>
      <w:r w:rsidR="00F165CD">
        <w:t xml:space="preserve"> </w:t>
      </w:r>
      <w:r w:rsidR="0057054E">
        <w:t xml:space="preserve">formulations: a nationally produced </w:t>
      </w:r>
      <w:r w:rsidR="00F165CD">
        <w:t>tetrachloride (</w:t>
      </w:r>
      <w:r>
        <w:t>TETA 4HCl</w:t>
      </w:r>
      <w:r w:rsidR="00F165CD">
        <w:t>)</w:t>
      </w:r>
      <w:r>
        <w:t xml:space="preserve"> </w:t>
      </w:r>
      <w:r w:rsidR="0057054E">
        <w:t xml:space="preserve">formulation </w:t>
      </w:r>
      <w:r>
        <w:t xml:space="preserve">and </w:t>
      </w:r>
      <w:proofErr w:type="spellStart"/>
      <w:r w:rsidR="00F165CD">
        <w:t>trientine</w:t>
      </w:r>
      <w:proofErr w:type="spellEnd"/>
      <w:r w:rsidR="00F165CD">
        <w:t xml:space="preserve"> dihydrochloride (</w:t>
      </w:r>
      <w:r>
        <w:t>TETA 2HCL</w:t>
      </w:r>
      <w:r w:rsidR="00F165CD">
        <w:t>)</w:t>
      </w:r>
      <w:r>
        <w:t xml:space="preserve">. The survey was intended to evaluate the comparability of efficacy and safety of TETA 4HCl and TETA 2HCL. In total, 43 patients with Wilson’s disease provided 57 sequences of </w:t>
      </w:r>
      <w:proofErr w:type="spellStart"/>
      <w:r w:rsidR="00F165CD">
        <w:t>trientine</w:t>
      </w:r>
      <w:proofErr w:type="spellEnd"/>
      <w:r w:rsidR="00417952">
        <w:t xml:space="preserve"> </w:t>
      </w:r>
      <w:r w:rsidR="00F165CD">
        <w:t>(</w:t>
      </w:r>
      <w:r>
        <w:t>TETA</w:t>
      </w:r>
      <w:r w:rsidR="00F165CD">
        <w:t>)</w:t>
      </w:r>
      <w:r>
        <w:t xml:space="preserve"> </w:t>
      </w:r>
      <w:r w:rsidR="00417952">
        <w:t xml:space="preserve">monotherapy </w:t>
      </w:r>
      <w:r>
        <w:t xml:space="preserve">of ≥ 12 months’ duration: 13 </w:t>
      </w:r>
      <w:r w:rsidR="00417952">
        <w:t xml:space="preserve">sequences </w:t>
      </w:r>
      <w:r>
        <w:t xml:space="preserve">with TETA 4HCl and 44 </w:t>
      </w:r>
      <w:r w:rsidR="00417952">
        <w:t xml:space="preserve">sequences </w:t>
      </w:r>
      <w:r>
        <w:t>with TETA 2HCl</w:t>
      </w:r>
      <w:proofErr w:type="gramStart"/>
      <w:r>
        <w:t xml:space="preserve">. </w:t>
      </w:r>
      <w:r w:rsidR="00417952">
        <w:t>)</w:t>
      </w:r>
      <w:proofErr w:type="gramEnd"/>
      <w:r w:rsidR="00417952">
        <w:t xml:space="preserve"> Doses were </w:t>
      </w:r>
      <w:proofErr w:type="spellStart"/>
      <w:r w:rsidR="00417952">
        <w:t>optimised</w:t>
      </w:r>
      <w:proofErr w:type="spellEnd"/>
      <w:r w:rsidR="00417952">
        <w:t xml:space="preserve"> to the individual patient’s needs. </w:t>
      </w:r>
      <w:r>
        <w:t xml:space="preserve">Overall, </w:t>
      </w:r>
      <w:proofErr w:type="gramStart"/>
      <w:r>
        <w:t>mean</w:t>
      </w:r>
      <w:proofErr w:type="gramEnd"/>
      <w:r>
        <w:t xml:space="preserve"> and median serum copper levels and urine copper excretion tended to remain stable or decrease from the beginning to the end of the </w:t>
      </w:r>
      <w:proofErr w:type="spellStart"/>
      <w:r>
        <w:t>trientine</w:t>
      </w:r>
      <w:proofErr w:type="spellEnd"/>
      <w:r>
        <w:t xml:space="preserve"> treatment sequences in both treatment groups</w:t>
      </w:r>
      <w:r w:rsidR="00F165CD">
        <w:t>. Parameters related to hepatic function, in particular as</w:t>
      </w:r>
      <w:r w:rsidR="005F27F7">
        <w:t>partate aminotransferase (</w:t>
      </w:r>
      <w:r w:rsidR="00F165CD">
        <w:t>AST</w:t>
      </w:r>
      <w:r w:rsidR="005F27F7">
        <w:t>)</w:t>
      </w:r>
      <w:r w:rsidR="00F165CD">
        <w:t xml:space="preserve"> and </w:t>
      </w:r>
      <w:r w:rsidR="005F27F7">
        <w:t>alanine aminotransferase (</w:t>
      </w:r>
      <w:r w:rsidR="00F165CD">
        <w:t>ALT</w:t>
      </w:r>
      <w:r w:rsidR="005F27F7">
        <w:t>)</w:t>
      </w:r>
      <w:r w:rsidR="00F165CD">
        <w:t xml:space="preserve">, improved following both treatments. No notable differences in efficacy were detected when assessing </w:t>
      </w:r>
      <w:r w:rsidR="00417952">
        <w:t xml:space="preserve">treatment with </w:t>
      </w:r>
      <w:r w:rsidR="00F165CD">
        <w:t xml:space="preserve">TETA 4HCl </w:t>
      </w:r>
      <w:r w:rsidR="00417952">
        <w:t>or</w:t>
      </w:r>
      <w:r w:rsidR="00F165CD">
        <w:t xml:space="preserve"> TETA 2 HCl</w:t>
      </w:r>
      <w:r w:rsidR="005F27F7">
        <w:t>.</w:t>
      </w:r>
    </w:p>
    <w:p w14:paraId="50A23C03" w14:textId="02D06EAE" w:rsidR="005F27F7" w:rsidRPr="00D103ED" w:rsidRDefault="005B5396" w:rsidP="00370F19">
      <w:r>
        <w:lastRenderedPageBreak/>
        <w:t>L</w:t>
      </w:r>
      <w:r w:rsidR="005F27F7">
        <w:t xml:space="preserve">ong-term efficacy and safety outcomes from a retrospective </w:t>
      </w:r>
      <w:proofErr w:type="spellStart"/>
      <w:r w:rsidR="00335D47">
        <w:t>multicentre</w:t>
      </w:r>
      <w:proofErr w:type="spellEnd"/>
      <w:r w:rsidR="00335D47">
        <w:t xml:space="preserve"> </w:t>
      </w:r>
      <w:r w:rsidR="005F27F7">
        <w:t>cohort study of Wilson’s disease patients treated with T</w:t>
      </w:r>
      <w:r w:rsidR="00D317C8">
        <w:t>ETA 2HCl or D-penicillamine</w:t>
      </w:r>
      <w:r>
        <w:t xml:space="preserve"> was performed by Weiss et al. 2013</w:t>
      </w:r>
      <w:r>
        <w:rPr>
          <w:rStyle w:val="EndnoteReference"/>
        </w:rPr>
        <w:endnoteReference w:id="1"/>
      </w:r>
      <w:r>
        <w:t>. Data from chelator-based treatment regimens of over 400 patients was analyzed for their effect on neurologic and hepatic symptoms and for adverse events that led to discontinuation of therapy.</w:t>
      </w:r>
      <w:r w:rsidR="00E36674">
        <w:t xml:space="preserve"> </w:t>
      </w:r>
      <w:r w:rsidR="00335D47">
        <w:t xml:space="preserve">Within the study population, 141 patients received </w:t>
      </w:r>
      <w:proofErr w:type="spellStart"/>
      <w:r w:rsidR="00335D47">
        <w:t>trientine</w:t>
      </w:r>
      <w:proofErr w:type="spellEnd"/>
      <w:r w:rsidR="00335D47">
        <w:t xml:space="preserve">. Among those, 103 received </w:t>
      </w:r>
      <w:proofErr w:type="spellStart"/>
      <w:r w:rsidR="00335D47">
        <w:t>trientine</w:t>
      </w:r>
      <w:proofErr w:type="spellEnd"/>
      <w:r w:rsidR="00335D47">
        <w:t xml:space="preserve"> as second-line therapy. </w:t>
      </w:r>
      <w:r>
        <w:t xml:space="preserve"> D-penicillamine and </w:t>
      </w:r>
      <w:proofErr w:type="spellStart"/>
      <w:r>
        <w:t>trientine</w:t>
      </w:r>
      <w:proofErr w:type="spellEnd"/>
      <w:r>
        <w:t xml:space="preserve"> were found to produce comparable outcomes, although D-penicillamine had a higher rate of adverse events.</w:t>
      </w:r>
    </w:p>
    <w:p w14:paraId="3BE99228" w14:textId="77777777" w:rsidR="00FE68EC" w:rsidRPr="00577514" w:rsidRDefault="001A3992" w:rsidP="00212203">
      <w:pPr>
        <w:pStyle w:val="Heading2"/>
        <w:rPr>
          <w:lang w:val="en-US"/>
        </w:rPr>
      </w:pPr>
      <w:bookmarkStart w:id="8" w:name="_Pharmacokinetic_properties"/>
      <w:bookmarkEnd w:id="8"/>
      <w:r w:rsidRPr="00577514">
        <w:rPr>
          <w:lang w:val="en-US"/>
        </w:rPr>
        <w:t>Pharmacokinetic properties</w:t>
      </w:r>
    </w:p>
    <w:p w14:paraId="36969B94" w14:textId="77777777" w:rsidR="000B5567" w:rsidRPr="00564D92" w:rsidRDefault="000B5567" w:rsidP="000B5567">
      <w:pPr>
        <w:rPr>
          <w:noProof/>
          <w:szCs w:val="22"/>
          <w:u w:val="single"/>
        </w:rPr>
      </w:pPr>
      <w:r w:rsidRPr="00564D92">
        <w:rPr>
          <w:noProof/>
          <w:szCs w:val="22"/>
          <w:u w:val="single"/>
        </w:rPr>
        <w:t>Absorption</w:t>
      </w:r>
    </w:p>
    <w:p w14:paraId="4ADB593A" w14:textId="4DAFE21A" w:rsidR="000B5567" w:rsidRPr="00564D92" w:rsidRDefault="000B5567" w:rsidP="000B5567">
      <w:pPr>
        <w:rPr>
          <w:noProof/>
          <w:szCs w:val="22"/>
        </w:rPr>
      </w:pPr>
      <w:r w:rsidRPr="00564D92">
        <w:rPr>
          <w:noProof/>
          <w:szCs w:val="22"/>
        </w:rPr>
        <w:t xml:space="preserve">The absorption of trientine following oral administration is low and variable in patients with Wilson disease. The pharmacokinetic profile of </w:t>
      </w:r>
      <w:r w:rsidR="0034550B" w:rsidRPr="00E521A7">
        <w:rPr>
          <w:lang w:val="en-AU"/>
        </w:rPr>
        <w:t xml:space="preserve">CUPRIOR </w:t>
      </w:r>
      <w:r w:rsidRPr="00564D92">
        <w:rPr>
          <w:noProof/>
          <w:szCs w:val="22"/>
        </w:rPr>
        <w:t xml:space="preserve">has been evaluated after a single oral dose of </w:t>
      </w:r>
      <w:r>
        <w:rPr>
          <w:noProof/>
          <w:szCs w:val="22"/>
        </w:rPr>
        <w:t xml:space="preserve">450, </w:t>
      </w:r>
      <w:r w:rsidRPr="00564D92">
        <w:rPr>
          <w:noProof/>
          <w:szCs w:val="22"/>
        </w:rPr>
        <w:t xml:space="preserve">600 mg </w:t>
      </w:r>
      <w:r>
        <w:rPr>
          <w:noProof/>
          <w:szCs w:val="22"/>
        </w:rPr>
        <w:t xml:space="preserve">and 750 mg </w:t>
      </w:r>
      <w:r w:rsidRPr="00564D92">
        <w:rPr>
          <w:noProof/>
          <w:szCs w:val="22"/>
        </w:rPr>
        <w:t xml:space="preserve">trientine in healthy male and female subjects. Plasma levels of trientine rose rapidly following administration with the median peak level reached after </w:t>
      </w:r>
      <w:r>
        <w:rPr>
          <w:noProof/>
          <w:szCs w:val="22"/>
        </w:rPr>
        <w:t xml:space="preserve">1.25 to </w:t>
      </w:r>
      <w:r w:rsidRPr="00564D92">
        <w:rPr>
          <w:noProof/>
          <w:szCs w:val="22"/>
        </w:rPr>
        <w:t xml:space="preserve">2 hours. The trientine plasma concentration then declined in a multiphasic manner, initially rapidly, followed by a slower elimination phase. </w:t>
      </w:r>
      <w:r w:rsidRPr="00564D92">
        <w:rPr>
          <w:szCs w:val="22"/>
        </w:rPr>
        <w:t xml:space="preserve">The overall pharmacokinetic profiles were similar between males and females, although males had higher levels of </w:t>
      </w:r>
      <w:proofErr w:type="spellStart"/>
      <w:r w:rsidRPr="00564D92">
        <w:rPr>
          <w:szCs w:val="22"/>
        </w:rPr>
        <w:t>trientine</w:t>
      </w:r>
      <w:proofErr w:type="spellEnd"/>
      <w:r w:rsidRPr="00564D92">
        <w:rPr>
          <w:szCs w:val="22"/>
        </w:rPr>
        <w:t xml:space="preserve">.  </w:t>
      </w:r>
    </w:p>
    <w:p w14:paraId="5BFAE574" w14:textId="77777777" w:rsidR="000B5567" w:rsidRPr="00564D92" w:rsidRDefault="000B5567" w:rsidP="000B5567">
      <w:pPr>
        <w:rPr>
          <w:noProof/>
          <w:szCs w:val="22"/>
          <w:u w:val="single"/>
        </w:rPr>
      </w:pPr>
      <w:r w:rsidRPr="00564D92">
        <w:rPr>
          <w:noProof/>
          <w:szCs w:val="22"/>
          <w:u w:val="single"/>
        </w:rPr>
        <w:t>Distribution</w:t>
      </w:r>
    </w:p>
    <w:p w14:paraId="434175BF" w14:textId="66699A46" w:rsidR="000B5567" w:rsidRDefault="00312577" w:rsidP="000B5567">
      <w:pPr>
        <w:rPr>
          <w:noProof/>
          <w:szCs w:val="22"/>
        </w:rPr>
      </w:pPr>
      <w:r>
        <w:rPr>
          <w:noProof/>
          <w:szCs w:val="22"/>
        </w:rPr>
        <w:t>Trientine is widely distributed in tissues, with relatively high concentrations measured in the liver, heart, and kidney of rats</w:t>
      </w:r>
      <w:r w:rsidR="000B5567" w:rsidRPr="00564D92">
        <w:rPr>
          <w:noProof/>
          <w:szCs w:val="22"/>
        </w:rPr>
        <w:t xml:space="preserve">. </w:t>
      </w:r>
    </w:p>
    <w:p w14:paraId="414EFBB9" w14:textId="7C5064C4" w:rsidR="000B5567" w:rsidRPr="00564D92" w:rsidRDefault="00C4499A" w:rsidP="000B5567">
      <w:pPr>
        <w:rPr>
          <w:noProof/>
          <w:szCs w:val="22"/>
          <w:u w:val="single"/>
        </w:rPr>
      </w:pPr>
      <w:r>
        <w:rPr>
          <w:noProof/>
          <w:szCs w:val="22"/>
          <w:u w:val="single"/>
        </w:rPr>
        <w:t>Metabolism</w:t>
      </w:r>
    </w:p>
    <w:p w14:paraId="0E1BD229" w14:textId="1D560D58" w:rsidR="000B5567" w:rsidRPr="00564D92" w:rsidRDefault="000B5567" w:rsidP="000B5567">
      <w:pPr>
        <w:rPr>
          <w:szCs w:val="22"/>
        </w:rPr>
      </w:pPr>
      <w:r w:rsidRPr="00564D92">
        <w:rPr>
          <w:noProof/>
          <w:szCs w:val="22"/>
        </w:rPr>
        <w:t>Trientine is acetylated in</w:t>
      </w:r>
      <w:r w:rsidR="00417952">
        <w:rPr>
          <w:noProof/>
          <w:szCs w:val="22"/>
        </w:rPr>
        <w:t>to</w:t>
      </w:r>
      <w:r w:rsidRPr="00564D92">
        <w:rPr>
          <w:noProof/>
          <w:szCs w:val="22"/>
        </w:rPr>
        <w:t xml:space="preserve"> two majors metabolites, N</w:t>
      </w:r>
      <w:r w:rsidR="00312577" w:rsidRPr="00312577">
        <w:rPr>
          <w:noProof/>
          <w:szCs w:val="22"/>
          <w:vertAlign w:val="subscript"/>
        </w:rPr>
        <w:t>1</w:t>
      </w:r>
      <w:r w:rsidRPr="00564D92">
        <w:rPr>
          <w:noProof/>
          <w:szCs w:val="22"/>
        </w:rPr>
        <w:t>-acetyltriethylenetetramine (MAT) and N</w:t>
      </w:r>
      <w:r w:rsidR="00312577" w:rsidRPr="00312577">
        <w:rPr>
          <w:noProof/>
          <w:szCs w:val="22"/>
          <w:vertAlign w:val="subscript"/>
        </w:rPr>
        <w:t>1</w:t>
      </w:r>
      <w:r w:rsidRPr="00564D92">
        <w:rPr>
          <w:noProof/>
          <w:szCs w:val="22"/>
        </w:rPr>
        <w:t>,N</w:t>
      </w:r>
      <w:r w:rsidR="00312577" w:rsidRPr="00312577">
        <w:rPr>
          <w:noProof/>
          <w:szCs w:val="22"/>
          <w:vertAlign w:val="subscript"/>
        </w:rPr>
        <w:t>10</w:t>
      </w:r>
      <w:r w:rsidRPr="00564D92">
        <w:rPr>
          <w:noProof/>
          <w:szCs w:val="22"/>
        </w:rPr>
        <w:t xml:space="preserve">-diacetyltriethylenetetramine (DAT). MAT </w:t>
      </w:r>
      <w:r w:rsidR="00312577">
        <w:rPr>
          <w:noProof/>
          <w:szCs w:val="22"/>
        </w:rPr>
        <w:t xml:space="preserve">and DAT are capable of chelating copper, albeit with a lower affinity than trientine. The extent of MAT and DAT </w:t>
      </w:r>
      <w:r w:rsidRPr="00564D92">
        <w:rPr>
          <w:noProof/>
          <w:szCs w:val="22"/>
        </w:rPr>
        <w:t xml:space="preserve">to the overall effect of </w:t>
      </w:r>
      <w:r w:rsidR="0034550B" w:rsidRPr="00E521A7">
        <w:rPr>
          <w:lang w:val="en-AU"/>
        </w:rPr>
        <w:t xml:space="preserve">CUPRIOR </w:t>
      </w:r>
      <w:r w:rsidRPr="00564D92">
        <w:rPr>
          <w:noProof/>
          <w:szCs w:val="22"/>
        </w:rPr>
        <w:t xml:space="preserve">on copper levels </w:t>
      </w:r>
      <w:r w:rsidR="00312577">
        <w:rPr>
          <w:noProof/>
          <w:szCs w:val="22"/>
        </w:rPr>
        <w:t>in Wilson’s Disease</w:t>
      </w:r>
      <w:r w:rsidRPr="00564D92">
        <w:rPr>
          <w:noProof/>
          <w:szCs w:val="22"/>
        </w:rPr>
        <w:t xml:space="preserve"> remains to be determined.</w:t>
      </w:r>
    </w:p>
    <w:p w14:paraId="5C5A1C3A" w14:textId="094AB0C1" w:rsidR="000B5567" w:rsidRPr="00564D92" w:rsidRDefault="00C4499A" w:rsidP="000B5567">
      <w:pPr>
        <w:rPr>
          <w:noProof/>
          <w:szCs w:val="22"/>
        </w:rPr>
      </w:pPr>
      <w:r>
        <w:rPr>
          <w:noProof/>
          <w:szCs w:val="22"/>
          <w:u w:val="single"/>
        </w:rPr>
        <w:t>Excretion</w:t>
      </w:r>
    </w:p>
    <w:p w14:paraId="07F9B2CB" w14:textId="77777777" w:rsidR="000B5567" w:rsidRPr="00564D92" w:rsidRDefault="000B5567" w:rsidP="000B5567">
      <w:pPr>
        <w:rPr>
          <w:noProof/>
          <w:szCs w:val="22"/>
        </w:rPr>
      </w:pPr>
      <w:r w:rsidRPr="00564D92">
        <w:rPr>
          <w:noProof/>
          <w:szCs w:val="22"/>
        </w:rPr>
        <w:t>Trientine and its metabolites are rapidly excreted in the urine, although low levels of trientine could still be detected in the plasma after 20 hours. Unabsorbed trientine is eliminated through faecal excretion.</w:t>
      </w:r>
    </w:p>
    <w:p w14:paraId="114CC16F" w14:textId="77777777" w:rsidR="000B5567" w:rsidRPr="00564D92" w:rsidRDefault="000B5567" w:rsidP="000B5567">
      <w:pPr>
        <w:rPr>
          <w:noProof/>
          <w:szCs w:val="22"/>
          <w:u w:val="single"/>
        </w:rPr>
      </w:pPr>
      <w:r w:rsidRPr="00564D92">
        <w:rPr>
          <w:noProof/>
          <w:szCs w:val="22"/>
          <w:u w:val="single"/>
        </w:rPr>
        <w:t>Linearity/non-linearity</w:t>
      </w:r>
    </w:p>
    <w:p w14:paraId="68079F70" w14:textId="03E18BBB" w:rsidR="00FE68EC" w:rsidRPr="00380C7E" w:rsidRDefault="000B5567" w:rsidP="000B5567">
      <w:pPr>
        <w:rPr>
          <w:szCs w:val="22"/>
          <w:highlight w:val="yellow"/>
        </w:rPr>
      </w:pPr>
      <w:r w:rsidRPr="00564D92">
        <w:rPr>
          <w:noProof/>
          <w:szCs w:val="22"/>
        </w:rPr>
        <w:t>Plasma exposures in humans have shown a linear relationship with oral doses of trientine.</w:t>
      </w:r>
    </w:p>
    <w:p w14:paraId="0CD96D6C" w14:textId="0092CB84" w:rsidR="000B5567" w:rsidRPr="00564D92" w:rsidRDefault="001A3992" w:rsidP="00961012">
      <w:pPr>
        <w:pStyle w:val="Heading2"/>
        <w:rPr>
          <w:noProof/>
        </w:rPr>
      </w:pPr>
      <w:bookmarkStart w:id="9" w:name="_Preclinical_safety_data"/>
      <w:bookmarkEnd w:id="9"/>
      <w:r w:rsidRPr="3481FA68">
        <w:rPr>
          <w:lang w:val="en-US"/>
        </w:rPr>
        <w:lastRenderedPageBreak/>
        <w:t>Preclinical safety data</w:t>
      </w:r>
    </w:p>
    <w:p w14:paraId="0C4778F1" w14:textId="77777777" w:rsidR="000B5567" w:rsidRPr="00564D92" w:rsidRDefault="000B5567" w:rsidP="000B5567">
      <w:pPr>
        <w:keepNext/>
        <w:rPr>
          <w:noProof/>
          <w:szCs w:val="22"/>
          <w:u w:val="single"/>
        </w:rPr>
      </w:pPr>
      <w:r w:rsidRPr="00564D92">
        <w:rPr>
          <w:noProof/>
          <w:szCs w:val="22"/>
          <w:u w:val="single"/>
        </w:rPr>
        <w:t>Genotoxicity</w:t>
      </w:r>
    </w:p>
    <w:p w14:paraId="2CF76B93" w14:textId="3F7D68EE" w:rsidR="000B5567" w:rsidRDefault="003C568B" w:rsidP="000B5567">
      <w:pPr>
        <w:rPr>
          <w:noProof/>
          <w:szCs w:val="22"/>
        </w:rPr>
      </w:pPr>
      <w:r>
        <w:rPr>
          <w:noProof/>
          <w:szCs w:val="22"/>
        </w:rPr>
        <w:t>T</w:t>
      </w:r>
      <w:r w:rsidR="000B5567" w:rsidRPr="00564D92">
        <w:rPr>
          <w:noProof/>
          <w:szCs w:val="22"/>
        </w:rPr>
        <w:t xml:space="preserve">rientine has shown positive effects in </w:t>
      </w:r>
      <w:r w:rsidR="000B5567" w:rsidRPr="00564D92">
        <w:rPr>
          <w:i/>
          <w:noProof/>
          <w:szCs w:val="22"/>
        </w:rPr>
        <w:t>in vitro</w:t>
      </w:r>
      <w:r w:rsidR="000B5567" w:rsidRPr="00564D92">
        <w:rPr>
          <w:noProof/>
          <w:szCs w:val="22"/>
        </w:rPr>
        <w:t xml:space="preserve"> genotoxicity studies, including the Ames test and genotoxicity tests in mammalian cells. </w:t>
      </w:r>
      <w:r w:rsidR="000B5567" w:rsidRPr="00564D92">
        <w:rPr>
          <w:i/>
          <w:noProof/>
          <w:szCs w:val="22"/>
        </w:rPr>
        <w:t>In vivo</w:t>
      </w:r>
      <w:r w:rsidR="000B5567" w:rsidRPr="00564D92">
        <w:rPr>
          <w:noProof/>
          <w:szCs w:val="22"/>
        </w:rPr>
        <w:t>, trientine was however negative in the mouse micronucleus test</w:t>
      </w:r>
      <w:r>
        <w:rPr>
          <w:noProof/>
          <w:szCs w:val="22"/>
        </w:rPr>
        <w:t>.</w:t>
      </w:r>
    </w:p>
    <w:p w14:paraId="2909414A" w14:textId="37FFDD4C" w:rsidR="00BF4B82" w:rsidRPr="00564D92" w:rsidRDefault="00BF4B82" w:rsidP="00BF4B82">
      <w:pPr>
        <w:keepNext/>
        <w:rPr>
          <w:noProof/>
          <w:szCs w:val="22"/>
          <w:u w:val="single"/>
        </w:rPr>
      </w:pPr>
      <w:r>
        <w:rPr>
          <w:noProof/>
          <w:szCs w:val="22"/>
          <w:u w:val="single"/>
        </w:rPr>
        <w:t>Carcinogenic</w:t>
      </w:r>
      <w:r w:rsidRPr="00564D92">
        <w:rPr>
          <w:noProof/>
          <w:szCs w:val="22"/>
          <w:u w:val="single"/>
        </w:rPr>
        <w:t>ity</w:t>
      </w:r>
    </w:p>
    <w:p w14:paraId="7F144651" w14:textId="6C6F2BBF" w:rsidR="000B5567" w:rsidRDefault="00BF4B82" w:rsidP="00961012">
      <w:pPr>
        <w:rPr>
          <w:noProof/>
          <w:szCs w:val="22"/>
        </w:rPr>
      </w:pPr>
      <w:r>
        <w:rPr>
          <w:noProof/>
          <w:szCs w:val="22"/>
        </w:rPr>
        <w:t>No data available.</w:t>
      </w:r>
    </w:p>
    <w:p w14:paraId="7FFC2015" w14:textId="604E48D8" w:rsidR="001A3992" w:rsidRPr="00577514" w:rsidRDefault="001A3992" w:rsidP="00212203">
      <w:pPr>
        <w:pStyle w:val="Heading1"/>
        <w:rPr>
          <w:lang w:val="en-US"/>
        </w:rPr>
      </w:pPr>
      <w:r w:rsidRPr="00577514">
        <w:rPr>
          <w:lang w:val="en-US"/>
        </w:rPr>
        <w:t>Pharmaceutical particulars</w:t>
      </w:r>
    </w:p>
    <w:p w14:paraId="0667C828" w14:textId="77777777" w:rsidR="001A3992" w:rsidRPr="000B5567" w:rsidRDefault="001A3992" w:rsidP="00212203">
      <w:pPr>
        <w:pStyle w:val="Heading2"/>
        <w:rPr>
          <w:lang w:val="en-US"/>
        </w:rPr>
      </w:pPr>
      <w:bookmarkStart w:id="10" w:name="_List_of_excipients"/>
      <w:bookmarkEnd w:id="10"/>
      <w:r w:rsidRPr="000B5567">
        <w:rPr>
          <w:lang w:val="en-US"/>
        </w:rPr>
        <w:t xml:space="preserve">List of excipients </w:t>
      </w:r>
    </w:p>
    <w:p w14:paraId="7CD56A19" w14:textId="77777777" w:rsidR="000B5567" w:rsidRPr="00940A33" w:rsidRDefault="000B5567" w:rsidP="000B5567">
      <w:pPr>
        <w:rPr>
          <w:noProof/>
          <w:szCs w:val="22"/>
          <w:u w:val="single"/>
        </w:rPr>
      </w:pPr>
      <w:r w:rsidRPr="00940A33">
        <w:rPr>
          <w:noProof/>
          <w:szCs w:val="22"/>
          <w:u w:val="single"/>
        </w:rPr>
        <w:t>Tablet core:</w:t>
      </w:r>
    </w:p>
    <w:p w14:paraId="225445A2" w14:textId="77777777" w:rsidR="000B5567" w:rsidRPr="00940A33" w:rsidRDefault="000B5567" w:rsidP="000B5567">
      <w:pPr>
        <w:rPr>
          <w:noProof/>
          <w:szCs w:val="22"/>
        </w:rPr>
      </w:pPr>
      <w:r w:rsidRPr="00301CBE">
        <w:rPr>
          <w:noProof/>
          <w:szCs w:val="22"/>
        </w:rPr>
        <w:t>Mannitol.</w:t>
      </w:r>
      <w:r w:rsidRPr="00940A33">
        <w:rPr>
          <w:noProof/>
          <w:szCs w:val="22"/>
        </w:rPr>
        <w:t xml:space="preserve"> </w:t>
      </w:r>
    </w:p>
    <w:p w14:paraId="160017C5" w14:textId="77777777" w:rsidR="000B5567" w:rsidRPr="00D2252E" w:rsidRDefault="000B5567" w:rsidP="000B5567">
      <w:pPr>
        <w:rPr>
          <w:noProof/>
          <w:szCs w:val="22"/>
        </w:rPr>
      </w:pPr>
      <w:r w:rsidRPr="00940A33">
        <w:rPr>
          <w:noProof/>
          <w:szCs w:val="22"/>
        </w:rPr>
        <w:t xml:space="preserve">Colloidal </w:t>
      </w:r>
      <w:r w:rsidRPr="00D2252E">
        <w:rPr>
          <w:noProof/>
          <w:szCs w:val="22"/>
        </w:rPr>
        <w:t>anhydrous silica.</w:t>
      </w:r>
    </w:p>
    <w:p w14:paraId="1C9C91B9" w14:textId="77777777" w:rsidR="000B5567" w:rsidRPr="005E2A6A" w:rsidRDefault="000B5567" w:rsidP="000B5567">
      <w:pPr>
        <w:rPr>
          <w:noProof/>
          <w:szCs w:val="22"/>
        </w:rPr>
      </w:pPr>
      <w:r w:rsidRPr="00EC66CC">
        <w:rPr>
          <w:noProof/>
          <w:szCs w:val="22"/>
        </w:rPr>
        <w:t>Glycerol dibehenate.</w:t>
      </w:r>
    </w:p>
    <w:p w14:paraId="36BF15E7" w14:textId="77777777" w:rsidR="000B5567" w:rsidRPr="00940A33" w:rsidRDefault="000B5567" w:rsidP="000B5567">
      <w:pPr>
        <w:rPr>
          <w:noProof/>
          <w:szCs w:val="22"/>
          <w:u w:val="single"/>
        </w:rPr>
      </w:pPr>
      <w:r w:rsidRPr="004B7445">
        <w:rPr>
          <w:noProof/>
          <w:szCs w:val="22"/>
          <w:u w:val="single"/>
        </w:rPr>
        <w:t>Tablet film-coating</w:t>
      </w:r>
      <w:r w:rsidRPr="00940A33">
        <w:rPr>
          <w:noProof/>
          <w:szCs w:val="22"/>
          <w:u w:val="single"/>
        </w:rPr>
        <w:t>:</w:t>
      </w:r>
    </w:p>
    <w:p w14:paraId="5BB80187" w14:textId="77777777" w:rsidR="000B5567" w:rsidRPr="00940A33" w:rsidRDefault="000B5567" w:rsidP="000B5567">
      <w:pPr>
        <w:rPr>
          <w:noProof/>
          <w:szCs w:val="22"/>
        </w:rPr>
      </w:pPr>
      <w:r w:rsidRPr="00940A33">
        <w:rPr>
          <w:noProof/>
          <w:szCs w:val="22"/>
        </w:rPr>
        <w:t>Polyvinyl alcohol.</w:t>
      </w:r>
    </w:p>
    <w:p w14:paraId="3D1F843D" w14:textId="59B9C710" w:rsidR="000B5567" w:rsidRPr="00940A33" w:rsidRDefault="00F5335E" w:rsidP="000B5567">
      <w:pPr>
        <w:rPr>
          <w:noProof/>
          <w:szCs w:val="22"/>
        </w:rPr>
      </w:pPr>
      <w:r>
        <w:rPr>
          <w:noProof/>
          <w:szCs w:val="22"/>
        </w:rPr>
        <w:t>Purified t</w:t>
      </w:r>
      <w:r w:rsidRPr="00940A33">
        <w:rPr>
          <w:noProof/>
          <w:szCs w:val="22"/>
        </w:rPr>
        <w:t>alc</w:t>
      </w:r>
      <w:r w:rsidR="000B5567" w:rsidRPr="00940A33">
        <w:rPr>
          <w:noProof/>
          <w:szCs w:val="22"/>
        </w:rPr>
        <w:t>.</w:t>
      </w:r>
    </w:p>
    <w:p w14:paraId="7D20FD16" w14:textId="31619D5E" w:rsidR="000B5567" w:rsidRPr="00940A33" w:rsidRDefault="000B5567" w:rsidP="000B5567">
      <w:pPr>
        <w:rPr>
          <w:noProof/>
          <w:szCs w:val="22"/>
        </w:rPr>
      </w:pPr>
      <w:r w:rsidRPr="00940A33">
        <w:rPr>
          <w:noProof/>
          <w:szCs w:val="22"/>
        </w:rPr>
        <w:t xml:space="preserve">Titanium </w:t>
      </w:r>
      <w:r w:rsidR="00F5335E" w:rsidRPr="00940A33">
        <w:rPr>
          <w:noProof/>
          <w:szCs w:val="22"/>
        </w:rPr>
        <w:t>diox</w:t>
      </w:r>
      <w:r w:rsidR="00F5335E">
        <w:rPr>
          <w:noProof/>
          <w:szCs w:val="22"/>
        </w:rPr>
        <w:t>i</w:t>
      </w:r>
      <w:r w:rsidR="00F5335E" w:rsidRPr="00940A33">
        <w:rPr>
          <w:noProof/>
          <w:szCs w:val="22"/>
        </w:rPr>
        <w:t>de</w:t>
      </w:r>
      <w:r w:rsidRPr="00940A33">
        <w:rPr>
          <w:noProof/>
          <w:szCs w:val="22"/>
        </w:rPr>
        <w:t>.</w:t>
      </w:r>
    </w:p>
    <w:p w14:paraId="759A2887" w14:textId="7BAA55F8" w:rsidR="000B5567" w:rsidRPr="00D2252E" w:rsidRDefault="003611B7" w:rsidP="000B5567">
      <w:pPr>
        <w:rPr>
          <w:noProof/>
          <w:szCs w:val="22"/>
          <w:lang w:val="en-US"/>
        </w:rPr>
      </w:pPr>
      <w:r w:rsidRPr="003611B7">
        <w:rPr>
          <w:noProof/>
          <w:szCs w:val="22"/>
          <w:lang w:val="en-US"/>
        </w:rPr>
        <w:t>Polyglycerol esters of fatty acids</w:t>
      </w:r>
      <w:r w:rsidR="000B5567" w:rsidRPr="00D2252E">
        <w:rPr>
          <w:noProof/>
          <w:szCs w:val="22"/>
          <w:lang w:val="en-US"/>
        </w:rPr>
        <w:t>.</w:t>
      </w:r>
    </w:p>
    <w:p w14:paraId="3611C6D8" w14:textId="7CEC3BAF" w:rsidR="000B5567" w:rsidRPr="008E672D" w:rsidRDefault="000B5567" w:rsidP="000B5567">
      <w:pPr>
        <w:rPr>
          <w:noProof/>
          <w:szCs w:val="22"/>
          <w:lang w:val="en-US"/>
        </w:rPr>
      </w:pPr>
      <w:r w:rsidRPr="00D2252E">
        <w:rPr>
          <w:noProof/>
          <w:szCs w:val="22"/>
          <w:lang w:val="en-US"/>
        </w:rPr>
        <w:t>I</w:t>
      </w:r>
      <w:r w:rsidRPr="008E672D">
        <w:rPr>
          <w:noProof/>
          <w:szCs w:val="22"/>
          <w:lang w:val="en-US"/>
        </w:rPr>
        <w:t>ron oxide yellow.</w:t>
      </w:r>
    </w:p>
    <w:p w14:paraId="6306136D" w14:textId="539025B6" w:rsidR="000B5567" w:rsidRPr="005E2A6A" w:rsidRDefault="000B5567" w:rsidP="000B5567">
      <w:pPr>
        <w:rPr>
          <w:noProof/>
          <w:szCs w:val="22"/>
          <w:lang w:val="en-US"/>
        </w:rPr>
      </w:pPr>
      <w:r w:rsidRPr="005E2A6A">
        <w:rPr>
          <w:noProof/>
          <w:szCs w:val="22"/>
          <w:lang w:val="en-US"/>
        </w:rPr>
        <w:t xml:space="preserve">Sodium </w:t>
      </w:r>
      <w:r w:rsidR="00F5335E" w:rsidRPr="005E2A6A">
        <w:rPr>
          <w:noProof/>
          <w:szCs w:val="22"/>
          <w:lang w:val="en-US"/>
        </w:rPr>
        <w:t>laur</w:t>
      </w:r>
      <w:r w:rsidR="00F5335E">
        <w:rPr>
          <w:noProof/>
          <w:szCs w:val="22"/>
          <w:lang w:val="en-US"/>
        </w:rPr>
        <w:t xml:space="preserve">yl </w:t>
      </w:r>
      <w:r w:rsidR="00F5335E" w:rsidRPr="005E2A6A">
        <w:rPr>
          <w:noProof/>
          <w:szCs w:val="22"/>
          <w:lang w:val="en-US"/>
        </w:rPr>
        <w:t>sulfate</w:t>
      </w:r>
      <w:r w:rsidRPr="005E2A6A">
        <w:rPr>
          <w:noProof/>
          <w:szCs w:val="22"/>
          <w:lang w:val="en-US"/>
        </w:rPr>
        <w:t>.</w:t>
      </w:r>
    </w:p>
    <w:p w14:paraId="5E205008" w14:textId="77777777" w:rsidR="001A3992" w:rsidRPr="000B5567" w:rsidRDefault="001A3992" w:rsidP="00212203">
      <w:pPr>
        <w:pStyle w:val="Heading2"/>
        <w:rPr>
          <w:lang w:val="en-US"/>
        </w:rPr>
      </w:pPr>
      <w:r w:rsidRPr="000B5567">
        <w:rPr>
          <w:lang w:val="en-US"/>
        </w:rPr>
        <w:t xml:space="preserve">Incompatibilities </w:t>
      </w:r>
    </w:p>
    <w:p w14:paraId="18AB34A6" w14:textId="64F1D483" w:rsidR="00497C85" w:rsidRPr="000B5567" w:rsidRDefault="000B5567" w:rsidP="00212203">
      <w:pPr>
        <w:rPr>
          <w:lang w:val="en-US"/>
        </w:rPr>
      </w:pPr>
      <w:r w:rsidRPr="000B5567">
        <w:t>Not applicable</w:t>
      </w:r>
      <w:r w:rsidR="00B367C4" w:rsidRPr="000B5567">
        <w:t>.</w:t>
      </w:r>
    </w:p>
    <w:p w14:paraId="7B0F93CD" w14:textId="77777777" w:rsidR="001A3992" w:rsidRPr="000B5567" w:rsidRDefault="001A3992" w:rsidP="00212203">
      <w:pPr>
        <w:pStyle w:val="Heading2"/>
        <w:rPr>
          <w:lang w:val="en-US"/>
        </w:rPr>
      </w:pPr>
      <w:bookmarkStart w:id="11" w:name="_Shelf_life"/>
      <w:bookmarkEnd w:id="11"/>
      <w:r w:rsidRPr="000B5567">
        <w:rPr>
          <w:lang w:val="en-US"/>
        </w:rPr>
        <w:t xml:space="preserve">Shelf life </w:t>
      </w:r>
    </w:p>
    <w:p w14:paraId="032A179A" w14:textId="0FDC127E" w:rsidR="006C273F" w:rsidRPr="000B5567" w:rsidRDefault="00733FD1" w:rsidP="00212203">
      <w:pPr>
        <w:rPr>
          <w:noProof/>
          <w:szCs w:val="22"/>
        </w:rPr>
      </w:pPr>
      <w:r w:rsidRPr="00733FD1">
        <w:rPr>
          <w:noProof/>
          <w:szCs w:val="22"/>
        </w:rPr>
        <w:t>In Australia, information on the shelf life can be found on the public summary of the Australian Register of Therapeutic Goods (ARTG). The expiry date can be found on the packaging.</w:t>
      </w:r>
    </w:p>
    <w:p w14:paraId="1DFA782C" w14:textId="77777777" w:rsidR="00062143" w:rsidRPr="000B5567" w:rsidRDefault="001A3992" w:rsidP="00212203">
      <w:pPr>
        <w:pStyle w:val="Heading2"/>
        <w:rPr>
          <w:lang w:val="en-US"/>
        </w:rPr>
      </w:pPr>
      <w:r w:rsidRPr="000B5567">
        <w:rPr>
          <w:lang w:val="en-US"/>
        </w:rPr>
        <w:lastRenderedPageBreak/>
        <w:t>Special precautions for storage</w:t>
      </w:r>
    </w:p>
    <w:p w14:paraId="3D48AD2F" w14:textId="77777777" w:rsidR="00A611F3" w:rsidRPr="00A611F3" w:rsidRDefault="00A611F3" w:rsidP="00A611F3">
      <w:pPr>
        <w:rPr>
          <w:lang w:val="en-US"/>
        </w:rPr>
      </w:pPr>
      <w:r>
        <w:t>Store below 25°C.</w:t>
      </w:r>
    </w:p>
    <w:p w14:paraId="5A7F4B22" w14:textId="79FEC140" w:rsidR="00062143" w:rsidRPr="000B5567" w:rsidRDefault="001A3992" w:rsidP="00212203">
      <w:pPr>
        <w:pStyle w:val="Heading2"/>
        <w:rPr>
          <w:lang w:val="en-US"/>
        </w:rPr>
      </w:pPr>
      <w:r w:rsidRPr="000B5567">
        <w:rPr>
          <w:lang w:val="en-US"/>
        </w:rPr>
        <w:t>Nature and contents of container</w:t>
      </w:r>
    </w:p>
    <w:p w14:paraId="0EA337E3" w14:textId="3CC1A590" w:rsidR="000B5567" w:rsidRPr="00A611F3" w:rsidRDefault="000B5567" w:rsidP="000B5567">
      <w:pPr>
        <w:pStyle w:val="Default"/>
        <w:rPr>
          <w:lang w:val="en-GB"/>
        </w:rPr>
      </w:pPr>
      <w:r w:rsidRPr="00A611F3">
        <w:rPr>
          <w:lang w:val="en-GB"/>
        </w:rPr>
        <w:t>O</w:t>
      </w:r>
      <w:r w:rsidR="00A611F3" w:rsidRPr="00A611F3">
        <w:rPr>
          <w:lang w:val="en-GB"/>
        </w:rPr>
        <w:t>riented Polyamide</w:t>
      </w:r>
      <w:r w:rsidRPr="00A611F3">
        <w:rPr>
          <w:lang w:val="en-GB"/>
        </w:rPr>
        <w:t>/Alu</w:t>
      </w:r>
      <w:r w:rsidR="00A611F3" w:rsidRPr="00A611F3">
        <w:rPr>
          <w:lang w:val="en-GB"/>
        </w:rPr>
        <w:t>minium</w:t>
      </w:r>
      <w:r w:rsidRPr="00A611F3">
        <w:rPr>
          <w:lang w:val="en-GB"/>
        </w:rPr>
        <w:t>/PVC</w:t>
      </w:r>
      <w:r w:rsidRPr="00A611F3">
        <w:rPr>
          <w:lang w:val="en-GB"/>
        </w:rPr>
        <w:noBreakHyphen/>
        <w:t>Alu</w:t>
      </w:r>
      <w:r w:rsidR="00A611F3" w:rsidRPr="00A611F3">
        <w:rPr>
          <w:lang w:val="en-GB"/>
        </w:rPr>
        <w:t>minium</w:t>
      </w:r>
      <w:r w:rsidRPr="00A611F3">
        <w:rPr>
          <w:lang w:val="en-GB"/>
        </w:rPr>
        <w:t xml:space="preserve"> blisters, each blister contains 8 film-coated tablets.</w:t>
      </w:r>
    </w:p>
    <w:p w14:paraId="26A3B63D" w14:textId="77777777" w:rsidR="000B5567" w:rsidRPr="00A611F3" w:rsidRDefault="000B5567" w:rsidP="000B5567">
      <w:pPr>
        <w:rPr>
          <w:noProof/>
        </w:rPr>
      </w:pPr>
      <w:r w:rsidRPr="00A611F3">
        <w:t>Pack size: 72 tablets.</w:t>
      </w:r>
    </w:p>
    <w:p w14:paraId="196241FD" w14:textId="77777777" w:rsidR="001A3992" w:rsidRPr="000B5567" w:rsidRDefault="001A3992" w:rsidP="00212203">
      <w:pPr>
        <w:pStyle w:val="Heading2"/>
        <w:rPr>
          <w:lang w:val="en-US"/>
        </w:rPr>
      </w:pPr>
      <w:r w:rsidRPr="000B5567">
        <w:rPr>
          <w:lang w:val="en-US"/>
        </w:rPr>
        <w:t xml:space="preserve">Special precautions for disposal </w:t>
      </w:r>
    </w:p>
    <w:p w14:paraId="698A428D" w14:textId="59AE25D6" w:rsidR="00497C85" w:rsidRPr="000B5567" w:rsidRDefault="00497C85" w:rsidP="00212203">
      <w:r w:rsidRPr="000B5567">
        <w:t xml:space="preserve">In Australia, any unused medicine or waste material should be disposed of </w:t>
      </w:r>
      <w:r w:rsidR="000B5567">
        <w:t>in accordance with</w:t>
      </w:r>
      <w:r w:rsidRPr="000B5567">
        <w:t xml:space="preserve"> local </w:t>
      </w:r>
      <w:r w:rsidR="000B5567">
        <w:t>requirements</w:t>
      </w:r>
      <w:r w:rsidRPr="000B5567">
        <w:t>.</w:t>
      </w:r>
    </w:p>
    <w:p w14:paraId="78280B89" w14:textId="77777777" w:rsidR="001A3992" w:rsidRPr="00E521A7" w:rsidRDefault="001A3992" w:rsidP="00212203">
      <w:pPr>
        <w:pStyle w:val="Heading2"/>
        <w:rPr>
          <w:lang w:val="en-US"/>
        </w:rPr>
      </w:pPr>
      <w:r w:rsidRPr="00E521A7">
        <w:rPr>
          <w:lang w:val="en-US"/>
        </w:rPr>
        <w:t>Physicochemical properties</w:t>
      </w:r>
    </w:p>
    <w:p w14:paraId="5F520FCF" w14:textId="1774AE02" w:rsidR="0022652F" w:rsidRPr="00E521A7" w:rsidRDefault="0034550B" w:rsidP="00212203">
      <w:pPr>
        <w:rPr>
          <w:lang w:val="en-AU"/>
        </w:rPr>
      </w:pPr>
      <w:r w:rsidRPr="00E521A7">
        <w:rPr>
          <w:lang w:val="en-AU"/>
        </w:rPr>
        <w:t xml:space="preserve">CUPRIOR </w:t>
      </w:r>
      <w:r w:rsidR="0022652F" w:rsidRPr="00E521A7">
        <w:rPr>
          <w:lang w:val="en-AU"/>
        </w:rPr>
        <w:t xml:space="preserve">contains </w:t>
      </w:r>
      <w:proofErr w:type="spellStart"/>
      <w:r w:rsidR="0022652F" w:rsidRPr="00E521A7">
        <w:rPr>
          <w:lang w:val="en-US"/>
        </w:rPr>
        <w:t>trientine</w:t>
      </w:r>
      <w:proofErr w:type="spellEnd"/>
      <w:r w:rsidR="0022652F" w:rsidRPr="00E521A7">
        <w:rPr>
          <w:lang w:val="en-US"/>
        </w:rPr>
        <w:t xml:space="preserve"> tetrahydrochloride. The drug substan</w:t>
      </w:r>
      <w:r w:rsidR="005E78C3" w:rsidRPr="00E521A7">
        <w:rPr>
          <w:lang w:val="en-US"/>
        </w:rPr>
        <w:t xml:space="preserve">ce is a white crystalline powder, freely soluble in water, hydrochloric acid 10% and sodium hydroxide 10%. It is very slightly soluble in methanol and DMSO. </w:t>
      </w:r>
    </w:p>
    <w:p w14:paraId="0E94DDCA" w14:textId="77777777" w:rsidR="001A3992" w:rsidRPr="00E521A7" w:rsidRDefault="001A3992" w:rsidP="00212203">
      <w:pPr>
        <w:pStyle w:val="Heading3"/>
        <w:rPr>
          <w:lang w:val="en-US"/>
        </w:rPr>
      </w:pPr>
      <w:r w:rsidRPr="00E521A7">
        <w:rPr>
          <w:lang w:val="en-US"/>
        </w:rPr>
        <w:t>Chemical structure</w:t>
      </w:r>
    </w:p>
    <w:p w14:paraId="0928EA0F" w14:textId="175A7AB3" w:rsidR="005E78C3" w:rsidRPr="00380C7E" w:rsidRDefault="005E78C3" w:rsidP="00212203">
      <w:pPr>
        <w:rPr>
          <w:highlight w:val="yellow"/>
          <w:lang w:val="en-US"/>
        </w:rPr>
      </w:pPr>
      <w:r w:rsidRPr="00EF1394">
        <w:rPr>
          <w:noProof/>
          <w:lang w:val="en-AU" w:eastAsia="en-AU"/>
        </w:rPr>
        <w:drawing>
          <wp:inline distT="0" distB="0" distL="0" distR="0" wp14:anchorId="01A7ED49" wp14:editId="2A479637">
            <wp:extent cx="471487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1466850"/>
                    </a:xfrm>
                    <a:prstGeom prst="rect">
                      <a:avLst/>
                    </a:prstGeom>
                    <a:noFill/>
                    <a:ln>
                      <a:noFill/>
                    </a:ln>
                  </pic:spPr>
                </pic:pic>
              </a:graphicData>
            </a:graphic>
          </wp:inline>
        </w:drawing>
      </w:r>
    </w:p>
    <w:p w14:paraId="1796073E" w14:textId="77777777" w:rsidR="001A3992" w:rsidRPr="00E521A7" w:rsidRDefault="001A3992" w:rsidP="00212203">
      <w:pPr>
        <w:pStyle w:val="Heading3"/>
        <w:rPr>
          <w:lang w:val="en-US"/>
        </w:rPr>
      </w:pPr>
      <w:r w:rsidRPr="00E521A7">
        <w:rPr>
          <w:lang w:val="en-US"/>
        </w:rPr>
        <w:t>CAS number</w:t>
      </w:r>
    </w:p>
    <w:p w14:paraId="71A09D27" w14:textId="44B654CB" w:rsidR="00246E2E" w:rsidRPr="00E521A7" w:rsidRDefault="0022652F" w:rsidP="00212203">
      <w:pPr>
        <w:rPr>
          <w:lang w:val="en-US"/>
        </w:rPr>
      </w:pPr>
      <w:r w:rsidRPr="00E521A7">
        <w:rPr>
          <w:lang w:val="en-US"/>
        </w:rPr>
        <w:t>4961-40-4</w:t>
      </w:r>
    </w:p>
    <w:p w14:paraId="39B9E18A" w14:textId="77777777" w:rsidR="001A3992" w:rsidRPr="000B5567" w:rsidRDefault="001A3992" w:rsidP="00212203">
      <w:pPr>
        <w:pStyle w:val="Heading1"/>
        <w:rPr>
          <w:lang w:val="en-US"/>
        </w:rPr>
      </w:pPr>
      <w:r w:rsidRPr="000B5567">
        <w:rPr>
          <w:lang w:val="en-US"/>
        </w:rPr>
        <w:t>Medicine schedule (Poisons Standard)</w:t>
      </w:r>
    </w:p>
    <w:p w14:paraId="2B0E4306" w14:textId="77777777" w:rsidR="00246E2E" w:rsidRPr="000B5567" w:rsidRDefault="00246E2E" w:rsidP="00212203">
      <w:pPr>
        <w:rPr>
          <w:lang w:val="en-US"/>
        </w:rPr>
      </w:pPr>
      <w:r w:rsidRPr="000B5567">
        <w:rPr>
          <w:lang w:val="en-US"/>
        </w:rPr>
        <w:t xml:space="preserve">Schedule 4 Prescription Only Medicine </w:t>
      </w:r>
    </w:p>
    <w:p w14:paraId="5D2E197D" w14:textId="77777777" w:rsidR="001A3992" w:rsidRPr="000B5567" w:rsidRDefault="001A3992" w:rsidP="00212203">
      <w:pPr>
        <w:pStyle w:val="Heading1"/>
        <w:rPr>
          <w:lang w:val="en-US"/>
        </w:rPr>
      </w:pPr>
      <w:r w:rsidRPr="000B5567">
        <w:rPr>
          <w:lang w:val="en-US"/>
        </w:rPr>
        <w:t>Sponsor</w:t>
      </w:r>
    </w:p>
    <w:p w14:paraId="4C94C838" w14:textId="56233271" w:rsidR="000077B5" w:rsidRPr="000B5567" w:rsidRDefault="000077B5" w:rsidP="00212203">
      <w:pPr>
        <w:rPr>
          <w:lang w:val="en-US"/>
        </w:rPr>
      </w:pPr>
      <w:r w:rsidRPr="000B5567">
        <w:rPr>
          <w:lang w:val="en-US"/>
        </w:rPr>
        <w:t>JACE Pharma Pty Ltd</w:t>
      </w:r>
      <w:r w:rsidRPr="000B5567">
        <w:rPr>
          <w:lang w:val="en-US"/>
        </w:rPr>
        <w:br/>
        <w:t xml:space="preserve">Level </w:t>
      </w:r>
      <w:r w:rsidR="00BD21C1">
        <w:rPr>
          <w:lang w:val="en-US"/>
        </w:rPr>
        <w:t>2</w:t>
      </w:r>
      <w:r w:rsidRPr="000B5567">
        <w:rPr>
          <w:lang w:val="en-US"/>
        </w:rPr>
        <w:t xml:space="preserve">, </w:t>
      </w:r>
      <w:r w:rsidR="00BD21C1">
        <w:rPr>
          <w:lang w:val="en-US"/>
        </w:rPr>
        <w:t>8</w:t>
      </w:r>
      <w:r w:rsidR="00BD21C1" w:rsidRPr="000B5567">
        <w:rPr>
          <w:lang w:val="en-US"/>
        </w:rPr>
        <w:t xml:space="preserve"> </w:t>
      </w:r>
      <w:proofErr w:type="spellStart"/>
      <w:r w:rsidRPr="000B5567">
        <w:rPr>
          <w:lang w:val="en-US"/>
        </w:rPr>
        <w:t>Clunies</w:t>
      </w:r>
      <w:proofErr w:type="spellEnd"/>
      <w:r w:rsidRPr="000B5567">
        <w:rPr>
          <w:lang w:val="en-US"/>
        </w:rPr>
        <w:t xml:space="preserve"> Ross Court</w:t>
      </w:r>
      <w:r w:rsidRPr="000B5567">
        <w:rPr>
          <w:lang w:val="en-US"/>
        </w:rPr>
        <w:br/>
        <w:t>Brisbane Technology Park</w:t>
      </w:r>
      <w:r w:rsidRPr="000B5567">
        <w:rPr>
          <w:lang w:val="en-US"/>
        </w:rPr>
        <w:br/>
        <w:t>Eight Mile Plains, Queensland 4113</w:t>
      </w:r>
    </w:p>
    <w:p w14:paraId="02D1F732" w14:textId="77777777" w:rsidR="000077B5" w:rsidRPr="000B5567" w:rsidRDefault="001A3992" w:rsidP="00212203">
      <w:pPr>
        <w:pStyle w:val="Heading1"/>
        <w:rPr>
          <w:lang w:val="en-US"/>
        </w:rPr>
      </w:pPr>
      <w:r w:rsidRPr="000B5567">
        <w:rPr>
          <w:lang w:val="en-US"/>
        </w:rPr>
        <w:lastRenderedPageBreak/>
        <w:t>Date of first approval</w:t>
      </w:r>
    </w:p>
    <w:p w14:paraId="4C04ED64" w14:textId="5179A071" w:rsidR="001A3992" w:rsidRPr="00380C7E" w:rsidRDefault="00BD21C1" w:rsidP="00212203">
      <w:pPr>
        <w:rPr>
          <w:highlight w:val="yellow"/>
          <w:lang w:val="en-US"/>
        </w:rPr>
      </w:pPr>
      <w:r>
        <w:rPr>
          <w:lang w:val="en-US"/>
        </w:rPr>
        <w:t>28</w:t>
      </w:r>
      <w:r w:rsidR="000077B5" w:rsidRPr="00E521A7">
        <w:rPr>
          <w:lang w:val="en-US"/>
        </w:rPr>
        <w:t>/</w:t>
      </w:r>
      <w:r>
        <w:rPr>
          <w:lang w:val="en-US"/>
        </w:rPr>
        <w:t>09</w:t>
      </w:r>
      <w:r w:rsidR="000077B5" w:rsidRPr="00E521A7">
        <w:rPr>
          <w:lang w:val="en-US"/>
        </w:rPr>
        <w:t>/</w:t>
      </w:r>
      <w:r w:rsidR="00550743">
        <w:rPr>
          <w:lang w:val="en-US"/>
        </w:rPr>
        <w:t>2021</w:t>
      </w:r>
      <w:r w:rsidR="00550743">
        <w:rPr>
          <w:highlight w:val="yellow"/>
          <w:lang w:val="en-US"/>
        </w:rPr>
        <w:t xml:space="preserve"> </w:t>
      </w:r>
    </w:p>
    <w:p w14:paraId="7413DFF5" w14:textId="77777777" w:rsidR="001A3992" w:rsidRPr="00577514" w:rsidRDefault="001A3992" w:rsidP="00212203">
      <w:pPr>
        <w:pStyle w:val="Heading1"/>
        <w:rPr>
          <w:lang w:val="en-US"/>
        </w:rPr>
      </w:pPr>
      <w:r w:rsidRPr="00577514">
        <w:rPr>
          <w:lang w:val="en-US"/>
        </w:rPr>
        <w:t xml:space="preserve">Date of revision </w:t>
      </w:r>
    </w:p>
    <w:p w14:paraId="3983A78D" w14:textId="77777777" w:rsidR="001A3992" w:rsidRPr="00577514" w:rsidRDefault="001A3992" w:rsidP="000F3CBC">
      <w:pPr>
        <w:pStyle w:val="Heading3"/>
        <w:rPr>
          <w:lang w:val="en-US"/>
        </w:rPr>
      </w:pPr>
      <w:r w:rsidRPr="00577514">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5"/>
        <w:gridCol w:w="7631"/>
      </w:tblGrid>
      <w:tr w:rsidR="00ED0937" w:rsidRPr="00497C85" w14:paraId="7C3B17ED" w14:textId="77777777" w:rsidTr="00BB0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shd w:val="clear" w:color="auto" w:fill="F2F2F2" w:themeFill="background1" w:themeFillShade="F2"/>
            <w:vAlign w:val="center"/>
          </w:tcPr>
          <w:p w14:paraId="0ABF9548" w14:textId="77777777" w:rsidR="00ED0937" w:rsidRPr="00577514" w:rsidRDefault="00ED0937" w:rsidP="00212203">
            <w:pPr>
              <w:rPr>
                <w:lang w:val="en-US"/>
              </w:rPr>
            </w:pPr>
            <w:r w:rsidRPr="00577514">
              <w:rPr>
                <w:lang w:val="en-US"/>
              </w:rPr>
              <w:t>Section Changed</w:t>
            </w:r>
          </w:p>
        </w:tc>
        <w:tc>
          <w:tcPr>
            <w:tcW w:w="7631" w:type="dxa"/>
            <w:shd w:val="clear" w:color="auto" w:fill="F2F2F2" w:themeFill="background1" w:themeFillShade="F2"/>
            <w:vAlign w:val="center"/>
          </w:tcPr>
          <w:p w14:paraId="72CEA273" w14:textId="77777777" w:rsidR="00ED0937" w:rsidRPr="00497C85" w:rsidRDefault="00ED0937" w:rsidP="00212203">
            <w:pPr>
              <w:cnfStyle w:val="100000000000" w:firstRow="1" w:lastRow="0" w:firstColumn="0" w:lastColumn="0" w:oddVBand="0" w:evenVBand="0" w:oddHBand="0" w:evenHBand="0" w:firstRowFirstColumn="0" w:firstRowLastColumn="0" w:lastRowFirstColumn="0" w:lastRowLastColumn="0"/>
              <w:rPr>
                <w:lang w:val="en-US"/>
              </w:rPr>
            </w:pPr>
            <w:r w:rsidRPr="00577514">
              <w:rPr>
                <w:lang w:val="en-US"/>
              </w:rPr>
              <w:t>Summary of new information</w:t>
            </w:r>
          </w:p>
        </w:tc>
      </w:tr>
      <w:tr w:rsidR="00ED0937" w:rsidRPr="00497C85" w14:paraId="126B308B" w14:textId="77777777" w:rsidTr="00BB0AB7">
        <w:tc>
          <w:tcPr>
            <w:cnfStyle w:val="001000000000" w:firstRow="0" w:lastRow="0" w:firstColumn="1" w:lastColumn="0" w:oddVBand="0" w:evenVBand="0" w:oddHBand="0" w:evenHBand="0" w:firstRowFirstColumn="0" w:firstRowLastColumn="0" w:lastRowFirstColumn="0" w:lastRowLastColumn="0"/>
            <w:tcW w:w="1375" w:type="dxa"/>
            <w:vAlign w:val="center"/>
          </w:tcPr>
          <w:p w14:paraId="0211CC92" w14:textId="77777777" w:rsidR="00ED0937" w:rsidRPr="00497C85" w:rsidRDefault="00ED0937" w:rsidP="00212203">
            <w:pPr>
              <w:rPr>
                <w:lang w:val="en-US"/>
              </w:rPr>
            </w:pPr>
          </w:p>
        </w:tc>
        <w:tc>
          <w:tcPr>
            <w:tcW w:w="7631" w:type="dxa"/>
            <w:vAlign w:val="center"/>
          </w:tcPr>
          <w:p w14:paraId="7FE1BF0C" w14:textId="77777777" w:rsidR="00ED0937" w:rsidRPr="00497C85" w:rsidRDefault="00ED0937" w:rsidP="00212203">
            <w:pPr>
              <w:cnfStyle w:val="000000000000" w:firstRow="0" w:lastRow="0" w:firstColumn="0" w:lastColumn="0" w:oddVBand="0" w:evenVBand="0" w:oddHBand="0" w:evenHBand="0" w:firstRowFirstColumn="0" w:firstRowLastColumn="0" w:lastRowFirstColumn="0" w:lastRowLastColumn="0"/>
              <w:rPr>
                <w:lang w:val="en-US"/>
              </w:rPr>
            </w:pPr>
          </w:p>
        </w:tc>
      </w:tr>
      <w:tr w:rsidR="00ED0937" w:rsidRPr="00497C85" w14:paraId="3AB52260" w14:textId="77777777" w:rsidTr="00BB0AB7">
        <w:tc>
          <w:tcPr>
            <w:cnfStyle w:val="001000000000" w:firstRow="0" w:lastRow="0" w:firstColumn="1" w:lastColumn="0" w:oddVBand="0" w:evenVBand="0" w:oddHBand="0" w:evenHBand="0" w:firstRowFirstColumn="0" w:firstRowLastColumn="0" w:lastRowFirstColumn="0" w:lastRowLastColumn="0"/>
            <w:tcW w:w="1375" w:type="dxa"/>
            <w:vAlign w:val="center"/>
          </w:tcPr>
          <w:p w14:paraId="3531EE62" w14:textId="77777777" w:rsidR="00ED0937" w:rsidRPr="00497C85" w:rsidRDefault="00ED0937" w:rsidP="00212203">
            <w:pPr>
              <w:rPr>
                <w:lang w:val="en-US"/>
              </w:rPr>
            </w:pPr>
          </w:p>
        </w:tc>
        <w:tc>
          <w:tcPr>
            <w:tcW w:w="7631" w:type="dxa"/>
            <w:vAlign w:val="center"/>
          </w:tcPr>
          <w:p w14:paraId="5792EDAE" w14:textId="77777777" w:rsidR="00ED0937" w:rsidRPr="00497C85" w:rsidRDefault="00ED0937" w:rsidP="00212203">
            <w:pPr>
              <w:cnfStyle w:val="000000000000" w:firstRow="0" w:lastRow="0" w:firstColumn="0" w:lastColumn="0" w:oddVBand="0" w:evenVBand="0" w:oddHBand="0" w:evenHBand="0" w:firstRowFirstColumn="0" w:firstRowLastColumn="0" w:lastRowFirstColumn="0" w:lastRowLastColumn="0"/>
              <w:rPr>
                <w:lang w:val="en-US"/>
              </w:rPr>
            </w:pPr>
          </w:p>
        </w:tc>
      </w:tr>
    </w:tbl>
    <w:p w14:paraId="7838E5AC" w14:textId="4BE58ECE" w:rsidR="007146F8" w:rsidRDefault="007146F8"/>
    <w:sectPr w:rsidR="007146F8" w:rsidSect="00DF1BDC">
      <w:headerReference w:type="even" r:id="rId14"/>
      <w:headerReference w:type="default" r:id="rId15"/>
      <w:footerReference w:type="even" r:id="rId16"/>
      <w:footerReference w:type="default" r:id="rId17"/>
      <w:headerReference w:type="first" r:id="rId18"/>
      <w:footerReference w:type="first" r:id="rId19"/>
      <w:pgSz w:w="11906" w:h="16838"/>
      <w:pgMar w:top="1843"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4B835" w14:textId="77777777" w:rsidR="00F17735" w:rsidRDefault="00F17735" w:rsidP="00687441">
      <w:r>
        <w:separator/>
      </w:r>
    </w:p>
  </w:endnote>
  <w:endnote w:type="continuationSeparator" w:id="0">
    <w:p w14:paraId="25AC8C96" w14:textId="77777777" w:rsidR="00F17735" w:rsidRDefault="00F17735" w:rsidP="00687441">
      <w:r>
        <w:continuationSeparator/>
      </w:r>
    </w:p>
  </w:endnote>
  <w:endnote w:id="1">
    <w:p w14:paraId="7FF03AC9" w14:textId="304E2472" w:rsidR="005B5396" w:rsidRPr="00961012" w:rsidRDefault="005B5396">
      <w:pPr>
        <w:pStyle w:val="EndnoteText"/>
        <w:rPr>
          <w:lang w:val="en-US"/>
        </w:rPr>
      </w:pPr>
      <w:r>
        <w:rPr>
          <w:rStyle w:val="EndnoteReference"/>
        </w:rPr>
        <w:endnoteRef/>
      </w:r>
      <w:r>
        <w:t xml:space="preserve"> </w:t>
      </w:r>
      <w:r>
        <w:rPr>
          <w:lang w:val="en-US"/>
        </w:rPr>
        <w:t>Weiss et al. Efficacy and Safety of Oral Chelators in Treatment of Patients with Wilson Disease, Clinical Gastroenterology and Heptaology 2013: 11:1028-1035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13D9" w14:textId="77777777" w:rsidR="00DF1BDC" w:rsidRDefault="00DF1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406235"/>
      <w:docPartObj>
        <w:docPartGallery w:val="Page Numbers (Bottom of Page)"/>
        <w:docPartUnique/>
      </w:docPartObj>
    </w:sdtPr>
    <w:sdtEndPr/>
    <w:sdtContent>
      <w:p w14:paraId="1D9AA159" w14:textId="1DF79B2C" w:rsidR="00380C7E" w:rsidRPr="001032C8" w:rsidRDefault="00733FD1" w:rsidP="001032C8">
        <w:pPr>
          <w:pStyle w:val="Footer"/>
        </w:pPr>
        <w:r>
          <w:t xml:space="preserve">Version </w:t>
        </w:r>
        <w:r w:rsidR="00550743">
          <w:t>1.0</w:t>
        </w:r>
        <w:r w:rsidR="00380C7E">
          <w:tab/>
        </w:r>
        <w:r w:rsidR="00380C7E">
          <w:tab/>
        </w:r>
        <w:r w:rsidR="00380C7E" w:rsidRPr="001032C8">
          <w:fldChar w:fldCharType="begin"/>
        </w:r>
        <w:r w:rsidR="00380C7E" w:rsidRPr="001032C8">
          <w:instrText xml:space="preserve"> PAGE   \* MERGEFORMAT </w:instrText>
        </w:r>
        <w:r w:rsidR="00380C7E" w:rsidRPr="001032C8">
          <w:fldChar w:fldCharType="separate"/>
        </w:r>
        <w:r w:rsidR="00300C33">
          <w:rPr>
            <w:noProof/>
          </w:rPr>
          <w:t>6</w:t>
        </w:r>
        <w:r w:rsidR="00380C7E" w:rsidRPr="001032C8">
          <w:fldChar w:fldCharType="end"/>
        </w:r>
        <w:r w:rsidR="00380C7E" w:rsidRPr="001032C8">
          <w:t xml:space="preserve"> of </w:t>
        </w:r>
        <w:r w:rsidR="00DF1BDC">
          <w:fldChar w:fldCharType="begin"/>
        </w:r>
        <w:r w:rsidR="00DF1BDC">
          <w:instrText xml:space="preserve"> NUMPAGES  \* Arabic  \* MERGEFORMAT </w:instrText>
        </w:r>
        <w:r w:rsidR="00DF1BDC">
          <w:fldChar w:fldCharType="separate"/>
        </w:r>
        <w:r w:rsidR="00300C33">
          <w:rPr>
            <w:noProof/>
          </w:rPr>
          <w:t>10</w:t>
        </w:r>
        <w:r w:rsidR="00DF1BD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9578E" w14:textId="77777777" w:rsidR="00DF1BDC" w:rsidRDefault="00DF1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35E5B" w14:textId="77777777" w:rsidR="00F17735" w:rsidRDefault="00F17735" w:rsidP="00687441">
      <w:r>
        <w:separator/>
      </w:r>
    </w:p>
  </w:footnote>
  <w:footnote w:type="continuationSeparator" w:id="0">
    <w:p w14:paraId="24DCED81" w14:textId="77777777" w:rsidR="00F17735" w:rsidRDefault="00F17735" w:rsidP="0068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4E35C" w14:textId="77777777" w:rsidR="00DF1BDC" w:rsidRDefault="00DF1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DF1BDC" w:rsidRPr="000B2145" w14:paraId="02E4311E" w14:textId="77777777" w:rsidTr="00F743B4">
      <w:trPr>
        <w:trHeight w:val="1012"/>
      </w:trPr>
      <w:tc>
        <w:tcPr>
          <w:tcW w:w="9039" w:type="dxa"/>
          <w:shd w:val="clear" w:color="auto" w:fill="E4F2E0"/>
        </w:tcPr>
        <w:p w14:paraId="082969D9" w14:textId="77777777" w:rsidR="00DF1BDC" w:rsidRPr="005D1BD5" w:rsidRDefault="00DF1BDC" w:rsidP="00DF1BDC">
          <w:pPr>
            <w:pStyle w:val="Footer"/>
            <w:rPr>
              <w:b/>
              <w:sz w:val="18"/>
              <w:szCs w:val="18"/>
            </w:rPr>
          </w:pPr>
          <w:bookmarkStart w:id="12" w:name="_Hlk80611440"/>
          <w:r w:rsidRPr="000E4791">
            <w:rPr>
              <w:b/>
              <w:sz w:val="18"/>
              <w:szCs w:val="18"/>
            </w:rPr>
            <w:t xml:space="preserve">Attachment </w:t>
          </w:r>
          <w:proofErr w:type="spellStart"/>
          <w:r w:rsidRPr="005D1BD5">
            <w:rPr>
              <w:b/>
              <w:sz w:val="18"/>
              <w:szCs w:val="18"/>
            </w:rPr>
            <w:t>AusPAR</w:t>
          </w:r>
          <w:proofErr w:type="spellEnd"/>
          <w:r w:rsidRPr="005D1BD5">
            <w:rPr>
              <w:b/>
              <w:sz w:val="18"/>
              <w:szCs w:val="18"/>
            </w:rPr>
            <w:t xml:space="preserve"> - </w:t>
          </w:r>
          <w:proofErr w:type="spellStart"/>
          <w:r w:rsidRPr="005D1BD5">
            <w:rPr>
              <w:b/>
              <w:sz w:val="18"/>
              <w:szCs w:val="18"/>
            </w:rPr>
            <w:t>Cuprior</w:t>
          </w:r>
          <w:proofErr w:type="spellEnd"/>
          <w:r w:rsidRPr="005D1BD5">
            <w:rPr>
              <w:b/>
              <w:sz w:val="18"/>
              <w:szCs w:val="18"/>
            </w:rPr>
            <w:t xml:space="preserve"> - </w:t>
          </w:r>
          <w:proofErr w:type="spellStart"/>
          <w:r w:rsidRPr="005D1BD5">
            <w:rPr>
              <w:b/>
              <w:sz w:val="18"/>
              <w:szCs w:val="18"/>
            </w:rPr>
            <w:t>trientine</w:t>
          </w:r>
          <w:proofErr w:type="spellEnd"/>
          <w:r w:rsidRPr="005D1BD5">
            <w:rPr>
              <w:b/>
              <w:sz w:val="18"/>
              <w:szCs w:val="18"/>
            </w:rPr>
            <w:t xml:space="preserve"> tetrahydrochloride - JACE Pharma Pty Ltd - PM-2020-02473-1-3</w:t>
          </w:r>
        </w:p>
        <w:p w14:paraId="37CE5D75" w14:textId="77777777" w:rsidR="00DF1BDC" w:rsidRPr="000E4791" w:rsidRDefault="00DF1BDC" w:rsidP="00DF1BDC">
          <w:pPr>
            <w:pStyle w:val="Footer"/>
            <w:rPr>
              <w:b/>
              <w:sz w:val="18"/>
              <w:szCs w:val="18"/>
            </w:rPr>
          </w:pPr>
          <w:r w:rsidRPr="005D1BD5">
            <w:rPr>
              <w:b/>
              <w:sz w:val="18"/>
              <w:szCs w:val="18"/>
            </w:rPr>
            <w:t>Final 10 January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2"/>
  </w:tbl>
  <w:p w14:paraId="37B72594" w14:textId="77777777" w:rsidR="00DF1BDC" w:rsidRDefault="00DF1BDC" w:rsidP="00C27F5C">
    <w:pPr>
      <w:pStyle w:val="Header"/>
      <w:pBdr>
        <w:bottom w:val="none" w:sz="0" w:space="0" w:color="auto"/>
      </w:pBdr>
    </w:pPr>
  </w:p>
  <w:p w14:paraId="629096C2" w14:textId="340ED2BB" w:rsidR="00380C7E" w:rsidRPr="001032C8" w:rsidRDefault="3481FA68" w:rsidP="00C27F5C">
    <w:pPr>
      <w:pStyle w:val="Header"/>
      <w:pBdr>
        <w:bottom w:val="none" w:sz="0" w:space="0" w:color="auto"/>
      </w:pBdr>
    </w:pPr>
    <w:r>
      <w:t>CUPRIOR (</w:t>
    </w:r>
    <w:proofErr w:type="spellStart"/>
    <w:r>
      <w:t>trientine</w:t>
    </w:r>
    <w:proofErr w:type="spellEnd"/>
    <w:r>
      <w:t xml:space="preserve"> tetrahydrochloride)</w:t>
    </w:r>
    <w:r w:rsidR="00380C7E">
      <w:tab/>
    </w:r>
    <w:r w:rsidR="00380C7E">
      <w:tab/>
    </w:r>
    <w:r>
      <w:t xml:space="preserve"> </w:t>
    </w:r>
    <w:r>
      <w:rPr>
        <w:noProof/>
      </w:rPr>
      <w:drawing>
        <wp:inline distT="0" distB="0" distL="0" distR="0" wp14:anchorId="78F56F72" wp14:editId="5B943B52">
          <wp:extent cx="952500" cy="574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952500" cy="5746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E96A" w14:textId="77777777" w:rsidR="00DF1BDC" w:rsidRDefault="00DF1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9D417D"/>
    <w:multiLevelType w:val="hybridMultilevel"/>
    <w:tmpl w:val="1270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F761A"/>
    <w:multiLevelType w:val="hybridMultilevel"/>
    <w:tmpl w:val="2FA8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30AFD"/>
    <w:multiLevelType w:val="hybridMultilevel"/>
    <w:tmpl w:val="593A7D78"/>
    <w:lvl w:ilvl="0" w:tplc="D060B204">
      <w:numFmt w:val="bullet"/>
      <w:pStyle w:val="ListParagraph"/>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D42C05"/>
    <w:multiLevelType w:val="hybridMultilevel"/>
    <w:tmpl w:val="88CA3A76"/>
    <w:lvl w:ilvl="0" w:tplc="CF021CE8">
      <w:start w:val="1"/>
      <w:numFmt w:val="decimal"/>
      <w:lvlText w:val="Note %1:"/>
      <w:lvlJc w:val="left"/>
      <w:pPr>
        <w:ind w:left="1021" w:hanging="1021"/>
      </w:pPr>
      <w:rPr>
        <w:rFonts w:ascii="Cambria" w:hAnsi="Cambria" w:hint="default"/>
      </w:rPr>
    </w:lvl>
    <w:lvl w:ilvl="1" w:tplc="6A804A32">
      <w:start w:val="1"/>
      <w:numFmt w:val="lowerLetter"/>
      <w:lvlText w:val="%2)"/>
      <w:lvlJc w:val="left"/>
      <w:pPr>
        <w:ind w:left="720" w:hanging="360"/>
      </w:pPr>
      <w:rPr>
        <w:rFonts w:hint="default"/>
      </w:rPr>
    </w:lvl>
    <w:lvl w:ilvl="2" w:tplc="E65E52E4">
      <w:start w:val="1"/>
      <w:numFmt w:val="lowerRoman"/>
      <w:lvlText w:val="%3)"/>
      <w:lvlJc w:val="left"/>
      <w:pPr>
        <w:ind w:left="1080" w:hanging="360"/>
      </w:pPr>
      <w:rPr>
        <w:rFonts w:hint="default"/>
      </w:rPr>
    </w:lvl>
    <w:lvl w:ilvl="3" w:tplc="5C54934E">
      <w:start w:val="1"/>
      <w:numFmt w:val="decimal"/>
      <w:lvlText w:val="(%4)"/>
      <w:lvlJc w:val="left"/>
      <w:pPr>
        <w:ind w:left="1440" w:hanging="360"/>
      </w:pPr>
      <w:rPr>
        <w:rFonts w:hint="default"/>
      </w:rPr>
    </w:lvl>
    <w:lvl w:ilvl="4" w:tplc="A22859B0">
      <w:start w:val="1"/>
      <w:numFmt w:val="lowerLetter"/>
      <w:lvlText w:val="(%5)"/>
      <w:lvlJc w:val="left"/>
      <w:pPr>
        <w:ind w:left="1800" w:hanging="360"/>
      </w:pPr>
      <w:rPr>
        <w:rFonts w:hint="default"/>
      </w:rPr>
    </w:lvl>
    <w:lvl w:ilvl="5" w:tplc="3650039A">
      <w:start w:val="1"/>
      <w:numFmt w:val="lowerRoman"/>
      <w:lvlText w:val="(%6)"/>
      <w:lvlJc w:val="left"/>
      <w:pPr>
        <w:ind w:left="2160" w:hanging="360"/>
      </w:pPr>
      <w:rPr>
        <w:rFonts w:hint="default"/>
      </w:rPr>
    </w:lvl>
    <w:lvl w:ilvl="6" w:tplc="AEC8AEA8">
      <w:start w:val="1"/>
      <w:numFmt w:val="decimal"/>
      <w:lvlText w:val="%7."/>
      <w:lvlJc w:val="left"/>
      <w:pPr>
        <w:ind w:left="2520" w:hanging="360"/>
      </w:pPr>
      <w:rPr>
        <w:rFonts w:hint="default"/>
      </w:rPr>
    </w:lvl>
    <w:lvl w:ilvl="7" w:tplc="0FD00BC4">
      <w:start w:val="1"/>
      <w:numFmt w:val="lowerLetter"/>
      <w:lvlText w:val="%8."/>
      <w:lvlJc w:val="left"/>
      <w:pPr>
        <w:ind w:left="2880" w:hanging="360"/>
      </w:pPr>
      <w:rPr>
        <w:rFonts w:hint="default"/>
      </w:rPr>
    </w:lvl>
    <w:lvl w:ilvl="8" w:tplc="B3403214">
      <w:start w:val="1"/>
      <w:numFmt w:val="lowerRoman"/>
      <w:lvlText w:val="%9."/>
      <w:lvlJc w:val="left"/>
      <w:pPr>
        <w:ind w:left="3240" w:hanging="360"/>
      </w:pPr>
      <w:rPr>
        <w:rFonts w:hint="default"/>
      </w:rPr>
    </w:lvl>
  </w:abstractNum>
  <w:abstractNum w:abstractNumId="9"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332797"/>
    <w:multiLevelType w:val="multilevel"/>
    <w:tmpl w:val="DC8A29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595EF2"/>
    <w:multiLevelType w:val="hybridMultilevel"/>
    <w:tmpl w:val="561AB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14"/>
  </w:num>
  <w:num w:numId="6">
    <w:abstractNumId w:val="11"/>
  </w:num>
  <w:num w:numId="7">
    <w:abstractNumId w:val="9"/>
  </w:num>
  <w:num w:numId="8">
    <w:abstractNumId w:val="12"/>
  </w:num>
  <w:num w:numId="9">
    <w:abstractNumId w:val="3"/>
  </w:num>
  <w:num w:numId="10">
    <w:abstractNumId w:val="8"/>
  </w:num>
  <w:num w:numId="11">
    <w:abstractNumId w:val="13"/>
  </w:num>
  <w:num w:numId="12">
    <w:abstractNumId w:val="6"/>
  </w:num>
  <w:num w:numId="13">
    <w:abstractNumId w:val="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5B"/>
    <w:rsid w:val="000077B5"/>
    <w:rsid w:val="00020670"/>
    <w:rsid w:val="00020934"/>
    <w:rsid w:val="000240BA"/>
    <w:rsid w:val="00047C65"/>
    <w:rsid w:val="00047EA4"/>
    <w:rsid w:val="00057B4A"/>
    <w:rsid w:val="00062143"/>
    <w:rsid w:val="0006581A"/>
    <w:rsid w:val="000835FF"/>
    <w:rsid w:val="000A2C87"/>
    <w:rsid w:val="000B19A2"/>
    <w:rsid w:val="000B5567"/>
    <w:rsid w:val="000C3A2D"/>
    <w:rsid w:val="000C5966"/>
    <w:rsid w:val="000D318B"/>
    <w:rsid w:val="000E484E"/>
    <w:rsid w:val="000F3CBC"/>
    <w:rsid w:val="001032C8"/>
    <w:rsid w:val="00104FBE"/>
    <w:rsid w:val="00106BA2"/>
    <w:rsid w:val="001226B7"/>
    <w:rsid w:val="00123DF8"/>
    <w:rsid w:val="001552BF"/>
    <w:rsid w:val="001A3992"/>
    <w:rsid w:val="001A4F1F"/>
    <w:rsid w:val="001B3C9C"/>
    <w:rsid w:val="001C591F"/>
    <w:rsid w:val="001C6FFB"/>
    <w:rsid w:val="002006B9"/>
    <w:rsid w:val="00212203"/>
    <w:rsid w:val="0022652F"/>
    <w:rsid w:val="00246E2E"/>
    <w:rsid w:val="00252A68"/>
    <w:rsid w:val="00261518"/>
    <w:rsid w:val="00296395"/>
    <w:rsid w:val="002D24FC"/>
    <w:rsid w:val="002E277D"/>
    <w:rsid w:val="002F3199"/>
    <w:rsid w:val="002F484E"/>
    <w:rsid w:val="002F54B5"/>
    <w:rsid w:val="00300C33"/>
    <w:rsid w:val="00301CBE"/>
    <w:rsid w:val="00312577"/>
    <w:rsid w:val="00321362"/>
    <w:rsid w:val="003241EA"/>
    <w:rsid w:val="00327DB6"/>
    <w:rsid w:val="00335D47"/>
    <w:rsid w:val="0034550B"/>
    <w:rsid w:val="00350E5B"/>
    <w:rsid w:val="003611B7"/>
    <w:rsid w:val="003618CA"/>
    <w:rsid w:val="00362462"/>
    <w:rsid w:val="00370F19"/>
    <w:rsid w:val="00371ABC"/>
    <w:rsid w:val="00380C7E"/>
    <w:rsid w:val="003B7E5F"/>
    <w:rsid w:val="003C568B"/>
    <w:rsid w:val="003E32A3"/>
    <w:rsid w:val="004032BD"/>
    <w:rsid w:val="00417952"/>
    <w:rsid w:val="00423313"/>
    <w:rsid w:val="00431ACD"/>
    <w:rsid w:val="00435B1A"/>
    <w:rsid w:val="00472544"/>
    <w:rsid w:val="00475D10"/>
    <w:rsid w:val="00497C85"/>
    <w:rsid w:val="004A5AC8"/>
    <w:rsid w:val="004C16E9"/>
    <w:rsid w:val="004C3ACB"/>
    <w:rsid w:val="004D1B37"/>
    <w:rsid w:val="004D6CD7"/>
    <w:rsid w:val="004E1490"/>
    <w:rsid w:val="004E1B34"/>
    <w:rsid w:val="004F5627"/>
    <w:rsid w:val="00512BA0"/>
    <w:rsid w:val="00550743"/>
    <w:rsid w:val="005613CF"/>
    <w:rsid w:val="0057054E"/>
    <w:rsid w:val="00570A78"/>
    <w:rsid w:val="00577514"/>
    <w:rsid w:val="005A27FB"/>
    <w:rsid w:val="005B0A8C"/>
    <w:rsid w:val="005B5396"/>
    <w:rsid w:val="005D390B"/>
    <w:rsid w:val="005E78C3"/>
    <w:rsid w:val="005F27F7"/>
    <w:rsid w:val="0067277B"/>
    <w:rsid w:val="00687441"/>
    <w:rsid w:val="006A624B"/>
    <w:rsid w:val="006C273F"/>
    <w:rsid w:val="006E7BB1"/>
    <w:rsid w:val="006F0DA2"/>
    <w:rsid w:val="006F73CC"/>
    <w:rsid w:val="00706809"/>
    <w:rsid w:val="007146F8"/>
    <w:rsid w:val="00733FD1"/>
    <w:rsid w:val="0073419A"/>
    <w:rsid w:val="007500E5"/>
    <w:rsid w:val="007655D9"/>
    <w:rsid w:val="0077046C"/>
    <w:rsid w:val="007800D9"/>
    <w:rsid w:val="00792DE7"/>
    <w:rsid w:val="007E693C"/>
    <w:rsid w:val="007E774A"/>
    <w:rsid w:val="007F4650"/>
    <w:rsid w:val="00836F14"/>
    <w:rsid w:val="00841B70"/>
    <w:rsid w:val="008436BE"/>
    <w:rsid w:val="00855803"/>
    <w:rsid w:val="00867EBA"/>
    <w:rsid w:val="00873F48"/>
    <w:rsid w:val="008850DC"/>
    <w:rsid w:val="008E23FC"/>
    <w:rsid w:val="008E3ED8"/>
    <w:rsid w:val="00901B1E"/>
    <w:rsid w:val="00911069"/>
    <w:rsid w:val="009162D6"/>
    <w:rsid w:val="009451E1"/>
    <w:rsid w:val="00960CD5"/>
    <w:rsid w:val="00961012"/>
    <w:rsid w:val="00987E47"/>
    <w:rsid w:val="009A21D8"/>
    <w:rsid w:val="009B059D"/>
    <w:rsid w:val="009C610D"/>
    <w:rsid w:val="00A23993"/>
    <w:rsid w:val="00A446C4"/>
    <w:rsid w:val="00A5326E"/>
    <w:rsid w:val="00A611F3"/>
    <w:rsid w:val="00A65F79"/>
    <w:rsid w:val="00A75503"/>
    <w:rsid w:val="00AB4529"/>
    <w:rsid w:val="00AF006D"/>
    <w:rsid w:val="00B30958"/>
    <w:rsid w:val="00B3122B"/>
    <w:rsid w:val="00B367C4"/>
    <w:rsid w:val="00B62DF4"/>
    <w:rsid w:val="00B94C77"/>
    <w:rsid w:val="00BA0164"/>
    <w:rsid w:val="00BA0DCA"/>
    <w:rsid w:val="00BB02FF"/>
    <w:rsid w:val="00BB0AB7"/>
    <w:rsid w:val="00BB6B4E"/>
    <w:rsid w:val="00BC376A"/>
    <w:rsid w:val="00BD21C1"/>
    <w:rsid w:val="00BF4B82"/>
    <w:rsid w:val="00BF6E23"/>
    <w:rsid w:val="00C007D2"/>
    <w:rsid w:val="00C029FB"/>
    <w:rsid w:val="00C27F5C"/>
    <w:rsid w:val="00C32476"/>
    <w:rsid w:val="00C33BE1"/>
    <w:rsid w:val="00C43C3A"/>
    <w:rsid w:val="00C4499A"/>
    <w:rsid w:val="00C559F2"/>
    <w:rsid w:val="00C659E9"/>
    <w:rsid w:val="00C7501B"/>
    <w:rsid w:val="00C9214A"/>
    <w:rsid w:val="00CA6C37"/>
    <w:rsid w:val="00CA6CCF"/>
    <w:rsid w:val="00CB1991"/>
    <w:rsid w:val="00CF180D"/>
    <w:rsid w:val="00D103ED"/>
    <w:rsid w:val="00D30E43"/>
    <w:rsid w:val="00D30F7C"/>
    <w:rsid w:val="00D317C8"/>
    <w:rsid w:val="00D325AB"/>
    <w:rsid w:val="00D44BA0"/>
    <w:rsid w:val="00D473A3"/>
    <w:rsid w:val="00D51460"/>
    <w:rsid w:val="00D53D2C"/>
    <w:rsid w:val="00D746FD"/>
    <w:rsid w:val="00D9045D"/>
    <w:rsid w:val="00DD054B"/>
    <w:rsid w:val="00DD5FF5"/>
    <w:rsid w:val="00DF1BDC"/>
    <w:rsid w:val="00DF5E99"/>
    <w:rsid w:val="00E06469"/>
    <w:rsid w:val="00E17483"/>
    <w:rsid w:val="00E36674"/>
    <w:rsid w:val="00E42F5E"/>
    <w:rsid w:val="00E521A7"/>
    <w:rsid w:val="00E74A56"/>
    <w:rsid w:val="00E76D46"/>
    <w:rsid w:val="00E8115D"/>
    <w:rsid w:val="00EC66CC"/>
    <w:rsid w:val="00ED0937"/>
    <w:rsid w:val="00EE2538"/>
    <w:rsid w:val="00F00DC5"/>
    <w:rsid w:val="00F12464"/>
    <w:rsid w:val="00F15496"/>
    <w:rsid w:val="00F165CD"/>
    <w:rsid w:val="00F17735"/>
    <w:rsid w:val="00F5335E"/>
    <w:rsid w:val="00F726FB"/>
    <w:rsid w:val="00F9008F"/>
    <w:rsid w:val="00FA0C91"/>
    <w:rsid w:val="00FA7CAC"/>
    <w:rsid w:val="00FB0DBF"/>
    <w:rsid w:val="00FD748F"/>
    <w:rsid w:val="00FE68EC"/>
    <w:rsid w:val="00FF0C4D"/>
    <w:rsid w:val="00FF2BC5"/>
    <w:rsid w:val="01FD622C"/>
    <w:rsid w:val="026F1A7F"/>
    <w:rsid w:val="0A45E82B"/>
    <w:rsid w:val="1155E20A"/>
    <w:rsid w:val="19040393"/>
    <w:rsid w:val="3481FA68"/>
    <w:rsid w:val="4C088F6D"/>
    <w:rsid w:val="6697ED53"/>
    <w:rsid w:val="6AE4BC25"/>
    <w:rsid w:val="74FF7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A4387"/>
  <w15:docId w15:val="{3E3AAE18-2192-4D21-AA43-044E24EF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41"/>
    <w:rPr>
      <w:rFonts w:ascii="Times New Roman" w:hAnsi="Times New Roman" w:cs="Times New Roman"/>
      <w:sz w:val="24"/>
      <w:szCs w:val="24"/>
      <w:lang w:val="en"/>
    </w:rPr>
  </w:style>
  <w:style w:type="paragraph" w:styleId="Heading1">
    <w:name w:val="heading 1"/>
    <w:basedOn w:val="Normal"/>
    <w:next w:val="Normal"/>
    <w:link w:val="Heading1Char"/>
    <w:uiPriority w:val="9"/>
    <w:qFormat/>
    <w:rsid w:val="00687441"/>
    <w:pPr>
      <w:keepNext/>
      <w:keepLines/>
      <w:numPr>
        <w:numId w:val="1"/>
      </w:numPr>
      <w:spacing w:after="120"/>
      <w:ind w:left="431" w:hanging="431"/>
      <w:outlineLvl w:val="0"/>
    </w:pPr>
    <w:rPr>
      <w:rFonts w:ascii="Arial" w:eastAsiaTheme="majorEastAsia" w:hAnsi="Arial" w:cs="Arial"/>
      <w:b/>
      <w:bCs/>
      <w:caps/>
      <w:sz w:val="32"/>
      <w:szCs w:val="28"/>
    </w:rPr>
  </w:style>
  <w:style w:type="paragraph" w:styleId="Heading2">
    <w:name w:val="heading 2"/>
    <w:basedOn w:val="Normal"/>
    <w:next w:val="Normal"/>
    <w:link w:val="Heading2Char"/>
    <w:uiPriority w:val="9"/>
    <w:unhideWhenUsed/>
    <w:qFormat/>
    <w:rsid w:val="00687441"/>
    <w:pPr>
      <w:numPr>
        <w:ilvl w:val="1"/>
        <w:numId w:val="1"/>
      </w:numPr>
      <w:spacing w:before="240"/>
      <w:ind w:left="578" w:hanging="578"/>
      <w:outlineLvl w:val="1"/>
    </w:pPr>
    <w:rPr>
      <w:rFonts w:ascii="Arial Bold" w:hAnsi="Arial Bold" w:cs="Arial"/>
      <w:b/>
    </w:rPr>
  </w:style>
  <w:style w:type="paragraph" w:styleId="Heading3">
    <w:name w:val="heading 3"/>
    <w:basedOn w:val="Normal"/>
    <w:next w:val="Normal"/>
    <w:link w:val="Heading3Char"/>
    <w:uiPriority w:val="9"/>
    <w:unhideWhenUsed/>
    <w:qFormat/>
    <w:rsid w:val="005B0A8C"/>
    <w:pPr>
      <w:keepNext/>
      <w:keepLines/>
      <w:spacing w:before="200" w:after="0"/>
      <w:outlineLvl w:val="2"/>
    </w:pPr>
    <w:rPr>
      <w:rFonts w:ascii="Arial" w:eastAsiaTheme="majorEastAsia" w:hAnsi="Arial" w:cs="Arial"/>
      <w:b/>
      <w:bCs/>
    </w:rPr>
  </w:style>
  <w:style w:type="paragraph" w:styleId="Heading4">
    <w:name w:val="heading 4"/>
    <w:basedOn w:val="Heading3"/>
    <w:next w:val="Normal"/>
    <w:link w:val="Heading4Char"/>
    <w:uiPriority w:val="9"/>
    <w:unhideWhenUsed/>
    <w:qFormat/>
    <w:rsid w:val="005B0A8C"/>
    <w:pPr>
      <w:outlineLvl w:val="3"/>
    </w:pPr>
    <w:rPr>
      <w:rFonts w:ascii="Times New Roman" w:hAnsi="Times New Roman" w:cs="Times New Roman"/>
      <w:i/>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41"/>
    <w:rPr>
      <w:rFonts w:ascii="Arial" w:eastAsiaTheme="majorEastAsia" w:hAnsi="Arial" w:cs="Arial"/>
      <w:b/>
      <w:bCs/>
      <w:caps/>
      <w:sz w:val="32"/>
      <w:szCs w:val="28"/>
    </w:rPr>
  </w:style>
  <w:style w:type="character" w:customStyle="1" w:styleId="Heading2Char">
    <w:name w:val="Heading 2 Char"/>
    <w:basedOn w:val="DefaultParagraphFont"/>
    <w:link w:val="Heading2"/>
    <w:uiPriority w:val="9"/>
    <w:rsid w:val="00687441"/>
    <w:rPr>
      <w:rFonts w:ascii="Arial Bold" w:hAnsi="Arial Bold" w:cs="Arial"/>
      <w:b/>
      <w:sz w:val="24"/>
      <w:szCs w:val="24"/>
      <w:lang w:val="en"/>
    </w:rPr>
  </w:style>
  <w:style w:type="character" w:customStyle="1" w:styleId="Heading3Char">
    <w:name w:val="Heading 3 Char"/>
    <w:basedOn w:val="DefaultParagraphFont"/>
    <w:link w:val="Heading3"/>
    <w:uiPriority w:val="9"/>
    <w:rsid w:val="005B0A8C"/>
    <w:rPr>
      <w:rFonts w:ascii="Arial" w:eastAsiaTheme="majorEastAsia" w:hAnsi="Arial" w:cs="Arial"/>
      <w:b/>
      <w:bCs/>
      <w:sz w:val="24"/>
      <w:szCs w:val="24"/>
      <w:lang w:val="en"/>
    </w:rPr>
  </w:style>
  <w:style w:type="character" w:customStyle="1" w:styleId="Heading4Char">
    <w:name w:val="Heading 4 Char"/>
    <w:basedOn w:val="DefaultParagraphFont"/>
    <w:link w:val="Heading4"/>
    <w:uiPriority w:val="9"/>
    <w:rsid w:val="005B0A8C"/>
    <w:rPr>
      <w:rFonts w:ascii="Times New Roman" w:eastAsiaTheme="majorEastAsia" w:hAnsi="Times New Roman" w:cs="Times New Roman"/>
      <w:b/>
      <w:bCs/>
      <w:i/>
      <w:sz w:val="24"/>
      <w:szCs w:val="24"/>
      <w:lang w:val="en"/>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99"/>
    <w:qFormat/>
    <w:rsid w:val="005B0A8C"/>
    <w:pPr>
      <w:numPr>
        <w:numId w:val="12"/>
      </w:numPr>
      <w:contextualSpacing/>
    </w:p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qFormat/>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032C8"/>
    <w:pPr>
      <w:tabs>
        <w:tab w:val="center" w:pos="4513"/>
        <w:tab w:val="right" w:pos="9026"/>
      </w:tabs>
      <w:spacing w:after="0" w:line="240" w:lineRule="auto"/>
      <w:jc w:val="right"/>
    </w:pPr>
    <w:rPr>
      <w:rFonts w:ascii="Arial" w:hAnsi="Arial" w:cs="Arial"/>
      <w:sz w:val="20"/>
    </w:rPr>
  </w:style>
  <w:style w:type="character" w:customStyle="1" w:styleId="FooterChar">
    <w:name w:val="Footer Char"/>
    <w:basedOn w:val="DefaultParagraphFont"/>
    <w:link w:val="Footer"/>
    <w:rsid w:val="001032C8"/>
    <w:rPr>
      <w:rFonts w:ascii="Arial" w:hAnsi="Arial" w:cs="Arial"/>
      <w:sz w:val="20"/>
      <w:szCs w:val="24"/>
      <w:lang w:val="en"/>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1032C8"/>
    <w:pPr>
      <w:pBdr>
        <w:bottom w:val="single" w:sz="4" w:space="1" w:color="auto"/>
      </w:pBdr>
      <w:tabs>
        <w:tab w:val="center" w:pos="4513"/>
        <w:tab w:val="right" w:pos="9026"/>
      </w:tabs>
      <w:spacing w:after="0" w:line="240" w:lineRule="auto"/>
    </w:pPr>
    <w:rPr>
      <w:rFonts w:ascii="Arial" w:hAnsi="Arial" w:cs="Arial"/>
      <w:sz w:val="20"/>
    </w:rPr>
  </w:style>
  <w:style w:type="character" w:customStyle="1" w:styleId="HeaderChar">
    <w:name w:val="Header Char"/>
    <w:basedOn w:val="DefaultParagraphFont"/>
    <w:link w:val="Header"/>
    <w:uiPriority w:val="99"/>
    <w:rsid w:val="001032C8"/>
    <w:rPr>
      <w:rFonts w:ascii="Arial" w:hAnsi="Arial" w:cs="Arial"/>
      <w:sz w:val="20"/>
      <w:szCs w:val="24"/>
      <w:lang w:val="en"/>
    </w:rPr>
  </w:style>
  <w:style w:type="paragraph" w:customStyle="1" w:styleId="Default">
    <w:name w:val="Default"/>
    <w:rsid w:val="0077046C"/>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Caption">
    <w:name w:val="caption"/>
    <w:basedOn w:val="Normal"/>
    <w:next w:val="Normal"/>
    <w:uiPriority w:val="35"/>
    <w:unhideWhenUsed/>
    <w:qFormat/>
    <w:rsid w:val="0077046C"/>
    <w:pPr>
      <w:keepNext/>
      <w:spacing w:line="240" w:lineRule="auto"/>
    </w:pPr>
    <w:rPr>
      <w:b/>
      <w:iCs/>
      <w:szCs w:val="18"/>
    </w:rPr>
  </w:style>
  <w:style w:type="paragraph" w:styleId="CommentSubject">
    <w:name w:val="annotation subject"/>
    <w:basedOn w:val="CommentText"/>
    <w:next w:val="CommentText"/>
    <w:link w:val="CommentSubjectChar"/>
    <w:uiPriority w:val="99"/>
    <w:semiHidden/>
    <w:unhideWhenUsed/>
    <w:rsid w:val="00FA7CAC"/>
    <w:rPr>
      <w:rFonts w:ascii="Times New Roman" w:hAnsi="Times New Roman"/>
      <w:b/>
      <w:bCs/>
    </w:rPr>
  </w:style>
  <w:style w:type="character" w:customStyle="1" w:styleId="CommentSubjectChar">
    <w:name w:val="Comment Subject Char"/>
    <w:basedOn w:val="CommentTextChar"/>
    <w:link w:val="CommentSubject"/>
    <w:uiPriority w:val="99"/>
    <w:semiHidden/>
    <w:rsid w:val="00FA7CAC"/>
    <w:rPr>
      <w:rFonts w:ascii="Times New Roman" w:hAnsi="Times New Roman" w:cs="Times New Roman"/>
      <w:b/>
      <w:bCs/>
      <w:sz w:val="20"/>
      <w:szCs w:val="20"/>
      <w:lang w:val="en"/>
    </w:rPr>
  </w:style>
  <w:style w:type="table" w:styleId="TableGrid">
    <w:name w:val="Table Grid"/>
    <w:basedOn w:val="TableNormal"/>
    <w:uiPriority w:val="59"/>
    <w:rsid w:val="00BF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613CF"/>
    <w:pPr>
      <w:widowControl w:val="0"/>
      <w:autoSpaceDE w:val="0"/>
      <w:autoSpaceDN w:val="0"/>
      <w:spacing w:after="0" w:line="210" w:lineRule="exact"/>
      <w:ind w:left="465"/>
      <w:jc w:val="center"/>
    </w:pPr>
    <w:rPr>
      <w:rFonts w:eastAsia="Times New Roman"/>
      <w:sz w:val="22"/>
      <w:szCs w:val="22"/>
      <w:lang w:val="en-US"/>
    </w:rPr>
  </w:style>
  <w:style w:type="paragraph" w:styleId="Revision">
    <w:name w:val="Revision"/>
    <w:hidden/>
    <w:uiPriority w:val="99"/>
    <w:semiHidden/>
    <w:rsid w:val="00371ABC"/>
    <w:pPr>
      <w:spacing w:after="0" w:line="240" w:lineRule="auto"/>
    </w:pPr>
    <w:rPr>
      <w:rFonts w:ascii="Times New Roman" w:hAnsi="Times New Roman" w:cs="Times New Roman"/>
      <w:sz w:val="24"/>
      <w:szCs w:val="24"/>
      <w:lang w:val="en"/>
    </w:rPr>
  </w:style>
  <w:style w:type="character" w:styleId="FollowedHyperlink">
    <w:name w:val="FollowedHyperlink"/>
    <w:basedOn w:val="DefaultParagraphFont"/>
    <w:uiPriority w:val="99"/>
    <w:semiHidden/>
    <w:unhideWhenUsed/>
    <w:rsid w:val="00987E47"/>
    <w:rPr>
      <w:color w:val="800080" w:themeColor="followedHyperlink"/>
      <w:u w:val="single"/>
    </w:rPr>
  </w:style>
  <w:style w:type="paragraph" w:styleId="EndnoteText">
    <w:name w:val="endnote text"/>
    <w:basedOn w:val="Normal"/>
    <w:link w:val="EndnoteTextChar"/>
    <w:uiPriority w:val="99"/>
    <w:semiHidden/>
    <w:unhideWhenUsed/>
    <w:rsid w:val="005B53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396"/>
    <w:rPr>
      <w:rFonts w:ascii="Times New Roman" w:hAnsi="Times New Roman" w:cs="Times New Roman"/>
      <w:sz w:val="20"/>
      <w:szCs w:val="20"/>
      <w:lang w:val="en"/>
    </w:rPr>
  </w:style>
  <w:style w:type="character" w:styleId="EndnoteReference">
    <w:name w:val="endnote reference"/>
    <w:basedOn w:val="DefaultParagraphFont"/>
    <w:uiPriority w:val="99"/>
    <w:semiHidden/>
    <w:unhideWhenUsed/>
    <w:rsid w:val="005B5396"/>
    <w:rPr>
      <w:vertAlign w:val="superscript"/>
    </w:rPr>
  </w:style>
  <w:style w:type="paragraph" w:styleId="ListBullet2">
    <w:name w:val="List Bullet 2"/>
    <w:basedOn w:val="Normal"/>
    <w:uiPriority w:val="99"/>
    <w:qFormat/>
    <w:rsid w:val="00DF1BDC"/>
    <w:pPr>
      <w:spacing w:before="120" w:after="0" w:line="240" w:lineRule="auto"/>
      <w:ind w:left="568" w:hanging="284"/>
    </w:pPr>
    <w:rPr>
      <w:rFonts w:ascii="Cambria" w:hAnsi="Cambria"/>
      <w:lang w:val="en-AU" w:eastAsia="en-AU"/>
    </w:rPr>
  </w:style>
  <w:style w:type="paragraph" w:styleId="ListBullet3">
    <w:name w:val="List Bullet 3"/>
    <w:basedOn w:val="Normal"/>
    <w:uiPriority w:val="99"/>
    <w:qFormat/>
    <w:rsid w:val="00DF1BDC"/>
    <w:pPr>
      <w:spacing w:before="120" w:after="0" w:line="240" w:lineRule="auto"/>
      <w:ind w:left="851" w:hanging="284"/>
    </w:pPr>
    <w:rPr>
      <w:rFonts w:ascii="Cambria" w:hAnsi="Cambria"/>
      <w:lang w:val="en-AU" w:eastAsia="en-AU"/>
    </w:rPr>
  </w:style>
  <w:style w:type="numbering" w:customStyle="1" w:styleId="ListBullets">
    <w:name w:val="ListBullets"/>
    <w:uiPriority w:val="99"/>
    <w:locked/>
    <w:rsid w:val="00DF1B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0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ustralia\PTM%20Clients\Lundbeck\Draft%20Lundbeck%20AU%20P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2ABF0960A874A8F75743D6472B8F6" ma:contentTypeVersion="4" ma:contentTypeDescription="Create a new document." ma:contentTypeScope="" ma:versionID="0493dfc9b66bfc0c9a32fb589c09103a">
  <xsd:schema xmlns:xsd="http://www.w3.org/2001/XMLSchema" xmlns:xs="http://www.w3.org/2001/XMLSchema" xmlns:p="http://schemas.microsoft.com/office/2006/metadata/properties" xmlns:ns2="4ba9498c-0162-4552-8843-9e0e0f7cd8f0" targetNamespace="http://schemas.microsoft.com/office/2006/metadata/properties" ma:root="true" ma:fieldsID="d095bca3655e93fe41c017c2d9da04fb" ns2:_="">
    <xsd:import namespace="4ba9498c-0162-4552-8843-9e0e0f7cd8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9498c-0162-4552-8843-9e0e0f7c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39360-E268-4FD7-9099-2D6F5CAA1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9498c-0162-4552-8843-9e0e0f7c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843DB-ECE2-4618-A500-95607506DF6E}">
  <ds:schemaRefs>
    <ds:schemaRef ds:uri="http://schemas.openxmlformats.org/officeDocument/2006/bibliography"/>
  </ds:schemaRefs>
</ds:datastoreItem>
</file>

<file path=customXml/itemProps3.xml><?xml version="1.0" encoding="utf-8"?>
<ds:datastoreItem xmlns:ds="http://schemas.openxmlformats.org/officeDocument/2006/customXml" ds:itemID="{DC6235F4-E2E6-4EA6-8920-B5A08551E3FF}">
  <ds:schemaRefs>
    <ds:schemaRef ds:uri="http://schemas.microsoft.com/sharepoint/v3/contenttype/forms"/>
  </ds:schemaRefs>
</ds:datastoreItem>
</file>

<file path=customXml/itemProps4.xml><?xml version="1.0" encoding="utf-8"?>
<ds:datastoreItem xmlns:ds="http://schemas.openxmlformats.org/officeDocument/2006/customXml" ds:itemID="{D4C96B51-2B52-49F3-A645-91E16CEA58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Lundbeck AU PI template.dotx</Template>
  <TotalTime>5</TotalTime>
  <Pages>11</Pages>
  <Words>2737</Words>
  <Characters>15493</Characters>
  <Application>Microsoft Office Word</Application>
  <DocSecurity>0</DocSecurity>
  <Lines>309</Lines>
  <Paragraphs>147</Paragraphs>
  <ScaleCrop>false</ScaleCrop>
  <HeadingPairs>
    <vt:vector size="2" baseType="variant">
      <vt:variant>
        <vt:lpstr>Title</vt:lpstr>
      </vt:variant>
      <vt:variant>
        <vt:i4>1</vt:i4>
      </vt:variant>
    </vt:vector>
  </HeadingPairs>
  <TitlesOfParts>
    <vt:vector size="1" baseType="lpstr">
      <vt:lpstr>PI template</vt:lpstr>
    </vt:vector>
  </TitlesOfParts>
  <Company>JACE Pharma Pty Ltd</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Trientine tetrahydrochloride</dc:title>
  <dc:subject>prescription medicines</dc:subject>
  <dc:creator>JACE Pharma Pty Ltd</dc:creator>
  <cp:lastPrinted>2018-02-27T05:18:00Z</cp:lastPrinted>
  <dcterms:created xsi:type="dcterms:W3CDTF">2022-01-27T04:51:00Z</dcterms:created>
  <dcterms:modified xsi:type="dcterms:W3CDTF">2022-01-27T04:57:00Z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0x0101009462ABF0960A874A8F75743D6472B8F6</vt:lpwstr>
  </property>
</Properties>
</file>