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4B7E668" w14:textId="77777777" w:rsidTr="00BF1190">
        <w:trPr>
          <w:trHeight w:val="1863"/>
        </w:trPr>
        <w:tc>
          <w:tcPr>
            <w:tcW w:w="3652" w:type="dxa"/>
            <w:tcBorders>
              <w:top w:val="nil"/>
              <w:left w:val="nil"/>
              <w:bottom w:val="nil"/>
              <w:right w:val="nil"/>
            </w:tcBorders>
          </w:tcPr>
          <w:p w14:paraId="7A6F8E6D" w14:textId="63A4DB9E" w:rsidR="008E7846" w:rsidRPr="00096AA7" w:rsidRDefault="000651FF" w:rsidP="000651FF">
            <w:pPr>
              <w:rPr>
                <w:rFonts w:ascii="Arial" w:hAnsi="Arial" w:cs="Arial"/>
                <w:b/>
                <w:color w:val="002C47"/>
                <w:sz w:val="36"/>
                <w:szCs w:val="36"/>
              </w:rPr>
            </w:pPr>
            <w:r>
              <w:rPr>
                <w:rFonts w:ascii="Arial" w:hAnsi="Arial" w:cs="Arial"/>
                <w:b/>
                <w:color w:val="002C47"/>
                <w:sz w:val="36"/>
                <w:szCs w:val="36"/>
              </w:rPr>
              <w:t xml:space="preserve">July </w:t>
            </w:r>
            <w:r w:rsidR="0075010A">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E7B2192" w14:textId="77777777" w:rsidTr="0032583B">
        <w:trPr>
          <w:trHeight w:val="868"/>
        </w:trPr>
        <w:tc>
          <w:tcPr>
            <w:tcW w:w="9079" w:type="dxa"/>
          </w:tcPr>
          <w:p w14:paraId="3E0EF288" w14:textId="77777777" w:rsidR="0032583B" w:rsidRPr="00A964D1" w:rsidRDefault="0032583B" w:rsidP="00460036">
            <w:pPr>
              <w:pStyle w:val="Title"/>
              <w:rPr>
                <w:color w:val="FFFFFF" w:themeColor="background1"/>
              </w:rPr>
            </w:pPr>
            <w:r w:rsidRPr="00A964D1">
              <w:rPr>
                <w:color w:val="FFFFFF" w:themeColor="background1"/>
              </w:rPr>
              <w:t>Australia</w:t>
            </w:r>
            <w:r w:rsidR="0075010A">
              <w:rPr>
                <w:color w:val="FFFFFF" w:themeColor="background1"/>
              </w:rPr>
              <w:t>n Public Assessment Report for U</w:t>
            </w:r>
            <w:r w:rsidR="0075010A" w:rsidRPr="0075010A">
              <w:rPr>
                <w:color w:val="FFFFFF" w:themeColor="background1"/>
              </w:rPr>
              <w:t>padacitinib</w:t>
            </w:r>
          </w:p>
        </w:tc>
      </w:tr>
      <w:tr w:rsidR="0032583B" w:rsidRPr="00B64760" w14:paraId="588B09B2" w14:textId="77777777" w:rsidTr="0032583B">
        <w:tc>
          <w:tcPr>
            <w:tcW w:w="9079" w:type="dxa"/>
          </w:tcPr>
          <w:p w14:paraId="34C3D9E6" w14:textId="77777777" w:rsidR="0032583B" w:rsidRPr="008E7846" w:rsidRDefault="0075010A" w:rsidP="0075010A">
            <w:pPr>
              <w:pStyle w:val="Subtitle"/>
              <w:rPr>
                <w:color w:val="FFFFFF" w:themeColor="background1"/>
              </w:rPr>
            </w:pPr>
            <w:r>
              <w:rPr>
                <w:color w:val="FFFFFF" w:themeColor="background1"/>
              </w:rPr>
              <w:t xml:space="preserve">Proprietary Product Name: </w:t>
            </w:r>
            <w:proofErr w:type="spellStart"/>
            <w:r w:rsidRPr="0075010A">
              <w:rPr>
                <w:color w:val="FFFFFF" w:themeColor="background1"/>
              </w:rPr>
              <w:t>R</w:t>
            </w:r>
            <w:r>
              <w:rPr>
                <w:color w:val="FFFFFF" w:themeColor="background1"/>
              </w:rPr>
              <w:t>invoq</w:t>
            </w:r>
            <w:proofErr w:type="spellEnd"/>
          </w:p>
        </w:tc>
      </w:tr>
      <w:tr w:rsidR="0032583B" w:rsidRPr="00B64760" w14:paraId="3970D70D" w14:textId="77777777" w:rsidTr="0032583B">
        <w:trPr>
          <w:trHeight w:val="486"/>
        </w:trPr>
        <w:tc>
          <w:tcPr>
            <w:tcW w:w="9079" w:type="dxa"/>
          </w:tcPr>
          <w:p w14:paraId="68FFD3E5" w14:textId="77777777" w:rsidR="0032583B" w:rsidRPr="008E7846" w:rsidRDefault="0075010A" w:rsidP="0032583B">
            <w:pPr>
              <w:pStyle w:val="Subtitle"/>
              <w:rPr>
                <w:color w:val="FFFFFF" w:themeColor="background1"/>
              </w:rPr>
            </w:pPr>
            <w:r>
              <w:rPr>
                <w:color w:val="FFFFFF" w:themeColor="background1"/>
              </w:rPr>
              <w:t xml:space="preserve">Sponsor: </w:t>
            </w:r>
            <w:r w:rsidRPr="0075010A">
              <w:rPr>
                <w:color w:val="FFFFFF" w:themeColor="background1"/>
              </w:rPr>
              <w:t>AbbVie Pty Ltd</w:t>
            </w:r>
          </w:p>
        </w:tc>
      </w:tr>
    </w:tbl>
    <w:p w14:paraId="38F6E5EA" w14:textId="77777777" w:rsidR="008E7846" w:rsidRPr="0085156D" w:rsidRDefault="008E7846" w:rsidP="0085156D">
      <w:r w:rsidRPr="0085156D">
        <w:br w:type="page"/>
      </w:r>
    </w:p>
    <w:p w14:paraId="72DF13D4" w14:textId="77777777" w:rsidR="008E7846" w:rsidRPr="001F6CBA" w:rsidRDefault="008E7846" w:rsidP="008E7846">
      <w:pPr>
        <w:pStyle w:val="NonTOCHeading2"/>
      </w:pPr>
      <w:r w:rsidRPr="001F6CBA">
        <w:lastRenderedPageBreak/>
        <w:t>About the Therapeutic Goods Administration (TGA)</w:t>
      </w:r>
    </w:p>
    <w:p w14:paraId="73089357"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B095D0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2142A917"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55D9F2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3AEDC01" w14:textId="079F053B"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263AE77C" w14:textId="77777777" w:rsidR="008E7846" w:rsidRDefault="008E7846" w:rsidP="00875A6B">
      <w:pPr>
        <w:pStyle w:val="NonTOCHeading2"/>
      </w:pPr>
      <w:r>
        <w:t xml:space="preserve">About </w:t>
      </w:r>
      <w:proofErr w:type="spellStart"/>
      <w:r>
        <w:t>AusPARs</w:t>
      </w:r>
      <w:proofErr w:type="spellEnd"/>
    </w:p>
    <w:p w14:paraId="3CCF40B6"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75F25696"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6CF0BBD7"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6A6310FA"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758F39FB"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12B0595B" w14:textId="77777777" w:rsidR="00924482" w:rsidRPr="00DF1D7F" w:rsidRDefault="00924482" w:rsidP="00F54B65">
      <w:pPr>
        <w:pStyle w:val="LegalSubheading"/>
        <w:spacing w:before="3120"/>
      </w:pPr>
      <w:r w:rsidRPr="00DF1D7F">
        <w:t>Copyright</w:t>
      </w:r>
    </w:p>
    <w:p w14:paraId="1260C59D" w14:textId="7A9854D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2589CB70"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24E5264" w14:textId="77777777" w:rsidR="0089635C" w:rsidRPr="0089635C" w:rsidRDefault="0089635C" w:rsidP="0010788A">
          <w:pPr>
            <w:pStyle w:val="Contents"/>
          </w:pPr>
          <w:r w:rsidRPr="0010788A">
            <w:t>Contents</w:t>
          </w:r>
        </w:p>
        <w:p w14:paraId="348F62BC" w14:textId="7ACF827D" w:rsidR="00746A1E"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0775929" w:history="1">
            <w:r w:rsidR="00746A1E" w:rsidRPr="00E278E2">
              <w:rPr>
                <w:rStyle w:val="Hyperlink"/>
                <w:noProof/>
              </w:rPr>
              <w:t>List of abbreviations</w:t>
            </w:r>
            <w:r w:rsidR="00746A1E">
              <w:rPr>
                <w:noProof/>
                <w:webHidden/>
              </w:rPr>
              <w:tab/>
            </w:r>
            <w:r w:rsidR="00746A1E">
              <w:rPr>
                <w:noProof/>
                <w:webHidden/>
              </w:rPr>
              <w:fldChar w:fldCharType="begin"/>
            </w:r>
            <w:r w:rsidR="00746A1E">
              <w:rPr>
                <w:noProof/>
                <w:webHidden/>
              </w:rPr>
              <w:instrText xml:space="preserve"> PAGEREF _Toc80775929 \h </w:instrText>
            </w:r>
            <w:r w:rsidR="00746A1E">
              <w:rPr>
                <w:noProof/>
                <w:webHidden/>
              </w:rPr>
            </w:r>
            <w:r w:rsidR="00746A1E">
              <w:rPr>
                <w:noProof/>
                <w:webHidden/>
              </w:rPr>
              <w:fldChar w:fldCharType="separate"/>
            </w:r>
            <w:r w:rsidR="00746A1E">
              <w:rPr>
                <w:noProof/>
                <w:webHidden/>
              </w:rPr>
              <w:t>4</w:t>
            </w:r>
            <w:r w:rsidR="00746A1E">
              <w:rPr>
                <w:noProof/>
                <w:webHidden/>
              </w:rPr>
              <w:fldChar w:fldCharType="end"/>
            </w:r>
          </w:hyperlink>
        </w:p>
        <w:p w14:paraId="7BCB93D8" w14:textId="16EAE922" w:rsidR="00746A1E" w:rsidRDefault="00746A1E">
          <w:pPr>
            <w:pStyle w:val="TOC1"/>
            <w:rPr>
              <w:rFonts w:asciiTheme="minorHAnsi" w:eastAsiaTheme="minorEastAsia" w:hAnsiTheme="minorHAnsi" w:cstheme="minorBidi"/>
              <w:b w:val="0"/>
              <w:noProof/>
              <w:sz w:val="22"/>
              <w:lang w:eastAsia="en-AU"/>
            </w:rPr>
          </w:pPr>
          <w:hyperlink w:anchor="_Toc80775930" w:history="1">
            <w:r w:rsidRPr="00E278E2">
              <w:rPr>
                <w:rStyle w:val="Hyperlink"/>
                <w:noProof/>
              </w:rPr>
              <w:t>I. Introduction to product submission</w:t>
            </w:r>
            <w:r>
              <w:rPr>
                <w:noProof/>
                <w:webHidden/>
              </w:rPr>
              <w:tab/>
            </w:r>
            <w:r>
              <w:rPr>
                <w:noProof/>
                <w:webHidden/>
              </w:rPr>
              <w:fldChar w:fldCharType="begin"/>
            </w:r>
            <w:r>
              <w:rPr>
                <w:noProof/>
                <w:webHidden/>
              </w:rPr>
              <w:instrText xml:space="preserve"> PAGEREF _Toc80775930 \h </w:instrText>
            </w:r>
            <w:r>
              <w:rPr>
                <w:noProof/>
                <w:webHidden/>
              </w:rPr>
            </w:r>
            <w:r>
              <w:rPr>
                <w:noProof/>
                <w:webHidden/>
              </w:rPr>
              <w:fldChar w:fldCharType="separate"/>
            </w:r>
            <w:r>
              <w:rPr>
                <w:noProof/>
                <w:webHidden/>
              </w:rPr>
              <w:t>8</w:t>
            </w:r>
            <w:r>
              <w:rPr>
                <w:noProof/>
                <w:webHidden/>
              </w:rPr>
              <w:fldChar w:fldCharType="end"/>
            </w:r>
          </w:hyperlink>
        </w:p>
        <w:p w14:paraId="4BF3C599" w14:textId="3B62E466" w:rsidR="00746A1E" w:rsidRDefault="00746A1E">
          <w:pPr>
            <w:pStyle w:val="TOC2"/>
            <w:rPr>
              <w:rFonts w:asciiTheme="minorHAnsi" w:eastAsiaTheme="minorEastAsia" w:hAnsiTheme="minorHAnsi" w:cstheme="minorBidi"/>
              <w:b w:val="0"/>
              <w:noProof/>
              <w:sz w:val="22"/>
              <w:lang w:eastAsia="en-AU"/>
            </w:rPr>
          </w:pPr>
          <w:hyperlink w:anchor="_Toc80775931" w:history="1">
            <w:r w:rsidRPr="00E278E2">
              <w:rPr>
                <w:rStyle w:val="Hyperlink"/>
                <w:noProof/>
                <w:lang w:eastAsia="en-AU"/>
              </w:rPr>
              <w:t>Submission details</w:t>
            </w:r>
            <w:r>
              <w:rPr>
                <w:noProof/>
                <w:webHidden/>
              </w:rPr>
              <w:tab/>
            </w:r>
            <w:r>
              <w:rPr>
                <w:noProof/>
                <w:webHidden/>
              </w:rPr>
              <w:fldChar w:fldCharType="begin"/>
            </w:r>
            <w:r>
              <w:rPr>
                <w:noProof/>
                <w:webHidden/>
              </w:rPr>
              <w:instrText xml:space="preserve"> PAGEREF _Toc80775931 \h </w:instrText>
            </w:r>
            <w:r>
              <w:rPr>
                <w:noProof/>
                <w:webHidden/>
              </w:rPr>
            </w:r>
            <w:r>
              <w:rPr>
                <w:noProof/>
                <w:webHidden/>
              </w:rPr>
              <w:fldChar w:fldCharType="separate"/>
            </w:r>
            <w:r>
              <w:rPr>
                <w:noProof/>
                <w:webHidden/>
              </w:rPr>
              <w:t>8</w:t>
            </w:r>
            <w:r>
              <w:rPr>
                <w:noProof/>
                <w:webHidden/>
              </w:rPr>
              <w:fldChar w:fldCharType="end"/>
            </w:r>
          </w:hyperlink>
        </w:p>
        <w:p w14:paraId="61F0496F" w14:textId="384952AF" w:rsidR="00746A1E" w:rsidRDefault="00746A1E">
          <w:pPr>
            <w:pStyle w:val="TOC2"/>
            <w:rPr>
              <w:rFonts w:asciiTheme="minorHAnsi" w:eastAsiaTheme="minorEastAsia" w:hAnsiTheme="minorHAnsi" w:cstheme="minorBidi"/>
              <w:b w:val="0"/>
              <w:noProof/>
              <w:sz w:val="22"/>
              <w:lang w:eastAsia="en-AU"/>
            </w:rPr>
          </w:pPr>
          <w:hyperlink w:anchor="_Toc80775932" w:history="1">
            <w:r w:rsidRPr="00E278E2">
              <w:rPr>
                <w:rStyle w:val="Hyperlink"/>
                <w:noProof/>
              </w:rPr>
              <w:t>Product background</w:t>
            </w:r>
            <w:r>
              <w:rPr>
                <w:noProof/>
                <w:webHidden/>
              </w:rPr>
              <w:tab/>
            </w:r>
            <w:r>
              <w:rPr>
                <w:noProof/>
                <w:webHidden/>
              </w:rPr>
              <w:fldChar w:fldCharType="begin"/>
            </w:r>
            <w:r>
              <w:rPr>
                <w:noProof/>
                <w:webHidden/>
              </w:rPr>
              <w:instrText xml:space="preserve"> PAGEREF _Toc80775932 \h </w:instrText>
            </w:r>
            <w:r>
              <w:rPr>
                <w:noProof/>
                <w:webHidden/>
              </w:rPr>
            </w:r>
            <w:r>
              <w:rPr>
                <w:noProof/>
                <w:webHidden/>
              </w:rPr>
              <w:fldChar w:fldCharType="separate"/>
            </w:r>
            <w:r>
              <w:rPr>
                <w:noProof/>
                <w:webHidden/>
              </w:rPr>
              <w:t>9</w:t>
            </w:r>
            <w:r>
              <w:rPr>
                <w:noProof/>
                <w:webHidden/>
              </w:rPr>
              <w:fldChar w:fldCharType="end"/>
            </w:r>
          </w:hyperlink>
        </w:p>
        <w:p w14:paraId="5A3E12C5" w14:textId="7AF9A7EF" w:rsidR="00746A1E" w:rsidRDefault="00746A1E">
          <w:pPr>
            <w:pStyle w:val="TOC2"/>
            <w:rPr>
              <w:rFonts w:asciiTheme="minorHAnsi" w:eastAsiaTheme="minorEastAsia" w:hAnsiTheme="minorHAnsi" w:cstheme="minorBidi"/>
              <w:b w:val="0"/>
              <w:noProof/>
              <w:sz w:val="22"/>
              <w:lang w:eastAsia="en-AU"/>
            </w:rPr>
          </w:pPr>
          <w:hyperlink w:anchor="_Toc80775933" w:history="1">
            <w:r w:rsidRPr="00E278E2">
              <w:rPr>
                <w:rStyle w:val="Hyperlink"/>
                <w:noProof/>
              </w:rPr>
              <w:t>Regulatory status</w:t>
            </w:r>
            <w:r>
              <w:rPr>
                <w:noProof/>
                <w:webHidden/>
              </w:rPr>
              <w:tab/>
            </w:r>
            <w:r>
              <w:rPr>
                <w:noProof/>
                <w:webHidden/>
              </w:rPr>
              <w:fldChar w:fldCharType="begin"/>
            </w:r>
            <w:r>
              <w:rPr>
                <w:noProof/>
                <w:webHidden/>
              </w:rPr>
              <w:instrText xml:space="preserve"> PAGEREF _Toc80775933 \h </w:instrText>
            </w:r>
            <w:r>
              <w:rPr>
                <w:noProof/>
                <w:webHidden/>
              </w:rPr>
            </w:r>
            <w:r>
              <w:rPr>
                <w:noProof/>
                <w:webHidden/>
              </w:rPr>
              <w:fldChar w:fldCharType="separate"/>
            </w:r>
            <w:r>
              <w:rPr>
                <w:noProof/>
                <w:webHidden/>
              </w:rPr>
              <w:t>11</w:t>
            </w:r>
            <w:r>
              <w:rPr>
                <w:noProof/>
                <w:webHidden/>
              </w:rPr>
              <w:fldChar w:fldCharType="end"/>
            </w:r>
          </w:hyperlink>
        </w:p>
        <w:p w14:paraId="1A62FB8A" w14:textId="1B7C1F0D" w:rsidR="00746A1E" w:rsidRDefault="00746A1E">
          <w:pPr>
            <w:pStyle w:val="TOC2"/>
            <w:rPr>
              <w:rFonts w:asciiTheme="minorHAnsi" w:eastAsiaTheme="minorEastAsia" w:hAnsiTheme="minorHAnsi" w:cstheme="minorBidi"/>
              <w:b w:val="0"/>
              <w:noProof/>
              <w:sz w:val="22"/>
              <w:lang w:eastAsia="en-AU"/>
            </w:rPr>
          </w:pPr>
          <w:hyperlink w:anchor="_Toc80775934" w:history="1">
            <w:r w:rsidRPr="00E278E2">
              <w:rPr>
                <w:rStyle w:val="Hyperlink"/>
                <w:noProof/>
              </w:rPr>
              <w:t>Product Information</w:t>
            </w:r>
            <w:r>
              <w:rPr>
                <w:noProof/>
                <w:webHidden/>
              </w:rPr>
              <w:tab/>
            </w:r>
            <w:r>
              <w:rPr>
                <w:noProof/>
                <w:webHidden/>
              </w:rPr>
              <w:fldChar w:fldCharType="begin"/>
            </w:r>
            <w:r>
              <w:rPr>
                <w:noProof/>
                <w:webHidden/>
              </w:rPr>
              <w:instrText xml:space="preserve"> PAGEREF _Toc80775934 \h </w:instrText>
            </w:r>
            <w:r>
              <w:rPr>
                <w:noProof/>
                <w:webHidden/>
              </w:rPr>
            </w:r>
            <w:r>
              <w:rPr>
                <w:noProof/>
                <w:webHidden/>
              </w:rPr>
              <w:fldChar w:fldCharType="separate"/>
            </w:r>
            <w:r>
              <w:rPr>
                <w:noProof/>
                <w:webHidden/>
              </w:rPr>
              <w:t>12</w:t>
            </w:r>
            <w:r>
              <w:rPr>
                <w:noProof/>
                <w:webHidden/>
              </w:rPr>
              <w:fldChar w:fldCharType="end"/>
            </w:r>
          </w:hyperlink>
        </w:p>
        <w:p w14:paraId="6258AD28" w14:textId="55164F88" w:rsidR="00746A1E" w:rsidRDefault="00746A1E">
          <w:pPr>
            <w:pStyle w:val="TOC1"/>
            <w:rPr>
              <w:rFonts w:asciiTheme="minorHAnsi" w:eastAsiaTheme="minorEastAsia" w:hAnsiTheme="minorHAnsi" w:cstheme="minorBidi"/>
              <w:b w:val="0"/>
              <w:noProof/>
              <w:sz w:val="22"/>
              <w:lang w:eastAsia="en-AU"/>
            </w:rPr>
          </w:pPr>
          <w:hyperlink w:anchor="_Toc80775935" w:history="1">
            <w:r w:rsidRPr="00E278E2">
              <w:rPr>
                <w:rStyle w:val="Hyperlink"/>
                <w:noProof/>
              </w:rPr>
              <w:t>II. Registration timeline</w:t>
            </w:r>
            <w:r>
              <w:rPr>
                <w:noProof/>
                <w:webHidden/>
              </w:rPr>
              <w:tab/>
            </w:r>
            <w:r>
              <w:rPr>
                <w:noProof/>
                <w:webHidden/>
              </w:rPr>
              <w:fldChar w:fldCharType="begin"/>
            </w:r>
            <w:r>
              <w:rPr>
                <w:noProof/>
                <w:webHidden/>
              </w:rPr>
              <w:instrText xml:space="preserve"> PAGEREF _Toc80775935 \h </w:instrText>
            </w:r>
            <w:r>
              <w:rPr>
                <w:noProof/>
                <w:webHidden/>
              </w:rPr>
            </w:r>
            <w:r>
              <w:rPr>
                <w:noProof/>
                <w:webHidden/>
              </w:rPr>
              <w:fldChar w:fldCharType="separate"/>
            </w:r>
            <w:r>
              <w:rPr>
                <w:noProof/>
                <w:webHidden/>
              </w:rPr>
              <w:t>12</w:t>
            </w:r>
            <w:r>
              <w:rPr>
                <w:noProof/>
                <w:webHidden/>
              </w:rPr>
              <w:fldChar w:fldCharType="end"/>
            </w:r>
          </w:hyperlink>
        </w:p>
        <w:p w14:paraId="7EF7B111" w14:textId="66F8AFFA" w:rsidR="00746A1E" w:rsidRDefault="00746A1E">
          <w:pPr>
            <w:pStyle w:val="TOC1"/>
            <w:rPr>
              <w:rFonts w:asciiTheme="minorHAnsi" w:eastAsiaTheme="minorEastAsia" w:hAnsiTheme="minorHAnsi" w:cstheme="minorBidi"/>
              <w:b w:val="0"/>
              <w:noProof/>
              <w:sz w:val="22"/>
              <w:lang w:eastAsia="en-AU"/>
            </w:rPr>
          </w:pPr>
          <w:hyperlink w:anchor="_Toc80775936" w:history="1">
            <w:r w:rsidRPr="00E278E2">
              <w:rPr>
                <w:rStyle w:val="Hyperlink"/>
                <w:noProof/>
              </w:rPr>
              <w:t>III. Submission overview and risk/benefit assessment</w:t>
            </w:r>
            <w:r>
              <w:rPr>
                <w:noProof/>
                <w:webHidden/>
              </w:rPr>
              <w:tab/>
            </w:r>
            <w:r>
              <w:rPr>
                <w:noProof/>
                <w:webHidden/>
              </w:rPr>
              <w:fldChar w:fldCharType="begin"/>
            </w:r>
            <w:r>
              <w:rPr>
                <w:noProof/>
                <w:webHidden/>
              </w:rPr>
              <w:instrText xml:space="preserve"> PAGEREF _Toc80775936 \h </w:instrText>
            </w:r>
            <w:r>
              <w:rPr>
                <w:noProof/>
                <w:webHidden/>
              </w:rPr>
            </w:r>
            <w:r>
              <w:rPr>
                <w:noProof/>
                <w:webHidden/>
              </w:rPr>
              <w:fldChar w:fldCharType="separate"/>
            </w:r>
            <w:r>
              <w:rPr>
                <w:noProof/>
                <w:webHidden/>
              </w:rPr>
              <w:t>13</w:t>
            </w:r>
            <w:r>
              <w:rPr>
                <w:noProof/>
                <w:webHidden/>
              </w:rPr>
              <w:fldChar w:fldCharType="end"/>
            </w:r>
          </w:hyperlink>
        </w:p>
        <w:p w14:paraId="7F50DBB3" w14:textId="78C0B679" w:rsidR="00746A1E" w:rsidRDefault="00746A1E">
          <w:pPr>
            <w:pStyle w:val="TOC2"/>
            <w:rPr>
              <w:rFonts w:asciiTheme="minorHAnsi" w:eastAsiaTheme="minorEastAsia" w:hAnsiTheme="minorHAnsi" w:cstheme="minorBidi"/>
              <w:b w:val="0"/>
              <w:noProof/>
              <w:sz w:val="22"/>
              <w:lang w:eastAsia="en-AU"/>
            </w:rPr>
          </w:pPr>
          <w:hyperlink w:anchor="_Toc80775937" w:history="1">
            <w:r w:rsidRPr="00E278E2">
              <w:rPr>
                <w:rStyle w:val="Hyperlink"/>
                <w:noProof/>
              </w:rPr>
              <w:t>Quality</w:t>
            </w:r>
            <w:r>
              <w:rPr>
                <w:noProof/>
                <w:webHidden/>
              </w:rPr>
              <w:tab/>
            </w:r>
            <w:r>
              <w:rPr>
                <w:noProof/>
                <w:webHidden/>
              </w:rPr>
              <w:fldChar w:fldCharType="begin"/>
            </w:r>
            <w:r>
              <w:rPr>
                <w:noProof/>
                <w:webHidden/>
              </w:rPr>
              <w:instrText xml:space="preserve"> PAGEREF _Toc80775937 \h </w:instrText>
            </w:r>
            <w:r>
              <w:rPr>
                <w:noProof/>
                <w:webHidden/>
              </w:rPr>
            </w:r>
            <w:r>
              <w:rPr>
                <w:noProof/>
                <w:webHidden/>
              </w:rPr>
              <w:fldChar w:fldCharType="separate"/>
            </w:r>
            <w:r>
              <w:rPr>
                <w:noProof/>
                <w:webHidden/>
              </w:rPr>
              <w:t>13</w:t>
            </w:r>
            <w:r>
              <w:rPr>
                <w:noProof/>
                <w:webHidden/>
              </w:rPr>
              <w:fldChar w:fldCharType="end"/>
            </w:r>
          </w:hyperlink>
        </w:p>
        <w:p w14:paraId="5C094C0D" w14:textId="3EF96440" w:rsidR="00746A1E" w:rsidRDefault="00746A1E">
          <w:pPr>
            <w:pStyle w:val="TOC2"/>
            <w:rPr>
              <w:rFonts w:asciiTheme="minorHAnsi" w:eastAsiaTheme="minorEastAsia" w:hAnsiTheme="minorHAnsi" w:cstheme="minorBidi"/>
              <w:b w:val="0"/>
              <w:noProof/>
              <w:sz w:val="22"/>
              <w:lang w:eastAsia="en-AU"/>
            </w:rPr>
          </w:pPr>
          <w:hyperlink w:anchor="_Toc80775938" w:history="1">
            <w:r w:rsidRPr="00E278E2">
              <w:rPr>
                <w:rStyle w:val="Hyperlink"/>
                <w:noProof/>
              </w:rPr>
              <w:t>Nonclinical</w:t>
            </w:r>
            <w:r>
              <w:rPr>
                <w:noProof/>
                <w:webHidden/>
              </w:rPr>
              <w:tab/>
            </w:r>
            <w:r>
              <w:rPr>
                <w:noProof/>
                <w:webHidden/>
              </w:rPr>
              <w:fldChar w:fldCharType="begin"/>
            </w:r>
            <w:r>
              <w:rPr>
                <w:noProof/>
                <w:webHidden/>
              </w:rPr>
              <w:instrText xml:space="preserve"> PAGEREF _Toc80775938 \h </w:instrText>
            </w:r>
            <w:r>
              <w:rPr>
                <w:noProof/>
                <w:webHidden/>
              </w:rPr>
            </w:r>
            <w:r>
              <w:rPr>
                <w:noProof/>
                <w:webHidden/>
              </w:rPr>
              <w:fldChar w:fldCharType="separate"/>
            </w:r>
            <w:r>
              <w:rPr>
                <w:noProof/>
                <w:webHidden/>
              </w:rPr>
              <w:t>13</w:t>
            </w:r>
            <w:r>
              <w:rPr>
                <w:noProof/>
                <w:webHidden/>
              </w:rPr>
              <w:fldChar w:fldCharType="end"/>
            </w:r>
          </w:hyperlink>
        </w:p>
        <w:p w14:paraId="6BB76975" w14:textId="6D12A5F4" w:rsidR="00746A1E" w:rsidRDefault="00746A1E">
          <w:pPr>
            <w:pStyle w:val="TOC2"/>
            <w:rPr>
              <w:rFonts w:asciiTheme="minorHAnsi" w:eastAsiaTheme="minorEastAsia" w:hAnsiTheme="minorHAnsi" w:cstheme="minorBidi"/>
              <w:b w:val="0"/>
              <w:noProof/>
              <w:sz w:val="22"/>
              <w:lang w:eastAsia="en-AU"/>
            </w:rPr>
          </w:pPr>
          <w:hyperlink w:anchor="_Toc80775939" w:history="1">
            <w:r w:rsidRPr="00E278E2">
              <w:rPr>
                <w:rStyle w:val="Hyperlink"/>
                <w:noProof/>
              </w:rPr>
              <w:t>Clinical</w:t>
            </w:r>
            <w:r>
              <w:rPr>
                <w:noProof/>
                <w:webHidden/>
              </w:rPr>
              <w:tab/>
            </w:r>
            <w:r>
              <w:rPr>
                <w:noProof/>
                <w:webHidden/>
              </w:rPr>
              <w:fldChar w:fldCharType="begin"/>
            </w:r>
            <w:r>
              <w:rPr>
                <w:noProof/>
                <w:webHidden/>
              </w:rPr>
              <w:instrText xml:space="preserve"> PAGEREF _Toc80775939 \h </w:instrText>
            </w:r>
            <w:r>
              <w:rPr>
                <w:noProof/>
                <w:webHidden/>
              </w:rPr>
            </w:r>
            <w:r>
              <w:rPr>
                <w:noProof/>
                <w:webHidden/>
              </w:rPr>
              <w:fldChar w:fldCharType="separate"/>
            </w:r>
            <w:r>
              <w:rPr>
                <w:noProof/>
                <w:webHidden/>
              </w:rPr>
              <w:t>13</w:t>
            </w:r>
            <w:r>
              <w:rPr>
                <w:noProof/>
                <w:webHidden/>
              </w:rPr>
              <w:fldChar w:fldCharType="end"/>
            </w:r>
          </w:hyperlink>
        </w:p>
        <w:p w14:paraId="7655AC6E" w14:textId="5D60190A" w:rsidR="00746A1E" w:rsidRDefault="00746A1E">
          <w:pPr>
            <w:pStyle w:val="TOC2"/>
            <w:rPr>
              <w:rFonts w:asciiTheme="minorHAnsi" w:eastAsiaTheme="minorEastAsia" w:hAnsiTheme="minorHAnsi" w:cstheme="minorBidi"/>
              <w:b w:val="0"/>
              <w:noProof/>
              <w:sz w:val="22"/>
              <w:lang w:eastAsia="en-AU"/>
            </w:rPr>
          </w:pPr>
          <w:hyperlink w:anchor="_Toc80775940" w:history="1">
            <w:r w:rsidRPr="00E278E2">
              <w:rPr>
                <w:rStyle w:val="Hyperlink"/>
                <w:noProof/>
                <w:lang w:eastAsia="en-AU"/>
              </w:rPr>
              <w:t>Risk management plan</w:t>
            </w:r>
            <w:r>
              <w:rPr>
                <w:noProof/>
                <w:webHidden/>
              </w:rPr>
              <w:tab/>
            </w:r>
            <w:r>
              <w:rPr>
                <w:noProof/>
                <w:webHidden/>
              </w:rPr>
              <w:fldChar w:fldCharType="begin"/>
            </w:r>
            <w:r>
              <w:rPr>
                <w:noProof/>
                <w:webHidden/>
              </w:rPr>
              <w:instrText xml:space="preserve"> PAGEREF _Toc80775940 \h </w:instrText>
            </w:r>
            <w:r>
              <w:rPr>
                <w:noProof/>
                <w:webHidden/>
              </w:rPr>
            </w:r>
            <w:r>
              <w:rPr>
                <w:noProof/>
                <w:webHidden/>
              </w:rPr>
              <w:fldChar w:fldCharType="separate"/>
            </w:r>
            <w:r>
              <w:rPr>
                <w:noProof/>
                <w:webHidden/>
              </w:rPr>
              <w:t>31</w:t>
            </w:r>
            <w:r>
              <w:rPr>
                <w:noProof/>
                <w:webHidden/>
              </w:rPr>
              <w:fldChar w:fldCharType="end"/>
            </w:r>
          </w:hyperlink>
        </w:p>
        <w:p w14:paraId="4FC4ECC6" w14:textId="2C5391DB" w:rsidR="00746A1E" w:rsidRDefault="00746A1E">
          <w:pPr>
            <w:pStyle w:val="TOC2"/>
            <w:rPr>
              <w:rFonts w:asciiTheme="minorHAnsi" w:eastAsiaTheme="minorEastAsia" w:hAnsiTheme="minorHAnsi" w:cstheme="minorBidi"/>
              <w:b w:val="0"/>
              <w:noProof/>
              <w:sz w:val="22"/>
              <w:lang w:eastAsia="en-AU"/>
            </w:rPr>
          </w:pPr>
          <w:hyperlink w:anchor="_Toc80775941" w:history="1">
            <w:r w:rsidRPr="00E278E2">
              <w:rPr>
                <w:rStyle w:val="Hyperlink"/>
                <w:noProof/>
              </w:rPr>
              <w:t>Risk-benefit analysis</w:t>
            </w:r>
            <w:r>
              <w:rPr>
                <w:noProof/>
                <w:webHidden/>
              </w:rPr>
              <w:tab/>
            </w:r>
            <w:r>
              <w:rPr>
                <w:noProof/>
                <w:webHidden/>
              </w:rPr>
              <w:fldChar w:fldCharType="begin"/>
            </w:r>
            <w:r>
              <w:rPr>
                <w:noProof/>
                <w:webHidden/>
              </w:rPr>
              <w:instrText xml:space="preserve"> PAGEREF _Toc80775941 \h </w:instrText>
            </w:r>
            <w:r>
              <w:rPr>
                <w:noProof/>
                <w:webHidden/>
              </w:rPr>
            </w:r>
            <w:r>
              <w:rPr>
                <w:noProof/>
                <w:webHidden/>
              </w:rPr>
              <w:fldChar w:fldCharType="separate"/>
            </w:r>
            <w:r>
              <w:rPr>
                <w:noProof/>
                <w:webHidden/>
              </w:rPr>
              <w:t>31</w:t>
            </w:r>
            <w:r>
              <w:rPr>
                <w:noProof/>
                <w:webHidden/>
              </w:rPr>
              <w:fldChar w:fldCharType="end"/>
            </w:r>
          </w:hyperlink>
        </w:p>
        <w:p w14:paraId="50BC48A9" w14:textId="78113A8B" w:rsidR="00746A1E" w:rsidRDefault="00746A1E">
          <w:pPr>
            <w:pStyle w:val="TOC2"/>
            <w:rPr>
              <w:rFonts w:asciiTheme="minorHAnsi" w:eastAsiaTheme="minorEastAsia" w:hAnsiTheme="minorHAnsi" w:cstheme="minorBidi"/>
              <w:b w:val="0"/>
              <w:noProof/>
              <w:sz w:val="22"/>
              <w:lang w:eastAsia="en-AU"/>
            </w:rPr>
          </w:pPr>
          <w:hyperlink w:anchor="_Toc80775942" w:history="1">
            <w:r w:rsidRPr="00E278E2">
              <w:rPr>
                <w:rStyle w:val="Hyperlink"/>
                <w:noProof/>
              </w:rPr>
              <w:t>Outcome</w:t>
            </w:r>
            <w:r>
              <w:rPr>
                <w:noProof/>
                <w:webHidden/>
              </w:rPr>
              <w:tab/>
            </w:r>
            <w:r>
              <w:rPr>
                <w:noProof/>
                <w:webHidden/>
              </w:rPr>
              <w:fldChar w:fldCharType="begin"/>
            </w:r>
            <w:r>
              <w:rPr>
                <w:noProof/>
                <w:webHidden/>
              </w:rPr>
              <w:instrText xml:space="preserve"> PAGEREF _Toc80775942 \h </w:instrText>
            </w:r>
            <w:r>
              <w:rPr>
                <w:noProof/>
                <w:webHidden/>
              </w:rPr>
            </w:r>
            <w:r>
              <w:rPr>
                <w:noProof/>
                <w:webHidden/>
              </w:rPr>
              <w:fldChar w:fldCharType="separate"/>
            </w:r>
            <w:r>
              <w:rPr>
                <w:noProof/>
                <w:webHidden/>
              </w:rPr>
              <w:t>34</w:t>
            </w:r>
            <w:r>
              <w:rPr>
                <w:noProof/>
                <w:webHidden/>
              </w:rPr>
              <w:fldChar w:fldCharType="end"/>
            </w:r>
          </w:hyperlink>
        </w:p>
        <w:p w14:paraId="623C6857" w14:textId="380BE83D" w:rsidR="00746A1E" w:rsidRDefault="00746A1E">
          <w:pPr>
            <w:pStyle w:val="TOC1"/>
            <w:rPr>
              <w:rFonts w:asciiTheme="minorHAnsi" w:eastAsiaTheme="minorEastAsia" w:hAnsiTheme="minorHAnsi" w:cstheme="minorBidi"/>
              <w:b w:val="0"/>
              <w:noProof/>
              <w:sz w:val="22"/>
              <w:lang w:eastAsia="en-AU"/>
            </w:rPr>
          </w:pPr>
          <w:hyperlink w:anchor="_Toc80775943" w:history="1">
            <w:r w:rsidRPr="00E278E2">
              <w:rPr>
                <w:rStyle w:val="Hyperlink"/>
                <w:noProof/>
              </w:rPr>
              <w:t>Attachment 1. Product Information</w:t>
            </w:r>
            <w:r>
              <w:rPr>
                <w:noProof/>
                <w:webHidden/>
              </w:rPr>
              <w:tab/>
            </w:r>
            <w:r>
              <w:rPr>
                <w:noProof/>
                <w:webHidden/>
              </w:rPr>
              <w:fldChar w:fldCharType="begin"/>
            </w:r>
            <w:r>
              <w:rPr>
                <w:noProof/>
                <w:webHidden/>
              </w:rPr>
              <w:instrText xml:space="preserve"> PAGEREF _Toc80775943 \h </w:instrText>
            </w:r>
            <w:r>
              <w:rPr>
                <w:noProof/>
                <w:webHidden/>
              </w:rPr>
            </w:r>
            <w:r>
              <w:rPr>
                <w:noProof/>
                <w:webHidden/>
              </w:rPr>
              <w:fldChar w:fldCharType="separate"/>
            </w:r>
            <w:r>
              <w:rPr>
                <w:noProof/>
                <w:webHidden/>
              </w:rPr>
              <w:t>35</w:t>
            </w:r>
            <w:r>
              <w:rPr>
                <w:noProof/>
                <w:webHidden/>
              </w:rPr>
              <w:fldChar w:fldCharType="end"/>
            </w:r>
          </w:hyperlink>
        </w:p>
        <w:p w14:paraId="62813DE9" w14:textId="427BAF7E" w:rsidR="003A7F6C" w:rsidRPr="00B811C6" w:rsidRDefault="00C525A2" w:rsidP="00B811C6">
          <w:pPr>
            <w:pStyle w:val="TOC2"/>
          </w:pPr>
          <w:r>
            <w:fldChar w:fldCharType="end"/>
          </w:r>
        </w:p>
      </w:sdtContent>
    </w:sdt>
    <w:bookmarkStart w:id="2" w:name="_Toc314842482" w:displacedByCustomXml="prev"/>
    <w:p w14:paraId="13310876" w14:textId="77777777" w:rsidR="00FD119B" w:rsidRDefault="00FD119B">
      <w:pPr>
        <w:spacing w:before="0" w:after="200" w:line="0" w:lineRule="auto"/>
      </w:pPr>
      <w:r>
        <w:br w:type="page"/>
      </w:r>
    </w:p>
    <w:p w14:paraId="5B1E5129" w14:textId="77777777" w:rsidR="00C52E24" w:rsidRPr="00C52E24" w:rsidRDefault="00324E45" w:rsidP="0075010A">
      <w:pPr>
        <w:pStyle w:val="Heading2"/>
      </w:pPr>
      <w:bookmarkStart w:id="3" w:name="_Toc351716269"/>
      <w:bookmarkStart w:id="4" w:name="_Toc351718881"/>
      <w:bookmarkStart w:id="5" w:name="_Toc355338616"/>
      <w:bookmarkStart w:id="6" w:name="_Toc356306144"/>
      <w:bookmarkStart w:id="7" w:name="_Toc80775929"/>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3"/>
        <w:gridCol w:w="6691"/>
      </w:tblGrid>
      <w:tr w:rsidR="0085004A" w:rsidRPr="00FD119B" w14:paraId="5A81F1C5" w14:textId="77777777" w:rsidTr="00F123A4">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351C77DF" w14:textId="77777777" w:rsidR="0085004A" w:rsidRPr="00FD119B" w:rsidRDefault="0085004A" w:rsidP="00F544FC">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202F8805" w14:textId="77777777" w:rsidR="0085004A" w:rsidRPr="00FD119B" w:rsidRDefault="0085004A" w:rsidP="00F544FC">
            <w:pPr>
              <w:keepNext w:val="0"/>
              <w:ind w:left="144" w:right="0"/>
              <w:rPr>
                <w:szCs w:val="22"/>
                <w:lang w:eastAsia="en-US"/>
              </w:rPr>
            </w:pPr>
            <w:r w:rsidRPr="00FD119B">
              <w:rPr>
                <w:szCs w:val="22"/>
                <w:lang w:eastAsia="en-US"/>
              </w:rPr>
              <w:t>Meaning</w:t>
            </w:r>
          </w:p>
        </w:tc>
      </w:tr>
      <w:tr w:rsidR="0085004A" w:rsidRPr="00FD119B" w14:paraId="2E4818E5" w14:textId="77777777" w:rsidTr="00F123A4">
        <w:tc>
          <w:tcPr>
            <w:tcW w:w="1809" w:type="dxa"/>
            <w:tcBorders>
              <w:top w:val="single" w:sz="4" w:space="0" w:color="auto"/>
            </w:tcBorders>
          </w:tcPr>
          <w:p w14:paraId="4624F71F" w14:textId="77777777" w:rsidR="0085004A" w:rsidRPr="00FD119B" w:rsidRDefault="0085004A" w:rsidP="00F544FC">
            <w:pPr>
              <w:ind w:left="144" w:right="0"/>
            </w:pPr>
            <w:r>
              <w:t>ACM</w:t>
            </w:r>
          </w:p>
        </w:tc>
        <w:tc>
          <w:tcPr>
            <w:tcW w:w="6911" w:type="dxa"/>
            <w:tcBorders>
              <w:top w:val="single" w:sz="4" w:space="0" w:color="auto"/>
            </w:tcBorders>
          </w:tcPr>
          <w:p w14:paraId="132930F6" w14:textId="77777777" w:rsidR="0085004A" w:rsidRPr="00FD119B" w:rsidRDefault="0085004A" w:rsidP="00F544FC">
            <w:pPr>
              <w:ind w:left="144" w:right="0"/>
            </w:pPr>
            <w:r w:rsidRPr="00460036">
              <w:t>Advisory Committee on Medicines</w:t>
            </w:r>
          </w:p>
        </w:tc>
      </w:tr>
      <w:tr w:rsidR="0085004A" w:rsidRPr="00FD119B" w14:paraId="72F690E7" w14:textId="77777777" w:rsidTr="00F123A4">
        <w:tc>
          <w:tcPr>
            <w:tcW w:w="1809" w:type="dxa"/>
          </w:tcPr>
          <w:p w14:paraId="1EEFE6A1" w14:textId="77777777" w:rsidR="0085004A" w:rsidRDefault="0085004A" w:rsidP="00F544FC">
            <w:pPr>
              <w:ind w:left="144"/>
            </w:pPr>
            <w:r>
              <w:t>ACR</w:t>
            </w:r>
          </w:p>
        </w:tc>
        <w:tc>
          <w:tcPr>
            <w:tcW w:w="6911" w:type="dxa"/>
          </w:tcPr>
          <w:p w14:paraId="746F755E" w14:textId="77777777" w:rsidR="0085004A" w:rsidRDefault="0085004A" w:rsidP="00F544FC">
            <w:pPr>
              <w:ind w:left="144"/>
            </w:pPr>
            <w:r>
              <w:t>American College of Rheumatology</w:t>
            </w:r>
          </w:p>
        </w:tc>
      </w:tr>
      <w:tr w:rsidR="0085004A" w:rsidRPr="00FD119B" w14:paraId="0510D8C3" w14:textId="77777777" w:rsidTr="00F123A4">
        <w:tc>
          <w:tcPr>
            <w:tcW w:w="1809" w:type="dxa"/>
          </w:tcPr>
          <w:p w14:paraId="7821F490" w14:textId="77777777" w:rsidR="0085004A" w:rsidRDefault="0085004A" w:rsidP="00F544FC">
            <w:pPr>
              <w:ind w:left="144"/>
            </w:pPr>
            <w:r>
              <w:t>ADA</w:t>
            </w:r>
          </w:p>
        </w:tc>
        <w:tc>
          <w:tcPr>
            <w:tcW w:w="6911" w:type="dxa"/>
          </w:tcPr>
          <w:p w14:paraId="49B021E3" w14:textId="77777777" w:rsidR="0085004A" w:rsidRDefault="0085004A" w:rsidP="00F544FC">
            <w:pPr>
              <w:ind w:left="144"/>
            </w:pPr>
            <w:r>
              <w:t>Adalimumab</w:t>
            </w:r>
          </w:p>
        </w:tc>
      </w:tr>
      <w:tr w:rsidR="0085004A" w:rsidRPr="00FD119B" w14:paraId="13FDCD4F" w14:textId="77777777" w:rsidTr="00F123A4">
        <w:tc>
          <w:tcPr>
            <w:tcW w:w="1809" w:type="dxa"/>
          </w:tcPr>
          <w:p w14:paraId="72585567" w14:textId="77777777" w:rsidR="0085004A" w:rsidRDefault="0085004A" w:rsidP="00F544FC">
            <w:pPr>
              <w:ind w:left="144"/>
            </w:pPr>
            <w:r>
              <w:t>AE</w:t>
            </w:r>
          </w:p>
        </w:tc>
        <w:tc>
          <w:tcPr>
            <w:tcW w:w="6911" w:type="dxa"/>
          </w:tcPr>
          <w:p w14:paraId="41D142D5" w14:textId="77777777" w:rsidR="0085004A" w:rsidRDefault="0085004A" w:rsidP="00F544FC">
            <w:pPr>
              <w:ind w:left="144"/>
            </w:pPr>
            <w:r>
              <w:t>Adverse event</w:t>
            </w:r>
          </w:p>
        </w:tc>
      </w:tr>
      <w:tr w:rsidR="0085004A" w:rsidRPr="00FD119B" w14:paraId="1EB89DD1" w14:textId="77777777" w:rsidTr="00F123A4">
        <w:tc>
          <w:tcPr>
            <w:tcW w:w="1809" w:type="dxa"/>
          </w:tcPr>
          <w:p w14:paraId="0ABA00B5" w14:textId="77777777" w:rsidR="0085004A" w:rsidRDefault="0085004A" w:rsidP="00F544FC">
            <w:pPr>
              <w:ind w:left="144"/>
            </w:pPr>
            <w:r>
              <w:t>AESI</w:t>
            </w:r>
          </w:p>
        </w:tc>
        <w:tc>
          <w:tcPr>
            <w:tcW w:w="6911" w:type="dxa"/>
          </w:tcPr>
          <w:p w14:paraId="1CB9CB4A" w14:textId="2EC62F3D" w:rsidR="0085004A" w:rsidRDefault="0085004A" w:rsidP="00F544FC">
            <w:pPr>
              <w:ind w:left="144"/>
            </w:pPr>
            <w:r w:rsidRPr="00E2153C">
              <w:t xml:space="preserve">Adverse </w:t>
            </w:r>
            <w:r w:rsidR="009617B5">
              <w:t>e</w:t>
            </w:r>
            <w:r w:rsidRPr="00E2153C">
              <w:t>vent</w:t>
            </w:r>
            <w:r w:rsidR="009617B5">
              <w:t>(</w:t>
            </w:r>
            <w:r w:rsidRPr="00E2153C">
              <w:t>s</w:t>
            </w:r>
            <w:r w:rsidR="009617B5">
              <w:t>)</w:t>
            </w:r>
            <w:r w:rsidRPr="00E2153C">
              <w:t xml:space="preserve"> of </w:t>
            </w:r>
            <w:r w:rsidR="009617B5">
              <w:t>s</w:t>
            </w:r>
            <w:r w:rsidRPr="00E2153C">
              <w:t xml:space="preserve">pecial </w:t>
            </w:r>
            <w:r w:rsidR="009617B5">
              <w:t>i</w:t>
            </w:r>
            <w:r w:rsidRPr="00E2153C">
              <w:t>nterest</w:t>
            </w:r>
          </w:p>
        </w:tc>
      </w:tr>
      <w:tr w:rsidR="0085004A" w:rsidRPr="00FD119B" w14:paraId="264D51C1" w14:textId="77777777" w:rsidTr="00F123A4">
        <w:tc>
          <w:tcPr>
            <w:tcW w:w="1809" w:type="dxa"/>
          </w:tcPr>
          <w:p w14:paraId="2B8B1CCA" w14:textId="77777777" w:rsidR="0085004A" w:rsidRDefault="0085004A" w:rsidP="00F544FC">
            <w:pPr>
              <w:ind w:left="144"/>
            </w:pPr>
            <w:r>
              <w:t>ALC</w:t>
            </w:r>
          </w:p>
        </w:tc>
        <w:tc>
          <w:tcPr>
            <w:tcW w:w="6911" w:type="dxa"/>
          </w:tcPr>
          <w:p w14:paraId="12DC3E43" w14:textId="77777777" w:rsidR="0085004A" w:rsidRPr="00460036" w:rsidRDefault="0085004A" w:rsidP="00F544FC">
            <w:pPr>
              <w:ind w:left="144"/>
            </w:pPr>
            <w:r>
              <w:t>A</w:t>
            </w:r>
            <w:r w:rsidRPr="00190CAB">
              <w:t>bsolute lymphocyte count</w:t>
            </w:r>
          </w:p>
        </w:tc>
      </w:tr>
      <w:tr w:rsidR="0085004A" w:rsidRPr="00FD119B" w14:paraId="09601C7A" w14:textId="77777777" w:rsidTr="00F123A4">
        <w:tc>
          <w:tcPr>
            <w:tcW w:w="1809" w:type="dxa"/>
          </w:tcPr>
          <w:p w14:paraId="7F46228A" w14:textId="77777777" w:rsidR="0085004A" w:rsidRDefault="0085004A" w:rsidP="00F544FC">
            <w:pPr>
              <w:ind w:left="144"/>
            </w:pPr>
            <w:r>
              <w:t>ALT</w:t>
            </w:r>
          </w:p>
        </w:tc>
        <w:tc>
          <w:tcPr>
            <w:tcW w:w="6911" w:type="dxa"/>
          </w:tcPr>
          <w:p w14:paraId="40A808A3" w14:textId="77777777" w:rsidR="0085004A" w:rsidRDefault="0085004A" w:rsidP="00F544FC">
            <w:pPr>
              <w:ind w:left="144"/>
            </w:pPr>
            <w:r>
              <w:t>Alanine aminotransferase</w:t>
            </w:r>
          </w:p>
        </w:tc>
      </w:tr>
      <w:tr w:rsidR="0085004A" w:rsidRPr="00FD119B" w14:paraId="686D6496" w14:textId="77777777" w:rsidTr="00F123A4">
        <w:tc>
          <w:tcPr>
            <w:tcW w:w="1809" w:type="dxa"/>
          </w:tcPr>
          <w:p w14:paraId="47311DD5" w14:textId="77777777" w:rsidR="0085004A" w:rsidRDefault="0085004A" w:rsidP="00F544FC">
            <w:pPr>
              <w:ind w:left="144"/>
            </w:pPr>
            <w:r>
              <w:t>ANC</w:t>
            </w:r>
          </w:p>
        </w:tc>
        <w:tc>
          <w:tcPr>
            <w:tcW w:w="6911" w:type="dxa"/>
          </w:tcPr>
          <w:p w14:paraId="42523FFB" w14:textId="77777777" w:rsidR="0085004A" w:rsidRPr="00460036" w:rsidRDefault="0085004A" w:rsidP="00F544FC">
            <w:pPr>
              <w:ind w:left="144"/>
            </w:pPr>
            <w:r>
              <w:t>Absolute neutrophil count</w:t>
            </w:r>
          </w:p>
        </w:tc>
      </w:tr>
      <w:tr w:rsidR="0085004A" w:rsidRPr="00FD119B" w14:paraId="1A9EDA4F" w14:textId="77777777" w:rsidTr="00F123A4">
        <w:tc>
          <w:tcPr>
            <w:tcW w:w="1809" w:type="dxa"/>
          </w:tcPr>
          <w:p w14:paraId="47B8B79E" w14:textId="77777777" w:rsidR="0085004A" w:rsidRDefault="0085004A" w:rsidP="00F544FC">
            <w:pPr>
              <w:ind w:left="144"/>
            </w:pPr>
            <w:r>
              <w:t>AO</w:t>
            </w:r>
          </w:p>
        </w:tc>
        <w:tc>
          <w:tcPr>
            <w:tcW w:w="6911" w:type="dxa"/>
          </w:tcPr>
          <w:p w14:paraId="1468FC2C" w14:textId="77777777" w:rsidR="0085004A" w:rsidRDefault="0085004A" w:rsidP="00F544FC">
            <w:pPr>
              <w:ind w:left="144"/>
            </w:pPr>
            <w:r>
              <w:t>As observed</w:t>
            </w:r>
          </w:p>
        </w:tc>
      </w:tr>
      <w:tr w:rsidR="0085004A" w:rsidRPr="00FD119B" w14:paraId="0F31889D" w14:textId="77777777" w:rsidTr="00F123A4">
        <w:tc>
          <w:tcPr>
            <w:tcW w:w="1809" w:type="dxa"/>
          </w:tcPr>
          <w:p w14:paraId="5B29D6A0" w14:textId="77777777" w:rsidR="0085004A" w:rsidRDefault="0085004A" w:rsidP="00F544FC">
            <w:pPr>
              <w:ind w:left="144"/>
            </w:pPr>
            <w:r>
              <w:t>ARDS</w:t>
            </w:r>
          </w:p>
        </w:tc>
        <w:tc>
          <w:tcPr>
            <w:tcW w:w="6911" w:type="dxa"/>
          </w:tcPr>
          <w:p w14:paraId="6F1B8E5D" w14:textId="77777777" w:rsidR="0085004A" w:rsidRDefault="0085004A" w:rsidP="00F544FC">
            <w:pPr>
              <w:ind w:left="144"/>
            </w:pPr>
            <w:r>
              <w:t>Acute respiratory distress syndrome</w:t>
            </w:r>
          </w:p>
        </w:tc>
      </w:tr>
      <w:tr w:rsidR="0085004A" w:rsidRPr="00FD119B" w14:paraId="6E554C91" w14:textId="77777777" w:rsidTr="00F123A4">
        <w:tc>
          <w:tcPr>
            <w:tcW w:w="1809" w:type="dxa"/>
          </w:tcPr>
          <w:p w14:paraId="7A52A834" w14:textId="77777777" w:rsidR="0085004A" w:rsidRPr="00FD119B" w:rsidRDefault="0085004A" w:rsidP="00F544FC">
            <w:pPr>
              <w:ind w:left="144" w:right="0"/>
            </w:pPr>
            <w:r>
              <w:t>ARTG</w:t>
            </w:r>
          </w:p>
        </w:tc>
        <w:tc>
          <w:tcPr>
            <w:tcW w:w="6911" w:type="dxa"/>
          </w:tcPr>
          <w:p w14:paraId="500BC36F" w14:textId="77777777" w:rsidR="0085004A" w:rsidRPr="00FD119B" w:rsidRDefault="0085004A" w:rsidP="00F544FC">
            <w:pPr>
              <w:ind w:left="144" w:right="0"/>
            </w:pPr>
            <w:r w:rsidRPr="00460036">
              <w:t>Australian Register of Therapeutic Goods</w:t>
            </w:r>
          </w:p>
        </w:tc>
      </w:tr>
      <w:tr w:rsidR="0085004A" w:rsidRPr="00FD119B" w14:paraId="0838D952" w14:textId="77777777" w:rsidTr="00F123A4">
        <w:tc>
          <w:tcPr>
            <w:tcW w:w="1809" w:type="dxa"/>
          </w:tcPr>
          <w:p w14:paraId="59674F4F" w14:textId="77777777" w:rsidR="0085004A" w:rsidRDefault="0085004A" w:rsidP="00F544FC">
            <w:pPr>
              <w:ind w:left="144"/>
            </w:pPr>
            <w:r>
              <w:t>AS</w:t>
            </w:r>
          </w:p>
        </w:tc>
        <w:tc>
          <w:tcPr>
            <w:tcW w:w="6911" w:type="dxa"/>
          </w:tcPr>
          <w:p w14:paraId="6B5A749F" w14:textId="77777777" w:rsidR="0085004A" w:rsidRDefault="0085004A" w:rsidP="00F544FC">
            <w:pPr>
              <w:ind w:left="144"/>
            </w:pPr>
            <w:r>
              <w:t>Ankylosing spondylitis</w:t>
            </w:r>
          </w:p>
        </w:tc>
      </w:tr>
      <w:tr w:rsidR="0085004A" w:rsidRPr="00FD119B" w14:paraId="0D38BC47" w14:textId="77777777" w:rsidTr="00F123A4">
        <w:tc>
          <w:tcPr>
            <w:tcW w:w="1809" w:type="dxa"/>
          </w:tcPr>
          <w:p w14:paraId="07F5E573" w14:textId="77777777" w:rsidR="0085004A" w:rsidRDefault="0085004A" w:rsidP="00F544FC">
            <w:pPr>
              <w:ind w:left="144"/>
            </w:pPr>
            <w:r>
              <w:t>ASAS</w:t>
            </w:r>
          </w:p>
        </w:tc>
        <w:tc>
          <w:tcPr>
            <w:tcW w:w="6911" w:type="dxa"/>
          </w:tcPr>
          <w:p w14:paraId="7F702B44" w14:textId="77777777" w:rsidR="0085004A" w:rsidRDefault="0085004A" w:rsidP="00F544FC">
            <w:pPr>
              <w:ind w:left="144"/>
            </w:pPr>
            <w:r w:rsidRPr="0033171C">
              <w:t xml:space="preserve">Assessment of </w:t>
            </w:r>
            <w:proofErr w:type="spellStart"/>
            <w:r w:rsidRPr="0033171C">
              <w:t>SpondyloArthritis</w:t>
            </w:r>
            <w:proofErr w:type="spellEnd"/>
            <w:r w:rsidRPr="0033171C">
              <w:t xml:space="preserve"> International Society</w:t>
            </w:r>
          </w:p>
        </w:tc>
      </w:tr>
      <w:tr w:rsidR="0085004A" w:rsidRPr="00FD119B" w14:paraId="451ADFE6" w14:textId="77777777" w:rsidTr="00F123A4">
        <w:tc>
          <w:tcPr>
            <w:tcW w:w="1809" w:type="dxa"/>
          </w:tcPr>
          <w:p w14:paraId="549BAAE9" w14:textId="77777777" w:rsidR="0085004A" w:rsidRDefault="0085004A" w:rsidP="00F544FC">
            <w:pPr>
              <w:ind w:left="144"/>
            </w:pPr>
            <w:proofErr w:type="spellStart"/>
            <w:r>
              <w:t>ASQoL</w:t>
            </w:r>
            <w:proofErr w:type="spellEnd"/>
          </w:p>
        </w:tc>
        <w:tc>
          <w:tcPr>
            <w:tcW w:w="6911" w:type="dxa"/>
          </w:tcPr>
          <w:p w14:paraId="72F8928B" w14:textId="77777777" w:rsidR="0085004A" w:rsidRDefault="0085004A" w:rsidP="00F544FC">
            <w:pPr>
              <w:ind w:left="144"/>
            </w:pPr>
            <w:r>
              <w:t>Ankylosing Spondylitis Quality of Life</w:t>
            </w:r>
          </w:p>
        </w:tc>
      </w:tr>
      <w:tr w:rsidR="0085004A" w:rsidRPr="00FD119B" w14:paraId="4243DA3B" w14:textId="77777777" w:rsidTr="00F123A4">
        <w:tc>
          <w:tcPr>
            <w:tcW w:w="1809" w:type="dxa"/>
          </w:tcPr>
          <w:p w14:paraId="330C48B5" w14:textId="77777777" w:rsidR="0085004A" w:rsidRDefault="0085004A" w:rsidP="00F544FC">
            <w:pPr>
              <w:ind w:left="144"/>
            </w:pPr>
            <w:r>
              <w:t>AST</w:t>
            </w:r>
          </w:p>
        </w:tc>
        <w:tc>
          <w:tcPr>
            <w:tcW w:w="6911" w:type="dxa"/>
          </w:tcPr>
          <w:p w14:paraId="794E0C89" w14:textId="77777777" w:rsidR="0085004A" w:rsidRDefault="0085004A" w:rsidP="00F544FC">
            <w:pPr>
              <w:ind w:left="144"/>
            </w:pPr>
            <w:r>
              <w:t>Aspartate aminotransferase</w:t>
            </w:r>
          </w:p>
        </w:tc>
      </w:tr>
      <w:tr w:rsidR="0085004A" w:rsidRPr="00FD119B" w14:paraId="7F5BE6FE" w14:textId="77777777" w:rsidTr="00F123A4">
        <w:tc>
          <w:tcPr>
            <w:tcW w:w="1809" w:type="dxa"/>
          </w:tcPr>
          <w:p w14:paraId="4017EA04" w14:textId="77777777" w:rsidR="0085004A" w:rsidRDefault="0085004A" w:rsidP="00F544FC">
            <w:pPr>
              <w:ind w:left="144"/>
            </w:pPr>
            <w:r>
              <w:t>AUC</w:t>
            </w:r>
          </w:p>
        </w:tc>
        <w:tc>
          <w:tcPr>
            <w:tcW w:w="6911" w:type="dxa"/>
          </w:tcPr>
          <w:p w14:paraId="70797A76" w14:textId="7DB1123C" w:rsidR="0085004A" w:rsidRDefault="0085004A" w:rsidP="00F544FC">
            <w:pPr>
              <w:ind w:left="144"/>
            </w:pPr>
            <w:r>
              <w:rPr>
                <w:rFonts w:cs="Calibri"/>
                <w:color w:val="000000"/>
              </w:rPr>
              <w:t xml:space="preserve">Area under </w:t>
            </w:r>
            <w:r w:rsidR="009617B5">
              <w:rPr>
                <w:rFonts w:cs="Calibri"/>
                <w:color w:val="000000"/>
              </w:rPr>
              <w:t xml:space="preserve">the </w:t>
            </w:r>
            <w:r w:rsidRPr="002B01B1">
              <w:rPr>
                <w:rFonts w:cs="Calibri"/>
                <w:color w:val="000000"/>
              </w:rPr>
              <w:t>concentration</w:t>
            </w:r>
            <w:r w:rsidR="009617B5">
              <w:rPr>
                <w:rFonts w:cs="Calibri"/>
                <w:color w:val="000000"/>
              </w:rPr>
              <w:t xml:space="preserve"> versus</w:t>
            </w:r>
            <w:r w:rsidRPr="002B01B1">
              <w:rPr>
                <w:rFonts w:cs="Calibri"/>
                <w:color w:val="000000"/>
              </w:rPr>
              <w:t xml:space="preserve"> time curve</w:t>
            </w:r>
          </w:p>
        </w:tc>
      </w:tr>
      <w:tr w:rsidR="0085004A" w:rsidRPr="00FD119B" w14:paraId="60319426" w14:textId="77777777" w:rsidTr="00F123A4">
        <w:tc>
          <w:tcPr>
            <w:tcW w:w="1809" w:type="dxa"/>
          </w:tcPr>
          <w:p w14:paraId="03B98E4C" w14:textId="77777777" w:rsidR="0085004A" w:rsidRDefault="0085004A" w:rsidP="00F544FC">
            <w:pPr>
              <w:ind w:left="144"/>
            </w:pPr>
            <w:r>
              <w:t>AUC</w:t>
            </w:r>
            <w:r w:rsidRPr="00CF3BDF">
              <w:rPr>
                <w:vertAlign w:val="subscript"/>
              </w:rPr>
              <w:t>inf</w:t>
            </w:r>
          </w:p>
        </w:tc>
        <w:tc>
          <w:tcPr>
            <w:tcW w:w="6911" w:type="dxa"/>
          </w:tcPr>
          <w:p w14:paraId="00949C01" w14:textId="4867A9FB" w:rsidR="0085004A" w:rsidRDefault="0085004A" w:rsidP="00F544FC">
            <w:pPr>
              <w:ind w:left="144"/>
            </w:pPr>
            <w:r>
              <w:rPr>
                <w:rFonts w:cs="Calibri"/>
                <w:color w:val="000000"/>
              </w:rPr>
              <w:t xml:space="preserve">Area under </w:t>
            </w:r>
            <w:r w:rsidR="009617B5">
              <w:rPr>
                <w:rFonts w:cs="Calibri"/>
                <w:color w:val="000000"/>
              </w:rPr>
              <w:t xml:space="preserve">the </w:t>
            </w:r>
            <w:r w:rsidRPr="002B01B1">
              <w:rPr>
                <w:rFonts w:cs="Calibri"/>
                <w:color w:val="000000"/>
              </w:rPr>
              <w:t xml:space="preserve">concentration </w:t>
            </w:r>
            <w:r w:rsidR="009617B5">
              <w:rPr>
                <w:rFonts w:cs="Calibri"/>
                <w:color w:val="000000"/>
              </w:rPr>
              <w:t xml:space="preserve">versus </w:t>
            </w:r>
            <w:r w:rsidRPr="002B01B1">
              <w:rPr>
                <w:rFonts w:cs="Calibri"/>
                <w:color w:val="000000"/>
              </w:rPr>
              <w:t>time curve from time zero to infinity</w:t>
            </w:r>
          </w:p>
        </w:tc>
      </w:tr>
      <w:tr w:rsidR="0085004A" w:rsidRPr="00FD119B" w14:paraId="439173BE" w14:textId="77777777" w:rsidTr="00F123A4">
        <w:tc>
          <w:tcPr>
            <w:tcW w:w="1809" w:type="dxa"/>
          </w:tcPr>
          <w:p w14:paraId="690D6213" w14:textId="77777777" w:rsidR="0085004A" w:rsidRDefault="0085004A" w:rsidP="00F544FC">
            <w:pPr>
              <w:ind w:left="144"/>
            </w:pPr>
            <w:proofErr w:type="spellStart"/>
            <w:r>
              <w:t>AusPAR</w:t>
            </w:r>
            <w:proofErr w:type="spellEnd"/>
          </w:p>
        </w:tc>
        <w:tc>
          <w:tcPr>
            <w:tcW w:w="6911" w:type="dxa"/>
          </w:tcPr>
          <w:p w14:paraId="41786A43" w14:textId="77777777" w:rsidR="0085004A" w:rsidRPr="00460036" w:rsidRDefault="0085004A" w:rsidP="00F544FC">
            <w:pPr>
              <w:ind w:left="144"/>
            </w:pPr>
            <w:r>
              <w:t>Australian Public Assessment Report</w:t>
            </w:r>
          </w:p>
        </w:tc>
      </w:tr>
      <w:tr w:rsidR="0085004A" w:rsidRPr="00FD119B" w14:paraId="74B6DF32" w14:textId="77777777" w:rsidTr="00F123A4">
        <w:tc>
          <w:tcPr>
            <w:tcW w:w="1809" w:type="dxa"/>
          </w:tcPr>
          <w:p w14:paraId="3E120CFA" w14:textId="77777777" w:rsidR="0085004A" w:rsidRDefault="0085004A" w:rsidP="00F544FC">
            <w:pPr>
              <w:ind w:left="144"/>
            </w:pPr>
            <w:proofErr w:type="spellStart"/>
            <w:r>
              <w:t>axSpA</w:t>
            </w:r>
            <w:proofErr w:type="spellEnd"/>
          </w:p>
        </w:tc>
        <w:tc>
          <w:tcPr>
            <w:tcW w:w="6911" w:type="dxa"/>
          </w:tcPr>
          <w:p w14:paraId="55889B33" w14:textId="77777777" w:rsidR="0085004A" w:rsidRPr="00460036" w:rsidRDefault="0085004A" w:rsidP="00F544FC">
            <w:pPr>
              <w:ind w:left="144"/>
            </w:pPr>
            <w:r>
              <w:t xml:space="preserve">Axial </w:t>
            </w:r>
            <w:proofErr w:type="spellStart"/>
            <w:r>
              <w:t>spondyloarthritis</w:t>
            </w:r>
            <w:proofErr w:type="spellEnd"/>
          </w:p>
        </w:tc>
      </w:tr>
      <w:tr w:rsidR="0085004A" w:rsidRPr="00FD119B" w14:paraId="2B9D3EB2" w14:textId="77777777" w:rsidTr="00F123A4">
        <w:tc>
          <w:tcPr>
            <w:tcW w:w="1809" w:type="dxa"/>
          </w:tcPr>
          <w:p w14:paraId="269D820B" w14:textId="77777777" w:rsidR="0085004A" w:rsidRDefault="0085004A" w:rsidP="00F544FC">
            <w:pPr>
              <w:ind w:left="144"/>
            </w:pPr>
            <w:r>
              <w:t>BASDAI</w:t>
            </w:r>
          </w:p>
        </w:tc>
        <w:tc>
          <w:tcPr>
            <w:tcW w:w="6911" w:type="dxa"/>
          </w:tcPr>
          <w:p w14:paraId="0392A3A9" w14:textId="77777777" w:rsidR="0085004A" w:rsidRDefault="0085004A" w:rsidP="00F544FC">
            <w:pPr>
              <w:ind w:left="144"/>
            </w:pPr>
            <w:r>
              <w:t>Bath Ankylosing Spondylitis Disease Activity Index</w:t>
            </w:r>
          </w:p>
        </w:tc>
      </w:tr>
      <w:tr w:rsidR="0085004A" w:rsidRPr="00FD119B" w14:paraId="1FAA1B30" w14:textId="77777777" w:rsidTr="00F123A4">
        <w:tc>
          <w:tcPr>
            <w:tcW w:w="1809" w:type="dxa"/>
          </w:tcPr>
          <w:p w14:paraId="4A7B0443" w14:textId="77777777" w:rsidR="0085004A" w:rsidRDefault="0085004A" w:rsidP="00F544FC">
            <w:pPr>
              <w:ind w:left="144"/>
            </w:pPr>
            <w:r>
              <w:t>BASFI</w:t>
            </w:r>
          </w:p>
        </w:tc>
        <w:tc>
          <w:tcPr>
            <w:tcW w:w="6911" w:type="dxa"/>
          </w:tcPr>
          <w:p w14:paraId="6C5F50C2" w14:textId="77777777" w:rsidR="0085004A" w:rsidRDefault="0085004A" w:rsidP="00F544FC">
            <w:pPr>
              <w:ind w:left="144"/>
            </w:pPr>
            <w:r w:rsidRPr="001E7013">
              <w:t>Bath Ankylosing Spondylitis Functional Index</w:t>
            </w:r>
          </w:p>
        </w:tc>
      </w:tr>
      <w:tr w:rsidR="0085004A" w:rsidRPr="00FD119B" w14:paraId="4178EE9D" w14:textId="77777777" w:rsidTr="00F123A4">
        <w:tc>
          <w:tcPr>
            <w:tcW w:w="1809" w:type="dxa"/>
          </w:tcPr>
          <w:p w14:paraId="5BE1CBE4" w14:textId="77777777" w:rsidR="0085004A" w:rsidRDefault="0085004A" w:rsidP="00F544FC">
            <w:pPr>
              <w:ind w:left="144"/>
            </w:pPr>
            <w:r>
              <w:t>BASMI</w:t>
            </w:r>
          </w:p>
        </w:tc>
        <w:tc>
          <w:tcPr>
            <w:tcW w:w="6911" w:type="dxa"/>
          </w:tcPr>
          <w:p w14:paraId="0057C04D" w14:textId="77777777" w:rsidR="0085004A" w:rsidRDefault="0085004A" w:rsidP="00F544FC">
            <w:pPr>
              <w:ind w:left="144"/>
            </w:pPr>
            <w:r>
              <w:t>Bath Ankylosing Spondylitis Metrology Index</w:t>
            </w:r>
          </w:p>
        </w:tc>
      </w:tr>
      <w:tr w:rsidR="0085004A" w:rsidRPr="00FD119B" w14:paraId="6276E5DE" w14:textId="77777777" w:rsidTr="00F123A4">
        <w:tc>
          <w:tcPr>
            <w:tcW w:w="1809" w:type="dxa"/>
          </w:tcPr>
          <w:p w14:paraId="5766D00E" w14:textId="77777777" w:rsidR="0085004A" w:rsidRDefault="0085004A" w:rsidP="00F544FC">
            <w:pPr>
              <w:ind w:left="144"/>
            </w:pPr>
            <w:proofErr w:type="spellStart"/>
            <w:r>
              <w:t>bDMARD</w:t>
            </w:r>
            <w:proofErr w:type="spellEnd"/>
          </w:p>
        </w:tc>
        <w:tc>
          <w:tcPr>
            <w:tcW w:w="6911" w:type="dxa"/>
          </w:tcPr>
          <w:p w14:paraId="1E489B34" w14:textId="77777777" w:rsidR="0085004A" w:rsidRPr="00460036" w:rsidRDefault="0085004A" w:rsidP="00F544FC">
            <w:pPr>
              <w:ind w:left="144"/>
            </w:pPr>
            <w:r>
              <w:t>Biological disease-modifying anti-rheumatic drug</w:t>
            </w:r>
          </w:p>
        </w:tc>
      </w:tr>
      <w:tr w:rsidR="0085004A" w:rsidRPr="00FD119B" w14:paraId="75E520BD" w14:textId="77777777" w:rsidTr="00F123A4">
        <w:tc>
          <w:tcPr>
            <w:tcW w:w="1809" w:type="dxa"/>
          </w:tcPr>
          <w:p w14:paraId="065D5689" w14:textId="77777777" w:rsidR="0085004A" w:rsidRDefault="0085004A" w:rsidP="00F544FC">
            <w:pPr>
              <w:ind w:left="144"/>
            </w:pPr>
            <w:r>
              <w:t>BMI</w:t>
            </w:r>
          </w:p>
        </w:tc>
        <w:tc>
          <w:tcPr>
            <w:tcW w:w="6911" w:type="dxa"/>
          </w:tcPr>
          <w:p w14:paraId="45CD73ED" w14:textId="77777777" w:rsidR="0085004A" w:rsidRDefault="0085004A" w:rsidP="00F544FC">
            <w:pPr>
              <w:ind w:left="144"/>
            </w:pPr>
            <w:r>
              <w:t>Body mass index</w:t>
            </w:r>
          </w:p>
        </w:tc>
      </w:tr>
      <w:tr w:rsidR="0085004A" w:rsidRPr="00FD119B" w14:paraId="21A6A8C0" w14:textId="77777777" w:rsidTr="00F123A4">
        <w:tc>
          <w:tcPr>
            <w:tcW w:w="1809" w:type="dxa"/>
          </w:tcPr>
          <w:p w14:paraId="7225E419" w14:textId="77777777" w:rsidR="0085004A" w:rsidRDefault="0085004A" w:rsidP="00F544FC">
            <w:pPr>
              <w:ind w:left="144"/>
            </w:pPr>
            <w:r>
              <w:lastRenderedPageBreak/>
              <w:t>CASPAR</w:t>
            </w:r>
          </w:p>
        </w:tc>
        <w:tc>
          <w:tcPr>
            <w:tcW w:w="6911" w:type="dxa"/>
          </w:tcPr>
          <w:p w14:paraId="32AC9396" w14:textId="77777777" w:rsidR="0085004A" w:rsidRPr="00460036" w:rsidRDefault="0085004A" w:rsidP="00F544FC">
            <w:pPr>
              <w:ind w:left="144"/>
            </w:pPr>
            <w:r>
              <w:t>Classification Criteria for Psoriatic Arthritis</w:t>
            </w:r>
          </w:p>
        </w:tc>
      </w:tr>
      <w:tr w:rsidR="0085004A" w:rsidRPr="00FD119B" w14:paraId="71EA99F9" w14:textId="77777777" w:rsidTr="00F123A4">
        <w:tc>
          <w:tcPr>
            <w:tcW w:w="1809" w:type="dxa"/>
          </w:tcPr>
          <w:p w14:paraId="11A49DA0" w14:textId="77777777" w:rsidR="0085004A" w:rsidRDefault="0085004A" w:rsidP="00F544FC">
            <w:pPr>
              <w:ind w:left="144"/>
            </w:pPr>
            <w:proofErr w:type="spellStart"/>
            <w:r>
              <w:t>C</w:t>
            </w:r>
            <w:r w:rsidRPr="00AE5E26">
              <w:rPr>
                <w:vertAlign w:val="subscript"/>
              </w:rPr>
              <w:t>avg</w:t>
            </w:r>
            <w:proofErr w:type="spellEnd"/>
          </w:p>
        </w:tc>
        <w:tc>
          <w:tcPr>
            <w:tcW w:w="6911" w:type="dxa"/>
          </w:tcPr>
          <w:p w14:paraId="733FCEBA" w14:textId="11F0A73D" w:rsidR="0085004A" w:rsidRDefault="0085004A" w:rsidP="00F544FC">
            <w:pPr>
              <w:ind w:left="144"/>
            </w:pPr>
            <w:r>
              <w:t>A</w:t>
            </w:r>
            <w:r w:rsidRPr="00A72D3B">
              <w:t>verage</w:t>
            </w:r>
            <w:r>
              <w:t xml:space="preserve"> </w:t>
            </w:r>
            <w:r w:rsidRPr="00A72D3B">
              <w:t>plasma concentration</w:t>
            </w:r>
          </w:p>
        </w:tc>
      </w:tr>
      <w:tr w:rsidR="0085004A" w:rsidRPr="00FD119B" w14:paraId="40621D1D" w14:textId="77777777" w:rsidTr="00F123A4">
        <w:tc>
          <w:tcPr>
            <w:tcW w:w="1809" w:type="dxa"/>
          </w:tcPr>
          <w:p w14:paraId="5021CE95" w14:textId="77777777" w:rsidR="0085004A" w:rsidRDefault="0085004A" w:rsidP="00F544FC">
            <w:pPr>
              <w:ind w:left="144"/>
            </w:pPr>
            <w:proofErr w:type="spellStart"/>
            <w:r>
              <w:t>cDMARD</w:t>
            </w:r>
            <w:proofErr w:type="spellEnd"/>
          </w:p>
        </w:tc>
        <w:tc>
          <w:tcPr>
            <w:tcW w:w="6911" w:type="dxa"/>
          </w:tcPr>
          <w:p w14:paraId="3BFEFDF9" w14:textId="77777777" w:rsidR="0085004A" w:rsidRPr="00460036" w:rsidRDefault="0085004A" w:rsidP="00F544FC">
            <w:pPr>
              <w:ind w:left="144"/>
            </w:pPr>
            <w:r>
              <w:t>Conventional disease-modifying anti-rheumatic drug</w:t>
            </w:r>
          </w:p>
        </w:tc>
      </w:tr>
      <w:tr w:rsidR="00DF15D4" w:rsidRPr="00FD119B" w14:paraId="24CBBF33" w14:textId="77777777" w:rsidTr="00F123A4">
        <w:tc>
          <w:tcPr>
            <w:tcW w:w="1809" w:type="dxa"/>
          </w:tcPr>
          <w:p w14:paraId="6FB885CD" w14:textId="6101C3AF" w:rsidR="00DF15D4" w:rsidRDefault="00DF15D4" w:rsidP="009617B5">
            <w:pPr>
              <w:ind w:left="144"/>
            </w:pPr>
            <w:proofErr w:type="spellStart"/>
            <w:r>
              <w:t>csDMARD</w:t>
            </w:r>
            <w:proofErr w:type="spellEnd"/>
          </w:p>
        </w:tc>
        <w:tc>
          <w:tcPr>
            <w:tcW w:w="6911" w:type="dxa"/>
          </w:tcPr>
          <w:p w14:paraId="14F20C3A" w14:textId="2B285CCE" w:rsidR="00DF15D4" w:rsidRDefault="00DF15D4" w:rsidP="009617B5">
            <w:pPr>
              <w:ind w:left="144"/>
            </w:pPr>
            <w:r>
              <w:t>Conventional synthetic disease-modifying ant-rheumatic drug</w:t>
            </w:r>
          </w:p>
        </w:tc>
      </w:tr>
      <w:tr w:rsidR="0085004A" w:rsidRPr="00FD119B" w14:paraId="5EDC06A5" w14:textId="77777777" w:rsidTr="00F123A4">
        <w:tc>
          <w:tcPr>
            <w:tcW w:w="1809" w:type="dxa"/>
          </w:tcPr>
          <w:p w14:paraId="0F03AB58" w14:textId="77777777" w:rsidR="0085004A" w:rsidRDefault="0085004A" w:rsidP="00F544FC">
            <w:pPr>
              <w:ind w:left="144"/>
            </w:pPr>
            <w:r>
              <w:t>CL</w:t>
            </w:r>
          </w:p>
        </w:tc>
        <w:tc>
          <w:tcPr>
            <w:tcW w:w="6911" w:type="dxa"/>
          </w:tcPr>
          <w:p w14:paraId="1AD0FF3A" w14:textId="77777777" w:rsidR="0085004A" w:rsidRDefault="0085004A" w:rsidP="00F544FC">
            <w:pPr>
              <w:ind w:left="144"/>
            </w:pPr>
            <w:r>
              <w:t>Clearance</w:t>
            </w:r>
          </w:p>
        </w:tc>
      </w:tr>
      <w:tr w:rsidR="0085004A" w:rsidRPr="00FD119B" w14:paraId="372EFEE7" w14:textId="77777777" w:rsidTr="00F123A4">
        <w:tc>
          <w:tcPr>
            <w:tcW w:w="1809" w:type="dxa"/>
          </w:tcPr>
          <w:p w14:paraId="39F7D915" w14:textId="77777777" w:rsidR="0085004A" w:rsidRDefault="0085004A" w:rsidP="00F544FC">
            <w:pPr>
              <w:ind w:left="144"/>
            </w:pPr>
            <w:r>
              <w:t>CL/F</w:t>
            </w:r>
          </w:p>
        </w:tc>
        <w:tc>
          <w:tcPr>
            <w:tcW w:w="6911" w:type="dxa"/>
          </w:tcPr>
          <w:p w14:paraId="744FDF1B" w14:textId="77777777" w:rsidR="0085004A" w:rsidRDefault="0085004A" w:rsidP="00F544FC">
            <w:pPr>
              <w:ind w:left="144"/>
            </w:pPr>
            <w:r w:rsidRPr="002B01B1">
              <w:t>Oral clearance</w:t>
            </w:r>
          </w:p>
        </w:tc>
      </w:tr>
      <w:tr w:rsidR="0085004A" w:rsidRPr="00FD119B" w14:paraId="6C348310" w14:textId="77777777" w:rsidTr="00F123A4">
        <w:tc>
          <w:tcPr>
            <w:tcW w:w="1809" w:type="dxa"/>
          </w:tcPr>
          <w:p w14:paraId="20F5B392" w14:textId="77777777" w:rsidR="0085004A" w:rsidRDefault="0085004A" w:rsidP="00F544FC">
            <w:pPr>
              <w:ind w:left="144"/>
            </w:pPr>
            <w:proofErr w:type="spellStart"/>
            <w:r>
              <w:t>C</w:t>
            </w:r>
            <w:r w:rsidRPr="00CF3BDF">
              <w:rPr>
                <w:vertAlign w:val="subscript"/>
              </w:rPr>
              <w:t>max</w:t>
            </w:r>
            <w:proofErr w:type="spellEnd"/>
          </w:p>
        </w:tc>
        <w:tc>
          <w:tcPr>
            <w:tcW w:w="6911" w:type="dxa"/>
          </w:tcPr>
          <w:p w14:paraId="0CF69EBD" w14:textId="77777777" w:rsidR="0085004A" w:rsidRDefault="0085004A" w:rsidP="00F544FC">
            <w:pPr>
              <w:ind w:left="144"/>
            </w:pPr>
            <w:r>
              <w:rPr>
                <w:rFonts w:cs="Calibri"/>
                <w:color w:val="000000"/>
                <w:szCs w:val="22"/>
              </w:rPr>
              <w:t>Maximum plasma c</w:t>
            </w:r>
            <w:r w:rsidRPr="002B01B1">
              <w:rPr>
                <w:rFonts w:cs="Calibri"/>
                <w:color w:val="000000"/>
                <w:szCs w:val="22"/>
              </w:rPr>
              <w:t>oncentration</w:t>
            </w:r>
          </w:p>
        </w:tc>
      </w:tr>
      <w:tr w:rsidR="0085004A" w:rsidRPr="00FD119B" w14:paraId="1DBF8E55" w14:textId="77777777" w:rsidTr="00F123A4">
        <w:tc>
          <w:tcPr>
            <w:tcW w:w="1809" w:type="dxa"/>
          </w:tcPr>
          <w:p w14:paraId="3594E4D0" w14:textId="77777777" w:rsidR="0085004A" w:rsidRDefault="0085004A" w:rsidP="00F544FC">
            <w:pPr>
              <w:ind w:left="144"/>
            </w:pPr>
            <w:r>
              <w:t>CPK</w:t>
            </w:r>
          </w:p>
        </w:tc>
        <w:tc>
          <w:tcPr>
            <w:tcW w:w="6911" w:type="dxa"/>
          </w:tcPr>
          <w:p w14:paraId="2C1ADDE6" w14:textId="77777777" w:rsidR="0085004A" w:rsidRDefault="0085004A" w:rsidP="00F544FC">
            <w:pPr>
              <w:ind w:left="144"/>
            </w:pPr>
            <w:r>
              <w:t>Creatine phosphokinase</w:t>
            </w:r>
          </w:p>
        </w:tc>
      </w:tr>
      <w:tr w:rsidR="0085004A" w:rsidRPr="00FD119B" w14:paraId="05CAB6EE" w14:textId="77777777" w:rsidTr="00F123A4">
        <w:tc>
          <w:tcPr>
            <w:tcW w:w="1809" w:type="dxa"/>
          </w:tcPr>
          <w:p w14:paraId="58C41B2F" w14:textId="77777777" w:rsidR="0085004A" w:rsidRDefault="0085004A" w:rsidP="00F544FC">
            <w:pPr>
              <w:ind w:left="144"/>
            </w:pPr>
            <w:proofErr w:type="spellStart"/>
            <w:r>
              <w:t>CrCL</w:t>
            </w:r>
            <w:proofErr w:type="spellEnd"/>
          </w:p>
        </w:tc>
        <w:tc>
          <w:tcPr>
            <w:tcW w:w="6911" w:type="dxa"/>
          </w:tcPr>
          <w:p w14:paraId="7653BEC6" w14:textId="77777777" w:rsidR="0085004A" w:rsidRDefault="0085004A" w:rsidP="00F544FC">
            <w:pPr>
              <w:ind w:left="144"/>
            </w:pPr>
            <w:r>
              <w:t>Creatinine clearance</w:t>
            </w:r>
          </w:p>
        </w:tc>
      </w:tr>
      <w:tr w:rsidR="0085004A" w:rsidRPr="00FD119B" w14:paraId="79ADBD21" w14:textId="77777777" w:rsidTr="00F123A4">
        <w:tc>
          <w:tcPr>
            <w:tcW w:w="1809" w:type="dxa"/>
          </w:tcPr>
          <w:p w14:paraId="4CD88BD2" w14:textId="77777777" w:rsidR="0085004A" w:rsidRDefault="0085004A" w:rsidP="00F544FC">
            <w:pPr>
              <w:ind w:left="144"/>
            </w:pPr>
            <w:r>
              <w:t>CRP</w:t>
            </w:r>
          </w:p>
        </w:tc>
        <w:tc>
          <w:tcPr>
            <w:tcW w:w="6911" w:type="dxa"/>
          </w:tcPr>
          <w:p w14:paraId="2A78DC72" w14:textId="77777777" w:rsidR="0085004A" w:rsidRDefault="0085004A" w:rsidP="00F544FC">
            <w:pPr>
              <w:ind w:left="144"/>
            </w:pPr>
            <w:r>
              <w:t>C-reactive protein</w:t>
            </w:r>
          </w:p>
        </w:tc>
      </w:tr>
      <w:tr w:rsidR="0085004A" w:rsidRPr="00FD119B" w14:paraId="1E9A5A5C" w14:textId="77777777" w:rsidTr="00F123A4">
        <w:tc>
          <w:tcPr>
            <w:tcW w:w="1809" w:type="dxa"/>
          </w:tcPr>
          <w:p w14:paraId="193D9247" w14:textId="77777777" w:rsidR="0085004A" w:rsidRDefault="0085004A" w:rsidP="00F544FC">
            <w:pPr>
              <w:ind w:left="144"/>
            </w:pPr>
            <w:r>
              <w:t>DMARD</w:t>
            </w:r>
          </w:p>
        </w:tc>
        <w:tc>
          <w:tcPr>
            <w:tcW w:w="6911" w:type="dxa"/>
          </w:tcPr>
          <w:p w14:paraId="6A2167DC" w14:textId="77777777" w:rsidR="0085004A" w:rsidRPr="00460036" w:rsidRDefault="0085004A" w:rsidP="00F544FC">
            <w:pPr>
              <w:ind w:left="144"/>
            </w:pPr>
            <w:r>
              <w:t>Disease-modifying anti-rheumatic drug</w:t>
            </w:r>
          </w:p>
        </w:tc>
      </w:tr>
      <w:tr w:rsidR="0085004A" w:rsidRPr="00FD119B" w14:paraId="3E218380" w14:textId="77777777" w:rsidTr="00F123A4">
        <w:tc>
          <w:tcPr>
            <w:tcW w:w="1809" w:type="dxa"/>
          </w:tcPr>
          <w:p w14:paraId="2289436E" w14:textId="77777777" w:rsidR="0085004A" w:rsidRDefault="0085004A" w:rsidP="00F544FC">
            <w:pPr>
              <w:ind w:left="144"/>
            </w:pPr>
            <w:r>
              <w:t>DVT</w:t>
            </w:r>
          </w:p>
        </w:tc>
        <w:tc>
          <w:tcPr>
            <w:tcW w:w="6911" w:type="dxa"/>
          </w:tcPr>
          <w:p w14:paraId="06EC9BCC" w14:textId="77777777" w:rsidR="0085004A" w:rsidRPr="00E2153C" w:rsidRDefault="0085004A" w:rsidP="00F544FC">
            <w:pPr>
              <w:ind w:left="144"/>
            </w:pPr>
            <w:r>
              <w:t>D</w:t>
            </w:r>
            <w:r w:rsidRPr="00A95722">
              <w:t>eep vein thrombosis</w:t>
            </w:r>
          </w:p>
        </w:tc>
      </w:tr>
      <w:tr w:rsidR="0085004A" w:rsidRPr="00FD119B" w14:paraId="5894E44C" w14:textId="77777777" w:rsidTr="00F123A4">
        <w:tc>
          <w:tcPr>
            <w:tcW w:w="1809" w:type="dxa"/>
          </w:tcPr>
          <w:p w14:paraId="26BEADA7" w14:textId="77777777" w:rsidR="0085004A" w:rsidRDefault="0085004A" w:rsidP="00F544FC">
            <w:pPr>
              <w:ind w:left="144"/>
            </w:pPr>
            <w:r>
              <w:t>ER</w:t>
            </w:r>
          </w:p>
        </w:tc>
        <w:tc>
          <w:tcPr>
            <w:tcW w:w="6911" w:type="dxa"/>
          </w:tcPr>
          <w:p w14:paraId="7C18A593" w14:textId="77777777" w:rsidR="0085004A" w:rsidRDefault="007A5C52" w:rsidP="00F544FC">
            <w:pPr>
              <w:ind w:left="144"/>
            </w:pPr>
            <w:r>
              <w:t xml:space="preserve">Exposure </w:t>
            </w:r>
            <w:r w:rsidR="0085004A">
              <w:t>response</w:t>
            </w:r>
          </w:p>
        </w:tc>
      </w:tr>
      <w:tr w:rsidR="0085004A" w:rsidRPr="00FD119B" w14:paraId="214747AE" w14:textId="77777777" w:rsidTr="00F123A4">
        <w:tc>
          <w:tcPr>
            <w:tcW w:w="1809" w:type="dxa"/>
          </w:tcPr>
          <w:p w14:paraId="63072707" w14:textId="77777777" w:rsidR="0085004A" w:rsidRDefault="0085004A" w:rsidP="00F544FC">
            <w:pPr>
              <w:ind w:left="144"/>
            </w:pPr>
            <w:r>
              <w:t>EU</w:t>
            </w:r>
          </w:p>
        </w:tc>
        <w:tc>
          <w:tcPr>
            <w:tcW w:w="6911" w:type="dxa"/>
          </w:tcPr>
          <w:p w14:paraId="24711535" w14:textId="77777777" w:rsidR="0085004A" w:rsidRPr="00460036" w:rsidRDefault="0085004A" w:rsidP="00F544FC">
            <w:pPr>
              <w:ind w:left="144"/>
            </w:pPr>
            <w:r>
              <w:t>European Union</w:t>
            </w:r>
          </w:p>
        </w:tc>
      </w:tr>
      <w:tr w:rsidR="0085004A" w:rsidRPr="00FD119B" w14:paraId="3DECD586" w14:textId="77777777" w:rsidTr="00F123A4">
        <w:tc>
          <w:tcPr>
            <w:tcW w:w="1809" w:type="dxa"/>
          </w:tcPr>
          <w:p w14:paraId="4695A53E" w14:textId="77777777" w:rsidR="0085004A" w:rsidRDefault="0085004A" w:rsidP="00F544FC">
            <w:pPr>
              <w:ind w:left="144"/>
            </w:pPr>
            <w:r>
              <w:t>FAS</w:t>
            </w:r>
          </w:p>
        </w:tc>
        <w:tc>
          <w:tcPr>
            <w:tcW w:w="6911" w:type="dxa"/>
          </w:tcPr>
          <w:p w14:paraId="75F11CDA" w14:textId="77777777" w:rsidR="0085004A" w:rsidRDefault="0085004A" w:rsidP="00F544FC">
            <w:pPr>
              <w:ind w:left="144"/>
            </w:pPr>
            <w:r>
              <w:t>Full analysis set</w:t>
            </w:r>
          </w:p>
        </w:tc>
      </w:tr>
      <w:tr w:rsidR="0085004A" w:rsidRPr="00FD119B" w14:paraId="6F401F4D" w14:textId="77777777" w:rsidTr="00F123A4">
        <w:tc>
          <w:tcPr>
            <w:tcW w:w="1809" w:type="dxa"/>
          </w:tcPr>
          <w:p w14:paraId="41C8591C" w14:textId="77777777" w:rsidR="0085004A" w:rsidRDefault="0085004A" w:rsidP="00F544FC">
            <w:pPr>
              <w:ind w:left="144"/>
            </w:pPr>
            <w:r>
              <w:t>HAQ-DI</w:t>
            </w:r>
          </w:p>
        </w:tc>
        <w:tc>
          <w:tcPr>
            <w:tcW w:w="6911" w:type="dxa"/>
          </w:tcPr>
          <w:p w14:paraId="3E0F626F" w14:textId="77777777" w:rsidR="0085004A" w:rsidRDefault="0085004A" w:rsidP="00F544FC">
            <w:pPr>
              <w:ind w:left="144"/>
            </w:pPr>
            <w:r>
              <w:t>Health Assessment Questionnaire – Disability Index</w:t>
            </w:r>
          </w:p>
        </w:tc>
      </w:tr>
      <w:tr w:rsidR="0085004A" w:rsidRPr="00FD119B" w14:paraId="62BAB328" w14:textId="77777777" w:rsidTr="00F123A4">
        <w:tc>
          <w:tcPr>
            <w:tcW w:w="1809" w:type="dxa"/>
          </w:tcPr>
          <w:p w14:paraId="09FDCB28" w14:textId="77777777" w:rsidR="0085004A" w:rsidRDefault="0085004A" w:rsidP="00F544FC">
            <w:pPr>
              <w:ind w:left="144"/>
            </w:pPr>
            <w:r>
              <w:t>IL</w:t>
            </w:r>
          </w:p>
        </w:tc>
        <w:tc>
          <w:tcPr>
            <w:tcW w:w="6911" w:type="dxa"/>
          </w:tcPr>
          <w:p w14:paraId="68676C82" w14:textId="77777777" w:rsidR="0085004A" w:rsidRPr="00460036" w:rsidRDefault="0085004A" w:rsidP="00F544FC">
            <w:pPr>
              <w:ind w:left="144"/>
            </w:pPr>
            <w:r>
              <w:t>I</w:t>
            </w:r>
            <w:r w:rsidRPr="00B85AFC">
              <w:t>nterleukin</w:t>
            </w:r>
          </w:p>
        </w:tc>
      </w:tr>
      <w:tr w:rsidR="0085004A" w:rsidRPr="00FD119B" w14:paraId="3ECCE531" w14:textId="77777777" w:rsidTr="00F123A4">
        <w:tc>
          <w:tcPr>
            <w:tcW w:w="1809" w:type="dxa"/>
          </w:tcPr>
          <w:p w14:paraId="2F77F001" w14:textId="77777777" w:rsidR="0085004A" w:rsidRDefault="0085004A" w:rsidP="00F544FC">
            <w:pPr>
              <w:ind w:left="144"/>
            </w:pPr>
            <w:r>
              <w:t>IR</w:t>
            </w:r>
          </w:p>
        </w:tc>
        <w:tc>
          <w:tcPr>
            <w:tcW w:w="6911" w:type="dxa"/>
          </w:tcPr>
          <w:p w14:paraId="273F347A" w14:textId="77777777" w:rsidR="0085004A" w:rsidRDefault="0085004A" w:rsidP="00F544FC">
            <w:pPr>
              <w:ind w:left="144"/>
            </w:pPr>
            <w:r>
              <w:t>Inadequate responder</w:t>
            </w:r>
          </w:p>
        </w:tc>
      </w:tr>
      <w:tr w:rsidR="0085004A" w:rsidRPr="00FD119B" w14:paraId="119F8930" w14:textId="77777777" w:rsidTr="00F123A4">
        <w:tc>
          <w:tcPr>
            <w:tcW w:w="1809" w:type="dxa"/>
          </w:tcPr>
          <w:p w14:paraId="55815D78" w14:textId="77777777" w:rsidR="0085004A" w:rsidRDefault="0085004A" w:rsidP="00F544FC">
            <w:pPr>
              <w:ind w:left="144"/>
            </w:pPr>
            <w:r>
              <w:t>JAK</w:t>
            </w:r>
          </w:p>
        </w:tc>
        <w:tc>
          <w:tcPr>
            <w:tcW w:w="6911" w:type="dxa"/>
          </w:tcPr>
          <w:p w14:paraId="5EEBA82C" w14:textId="77777777" w:rsidR="0085004A" w:rsidRPr="00460036" w:rsidRDefault="0085004A" w:rsidP="00F544FC">
            <w:pPr>
              <w:ind w:left="144"/>
            </w:pPr>
            <w:r w:rsidRPr="00B85AFC">
              <w:t>Janus kinase</w:t>
            </w:r>
          </w:p>
        </w:tc>
      </w:tr>
      <w:tr w:rsidR="0085004A" w:rsidRPr="00FD119B" w14:paraId="367CAE4A" w14:textId="77777777" w:rsidTr="00F123A4">
        <w:tc>
          <w:tcPr>
            <w:tcW w:w="1809" w:type="dxa"/>
          </w:tcPr>
          <w:p w14:paraId="305EAAD0" w14:textId="77777777" w:rsidR="0085004A" w:rsidRDefault="0085004A" w:rsidP="00F544FC">
            <w:pPr>
              <w:ind w:left="144"/>
            </w:pPr>
            <w:r>
              <w:t>MACE</w:t>
            </w:r>
          </w:p>
        </w:tc>
        <w:tc>
          <w:tcPr>
            <w:tcW w:w="6911" w:type="dxa"/>
          </w:tcPr>
          <w:p w14:paraId="3ACBC621" w14:textId="13DCFF6F" w:rsidR="0085004A" w:rsidRDefault="0085004A" w:rsidP="00F544FC">
            <w:pPr>
              <w:ind w:left="144"/>
            </w:pPr>
            <w:r>
              <w:t>Major adverse cardiovascular event</w:t>
            </w:r>
            <w:r w:rsidR="009617B5">
              <w:t>(</w:t>
            </w:r>
            <w:r>
              <w:t>s</w:t>
            </w:r>
            <w:r w:rsidR="009617B5">
              <w:t>)</w:t>
            </w:r>
          </w:p>
        </w:tc>
      </w:tr>
      <w:tr w:rsidR="0085004A" w:rsidRPr="00FD119B" w14:paraId="759E3D83" w14:textId="77777777" w:rsidTr="00F123A4">
        <w:tc>
          <w:tcPr>
            <w:tcW w:w="1809" w:type="dxa"/>
          </w:tcPr>
          <w:p w14:paraId="68371F9A" w14:textId="77777777" w:rsidR="0085004A" w:rsidRDefault="0085004A" w:rsidP="00F544FC">
            <w:pPr>
              <w:ind w:left="144"/>
            </w:pPr>
            <w:r>
              <w:t>MASES</w:t>
            </w:r>
          </w:p>
        </w:tc>
        <w:tc>
          <w:tcPr>
            <w:tcW w:w="6911" w:type="dxa"/>
          </w:tcPr>
          <w:p w14:paraId="25C4452B" w14:textId="77777777" w:rsidR="0085004A" w:rsidRDefault="0085004A" w:rsidP="00F544FC">
            <w:pPr>
              <w:ind w:left="144"/>
            </w:pPr>
            <w:r>
              <w:t xml:space="preserve">Maastricht Ankylosing Spondylitis </w:t>
            </w:r>
            <w:proofErr w:type="spellStart"/>
            <w:r>
              <w:t>Enthesitis</w:t>
            </w:r>
            <w:proofErr w:type="spellEnd"/>
            <w:r>
              <w:t xml:space="preserve"> Score</w:t>
            </w:r>
          </w:p>
        </w:tc>
      </w:tr>
      <w:tr w:rsidR="0085004A" w:rsidRPr="00FD119B" w14:paraId="45A8B608" w14:textId="77777777" w:rsidTr="00F123A4">
        <w:tc>
          <w:tcPr>
            <w:tcW w:w="1809" w:type="dxa"/>
          </w:tcPr>
          <w:p w14:paraId="52AAC1F3" w14:textId="77777777" w:rsidR="0085004A" w:rsidRDefault="0085004A" w:rsidP="00F544FC">
            <w:pPr>
              <w:ind w:left="144"/>
            </w:pPr>
            <w:r>
              <w:t>MRI</w:t>
            </w:r>
          </w:p>
        </w:tc>
        <w:tc>
          <w:tcPr>
            <w:tcW w:w="6911" w:type="dxa"/>
          </w:tcPr>
          <w:p w14:paraId="7BDF6EC0" w14:textId="77777777" w:rsidR="0085004A" w:rsidRPr="00460036" w:rsidRDefault="0085004A" w:rsidP="00F544FC">
            <w:pPr>
              <w:ind w:left="144"/>
            </w:pPr>
            <w:r w:rsidRPr="00387478">
              <w:t>Magnetic resonance imaging</w:t>
            </w:r>
          </w:p>
        </w:tc>
      </w:tr>
      <w:tr w:rsidR="0085004A" w:rsidRPr="00FD119B" w14:paraId="5ADEC77F" w14:textId="77777777" w:rsidTr="00F123A4">
        <w:tc>
          <w:tcPr>
            <w:tcW w:w="1809" w:type="dxa"/>
          </w:tcPr>
          <w:p w14:paraId="745C3B87" w14:textId="77777777" w:rsidR="0085004A" w:rsidRDefault="0085004A" w:rsidP="00F544FC">
            <w:pPr>
              <w:ind w:left="144"/>
            </w:pPr>
            <w:r>
              <w:t>NI</w:t>
            </w:r>
          </w:p>
        </w:tc>
        <w:tc>
          <w:tcPr>
            <w:tcW w:w="6911" w:type="dxa"/>
          </w:tcPr>
          <w:p w14:paraId="11649618" w14:textId="77777777" w:rsidR="0085004A" w:rsidRDefault="0085004A" w:rsidP="00F544FC">
            <w:pPr>
              <w:ind w:left="144"/>
            </w:pPr>
            <w:r>
              <w:t>Non-inferiority</w:t>
            </w:r>
          </w:p>
        </w:tc>
      </w:tr>
      <w:tr w:rsidR="0085004A" w:rsidRPr="00FD119B" w14:paraId="32F8F747" w14:textId="77777777" w:rsidTr="00F123A4">
        <w:tc>
          <w:tcPr>
            <w:tcW w:w="1809" w:type="dxa"/>
          </w:tcPr>
          <w:p w14:paraId="2F98367E" w14:textId="77777777" w:rsidR="0085004A" w:rsidRDefault="0085004A" w:rsidP="00F544FC">
            <w:pPr>
              <w:ind w:left="144"/>
            </w:pPr>
            <w:r>
              <w:t>NMSC</w:t>
            </w:r>
          </w:p>
        </w:tc>
        <w:tc>
          <w:tcPr>
            <w:tcW w:w="6911" w:type="dxa"/>
          </w:tcPr>
          <w:p w14:paraId="7D6F5410" w14:textId="77777777" w:rsidR="0085004A" w:rsidRDefault="0085004A" w:rsidP="00F544FC">
            <w:pPr>
              <w:ind w:left="144"/>
            </w:pPr>
            <w:r>
              <w:t>Non-melanoma skin cancer</w:t>
            </w:r>
          </w:p>
        </w:tc>
      </w:tr>
      <w:tr w:rsidR="0085004A" w:rsidRPr="00FD119B" w14:paraId="24EC6192" w14:textId="77777777" w:rsidTr="00F123A4">
        <w:tc>
          <w:tcPr>
            <w:tcW w:w="1809" w:type="dxa"/>
          </w:tcPr>
          <w:p w14:paraId="1433363D" w14:textId="77777777" w:rsidR="0085004A" w:rsidRDefault="0085004A" w:rsidP="00F544FC">
            <w:pPr>
              <w:ind w:left="144"/>
            </w:pPr>
            <w:r>
              <w:t>nr-</w:t>
            </w:r>
            <w:proofErr w:type="spellStart"/>
            <w:r>
              <w:t>axSpA</w:t>
            </w:r>
            <w:proofErr w:type="spellEnd"/>
          </w:p>
        </w:tc>
        <w:tc>
          <w:tcPr>
            <w:tcW w:w="6911" w:type="dxa"/>
          </w:tcPr>
          <w:p w14:paraId="0BB474AA" w14:textId="584C906C" w:rsidR="0085004A" w:rsidRPr="00460036" w:rsidRDefault="0085004A" w:rsidP="00F544FC">
            <w:pPr>
              <w:ind w:left="144"/>
            </w:pPr>
            <w:r>
              <w:t xml:space="preserve">Non-radiographic </w:t>
            </w:r>
            <w:r w:rsidR="00BE5EB3">
              <w:t xml:space="preserve">axial </w:t>
            </w:r>
            <w:proofErr w:type="spellStart"/>
            <w:r w:rsidR="00BE5EB3">
              <w:t>s</w:t>
            </w:r>
            <w:r w:rsidR="00BE5EB3" w:rsidRPr="00BE5EB3">
              <w:t>pondyloarthritis</w:t>
            </w:r>
            <w:proofErr w:type="spellEnd"/>
          </w:p>
        </w:tc>
      </w:tr>
      <w:tr w:rsidR="0085004A" w:rsidRPr="00FD119B" w14:paraId="41B1FDFA" w14:textId="77777777" w:rsidTr="00F123A4">
        <w:tc>
          <w:tcPr>
            <w:tcW w:w="1809" w:type="dxa"/>
          </w:tcPr>
          <w:p w14:paraId="1B67E047" w14:textId="77777777" w:rsidR="0085004A" w:rsidRDefault="0085004A" w:rsidP="00F544FC">
            <w:pPr>
              <w:ind w:left="144"/>
            </w:pPr>
            <w:r>
              <w:t>NRI</w:t>
            </w:r>
          </w:p>
        </w:tc>
        <w:tc>
          <w:tcPr>
            <w:tcW w:w="6911" w:type="dxa"/>
          </w:tcPr>
          <w:p w14:paraId="7B13CD25" w14:textId="77777777" w:rsidR="0085004A" w:rsidRDefault="0085004A" w:rsidP="00F544FC">
            <w:pPr>
              <w:ind w:left="144"/>
            </w:pPr>
            <w:r>
              <w:t>Non-responder imputation</w:t>
            </w:r>
          </w:p>
        </w:tc>
      </w:tr>
      <w:tr w:rsidR="0085004A" w:rsidRPr="00FD119B" w14:paraId="794C2C8E" w14:textId="77777777" w:rsidTr="00F123A4">
        <w:tc>
          <w:tcPr>
            <w:tcW w:w="1809" w:type="dxa"/>
          </w:tcPr>
          <w:p w14:paraId="64692B45" w14:textId="77777777" w:rsidR="0085004A" w:rsidRDefault="0085004A" w:rsidP="00F544FC">
            <w:pPr>
              <w:ind w:left="144"/>
            </w:pPr>
            <w:r>
              <w:lastRenderedPageBreak/>
              <w:t>NSAID</w:t>
            </w:r>
          </w:p>
        </w:tc>
        <w:tc>
          <w:tcPr>
            <w:tcW w:w="6911" w:type="dxa"/>
          </w:tcPr>
          <w:p w14:paraId="31ADF2E6" w14:textId="77777777" w:rsidR="0085004A" w:rsidRPr="00460036" w:rsidRDefault="0085004A" w:rsidP="00F544FC">
            <w:pPr>
              <w:ind w:left="144"/>
            </w:pPr>
            <w:r>
              <w:t>Non-steroidal anti-inflammatory drug</w:t>
            </w:r>
          </w:p>
        </w:tc>
      </w:tr>
      <w:tr w:rsidR="0085004A" w:rsidRPr="00FD119B" w14:paraId="664A447F" w14:textId="77777777" w:rsidTr="00F123A4">
        <w:tc>
          <w:tcPr>
            <w:tcW w:w="1809" w:type="dxa"/>
          </w:tcPr>
          <w:p w14:paraId="7A563CF7" w14:textId="77777777" w:rsidR="0085004A" w:rsidRDefault="0085004A" w:rsidP="00F544FC">
            <w:pPr>
              <w:ind w:left="144"/>
            </w:pPr>
            <w:r>
              <w:t>PASI</w:t>
            </w:r>
          </w:p>
        </w:tc>
        <w:tc>
          <w:tcPr>
            <w:tcW w:w="6911" w:type="dxa"/>
          </w:tcPr>
          <w:p w14:paraId="596DD9D2" w14:textId="77777777" w:rsidR="0085004A" w:rsidRDefault="0085004A" w:rsidP="00F544FC">
            <w:pPr>
              <w:ind w:left="144"/>
            </w:pPr>
            <w:r>
              <w:t>Psoriasis Area and Severity Index</w:t>
            </w:r>
          </w:p>
        </w:tc>
      </w:tr>
      <w:tr w:rsidR="0085004A" w:rsidRPr="00FD119B" w14:paraId="1D3F96BB" w14:textId="77777777" w:rsidTr="00F123A4">
        <w:tc>
          <w:tcPr>
            <w:tcW w:w="1809" w:type="dxa"/>
          </w:tcPr>
          <w:p w14:paraId="4A32BBF7" w14:textId="77777777" w:rsidR="0085004A" w:rsidRDefault="0085004A" w:rsidP="00F544FC">
            <w:pPr>
              <w:ind w:left="144"/>
            </w:pPr>
            <w:r>
              <w:t>PD</w:t>
            </w:r>
          </w:p>
        </w:tc>
        <w:tc>
          <w:tcPr>
            <w:tcW w:w="6911" w:type="dxa"/>
          </w:tcPr>
          <w:p w14:paraId="1761C7ED" w14:textId="2A215BFC" w:rsidR="0085004A" w:rsidRDefault="0085004A" w:rsidP="00F544FC">
            <w:pPr>
              <w:ind w:left="144"/>
            </w:pPr>
            <w:r>
              <w:t>Pharmacodynamic</w:t>
            </w:r>
            <w:r w:rsidR="00BE5EB3">
              <w:t>(</w:t>
            </w:r>
            <w:r>
              <w:t>s</w:t>
            </w:r>
            <w:r w:rsidR="00BE5EB3">
              <w:t>)</w:t>
            </w:r>
          </w:p>
        </w:tc>
      </w:tr>
      <w:tr w:rsidR="0085004A" w:rsidRPr="00FD119B" w14:paraId="00C6E705" w14:textId="77777777" w:rsidTr="00F123A4">
        <w:tc>
          <w:tcPr>
            <w:tcW w:w="1809" w:type="dxa"/>
          </w:tcPr>
          <w:p w14:paraId="2B865049" w14:textId="77777777" w:rsidR="0085004A" w:rsidRDefault="0085004A" w:rsidP="00F544FC">
            <w:pPr>
              <w:ind w:left="144"/>
            </w:pPr>
            <w:r>
              <w:t>PE</w:t>
            </w:r>
          </w:p>
        </w:tc>
        <w:tc>
          <w:tcPr>
            <w:tcW w:w="6911" w:type="dxa"/>
          </w:tcPr>
          <w:p w14:paraId="5AC2DDE1" w14:textId="77777777" w:rsidR="0085004A" w:rsidRPr="00E2153C" w:rsidRDefault="0085004A" w:rsidP="00F544FC">
            <w:pPr>
              <w:ind w:left="144"/>
            </w:pPr>
            <w:r>
              <w:t>P</w:t>
            </w:r>
            <w:r w:rsidRPr="00A95722">
              <w:t>ulmonary embolism</w:t>
            </w:r>
          </w:p>
        </w:tc>
      </w:tr>
      <w:tr w:rsidR="0085004A" w:rsidRPr="00FD119B" w14:paraId="704B2D9D" w14:textId="77777777" w:rsidTr="00F123A4">
        <w:tc>
          <w:tcPr>
            <w:tcW w:w="1809" w:type="dxa"/>
          </w:tcPr>
          <w:p w14:paraId="69995BF8" w14:textId="77777777" w:rsidR="0085004A" w:rsidRDefault="0085004A" w:rsidP="00F544FC">
            <w:pPr>
              <w:ind w:left="144"/>
            </w:pPr>
            <w:r>
              <w:t>PI</w:t>
            </w:r>
          </w:p>
        </w:tc>
        <w:tc>
          <w:tcPr>
            <w:tcW w:w="6911" w:type="dxa"/>
          </w:tcPr>
          <w:p w14:paraId="3B6A18EE" w14:textId="77777777" w:rsidR="0085004A" w:rsidRDefault="0085004A" w:rsidP="00F544FC">
            <w:pPr>
              <w:ind w:left="144"/>
            </w:pPr>
            <w:r>
              <w:t>Product Information</w:t>
            </w:r>
          </w:p>
        </w:tc>
      </w:tr>
      <w:tr w:rsidR="0085004A" w:rsidRPr="00FD119B" w14:paraId="17D0E91B" w14:textId="77777777" w:rsidTr="00F123A4">
        <w:tc>
          <w:tcPr>
            <w:tcW w:w="1809" w:type="dxa"/>
          </w:tcPr>
          <w:p w14:paraId="0F21C0FF" w14:textId="77777777" w:rsidR="0085004A" w:rsidRDefault="0085004A" w:rsidP="00F544FC">
            <w:pPr>
              <w:ind w:left="144"/>
            </w:pPr>
            <w:r>
              <w:t>PK</w:t>
            </w:r>
          </w:p>
        </w:tc>
        <w:tc>
          <w:tcPr>
            <w:tcW w:w="6911" w:type="dxa"/>
          </w:tcPr>
          <w:p w14:paraId="1CF5ABEA" w14:textId="77777777" w:rsidR="0085004A" w:rsidRDefault="0085004A" w:rsidP="00F544FC">
            <w:pPr>
              <w:ind w:left="144"/>
            </w:pPr>
            <w:r>
              <w:t>Pharmacokinetics</w:t>
            </w:r>
          </w:p>
        </w:tc>
      </w:tr>
      <w:tr w:rsidR="0085004A" w:rsidRPr="00FD119B" w14:paraId="458A0C3B" w14:textId="77777777" w:rsidTr="00F123A4">
        <w:tc>
          <w:tcPr>
            <w:tcW w:w="1809" w:type="dxa"/>
          </w:tcPr>
          <w:p w14:paraId="448B7405" w14:textId="77777777" w:rsidR="0085004A" w:rsidRDefault="0085004A" w:rsidP="00F544FC">
            <w:pPr>
              <w:ind w:left="144"/>
            </w:pPr>
            <w:proofErr w:type="spellStart"/>
            <w:r>
              <w:t>popPK</w:t>
            </w:r>
            <w:proofErr w:type="spellEnd"/>
          </w:p>
        </w:tc>
        <w:tc>
          <w:tcPr>
            <w:tcW w:w="6911" w:type="dxa"/>
          </w:tcPr>
          <w:p w14:paraId="34EEBB09" w14:textId="645E96E4" w:rsidR="0085004A" w:rsidRDefault="0085004A" w:rsidP="00F544FC">
            <w:pPr>
              <w:ind w:left="144"/>
            </w:pPr>
            <w:r>
              <w:t>Population pharmacokinetic</w:t>
            </w:r>
            <w:r w:rsidR="00BE5EB3">
              <w:t>(</w:t>
            </w:r>
            <w:r>
              <w:t>s</w:t>
            </w:r>
            <w:r w:rsidR="00BE5EB3">
              <w:t>)</w:t>
            </w:r>
          </w:p>
        </w:tc>
      </w:tr>
      <w:tr w:rsidR="0085004A" w:rsidRPr="00FD119B" w14:paraId="468E4AF0" w14:textId="77777777" w:rsidTr="00F123A4">
        <w:tc>
          <w:tcPr>
            <w:tcW w:w="1809" w:type="dxa"/>
          </w:tcPr>
          <w:p w14:paraId="5C04039B" w14:textId="77777777" w:rsidR="0085004A" w:rsidRDefault="0085004A" w:rsidP="00F544FC">
            <w:pPr>
              <w:ind w:left="144"/>
            </w:pPr>
            <w:r>
              <w:t>PPS</w:t>
            </w:r>
          </w:p>
        </w:tc>
        <w:tc>
          <w:tcPr>
            <w:tcW w:w="6911" w:type="dxa"/>
          </w:tcPr>
          <w:p w14:paraId="210B38C9" w14:textId="1CFD7012" w:rsidR="0085004A" w:rsidRDefault="0085004A" w:rsidP="00F544FC">
            <w:pPr>
              <w:ind w:left="144"/>
            </w:pPr>
            <w:r>
              <w:t xml:space="preserve">Per-protocol </w:t>
            </w:r>
            <w:r w:rsidR="00BE5EB3">
              <w:t>(</w:t>
            </w:r>
            <w:r>
              <w:t>analysis</w:t>
            </w:r>
            <w:r w:rsidR="00BE5EB3">
              <w:t>)</w:t>
            </w:r>
            <w:r>
              <w:t xml:space="preserve"> set</w:t>
            </w:r>
          </w:p>
        </w:tc>
      </w:tr>
      <w:tr w:rsidR="0085004A" w:rsidRPr="00FD119B" w14:paraId="56E7EFE1" w14:textId="77777777" w:rsidTr="00F123A4">
        <w:tc>
          <w:tcPr>
            <w:tcW w:w="1809" w:type="dxa"/>
          </w:tcPr>
          <w:p w14:paraId="5BDDC3CF" w14:textId="77777777" w:rsidR="0085004A" w:rsidRDefault="0085004A" w:rsidP="00F544FC">
            <w:pPr>
              <w:ind w:left="144"/>
            </w:pPr>
            <w:proofErr w:type="spellStart"/>
            <w:r>
              <w:t>PsA</w:t>
            </w:r>
            <w:proofErr w:type="spellEnd"/>
          </w:p>
        </w:tc>
        <w:tc>
          <w:tcPr>
            <w:tcW w:w="6911" w:type="dxa"/>
          </w:tcPr>
          <w:p w14:paraId="65ADC83E" w14:textId="77777777" w:rsidR="0085004A" w:rsidRPr="00460036" w:rsidRDefault="0085004A" w:rsidP="00F544FC">
            <w:pPr>
              <w:ind w:left="144"/>
            </w:pPr>
            <w:r>
              <w:t>Psoriatic arthritis</w:t>
            </w:r>
          </w:p>
        </w:tc>
      </w:tr>
      <w:tr w:rsidR="0085004A" w:rsidRPr="00FD119B" w14:paraId="08506188" w14:textId="77777777" w:rsidTr="00F123A4">
        <w:tc>
          <w:tcPr>
            <w:tcW w:w="1809" w:type="dxa"/>
          </w:tcPr>
          <w:p w14:paraId="1AEA6029" w14:textId="77777777" w:rsidR="0085004A" w:rsidRDefault="0085004A" w:rsidP="00F544FC">
            <w:pPr>
              <w:ind w:left="144"/>
            </w:pPr>
            <w:r>
              <w:t>PT</w:t>
            </w:r>
          </w:p>
        </w:tc>
        <w:tc>
          <w:tcPr>
            <w:tcW w:w="6911" w:type="dxa"/>
          </w:tcPr>
          <w:p w14:paraId="2C77BB12" w14:textId="77777777" w:rsidR="0085004A" w:rsidRDefault="0085004A" w:rsidP="00F544FC">
            <w:pPr>
              <w:ind w:left="144"/>
            </w:pPr>
            <w:r>
              <w:t>Preferred Term</w:t>
            </w:r>
          </w:p>
        </w:tc>
      </w:tr>
      <w:tr w:rsidR="0085004A" w:rsidRPr="00FD119B" w14:paraId="2B3E568B" w14:textId="77777777" w:rsidTr="00F123A4">
        <w:tc>
          <w:tcPr>
            <w:tcW w:w="1809" w:type="dxa"/>
          </w:tcPr>
          <w:p w14:paraId="0EBA5688" w14:textId="77777777" w:rsidR="0085004A" w:rsidRDefault="0085004A" w:rsidP="00F544FC">
            <w:pPr>
              <w:ind w:left="144"/>
            </w:pPr>
            <w:r>
              <w:t>PY</w:t>
            </w:r>
          </w:p>
        </w:tc>
        <w:tc>
          <w:tcPr>
            <w:tcW w:w="6911" w:type="dxa"/>
          </w:tcPr>
          <w:p w14:paraId="1D9654C2" w14:textId="0C4D6118" w:rsidR="0085004A" w:rsidRDefault="0085004A" w:rsidP="00F544FC">
            <w:pPr>
              <w:ind w:left="144"/>
            </w:pPr>
            <w:r>
              <w:t>Patient-</w:t>
            </w:r>
            <w:r w:rsidR="00BE5EB3">
              <w:t>y</w:t>
            </w:r>
            <w:r>
              <w:t>ear</w:t>
            </w:r>
          </w:p>
        </w:tc>
      </w:tr>
      <w:tr w:rsidR="0085004A" w:rsidRPr="00FD119B" w14:paraId="665BEF6E" w14:textId="77777777" w:rsidTr="00F123A4">
        <w:tc>
          <w:tcPr>
            <w:tcW w:w="1809" w:type="dxa"/>
          </w:tcPr>
          <w:p w14:paraId="118AD197" w14:textId="77777777" w:rsidR="0085004A" w:rsidRDefault="0085004A" w:rsidP="00F544FC">
            <w:pPr>
              <w:ind w:left="144"/>
            </w:pPr>
            <w:r>
              <w:t>RA</w:t>
            </w:r>
          </w:p>
        </w:tc>
        <w:tc>
          <w:tcPr>
            <w:tcW w:w="6911" w:type="dxa"/>
          </w:tcPr>
          <w:p w14:paraId="15973F16" w14:textId="77777777" w:rsidR="0085004A" w:rsidRDefault="0085004A" w:rsidP="00F544FC">
            <w:pPr>
              <w:ind w:left="144"/>
            </w:pPr>
            <w:r>
              <w:t>Rheumatoid arthritis</w:t>
            </w:r>
          </w:p>
        </w:tc>
      </w:tr>
      <w:tr w:rsidR="0085004A" w:rsidRPr="00FD119B" w14:paraId="22609B2D" w14:textId="77777777" w:rsidTr="00F123A4">
        <w:tc>
          <w:tcPr>
            <w:tcW w:w="1809" w:type="dxa"/>
          </w:tcPr>
          <w:p w14:paraId="6FFD30E4" w14:textId="77777777" w:rsidR="0085004A" w:rsidRDefault="0085004A" w:rsidP="00F544FC">
            <w:pPr>
              <w:ind w:left="144"/>
            </w:pPr>
            <w:r>
              <w:t>SAE</w:t>
            </w:r>
          </w:p>
        </w:tc>
        <w:tc>
          <w:tcPr>
            <w:tcW w:w="6911" w:type="dxa"/>
          </w:tcPr>
          <w:p w14:paraId="5F49842D" w14:textId="77777777" w:rsidR="0085004A" w:rsidRDefault="0085004A" w:rsidP="00F544FC">
            <w:pPr>
              <w:ind w:left="144"/>
            </w:pPr>
            <w:r>
              <w:t>Serious adverse event</w:t>
            </w:r>
          </w:p>
        </w:tc>
      </w:tr>
      <w:tr w:rsidR="0085004A" w:rsidRPr="00FD119B" w14:paraId="4EC4212A" w14:textId="77777777" w:rsidTr="00F123A4">
        <w:tc>
          <w:tcPr>
            <w:tcW w:w="1809" w:type="dxa"/>
          </w:tcPr>
          <w:p w14:paraId="6F2DC53E" w14:textId="77777777" w:rsidR="0085004A" w:rsidRDefault="0085004A" w:rsidP="00F544FC">
            <w:pPr>
              <w:ind w:left="144"/>
            </w:pPr>
            <w:proofErr w:type="spellStart"/>
            <w:r>
              <w:t>sIGA</w:t>
            </w:r>
            <w:proofErr w:type="spellEnd"/>
          </w:p>
        </w:tc>
        <w:tc>
          <w:tcPr>
            <w:tcW w:w="6911" w:type="dxa"/>
          </w:tcPr>
          <w:p w14:paraId="49F4C8B2" w14:textId="77777777" w:rsidR="0085004A" w:rsidRDefault="0085004A" w:rsidP="00F544FC">
            <w:pPr>
              <w:ind w:left="144"/>
            </w:pPr>
            <w:r>
              <w:t>Static Investigator’s Global Assessment</w:t>
            </w:r>
          </w:p>
        </w:tc>
      </w:tr>
      <w:tr w:rsidR="0085004A" w:rsidRPr="00FD119B" w14:paraId="399A2807" w14:textId="77777777" w:rsidTr="00F123A4">
        <w:tc>
          <w:tcPr>
            <w:tcW w:w="1809" w:type="dxa"/>
          </w:tcPr>
          <w:p w14:paraId="5539338E" w14:textId="77777777" w:rsidR="0085004A" w:rsidRDefault="0085004A" w:rsidP="00F544FC">
            <w:pPr>
              <w:ind w:left="144"/>
            </w:pPr>
            <w:r>
              <w:t>SOC</w:t>
            </w:r>
          </w:p>
        </w:tc>
        <w:tc>
          <w:tcPr>
            <w:tcW w:w="6911" w:type="dxa"/>
          </w:tcPr>
          <w:p w14:paraId="0E7BACA0" w14:textId="77777777" w:rsidR="0085004A" w:rsidRDefault="0085004A" w:rsidP="00F544FC">
            <w:pPr>
              <w:ind w:left="144"/>
            </w:pPr>
            <w:r>
              <w:t>System Organ Class</w:t>
            </w:r>
          </w:p>
        </w:tc>
      </w:tr>
      <w:tr w:rsidR="0085004A" w:rsidRPr="00FD119B" w14:paraId="235BC75A" w14:textId="77777777" w:rsidTr="00F123A4">
        <w:tc>
          <w:tcPr>
            <w:tcW w:w="1809" w:type="dxa"/>
          </w:tcPr>
          <w:p w14:paraId="69FE6D55" w14:textId="77777777" w:rsidR="0085004A" w:rsidRDefault="0085004A" w:rsidP="00F544FC">
            <w:pPr>
              <w:ind w:left="144"/>
            </w:pPr>
            <w:r>
              <w:t>SPARCC</w:t>
            </w:r>
          </w:p>
        </w:tc>
        <w:tc>
          <w:tcPr>
            <w:tcW w:w="6911" w:type="dxa"/>
          </w:tcPr>
          <w:p w14:paraId="60B53915" w14:textId="77777777" w:rsidR="0085004A" w:rsidRDefault="0085004A" w:rsidP="00F544FC">
            <w:pPr>
              <w:ind w:left="144"/>
            </w:pPr>
            <w:proofErr w:type="spellStart"/>
            <w:r>
              <w:t>Spondyloarthritis</w:t>
            </w:r>
            <w:proofErr w:type="spellEnd"/>
            <w:r>
              <w:t xml:space="preserve"> Research Consortium of Canada</w:t>
            </w:r>
          </w:p>
        </w:tc>
      </w:tr>
      <w:tr w:rsidR="0085004A" w:rsidRPr="00FD119B" w14:paraId="49FC750A" w14:textId="77777777" w:rsidTr="00F123A4">
        <w:tc>
          <w:tcPr>
            <w:tcW w:w="1809" w:type="dxa"/>
          </w:tcPr>
          <w:p w14:paraId="12FB90AE" w14:textId="77777777" w:rsidR="0085004A" w:rsidRDefault="0085004A" w:rsidP="00F544FC">
            <w:pPr>
              <w:ind w:left="144"/>
            </w:pPr>
            <w:r>
              <w:t>STAT</w:t>
            </w:r>
          </w:p>
        </w:tc>
        <w:tc>
          <w:tcPr>
            <w:tcW w:w="6911" w:type="dxa"/>
          </w:tcPr>
          <w:p w14:paraId="57EA138A" w14:textId="77777777" w:rsidR="0085004A" w:rsidRPr="00460036" w:rsidRDefault="0085004A" w:rsidP="00F544FC">
            <w:pPr>
              <w:ind w:left="144"/>
            </w:pPr>
            <w:r>
              <w:t>Signal transducer and activator of transcription</w:t>
            </w:r>
          </w:p>
        </w:tc>
      </w:tr>
      <w:tr w:rsidR="0085004A" w:rsidRPr="00FD119B" w14:paraId="2D2E4F0A" w14:textId="77777777" w:rsidTr="00F123A4">
        <w:tc>
          <w:tcPr>
            <w:tcW w:w="1809" w:type="dxa"/>
          </w:tcPr>
          <w:p w14:paraId="7522EDA7" w14:textId="77777777" w:rsidR="0085004A" w:rsidRDefault="0085004A" w:rsidP="00F544FC">
            <w:pPr>
              <w:ind w:left="144"/>
            </w:pPr>
            <w:r>
              <w:t>TB</w:t>
            </w:r>
          </w:p>
        </w:tc>
        <w:tc>
          <w:tcPr>
            <w:tcW w:w="6911" w:type="dxa"/>
          </w:tcPr>
          <w:p w14:paraId="58040485" w14:textId="77777777" w:rsidR="0085004A" w:rsidRDefault="0085004A" w:rsidP="00F544FC">
            <w:pPr>
              <w:ind w:left="144"/>
            </w:pPr>
            <w:r w:rsidRPr="0074029B">
              <w:t>Tuberculosis</w:t>
            </w:r>
          </w:p>
        </w:tc>
      </w:tr>
      <w:tr w:rsidR="0085004A" w:rsidRPr="00FD119B" w14:paraId="0B2A9B7B" w14:textId="77777777" w:rsidTr="00F123A4">
        <w:tc>
          <w:tcPr>
            <w:tcW w:w="1809" w:type="dxa"/>
          </w:tcPr>
          <w:p w14:paraId="649AFB9C" w14:textId="77777777" w:rsidR="0085004A" w:rsidRDefault="0085004A" w:rsidP="00F544FC">
            <w:pPr>
              <w:ind w:left="144"/>
            </w:pPr>
            <w:r>
              <w:t>TGA</w:t>
            </w:r>
          </w:p>
        </w:tc>
        <w:tc>
          <w:tcPr>
            <w:tcW w:w="6911" w:type="dxa"/>
          </w:tcPr>
          <w:p w14:paraId="28B38CBB" w14:textId="77777777" w:rsidR="0085004A" w:rsidRPr="00460036" w:rsidRDefault="0085004A" w:rsidP="00F544FC">
            <w:pPr>
              <w:ind w:left="144"/>
            </w:pPr>
            <w:r w:rsidRPr="001F6CBA">
              <w:t>Therapeutic Goods Administration</w:t>
            </w:r>
          </w:p>
        </w:tc>
      </w:tr>
      <w:tr w:rsidR="0085004A" w:rsidRPr="00FD119B" w14:paraId="6F6C8F39" w14:textId="77777777" w:rsidTr="00F123A4">
        <w:tc>
          <w:tcPr>
            <w:tcW w:w="1809" w:type="dxa"/>
          </w:tcPr>
          <w:p w14:paraId="7C9B8456" w14:textId="77777777" w:rsidR="0085004A" w:rsidRDefault="0085004A" w:rsidP="00F544FC">
            <w:pPr>
              <w:ind w:left="144"/>
            </w:pPr>
            <w:r>
              <w:t>TNF</w:t>
            </w:r>
          </w:p>
        </w:tc>
        <w:tc>
          <w:tcPr>
            <w:tcW w:w="6911" w:type="dxa"/>
          </w:tcPr>
          <w:p w14:paraId="7530E275" w14:textId="77777777" w:rsidR="0085004A" w:rsidRPr="00460036" w:rsidRDefault="0085004A" w:rsidP="00F544FC">
            <w:pPr>
              <w:ind w:left="144"/>
            </w:pPr>
            <w:r>
              <w:t>Tumour necrosis factor</w:t>
            </w:r>
          </w:p>
        </w:tc>
      </w:tr>
      <w:tr w:rsidR="0085004A" w:rsidRPr="00FD119B" w14:paraId="0E60A62E" w14:textId="77777777" w:rsidTr="00F123A4">
        <w:tc>
          <w:tcPr>
            <w:tcW w:w="1809" w:type="dxa"/>
          </w:tcPr>
          <w:p w14:paraId="32BF6D20" w14:textId="77777777" w:rsidR="0085004A" w:rsidRDefault="0085004A" w:rsidP="00F544FC">
            <w:pPr>
              <w:ind w:left="144"/>
            </w:pPr>
            <w:r>
              <w:t>TYK2</w:t>
            </w:r>
          </w:p>
        </w:tc>
        <w:tc>
          <w:tcPr>
            <w:tcW w:w="6911" w:type="dxa"/>
          </w:tcPr>
          <w:p w14:paraId="74CA425B" w14:textId="77777777" w:rsidR="0085004A" w:rsidRPr="00460036" w:rsidRDefault="0085004A" w:rsidP="00F544FC">
            <w:pPr>
              <w:ind w:left="144"/>
            </w:pPr>
            <w:r>
              <w:t>Tyrosine kinase 2</w:t>
            </w:r>
          </w:p>
        </w:tc>
      </w:tr>
      <w:tr w:rsidR="0085004A" w:rsidRPr="00FD119B" w14:paraId="402BC1D2" w14:textId="77777777" w:rsidTr="00F123A4">
        <w:tc>
          <w:tcPr>
            <w:tcW w:w="1809" w:type="dxa"/>
          </w:tcPr>
          <w:p w14:paraId="2CD3F5C6" w14:textId="77777777" w:rsidR="0085004A" w:rsidRDefault="0085004A" w:rsidP="00F544FC">
            <w:pPr>
              <w:ind w:left="144"/>
            </w:pPr>
            <w:r>
              <w:t>ULN</w:t>
            </w:r>
          </w:p>
        </w:tc>
        <w:tc>
          <w:tcPr>
            <w:tcW w:w="6911" w:type="dxa"/>
          </w:tcPr>
          <w:p w14:paraId="5A887635" w14:textId="77777777" w:rsidR="0085004A" w:rsidRDefault="0085004A" w:rsidP="00F544FC">
            <w:pPr>
              <w:ind w:left="144"/>
            </w:pPr>
            <w:r>
              <w:t>Upper limit of normal</w:t>
            </w:r>
          </w:p>
        </w:tc>
      </w:tr>
      <w:tr w:rsidR="0085004A" w:rsidRPr="00FD119B" w14:paraId="7249ABFB" w14:textId="77777777" w:rsidTr="00F123A4">
        <w:tc>
          <w:tcPr>
            <w:tcW w:w="1809" w:type="dxa"/>
          </w:tcPr>
          <w:p w14:paraId="69B764B6" w14:textId="77777777" w:rsidR="0085004A" w:rsidRDefault="0085004A" w:rsidP="00F544FC">
            <w:pPr>
              <w:ind w:left="144"/>
            </w:pPr>
            <w:r>
              <w:t>URTI</w:t>
            </w:r>
          </w:p>
        </w:tc>
        <w:tc>
          <w:tcPr>
            <w:tcW w:w="6911" w:type="dxa"/>
          </w:tcPr>
          <w:p w14:paraId="3B9F88A3" w14:textId="77777777" w:rsidR="0085004A" w:rsidRDefault="0085004A" w:rsidP="00F544FC">
            <w:pPr>
              <w:ind w:left="144"/>
            </w:pPr>
            <w:r>
              <w:t>Upper respiratory tract infection</w:t>
            </w:r>
          </w:p>
        </w:tc>
      </w:tr>
      <w:tr w:rsidR="0085004A" w:rsidRPr="00FD119B" w14:paraId="0BB49E6F" w14:textId="77777777" w:rsidTr="00F123A4">
        <w:tc>
          <w:tcPr>
            <w:tcW w:w="1809" w:type="dxa"/>
          </w:tcPr>
          <w:p w14:paraId="0F57A310" w14:textId="77777777" w:rsidR="0085004A" w:rsidRDefault="0085004A" w:rsidP="00F544FC">
            <w:pPr>
              <w:ind w:left="144"/>
            </w:pPr>
            <w:r>
              <w:t>USA</w:t>
            </w:r>
          </w:p>
        </w:tc>
        <w:tc>
          <w:tcPr>
            <w:tcW w:w="6911" w:type="dxa"/>
          </w:tcPr>
          <w:p w14:paraId="30175F6D" w14:textId="77777777" w:rsidR="0085004A" w:rsidRDefault="0085004A" w:rsidP="00F544FC">
            <w:pPr>
              <w:ind w:left="144"/>
            </w:pPr>
            <w:r>
              <w:t>United States of America</w:t>
            </w:r>
          </w:p>
        </w:tc>
      </w:tr>
      <w:tr w:rsidR="0085004A" w:rsidRPr="00FD119B" w14:paraId="1DD491A7" w14:textId="77777777" w:rsidTr="00F123A4">
        <w:tc>
          <w:tcPr>
            <w:tcW w:w="1809" w:type="dxa"/>
          </w:tcPr>
          <w:p w14:paraId="2B2EC6E4" w14:textId="77777777" w:rsidR="0085004A" w:rsidRDefault="0085004A" w:rsidP="00F544FC">
            <w:pPr>
              <w:ind w:left="144"/>
            </w:pPr>
            <w:r>
              <w:t>V</w:t>
            </w:r>
            <w:r>
              <w:rPr>
                <w:vertAlign w:val="subscript"/>
              </w:rPr>
              <w:t>C</w:t>
            </w:r>
            <w:r>
              <w:t>/F</w:t>
            </w:r>
          </w:p>
        </w:tc>
        <w:tc>
          <w:tcPr>
            <w:tcW w:w="6911" w:type="dxa"/>
          </w:tcPr>
          <w:p w14:paraId="3C90E601" w14:textId="77777777" w:rsidR="0085004A" w:rsidRDefault="0085004A" w:rsidP="00F544FC">
            <w:pPr>
              <w:ind w:left="144"/>
            </w:pPr>
            <w:r w:rsidRPr="002B01B1">
              <w:t>Apparent volume of distribution</w:t>
            </w:r>
            <w:r>
              <w:t xml:space="preserve"> in central compartment</w:t>
            </w:r>
          </w:p>
        </w:tc>
      </w:tr>
      <w:tr w:rsidR="0085004A" w:rsidRPr="00FD119B" w14:paraId="36FF0C05" w14:textId="77777777" w:rsidTr="00F123A4">
        <w:tc>
          <w:tcPr>
            <w:tcW w:w="1809" w:type="dxa"/>
          </w:tcPr>
          <w:p w14:paraId="7EE46C9C" w14:textId="77777777" w:rsidR="0085004A" w:rsidRDefault="0085004A" w:rsidP="00F544FC">
            <w:pPr>
              <w:ind w:left="144"/>
            </w:pPr>
            <w:r>
              <w:t>V</w:t>
            </w:r>
            <w:r w:rsidRPr="00CF3BDF">
              <w:rPr>
                <w:vertAlign w:val="subscript"/>
              </w:rPr>
              <w:t>D</w:t>
            </w:r>
          </w:p>
        </w:tc>
        <w:tc>
          <w:tcPr>
            <w:tcW w:w="6911" w:type="dxa"/>
          </w:tcPr>
          <w:p w14:paraId="1C279EAD" w14:textId="77777777" w:rsidR="0085004A" w:rsidRDefault="0085004A" w:rsidP="00F544FC">
            <w:pPr>
              <w:ind w:left="144"/>
            </w:pPr>
            <w:r>
              <w:t>Volume of distribution</w:t>
            </w:r>
          </w:p>
        </w:tc>
      </w:tr>
      <w:tr w:rsidR="0085004A" w:rsidRPr="00FD119B" w14:paraId="3B2A02B5" w14:textId="77777777" w:rsidTr="00F123A4">
        <w:tc>
          <w:tcPr>
            <w:tcW w:w="1809" w:type="dxa"/>
          </w:tcPr>
          <w:p w14:paraId="717CE5FE" w14:textId="77777777" w:rsidR="0085004A" w:rsidRDefault="0085004A" w:rsidP="00F544FC">
            <w:pPr>
              <w:ind w:left="144"/>
            </w:pPr>
            <w:r w:rsidRPr="00A95722">
              <w:lastRenderedPageBreak/>
              <w:t>VTE</w:t>
            </w:r>
          </w:p>
        </w:tc>
        <w:tc>
          <w:tcPr>
            <w:tcW w:w="6911" w:type="dxa"/>
          </w:tcPr>
          <w:p w14:paraId="5F903ABB" w14:textId="77777777" w:rsidR="0085004A" w:rsidRDefault="0085004A" w:rsidP="00F544FC">
            <w:pPr>
              <w:ind w:left="144"/>
            </w:pPr>
            <w:r>
              <w:t>Venous thromboembolism</w:t>
            </w:r>
          </w:p>
        </w:tc>
      </w:tr>
      <w:tr w:rsidR="0085004A" w:rsidRPr="00FD119B" w14:paraId="3A72724B" w14:textId="77777777" w:rsidTr="00F123A4">
        <w:tc>
          <w:tcPr>
            <w:tcW w:w="1809" w:type="dxa"/>
          </w:tcPr>
          <w:p w14:paraId="55B6AD5F" w14:textId="77777777" w:rsidR="0085004A" w:rsidRDefault="0085004A" w:rsidP="00F544FC">
            <w:pPr>
              <w:ind w:left="144"/>
            </w:pPr>
            <w:r>
              <w:t>WPAI</w:t>
            </w:r>
          </w:p>
        </w:tc>
        <w:tc>
          <w:tcPr>
            <w:tcW w:w="6911" w:type="dxa"/>
          </w:tcPr>
          <w:p w14:paraId="5C260AA0" w14:textId="77777777" w:rsidR="0085004A" w:rsidRDefault="0085004A" w:rsidP="00F544FC">
            <w:pPr>
              <w:ind w:left="144"/>
            </w:pPr>
            <w:r>
              <w:t>Work productivity and activity impairment</w:t>
            </w:r>
          </w:p>
        </w:tc>
      </w:tr>
    </w:tbl>
    <w:p w14:paraId="53977CB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5994229" w14:textId="77777777" w:rsidR="008E7846" w:rsidRDefault="00F53C07" w:rsidP="008E7846">
      <w:pPr>
        <w:pStyle w:val="Heading2"/>
      </w:pPr>
      <w:bookmarkStart w:id="8" w:name="_Toc80775930"/>
      <w:r>
        <w:lastRenderedPageBreak/>
        <w:t>I.</w:t>
      </w:r>
      <w:r w:rsidR="008E7846">
        <w:t xml:space="preserve"> Introduction to product submission</w:t>
      </w:r>
      <w:bookmarkEnd w:id="0"/>
      <w:bookmarkEnd w:id="2"/>
      <w:bookmarkEnd w:id="8"/>
    </w:p>
    <w:p w14:paraId="138C277E" w14:textId="77777777" w:rsidR="008E7846" w:rsidRDefault="008E7846" w:rsidP="008E7846">
      <w:pPr>
        <w:pStyle w:val="Heading3"/>
        <w:rPr>
          <w:lang w:eastAsia="en-AU"/>
        </w:rPr>
      </w:pPr>
      <w:bookmarkStart w:id="9" w:name="_Toc247691502"/>
      <w:bookmarkStart w:id="10" w:name="_Toc314842483"/>
      <w:bookmarkStart w:id="11" w:name="_Toc80775931"/>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5D79DFB1" w14:textId="77777777" w:rsidTr="003735BC">
        <w:tc>
          <w:tcPr>
            <w:tcW w:w="2907" w:type="dxa"/>
          </w:tcPr>
          <w:p w14:paraId="02D3C559"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146A021" w14:textId="77777777" w:rsidR="008E7846" w:rsidRPr="003D1E62" w:rsidRDefault="0075010A" w:rsidP="001B5C90">
            <w:bookmarkStart w:id="12" w:name="_Hlk80775507"/>
            <w:r>
              <w:t>Extension of indications</w:t>
            </w:r>
            <w:bookmarkEnd w:id="12"/>
          </w:p>
        </w:tc>
      </w:tr>
      <w:tr w:rsidR="00460036" w:rsidRPr="003D1E62" w14:paraId="61AEB253" w14:textId="77777777" w:rsidTr="003735BC">
        <w:tc>
          <w:tcPr>
            <w:tcW w:w="2907" w:type="dxa"/>
          </w:tcPr>
          <w:p w14:paraId="278761A5" w14:textId="77777777" w:rsidR="00460036" w:rsidRPr="003D1E62" w:rsidRDefault="00460036" w:rsidP="003D1E62">
            <w:pPr>
              <w:rPr>
                <w:i/>
              </w:rPr>
            </w:pPr>
            <w:r w:rsidRPr="00460036">
              <w:rPr>
                <w:i/>
              </w:rPr>
              <w:t>Prod</w:t>
            </w:r>
            <w:r w:rsidR="0075010A">
              <w:rPr>
                <w:i/>
              </w:rPr>
              <w:t>uct name</w:t>
            </w:r>
            <w:r w:rsidRPr="00460036">
              <w:rPr>
                <w:i/>
              </w:rPr>
              <w:t>:</w:t>
            </w:r>
          </w:p>
        </w:tc>
        <w:tc>
          <w:tcPr>
            <w:tcW w:w="6307" w:type="dxa"/>
          </w:tcPr>
          <w:p w14:paraId="0FB9B057" w14:textId="77777777" w:rsidR="00460036" w:rsidRPr="003D1E62" w:rsidRDefault="0075010A" w:rsidP="001B5C90">
            <w:proofErr w:type="spellStart"/>
            <w:r>
              <w:t>Rinvoq</w:t>
            </w:r>
            <w:proofErr w:type="spellEnd"/>
          </w:p>
        </w:tc>
      </w:tr>
      <w:tr w:rsidR="00460036" w:rsidRPr="003D1E62" w14:paraId="40FBF334" w14:textId="77777777" w:rsidTr="003735BC">
        <w:tc>
          <w:tcPr>
            <w:tcW w:w="2907" w:type="dxa"/>
          </w:tcPr>
          <w:p w14:paraId="05FC0740" w14:textId="77777777" w:rsidR="00460036" w:rsidRPr="003D1E62" w:rsidRDefault="0075010A" w:rsidP="003D1E62">
            <w:pPr>
              <w:rPr>
                <w:i/>
              </w:rPr>
            </w:pPr>
            <w:r>
              <w:rPr>
                <w:i/>
              </w:rPr>
              <w:t>Active ingredient</w:t>
            </w:r>
            <w:r w:rsidR="00460036" w:rsidRPr="00460036">
              <w:rPr>
                <w:i/>
              </w:rPr>
              <w:t>:</w:t>
            </w:r>
          </w:p>
        </w:tc>
        <w:tc>
          <w:tcPr>
            <w:tcW w:w="6307" w:type="dxa"/>
          </w:tcPr>
          <w:p w14:paraId="30AEE7B6" w14:textId="77777777" w:rsidR="00460036" w:rsidRPr="003D1E62" w:rsidRDefault="0075010A" w:rsidP="0075010A">
            <w:r>
              <w:t>U</w:t>
            </w:r>
            <w:r w:rsidRPr="0075010A">
              <w:t>padacitinib</w:t>
            </w:r>
          </w:p>
        </w:tc>
      </w:tr>
      <w:tr w:rsidR="008E7846" w:rsidRPr="003D1E62" w14:paraId="72188A1B" w14:textId="77777777" w:rsidTr="003735BC">
        <w:tc>
          <w:tcPr>
            <w:tcW w:w="2907" w:type="dxa"/>
          </w:tcPr>
          <w:p w14:paraId="1CADF3AD" w14:textId="77777777" w:rsidR="008E7846" w:rsidRPr="003D1E62" w:rsidRDefault="008E7846" w:rsidP="003D1E62">
            <w:r w:rsidRPr="003D1E62">
              <w:rPr>
                <w:i/>
              </w:rPr>
              <w:t>Decision</w:t>
            </w:r>
            <w:r w:rsidRPr="003D1E62">
              <w:t>:</w:t>
            </w:r>
          </w:p>
        </w:tc>
        <w:tc>
          <w:tcPr>
            <w:tcW w:w="6307" w:type="dxa"/>
          </w:tcPr>
          <w:p w14:paraId="5869E8E5" w14:textId="77777777" w:rsidR="008E7846" w:rsidRPr="003D1E62" w:rsidRDefault="0075010A" w:rsidP="0075010A">
            <w:r>
              <w:t>Approved</w:t>
            </w:r>
          </w:p>
        </w:tc>
      </w:tr>
      <w:tr w:rsidR="008E7846" w:rsidRPr="003D1E62" w14:paraId="51F3F8F3" w14:textId="77777777" w:rsidTr="003735BC">
        <w:tc>
          <w:tcPr>
            <w:tcW w:w="2907" w:type="dxa"/>
          </w:tcPr>
          <w:p w14:paraId="327723B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FA32CA2" w14:textId="77777777" w:rsidR="008E7846" w:rsidRPr="003D1E62" w:rsidRDefault="0075010A" w:rsidP="001B5C90">
            <w:r>
              <w:t>6 May 2021</w:t>
            </w:r>
          </w:p>
        </w:tc>
      </w:tr>
      <w:tr w:rsidR="00ED2922" w:rsidRPr="003D1E62" w14:paraId="730DA256" w14:textId="77777777" w:rsidTr="003735BC">
        <w:tc>
          <w:tcPr>
            <w:tcW w:w="2907" w:type="dxa"/>
          </w:tcPr>
          <w:p w14:paraId="17A261AA" w14:textId="77777777" w:rsidR="00ED2922" w:rsidRPr="00441C3F" w:rsidRDefault="00ED2922" w:rsidP="001B5C90">
            <w:pPr>
              <w:rPr>
                <w:i/>
              </w:rPr>
            </w:pPr>
            <w:r w:rsidRPr="00441C3F">
              <w:rPr>
                <w:i/>
              </w:rPr>
              <w:t>Date of entry onto ARTG</w:t>
            </w:r>
            <w:r w:rsidR="00500337">
              <w:rPr>
                <w:i/>
              </w:rPr>
              <w:t>:</w:t>
            </w:r>
          </w:p>
        </w:tc>
        <w:tc>
          <w:tcPr>
            <w:tcW w:w="6307" w:type="dxa"/>
          </w:tcPr>
          <w:p w14:paraId="4B897300" w14:textId="7BEC38BB" w:rsidR="00ED2922" w:rsidRPr="00441C3F" w:rsidRDefault="00E911A2" w:rsidP="00D153D8">
            <w:pPr>
              <w:rPr>
                <w:i/>
              </w:rPr>
            </w:pPr>
            <w:r>
              <w:t>7</w:t>
            </w:r>
            <w:r w:rsidR="0075010A">
              <w:t xml:space="preserve"> May 2021</w:t>
            </w:r>
          </w:p>
        </w:tc>
      </w:tr>
      <w:tr w:rsidR="00500337" w:rsidRPr="003D1E62" w14:paraId="224A5BAC" w14:textId="77777777" w:rsidTr="003735BC">
        <w:tc>
          <w:tcPr>
            <w:tcW w:w="2907" w:type="dxa"/>
          </w:tcPr>
          <w:p w14:paraId="6D19A730" w14:textId="77777777" w:rsidR="00500337" w:rsidRPr="00441C3F" w:rsidRDefault="0075010A" w:rsidP="001B5C90">
            <w:pPr>
              <w:rPr>
                <w:i/>
              </w:rPr>
            </w:pPr>
            <w:r>
              <w:rPr>
                <w:i/>
              </w:rPr>
              <w:t>ARTG number</w:t>
            </w:r>
            <w:r w:rsidR="00500337">
              <w:rPr>
                <w:i/>
              </w:rPr>
              <w:t>:</w:t>
            </w:r>
          </w:p>
        </w:tc>
        <w:tc>
          <w:tcPr>
            <w:tcW w:w="6307" w:type="dxa"/>
          </w:tcPr>
          <w:p w14:paraId="0C2FD6A6" w14:textId="77777777" w:rsidR="00500337" w:rsidRPr="00441C3F" w:rsidRDefault="0075010A" w:rsidP="00EC463D">
            <w:r>
              <w:t>312687</w:t>
            </w:r>
          </w:p>
        </w:tc>
      </w:tr>
      <w:tr w:rsidR="003735BC" w:rsidRPr="003D1E62" w14:paraId="4DD797B0" w14:textId="77777777" w:rsidTr="003735BC">
        <w:tc>
          <w:tcPr>
            <w:tcW w:w="2907" w:type="dxa"/>
          </w:tcPr>
          <w:p w14:paraId="19ABA642"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69160478" w14:textId="77777777" w:rsidR="003735BC" w:rsidRDefault="0075010A" w:rsidP="003735BC">
            <w:r>
              <w:t>Yes</w:t>
            </w:r>
          </w:p>
          <w:p w14:paraId="0CB66F46" w14:textId="77777777" w:rsidR="003735BC" w:rsidRPr="00487162" w:rsidRDefault="003735BC" w:rsidP="003735BC">
            <w:r>
              <w:t>This product will remain in the scheme for 5 years, starting on the date the new indication was approved</w:t>
            </w:r>
          </w:p>
        </w:tc>
      </w:tr>
      <w:tr w:rsidR="008E7846" w:rsidRPr="00487162" w14:paraId="6BE47215" w14:textId="77777777" w:rsidTr="00BF1190">
        <w:tc>
          <w:tcPr>
            <w:tcW w:w="2907" w:type="dxa"/>
          </w:tcPr>
          <w:p w14:paraId="3B22992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E28C412" w14:textId="77777777" w:rsidR="007D083F" w:rsidRDefault="007D083F" w:rsidP="0075010A">
            <w:r>
              <w:t>AbbVie Pty Ltd</w:t>
            </w:r>
          </w:p>
          <w:p w14:paraId="395AC4AA" w14:textId="200E42E3" w:rsidR="0075010A" w:rsidRDefault="0075010A" w:rsidP="0075010A">
            <w:r>
              <w:t xml:space="preserve">241 </w:t>
            </w:r>
            <w:proofErr w:type="spellStart"/>
            <w:r>
              <w:t>O’Riordan</w:t>
            </w:r>
            <w:proofErr w:type="spellEnd"/>
            <w:r>
              <w:t xml:space="preserve"> Street</w:t>
            </w:r>
          </w:p>
          <w:p w14:paraId="6A377084" w14:textId="3F6597FA" w:rsidR="008E7846" w:rsidRPr="00487162" w:rsidRDefault="0075010A" w:rsidP="0075010A">
            <w:r>
              <w:t>Mascot</w:t>
            </w:r>
            <w:r w:rsidR="00BE5EB3">
              <w:t>,</w:t>
            </w:r>
            <w:r>
              <w:t xml:space="preserve"> NSW</w:t>
            </w:r>
            <w:r w:rsidR="00BE5EB3">
              <w:t>,</w:t>
            </w:r>
            <w:r>
              <w:t xml:space="preserve"> 2020</w:t>
            </w:r>
          </w:p>
        </w:tc>
      </w:tr>
      <w:tr w:rsidR="008E7846" w:rsidRPr="00487162" w14:paraId="4D5853D4" w14:textId="77777777" w:rsidTr="00BF1190">
        <w:tc>
          <w:tcPr>
            <w:tcW w:w="2907" w:type="dxa"/>
          </w:tcPr>
          <w:p w14:paraId="35F992AE" w14:textId="77777777" w:rsidR="008E7846" w:rsidRPr="00487162" w:rsidRDefault="0075010A" w:rsidP="00E45619">
            <w:pPr>
              <w:rPr>
                <w:i/>
              </w:rPr>
            </w:pPr>
            <w:r>
              <w:rPr>
                <w:i/>
              </w:rPr>
              <w:t>Dose form</w:t>
            </w:r>
            <w:r w:rsidR="001B5C90">
              <w:rPr>
                <w:i/>
              </w:rPr>
              <w:t>:</w:t>
            </w:r>
          </w:p>
        </w:tc>
        <w:tc>
          <w:tcPr>
            <w:tcW w:w="6307" w:type="dxa"/>
          </w:tcPr>
          <w:p w14:paraId="427CEB36" w14:textId="77777777" w:rsidR="008E7846" w:rsidRPr="00487162" w:rsidRDefault="0075010A" w:rsidP="00E45619">
            <w:r>
              <w:t>M</w:t>
            </w:r>
            <w:r w:rsidRPr="0075010A">
              <w:t>odified release tablets</w:t>
            </w:r>
          </w:p>
        </w:tc>
      </w:tr>
      <w:tr w:rsidR="008E7846" w:rsidRPr="00487162" w14:paraId="389B4F03" w14:textId="77777777" w:rsidTr="00BF1190">
        <w:tc>
          <w:tcPr>
            <w:tcW w:w="2907" w:type="dxa"/>
          </w:tcPr>
          <w:p w14:paraId="5094C45B" w14:textId="77777777" w:rsidR="008E7846" w:rsidRPr="00487162" w:rsidRDefault="0075010A" w:rsidP="00E45619">
            <w:pPr>
              <w:rPr>
                <w:i/>
              </w:rPr>
            </w:pPr>
            <w:r>
              <w:rPr>
                <w:i/>
              </w:rPr>
              <w:t>Strength</w:t>
            </w:r>
            <w:r w:rsidR="00324E45">
              <w:rPr>
                <w:i/>
              </w:rPr>
              <w:t>:</w:t>
            </w:r>
          </w:p>
        </w:tc>
        <w:tc>
          <w:tcPr>
            <w:tcW w:w="6307" w:type="dxa"/>
          </w:tcPr>
          <w:p w14:paraId="763DB6D0" w14:textId="77777777" w:rsidR="008E7846" w:rsidRPr="00487162" w:rsidRDefault="0075010A" w:rsidP="00E45619">
            <w:r>
              <w:t>15 mg</w:t>
            </w:r>
          </w:p>
        </w:tc>
      </w:tr>
      <w:tr w:rsidR="008E7846" w:rsidRPr="00487162" w14:paraId="14872484" w14:textId="77777777" w:rsidTr="00BF1190">
        <w:tc>
          <w:tcPr>
            <w:tcW w:w="2907" w:type="dxa"/>
          </w:tcPr>
          <w:p w14:paraId="3932ECE6" w14:textId="77777777" w:rsidR="008E7846" w:rsidRPr="00487162" w:rsidRDefault="008E7846" w:rsidP="0075010A">
            <w:pPr>
              <w:rPr>
                <w:i/>
              </w:rPr>
            </w:pPr>
            <w:r w:rsidRPr="00487162">
              <w:rPr>
                <w:i/>
              </w:rPr>
              <w:t>Container:</w:t>
            </w:r>
          </w:p>
        </w:tc>
        <w:tc>
          <w:tcPr>
            <w:tcW w:w="6307" w:type="dxa"/>
          </w:tcPr>
          <w:p w14:paraId="71B6FFFB" w14:textId="77777777" w:rsidR="008E7846" w:rsidRPr="00487162" w:rsidRDefault="0075010A" w:rsidP="00E45619">
            <w:r>
              <w:t xml:space="preserve">Blister pack </w:t>
            </w:r>
          </w:p>
        </w:tc>
      </w:tr>
      <w:tr w:rsidR="008E7846" w:rsidRPr="00487162" w14:paraId="4019B3FF" w14:textId="77777777" w:rsidTr="00BF1190">
        <w:tc>
          <w:tcPr>
            <w:tcW w:w="2907" w:type="dxa"/>
          </w:tcPr>
          <w:p w14:paraId="1F9097D3" w14:textId="77777777" w:rsidR="008E7846" w:rsidRPr="00487162" w:rsidRDefault="008E7846" w:rsidP="00E45619">
            <w:pPr>
              <w:rPr>
                <w:i/>
              </w:rPr>
            </w:pPr>
            <w:r w:rsidRPr="00487162">
              <w:rPr>
                <w:i/>
              </w:rPr>
              <w:t xml:space="preserve">Pack </w:t>
            </w:r>
            <w:r w:rsidR="0075010A">
              <w:rPr>
                <w:i/>
              </w:rPr>
              <w:t>sizes</w:t>
            </w:r>
            <w:r w:rsidRPr="00487162">
              <w:rPr>
                <w:i/>
              </w:rPr>
              <w:t>:</w:t>
            </w:r>
          </w:p>
        </w:tc>
        <w:tc>
          <w:tcPr>
            <w:tcW w:w="6307" w:type="dxa"/>
          </w:tcPr>
          <w:p w14:paraId="091D3227" w14:textId="24BF75E0" w:rsidR="008E7846" w:rsidRPr="00487162" w:rsidRDefault="0075010A" w:rsidP="0075010A">
            <w:r>
              <w:t>7 tablets (starter pack)</w:t>
            </w:r>
            <w:r w:rsidR="00BE5EB3">
              <w:t>;</w:t>
            </w:r>
            <w:r>
              <w:t xml:space="preserve"> and 28 tablet</w:t>
            </w:r>
            <w:r w:rsidR="00BE5EB3">
              <w:t xml:space="preserve"> pack</w:t>
            </w:r>
          </w:p>
        </w:tc>
      </w:tr>
      <w:tr w:rsidR="008E7846" w:rsidRPr="00487162" w14:paraId="574122A2" w14:textId="77777777" w:rsidTr="00BF1190">
        <w:tc>
          <w:tcPr>
            <w:tcW w:w="2907" w:type="dxa"/>
          </w:tcPr>
          <w:p w14:paraId="351B0F7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A2CE2D4" w14:textId="77777777" w:rsidR="0075010A" w:rsidRPr="0075010A" w:rsidRDefault="0075010A" w:rsidP="0075010A">
            <w:pPr>
              <w:rPr>
                <w:rFonts w:eastAsia="MS Mincho"/>
                <w:i/>
                <w:lang w:eastAsia="ja-JP"/>
              </w:rPr>
            </w:pPr>
            <w:r w:rsidRPr="0075010A">
              <w:rPr>
                <w:rFonts w:eastAsia="MS Mincho"/>
                <w:i/>
                <w:lang w:eastAsia="ja-JP"/>
              </w:rPr>
              <w:t>Psoriatic Arthritis</w:t>
            </w:r>
          </w:p>
          <w:p w14:paraId="5706CB5C" w14:textId="77777777" w:rsidR="0075010A" w:rsidRDefault="0075010A" w:rsidP="0075010A">
            <w:pPr>
              <w:rPr>
                <w:rFonts w:eastAsia="MS Mincho"/>
                <w:i/>
                <w:lang w:eastAsia="ja-JP"/>
              </w:rPr>
            </w:pPr>
            <w:proofErr w:type="spellStart"/>
            <w:r w:rsidRPr="0075010A">
              <w:rPr>
                <w:rFonts w:eastAsia="MS Mincho"/>
                <w:i/>
                <w:lang w:eastAsia="ja-JP"/>
              </w:rPr>
              <w:t>R</w:t>
            </w:r>
            <w:r>
              <w:rPr>
                <w:rFonts w:eastAsia="MS Mincho"/>
                <w:i/>
                <w:lang w:eastAsia="ja-JP"/>
              </w:rPr>
              <w:t>invoq</w:t>
            </w:r>
            <w:proofErr w:type="spellEnd"/>
            <w:r w:rsidRPr="0075010A">
              <w:rPr>
                <w:rFonts w:eastAsia="MS Mincho"/>
                <w:i/>
                <w:lang w:eastAsia="ja-JP"/>
              </w:rPr>
              <w:t xml:space="preserve"> is indicated for the treatment of moderate to severe active psoriatic arthritis in adult patients who have responded inadequately </w:t>
            </w:r>
            <w:proofErr w:type="gramStart"/>
            <w:r w:rsidRPr="0075010A">
              <w:rPr>
                <w:rFonts w:eastAsia="MS Mincho"/>
                <w:i/>
                <w:lang w:eastAsia="ja-JP"/>
              </w:rPr>
              <w:t>to, or</w:t>
            </w:r>
            <w:proofErr w:type="gramEnd"/>
            <w:r w:rsidRPr="0075010A">
              <w:rPr>
                <w:rFonts w:eastAsia="MS Mincho"/>
                <w:i/>
                <w:lang w:eastAsia="ja-JP"/>
              </w:rPr>
              <w:t xml:space="preserve"> are in</w:t>
            </w:r>
            <w:r>
              <w:rPr>
                <w:rFonts w:eastAsia="MS Mincho"/>
                <w:i/>
                <w:lang w:eastAsia="ja-JP"/>
              </w:rPr>
              <w:t>tolerant to one or more DMARDs.</w:t>
            </w:r>
          </w:p>
          <w:p w14:paraId="3AB47B4A" w14:textId="77777777" w:rsidR="0075010A" w:rsidRPr="0075010A" w:rsidRDefault="0075010A" w:rsidP="0075010A">
            <w:pPr>
              <w:rPr>
                <w:rFonts w:eastAsia="MS Mincho"/>
                <w:i/>
                <w:lang w:eastAsia="ja-JP"/>
              </w:rPr>
            </w:pPr>
            <w:proofErr w:type="spellStart"/>
            <w:r w:rsidRPr="0075010A">
              <w:rPr>
                <w:rFonts w:eastAsia="MS Mincho"/>
                <w:i/>
                <w:lang w:eastAsia="ja-JP"/>
              </w:rPr>
              <w:t>R</w:t>
            </w:r>
            <w:r w:rsidR="00C61F51">
              <w:rPr>
                <w:rFonts w:eastAsia="MS Mincho"/>
                <w:i/>
                <w:lang w:eastAsia="ja-JP"/>
              </w:rPr>
              <w:t>invoq</w:t>
            </w:r>
            <w:proofErr w:type="spellEnd"/>
            <w:r w:rsidRPr="0075010A">
              <w:rPr>
                <w:rFonts w:eastAsia="MS Mincho"/>
                <w:i/>
                <w:lang w:eastAsia="ja-JP"/>
              </w:rPr>
              <w:t xml:space="preserve"> may be used as monotherapy or in combination with a non-biological DMARD.</w:t>
            </w:r>
          </w:p>
          <w:p w14:paraId="38EA8AD1" w14:textId="77777777" w:rsidR="0075010A" w:rsidRPr="0075010A" w:rsidRDefault="0075010A" w:rsidP="0075010A">
            <w:pPr>
              <w:rPr>
                <w:rFonts w:eastAsia="MS Mincho"/>
                <w:i/>
                <w:lang w:eastAsia="ja-JP"/>
              </w:rPr>
            </w:pPr>
            <w:r w:rsidRPr="0075010A">
              <w:rPr>
                <w:rFonts w:eastAsia="MS Mincho"/>
                <w:i/>
                <w:lang w:eastAsia="ja-JP"/>
              </w:rPr>
              <w:t>Ankylosing Spondylitis</w:t>
            </w:r>
          </w:p>
          <w:p w14:paraId="18DC51F7" w14:textId="77777777" w:rsidR="008E7846" w:rsidRPr="00487162" w:rsidRDefault="0075010A" w:rsidP="0075010A">
            <w:pPr>
              <w:rPr>
                <w:rFonts w:eastAsia="MS Mincho"/>
                <w:lang w:eastAsia="ja-JP"/>
              </w:rPr>
            </w:pPr>
            <w:proofErr w:type="spellStart"/>
            <w:r w:rsidRPr="0075010A">
              <w:rPr>
                <w:rFonts w:eastAsia="MS Mincho"/>
                <w:i/>
                <w:lang w:eastAsia="ja-JP"/>
              </w:rPr>
              <w:t>R</w:t>
            </w:r>
            <w:r>
              <w:rPr>
                <w:rFonts w:eastAsia="MS Mincho"/>
                <w:i/>
                <w:lang w:eastAsia="ja-JP"/>
              </w:rPr>
              <w:t>invoq</w:t>
            </w:r>
            <w:proofErr w:type="spellEnd"/>
            <w:r w:rsidRPr="0075010A">
              <w:rPr>
                <w:rFonts w:eastAsia="MS Mincho"/>
                <w:i/>
                <w:lang w:eastAsia="ja-JP"/>
              </w:rPr>
              <w:t xml:space="preserve"> is indicated for the treatment of adults with active ankylosing spondylitis.</w:t>
            </w:r>
          </w:p>
        </w:tc>
      </w:tr>
      <w:tr w:rsidR="008E7846" w:rsidRPr="00487162" w14:paraId="7D28C460" w14:textId="77777777" w:rsidTr="00BF1190">
        <w:tc>
          <w:tcPr>
            <w:tcW w:w="2907" w:type="dxa"/>
          </w:tcPr>
          <w:p w14:paraId="78DA79A3" w14:textId="77777777" w:rsidR="008E7846" w:rsidRPr="00487162" w:rsidRDefault="0075010A" w:rsidP="00E45619">
            <w:pPr>
              <w:rPr>
                <w:i/>
              </w:rPr>
            </w:pPr>
            <w:r>
              <w:rPr>
                <w:i/>
              </w:rPr>
              <w:t>Route</w:t>
            </w:r>
            <w:r w:rsidR="008E7846" w:rsidRPr="00487162">
              <w:rPr>
                <w:i/>
              </w:rPr>
              <w:t xml:space="preserve"> of administration:</w:t>
            </w:r>
          </w:p>
        </w:tc>
        <w:tc>
          <w:tcPr>
            <w:tcW w:w="6307" w:type="dxa"/>
          </w:tcPr>
          <w:p w14:paraId="70796BC8" w14:textId="77777777" w:rsidR="008E7846" w:rsidRPr="00487162" w:rsidRDefault="0075010A" w:rsidP="00E45619">
            <w:r>
              <w:t>Oral</w:t>
            </w:r>
          </w:p>
        </w:tc>
      </w:tr>
      <w:tr w:rsidR="008E7846" w:rsidRPr="00487162" w14:paraId="0D642C34" w14:textId="77777777" w:rsidTr="00BF1190">
        <w:tc>
          <w:tcPr>
            <w:tcW w:w="2907" w:type="dxa"/>
          </w:tcPr>
          <w:p w14:paraId="2002864C" w14:textId="77777777" w:rsidR="008E7846" w:rsidRPr="00487162" w:rsidRDefault="008E7846" w:rsidP="00E45619">
            <w:pPr>
              <w:rPr>
                <w:i/>
              </w:rPr>
            </w:pPr>
            <w:r w:rsidRPr="00487162">
              <w:rPr>
                <w:i/>
              </w:rPr>
              <w:lastRenderedPageBreak/>
              <w:t>Dosage:</w:t>
            </w:r>
          </w:p>
        </w:tc>
        <w:tc>
          <w:tcPr>
            <w:tcW w:w="6307" w:type="dxa"/>
          </w:tcPr>
          <w:p w14:paraId="1BE6C8FC" w14:textId="2F6ACBF5" w:rsidR="0075010A" w:rsidRDefault="0075010A" w:rsidP="0075010A">
            <w:r>
              <w:t xml:space="preserve">Therapy with </w:t>
            </w:r>
            <w:proofErr w:type="spellStart"/>
            <w:r>
              <w:t>Rinvoq</w:t>
            </w:r>
            <w:proofErr w:type="spellEnd"/>
            <w:r>
              <w:t xml:space="preserve"> </w:t>
            </w:r>
            <w:r w:rsidR="00BE5EB3">
              <w:t>(</w:t>
            </w:r>
            <w:proofErr w:type="spellStart"/>
            <w:r w:rsidR="00BE5EB3">
              <w:t>upadacitinib</w:t>
            </w:r>
            <w:proofErr w:type="spellEnd"/>
            <w:r w:rsidR="00BE5EB3">
              <w:t xml:space="preserve">) </w:t>
            </w:r>
            <w:r>
              <w:t>should be initiated and monitored by a rheumatologist or specialist physician with expertise in the management of the indicated conditions.</w:t>
            </w:r>
          </w:p>
          <w:p w14:paraId="7FB927EF" w14:textId="6BB9F04E" w:rsidR="0075010A" w:rsidRDefault="00B85AFC" w:rsidP="0075010A">
            <w:proofErr w:type="spellStart"/>
            <w:r>
              <w:t>Rinvoq</w:t>
            </w:r>
            <w:proofErr w:type="spellEnd"/>
            <w:r w:rsidR="0075010A">
              <w:t xml:space="preserve"> should not be initiated in patients with an absolute lymphocyte count (ALC) less than 500 cells/mm</w:t>
            </w:r>
            <w:r w:rsidR="0075010A" w:rsidRPr="00B85AFC">
              <w:rPr>
                <w:vertAlign w:val="superscript"/>
              </w:rPr>
              <w:t>3</w:t>
            </w:r>
            <w:r w:rsidR="0075010A">
              <w:t>, an absolute neutrophil count (ANC) less than 1000 cells/mm</w:t>
            </w:r>
            <w:r w:rsidR="0075010A" w:rsidRPr="00B85AFC">
              <w:rPr>
                <w:vertAlign w:val="superscript"/>
              </w:rPr>
              <w:t>3</w:t>
            </w:r>
            <w:r w:rsidR="0075010A">
              <w:t xml:space="preserve"> or who have haemoglobin levels less than 8 g/dL (</w:t>
            </w:r>
            <w:r>
              <w:t>S</w:t>
            </w:r>
            <w:r w:rsidR="0075010A">
              <w:t xml:space="preserve">ee </w:t>
            </w:r>
            <w:r>
              <w:t>Section</w:t>
            </w:r>
            <w:r w:rsidR="0075010A">
              <w:t xml:space="preserve">4.4 </w:t>
            </w:r>
            <w:r>
              <w:t>Special warnings and precautions for use</w:t>
            </w:r>
            <w:r w:rsidR="00BE5EB3">
              <w:t>;</w:t>
            </w:r>
            <w:r>
              <w:t xml:space="preserve"> and Section 4.8 adverse effects in </w:t>
            </w:r>
            <w:r w:rsidR="00BE5EB3">
              <w:t xml:space="preserve">the </w:t>
            </w:r>
            <w:r>
              <w:t>Product Information</w:t>
            </w:r>
            <w:r w:rsidR="0075010A">
              <w:t>).</w:t>
            </w:r>
          </w:p>
          <w:p w14:paraId="7D3E0B75" w14:textId="6449831A" w:rsidR="008E7846" w:rsidRDefault="00B85AFC" w:rsidP="0075010A">
            <w:proofErr w:type="spellStart"/>
            <w:r>
              <w:t>Rinvoq</w:t>
            </w:r>
            <w:proofErr w:type="spellEnd"/>
            <w:r>
              <w:t xml:space="preserve"> </w:t>
            </w:r>
            <w:r w:rsidR="00BE5EB3">
              <w:t>(</w:t>
            </w:r>
            <w:proofErr w:type="spellStart"/>
            <w:r w:rsidR="00BE5EB3">
              <w:t>upadacitinib</w:t>
            </w:r>
            <w:proofErr w:type="spellEnd"/>
            <w:r w:rsidR="00BE5EB3">
              <w:t xml:space="preserve">) </w:t>
            </w:r>
            <w:r w:rsidR="0075010A">
              <w:t>tablets should be tak</w:t>
            </w:r>
            <w:r>
              <w:t xml:space="preserve">en orally with or without food. </w:t>
            </w:r>
            <w:proofErr w:type="spellStart"/>
            <w:r>
              <w:t>Rinvoq</w:t>
            </w:r>
            <w:proofErr w:type="spellEnd"/>
            <w:r w:rsidR="0075010A">
              <w:t xml:space="preserve"> tablets should be swallowed whole. </w:t>
            </w:r>
            <w:proofErr w:type="spellStart"/>
            <w:r>
              <w:t>Rinvoq</w:t>
            </w:r>
            <w:proofErr w:type="spellEnd"/>
            <w:r>
              <w:t xml:space="preserve"> </w:t>
            </w:r>
            <w:r w:rsidR="0075010A">
              <w:t>should not be split, crushed, or chewed.</w:t>
            </w:r>
          </w:p>
          <w:p w14:paraId="504A8FA6" w14:textId="77777777" w:rsidR="00B85AFC" w:rsidRPr="00B85AFC" w:rsidRDefault="00B85AFC" w:rsidP="00B85AFC">
            <w:pPr>
              <w:rPr>
                <w:i/>
              </w:rPr>
            </w:pPr>
            <w:r w:rsidRPr="00B85AFC">
              <w:rPr>
                <w:i/>
              </w:rPr>
              <w:t>Psoriatic Arthritis</w:t>
            </w:r>
          </w:p>
          <w:p w14:paraId="5775AECB" w14:textId="77777777" w:rsidR="00B85AFC" w:rsidRDefault="00B85AFC" w:rsidP="00B85AFC">
            <w:r>
              <w:t xml:space="preserve">The recommended dose of </w:t>
            </w:r>
            <w:proofErr w:type="spellStart"/>
            <w:r>
              <w:t>Rinvoq</w:t>
            </w:r>
            <w:proofErr w:type="spellEnd"/>
            <w:r>
              <w:t xml:space="preserve"> is 15 mg once daily.</w:t>
            </w:r>
          </w:p>
          <w:p w14:paraId="58BF7344" w14:textId="485877F9" w:rsidR="00B85AFC" w:rsidRDefault="00B85AFC" w:rsidP="00B85AFC">
            <w:proofErr w:type="spellStart"/>
            <w:r>
              <w:t>Rinvoq</w:t>
            </w:r>
            <w:proofErr w:type="spellEnd"/>
            <w:r>
              <w:t xml:space="preserve"> may be used as monotherapy or in combination with a non-biological </w:t>
            </w:r>
            <w:r w:rsidR="00BE5EB3">
              <w:t>disease modifying anti-rheumatic drug (</w:t>
            </w:r>
            <w:r>
              <w:t>DMARD</w:t>
            </w:r>
            <w:r w:rsidR="00BE5EB3">
              <w:t>)</w:t>
            </w:r>
            <w:r>
              <w:t>.</w:t>
            </w:r>
          </w:p>
          <w:p w14:paraId="43B5E985" w14:textId="77777777" w:rsidR="00B85AFC" w:rsidRPr="00B85AFC" w:rsidRDefault="00B85AFC" w:rsidP="00B85AFC">
            <w:pPr>
              <w:rPr>
                <w:i/>
              </w:rPr>
            </w:pPr>
            <w:r w:rsidRPr="00B85AFC">
              <w:rPr>
                <w:i/>
              </w:rPr>
              <w:t>Ankylosing Spondylitis</w:t>
            </w:r>
          </w:p>
          <w:p w14:paraId="34CC69C9" w14:textId="77777777" w:rsidR="00B85AFC" w:rsidRDefault="00B85AFC" w:rsidP="00B85AFC">
            <w:r>
              <w:t xml:space="preserve">The recommended dose of </w:t>
            </w:r>
            <w:proofErr w:type="spellStart"/>
            <w:r>
              <w:t>Rinvoq</w:t>
            </w:r>
            <w:proofErr w:type="spellEnd"/>
            <w:r>
              <w:t xml:space="preserve"> is 15 mg once daily</w:t>
            </w:r>
          </w:p>
          <w:p w14:paraId="21030F06" w14:textId="77777777" w:rsidR="00460036" w:rsidRPr="00487162" w:rsidRDefault="00460036" w:rsidP="00E45619">
            <w:r w:rsidRPr="00460036">
              <w:t>For further information regarding dosage, refer to the Product Information.</w:t>
            </w:r>
          </w:p>
        </w:tc>
      </w:tr>
      <w:tr w:rsidR="00460036" w:rsidRPr="00487162" w14:paraId="0EA31427" w14:textId="77777777" w:rsidTr="00BF1190">
        <w:tc>
          <w:tcPr>
            <w:tcW w:w="2907" w:type="dxa"/>
          </w:tcPr>
          <w:p w14:paraId="57008441" w14:textId="77777777" w:rsidR="00460036" w:rsidRPr="00487162" w:rsidRDefault="00460036" w:rsidP="00E45619">
            <w:pPr>
              <w:rPr>
                <w:i/>
              </w:rPr>
            </w:pPr>
            <w:r w:rsidRPr="00460036">
              <w:rPr>
                <w:i/>
              </w:rPr>
              <w:t>Pregnancy category</w:t>
            </w:r>
            <w:r>
              <w:rPr>
                <w:i/>
              </w:rPr>
              <w:t>:</w:t>
            </w:r>
          </w:p>
        </w:tc>
        <w:tc>
          <w:tcPr>
            <w:tcW w:w="6307" w:type="dxa"/>
          </w:tcPr>
          <w:p w14:paraId="49DEA8C0" w14:textId="77777777" w:rsidR="00B85AFC" w:rsidRDefault="00B85AFC" w:rsidP="00B85AFC">
            <w:r>
              <w:t>D</w:t>
            </w:r>
          </w:p>
          <w:p w14:paraId="7DFCA03E" w14:textId="77777777" w:rsidR="00460036" w:rsidRDefault="00B85AFC" w:rsidP="00B85AFC">
            <w:r>
              <w:t xml:space="preserve">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p w14:paraId="5F9C6A33"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148C5AE" w14:textId="77777777" w:rsidR="008E7846" w:rsidRDefault="008E7846" w:rsidP="008E7846">
      <w:pPr>
        <w:pStyle w:val="Heading3"/>
      </w:pPr>
      <w:bookmarkStart w:id="13" w:name="_Toc247691503"/>
      <w:bookmarkStart w:id="14" w:name="_Toc314842484"/>
      <w:bookmarkStart w:id="15" w:name="_Toc80775932"/>
      <w:r>
        <w:t>Product background</w:t>
      </w:r>
      <w:bookmarkEnd w:id="13"/>
      <w:bookmarkEnd w:id="14"/>
      <w:bookmarkEnd w:id="15"/>
    </w:p>
    <w:p w14:paraId="7FD46FCF" w14:textId="0A18122C" w:rsidR="008E7846" w:rsidRDefault="00250271" w:rsidP="00940A89">
      <w:r w:rsidRPr="00250271">
        <w:t xml:space="preserve">This </w:t>
      </w:r>
      <w:proofErr w:type="spellStart"/>
      <w:r w:rsidRPr="00250271">
        <w:t>AusPAR</w:t>
      </w:r>
      <w:proofErr w:type="spellEnd"/>
      <w:r w:rsidRPr="00250271">
        <w:t xml:space="preserve"> describes the application by</w:t>
      </w:r>
      <w:r w:rsidR="00B85AFC">
        <w:t xml:space="preserve"> AbbVie Pty Ltd</w:t>
      </w:r>
      <w:r w:rsidRPr="00250271">
        <w:t xml:space="preserve"> (the sponsor) to register </w:t>
      </w:r>
      <w:proofErr w:type="spellStart"/>
      <w:r w:rsidR="00B85AFC">
        <w:t>Rinvoq</w:t>
      </w:r>
      <w:proofErr w:type="spellEnd"/>
      <w:r w:rsidRPr="00250271">
        <w:t xml:space="preserve"> (</w:t>
      </w:r>
      <w:proofErr w:type="spellStart"/>
      <w:r w:rsidR="00D549DC">
        <w:t>upadacitinib</w:t>
      </w:r>
      <w:proofErr w:type="spellEnd"/>
      <w:r w:rsidR="00B85AFC">
        <w:t>) 15 mg, modified release tablet</w:t>
      </w:r>
      <w:r w:rsidRPr="00250271">
        <w:t xml:space="preserve"> for the following proposed extension of indications</w:t>
      </w:r>
      <w:r w:rsidR="00CF5DAD">
        <w:t>:</w:t>
      </w:r>
    </w:p>
    <w:p w14:paraId="13D262F8" w14:textId="77777777" w:rsidR="00B85AFC" w:rsidRPr="00B85AFC" w:rsidRDefault="00B85AFC" w:rsidP="00B85AFC">
      <w:pPr>
        <w:ind w:left="720"/>
        <w:rPr>
          <w:i/>
        </w:rPr>
      </w:pPr>
      <w:r w:rsidRPr="00B85AFC">
        <w:rPr>
          <w:i/>
        </w:rPr>
        <w:t>Psoriatic Arthritis</w:t>
      </w:r>
    </w:p>
    <w:p w14:paraId="092B86DC" w14:textId="77777777" w:rsidR="00B85AFC" w:rsidRPr="00B85AFC" w:rsidRDefault="00B85AFC" w:rsidP="00B85AFC">
      <w:pPr>
        <w:ind w:left="720"/>
        <w:rPr>
          <w:i/>
        </w:rPr>
      </w:pPr>
      <w:proofErr w:type="spellStart"/>
      <w:r w:rsidRPr="00B85AFC">
        <w:rPr>
          <w:i/>
        </w:rPr>
        <w:t>Rinvoq</w:t>
      </w:r>
      <w:proofErr w:type="spellEnd"/>
      <w:r w:rsidRPr="00B85AFC">
        <w:rPr>
          <w:i/>
        </w:rPr>
        <w:t xml:space="preserve"> is indicated for the treatment of adults with active psoriatic arthritis. </w:t>
      </w:r>
      <w:proofErr w:type="spellStart"/>
      <w:r w:rsidRPr="00B85AFC">
        <w:rPr>
          <w:i/>
        </w:rPr>
        <w:t>Rinvoq</w:t>
      </w:r>
      <w:proofErr w:type="spellEnd"/>
      <w:r w:rsidRPr="00B85AFC">
        <w:rPr>
          <w:i/>
        </w:rPr>
        <w:t xml:space="preserve"> may be used as monotherapy or in combination with non-biologic DMARDs.</w:t>
      </w:r>
    </w:p>
    <w:p w14:paraId="65E15354" w14:textId="77777777" w:rsidR="00B85AFC" w:rsidRPr="00B85AFC" w:rsidRDefault="00B85AFC" w:rsidP="00B85AFC">
      <w:pPr>
        <w:ind w:left="720"/>
        <w:rPr>
          <w:i/>
        </w:rPr>
      </w:pPr>
      <w:r w:rsidRPr="00B85AFC">
        <w:rPr>
          <w:i/>
        </w:rPr>
        <w:t>Ankylosing Spondylitis</w:t>
      </w:r>
    </w:p>
    <w:p w14:paraId="10469A35" w14:textId="77777777" w:rsidR="00B85AFC" w:rsidRPr="00ED2922" w:rsidRDefault="00B85AFC" w:rsidP="00B85AFC">
      <w:pPr>
        <w:ind w:left="720"/>
      </w:pPr>
      <w:proofErr w:type="spellStart"/>
      <w:r w:rsidRPr="00B85AFC">
        <w:rPr>
          <w:i/>
        </w:rPr>
        <w:t>Rinvoq</w:t>
      </w:r>
      <w:proofErr w:type="spellEnd"/>
      <w:r w:rsidRPr="00B85AFC">
        <w:rPr>
          <w:i/>
        </w:rPr>
        <w:t xml:space="preserve"> is indicated for the treatment of adults with active ankylosing spondylitis.</w:t>
      </w:r>
    </w:p>
    <w:p w14:paraId="7F968AD0" w14:textId="3D53E67B" w:rsidR="00B85AFC" w:rsidRDefault="00B85AFC" w:rsidP="00B85AFC">
      <w:r>
        <w:lastRenderedPageBreak/>
        <w:t xml:space="preserve">Upadacitinib is an oral anti-cytokine therapy, which inhibits the function of </w:t>
      </w:r>
      <w:r w:rsidRPr="00B85AFC">
        <w:t>Janus kinase</w:t>
      </w:r>
      <w:r>
        <w:t xml:space="preserve"> (JAK) proteins. The JAK proteins are intracellular molecules involved in signal transduction of Type I and II cytokine receptors including the i</w:t>
      </w:r>
      <w:r w:rsidRPr="00B85AFC">
        <w:t>nterleukin</w:t>
      </w:r>
      <w:r>
        <w:t xml:space="preserve"> (IL)-6 receptor. There are four J</w:t>
      </w:r>
      <w:r w:rsidR="00BE5EB3">
        <w:t xml:space="preserve">anus </w:t>
      </w:r>
      <w:proofErr w:type="spellStart"/>
      <w:r w:rsidR="00BE5EB3">
        <w:t>kinus</w:t>
      </w:r>
      <w:proofErr w:type="spellEnd"/>
      <w:r w:rsidR="00BE5EB3">
        <w:t xml:space="preserve"> (JAK)</w:t>
      </w:r>
      <w:r>
        <w:t xml:space="preserve"> isoforms</w:t>
      </w:r>
      <w:r w:rsidR="00BE5EB3">
        <w:t>:</w:t>
      </w:r>
      <w:r>
        <w:t xml:space="preserve"> JAK1, JAK2, JAK3</w:t>
      </w:r>
      <w:r w:rsidR="00BE5EB3">
        <w:t>;</w:t>
      </w:r>
      <w:r>
        <w:t xml:space="preserve"> and tyrosine kinase 2 (TYK2), which act in pairs to phosphorylate other intracellular proteins including members of the signal transducer and activator of transcription (STAT) family of DNA binding proteins. Phosphorylation of STATs promotes their translocation to the cell nucleus and subsequent gene transcription. Through this process JAKs are directly and indirectly involved in a range of immune and homeostatic functions, which may be interrupted or modified by the </w:t>
      </w:r>
      <w:r w:rsidR="00E9358F">
        <w:t>JAK inhibitor</w:t>
      </w:r>
      <w:r>
        <w:t xml:space="preserve">. The sponsor states that </w:t>
      </w:r>
      <w:proofErr w:type="spellStart"/>
      <w:r>
        <w:t>upadacitinib</w:t>
      </w:r>
      <w:proofErr w:type="spellEnd"/>
      <w:r>
        <w:t xml:space="preserve"> has preferential affinity for the JAK1 isoform over JAK2, JAK3 and TYK2.</w:t>
      </w:r>
    </w:p>
    <w:p w14:paraId="4D584A2B" w14:textId="5B34CE52" w:rsidR="00B85AFC" w:rsidRDefault="004C1400" w:rsidP="00B85AFC">
      <w:r>
        <w:t>Psoriatic arthritis (</w:t>
      </w:r>
      <w:proofErr w:type="spellStart"/>
      <w:r w:rsidR="00B85AFC">
        <w:t>PsA</w:t>
      </w:r>
      <w:proofErr w:type="spellEnd"/>
      <w:r>
        <w:t>)</w:t>
      </w:r>
      <w:r w:rsidR="00B85AFC">
        <w:t xml:space="preserve"> is a chronic inflammatory</w:t>
      </w:r>
      <w:r w:rsidR="009425A2">
        <w:t xml:space="preserve"> form of</w:t>
      </w:r>
      <w:r w:rsidR="00B85AFC">
        <w:t xml:space="preserve"> arthritis associated with skin psoriasis. It affects men and women equally. The prevalence of </w:t>
      </w:r>
      <w:proofErr w:type="spellStart"/>
      <w:r w:rsidR="00B85AFC">
        <w:t>PsA</w:t>
      </w:r>
      <w:proofErr w:type="spellEnd"/>
      <w:r w:rsidR="00B85AFC">
        <w:t xml:space="preserve"> in the general population is approximately 1 to 2 per 1000 of the general </w:t>
      </w:r>
      <w:proofErr w:type="gramStart"/>
      <w:r w:rsidR="00B85AFC">
        <w:t>population, and</w:t>
      </w:r>
      <w:proofErr w:type="gramEnd"/>
      <w:r w:rsidR="00B85AFC">
        <w:t xml:space="preserve"> estimates in the population of patients with psoriasis have varied between 4% and 30%. In the majority of </w:t>
      </w:r>
      <w:proofErr w:type="spellStart"/>
      <w:r w:rsidR="00B85AFC">
        <w:t>PsA</w:t>
      </w:r>
      <w:proofErr w:type="spellEnd"/>
      <w:r w:rsidR="00B85AFC">
        <w:t xml:space="preserve"> patients, psoriasis precedes the onset of arthritis with a median time between the diagnosis of skin and joint disease of seven to eight years. Since 2006, the diagnosis of </w:t>
      </w:r>
      <w:proofErr w:type="spellStart"/>
      <w:r w:rsidR="00B85AFC">
        <w:t>PsA</w:t>
      </w:r>
      <w:proofErr w:type="spellEnd"/>
      <w:r w:rsidR="00B85AFC">
        <w:t xml:space="preserve"> in a patient with an inflammatory musculoskeletal disease (peripheral arthritis, spondylitis or </w:t>
      </w:r>
      <w:proofErr w:type="spellStart"/>
      <w:r w:rsidR="00B85AFC">
        <w:t>enthesitis</w:t>
      </w:r>
      <w:proofErr w:type="spellEnd"/>
      <w:r w:rsidR="00B85AFC">
        <w:t>), for research purposes, has been based on achieving a total of at least three points on the Classification Criteria for Psoriatic Arthritis (CASPAR) criteria.</w:t>
      </w:r>
      <w:bookmarkStart w:id="16" w:name="_Ref75525560"/>
      <w:r>
        <w:rPr>
          <w:rStyle w:val="FootnoteReference"/>
        </w:rPr>
        <w:footnoteReference w:id="2"/>
      </w:r>
      <w:bookmarkEnd w:id="16"/>
    </w:p>
    <w:p w14:paraId="4F223028" w14:textId="53DD3A17" w:rsidR="00B85AFC" w:rsidRDefault="00B85AFC" w:rsidP="00B85AFC">
      <w:r>
        <w:t xml:space="preserve">The initial treatment of </w:t>
      </w:r>
      <w:proofErr w:type="spellStart"/>
      <w:r>
        <w:t>PsA</w:t>
      </w:r>
      <w:proofErr w:type="spellEnd"/>
      <w:r>
        <w:t xml:space="preserve"> usually involves managing pain and inflammation, particularly in the peripheral joints, with oral non-steroidal anti-inflammatory drugs (NSAIDs). Intra-articular steroid injections may be considered for </w:t>
      </w:r>
      <w:proofErr w:type="spellStart"/>
      <w:r>
        <w:t>oligoarthritis</w:t>
      </w:r>
      <w:proofErr w:type="spellEnd"/>
      <w:r>
        <w:t xml:space="preserve"> of larger joints. Generally, patients will be commenced on conventional disease-modifying anti-rheumatic drugs (</w:t>
      </w:r>
      <w:proofErr w:type="spellStart"/>
      <w:r>
        <w:t>cDMARDs</w:t>
      </w:r>
      <w:proofErr w:type="spellEnd"/>
      <w:r>
        <w:t xml:space="preserve">), for example methotrexate, sulfasalazine and leflunomide, or the targeted non-biological DMARD </w:t>
      </w:r>
      <w:proofErr w:type="spellStart"/>
      <w:r>
        <w:t>apremilast</w:t>
      </w:r>
      <w:proofErr w:type="spellEnd"/>
      <w:r>
        <w:t xml:space="preserve">. Biological </w:t>
      </w:r>
      <w:r w:rsidR="007B6239">
        <w:t xml:space="preserve">disease modifying anti-rheumatic drugs (or </w:t>
      </w:r>
      <w:proofErr w:type="spellStart"/>
      <w:r w:rsidR="007B6239">
        <w:t>bDMARD</w:t>
      </w:r>
      <w:proofErr w:type="spellEnd"/>
      <w:r w:rsidR="007B6239">
        <w:t xml:space="preserve">) </w:t>
      </w:r>
      <w:r>
        <w:t>including tumour necr</w:t>
      </w:r>
      <w:r w:rsidR="001B5706">
        <w:t>osis factor (TNF) inhibitors</w:t>
      </w:r>
      <w:r>
        <w:t xml:space="preserve">, the IL-17A inhibitor </w:t>
      </w:r>
      <w:proofErr w:type="spellStart"/>
      <w:r>
        <w:t>secukinumab</w:t>
      </w:r>
      <w:proofErr w:type="spellEnd"/>
      <w:r>
        <w:t xml:space="preserve"> (Cosentyx) and the IL-12/23 inhibitor </w:t>
      </w:r>
      <w:proofErr w:type="spellStart"/>
      <w:r>
        <w:t>ustekinumab</w:t>
      </w:r>
      <w:proofErr w:type="spellEnd"/>
      <w:r>
        <w:t xml:space="preserve"> (Stelara), have been approved as second line therapies following failure of</w:t>
      </w:r>
      <w:r w:rsidR="001B5706">
        <w:t xml:space="preserve"> or intolerance to c</w:t>
      </w:r>
      <w:r w:rsidR="007B6239">
        <w:t>onventional disease modifying anti-rheumatic drugs (</w:t>
      </w:r>
      <w:proofErr w:type="spellStart"/>
      <w:r w:rsidR="007B6239">
        <w:t>c</w:t>
      </w:r>
      <w:r w:rsidR="001B5706">
        <w:t>DMARD</w:t>
      </w:r>
      <w:proofErr w:type="spellEnd"/>
      <w:r w:rsidR="007B6239">
        <w:t>)</w:t>
      </w:r>
      <w:r w:rsidR="001B5706">
        <w:t>. JAK inhibitors</w:t>
      </w:r>
      <w:r>
        <w:t xml:space="preserve"> are oral anti-cytokine DMARDs that have come to the market in the last ten years. Currently, the</w:t>
      </w:r>
      <w:r w:rsidR="001B5706">
        <w:t xml:space="preserve"> only JAK inhibitors</w:t>
      </w:r>
      <w:r>
        <w:t xml:space="preserve"> approved for the treatment of </w:t>
      </w:r>
      <w:proofErr w:type="spellStart"/>
      <w:r>
        <w:t>PsA</w:t>
      </w:r>
      <w:proofErr w:type="spellEnd"/>
      <w:r>
        <w:t xml:space="preserve"> is tofacitinib (Xeljanz). Treatment with tofacitinib is restricted to adults with </w:t>
      </w:r>
      <w:proofErr w:type="spellStart"/>
      <w:r>
        <w:t>PsA</w:t>
      </w:r>
      <w:proofErr w:type="spellEnd"/>
      <w:r>
        <w:t xml:space="preserve"> who have had an inadequate response to prior conventional or biological DMARDs.</w:t>
      </w:r>
    </w:p>
    <w:p w14:paraId="6D9E54E1" w14:textId="2DC9E452" w:rsidR="00B85AFC" w:rsidRDefault="00B85AFC" w:rsidP="00B85AFC">
      <w:r>
        <w:t xml:space="preserve">Axial </w:t>
      </w:r>
      <w:proofErr w:type="spellStart"/>
      <w:r>
        <w:t>spondyloarthritis</w:t>
      </w:r>
      <w:proofErr w:type="spellEnd"/>
      <w:r>
        <w:t xml:space="preserve"> (</w:t>
      </w:r>
      <w:proofErr w:type="spellStart"/>
      <w:r>
        <w:t>axSpA</w:t>
      </w:r>
      <w:proofErr w:type="spellEnd"/>
      <w:r>
        <w:t xml:space="preserve">), which includes </w:t>
      </w:r>
      <w:r w:rsidR="0008106A">
        <w:t xml:space="preserve">radiographic </w:t>
      </w:r>
      <w:proofErr w:type="spellStart"/>
      <w:r w:rsidR="0008106A">
        <w:t>axSpA</w:t>
      </w:r>
      <w:proofErr w:type="spellEnd"/>
      <w:r>
        <w:t xml:space="preserve"> and non-radiographic axial </w:t>
      </w:r>
      <w:proofErr w:type="spellStart"/>
      <w:r w:rsidR="007B6239">
        <w:t>spondyloarthritis</w:t>
      </w:r>
      <w:proofErr w:type="spellEnd"/>
      <w:r>
        <w:t xml:space="preserve"> (nr-</w:t>
      </w:r>
      <w:proofErr w:type="spellStart"/>
      <w:r>
        <w:t>axSpA</w:t>
      </w:r>
      <w:proofErr w:type="spellEnd"/>
      <w:r>
        <w:t xml:space="preserve">), is a chronic inflammatory condition manifested by back pain and </w:t>
      </w:r>
      <w:r w:rsidR="00A048A2">
        <w:t xml:space="preserve">progressive spinal stiffness. Radiographic </w:t>
      </w:r>
      <w:proofErr w:type="spellStart"/>
      <w:r w:rsidR="00A048A2">
        <w:t>axSpA</w:t>
      </w:r>
      <w:proofErr w:type="spellEnd"/>
      <w:r>
        <w:t xml:space="preserve"> and nr-</w:t>
      </w:r>
      <w:proofErr w:type="spellStart"/>
      <w:r>
        <w:t>axSpA</w:t>
      </w:r>
      <w:proofErr w:type="spellEnd"/>
      <w:r>
        <w:t xml:space="preserve"> differ in that significant abnormalities of affected sacroiliac joints are observed by conventional</w:t>
      </w:r>
      <w:r w:rsidR="00A048A2">
        <w:t xml:space="preserve"> radiography in patients with radiographic </w:t>
      </w:r>
      <w:proofErr w:type="spellStart"/>
      <w:r w:rsidR="00A048A2">
        <w:t>axSpA</w:t>
      </w:r>
      <w:proofErr w:type="spellEnd"/>
      <w:r>
        <w:t xml:space="preserve"> but require </w:t>
      </w:r>
      <w:r w:rsidR="00DC4DFB">
        <w:t>m</w:t>
      </w:r>
      <w:r w:rsidR="00DC4DFB" w:rsidRPr="00DC4DFB">
        <w:t>agnetic resonance imaging</w:t>
      </w:r>
      <w:r w:rsidR="00DC4DFB">
        <w:t xml:space="preserve"> (MRI)</w:t>
      </w:r>
      <w:r w:rsidR="0008106A">
        <w:t xml:space="preserve"> to be detected with nr-</w:t>
      </w:r>
      <w:proofErr w:type="spellStart"/>
      <w:r w:rsidR="0008106A">
        <w:t>axSpA</w:t>
      </w:r>
      <w:proofErr w:type="spellEnd"/>
      <w:r w:rsidR="0008106A">
        <w:t>.</w:t>
      </w:r>
    </w:p>
    <w:p w14:paraId="6E2B4095" w14:textId="77777777" w:rsidR="00B85AFC" w:rsidRDefault="00DC4DFB" w:rsidP="00B85AFC">
      <w:r>
        <w:t xml:space="preserve">Ankylosing spondylitis (AS) </w:t>
      </w:r>
      <w:r w:rsidR="00B85AFC">
        <w:t>affects up to 0.5% of the population and occurs predomi</w:t>
      </w:r>
      <w:r w:rsidR="0008106A">
        <w:t xml:space="preserve">nantly in men. The majority (85 to </w:t>
      </w:r>
      <w:r w:rsidR="00B85AFC">
        <w:t>90%) of af</w:t>
      </w:r>
      <w:r>
        <w:t>fected individuals carry the h</w:t>
      </w:r>
      <w:r w:rsidRPr="00DC4DFB">
        <w:t>uman leukocyte antigen</w:t>
      </w:r>
      <w:r>
        <w:t xml:space="preserve"> </w:t>
      </w:r>
      <w:r w:rsidR="00B85AFC">
        <w:t xml:space="preserve">B27 gene. Disease severity varies considerably between patients. Initially it usually affects the sacroiliac joints (sacroiliitis) before involving other areas of the spine. </w:t>
      </w:r>
      <w:r w:rsidR="00B85AFC">
        <w:lastRenderedPageBreak/>
        <w:t xml:space="preserve">Although primarily thought of as a spinal disease, up to </w:t>
      </w:r>
      <w:r w:rsidR="00A048A2">
        <w:t xml:space="preserve">50% of patients with radiographic </w:t>
      </w:r>
      <w:proofErr w:type="spellStart"/>
      <w:r w:rsidR="00A048A2">
        <w:t>axSpA</w:t>
      </w:r>
      <w:proofErr w:type="spellEnd"/>
      <w:r w:rsidR="00B85AFC">
        <w:t xml:space="preserve"> may also develop </w:t>
      </w:r>
      <w:proofErr w:type="spellStart"/>
      <w:r w:rsidR="00B85AFC">
        <w:t>enthesitis</w:t>
      </w:r>
      <w:proofErr w:type="spellEnd"/>
      <w:r w:rsidR="00B85AFC">
        <w:t xml:space="preserve"> and arthritis of peripheral joints. In addition, the disease can affect organs including the eyes, bowel, lungs, heart, and kidneys.</w:t>
      </w:r>
    </w:p>
    <w:p w14:paraId="5029F180" w14:textId="302BA5E1" w:rsidR="007B6239" w:rsidRDefault="00B85AFC" w:rsidP="00B85AFC">
      <w:r>
        <w:t>The Australian Therapeutic Guidelines consider symptom control with NSA</w:t>
      </w:r>
      <w:r w:rsidR="00A048A2">
        <w:t xml:space="preserve">IDs as first line therapy for radiographic </w:t>
      </w:r>
      <w:proofErr w:type="spellStart"/>
      <w:r w:rsidR="00A048A2">
        <w:t>axSpA</w:t>
      </w:r>
      <w:proofErr w:type="spellEnd"/>
      <w:r>
        <w:t xml:space="preserve">, in combination with an appropriate exercise program and other lifestyle changes. Disease modifying therapies, </w:t>
      </w:r>
      <w:proofErr w:type="gramStart"/>
      <w:r>
        <w:t xml:space="preserve">in particular </w:t>
      </w:r>
      <w:proofErr w:type="spellStart"/>
      <w:r>
        <w:t>bDMARDs</w:t>
      </w:r>
      <w:proofErr w:type="spellEnd"/>
      <w:proofErr w:type="gramEnd"/>
      <w:r>
        <w:t xml:space="preserve">, are added for persistent axial inflammation and </w:t>
      </w:r>
      <w:proofErr w:type="spellStart"/>
      <w:r>
        <w:t>enthesitis</w:t>
      </w:r>
      <w:proofErr w:type="spellEnd"/>
      <w:r>
        <w:t xml:space="preserve"> not responding to NSAIDs. Although patients may be treated with </w:t>
      </w:r>
      <w:proofErr w:type="spellStart"/>
      <w:r>
        <w:t>cDMARDs</w:t>
      </w:r>
      <w:proofErr w:type="spellEnd"/>
      <w:r>
        <w:t>, these are generally considered to have limited effect on axial inflammation and to be more useful in patients with predo</w:t>
      </w:r>
      <w:r w:rsidR="00DC4DFB">
        <w:t xml:space="preserve">minantly peripheral arthritis. </w:t>
      </w:r>
      <w:r>
        <w:t>TGA has registered several</w:t>
      </w:r>
      <w:r w:rsidR="00A048A2">
        <w:t xml:space="preserve"> </w:t>
      </w:r>
      <w:proofErr w:type="spellStart"/>
      <w:r w:rsidR="00A048A2">
        <w:t>bDMARD</w:t>
      </w:r>
      <w:r w:rsidR="007B6239">
        <w:t>s</w:t>
      </w:r>
      <w:proofErr w:type="spellEnd"/>
      <w:r w:rsidR="00A048A2">
        <w:t xml:space="preserve"> for the treatment of radiographic </w:t>
      </w:r>
      <w:proofErr w:type="spellStart"/>
      <w:r w:rsidR="00A048A2">
        <w:t>axSpA</w:t>
      </w:r>
      <w:proofErr w:type="spellEnd"/>
      <w:r>
        <w:t xml:space="preserve"> in</w:t>
      </w:r>
      <w:r w:rsidR="00DC4DFB">
        <w:t>cluding five TNF in</w:t>
      </w:r>
      <w:r w:rsidR="00A048A2">
        <w:t>hibitors</w:t>
      </w:r>
      <w:r>
        <w:t xml:space="preserve"> as well as two IL-17A antibodies: </w:t>
      </w:r>
      <w:proofErr w:type="spellStart"/>
      <w:r>
        <w:t>secukinumab</w:t>
      </w:r>
      <w:proofErr w:type="spellEnd"/>
      <w:r>
        <w:t xml:space="preserve"> and </w:t>
      </w:r>
      <w:proofErr w:type="spellStart"/>
      <w:r>
        <w:t>ixekizumab</w:t>
      </w:r>
      <w:proofErr w:type="spellEnd"/>
      <w:r>
        <w:t xml:space="preserve"> (Taltz).</w:t>
      </w:r>
    </w:p>
    <w:p w14:paraId="0C599648" w14:textId="3779982E" w:rsidR="00B85AFC" w:rsidRDefault="00B85AFC" w:rsidP="00B85AFC">
      <w:r>
        <w:t>This is the first submission reques</w:t>
      </w:r>
      <w:r w:rsidR="00A048A2">
        <w:t>ting approval to register a JAK inhibitors</w:t>
      </w:r>
      <w:r>
        <w:t xml:space="preserve"> for the treatment of AS.</w:t>
      </w:r>
    </w:p>
    <w:p w14:paraId="63E70F43" w14:textId="77777777" w:rsidR="008E7846" w:rsidRPr="003F31A2" w:rsidRDefault="00386150" w:rsidP="008E7846">
      <w:pPr>
        <w:pStyle w:val="Heading3"/>
      </w:pPr>
      <w:bookmarkStart w:id="17" w:name="_Toc314842485"/>
      <w:bookmarkStart w:id="18" w:name="_Toc247691504"/>
      <w:bookmarkStart w:id="19" w:name="_Toc80775933"/>
      <w:r>
        <w:t>Regulatory s</w:t>
      </w:r>
      <w:r w:rsidR="008E7846">
        <w:t>tatus</w:t>
      </w:r>
      <w:bookmarkEnd w:id="17"/>
      <w:bookmarkEnd w:id="18"/>
      <w:bookmarkEnd w:id="19"/>
    </w:p>
    <w:p w14:paraId="324165A4" w14:textId="77777777" w:rsidR="00006FAB" w:rsidRDefault="00006FAB" w:rsidP="00006FAB">
      <w:bookmarkStart w:id="20" w:name="_Toc247691505"/>
      <w:bookmarkStart w:id="21" w:name="_Toc314842486"/>
      <w:r>
        <w:t>The product received initial registration on the Australian Register</w:t>
      </w:r>
      <w:r w:rsidR="00A048A2">
        <w:t xml:space="preserve"> of Therapeutic Goods (ARTG) on 17 January 2020</w:t>
      </w:r>
      <w:r w:rsidR="00911364">
        <w:t xml:space="preserve"> for the below indications:</w:t>
      </w:r>
    </w:p>
    <w:p w14:paraId="11E5186D" w14:textId="77777777" w:rsidR="00911364" w:rsidRPr="00911364" w:rsidRDefault="00911364" w:rsidP="00911364">
      <w:pPr>
        <w:ind w:left="720"/>
        <w:rPr>
          <w:i/>
        </w:rPr>
      </w:pPr>
      <w:proofErr w:type="spellStart"/>
      <w:r w:rsidRPr="00911364">
        <w:rPr>
          <w:i/>
        </w:rPr>
        <w:t>Rinvoq</w:t>
      </w:r>
      <w:proofErr w:type="spellEnd"/>
      <w:r w:rsidRPr="00911364">
        <w:rPr>
          <w:i/>
        </w:rPr>
        <w:t xml:space="preserve"> is indicated for the treatment of moderate to severe active rheumatoid arthritis in adult patients who have responded inadequately to, or who are intolerant to, one or more disease-modifying anti-rheumatic drugs (DMARDs).</w:t>
      </w:r>
    </w:p>
    <w:p w14:paraId="1CE6CAE4" w14:textId="77777777" w:rsidR="00911364" w:rsidRDefault="00911364" w:rsidP="00911364">
      <w:pPr>
        <w:ind w:left="720"/>
      </w:pPr>
      <w:proofErr w:type="spellStart"/>
      <w:r w:rsidRPr="00911364">
        <w:rPr>
          <w:i/>
        </w:rPr>
        <w:t>Rinvoq</w:t>
      </w:r>
      <w:proofErr w:type="spellEnd"/>
      <w:r w:rsidRPr="00911364">
        <w:rPr>
          <w:i/>
        </w:rPr>
        <w:t xml:space="preserve"> may be used as monotherapy or in combination with methotrexate or other conventional synthetic disease-modifying anti-rheumatic drugs (</w:t>
      </w:r>
      <w:proofErr w:type="spellStart"/>
      <w:r w:rsidRPr="00911364">
        <w:rPr>
          <w:i/>
        </w:rPr>
        <w:t>csDMARDs</w:t>
      </w:r>
      <w:proofErr w:type="spellEnd"/>
      <w:r w:rsidRPr="00911364">
        <w:rPr>
          <w:i/>
        </w:rPr>
        <w:t>).</w:t>
      </w:r>
    </w:p>
    <w:p w14:paraId="5D0256A2" w14:textId="77777777" w:rsidR="00940A89" w:rsidRDefault="00006FAB" w:rsidP="00911364">
      <w:r>
        <w:t xml:space="preserve">At the time the TGA considered this application, a similar application had been approved </w:t>
      </w:r>
      <w:r w:rsidR="00911364">
        <w:t>in European Union (EU) on 22 January 2021 and</w:t>
      </w:r>
      <w:r>
        <w:t xml:space="preserve"> was under consideration in </w:t>
      </w:r>
      <w:r w:rsidR="00911364">
        <w:t xml:space="preserve">United States of America (USA), Canada, New Zealand, </w:t>
      </w:r>
      <w:proofErr w:type="gramStart"/>
      <w:r w:rsidR="00911364">
        <w:t>Singapore</w:t>
      </w:r>
      <w:proofErr w:type="gramEnd"/>
      <w:r w:rsidR="00911364">
        <w:t xml:space="preserve"> and Switzerland.</w:t>
      </w:r>
    </w:p>
    <w:p w14:paraId="3DC25B78" w14:textId="79FF5950" w:rsidR="00324E45" w:rsidRPr="00F0146F" w:rsidRDefault="00324E45" w:rsidP="00324E45">
      <w:pPr>
        <w:pStyle w:val="TableTitle"/>
      </w:pPr>
      <w:r>
        <w:t xml:space="preserve">Table </w:t>
      </w:r>
      <w:r w:rsidR="00746A1E">
        <w:fldChar w:fldCharType="begin"/>
      </w:r>
      <w:r w:rsidR="00746A1E">
        <w:instrText xml:space="preserve"> SEQ Table \* ARABIC </w:instrText>
      </w:r>
      <w:r w:rsidR="00746A1E">
        <w:fldChar w:fldCharType="separate"/>
      </w:r>
      <w:r w:rsidR="00A677D2">
        <w:rPr>
          <w:noProof/>
        </w:rPr>
        <w:t>1</w:t>
      </w:r>
      <w:r w:rsidR="00746A1E">
        <w:rPr>
          <w:noProof/>
        </w:rPr>
        <w:fldChar w:fldCharType="end"/>
      </w:r>
      <w:r>
        <w:t>: International regulatory status</w:t>
      </w:r>
    </w:p>
    <w:tbl>
      <w:tblPr>
        <w:tblStyle w:val="TableTGAblue"/>
        <w:tblW w:w="0" w:type="auto"/>
        <w:tblLook w:val="04A0" w:firstRow="1" w:lastRow="0" w:firstColumn="1" w:lastColumn="0" w:noHBand="0" w:noVBand="1"/>
      </w:tblPr>
      <w:tblGrid>
        <w:gridCol w:w="1795"/>
        <w:gridCol w:w="1890"/>
        <w:gridCol w:w="1890"/>
        <w:gridCol w:w="2919"/>
      </w:tblGrid>
      <w:tr w:rsidR="00006FAB" w14:paraId="6BF85DE3" w14:textId="77777777" w:rsidTr="00F544FC">
        <w:trPr>
          <w:cnfStyle w:val="100000000000" w:firstRow="1" w:lastRow="0" w:firstColumn="0" w:lastColumn="0" w:oddVBand="0" w:evenVBand="0" w:oddHBand="0" w:evenHBand="0" w:firstRowFirstColumn="0" w:firstRowLastColumn="0" w:lastRowFirstColumn="0" w:lastRowLastColumn="0"/>
        </w:trPr>
        <w:tc>
          <w:tcPr>
            <w:tcW w:w="1795" w:type="dxa"/>
            <w:tcBorders>
              <w:top w:val="single" w:sz="4" w:space="0" w:color="auto"/>
              <w:left w:val="single" w:sz="4" w:space="0" w:color="auto"/>
              <w:bottom w:val="single" w:sz="4" w:space="0" w:color="auto"/>
              <w:right w:val="single" w:sz="4" w:space="0" w:color="auto"/>
            </w:tcBorders>
          </w:tcPr>
          <w:p w14:paraId="643BE388" w14:textId="77777777" w:rsidR="00006FAB" w:rsidRDefault="00006FAB" w:rsidP="00006FAB">
            <w:pPr>
              <w:ind w:left="0" w:right="0"/>
            </w:pPr>
            <w:r>
              <w:t>Region</w:t>
            </w:r>
          </w:p>
        </w:tc>
        <w:tc>
          <w:tcPr>
            <w:tcW w:w="1890" w:type="dxa"/>
            <w:tcBorders>
              <w:top w:val="single" w:sz="4" w:space="0" w:color="auto"/>
              <w:left w:val="single" w:sz="4" w:space="0" w:color="auto"/>
              <w:bottom w:val="single" w:sz="4" w:space="0" w:color="auto"/>
              <w:right w:val="single" w:sz="4" w:space="0" w:color="auto"/>
            </w:tcBorders>
          </w:tcPr>
          <w:p w14:paraId="6894C98C" w14:textId="77777777" w:rsidR="00006FAB" w:rsidRDefault="00006FAB" w:rsidP="00006FAB">
            <w:pPr>
              <w:ind w:left="0" w:right="0"/>
            </w:pPr>
            <w:r>
              <w:t>Submission date</w:t>
            </w:r>
          </w:p>
        </w:tc>
        <w:tc>
          <w:tcPr>
            <w:tcW w:w="1890" w:type="dxa"/>
            <w:tcBorders>
              <w:top w:val="single" w:sz="4" w:space="0" w:color="auto"/>
              <w:left w:val="single" w:sz="4" w:space="0" w:color="auto"/>
              <w:bottom w:val="single" w:sz="4" w:space="0" w:color="auto"/>
              <w:right w:val="single" w:sz="4" w:space="0" w:color="auto"/>
            </w:tcBorders>
          </w:tcPr>
          <w:p w14:paraId="2F04E457" w14:textId="77777777" w:rsidR="00006FAB" w:rsidRDefault="00006FAB" w:rsidP="00006FAB">
            <w:pPr>
              <w:ind w:left="0" w:right="0"/>
            </w:pPr>
            <w:r>
              <w:t>Status</w:t>
            </w:r>
          </w:p>
        </w:tc>
        <w:tc>
          <w:tcPr>
            <w:tcW w:w="2919" w:type="dxa"/>
            <w:tcBorders>
              <w:top w:val="single" w:sz="4" w:space="0" w:color="auto"/>
              <w:left w:val="single" w:sz="4" w:space="0" w:color="auto"/>
              <w:bottom w:val="single" w:sz="4" w:space="0" w:color="auto"/>
              <w:right w:val="single" w:sz="4" w:space="0" w:color="auto"/>
            </w:tcBorders>
          </w:tcPr>
          <w:p w14:paraId="69B8A755" w14:textId="77777777" w:rsidR="00006FAB" w:rsidRDefault="00006FAB" w:rsidP="00006FAB">
            <w:pPr>
              <w:ind w:left="0" w:right="0"/>
            </w:pPr>
            <w:r>
              <w:t>Approved indications</w:t>
            </w:r>
          </w:p>
        </w:tc>
      </w:tr>
      <w:tr w:rsidR="00006FAB" w14:paraId="62549151" w14:textId="77777777" w:rsidTr="00F544FC">
        <w:tc>
          <w:tcPr>
            <w:tcW w:w="1795" w:type="dxa"/>
            <w:tcBorders>
              <w:top w:val="single" w:sz="4" w:space="0" w:color="auto"/>
            </w:tcBorders>
          </w:tcPr>
          <w:p w14:paraId="3236D0E4" w14:textId="77777777" w:rsidR="00006FAB" w:rsidRDefault="00911364" w:rsidP="00911364">
            <w:pPr>
              <w:ind w:left="0" w:right="0"/>
            </w:pPr>
            <w:r>
              <w:t>European Union (Centralised procedure)</w:t>
            </w:r>
          </w:p>
        </w:tc>
        <w:tc>
          <w:tcPr>
            <w:tcW w:w="1890" w:type="dxa"/>
            <w:tcBorders>
              <w:top w:val="single" w:sz="4" w:space="0" w:color="auto"/>
            </w:tcBorders>
          </w:tcPr>
          <w:p w14:paraId="7BF88561" w14:textId="77777777" w:rsidR="00006FAB" w:rsidRDefault="00911364" w:rsidP="00006FAB">
            <w:pPr>
              <w:ind w:left="0" w:right="0"/>
            </w:pPr>
            <w:r>
              <w:t>1 June 2020</w:t>
            </w:r>
          </w:p>
        </w:tc>
        <w:tc>
          <w:tcPr>
            <w:tcW w:w="1890" w:type="dxa"/>
            <w:tcBorders>
              <w:top w:val="single" w:sz="4" w:space="0" w:color="auto"/>
            </w:tcBorders>
          </w:tcPr>
          <w:p w14:paraId="0821D02E" w14:textId="77777777" w:rsidR="00006FAB" w:rsidRDefault="00414500" w:rsidP="00006FAB">
            <w:pPr>
              <w:ind w:left="0" w:right="0"/>
            </w:pPr>
            <w:r>
              <w:t>Approved on 22 </w:t>
            </w:r>
            <w:r w:rsidR="00911364">
              <w:t>January 2021</w:t>
            </w:r>
          </w:p>
        </w:tc>
        <w:tc>
          <w:tcPr>
            <w:tcW w:w="2919" w:type="dxa"/>
            <w:tcBorders>
              <w:top w:val="single" w:sz="4" w:space="0" w:color="auto"/>
            </w:tcBorders>
          </w:tcPr>
          <w:p w14:paraId="110F904B" w14:textId="77777777" w:rsidR="00006FAB" w:rsidRDefault="00911364" w:rsidP="00911364">
            <w:pPr>
              <w:ind w:left="0"/>
              <w:rPr>
                <w:i/>
              </w:rPr>
            </w:pPr>
            <w:proofErr w:type="spellStart"/>
            <w:r w:rsidRPr="00911364">
              <w:rPr>
                <w:i/>
              </w:rPr>
              <w:t>Rinvoq</w:t>
            </w:r>
            <w:proofErr w:type="spellEnd"/>
            <w:r w:rsidRPr="00911364">
              <w:rPr>
                <w:i/>
              </w:rPr>
              <w:t xml:space="preserve"> is indicated for the treatment of active psoriatic arthritis in adult patients who have responded inadequately to, or who are intolerant to one or more DMARDs. </w:t>
            </w:r>
            <w:proofErr w:type="spellStart"/>
            <w:r w:rsidRPr="00911364">
              <w:rPr>
                <w:i/>
              </w:rPr>
              <w:t>Rinvoq</w:t>
            </w:r>
            <w:proofErr w:type="spellEnd"/>
            <w:r w:rsidRPr="00911364">
              <w:rPr>
                <w:i/>
              </w:rPr>
              <w:t xml:space="preserve"> may be used as monotherapy or in combination with methotrexate.</w:t>
            </w:r>
          </w:p>
          <w:p w14:paraId="143C2498" w14:textId="4DE510F7" w:rsidR="007D083F" w:rsidRPr="00911364" w:rsidRDefault="007D083F" w:rsidP="00911364">
            <w:pPr>
              <w:ind w:left="0"/>
              <w:rPr>
                <w:i/>
              </w:rPr>
            </w:pPr>
            <w:proofErr w:type="spellStart"/>
            <w:r w:rsidRPr="007D083F">
              <w:rPr>
                <w:i/>
              </w:rPr>
              <w:t>R</w:t>
            </w:r>
            <w:r w:rsidR="00984DBA" w:rsidRPr="007D083F">
              <w:rPr>
                <w:i/>
              </w:rPr>
              <w:t>invoq</w:t>
            </w:r>
            <w:proofErr w:type="spellEnd"/>
            <w:r w:rsidRPr="007D083F">
              <w:rPr>
                <w:i/>
              </w:rPr>
              <w:t xml:space="preserve"> is indicated for the treatment of active ankylosing spondylitis in adult patients who have responded inadequately to conventional therapy.</w:t>
            </w:r>
          </w:p>
        </w:tc>
      </w:tr>
      <w:tr w:rsidR="00006FAB" w14:paraId="1368CD65" w14:textId="77777777" w:rsidTr="00F544FC">
        <w:tc>
          <w:tcPr>
            <w:tcW w:w="1795" w:type="dxa"/>
          </w:tcPr>
          <w:p w14:paraId="6157AFCF" w14:textId="77777777" w:rsidR="00006FAB" w:rsidRDefault="00911364" w:rsidP="00006FAB">
            <w:pPr>
              <w:ind w:left="0" w:right="0"/>
            </w:pPr>
            <w:r>
              <w:lastRenderedPageBreak/>
              <w:t>United States of America</w:t>
            </w:r>
          </w:p>
        </w:tc>
        <w:tc>
          <w:tcPr>
            <w:tcW w:w="1890" w:type="dxa"/>
          </w:tcPr>
          <w:p w14:paraId="7C007ACD" w14:textId="77777777" w:rsidR="00006FAB" w:rsidRDefault="00911364" w:rsidP="00006FAB">
            <w:pPr>
              <w:ind w:left="0" w:right="0"/>
            </w:pPr>
            <w:r>
              <w:t>28 May 2020</w:t>
            </w:r>
          </w:p>
        </w:tc>
        <w:tc>
          <w:tcPr>
            <w:tcW w:w="1890" w:type="dxa"/>
          </w:tcPr>
          <w:p w14:paraId="39740C2D" w14:textId="77777777" w:rsidR="00006FAB" w:rsidRDefault="00006FAB" w:rsidP="00006FAB">
            <w:pPr>
              <w:ind w:left="0" w:right="0"/>
            </w:pPr>
            <w:r w:rsidRPr="00006FAB">
              <w:t>Under consideration</w:t>
            </w:r>
          </w:p>
        </w:tc>
        <w:tc>
          <w:tcPr>
            <w:tcW w:w="2919" w:type="dxa"/>
          </w:tcPr>
          <w:p w14:paraId="3403DE02" w14:textId="77777777" w:rsidR="00006FAB" w:rsidRDefault="00006FAB" w:rsidP="00006FAB">
            <w:pPr>
              <w:ind w:left="0" w:right="0"/>
            </w:pPr>
            <w:r w:rsidRPr="00006FAB">
              <w:t>Under consideration</w:t>
            </w:r>
          </w:p>
        </w:tc>
      </w:tr>
      <w:tr w:rsidR="00911364" w14:paraId="438EB337" w14:textId="77777777" w:rsidTr="00F544FC">
        <w:tc>
          <w:tcPr>
            <w:tcW w:w="1795" w:type="dxa"/>
          </w:tcPr>
          <w:p w14:paraId="369C46ED" w14:textId="77777777" w:rsidR="00911364" w:rsidRDefault="00911364" w:rsidP="00911364">
            <w:pPr>
              <w:ind w:left="0"/>
            </w:pPr>
            <w:r>
              <w:t>Canada</w:t>
            </w:r>
          </w:p>
        </w:tc>
        <w:tc>
          <w:tcPr>
            <w:tcW w:w="1890" w:type="dxa"/>
          </w:tcPr>
          <w:p w14:paraId="2459C485" w14:textId="77777777" w:rsidR="00911364" w:rsidRDefault="00911364" w:rsidP="00911364">
            <w:pPr>
              <w:ind w:left="0"/>
            </w:pPr>
            <w:r>
              <w:t>30 Jun</w:t>
            </w:r>
            <w:r w:rsidR="009D3AA6">
              <w:t>e</w:t>
            </w:r>
            <w:r>
              <w:t xml:space="preserve"> 2020</w:t>
            </w:r>
          </w:p>
        </w:tc>
        <w:tc>
          <w:tcPr>
            <w:tcW w:w="1890" w:type="dxa"/>
          </w:tcPr>
          <w:p w14:paraId="22D4F4AA" w14:textId="77777777" w:rsidR="00911364" w:rsidRPr="00006FAB" w:rsidRDefault="00911364" w:rsidP="00911364">
            <w:pPr>
              <w:ind w:left="0"/>
            </w:pPr>
            <w:r>
              <w:t>Under consideration</w:t>
            </w:r>
          </w:p>
        </w:tc>
        <w:tc>
          <w:tcPr>
            <w:tcW w:w="2919" w:type="dxa"/>
          </w:tcPr>
          <w:p w14:paraId="5EBAE922" w14:textId="77777777" w:rsidR="00911364" w:rsidRPr="00006FAB" w:rsidRDefault="00911364" w:rsidP="00911364">
            <w:pPr>
              <w:ind w:left="0"/>
            </w:pPr>
            <w:r>
              <w:t>Under consideration</w:t>
            </w:r>
          </w:p>
        </w:tc>
      </w:tr>
      <w:tr w:rsidR="00911364" w14:paraId="1919A861" w14:textId="77777777" w:rsidTr="00F544FC">
        <w:tc>
          <w:tcPr>
            <w:tcW w:w="1795" w:type="dxa"/>
          </w:tcPr>
          <w:p w14:paraId="547E141B" w14:textId="77777777" w:rsidR="00911364" w:rsidRDefault="00911364" w:rsidP="00911364">
            <w:pPr>
              <w:ind w:left="0"/>
            </w:pPr>
            <w:r>
              <w:t>New Zealand</w:t>
            </w:r>
          </w:p>
        </w:tc>
        <w:tc>
          <w:tcPr>
            <w:tcW w:w="1890" w:type="dxa"/>
          </w:tcPr>
          <w:p w14:paraId="03D62275" w14:textId="77777777" w:rsidR="00911364" w:rsidRDefault="00911364" w:rsidP="00911364">
            <w:pPr>
              <w:ind w:left="0"/>
            </w:pPr>
            <w:r>
              <w:t>2 December 2020</w:t>
            </w:r>
          </w:p>
        </w:tc>
        <w:tc>
          <w:tcPr>
            <w:tcW w:w="1890" w:type="dxa"/>
          </w:tcPr>
          <w:p w14:paraId="48F4A364" w14:textId="77777777" w:rsidR="00911364" w:rsidRPr="00006FAB" w:rsidRDefault="00911364" w:rsidP="00911364">
            <w:pPr>
              <w:ind w:left="0"/>
            </w:pPr>
            <w:r>
              <w:t>Under consideration</w:t>
            </w:r>
          </w:p>
        </w:tc>
        <w:tc>
          <w:tcPr>
            <w:tcW w:w="2919" w:type="dxa"/>
          </w:tcPr>
          <w:p w14:paraId="6C2D18B4" w14:textId="77777777" w:rsidR="00911364" w:rsidRPr="00006FAB" w:rsidRDefault="00911364" w:rsidP="00911364">
            <w:pPr>
              <w:ind w:left="0"/>
            </w:pPr>
            <w:r>
              <w:t>Under consideration</w:t>
            </w:r>
          </w:p>
        </w:tc>
      </w:tr>
      <w:tr w:rsidR="00911364" w14:paraId="7CC1B919" w14:textId="77777777" w:rsidTr="00F544FC">
        <w:tc>
          <w:tcPr>
            <w:tcW w:w="1795" w:type="dxa"/>
          </w:tcPr>
          <w:p w14:paraId="085D55CD" w14:textId="77777777" w:rsidR="00911364" w:rsidRDefault="00911364" w:rsidP="00911364">
            <w:pPr>
              <w:ind w:left="0"/>
            </w:pPr>
            <w:r>
              <w:t>Singapore</w:t>
            </w:r>
          </w:p>
        </w:tc>
        <w:tc>
          <w:tcPr>
            <w:tcW w:w="1890" w:type="dxa"/>
          </w:tcPr>
          <w:p w14:paraId="7FB154AA" w14:textId="77777777" w:rsidR="00911364" w:rsidRDefault="00911364" w:rsidP="00911364">
            <w:pPr>
              <w:ind w:left="0"/>
            </w:pPr>
            <w:r>
              <w:t>18 February 2021</w:t>
            </w:r>
          </w:p>
        </w:tc>
        <w:tc>
          <w:tcPr>
            <w:tcW w:w="1890" w:type="dxa"/>
          </w:tcPr>
          <w:p w14:paraId="5109EAA1" w14:textId="77777777" w:rsidR="00911364" w:rsidRPr="00006FAB" w:rsidRDefault="00911364" w:rsidP="00911364">
            <w:pPr>
              <w:ind w:left="0"/>
            </w:pPr>
            <w:r>
              <w:t>Under consideration</w:t>
            </w:r>
          </w:p>
        </w:tc>
        <w:tc>
          <w:tcPr>
            <w:tcW w:w="2919" w:type="dxa"/>
          </w:tcPr>
          <w:p w14:paraId="047AF97C" w14:textId="77777777" w:rsidR="00911364" w:rsidRPr="00006FAB" w:rsidRDefault="00911364" w:rsidP="00911364">
            <w:pPr>
              <w:ind w:left="0"/>
            </w:pPr>
            <w:r>
              <w:t>Under consideration</w:t>
            </w:r>
          </w:p>
        </w:tc>
      </w:tr>
      <w:tr w:rsidR="00911364" w:rsidRPr="00911364" w14:paraId="4EBB7686" w14:textId="77777777" w:rsidTr="00F544FC">
        <w:tc>
          <w:tcPr>
            <w:tcW w:w="1795" w:type="dxa"/>
          </w:tcPr>
          <w:p w14:paraId="2EE6F6FC" w14:textId="77777777" w:rsidR="00911364" w:rsidRPr="00911364" w:rsidRDefault="00911364" w:rsidP="00911364">
            <w:pPr>
              <w:ind w:left="0"/>
            </w:pPr>
            <w:r>
              <w:t>Switzerland</w:t>
            </w:r>
          </w:p>
        </w:tc>
        <w:tc>
          <w:tcPr>
            <w:tcW w:w="1890" w:type="dxa"/>
          </w:tcPr>
          <w:p w14:paraId="6D9DE19C" w14:textId="77777777" w:rsidR="00911364" w:rsidRPr="00911364" w:rsidRDefault="00911364" w:rsidP="00911364">
            <w:pPr>
              <w:ind w:left="0"/>
            </w:pPr>
            <w:r>
              <w:t>16 June 2020</w:t>
            </w:r>
          </w:p>
        </w:tc>
        <w:tc>
          <w:tcPr>
            <w:tcW w:w="1890" w:type="dxa"/>
          </w:tcPr>
          <w:p w14:paraId="5CE50320" w14:textId="77777777" w:rsidR="00911364" w:rsidRPr="00911364" w:rsidRDefault="00911364" w:rsidP="00911364">
            <w:pPr>
              <w:ind w:left="0"/>
            </w:pPr>
            <w:r>
              <w:t>Under consideration</w:t>
            </w:r>
          </w:p>
        </w:tc>
        <w:tc>
          <w:tcPr>
            <w:tcW w:w="2919" w:type="dxa"/>
          </w:tcPr>
          <w:p w14:paraId="58B5BA5D" w14:textId="77777777" w:rsidR="00911364" w:rsidRPr="00911364" w:rsidRDefault="00911364" w:rsidP="00911364">
            <w:pPr>
              <w:ind w:left="0"/>
            </w:pPr>
            <w:r>
              <w:t>Under consideration</w:t>
            </w:r>
          </w:p>
        </w:tc>
      </w:tr>
    </w:tbl>
    <w:p w14:paraId="08BECC5F" w14:textId="77777777" w:rsidR="008E7846" w:rsidRDefault="008E7846" w:rsidP="00940A89">
      <w:pPr>
        <w:pStyle w:val="Heading3"/>
      </w:pPr>
      <w:bookmarkStart w:id="22" w:name="_Toc80775934"/>
      <w:r>
        <w:t>Product Information</w:t>
      </w:r>
      <w:bookmarkEnd w:id="20"/>
      <w:bookmarkEnd w:id="21"/>
      <w:bookmarkEnd w:id="22"/>
    </w:p>
    <w:p w14:paraId="1AB31C40" w14:textId="541242AE"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644F7E84" w14:textId="77777777" w:rsidR="00500337" w:rsidRDefault="00500337" w:rsidP="00500337">
      <w:pPr>
        <w:pStyle w:val="Heading2"/>
      </w:pPr>
      <w:bookmarkStart w:id="25" w:name="_Toc504480011"/>
      <w:bookmarkStart w:id="26" w:name="_Toc80775935"/>
      <w:r>
        <w:t>II. Registration timeline</w:t>
      </w:r>
      <w:bookmarkEnd w:id="25"/>
      <w:bookmarkEnd w:id="26"/>
    </w:p>
    <w:p w14:paraId="58B581CB"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46411B8B" w14:textId="77777777" w:rsidR="00500337" w:rsidRPr="00377BD4" w:rsidRDefault="006A58A8" w:rsidP="00911364">
      <w:pPr>
        <w:pStyle w:val="TableTitle"/>
      </w:pPr>
      <w:r w:rsidRPr="006A58A8">
        <w:t xml:space="preserve">Table </w:t>
      </w:r>
      <w:r w:rsidR="00324E45">
        <w:t>2</w:t>
      </w:r>
      <w:r w:rsidR="00006FAB">
        <w:t>:</w:t>
      </w:r>
      <w:r w:rsidRPr="006A58A8">
        <w:t xml:space="preserve"> Timeline for Submission PM-20</w:t>
      </w:r>
      <w:r w:rsidR="00324E45">
        <w:t>2</w:t>
      </w:r>
      <w:r w:rsidR="00DA6BD9">
        <w:t>0-02479</w:t>
      </w:r>
      <w:r w:rsidR="00911364">
        <w:t>-</w:t>
      </w:r>
      <w:r w:rsidR="00DA6BD9">
        <w:t>1-3</w:t>
      </w:r>
    </w:p>
    <w:tbl>
      <w:tblPr>
        <w:tblStyle w:val="TableTGAblue"/>
        <w:tblW w:w="0" w:type="auto"/>
        <w:tblLook w:val="04A0" w:firstRow="1" w:lastRow="0" w:firstColumn="1" w:lastColumn="0" w:noHBand="0" w:noVBand="1"/>
      </w:tblPr>
      <w:tblGrid>
        <w:gridCol w:w="6091"/>
        <w:gridCol w:w="2403"/>
      </w:tblGrid>
      <w:tr w:rsidR="00500337" w14:paraId="6C14A578" w14:textId="77777777" w:rsidTr="00746A1E">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4ACA7252" w14:textId="77777777" w:rsidR="00500337" w:rsidRDefault="00500337" w:rsidP="00500337">
            <w:pPr>
              <w:ind w:left="0" w:right="0"/>
            </w:pPr>
            <w:r>
              <w:t>Description</w:t>
            </w:r>
          </w:p>
        </w:tc>
        <w:tc>
          <w:tcPr>
            <w:tcW w:w="2403" w:type="dxa"/>
            <w:tcBorders>
              <w:top w:val="single" w:sz="4" w:space="0" w:color="auto"/>
              <w:left w:val="single" w:sz="4" w:space="0" w:color="auto"/>
              <w:bottom w:val="single" w:sz="4" w:space="0" w:color="auto"/>
              <w:right w:val="single" w:sz="4" w:space="0" w:color="auto"/>
            </w:tcBorders>
          </w:tcPr>
          <w:p w14:paraId="539090ED" w14:textId="77777777" w:rsidR="00500337" w:rsidRDefault="00500337" w:rsidP="00500337">
            <w:pPr>
              <w:ind w:left="0" w:right="0"/>
            </w:pPr>
            <w:r>
              <w:t>Date</w:t>
            </w:r>
          </w:p>
        </w:tc>
      </w:tr>
      <w:tr w:rsidR="00500337" w14:paraId="429B9A52" w14:textId="77777777" w:rsidTr="00746A1E">
        <w:tc>
          <w:tcPr>
            <w:tcW w:w="6091" w:type="dxa"/>
            <w:tcBorders>
              <w:top w:val="single" w:sz="4" w:space="0" w:color="auto"/>
            </w:tcBorders>
          </w:tcPr>
          <w:p w14:paraId="6F1CD078" w14:textId="77777777" w:rsidR="00500337" w:rsidRDefault="00500337" w:rsidP="00500337">
            <w:pPr>
              <w:ind w:left="0" w:right="0"/>
            </w:pPr>
            <w:r>
              <w:t>Submission dossier accepted and first round evaluation commenced</w:t>
            </w:r>
          </w:p>
        </w:tc>
        <w:tc>
          <w:tcPr>
            <w:tcW w:w="2403" w:type="dxa"/>
            <w:tcBorders>
              <w:top w:val="single" w:sz="4" w:space="0" w:color="auto"/>
            </w:tcBorders>
          </w:tcPr>
          <w:p w14:paraId="3F7690BE" w14:textId="77777777" w:rsidR="00500337" w:rsidRDefault="00911364" w:rsidP="00500337">
            <w:pPr>
              <w:ind w:left="0" w:right="0"/>
            </w:pPr>
            <w:r>
              <w:t>30 June 2020</w:t>
            </w:r>
          </w:p>
        </w:tc>
      </w:tr>
      <w:tr w:rsidR="00500337" w14:paraId="5A9F5ACD" w14:textId="77777777" w:rsidTr="00746A1E">
        <w:tc>
          <w:tcPr>
            <w:tcW w:w="6091" w:type="dxa"/>
          </w:tcPr>
          <w:p w14:paraId="667C18B3" w14:textId="77777777" w:rsidR="00500337" w:rsidRDefault="00500337" w:rsidP="00500337">
            <w:pPr>
              <w:ind w:left="0" w:right="0"/>
            </w:pPr>
            <w:r>
              <w:t>First round evaluation completed</w:t>
            </w:r>
          </w:p>
        </w:tc>
        <w:tc>
          <w:tcPr>
            <w:tcW w:w="2403" w:type="dxa"/>
          </w:tcPr>
          <w:p w14:paraId="41CC6DDC" w14:textId="77777777" w:rsidR="00500337" w:rsidRDefault="00911364" w:rsidP="00500337">
            <w:pPr>
              <w:ind w:left="0" w:right="0"/>
            </w:pPr>
            <w:r>
              <w:t>30 November 2020</w:t>
            </w:r>
          </w:p>
        </w:tc>
      </w:tr>
      <w:tr w:rsidR="00500337" w14:paraId="0AECEE39" w14:textId="77777777" w:rsidTr="00746A1E">
        <w:tc>
          <w:tcPr>
            <w:tcW w:w="6091" w:type="dxa"/>
          </w:tcPr>
          <w:p w14:paraId="2E6B480F" w14:textId="77777777" w:rsidR="00500337" w:rsidRDefault="00500337" w:rsidP="00500337">
            <w:pPr>
              <w:ind w:left="0" w:right="0"/>
            </w:pPr>
            <w:r>
              <w:t>Sponsor provides responses on questions raised in first round evaluation</w:t>
            </w:r>
          </w:p>
        </w:tc>
        <w:tc>
          <w:tcPr>
            <w:tcW w:w="2403" w:type="dxa"/>
          </w:tcPr>
          <w:p w14:paraId="64B83C44" w14:textId="77777777" w:rsidR="00500337" w:rsidRDefault="00911364" w:rsidP="00500337">
            <w:pPr>
              <w:ind w:left="0" w:right="0"/>
            </w:pPr>
            <w:r>
              <w:t>4 January 2021</w:t>
            </w:r>
          </w:p>
        </w:tc>
      </w:tr>
      <w:tr w:rsidR="00500337" w14:paraId="7F2E0463" w14:textId="77777777" w:rsidTr="00746A1E">
        <w:tc>
          <w:tcPr>
            <w:tcW w:w="6091" w:type="dxa"/>
          </w:tcPr>
          <w:p w14:paraId="3E7BBB4D" w14:textId="77777777" w:rsidR="00500337" w:rsidRDefault="00500337" w:rsidP="00500337">
            <w:pPr>
              <w:ind w:left="0" w:right="0"/>
            </w:pPr>
            <w:r>
              <w:t>Second round evaluation completed</w:t>
            </w:r>
          </w:p>
        </w:tc>
        <w:tc>
          <w:tcPr>
            <w:tcW w:w="2403" w:type="dxa"/>
          </w:tcPr>
          <w:p w14:paraId="2BCD5476" w14:textId="77777777" w:rsidR="00500337" w:rsidRDefault="00911364" w:rsidP="00500337">
            <w:pPr>
              <w:ind w:left="0" w:right="0"/>
            </w:pPr>
            <w:r>
              <w:t>1 February 2021</w:t>
            </w:r>
          </w:p>
        </w:tc>
      </w:tr>
      <w:tr w:rsidR="00500337" w14:paraId="531BFC80" w14:textId="77777777" w:rsidTr="00746A1E">
        <w:tc>
          <w:tcPr>
            <w:tcW w:w="6091" w:type="dxa"/>
          </w:tcPr>
          <w:p w14:paraId="236B3BC8" w14:textId="77777777" w:rsidR="00500337" w:rsidRDefault="00324E45" w:rsidP="00500337">
            <w:pPr>
              <w:ind w:left="0" w:right="0"/>
            </w:pPr>
            <w:r>
              <w:t xml:space="preserve">Delegate’s Overall benefit-risk assessment </w:t>
            </w:r>
            <w:r w:rsidRPr="00397D20">
              <w:rPr>
                <w:color w:val="auto"/>
              </w:rPr>
              <w:t>and request</w:t>
            </w:r>
            <w:r w:rsidR="00397D20" w:rsidRPr="00397D20">
              <w:rPr>
                <w:color w:val="auto"/>
              </w:rPr>
              <w:t xml:space="preserve"> for Advisory Committee advice</w:t>
            </w:r>
          </w:p>
        </w:tc>
        <w:tc>
          <w:tcPr>
            <w:tcW w:w="2403" w:type="dxa"/>
          </w:tcPr>
          <w:p w14:paraId="63E13E32" w14:textId="77777777" w:rsidR="00500337" w:rsidRDefault="00397D20" w:rsidP="00500337">
            <w:pPr>
              <w:ind w:left="0" w:right="0"/>
            </w:pPr>
            <w:r>
              <w:t>26 February 2021</w:t>
            </w:r>
          </w:p>
        </w:tc>
      </w:tr>
      <w:tr w:rsidR="00500337" w14:paraId="004FDC26" w14:textId="77777777" w:rsidTr="00746A1E">
        <w:tc>
          <w:tcPr>
            <w:tcW w:w="6091" w:type="dxa"/>
          </w:tcPr>
          <w:p w14:paraId="73B28966" w14:textId="77777777" w:rsidR="00500337" w:rsidRDefault="00500337" w:rsidP="00500337">
            <w:pPr>
              <w:ind w:left="0" w:right="0"/>
            </w:pPr>
            <w:r>
              <w:t>Sponsor’s pre-Advisory Committee response</w:t>
            </w:r>
          </w:p>
        </w:tc>
        <w:tc>
          <w:tcPr>
            <w:tcW w:w="2403" w:type="dxa"/>
          </w:tcPr>
          <w:p w14:paraId="234DF229" w14:textId="77777777" w:rsidR="00500337" w:rsidRDefault="00397D20" w:rsidP="00500337">
            <w:pPr>
              <w:ind w:left="0" w:right="0"/>
            </w:pPr>
            <w:r>
              <w:t>8 March 2021</w:t>
            </w:r>
          </w:p>
        </w:tc>
      </w:tr>
      <w:tr w:rsidR="00500337" w14:paraId="3E6F1393" w14:textId="77777777" w:rsidTr="00746A1E">
        <w:tc>
          <w:tcPr>
            <w:tcW w:w="6091" w:type="dxa"/>
          </w:tcPr>
          <w:p w14:paraId="12BD5BB3" w14:textId="77777777" w:rsidR="00500337" w:rsidRDefault="00500337" w:rsidP="00500337">
            <w:pPr>
              <w:ind w:left="0" w:right="0"/>
            </w:pPr>
            <w:r>
              <w:t>Advisory Committee meeting</w:t>
            </w:r>
          </w:p>
        </w:tc>
        <w:tc>
          <w:tcPr>
            <w:tcW w:w="2403" w:type="dxa"/>
          </w:tcPr>
          <w:p w14:paraId="057396DB" w14:textId="77777777" w:rsidR="00500337" w:rsidRDefault="00397D20" w:rsidP="00500337">
            <w:pPr>
              <w:ind w:left="0" w:right="0"/>
            </w:pPr>
            <w:r>
              <w:t>9 and 10 April 2021</w:t>
            </w:r>
          </w:p>
        </w:tc>
      </w:tr>
      <w:tr w:rsidR="00500337" w14:paraId="6D313380" w14:textId="77777777" w:rsidTr="00746A1E">
        <w:tc>
          <w:tcPr>
            <w:tcW w:w="6091" w:type="dxa"/>
          </w:tcPr>
          <w:p w14:paraId="464ECD65" w14:textId="77777777" w:rsidR="00500337" w:rsidRDefault="00500337" w:rsidP="00500337">
            <w:pPr>
              <w:ind w:left="0" w:right="0"/>
            </w:pPr>
            <w:r>
              <w:t>Registration decision (Outcome)</w:t>
            </w:r>
          </w:p>
        </w:tc>
        <w:tc>
          <w:tcPr>
            <w:tcW w:w="2403" w:type="dxa"/>
          </w:tcPr>
          <w:p w14:paraId="582A6352" w14:textId="77777777" w:rsidR="00500337" w:rsidRDefault="00397D20" w:rsidP="00500337">
            <w:pPr>
              <w:ind w:left="0" w:right="0"/>
            </w:pPr>
            <w:r>
              <w:t>6 May 2021</w:t>
            </w:r>
          </w:p>
        </w:tc>
      </w:tr>
      <w:tr w:rsidR="00500337" w14:paraId="1AA14BCF" w14:textId="77777777" w:rsidTr="00746A1E">
        <w:tc>
          <w:tcPr>
            <w:tcW w:w="6091" w:type="dxa"/>
          </w:tcPr>
          <w:p w14:paraId="1391B93A" w14:textId="77777777" w:rsidR="00500337" w:rsidRDefault="00500337" w:rsidP="00500337">
            <w:pPr>
              <w:ind w:left="0" w:right="0"/>
            </w:pPr>
            <w:r>
              <w:lastRenderedPageBreak/>
              <w:t xml:space="preserve">Completion of administrative activities and registration on </w:t>
            </w:r>
            <w:r w:rsidR="00006FAB">
              <w:t xml:space="preserve">the </w:t>
            </w:r>
            <w:r>
              <w:t>ARTG</w:t>
            </w:r>
          </w:p>
        </w:tc>
        <w:tc>
          <w:tcPr>
            <w:tcW w:w="2403" w:type="dxa"/>
          </w:tcPr>
          <w:p w14:paraId="587BA622" w14:textId="77777777" w:rsidR="00500337" w:rsidRDefault="00397D20" w:rsidP="00500337">
            <w:pPr>
              <w:ind w:left="0" w:right="0"/>
            </w:pPr>
            <w:r>
              <w:t>7 May 2021</w:t>
            </w:r>
          </w:p>
        </w:tc>
      </w:tr>
      <w:tr w:rsidR="00500337" w14:paraId="091153FD" w14:textId="77777777" w:rsidTr="00746A1E">
        <w:tc>
          <w:tcPr>
            <w:tcW w:w="6091" w:type="dxa"/>
          </w:tcPr>
          <w:p w14:paraId="38E5F56E" w14:textId="77777777" w:rsidR="00500337" w:rsidRDefault="00500337" w:rsidP="00500337">
            <w:pPr>
              <w:ind w:left="0" w:right="0"/>
            </w:pPr>
            <w:r>
              <w:t>Number of working days from submission dossier acceptance to registration decision*</w:t>
            </w:r>
          </w:p>
        </w:tc>
        <w:tc>
          <w:tcPr>
            <w:tcW w:w="2403" w:type="dxa"/>
          </w:tcPr>
          <w:p w14:paraId="69053D66" w14:textId="77777777" w:rsidR="00500337" w:rsidRDefault="00911364" w:rsidP="00500337">
            <w:pPr>
              <w:ind w:left="0" w:right="0"/>
            </w:pPr>
            <w:r>
              <w:t>191</w:t>
            </w:r>
          </w:p>
        </w:tc>
      </w:tr>
    </w:tbl>
    <w:p w14:paraId="78CFD3E5" w14:textId="77777777" w:rsidR="00500337" w:rsidRDefault="00500337" w:rsidP="00500337">
      <w:pPr>
        <w:pStyle w:val="TableDescription"/>
      </w:pPr>
      <w:r>
        <w:t>*</w:t>
      </w:r>
      <w:r w:rsidR="00BF3774" w:rsidRPr="00BF3774">
        <w:t xml:space="preserve">Statutory </w:t>
      </w:r>
      <w:r>
        <w:t>timeframe for standard applications is 2</w:t>
      </w:r>
      <w:r w:rsidR="00BF3774">
        <w:t>55</w:t>
      </w:r>
      <w:r w:rsidR="00911364">
        <w:t xml:space="preserve"> working days</w:t>
      </w:r>
    </w:p>
    <w:p w14:paraId="5800E0DD" w14:textId="77777777" w:rsidR="008E7846" w:rsidRPr="00792A32" w:rsidRDefault="00456765" w:rsidP="008E7846">
      <w:pPr>
        <w:pStyle w:val="Heading2"/>
      </w:pPr>
      <w:bookmarkStart w:id="27" w:name="_Toc196046504"/>
      <w:bookmarkStart w:id="28" w:name="_Toc247691527"/>
      <w:bookmarkStart w:id="29" w:name="_Toc314842510"/>
      <w:bookmarkStart w:id="30" w:name="_Toc163441390"/>
      <w:bookmarkStart w:id="31" w:name="_Toc80775936"/>
      <w:bookmarkEnd w:id="1"/>
      <w:bookmarkEnd w:id="23"/>
      <w:bookmarkEnd w:id="24"/>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1"/>
    </w:p>
    <w:p w14:paraId="34BF750C" w14:textId="77777777" w:rsidR="00006FAB" w:rsidRDefault="00006FAB" w:rsidP="00006FAB">
      <w:bookmarkStart w:id="32" w:name="_Toc247691528"/>
      <w:r>
        <w:t>The submission was summarised in the following Delegate’s overview and recommendations.</w:t>
      </w:r>
    </w:p>
    <w:p w14:paraId="2FFA2361" w14:textId="77777777" w:rsidR="008E7846" w:rsidRDefault="008E7846" w:rsidP="008E7846">
      <w:pPr>
        <w:pStyle w:val="Heading3"/>
      </w:pPr>
      <w:bookmarkStart w:id="33" w:name="_Toc314842511"/>
      <w:bookmarkStart w:id="34" w:name="_Toc80775937"/>
      <w:r>
        <w:t>Quality</w:t>
      </w:r>
      <w:bookmarkEnd w:id="32"/>
      <w:bookmarkEnd w:id="33"/>
      <w:bookmarkEnd w:id="34"/>
    </w:p>
    <w:p w14:paraId="2A2C07CC" w14:textId="77777777" w:rsidR="00E45619" w:rsidRDefault="00006FAB" w:rsidP="00006FAB">
      <w:r>
        <w:t>There was no requirement for a quality evaluation in a submission of this type.</w:t>
      </w:r>
    </w:p>
    <w:p w14:paraId="7633E27D" w14:textId="77777777" w:rsidR="008E7846" w:rsidRDefault="008E7846" w:rsidP="008E7846">
      <w:pPr>
        <w:pStyle w:val="Heading3"/>
      </w:pPr>
      <w:bookmarkStart w:id="35" w:name="_Toc314842512"/>
      <w:bookmarkStart w:id="36" w:name="_Toc80775938"/>
      <w:r>
        <w:t>Nonclinical</w:t>
      </w:r>
      <w:bookmarkEnd w:id="35"/>
      <w:bookmarkEnd w:id="36"/>
    </w:p>
    <w:p w14:paraId="3F84DD41" w14:textId="77777777" w:rsidR="008E7846" w:rsidRDefault="00006FAB" w:rsidP="00006FAB">
      <w:r>
        <w:t>There was no requirement for a nonclinical evaluation in a submission of this type.</w:t>
      </w:r>
    </w:p>
    <w:p w14:paraId="6728EC97" w14:textId="77777777" w:rsidR="008E7846" w:rsidRDefault="008E7846" w:rsidP="008E7846">
      <w:pPr>
        <w:pStyle w:val="Heading3"/>
      </w:pPr>
      <w:bookmarkStart w:id="37" w:name="_Toc247691530"/>
      <w:bookmarkStart w:id="38" w:name="_Toc314842513"/>
      <w:bookmarkStart w:id="39" w:name="_Toc80775939"/>
      <w:r>
        <w:t>Clinical</w:t>
      </w:r>
      <w:bookmarkEnd w:id="37"/>
      <w:bookmarkEnd w:id="38"/>
      <w:bookmarkEnd w:id="39"/>
    </w:p>
    <w:p w14:paraId="28093EDD" w14:textId="77777777" w:rsidR="007B6132" w:rsidRDefault="00397D20" w:rsidP="00397D20">
      <w:bookmarkStart w:id="40" w:name="_Toc314842514"/>
      <w:r>
        <w:t>The</w:t>
      </w:r>
      <w:r w:rsidR="00006FAB" w:rsidRPr="00006FAB">
        <w:t xml:space="preserve"> clinical dossier con</w:t>
      </w:r>
      <w:r>
        <w:t>sisted of:</w:t>
      </w:r>
    </w:p>
    <w:p w14:paraId="05BD6E3E" w14:textId="61D38634" w:rsidR="00397D20" w:rsidRDefault="00DC4DFB" w:rsidP="00E11BDC">
      <w:pPr>
        <w:pStyle w:val="ListBullet"/>
      </w:pPr>
      <w:r>
        <w:t>o</w:t>
      </w:r>
      <w:r w:rsidR="002A58C5">
        <w:t>ne new Phase I s</w:t>
      </w:r>
      <w:r w:rsidR="00397D20">
        <w:t>tudy (</w:t>
      </w:r>
      <w:r>
        <w:t xml:space="preserve">Study </w:t>
      </w:r>
      <w:r w:rsidR="00397D20">
        <w:t>M20-017</w:t>
      </w:r>
      <w:proofErr w:type="gramStart"/>
      <w:r w:rsidR="00397D20">
        <w:t>)</w:t>
      </w:r>
      <w:r w:rsidR="009C3BCD">
        <w:t>;</w:t>
      </w:r>
      <w:proofErr w:type="gramEnd"/>
    </w:p>
    <w:p w14:paraId="4F3AFEB7" w14:textId="6FC0A88F" w:rsidR="00397D20" w:rsidRDefault="00DC4DFB" w:rsidP="00E11BDC">
      <w:pPr>
        <w:pStyle w:val="ListBullet"/>
      </w:pPr>
      <w:r>
        <w:t>t</w:t>
      </w:r>
      <w:r w:rsidR="00397D20">
        <w:t xml:space="preserve">hree pivotal studies collected pharmacokinetic (PK) data in subjects with </w:t>
      </w:r>
      <w:r w:rsidR="009C3BCD">
        <w:t>psoriatic arthritis (</w:t>
      </w:r>
      <w:proofErr w:type="spellStart"/>
      <w:r w:rsidR="009C3BCD">
        <w:t>PsA</w:t>
      </w:r>
      <w:proofErr w:type="spellEnd"/>
      <w:r w:rsidR="009C3BCD">
        <w:t xml:space="preserve">) </w:t>
      </w:r>
      <w:r w:rsidR="00397D20">
        <w:t>and</w:t>
      </w:r>
      <w:r w:rsidR="009C3BCD">
        <w:t xml:space="preserve"> ankylosing spondylitis (AS</w:t>
      </w:r>
      <w:proofErr w:type="gramStart"/>
      <w:r w:rsidR="009C3BCD">
        <w:t>);</w:t>
      </w:r>
      <w:proofErr w:type="gramEnd"/>
    </w:p>
    <w:p w14:paraId="254A832E" w14:textId="3433AE39" w:rsidR="00397D20" w:rsidRDefault="00CB7D95" w:rsidP="00E11BDC">
      <w:pPr>
        <w:pStyle w:val="ListBullet"/>
      </w:pPr>
      <w:r>
        <w:t>p</w:t>
      </w:r>
      <w:r w:rsidR="00397D20">
        <w:t>opulation PK</w:t>
      </w:r>
      <w:r w:rsidR="00DC4DFB">
        <w:t xml:space="preserve"> (</w:t>
      </w:r>
      <w:proofErr w:type="spellStart"/>
      <w:r w:rsidR="00DC4DFB">
        <w:t>popPK</w:t>
      </w:r>
      <w:proofErr w:type="spellEnd"/>
      <w:r w:rsidR="00DC4DFB">
        <w:t>)</w:t>
      </w:r>
      <w:r w:rsidR="00397D20">
        <w:t xml:space="preserve"> and ex</w:t>
      </w:r>
      <w:r w:rsidR="00E11BDC">
        <w:t xml:space="preserve">posure response analyses for </w:t>
      </w:r>
      <w:proofErr w:type="spellStart"/>
      <w:r w:rsidR="00E11BDC">
        <w:t>Rinvoq</w:t>
      </w:r>
      <w:proofErr w:type="spellEnd"/>
      <w:r w:rsidR="00320592">
        <w:t xml:space="preserve"> (</w:t>
      </w:r>
      <w:proofErr w:type="spellStart"/>
      <w:r w:rsidR="00320592">
        <w:t>upadacitinib</w:t>
      </w:r>
      <w:proofErr w:type="spellEnd"/>
      <w:r w:rsidR="00320592">
        <w:t>)</w:t>
      </w:r>
      <w:r w:rsidR="00397D20">
        <w:t xml:space="preserve"> in subjects with </w:t>
      </w:r>
      <w:proofErr w:type="spellStart"/>
      <w:r w:rsidR="00397D20">
        <w:t>PsA</w:t>
      </w:r>
      <w:proofErr w:type="spellEnd"/>
      <w:r w:rsidR="00397D20">
        <w:t xml:space="preserve"> and </w:t>
      </w:r>
      <w:proofErr w:type="gramStart"/>
      <w:r w:rsidR="00397D20">
        <w:t>AS</w:t>
      </w:r>
      <w:r w:rsidR="009C3BCD">
        <w:t>;</w:t>
      </w:r>
      <w:proofErr w:type="gramEnd"/>
    </w:p>
    <w:p w14:paraId="3697473D" w14:textId="4A353412" w:rsidR="00397D20" w:rsidRDefault="00CB7D95" w:rsidP="00E11BDC">
      <w:pPr>
        <w:pStyle w:val="ListBullet"/>
      </w:pPr>
      <w:r>
        <w:t>t</w:t>
      </w:r>
      <w:r w:rsidR="00397D20">
        <w:t>wo piv</w:t>
      </w:r>
      <w:r>
        <w:t>otal Phase III efficacy</w:t>
      </w:r>
      <w:r w:rsidR="009C3BCD">
        <w:t xml:space="preserve">- and </w:t>
      </w:r>
      <w:r>
        <w:t>safety</w:t>
      </w:r>
      <w:r w:rsidR="009C3BCD">
        <w:t>-based</w:t>
      </w:r>
      <w:r>
        <w:t xml:space="preserve"> s</w:t>
      </w:r>
      <w:r w:rsidR="00397D20">
        <w:t>tudies (</w:t>
      </w:r>
      <w:r>
        <w:t xml:space="preserve">Studies </w:t>
      </w:r>
      <w:r w:rsidR="00397D20">
        <w:t>M15-572 and M15</w:t>
      </w:r>
      <w:r w:rsidR="009C3BCD">
        <w:noBreakHyphen/>
      </w:r>
      <w:r w:rsidR="00397D20">
        <w:t xml:space="preserve">554) in patients with </w:t>
      </w:r>
      <w:proofErr w:type="spellStart"/>
      <w:proofErr w:type="gramStart"/>
      <w:r w:rsidR="00397D20">
        <w:t>PsA</w:t>
      </w:r>
      <w:proofErr w:type="spellEnd"/>
      <w:r w:rsidR="009C3BCD">
        <w:t>;</w:t>
      </w:r>
      <w:proofErr w:type="gramEnd"/>
    </w:p>
    <w:p w14:paraId="6494CC98" w14:textId="2EF3E87D" w:rsidR="00397D20" w:rsidRDefault="00CB7D95" w:rsidP="00E11BDC">
      <w:pPr>
        <w:pStyle w:val="ListBullet"/>
      </w:pPr>
      <w:r>
        <w:t>o</w:t>
      </w:r>
      <w:r w:rsidR="00397D20">
        <w:t>ne pivotal Phase II/III efficacy</w:t>
      </w:r>
      <w:r w:rsidR="009C3BCD">
        <w:t xml:space="preserve"> and </w:t>
      </w:r>
      <w:r w:rsidR="00397D20">
        <w:t xml:space="preserve">safety </w:t>
      </w:r>
      <w:r>
        <w:t xml:space="preserve">study </w:t>
      </w:r>
      <w:r w:rsidR="00E11BDC">
        <w:t>(</w:t>
      </w:r>
      <w:r w:rsidR="00397D20">
        <w:t>Study M16-098</w:t>
      </w:r>
      <w:r w:rsidR="00E11BDC">
        <w:t>)</w:t>
      </w:r>
      <w:r w:rsidR="00397D20">
        <w:t xml:space="preserve"> conducted in adult patients with </w:t>
      </w:r>
      <w:proofErr w:type="gramStart"/>
      <w:r w:rsidR="00397D20">
        <w:t>AS</w:t>
      </w:r>
      <w:r w:rsidR="009C3BCD">
        <w:t>;</w:t>
      </w:r>
      <w:proofErr w:type="gramEnd"/>
    </w:p>
    <w:p w14:paraId="3B79D077" w14:textId="523851A4" w:rsidR="00E11BDC" w:rsidRDefault="009C3BCD" w:rsidP="00E11BDC">
      <w:pPr>
        <w:pStyle w:val="ListBullet"/>
      </w:pPr>
      <w:r>
        <w:t>a</w:t>
      </w:r>
      <w:r w:rsidR="00CB7D95">
        <w:t xml:space="preserve"> </w:t>
      </w:r>
      <w:r w:rsidR="00E11BDC">
        <w:t xml:space="preserve">pooled efficacy dataset of the two Phase III </w:t>
      </w:r>
      <w:proofErr w:type="spellStart"/>
      <w:r w:rsidR="00E11BDC">
        <w:t>PsA</w:t>
      </w:r>
      <w:proofErr w:type="spellEnd"/>
      <w:r w:rsidR="00E11BDC">
        <w:t xml:space="preserve"> studies</w:t>
      </w:r>
      <w:r>
        <w:t>; and</w:t>
      </w:r>
    </w:p>
    <w:p w14:paraId="4B3F38A0" w14:textId="77777777" w:rsidR="00397D20" w:rsidRDefault="00CB7D95" w:rsidP="00F32403">
      <w:pPr>
        <w:pStyle w:val="ListBullet"/>
      </w:pPr>
      <w:r>
        <w:t>i</w:t>
      </w:r>
      <w:r w:rsidR="00397D20">
        <w:t>ntegrated safety datasets for s</w:t>
      </w:r>
      <w:r w:rsidR="00E11BDC">
        <w:t xml:space="preserve">ubjects with active </w:t>
      </w:r>
      <w:proofErr w:type="spellStart"/>
      <w:r w:rsidR="00E11BDC">
        <w:t>PsA</w:t>
      </w:r>
      <w:proofErr w:type="spellEnd"/>
      <w:r w:rsidR="00E11BDC">
        <w:t xml:space="preserve"> and </w:t>
      </w:r>
      <w:r w:rsidR="00F32403">
        <w:t>rheumatoid a</w:t>
      </w:r>
      <w:r w:rsidR="00F32403" w:rsidRPr="00F32403">
        <w:t xml:space="preserve">rthritis </w:t>
      </w:r>
      <w:r w:rsidR="00F32403">
        <w:t>(</w:t>
      </w:r>
      <w:r w:rsidR="00E11BDC">
        <w:t>RA</w:t>
      </w:r>
      <w:r w:rsidR="00F32403">
        <w:t>)</w:t>
      </w:r>
      <w:r w:rsidR="00E11BDC">
        <w:t>.</w:t>
      </w:r>
    </w:p>
    <w:p w14:paraId="536C3255" w14:textId="77777777" w:rsidR="00DF3125" w:rsidRDefault="000C591D" w:rsidP="00DF3125">
      <w:pPr>
        <w:pStyle w:val="Heading4"/>
        <w:rPr>
          <w:color w:val="0070B5" w:themeColor="accent1" w:themeTint="BF"/>
        </w:rPr>
      </w:pPr>
      <w:r>
        <w:t>Pharmacokinetics</w:t>
      </w:r>
    </w:p>
    <w:p w14:paraId="78D3C968" w14:textId="6C00AFD3" w:rsidR="00DF3125" w:rsidRPr="00D87C1B" w:rsidRDefault="00DF3125" w:rsidP="00DF3125">
      <w:r>
        <w:t xml:space="preserve">Study M20-017 </w:t>
      </w:r>
      <w:r w:rsidR="00320592">
        <w:t xml:space="preserve">(a Phase I study) </w:t>
      </w:r>
      <w:r>
        <w:t xml:space="preserve">was a multicentre, single dose, open label, randomised four period, four sequence two part crossover trial to assess the </w:t>
      </w:r>
      <w:r w:rsidR="00195EEE">
        <w:t>bioavailability of 15 mg and 30 </w:t>
      </w:r>
      <w:r>
        <w:t xml:space="preserve">mg ‘market image’ formulations of </w:t>
      </w:r>
      <w:proofErr w:type="spellStart"/>
      <w:r w:rsidRPr="0075010A">
        <w:t>upadacitinib</w:t>
      </w:r>
      <w:proofErr w:type="spellEnd"/>
      <w:r>
        <w:t xml:space="preserve"> (manufactured in Sligo, Ireland) with the clinical trial formulations (manufactured in North Chicago, Illinois) in </w:t>
      </w:r>
      <w:r w:rsidR="00320592">
        <w:t xml:space="preserve">both </w:t>
      </w:r>
      <w:r>
        <w:t>fed</w:t>
      </w:r>
      <w:r w:rsidR="00320592">
        <w:t xml:space="preserve"> state</w:t>
      </w:r>
      <w:r>
        <w:t xml:space="preserve"> (high fat/high calorie meal) and fasted</w:t>
      </w:r>
      <w:r w:rsidR="00320592">
        <w:t xml:space="preserve"> state, but</w:t>
      </w:r>
      <w:r>
        <w:t xml:space="preserve"> otherwise healthy volunteers.</w:t>
      </w:r>
      <w:r w:rsidRPr="009D48C1">
        <w:rPr>
          <w:rFonts w:cs="TimesNewRoman"/>
          <w:lang w:eastAsia="en-AU"/>
        </w:rPr>
        <w:t xml:space="preserve"> </w:t>
      </w:r>
      <w:r>
        <w:t>The study</w:t>
      </w:r>
      <w:r w:rsidR="00195EEE">
        <w:t xml:space="preserve"> demonstrated that the 15 </w:t>
      </w:r>
      <w:r>
        <w:t>mg market image formulation</w:t>
      </w:r>
      <w:r w:rsidRPr="009D48C1">
        <w:t xml:space="preserve"> is bioequivalent to the</w:t>
      </w:r>
      <w:r>
        <w:t xml:space="preserve"> 15</w:t>
      </w:r>
      <w:r w:rsidR="00320592">
        <w:t> </w:t>
      </w:r>
      <w:r>
        <w:t>mg study formulation</w:t>
      </w:r>
      <w:r w:rsidRPr="009D48C1">
        <w:t xml:space="preserve"> </w:t>
      </w:r>
      <w:r>
        <w:t xml:space="preserve">both under </w:t>
      </w:r>
      <w:r w:rsidRPr="009D48C1">
        <w:t>fasting conditions and after a high</w:t>
      </w:r>
      <w:r>
        <w:t xml:space="preserve"> fat/high calorie meal</w:t>
      </w:r>
      <w:r w:rsidR="00195EEE">
        <w:t>. In addition, the 30 </w:t>
      </w:r>
      <w:r w:rsidRPr="009D48C1">
        <w:t>mg</w:t>
      </w:r>
      <w:r>
        <w:t xml:space="preserve"> market image formulation</w:t>
      </w:r>
      <w:r w:rsidRPr="009D48C1">
        <w:t xml:space="preserve"> is bioequivalent to the 30 mg </w:t>
      </w:r>
      <w:r>
        <w:t xml:space="preserve">study </w:t>
      </w:r>
      <w:r>
        <w:lastRenderedPageBreak/>
        <w:t>formulation</w:t>
      </w:r>
      <w:r w:rsidRPr="009D48C1">
        <w:t xml:space="preserve"> under fast</w:t>
      </w:r>
      <w:r>
        <w:t xml:space="preserve">ing conditions and after a high fat/high </w:t>
      </w:r>
      <w:r w:rsidRPr="009D48C1">
        <w:t>calorie meal</w:t>
      </w:r>
      <w:r>
        <w:t xml:space="preserve">. At both doses, dosing 30 minutes after a high fat/high calorie meal increased </w:t>
      </w:r>
      <w:r w:rsidR="00CB7D95">
        <w:t>m</w:t>
      </w:r>
      <w:r w:rsidR="00CB7D95" w:rsidRPr="00CB7D95">
        <w:t xml:space="preserve">aximum plasma concentration </w:t>
      </w:r>
      <w:r w:rsidR="00CB7D95">
        <w:t>(</w:t>
      </w:r>
      <w:proofErr w:type="spellStart"/>
      <w:r>
        <w:t>C</w:t>
      </w:r>
      <w:r w:rsidRPr="00FA00A9">
        <w:rPr>
          <w:vertAlign w:val="subscript"/>
        </w:rPr>
        <w:t>max</w:t>
      </w:r>
      <w:proofErr w:type="spellEnd"/>
      <w:r w:rsidR="00CB7D95">
        <w:t xml:space="preserve">) </w:t>
      </w:r>
      <w:r>
        <w:t xml:space="preserve">by about 50% and </w:t>
      </w:r>
      <w:r w:rsidR="00CB7D95">
        <w:rPr>
          <w:rFonts w:cs="Calibri"/>
          <w:color w:val="000000"/>
        </w:rPr>
        <w:t xml:space="preserve">area </w:t>
      </w:r>
      <w:r w:rsidR="00CB7D95" w:rsidRPr="002B01B1">
        <w:rPr>
          <w:rFonts w:cs="Calibri"/>
          <w:color w:val="000000"/>
        </w:rPr>
        <w:t xml:space="preserve">under </w:t>
      </w:r>
      <w:r w:rsidR="00320592">
        <w:rPr>
          <w:rFonts w:cs="Calibri"/>
          <w:color w:val="000000"/>
        </w:rPr>
        <w:t xml:space="preserve">the </w:t>
      </w:r>
      <w:r w:rsidR="00CB7D95" w:rsidRPr="002B01B1">
        <w:rPr>
          <w:rFonts w:cs="Calibri"/>
          <w:color w:val="000000"/>
        </w:rPr>
        <w:t>concentration</w:t>
      </w:r>
      <w:r w:rsidR="00320592">
        <w:rPr>
          <w:rFonts w:cs="Calibri"/>
          <w:color w:val="000000"/>
        </w:rPr>
        <w:t xml:space="preserve"> versus</w:t>
      </w:r>
      <w:r w:rsidR="00CB7D95" w:rsidRPr="002B01B1">
        <w:rPr>
          <w:rFonts w:cs="Calibri"/>
          <w:color w:val="000000"/>
        </w:rPr>
        <w:t xml:space="preserve"> time curve from time zero to infinity </w:t>
      </w:r>
      <w:r w:rsidR="00CB7D95">
        <w:rPr>
          <w:rFonts w:cs="Calibri"/>
          <w:color w:val="000000"/>
        </w:rPr>
        <w:t>(</w:t>
      </w:r>
      <w:r>
        <w:t>AUC</w:t>
      </w:r>
      <w:r w:rsidRPr="00FA00A9">
        <w:rPr>
          <w:vertAlign w:val="subscript"/>
        </w:rPr>
        <w:t>inf</w:t>
      </w:r>
      <w:r w:rsidR="00CB7D95">
        <w:t xml:space="preserve">) </w:t>
      </w:r>
      <w:r>
        <w:t>by about 20 to 30% compared to dosing in fasted patients.</w:t>
      </w:r>
    </w:p>
    <w:p w14:paraId="6FE29583" w14:textId="77777777" w:rsidR="00DF3125" w:rsidRDefault="000C591D" w:rsidP="00DF3125">
      <w:pPr>
        <w:pStyle w:val="Heading4"/>
        <w:rPr>
          <w:color w:val="0070B5" w:themeColor="accent1" w:themeTint="BF"/>
        </w:rPr>
      </w:pPr>
      <w:r>
        <w:t>Population pharmacokinetics</w:t>
      </w:r>
    </w:p>
    <w:p w14:paraId="628EB0CF" w14:textId="1FB7A4B1" w:rsidR="00DF3125" w:rsidRPr="0001238F" w:rsidRDefault="00DF3125" w:rsidP="00DA6BD9">
      <w:r>
        <w:t>Study R&amp;D/19/1199</w:t>
      </w:r>
      <w:r w:rsidR="000C591D">
        <w:t xml:space="preserve"> is n</w:t>
      </w:r>
      <w:r>
        <w:t xml:space="preserve">onlinear mixed effects modelling was used to characterise the PK of </w:t>
      </w:r>
      <w:proofErr w:type="spellStart"/>
      <w:r>
        <w:t>upadacitinib</w:t>
      </w:r>
      <w:proofErr w:type="spellEnd"/>
      <w:r>
        <w:t xml:space="preserve"> in 1694 patients with </w:t>
      </w:r>
      <w:proofErr w:type="spellStart"/>
      <w:r>
        <w:t>PsA</w:t>
      </w:r>
      <w:proofErr w:type="spellEnd"/>
      <w:r>
        <w:t xml:space="preserve"> who had received at least one dose of 15</w:t>
      </w:r>
      <w:r w:rsidR="00195EEE">
        <w:t> </w:t>
      </w:r>
      <w:r>
        <w:t>mg or 30</w:t>
      </w:r>
      <w:r w:rsidR="00195EEE">
        <w:t> </w:t>
      </w:r>
      <w:r>
        <w:t xml:space="preserve">mg </w:t>
      </w:r>
      <w:proofErr w:type="spellStart"/>
      <w:r>
        <w:t>upadacitinib</w:t>
      </w:r>
      <w:proofErr w:type="spellEnd"/>
      <w:r w:rsidR="000C591D">
        <w:t xml:space="preserve"> in the two pivotal Phase III</w:t>
      </w:r>
      <w:r>
        <w:t xml:space="preserve"> studies. The model was based on the </w:t>
      </w:r>
      <w:r w:rsidR="000C591D">
        <w:t>population pharmacokinetics</w:t>
      </w:r>
      <w:r w:rsidR="00CB7D95">
        <w:t xml:space="preserve"> </w:t>
      </w:r>
      <w:r w:rsidR="00320592">
        <w:t>(</w:t>
      </w:r>
      <w:proofErr w:type="spellStart"/>
      <w:r w:rsidR="00320592">
        <w:t>popPK</w:t>
      </w:r>
      <w:proofErr w:type="spellEnd"/>
      <w:r w:rsidR="00320592">
        <w:t xml:space="preserve">) </w:t>
      </w:r>
      <w:r w:rsidR="00CB7D95">
        <w:t>data</w:t>
      </w:r>
      <w:r>
        <w:t xml:space="preserve"> model for healthy volunteers and patients with RA, and included covariates of creatinine clearance (</w:t>
      </w:r>
      <w:proofErr w:type="spellStart"/>
      <w:r>
        <w:t>CrCL</w:t>
      </w:r>
      <w:proofErr w:type="spellEnd"/>
      <w:r>
        <w:t xml:space="preserve">) on </w:t>
      </w:r>
      <w:r w:rsidR="00320592">
        <w:t xml:space="preserve">the clearance (CL) of </w:t>
      </w:r>
      <w:proofErr w:type="spellStart"/>
      <w:r>
        <w:t>upadacitinib</w:t>
      </w:r>
      <w:proofErr w:type="spellEnd"/>
      <w:r>
        <w:t xml:space="preserve"> and baseline bodyweight on both</w:t>
      </w:r>
      <w:r w:rsidR="00320592">
        <w:t xml:space="preserve"> the</w:t>
      </w:r>
      <w:r>
        <w:t xml:space="preserve"> CL and volume of distribution (V</w:t>
      </w:r>
      <w:r>
        <w:rPr>
          <w:vertAlign w:val="subscript"/>
        </w:rPr>
        <w:t>D</w:t>
      </w:r>
      <w:r>
        <w:t xml:space="preserve">) of </w:t>
      </w:r>
      <w:proofErr w:type="spellStart"/>
      <w:r>
        <w:t>upadacitinib</w:t>
      </w:r>
      <w:proofErr w:type="spellEnd"/>
      <w:r>
        <w:t xml:space="preserve">. The analysis concluded that plasma exposures of </w:t>
      </w:r>
      <w:proofErr w:type="spellStart"/>
      <w:r w:rsidR="000C591D">
        <w:t>upadacitinib</w:t>
      </w:r>
      <w:proofErr w:type="spellEnd"/>
      <w:r>
        <w:t xml:space="preserve"> are similar in </w:t>
      </w:r>
      <w:proofErr w:type="spellStart"/>
      <w:r>
        <w:t>PsA</w:t>
      </w:r>
      <w:proofErr w:type="spellEnd"/>
      <w:r>
        <w:t xml:space="preserve"> and RA. Body weight had a statistically significant but clinically non-relevant effect on</w:t>
      </w:r>
      <w:r w:rsidR="00320592">
        <w:t xml:space="preserve"> the</w:t>
      </w:r>
      <w:r>
        <w:t xml:space="preserve"> </w:t>
      </w:r>
      <w:r w:rsidR="000C591D">
        <w:t xml:space="preserve">area under </w:t>
      </w:r>
      <w:r w:rsidR="00320592">
        <w:t xml:space="preserve">the </w:t>
      </w:r>
      <w:r w:rsidR="000C591D">
        <w:t>concentration</w:t>
      </w:r>
      <w:r w:rsidR="00320592">
        <w:t xml:space="preserve"> versus</w:t>
      </w:r>
      <w:r w:rsidR="000C591D">
        <w:t xml:space="preserve"> time curve (</w:t>
      </w:r>
      <w:r>
        <w:t>AUC</w:t>
      </w:r>
      <w:r w:rsidR="000C591D">
        <w:t>)</w:t>
      </w:r>
      <w:r>
        <w:t xml:space="preserve">; </w:t>
      </w:r>
      <w:r w:rsidRPr="0016289B">
        <w:t>subjects with mild (</w:t>
      </w:r>
      <w:proofErr w:type="spellStart"/>
      <w:r w:rsidRPr="0016289B">
        <w:t>CrCL</w:t>
      </w:r>
      <w:proofErr w:type="spellEnd"/>
      <w:r w:rsidRPr="0016289B">
        <w:t xml:space="preserve"> 60 to &lt;</w:t>
      </w:r>
      <w:r w:rsidR="000C591D">
        <w:t xml:space="preserve"> </w:t>
      </w:r>
      <w:r w:rsidRPr="0016289B">
        <w:t>90 mL/min) or moderate (</w:t>
      </w:r>
      <w:proofErr w:type="spellStart"/>
      <w:r>
        <w:t>CrCL</w:t>
      </w:r>
      <w:proofErr w:type="spellEnd"/>
      <w:r>
        <w:t xml:space="preserve"> </w:t>
      </w:r>
      <w:r w:rsidRPr="0016289B">
        <w:t>30 to &lt;</w:t>
      </w:r>
      <w:r w:rsidR="000C591D">
        <w:t xml:space="preserve"> </w:t>
      </w:r>
      <w:r w:rsidRPr="0016289B">
        <w:t xml:space="preserve">60 mL/min) renal impairment </w:t>
      </w:r>
      <w:r>
        <w:t>were</w:t>
      </w:r>
      <w:r w:rsidRPr="0016289B">
        <w:t xml:space="preserve"> predicted to have approximately 15% and 26% higher AUC and 8% and 13% higher </w:t>
      </w:r>
      <w:proofErr w:type="spellStart"/>
      <w:r w:rsidRPr="0016289B">
        <w:t>C</w:t>
      </w:r>
      <w:r w:rsidRPr="0016289B">
        <w:rPr>
          <w:vertAlign w:val="subscript"/>
        </w:rPr>
        <w:t>max</w:t>
      </w:r>
      <w:proofErr w:type="spellEnd"/>
      <w:r w:rsidRPr="0016289B">
        <w:t>, respectively, compared to subje</w:t>
      </w:r>
      <w:r>
        <w:t>cts with normal renal function. Concomitant medications including pH modifying agents and conventional or targeted DMARDs (</w:t>
      </w:r>
      <w:r w:rsidR="00320592">
        <w:t xml:space="preserve">such as </w:t>
      </w:r>
      <w:r>
        <w:t xml:space="preserve">methotrexate, sulfasalazine, leflunomide, hydroxychloroquine, and </w:t>
      </w:r>
      <w:proofErr w:type="spellStart"/>
      <w:r>
        <w:t>apremilast</w:t>
      </w:r>
      <w:proofErr w:type="spellEnd"/>
      <w:r>
        <w:t xml:space="preserve">) had no relevant effect on </w:t>
      </w:r>
      <w:proofErr w:type="spellStart"/>
      <w:r>
        <w:t>upadacitinib</w:t>
      </w:r>
      <w:proofErr w:type="spellEnd"/>
      <w:r>
        <w:t xml:space="preserve"> </w:t>
      </w:r>
      <w:r w:rsidR="00505B41">
        <w:t>pharmacokinetics</w:t>
      </w:r>
      <w:r>
        <w:t xml:space="preserve">. Previous </w:t>
      </w:r>
      <w:r>
        <w:rPr>
          <w:i/>
        </w:rPr>
        <w:t xml:space="preserve">in vitro </w:t>
      </w:r>
      <w:r>
        <w:t xml:space="preserve">studies had demonstrated that </w:t>
      </w:r>
      <w:r w:rsidRPr="0001238F">
        <w:rPr>
          <w:lang w:val="en-US"/>
        </w:rPr>
        <w:t>strong CYP3A</w:t>
      </w:r>
      <w:r w:rsidR="00505B41">
        <w:rPr>
          <w:lang w:val="en-US"/>
        </w:rPr>
        <w:t>;</w:t>
      </w:r>
      <w:bookmarkStart w:id="41" w:name="_Ref75525644"/>
      <w:r w:rsidR="00505B41">
        <w:rPr>
          <w:rStyle w:val="FootnoteReference"/>
          <w:lang w:val="en-US"/>
        </w:rPr>
        <w:footnoteReference w:id="3"/>
      </w:r>
      <w:bookmarkEnd w:id="41"/>
      <w:r w:rsidRPr="0001238F">
        <w:rPr>
          <w:lang w:val="en-US"/>
        </w:rPr>
        <w:t xml:space="preserve"> inhibitors increase the AUC of </w:t>
      </w:r>
      <w:proofErr w:type="spellStart"/>
      <w:r>
        <w:rPr>
          <w:lang w:val="en-US"/>
        </w:rPr>
        <w:t>upadacitinib</w:t>
      </w:r>
      <w:proofErr w:type="spellEnd"/>
      <w:r w:rsidRPr="0001238F">
        <w:rPr>
          <w:lang w:val="en-US"/>
        </w:rPr>
        <w:t xml:space="preserve"> by 75% and </w:t>
      </w:r>
      <w:proofErr w:type="spellStart"/>
      <w:r w:rsidRPr="0001238F">
        <w:rPr>
          <w:lang w:val="en-US"/>
        </w:rPr>
        <w:t>C</w:t>
      </w:r>
      <w:r w:rsidRPr="0001238F">
        <w:rPr>
          <w:vertAlign w:val="subscript"/>
          <w:lang w:val="en-US"/>
        </w:rPr>
        <w:t>max</w:t>
      </w:r>
      <w:proofErr w:type="spellEnd"/>
      <w:r w:rsidRPr="0001238F">
        <w:rPr>
          <w:vertAlign w:val="subscript"/>
          <w:lang w:val="en-US"/>
        </w:rPr>
        <w:t xml:space="preserve"> </w:t>
      </w:r>
      <w:r w:rsidRPr="0001238F">
        <w:rPr>
          <w:lang w:val="en-US"/>
        </w:rPr>
        <w:t xml:space="preserve">by 70% while strong inducers of CYP3A reduce </w:t>
      </w:r>
      <w:proofErr w:type="spellStart"/>
      <w:r>
        <w:rPr>
          <w:lang w:val="en-US"/>
        </w:rPr>
        <w:t>upadacitinib</w:t>
      </w:r>
      <w:proofErr w:type="spellEnd"/>
      <w:r w:rsidRPr="0001238F">
        <w:rPr>
          <w:lang w:val="en-US"/>
        </w:rPr>
        <w:t xml:space="preserve"> plasma exposures by approximately half.</w:t>
      </w:r>
    </w:p>
    <w:p w14:paraId="1721D689" w14:textId="77777777" w:rsidR="00DF3125" w:rsidRPr="00BA13F0" w:rsidRDefault="00DF3125" w:rsidP="00DA6BD9">
      <w:r>
        <w:t>Study R&amp;D/20/0181</w:t>
      </w:r>
      <w:r w:rsidR="000C591D">
        <w:t xml:space="preserve"> is a n</w:t>
      </w:r>
      <w:r>
        <w:t>onlinear mixed effects m</w:t>
      </w:r>
      <w:r w:rsidR="000C591D">
        <w:t>odelling was used to characteris</w:t>
      </w:r>
      <w:r>
        <w:t xml:space="preserve">e the PK of </w:t>
      </w:r>
      <w:proofErr w:type="spellStart"/>
      <w:r>
        <w:t>upadacitinib</w:t>
      </w:r>
      <w:proofErr w:type="spellEnd"/>
      <w:r>
        <w:t xml:space="preserve"> in 92 patients with AS who had received at least one dose of 15</w:t>
      </w:r>
      <w:r w:rsidR="00195EEE">
        <w:t> </w:t>
      </w:r>
      <w:r>
        <w:t xml:space="preserve">mg </w:t>
      </w:r>
      <w:proofErr w:type="spellStart"/>
      <w:r>
        <w:t>upadacitinib</w:t>
      </w:r>
      <w:proofErr w:type="spellEnd"/>
      <w:r w:rsidR="000C591D">
        <w:t xml:space="preserve"> in the pivotal Phase II/III</w:t>
      </w:r>
      <w:r>
        <w:t xml:space="preserve"> study. The model was based on the </w:t>
      </w:r>
      <w:proofErr w:type="spellStart"/>
      <w:r>
        <w:t>popPK</w:t>
      </w:r>
      <w:proofErr w:type="spellEnd"/>
      <w:r>
        <w:t xml:space="preserve"> model for healthy volunteers and patients with RA. Inter-subject variability and residual error terms were evaluated in the AS population using the same model, and visual predictive checks assessed whether estimated </w:t>
      </w:r>
      <w:r w:rsidR="00F32403">
        <w:t xml:space="preserve">oral </w:t>
      </w:r>
      <w:r>
        <w:t>clearance (CL/F) and apparent V</w:t>
      </w:r>
      <w:r>
        <w:rPr>
          <w:vertAlign w:val="subscript"/>
        </w:rPr>
        <w:t>D</w:t>
      </w:r>
      <w:r>
        <w:t xml:space="preserve"> in the central compartment (V</w:t>
      </w:r>
      <w:r>
        <w:rPr>
          <w:vertAlign w:val="subscript"/>
        </w:rPr>
        <w:t>C</w:t>
      </w:r>
      <w:r>
        <w:t xml:space="preserve">/F) differed significantly from those reported in patients with RA. The analysis concluded that the PK parameters of </w:t>
      </w:r>
      <w:proofErr w:type="spellStart"/>
      <w:r>
        <w:t>upadacitinib</w:t>
      </w:r>
      <w:proofErr w:type="spellEnd"/>
      <w:r w:rsidR="000C591D">
        <w:t xml:space="preserve"> are similar in AS and RA.</w:t>
      </w:r>
    </w:p>
    <w:p w14:paraId="082FF760" w14:textId="77777777" w:rsidR="00DF3125" w:rsidRDefault="000C591D" w:rsidP="00DF3125">
      <w:pPr>
        <w:pStyle w:val="Heading4"/>
        <w:rPr>
          <w:color w:val="0070B5" w:themeColor="accent1" w:themeTint="BF"/>
        </w:rPr>
      </w:pPr>
      <w:r>
        <w:t>Pharmacodynamics</w:t>
      </w:r>
    </w:p>
    <w:p w14:paraId="3331DACB" w14:textId="38B56301" w:rsidR="00DF3125" w:rsidRDefault="00320592" w:rsidP="000C591D">
      <w:r>
        <w:t>Janus kinase 1 (JAK1)</w:t>
      </w:r>
      <w:r w:rsidRPr="00A72D3B">
        <w:t xml:space="preserve"> </w:t>
      </w:r>
      <w:r w:rsidR="00DF3125" w:rsidRPr="00A72D3B">
        <w:t xml:space="preserve">is preferentially expressed in T-lymphocytes and mediates the </w:t>
      </w:r>
      <w:r w:rsidR="00DF3125">
        <w:t xml:space="preserve">action of the </w:t>
      </w:r>
      <w:r w:rsidR="00DF3125" w:rsidRPr="00A72D3B">
        <w:t>common γ</w:t>
      </w:r>
      <w:r w:rsidR="00DF3125">
        <w:t>-</w:t>
      </w:r>
      <w:r w:rsidR="00DF3125" w:rsidRPr="00A72D3B">
        <w:t xml:space="preserve">chain cytokines, including IL-2, IL-4, IL-7, IL-9, IL-15 and IL-21, which are integral to lymphocyte activation, proliferation and function. The predicted side effects of JAK1 inhibition include infection, </w:t>
      </w:r>
      <w:proofErr w:type="gramStart"/>
      <w:r w:rsidR="00DF3125" w:rsidRPr="00A72D3B">
        <w:t>hyperlipidaemia</w:t>
      </w:r>
      <w:proofErr w:type="gramEnd"/>
      <w:r w:rsidR="00DF3125" w:rsidRPr="00A72D3B">
        <w:t xml:space="preserve"> and possible natural kill</w:t>
      </w:r>
      <w:r w:rsidR="00F32403">
        <w:t xml:space="preserve">er </w:t>
      </w:r>
      <w:r w:rsidR="00DF3125" w:rsidRPr="00A72D3B">
        <w:t>cell effects.</w:t>
      </w:r>
    </w:p>
    <w:p w14:paraId="1AA36B13" w14:textId="77777777" w:rsidR="00DF3125" w:rsidRPr="00A72D3B" w:rsidRDefault="00DF3125" w:rsidP="000C591D">
      <w:r>
        <w:t xml:space="preserve">Previous submissions have provided evidence that </w:t>
      </w:r>
      <w:proofErr w:type="spellStart"/>
      <w:r>
        <w:t>upadacitinib</w:t>
      </w:r>
      <w:proofErr w:type="spellEnd"/>
      <w:r w:rsidRPr="00A72D3B">
        <w:t xml:space="preserve"> is a highly selective </w:t>
      </w:r>
      <w:r>
        <w:t>and reversible inhibitor of JAK</w:t>
      </w:r>
      <w:r w:rsidRPr="00A72D3B">
        <w:t xml:space="preserve">1. In cellular potency assays that correlate with </w:t>
      </w:r>
      <w:r w:rsidRPr="00A72D3B">
        <w:rPr>
          <w:i/>
        </w:rPr>
        <w:t>in vivo</w:t>
      </w:r>
      <w:r w:rsidRPr="00A72D3B">
        <w:t xml:space="preserve"> </w:t>
      </w:r>
      <w:r w:rsidR="000C591D">
        <w:lastRenderedPageBreak/>
        <w:t>pharmacodynamics (</w:t>
      </w:r>
      <w:r w:rsidRPr="00A72D3B">
        <w:t>PD</w:t>
      </w:r>
      <w:r w:rsidR="000C591D">
        <w:t>)</w:t>
      </w:r>
      <w:r w:rsidRPr="00A72D3B">
        <w:t xml:space="preserve"> responses, </w:t>
      </w:r>
      <w:proofErr w:type="spellStart"/>
      <w:r>
        <w:t>upadacitinib</w:t>
      </w:r>
      <w:proofErr w:type="spellEnd"/>
      <w:r w:rsidR="000C591D">
        <w:t xml:space="preserve"> showed 50 to </w:t>
      </w:r>
      <w:r w:rsidRPr="00A72D3B">
        <w:t>70 fold</w:t>
      </w:r>
      <w:r w:rsidR="000C591D">
        <w:t>s</w:t>
      </w:r>
      <w:r w:rsidRPr="00A72D3B">
        <w:t xml:space="preserve"> greater </w:t>
      </w:r>
      <w:r>
        <w:t>selectivity for JAK1 over JAK</w:t>
      </w:r>
      <w:r w:rsidRPr="00A72D3B">
        <w:t>2 and &gt;</w:t>
      </w:r>
      <w:r w:rsidR="000C591D">
        <w:t xml:space="preserve"> </w:t>
      </w:r>
      <w:r w:rsidRPr="00A72D3B">
        <w:t>100 f</w:t>
      </w:r>
      <w:r>
        <w:t>old</w:t>
      </w:r>
      <w:r w:rsidR="000C591D">
        <w:t>s</w:t>
      </w:r>
      <w:r>
        <w:t xml:space="preserve"> greater selectivity for JAK1 over JAK</w:t>
      </w:r>
      <w:r w:rsidRPr="00A72D3B">
        <w:t xml:space="preserve">3. </w:t>
      </w:r>
      <w:r>
        <w:t>JAK1 and JAK2 directly phosphorylate the</w:t>
      </w:r>
      <w:r w:rsidRPr="00A72D3B">
        <w:t xml:space="preserve"> STAT-3 transcription factor </w:t>
      </w:r>
      <w:r>
        <w:t xml:space="preserve">to form </w:t>
      </w:r>
      <w:r w:rsidR="009F7379">
        <w:t>p</w:t>
      </w:r>
      <w:r w:rsidR="009F7379" w:rsidRPr="009F7379">
        <w:t>hosphorylated</w:t>
      </w:r>
      <w:r w:rsidR="009F7379">
        <w:t xml:space="preserve"> </w:t>
      </w:r>
      <w:r>
        <w:t xml:space="preserve">STAT-3 </w:t>
      </w:r>
      <w:r w:rsidRPr="00A72D3B">
        <w:t>in response to cytokine stimulation (mainly, IL-6)</w:t>
      </w:r>
      <w:r>
        <w:t>. The</w:t>
      </w:r>
      <w:r w:rsidRPr="00A72D3B">
        <w:t xml:space="preserve"> sponsor developed an </w:t>
      </w:r>
      <w:r w:rsidRPr="0090018D">
        <w:rPr>
          <w:i/>
        </w:rPr>
        <w:t>ex vivo</w:t>
      </w:r>
      <w:r w:rsidRPr="00A72D3B">
        <w:t xml:space="preserve"> assay method that measures</w:t>
      </w:r>
      <w:r w:rsidR="009F7379">
        <w:t xml:space="preserve"> IL-6 (JAK-1/JAK-2) stimulated p</w:t>
      </w:r>
      <w:r w:rsidR="009F7379" w:rsidRPr="009F7379">
        <w:t>hosphorylated</w:t>
      </w:r>
      <w:r w:rsidR="009F7379">
        <w:t xml:space="preserve"> </w:t>
      </w:r>
      <w:r w:rsidRPr="00A72D3B">
        <w:t xml:space="preserve">STAT-3 formation as well as IL-17 (JAK-1/JAK-3) </w:t>
      </w:r>
      <w:r>
        <w:t>stimulated</w:t>
      </w:r>
      <w:r w:rsidRPr="00A72D3B">
        <w:t xml:space="preserve"> </w:t>
      </w:r>
      <w:r w:rsidR="009F7379">
        <w:t>p</w:t>
      </w:r>
      <w:r w:rsidR="009F7379" w:rsidRPr="009F7379">
        <w:t>hosphorylated</w:t>
      </w:r>
      <w:r w:rsidR="009F7379">
        <w:t xml:space="preserve"> </w:t>
      </w:r>
      <w:r w:rsidRPr="00A72D3B">
        <w:t>STAT-5</w:t>
      </w:r>
      <w:r>
        <w:t xml:space="preserve"> formation</w:t>
      </w:r>
      <w:r w:rsidRPr="00A72D3B">
        <w:t xml:space="preserve"> in human blood as a means of examining the primary PD effects of </w:t>
      </w:r>
      <w:proofErr w:type="spellStart"/>
      <w:r>
        <w:t>upadacitinib</w:t>
      </w:r>
      <w:proofErr w:type="spellEnd"/>
      <w:r w:rsidR="000C591D">
        <w:t>.</w:t>
      </w:r>
    </w:p>
    <w:p w14:paraId="0A4F7CC4" w14:textId="77777777" w:rsidR="00DF3125" w:rsidRDefault="00DF3125" w:rsidP="000C591D">
      <w:pPr>
        <w:pStyle w:val="Heading5"/>
      </w:pPr>
      <w:r>
        <w:t>Psoriatic arthritis</w:t>
      </w:r>
    </w:p>
    <w:p w14:paraId="26721BE9" w14:textId="59C0ACDD" w:rsidR="00DF3125" w:rsidRDefault="007A5C52" w:rsidP="00DF3125">
      <w:r>
        <w:t xml:space="preserve">Exposure </w:t>
      </w:r>
      <w:r w:rsidR="00DF3125" w:rsidRPr="00A72D3B">
        <w:t xml:space="preserve">response </w:t>
      </w:r>
      <w:r w:rsidR="00DF3125">
        <w:t xml:space="preserve">(ER) </w:t>
      </w:r>
      <w:r w:rsidR="00DF3125" w:rsidRPr="00A72D3B">
        <w:t>analyses for efficacy and safety endpoints were explored using quartile plots of average</w:t>
      </w:r>
      <w:r w:rsidR="00DF3125">
        <w:t xml:space="preserve"> </w:t>
      </w:r>
      <w:r w:rsidR="00DF3125" w:rsidRPr="00A72D3B">
        <w:t>plasma concentrations (</w:t>
      </w:r>
      <w:proofErr w:type="spellStart"/>
      <w:r w:rsidR="00DF3125" w:rsidRPr="00A72D3B">
        <w:t>C</w:t>
      </w:r>
      <w:r w:rsidR="00DF3125" w:rsidRPr="00A72D3B">
        <w:rPr>
          <w:vertAlign w:val="subscript"/>
        </w:rPr>
        <w:t>avg</w:t>
      </w:r>
      <w:proofErr w:type="spellEnd"/>
      <w:r w:rsidR="00DF3125" w:rsidRPr="00A72D3B">
        <w:t>)</w:t>
      </w:r>
      <w:r w:rsidR="00320592">
        <w:t xml:space="preserve"> of </w:t>
      </w:r>
      <w:proofErr w:type="spellStart"/>
      <w:r w:rsidR="00320592">
        <w:t>upadacitinib</w:t>
      </w:r>
      <w:proofErr w:type="spellEnd"/>
      <w:r w:rsidR="00DF3125">
        <w:t xml:space="preserve"> calculated from the </w:t>
      </w:r>
      <w:proofErr w:type="spellStart"/>
      <w:r w:rsidR="00DF3125">
        <w:t>popPK</w:t>
      </w:r>
      <w:proofErr w:type="spellEnd"/>
      <w:r w:rsidR="00DF3125">
        <w:t xml:space="preserve"> study</w:t>
      </w:r>
      <w:r w:rsidR="00DF3125" w:rsidRPr="00A72D3B">
        <w:t xml:space="preserve">. </w:t>
      </w:r>
      <w:r w:rsidR="00DF3125">
        <w:t xml:space="preserve">Logistic regression models evaluated the relationship between </w:t>
      </w:r>
      <w:proofErr w:type="spellStart"/>
      <w:r w:rsidR="00DF3125">
        <w:t>C</w:t>
      </w:r>
      <w:r w:rsidR="00DF3125">
        <w:rPr>
          <w:vertAlign w:val="subscript"/>
        </w:rPr>
        <w:t>avg</w:t>
      </w:r>
      <w:proofErr w:type="spellEnd"/>
      <w:r w:rsidR="00DF3125">
        <w:rPr>
          <w:vertAlign w:val="subscript"/>
        </w:rPr>
        <w:t xml:space="preserve"> </w:t>
      </w:r>
      <w:r w:rsidR="00DF3125">
        <w:t xml:space="preserve">and </w:t>
      </w:r>
      <w:r w:rsidR="00DF3125" w:rsidRPr="0094266C">
        <w:t xml:space="preserve">efficacy measures including </w:t>
      </w:r>
      <w:r w:rsidR="0094266C">
        <w:t>American College of Rheumatology (</w:t>
      </w:r>
      <w:r w:rsidR="00DF3125" w:rsidRPr="0094266C">
        <w:t>ACR</w:t>
      </w:r>
      <w:r w:rsidR="0094266C">
        <w:t xml:space="preserve">) </w:t>
      </w:r>
      <w:r w:rsidR="00DF3125" w:rsidRPr="0094266C">
        <w:t>20/50/70</w:t>
      </w:r>
      <w:r w:rsidR="000C591D" w:rsidRPr="0094266C">
        <w:t>;</w:t>
      </w:r>
      <w:r w:rsidR="00DF3125" w:rsidRPr="0094266C">
        <w:rPr>
          <w:rStyle w:val="FootnoteReference"/>
        </w:rPr>
        <w:footnoteReference w:id="4"/>
      </w:r>
      <w:r w:rsidR="000C591D" w:rsidRPr="0094266C">
        <w:t xml:space="preserve"> responses at W</w:t>
      </w:r>
      <w:r w:rsidR="00DF3125" w:rsidRPr="0094266C">
        <w:t xml:space="preserve">eek 12 and 24, </w:t>
      </w:r>
      <w:r w:rsidR="0094266C">
        <w:t>Psoriasis Area and Severity Index</w:t>
      </w:r>
      <w:r w:rsidR="0094266C" w:rsidRPr="0094266C">
        <w:t xml:space="preserve"> </w:t>
      </w:r>
      <w:r w:rsidR="0094266C">
        <w:t>(</w:t>
      </w:r>
      <w:r w:rsidR="00DF3125" w:rsidRPr="0094266C">
        <w:t>PASI</w:t>
      </w:r>
      <w:r w:rsidR="0094266C">
        <w:t xml:space="preserve">) </w:t>
      </w:r>
      <w:r w:rsidR="00DF3125" w:rsidRPr="0094266C">
        <w:t>75</w:t>
      </w:r>
      <w:r w:rsidR="000C591D" w:rsidRPr="0094266C">
        <w:t>;</w:t>
      </w:r>
      <w:r w:rsidR="00DF3125" w:rsidRPr="0094266C">
        <w:rPr>
          <w:rStyle w:val="FootnoteReference"/>
        </w:rPr>
        <w:footnoteReference w:id="5"/>
      </w:r>
      <w:r w:rsidR="000C591D" w:rsidRPr="0094266C">
        <w:t xml:space="preserve"> response at W</w:t>
      </w:r>
      <w:r w:rsidR="00DF3125" w:rsidRPr="0094266C">
        <w:t>eek 16</w:t>
      </w:r>
      <w:r w:rsidR="0094266C">
        <w:t xml:space="preserve"> and 24 and static </w:t>
      </w:r>
      <w:r w:rsidR="0094266C" w:rsidRPr="0094266C">
        <w:t>Investiga</w:t>
      </w:r>
      <w:r w:rsidR="0094266C">
        <w:t>tor’s Global Assessment (</w:t>
      </w:r>
      <w:proofErr w:type="spellStart"/>
      <w:r w:rsidR="0094266C">
        <w:t>s</w:t>
      </w:r>
      <w:r w:rsidR="00DF3125">
        <w:t>IGA</w:t>
      </w:r>
      <w:proofErr w:type="spellEnd"/>
      <w:r w:rsidR="0094266C">
        <w:t>)</w:t>
      </w:r>
      <w:r w:rsidR="000C591D">
        <w:t>;</w:t>
      </w:r>
      <w:r w:rsidR="00DF3125">
        <w:rPr>
          <w:rStyle w:val="FootnoteReference"/>
        </w:rPr>
        <w:footnoteReference w:id="6"/>
      </w:r>
      <w:r w:rsidR="000C591D">
        <w:t xml:space="preserve"> at W</w:t>
      </w:r>
      <w:r w:rsidR="00DF3125">
        <w:t>eek 16 and 24. Only th</w:t>
      </w:r>
      <w:r w:rsidR="000C591D">
        <w:t>e ACR50 and ACR70 responses at W</w:t>
      </w:r>
      <w:r w:rsidR="00DF3125">
        <w:t xml:space="preserve">eek 12, and the </w:t>
      </w:r>
      <w:proofErr w:type="spellStart"/>
      <w:r w:rsidR="000C591D">
        <w:t>sIGA</w:t>
      </w:r>
      <w:proofErr w:type="spellEnd"/>
      <w:r w:rsidR="000C591D">
        <w:t xml:space="preserve"> responses at W</w:t>
      </w:r>
      <w:r w:rsidR="00DF3125">
        <w:t>eeks 16 and 24 appeared to indicate a dose</w:t>
      </w:r>
      <w:r w:rsidR="000C591D">
        <w:t xml:space="preserve"> </w:t>
      </w:r>
      <w:r w:rsidR="00DF3125">
        <w:t>response effect</w:t>
      </w:r>
      <w:r w:rsidR="000C591D">
        <w:t>.</w:t>
      </w:r>
    </w:p>
    <w:p w14:paraId="02A56FAC" w14:textId="77777777" w:rsidR="00DF3125" w:rsidRDefault="00DF3125" w:rsidP="00DF3125">
      <w:r>
        <w:t>S</w:t>
      </w:r>
      <w:r w:rsidRPr="00F5583F">
        <w:t xml:space="preserve">tatistically significant </w:t>
      </w:r>
      <w:r>
        <w:t xml:space="preserve">safety </w:t>
      </w:r>
      <w:r w:rsidRPr="00F5583F">
        <w:t xml:space="preserve">ER relationships were observed between </w:t>
      </w:r>
      <w:proofErr w:type="spellStart"/>
      <w:r>
        <w:t>upadacitinib</w:t>
      </w:r>
      <w:proofErr w:type="spellEnd"/>
      <w:r w:rsidRPr="00F5583F">
        <w:t xml:space="preserve"> </w:t>
      </w:r>
      <w:proofErr w:type="spellStart"/>
      <w:r w:rsidRPr="00F5583F">
        <w:t>C</w:t>
      </w:r>
      <w:r w:rsidRPr="00F5583F">
        <w:rPr>
          <w:vertAlign w:val="subscript"/>
        </w:rPr>
        <w:t>avg</w:t>
      </w:r>
      <w:proofErr w:type="spellEnd"/>
      <w:r w:rsidRPr="00F5583F">
        <w:t xml:space="preserve"> and the occurrence of serious infection, decrease </w:t>
      </w:r>
      <w:r w:rsidR="000C591D">
        <w:t>in haemoglobin by &gt; 2 g/dL from Baseline at W</w:t>
      </w:r>
      <w:r w:rsidRPr="00F5583F">
        <w:t>eek 24 as well as the decr</w:t>
      </w:r>
      <w:r>
        <w:t>ease in haemoglobin by &gt;</w:t>
      </w:r>
      <w:r w:rsidR="000C591D">
        <w:t xml:space="preserve"> </w:t>
      </w:r>
      <w:r>
        <w:t xml:space="preserve">2 g/dL </w:t>
      </w:r>
      <w:r w:rsidRPr="00F5583F">
        <w:t>in subjects with haemoglobin &lt;</w:t>
      </w:r>
      <w:r w:rsidR="000C591D">
        <w:t xml:space="preserve"> </w:t>
      </w:r>
      <w:r w:rsidRPr="00F5583F">
        <w:t>lo</w:t>
      </w:r>
      <w:r>
        <w:t xml:space="preserve">wer limit of normal at </w:t>
      </w:r>
      <w:r w:rsidR="000C591D">
        <w:t>B</w:t>
      </w:r>
      <w:r>
        <w:t>aseline</w:t>
      </w:r>
      <w:r w:rsidR="000C591D">
        <w:t xml:space="preserve"> at W</w:t>
      </w:r>
      <w:r w:rsidRPr="00F5583F">
        <w:t>eek 24</w:t>
      </w:r>
      <w:r>
        <w:t>.</w:t>
      </w:r>
      <w:r w:rsidRPr="00F5583F">
        <w:t xml:space="preserve"> </w:t>
      </w:r>
      <w:r>
        <w:t xml:space="preserve">Participant age at </w:t>
      </w:r>
      <w:r w:rsidR="000C591D">
        <w:t>B</w:t>
      </w:r>
      <w:r>
        <w:t>aseline</w:t>
      </w:r>
      <w:r w:rsidRPr="00F5583F">
        <w:t xml:space="preserve"> was identified as </w:t>
      </w:r>
      <w:r>
        <w:t xml:space="preserve">a </w:t>
      </w:r>
      <w:r w:rsidRPr="00F5583F">
        <w:t xml:space="preserve">significant covariate on the intercept, suggesting that independent of </w:t>
      </w:r>
      <w:proofErr w:type="spellStart"/>
      <w:r>
        <w:t>upadacitinib</w:t>
      </w:r>
      <w:proofErr w:type="spellEnd"/>
      <w:r w:rsidRPr="00F5583F">
        <w:t xml:space="preserve"> treatment the probability of experiencing a serious infection increases with subject age.</w:t>
      </w:r>
    </w:p>
    <w:p w14:paraId="1FB9CB8A" w14:textId="77777777" w:rsidR="00DF3125" w:rsidRDefault="00DF3125" w:rsidP="00B93D11">
      <w:pPr>
        <w:pStyle w:val="Heading5"/>
      </w:pPr>
      <w:r>
        <w:t>Ankylosing spondylitis</w:t>
      </w:r>
    </w:p>
    <w:p w14:paraId="35C22D80" w14:textId="7555B7AF" w:rsidR="00DF3125" w:rsidRPr="007D69B9" w:rsidRDefault="00DF3125" w:rsidP="00B93D11">
      <w:r>
        <w:t>Efficacy</w:t>
      </w:r>
      <w:r w:rsidRPr="00F5583F">
        <w:t xml:space="preserve"> and safety endpoints for 93 patients with </w:t>
      </w:r>
      <w:r w:rsidR="0094266C">
        <w:t>AS</w:t>
      </w:r>
      <w:r w:rsidR="000C591D" w:rsidRPr="00F5583F">
        <w:t xml:space="preserve"> </w:t>
      </w:r>
      <w:r w:rsidRPr="00F5583F">
        <w:t xml:space="preserve">who received </w:t>
      </w:r>
      <w:proofErr w:type="spellStart"/>
      <w:r>
        <w:t>upadacitinib</w:t>
      </w:r>
      <w:proofErr w:type="spellEnd"/>
      <w:r w:rsidRPr="00F5583F">
        <w:t xml:space="preserve"> 15</w:t>
      </w:r>
      <w:r w:rsidR="00195EEE">
        <w:t> </w:t>
      </w:r>
      <w:r w:rsidRPr="00F5583F">
        <w:t xml:space="preserve">mg once daily and 94 patients with AS who </w:t>
      </w:r>
      <w:r>
        <w:t>received</w:t>
      </w:r>
      <w:r w:rsidR="000C591D">
        <w:t xml:space="preserve"> placebo</w:t>
      </w:r>
      <w:r w:rsidRPr="00F5583F">
        <w:t xml:space="preserve"> were assessed using </w:t>
      </w:r>
      <w:r>
        <w:t>ER</w:t>
      </w:r>
      <w:r w:rsidRPr="00F5583F">
        <w:t xml:space="preserve"> plots </w:t>
      </w:r>
      <w:r>
        <w:t xml:space="preserve">against </w:t>
      </w:r>
      <w:proofErr w:type="spellStart"/>
      <w:r w:rsidRPr="00F5583F">
        <w:t>C</w:t>
      </w:r>
      <w:r w:rsidRPr="00F5583F">
        <w:rPr>
          <w:vertAlign w:val="subscript"/>
        </w:rPr>
        <w:t>avg</w:t>
      </w:r>
      <w:proofErr w:type="spellEnd"/>
      <w:r>
        <w:rPr>
          <w:vertAlign w:val="subscript"/>
        </w:rPr>
        <w:t xml:space="preserve"> </w:t>
      </w:r>
      <w:r>
        <w:t xml:space="preserve">quartiles calculated from the </w:t>
      </w:r>
      <w:proofErr w:type="spellStart"/>
      <w:r>
        <w:t>popPK</w:t>
      </w:r>
      <w:proofErr w:type="spellEnd"/>
      <w:r>
        <w:t xml:space="preserve"> study. There was no identified significant relationship between ASAS20/40 responses and </w:t>
      </w:r>
      <w:proofErr w:type="spellStart"/>
      <w:r>
        <w:t>upadacitinib</w:t>
      </w:r>
      <w:proofErr w:type="spellEnd"/>
      <w:r>
        <w:t xml:space="preserve"> </w:t>
      </w:r>
      <w:proofErr w:type="spellStart"/>
      <w:r w:rsidRPr="00F5583F">
        <w:t>C</w:t>
      </w:r>
      <w:r w:rsidRPr="00F5583F">
        <w:rPr>
          <w:vertAlign w:val="subscript"/>
        </w:rPr>
        <w:t>avg</w:t>
      </w:r>
      <w:proofErr w:type="spellEnd"/>
      <w:r>
        <w:t>.</w:t>
      </w:r>
      <w:bookmarkStart w:id="42" w:name="_Ref77307194"/>
      <w:r w:rsidR="00BB3D5A">
        <w:rPr>
          <w:rStyle w:val="FootnoteReference"/>
        </w:rPr>
        <w:footnoteReference w:id="7"/>
      </w:r>
      <w:bookmarkEnd w:id="42"/>
      <w:r>
        <w:t xml:space="preserve"> The sponsor conclude</w:t>
      </w:r>
      <w:r w:rsidR="00195EEE">
        <w:t>d that daily oral dosing with 15 </w:t>
      </w:r>
      <w:r>
        <w:t xml:space="preserve">mg </w:t>
      </w:r>
      <w:proofErr w:type="spellStart"/>
      <w:r>
        <w:t>upadacitinib</w:t>
      </w:r>
      <w:proofErr w:type="spellEnd"/>
      <w:r>
        <w:t xml:space="preserve"> was likely to achieve maximal efficacy in AS.</w:t>
      </w:r>
    </w:p>
    <w:p w14:paraId="7558531A" w14:textId="77777777" w:rsidR="00DF3125" w:rsidRPr="00F5583F" w:rsidRDefault="00DF3125" w:rsidP="00B93D11">
      <w:r>
        <w:t>T</w:t>
      </w:r>
      <w:r w:rsidRPr="00F5583F">
        <w:t xml:space="preserve">here were no </w:t>
      </w:r>
      <w:r>
        <w:t xml:space="preserve">reported </w:t>
      </w:r>
      <w:r w:rsidRPr="00F5583F">
        <w:t xml:space="preserve">cases of serious infection, herpes zoster or Grade 3 or higher neutropenia by </w:t>
      </w:r>
      <w:r w:rsidR="000C591D">
        <w:t>W</w:t>
      </w:r>
      <w:r w:rsidRPr="00F5583F">
        <w:t xml:space="preserve">eek 14. Only </w:t>
      </w:r>
      <w:r>
        <w:t>one</w:t>
      </w:r>
      <w:r w:rsidRPr="00F5583F">
        <w:t xml:space="preserve"> safety outcome (&gt;</w:t>
      </w:r>
      <w:r w:rsidR="000C591D">
        <w:t xml:space="preserve"> </w:t>
      </w:r>
      <w:r w:rsidRPr="00F5583F">
        <w:t>1 g/d</w:t>
      </w:r>
      <w:r w:rsidR="000C591D">
        <w:t>L decrease in haemoglobin from B</w:t>
      </w:r>
      <w:r w:rsidRPr="00F5583F">
        <w:t xml:space="preserve">aseline) showed a trend between </w:t>
      </w:r>
      <w:proofErr w:type="spellStart"/>
      <w:r>
        <w:t>upadacitinib</w:t>
      </w:r>
      <w:proofErr w:type="spellEnd"/>
      <w:r w:rsidRPr="00F5583F">
        <w:t xml:space="preserve"> </w:t>
      </w:r>
      <w:proofErr w:type="spellStart"/>
      <w:r w:rsidRPr="00F5583F">
        <w:t>C</w:t>
      </w:r>
      <w:r w:rsidRPr="00F5583F">
        <w:rPr>
          <w:vertAlign w:val="subscript"/>
        </w:rPr>
        <w:t>avg</w:t>
      </w:r>
      <w:proofErr w:type="spellEnd"/>
      <w:r w:rsidRPr="00F5583F">
        <w:t xml:space="preserve"> and the percentage of </w:t>
      </w:r>
      <w:r w:rsidR="000C591D">
        <w:t xml:space="preserve">subjects experiencing an AE at Week 14 (incidence of 19 to </w:t>
      </w:r>
      <w:r w:rsidRPr="00F5583F">
        <w:t xml:space="preserve">21% in the </w:t>
      </w:r>
      <w:r>
        <w:t>two</w:t>
      </w:r>
      <w:r w:rsidRPr="00F5583F">
        <w:t xml:space="preserve"> highest </w:t>
      </w:r>
      <w:proofErr w:type="spellStart"/>
      <w:r w:rsidRPr="00F5583F">
        <w:t>C</w:t>
      </w:r>
      <w:r w:rsidRPr="00F5583F">
        <w:rPr>
          <w:vertAlign w:val="subscript"/>
        </w:rPr>
        <w:t>avg</w:t>
      </w:r>
      <w:proofErr w:type="spellEnd"/>
      <w:r w:rsidRPr="00F5583F">
        <w:rPr>
          <w:vertAlign w:val="subscript"/>
        </w:rPr>
        <w:t xml:space="preserve"> </w:t>
      </w:r>
      <w:r w:rsidR="000C591D">
        <w:t xml:space="preserve">quartiles versus 7 to </w:t>
      </w:r>
      <w:r w:rsidRPr="00F5583F">
        <w:t xml:space="preserve">8% in the </w:t>
      </w:r>
      <w:r>
        <w:t>two</w:t>
      </w:r>
      <w:r w:rsidRPr="00F5583F">
        <w:t xml:space="preserve"> lowest quartiles).</w:t>
      </w:r>
    </w:p>
    <w:p w14:paraId="5878F0D9" w14:textId="77777777" w:rsidR="00DF3125" w:rsidRPr="00DF3125" w:rsidRDefault="00DF3125" w:rsidP="00DF3125">
      <w:pPr>
        <w:pStyle w:val="Heading4"/>
      </w:pPr>
      <w:r w:rsidRPr="00DF3125">
        <w:t>Efficacy</w:t>
      </w:r>
    </w:p>
    <w:p w14:paraId="32BC9DF5" w14:textId="77777777" w:rsidR="00DF3125" w:rsidRDefault="00DF3125" w:rsidP="00B93D11">
      <w:pPr>
        <w:pStyle w:val="Heading5"/>
      </w:pPr>
      <w:r>
        <w:t>Psoriatic arthritis</w:t>
      </w:r>
    </w:p>
    <w:p w14:paraId="090493C7" w14:textId="0D8027BE" w:rsidR="00835886" w:rsidRDefault="00DF3125" w:rsidP="00835886">
      <w:r w:rsidRPr="00B93D11">
        <w:t>Study M15-572</w:t>
      </w:r>
      <w:r>
        <w:t xml:space="preserve"> was a randomised, double</w:t>
      </w:r>
      <w:r w:rsidR="00B93D11">
        <w:t xml:space="preserve"> </w:t>
      </w:r>
      <w:r>
        <w:t xml:space="preserve">blinded, </w:t>
      </w:r>
      <w:r w:rsidR="00B93D11">
        <w:t>placebo</w:t>
      </w:r>
      <w:r>
        <w:t xml:space="preserve"> and a</w:t>
      </w:r>
      <w:r w:rsidR="00B93D11">
        <w:t xml:space="preserve">ctive treatment </w:t>
      </w:r>
      <w:r>
        <w:t xml:space="preserve">controlled trial that enrolled 1705 adults with moderate to severe </w:t>
      </w:r>
      <w:proofErr w:type="spellStart"/>
      <w:r>
        <w:t>PsA</w:t>
      </w:r>
      <w:proofErr w:type="spellEnd"/>
      <w:r>
        <w:t>, according to CASPAR criteria,</w:t>
      </w:r>
      <w:r w:rsidR="0094266C" w:rsidRPr="0094266C">
        <w:rPr>
          <w:vertAlign w:val="superscript"/>
        </w:rPr>
        <w:fldChar w:fldCharType="begin"/>
      </w:r>
      <w:r w:rsidR="0094266C" w:rsidRPr="0094266C">
        <w:rPr>
          <w:vertAlign w:val="superscript"/>
        </w:rPr>
        <w:instrText xml:space="preserve"> NOTEREF _Ref75525560 \h </w:instrText>
      </w:r>
      <w:r w:rsidR="0094266C" w:rsidRPr="0094266C">
        <w:rPr>
          <w:vertAlign w:val="superscript"/>
        </w:rPr>
      </w:r>
      <w:r w:rsidR="0094266C" w:rsidRPr="0094266C">
        <w:rPr>
          <w:vertAlign w:val="superscript"/>
        </w:rPr>
        <w:fldChar w:fldCharType="separate"/>
      </w:r>
      <w:r w:rsidR="00A677D2">
        <w:rPr>
          <w:vertAlign w:val="superscript"/>
        </w:rPr>
        <w:t>2</w:t>
      </w:r>
      <w:r w:rsidR="0094266C" w:rsidRPr="0094266C">
        <w:rPr>
          <w:vertAlign w:val="superscript"/>
        </w:rPr>
        <w:fldChar w:fldCharType="end"/>
      </w:r>
      <w:r>
        <w:t xml:space="preserve"> with symptoms for at least six months. The study enrolled participants who had not responded to a minimum of twelve weeks therapy with at least one </w:t>
      </w:r>
      <w:r w:rsidR="00B93D11">
        <w:t>non-</w:t>
      </w:r>
      <w:proofErr w:type="spellStart"/>
      <w:r w:rsidR="00B93D11">
        <w:lastRenderedPageBreak/>
        <w:t>b</w:t>
      </w:r>
      <w:r>
        <w:t>DMARD</w:t>
      </w:r>
      <w:proofErr w:type="spellEnd"/>
      <w:r>
        <w:t xml:space="preserve">, or who had an intolerance or contraindication to a non-biological DMARD. Additional inclusion criteria included the presence of at least one joint erosion on plain </w:t>
      </w:r>
      <w:r w:rsidR="0094266C">
        <w:t>X-ray or a high sensitivity</w:t>
      </w:r>
      <w:r>
        <w:t xml:space="preserve"> C-reactive protein (CRP) </w:t>
      </w:r>
      <w:r w:rsidR="00B93D11">
        <w:t>measure at B</w:t>
      </w:r>
      <w:r>
        <w:t xml:space="preserve">aseline greater than the upper limit of normal (ULN). Exclusion criteria were typical for studies of this type, including other inflammatory rheumatic diagnoses, prior exposure to </w:t>
      </w:r>
      <w:r w:rsidR="00E9358F">
        <w:t>JAK inhibitor</w:t>
      </w:r>
      <w:r>
        <w:t>, concurrent use of strong CYP3A</w:t>
      </w:r>
      <w:r w:rsidR="0094266C">
        <w:t>;</w:t>
      </w:r>
      <w:r w:rsidR="0094266C" w:rsidRPr="0094266C">
        <w:rPr>
          <w:vertAlign w:val="superscript"/>
        </w:rPr>
        <w:fldChar w:fldCharType="begin"/>
      </w:r>
      <w:r w:rsidR="0094266C" w:rsidRPr="0094266C">
        <w:rPr>
          <w:vertAlign w:val="superscript"/>
        </w:rPr>
        <w:instrText xml:space="preserve"> NOTEREF _Ref75525644 \h </w:instrText>
      </w:r>
      <w:r w:rsidR="0094266C">
        <w:rPr>
          <w:vertAlign w:val="superscript"/>
        </w:rPr>
        <w:instrText xml:space="preserve"> \* MERGEFORMAT </w:instrText>
      </w:r>
      <w:r w:rsidR="0094266C" w:rsidRPr="0094266C">
        <w:rPr>
          <w:vertAlign w:val="superscript"/>
        </w:rPr>
      </w:r>
      <w:r w:rsidR="0094266C" w:rsidRPr="0094266C">
        <w:rPr>
          <w:vertAlign w:val="superscript"/>
        </w:rPr>
        <w:fldChar w:fldCharType="separate"/>
      </w:r>
      <w:r w:rsidR="00A677D2">
        <w:rPr>
          <w:vertAlign w:val="superscript"/>
        </w:rPr>
        <w:t>3</w:t>
      </w:r>
      <w:r w:rsidR="0094266C" w:rsidRPr="0094266C">
        <w:rPr>
          <w:vertAlign w:val="superscript"/>
        </w:rPr>
        <w:fldChar w:fldCharType="end"/>
      </w:r>
      <w:r>
        <w:t xml:space="preserve"> modulators, recent severe infection or chronic recurrent infections including herpes virus, </w:t>
      </w:r>
      <w:r w:rsidR="0094266C">
        <w:t>tuberculosis (</w:t>
      </w:r>
      <w:r>
        <w:t>TB</w:t>
      </w:r>
      <w:r w:rsidR="0094266C">
        <w:t>)</w:t>
      </w:r>
      <w:r>
        <w:t>, HIV and hepatitis B or C, and other significant or severe medical conditions.</w:t>
      </w:r>
    </w:p>
    <w:p w14:paraId="0FA5EF9F" w14:textId="1ED3AF89" w:rsidR="00B93D11" w:rsidRDefault="00B93D11" w:rsidP="00B93D11">
      <w:pPr>
        <w:pStyle w:val="FigureTitle"/>
      </w:pPr>
      <w:bookmarkStart w:id="43" w:name="_Ref75171703"/>
      <w:r w:rsidRPr="00B93D11">
        <w:t xml:space="preserve">Figure </w:t>
      </w:r>
      <w:r w:rsidR="00746A1E">
        <w:fldChar w:fldCharType="begin"/>
      </w:r>
      <w:r w:rsidR="00746A1E">
        <w:instrText xml:space="preserve"> SEQ Figure \* ARABIC </w:instrText>
      </w:r>
      <w:r w:rsidR="00746A1E">
        <w:fldChar w:fldCharType="separate"/>
      </w:r>
      <w:r w:rsidR="00A677D2">
        <w:rPr>
          <w:noProof/>
        </w:rPr>
        <w:t>1</w:t>
      </w:r>
      <w:r w:rsidR="00746A1E">
        <w:rPr>
          <w:noProof/>
        </w:rPr>
        <w:fldChar w:fldCharType="end"/>
      </w:r>
      <w:bookmarkEnd w:id="43"/>
      <w:r w:rsidR="0033171C">
        <w:t>: Study M15-572 D</w:t>
      </w:r>
      <w:r>
        <w:t>esign schema</w:t>
      </w:r>
    </w:p>
    <w:p w14:paraId="6BE64E52" w14:textId="77777777" w:rsidR="00B93D11" w:rsidRDefault="00B93D11" w:rsidP="00B93D11">
      <w:r>
        <w:rPr>
          <w:noProof/>
          <w:lang w:eastAsia="en-AU"/>
        </w:rPr>
        <w:drawing>
          <wp:inline distT="0" distB="0" distL="0" distR="0" wp14:anchorId="310403BC" wp14:editId="556D83A5">
            <wp:extent cx="5399405" cy="2917950"/>
            <wp:effectExtent l="0" t="0" r="0" b="0"/>
            <wp:docPr id="10" name="Picture 10" descr="A total of 1705 participants were randomised to five arms in ratio of 2:2:2:1:1. The five arms of treatment includes upadacitinib (15 mg once daily), upadacitinib (30 mg once daily), adalimumab (40 mg every other week), placebo to 15 mg upadacitinib once daily and placebo to 30 mg upadacitinib once daily. At 24 weeks, participants were switched from placebo were to continued treatment with 15 mg or 30 mg upadacitinib per original randomisation. Period II of the study was an open label long term extension phase from Week 56 up to a total three years exposure and later extended to five years of exposure." title="Study M15-572 Design schema."/>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extLst>
                        <a:ext uri="{28A0092B-C50C-407E-A947-70E740481C1C}">
                          <a14:useLocalDpi xmlns:a14="http://schemas.microsoft.com/office/drawing/2010/main" val="0"/>
                        </a:ext>
                      </a:extLst>
                    </a:blip>
                    <a:srcRect t="833" b="38024"/>
                    <a:stretch/>
                  </pic:blipFill>
                  <pic:spPr bwMode="auto">
                    <a:xfrm>
                      <a:off x="0" y="0"/>
                      <a:ext cx="5400040" cy="2918293"/>
                    </a:xfrm>
                    <a:prstGeom prst="rect">
                      <a:avLst/>
                    </a:prstGeom>
                    <a:noFill/>
                    <a:ln>
                      <a:noFill/>
                    </a:ln>
                    <a:extLst>
                      <a:ext uri="{53640926-AAD7-44D8-BBD7-CCE9431645EC}">
                        <a14:shadowObscured xmlns:a14="http://schemas.microsoft.com/office/drawing/2010/main"/>
                      </a:ext>
                    </a:extLst>
                  </pic:spPr>
                </pic:pic>
              </a:graphicData>
            </a:graphic>
          </wp:inline>
        </w:drawing>
      </w:r>
    </w:p>
    <w:p w14:paraId="7D579C64" w14:textId="77777777" w:rsidR="00B93D11" w:rsidRDefault="00B93D11" w:rsidP="00B93D11">
      <w:pPr>
        <w:pStyle w:val="TableDescription"/>
      </w:pPr>
      <w:r>
        <w:t xml:space="preserve">ACR = American College of Rheumatology; BL = baseline; </w:t>
      </w:r>
      <w:proofErr w:type="spellStart"/>
      <w:r>
        <w:t>eow</w:t>
      </w:r>
      <w:proofErr w:type="spellEnd"/>
      <w:r>
        <w:t xml:space="preserve"> = every other week; PBO = placebo; QD = once daily; vs = versus; </w:t>
      </w:r>
      <w:proofErr w:type="spellStart"/>
      <w:r>
        <w:t>Wk</w:t>
      </w:r>
      <w:proofErr w:type="spellEnd"/>
      <w:r>
        <w:t xml:space="preserve"> = week.</w:t>
      </w:r>
    </w:p>
    <w:p w14:paraId="2517AB3B" w14:textId="77777777" w:rsidR="00B93D11" w:rsidRDefault="00B93D11" w:rsidP="00B93D11">
      <w:pPr>
        <w:pStyle w:val="TableDescription"/>
      </w:pPr>
      <w:proofErr w:type="spellStart"/>
      <w:r>
        <w:t>a</w:t>
      </w:r>
      <w:proofErr w:type="spellEnd"/>
      <w:r>
        <w:t xml:space="preserve"> All subjects will receive x-rays of hands and feet at screening, Week 24, Week 56, Week 104, and Week 152/premature discontinuation.</w:t>
      </w:r>
    </w:p>
    <w:p w14:paraId="1810B680" w14:textId="77777777" w:rsidR="00B93D11" w:rsidRDefault="00B93D11" w:rsidP="00B93D11">
      <w:pPr>
        <w:pStyle w:val="TableDescription"/>
      </w:pPr>
      <w:r>
        <w:t xml:space="preserve">b At Week 16, rescue therapy was offered to subjects classified as non-responders (defined as not achieving at least 20% improvement in either </w:t>
      </w:r>
      <w:r w:rsidR="00DC2153">
        <w:t xml:space="preserve">tender joint count </w:t>
      </w:r>
      <w:r>
        <w:t xml:space="preserve">and </w:t>
      </w:r>
      <w:r w:rsidR="00DC2153">
        <w:t>swollen joint count</w:t>
      </w:r>
      <w:r>
        <w:t xml:space="preserve"> at both Week 12 and Week 16). Starting at Week 16 (after Week 16 assessments were performed) and therefore, subjects may use any therapy for psoriasis per investigator judgment, with the exception of non-biological DMARDs, which were not initiated or modified at Week 16 unless non-response criteria were met.</w:t>
      </w:r>
    </w:p>
    <w:p w14:paraId="54360B97" w14:textId="77777777" w:rsidR="00B93D11" w:rsidRDefault="00B93D11" w:rsidP="00B93D11">
      <w:pPr>
        <w:pStyle w:val="TableDescription"/>
      </w:pPr>
      <w:r>
        <w:t xml:space="preserve">c At Week 24, all placebo subjects were switched to </w:t>
      </w:r>
      <w:proofErr w:type="spellStart"/>
      <w:r>
        <w:t>upadactinib</w:t>
      </w:r>
      <w:proofErr w:type="spellEnd"/>
      <w:r>
        <w:t xml:space="preserve"> 15 mg</w:t>
      </w:r>
      <w:r w:rsidR="006C4F9F">
        <w:t xml:space="preserve"> </w:t>
      </w:r>
      <w:r>
        <w:t>QD or 30 mg QD (1:1 ratio) regardless of response.</w:t>
      </w:r>
    </w:p>
    <w:p w14:paraId="38677773" w14:textId="77777777" w:rsidR="00B93D11" w:rsidRDefault="00B93D11" w:rsidP="00B93D11">
      <w:pPr>
        <w:pStyle w:val="TableDescription"/>
      </w:pPr>
      <w:r>
        <w:t>Note: N represents actual number of subjects randomised to each treatment sequence.</w:t>
      </w:r>
    </w:p>
    <w:p w14:paraId="745E3736" w14:textId="77777777" w:rsidR="00984877" w:rsidRDefault="00984877" w:rsidP="00984877">
      <w:r>
        <w:t>The study</w:t>
      </w:r>
      <w:r w:rsidRPr="005D458D">
        <w:t xml:space="preserve"> was conducted at 281</w:t>
      </w:r>
      <w:r>
        <w:t xml:space="preserve"> study centres in 44 countries including Australia</w:t>
      </w:r>
      <w:r w:rsidRPr="005D458D">
        <w:t>. The first patient was enrolled in April 2017 an</w:t>
      </w:r>
      <w:r>
        <w:t>d the last participant completed W</w:t>
      </w:r>
      <w:r w:rsidRPr="005D458D">
        <w:t>eek 24 evaluations in December 2019. The submission contained an</w:t>
      </w:r>
      <w:r>
        <w:t xml:space="preserve"> interim report with a data </w:t>
      </w:r>
      <w:proofErr w:type="spellStart"/>
      <w:r>
        <w:t>cut</w:t>
      </w:r>
      <w:r w:rsidRPr="005D458D">
        <w:t>off</w:t>
      </w:r>
      <w:proofErr w:type="spellEnd"/>
      <w:r w:rsidRPr="005D458D">
        <w:t xml:space="preserve"> date of 13 December 2019. </w:t>
      </w:r>
      <w:r>
        <w:t>Six</w:t>
      </w:r>
      <w:r w:rsidRPr="005D458D">
        <w:t xml:space="preserve"> global amendments to the original trial protocol</w:t>
      </w:r>
      <w:r>
        <w:t xml:space="preserve"> were not considered to</w:t>
      </w:r>
      <w:r w:rsidRPr="005D458D">
        <w:t xml:space="preserve"> impact significantly upon the trial’s findings.</w:t>
      </w:r>
    </w:p>
    <w:p w14:paraId="5D791AE9" w14:textId="230E5D1A" w:rsidR="00984877" w:rsidRDefault="00984877" w:rsidP="00984877">
      <w:r>
        <w:t xml:space="preserve">Participants were randomised to </w:t>
      </w:r>
      <w:r w:rsidR="007D083F">
        <w:t>five</w:t>
      </w:r>
      <w:r>
        <w:t xml:space="preserve"> treatment arms, including placebo</w:t>
      </w:r>
      <w:r w:rsidR="00840718">
        <w:t xml:space="preserve"> to </w:t>
      </w:r>
      <w:proofErr w:type="spellStart"/>
      <w:r w:rsidR="00840718">
        <w:t>upadacitinib</w:t>
      </w:r>
      <w:proofErr w:type="spellEnd"/>
      <w:r w:rsidR="00840718">
        <w:t xml:space="preserve"> 15 mg, placebo to </w:t>
      </w:r>
      <w:proofErr w:type="spellStart"/>
      <w:r w:rsidR="00840718">
        <w:t>upadacitinib</w:t>
      </w:r>
      <w:proofErr w:type="spellEnd"/>
      <w:r w:rsidR="00840718">
        <w:t xml:space="preserve"> 30 mg</w:t>
      </w:r>
      <w:r>
        <w:t xml:space="preserve">, an adalimumab (ADA) active comparator arm, an </w:t>
      </w:r>
      <w:proofErr w:type="spellStart"/>
      <w:r w:rsidR="006C4F9F">
        <w:t>upadacitinib</w:t>
      </w:r>
      <w:proofErr w:type="spellEnd"/>
      <w:r>
        <w:t xml:space="preserve"> 15 mg daily arm, and an </w:t>
      </w:r>
      <w:proofErr w:type="spellStart"/>
      <w:r w:rsidR="006C4F9F">
        <w:t>upadacitinib</w:t>
      </w:r>
      <w:proofErr w:type="spellEnd"/>
      <w:r w:rsidR="00195EEE">
        <w:t xml:space="preserve"> 30 </w:t>
      </w:r>
      <w:r>
        <w:t xml:space="preserve">mg daily arm. At 24 weeks, participants </w:t>
      </w:r>
      <w:r w:rsidR="00840718">
        <w:t>were switched from</w:t>
      </w:r>
      <w:r>
        <w:t xml:space="preserve"> placebo to continued treatment with 15 mg or 30 mg </w:t>
      </w:r>
      <w:proofErr w:type="spellStart"/>
      <w:r w:rsidR="006C4F9F">
        <w:t>upadacitinib</w:t>
      </w:r>
      <w:proofErr w:type="spellEnd"/>
      <w:r w:rsidR="00840718">
        <w:t xml:space="preserve"> per original randomi</w:t>
      </w:r>
      <w:r w:rsidR="00C66E66">
        <w:t>s</w:t>
      </w:r>
      <w:r w:rsidR="00840718">
        <w:t>ation</w:t>
      </w:r>
      <w:r>
        <w:t xml:space="preserve">. </w:t>
      </w:r>
      <w:r w:rsidR="00C72FA1">
        <w:t>Period</w:t>
      </w:r>
      <w:r>
        <w:t xml:space="preserve"> II of the study was an open label long term extension phase from Week 56 up to a total three years exposure (See </w:t>
      </w:r>
      <w:r>
        <w:fldChar w:fldCharType="begin"/>
      </w:r>
      <w:r>
        <w:instrText xml:space="preserve"> REF _Ref75171703 \h </w:instrText>
      </w:r>
      <w:r>
        <w:fldChar w:fldCharType="separate"/>
      </w:r>
      <w:r w:rsidR="00A677D2" w:rsidRPr="00B93D11">
        <w:t xml:space="preserve">Figure </w:t>
      </w:r>
      <w:r w:rsidR="00A677D2">
        <w:rPr>
          <w:noProof/>
        </w:rPr>
        <w:t>1</w:t>
      </w:r>
      <w:r>
        <w:fldChar w:fldCharType="end"/>
      </w:r>
      <w:r>
        <w:t>)</w:t>
      </w:r>
      <w:r w:rsidR="001D7072">
        <w:t>.</w:t>
      </w:r>
      <w:r w:rsidR="00C66E66">
        <w:t>and later extended to five years of exposure.</w:t>
      </w:r>
      <w:r>
        <w:t>.</w:t>
      </w:r>
    </w:p>
    <w:p w14:paraId="0A0A4612" w14:textId="46C47059" w:rsidR="00984877" w:rsidRDefault="00984877" w:rsidP="00984877">
      <w:r>
        <w:lastRenderedPageBreak/>
        <w:t xml:space="preserve">Participants were permitted to take up to two concomitant non-biological DMARDs at fixed doses during the trial. </w:t>
      </w:r>
      <w:r w:rsidR="00D56A94">
        <w:t>Non-</w:t>
      </w:r>
      <w:r>
        <w:t>responders could be rescued at Week 16 or later if they failed to achieve at least 20% improvement in either tender or swollen joint count at two consecutive evaluations.</w:t>
      </w:r>
    </w:p>
    <w:p w14:paraId="472EE9D2" w14:textId="3C9F4858" w:rsidR="00984877" w:rsidRDefault="00984877" w:rsidP="00984877">
      <w:pPr>
        <w:pStyle w:val="TableTitle"/>
      </w:pPr>
      <w:bookmarkStart w:id="44" w:name="_Ref75261826"/>
      <w:r w:rsidRPr="00984877">
        <w:t xml:space="preserve">Table </w:t>
      </w:r>
      <w:r w:rsidR="00746A1E">
        <w:fldChar w:fldCharType="begin"/>
      </w:r>
      <w:r w:rsidR="00746A1E">
        <w:instrText xml:space="preserve"> SEQ Table \* ARABIC </w:instrText>
      </w:r>
      <w:r w:rsidR="00746A1E">
        <w:fldChar w:fldCharType="separate"/>
      </w:r>
      <w:r w:rsidR="00A677D2">
        <w:rPr>
          <w:noProof/>
        </w:rPr>
        <w:t>2</w:t>
      </w:r>
      <w:r w:rsidR="00746A1E">
        <w:rPr>
          <w:noProof/>
        </w:rPr>
        <w:fldChar w:fldCharType="end"/>
      </w:r>
      <w:bookmarkEnd w:id="44"/>
      <w:r>
        <w:t>: Study M 15-572 and Study M15-554 Primary and key secondary efficacy endpoints</w:t>
      </w:r>
    </w:p>
    <w:p w14:paraId="6DCCE97D" w14:textId="77777777" w:rsidR="00984877" w:rsidRDefault="00984877" w:rsidP="00984877">
      <w:r>
        <w:rPr>
          <w:noProof/>
          <w:lang w:eastAsia="en-AU"/>
        </w:rPr>
        <w:drawing>
          <wp:inline distT="0" distB="0" distL="0" distR="0" wp14:anchorId="3DDEC909" wp14:editId="26D33797">
            <wp:extent cx="5399429" cy="4253947"/>
            <wp:effectExtent l="0" t="0" r="0" b="0"/>
            <wp:docPr id="9" name="Picture 9" descr="Study M 15-572 and Study M15-554 Primary and key secondary efficacy endpoints"/>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a:extLst>
                        <a:ext uri="{28A0092B-C50C-407E-A947-70E740481C1C}">
                          <a14:useLocalDpi xmlns:a14="http://schemas.microsoft.com/office/drawing/2010/main" val="0"/>
                        </a:ext>
                      </a:extLst>
                    </a:blip>
                    <a:srcRect b="20287"/>
                    <a:stretch/>
                  </pic:blipFill>
                  <pic:spPr bwMode="auto">
                    <a:xfrm>
                      <a:off x="0" y="0"/>
                      <a:ext cx="5400040" cy="4254428"/>
                    </a:xfrm>
                    <a:prstGeom prst="rect">
                      <a:avLst/>
                    </a:prstGeom>
                    <a:noFill/>
                    <a:ln>
                      <a:noFill/>
                    </a:ln>
                    <a:extLst>
                      <a:ext uri="{53640926-AAD7-44D8-BBD7-CCE9431645EC}">
                        <a14:shadowObscured xmlns:a14="http://schemas.microsoft.com/office/drawing/2010/main"/>
                      </a:ext>
                    </a:extLst>
                  </pic:spPr>
                </pic:pic>
              </a:graphicData>
            </a:graphic>
          </wp:inline>
        </w:drawing>
      </w:r>
    </w:p>
    <w:p w14:paraId="69265632" w14:textId="77777777" w:rsidR="00984877" w:rsidRDefault="00984877" w:rsidP="00984877">
      <w:pPr>
        <w:pStyle w:val="FigureDescription"/>
      </w:pPr>
      <w:r>
        <w:t>ACR20 = American College of Rheumato</w:t>
      </w:r>
      <w:r w:rsidR="002D65E7">
        <w:t>logy 20%; FACIT-F = Functional Assessment of Chronic Illness Therapy- Fatigue; HAQ-DI = Health Assessment Questionnaire – D</w:t>
      </w:r>
      <w:r>
        <w:t>isabilit</w:t>
      </w:r>
      <w:r w:rsidR="002D65E7">
        <w:t xml:space="preserve">y Index; LDI = </w:t>
      </w:r>
      <w:proofErr w:type="spellStart"/>
      <w:r w:rsidR="002D65E7">
        <w:t>Leed</w:t>
      </w:r>
      <w:proofErr w:type="spellEnd"/>
      <w:r w:rsidR="002D65E7">
        <w:t xml:space="preserve"> Dactylitis I</w:t>
      </w:r>
      <w:r>
        <w:t xml:space="preserve">ndex; LEI = Leeds </w:t>
      </w:r>
      <w:proofErr w:type="spellStart"/>
      <w:r>
        <w:t>Enthesitis</w:t>
      </w:r>
      <w:proofErr w:type="spellEnd"/>
      <w:r>
        <w:t xml:space="preserve"> Index; MDA = m</w:t>
      </w:r>
      <w:r w:rsidR="002D65E7">
        <w:t xml:space="preserve">inimal disease activity; NRS = numeric rating scale; PASI = psoriasis area severity; </w:t>
      </w:r>
      <w:proofErr w:type="spellStart"/>
      <w:r w:rsidR="002D65E7">
        <w:t>pCS</w:t>
      </w:r>
      <w:proofErr w:type="spellEnd"/>
      <w:r w:rsidR="002D65E7">
        <w:t xml:space="preserve"> = p</w:t>
      </w:r>
      <w:r>
        <w:t>hys</w:t>
      </w:r>
      <w:r w:rsidR="002D65E7">
        <w:t>ical component summary; SAPS = s</w:t>
      </w:r>
      <w:r>
        <w:t xml:space="preserve">elf-assessment of psoriasis symptoms; SF-36 = 36-Item Short Form Health Survey; SHS = Sharp/van der </w:t>
      </w:r>
      <w:proofErr w:type="spellStart"/>
      <w:r>
        <w:t>Heijde</w:t>
      </w:r>
      <w:proofErr w:type="spellEnd"/>
      <w:r>
        <w:t xml:space="preserve"> Score (equivalent to van der </w:t>
      </w:r>
      <w:proofErr w:type="spellStart"/>
      <w:r>
        <w:t>Heijde</w:t>
      </w:r>
      <w:proofErr w:type="spellEnd"/>
      <w:r>
        <w:t xml:space="preserve"> modified total sharp </w:t>
      </w:r>
      <w:proofErr w:type="spellStart"/>
      <w:r>
        <w:t>so</w:t>
      </w:r>
      <w:r w:rsidR="002D65E7">
        <w:t>cre</w:t>
      </w:r>
      <w:proofErr w:type="spellEnd"/>
      <w:r w:rsidR="002D65E7">
        <w:t xml:space="preserve"> (</w:t>
      </w:r>
      <w:proofErr w:type="spellStart"/>
      <w:r w:rsidR="002D65E7">
        <w:t>mTSS</w:t>
      </w:r>
      <w:proofErr w:type="spellEnd"/>
      <w:r w:rsidR="002D65E7">
        <w:t xml:space="preserve">)); </w:t>
      </w:r>
      <w:proofErr w:type="spellStart"/>
      <w:r w:rsidR="002D65E7">
        <w:t>sIGA</w:t>
      </w:r>
      <w:proofErr w:type="spellEnd"/>
      <w:r w:rsidR="002D65E7">
        <w:t xml:space="preserve"> 0/1 = Static Investigator Global Assessment of P</w:t>
      </w:r>
      <w:r>
        <w:t>soriasis of 0 or 1 and at least a 2-point improvement from Baseline; vs = versus</w:t>
      </w:r>
    </w:p>
    <w:p w14:paraId="7EC5AAAE" w14:textId="7B5445DE" w:rsidR="00984877" w:rsidRDefault="00984877" w:rsidP="00984877">
      <w:r>
        <w:t>The primary efficacy endpoint was the ACR20;</w:t>
      </w:r>
      <w:r>
        <w:rPr>
          <w:rStyle w:val="FootnoteReference"/>
        </w:rPr>
        <w:footnoteReference w:id="8"/>
      </w:r>
      <w:r w:rsidR="008D4C1A">
        <w:t xml:space="preserve"> response at W</w:t>
      </w:r>
      <w:r>
        <w:t xml:space="preserve">eek 12. Secondary endpoints included measures of the symptoms and signs of </w:t>
      </w:r>
      <w:proofErr w:type="spellStart"/>
      <w:r>
        <w:t>PsA</w:t>
      </w:r>
      <w:proofErr w:type="spellEnd"/>
      <w:r>
        <w:t xml:space="preserve"> and psoriasis</w:t>
      </w:r>
      <w:r w:rsidR="00640EEE">
        <w:t xml:space="preserve"> (</w:t>
      </w:r>
      <w:r w:rsidR="001C74F8">
        <w:t>skin endpoints at 16 weeks)</w:t>
      </w:r>
      <w:r>
        <w:t>, physical functioning, and radiographic progression (th</w:t>
      </w:r>
      <w:r w:rsidR="008D4C1A">
        <w:t xml:space="preserve">e latter assessed at 24 weeks). </w:t>
      </w:r>
      <w:r>
        <w:t>The evaluator considered the outcome measures and statistical analysis plan appropriate.</w:t>
      </w:r>
    </w:p>
    <w:p w14:paraId="0031D258" w14:textId="77777777" w:rsidR="00984877" w:rsidRDefault="00984877" w:rsidP="00984877">
      <w:r>
        <w:t>In total, 1626 participants</w:t>
      </w:r>
      <w:r w:rsidRPr="00096103">
        <w:t xml:space="preserve"> (95.4% of 1705) </w:t>
      </w:r>
      <w:r>
        <w:t>ha</w:t>
      </w:r>
      <w:r w:rsidR="008D4C1A">
        <w:t>d completed study treatment at W</w:t>
      </w:r>
      <w:r>
        <w:t xml:space="preserve">eek 12, </w:t>
      </w:r>
      <w:r w:rsidRPr="00096103">
        <w:t xml:space="preserve">and 1548 </w:t>
      </w:r>
      <w:r>
        <w:t>participants</w:t>
      </w:r>
      <w:r w:rsidRPr="00096103">
        <w:t xml:space="preserve"> (90.8% of 1705) completed study d</w:t>
      </w:r>
      <w:r w:rsidR="008D4C1A">
        <w:t>rug at W</w:t>
      </w:r>
      <w:r>
        <w:t>eek 24</w:t>
      </w:r>
      <w:r w:rsidRPr="00096103">
        <w:t>. The most frequent primary reason for st</w:t>
      </w:r>
      <w:r>
        <w:t>udy treatment discontinuation before</w:t>
      </w:r>
      <w:r w:rsidR="008D4C1A">
        <w:t xml:space="preserve"> W</w:t>
      </w:r>
      <w:r w:rsidRPr="00096103">
        <w:t xml:space="preserve">eek 24 was </w:t>
      </w:r>
      <w:r>
        <w:t xml:space="preserve">study </w:t>
      </w:r>
      <w:r w:rsidR="008D4C1A">
        <w:lastRenderedPageBreak/>
        <w:t>withdrawal (4.5%) for the placebo</w:t>
      </w:r>
      <w:r w:rsidRPr="00096103">
        <w:t xml:space="preserve"> group, </w:t>
      </w:r>
      <w:r>
        <w:t>adverse events (</w:t>
      </w:r>
      <w:r w:rsidRPr="00096103">
        <w:t>AEs</w:t>
      </w:r>
      <w:r>
        <w:t>)</w:t>
      </w:r>
      <w:r w:rsidRPr="00096103">
        <w:t xml:space="preserve"> and </w:t>
      </w:r>
      <w:r>
        <w:t>study withdrawal</w:t>
      </w:r>
      <w:r w:rsidRPr="00096103">
        <w:t xml:space="preserve"> (2.3% each) for the </w:t>
      </w:r>
      <w:proofErr w:type="spellStart"/>
      <w:r w:rsidR="006C4F9F">
        <w:t>upadacitinib</w:t>
      </w:r>
      <w:proofErr w:type="spellEnd"/>
      <w:r w:rsidRPr="00096103">
        <w:t xml:space="preserve"> 15 mg arm, and AEs for the </w:t>
      </w:r>
      <w:proofErr w:type="spellStart"/>
      <w:r w:rsidR="006C4F9F">
        <w:t>upadacitinib</w:t>
      </w:r>
      <w:proofErr w:type="spellEnd"/>
      <w:r w:rsidRPr="00096103">
        <w:t xml:space="preserve"> 30</w:t>
      </w:r>
      <w:r w:rsidR="00195EEE">
        <w:t> </w:t>
      </w:r>
      <w:r w:rsidRPr="00096103">
        <w:t xml:space="preserve">mg (4.5%) and ADA groups (4.2%). </w:t>
      </w:r>
      <w:r>
        <w:t>At</w:t>
      </w:r>
      <w:r w:rsidR="008A48F3">
        <w:t xml:space="preserve"> the data </w:t>
      </w:r>
      <w:proofErr w:type="spellStart"/>
      <w:r w:rsidR="008A48F3">
        <w:t>cut</w:t>
      </w:r>
      <w:r w:rsidRPr="00096103">
        <w:t>off</w:t>
      </w:r>
      <w:proofErr w:type="spellEnd"/>
      <w:r w:rsidRPr="00096103">
        <w:t xml:space="preserve"> date for the interim report in</w:t>
      </w:r>
      <w:r>
        <w:t>cluded in</w:t>
      </w:r>
      <w:r w:rsidRPr="00096103">
        <w:t xml:space="preserve"> the submission, 649 </w:t>
      </w:r>
      <w:r>
        <w:t>participants</w:t>
      </w:r>
      <w:r w:rsidR="008A48F3">
        <w:t xml:space="preserve"> (38.1%) had completed Period 1 (W</w:t>
      </w:r>
      <w:r w:rsidRPr="00096103">
        <w:t xml:space="preserve">eek 56) on study drug, 240 </w:t>
      </w:r>
      <w:r>
        <w:t xml:space="preserve">participants </w:t>
      </w:r>
      <w:r w:rsidRPr="00096103">
        <w:t xml:space="preserve">(14.1%) had discontinued study medication during Period 1 and 816 </w:t>
      </w:r>
      <w:r>
        <w:t>participants were</w:t>
      </w:r>
      <w:r w:rsidRPr="00096103">
        <w:t xml:space="preserve"> ongoing in Period 1.</w:t>
      </w:r>
    </w:p>
    <w:p w14:paraId="125F3AA3" w14:textId="77777777" w:rsidR="00984877" w:rsidRPr="00096103" w:rsidRDefault="00984877" w:rsidP="00984877">
      <w:r w:rsidRPr="00096103">
        <w:t>There were no clinically significant differences b</w:t>
      </w:r>
      <w:r w:rsidR="008A48F3">
        <w:t>etween the treatment groups at B</w:t>
      </w:r>
      <w:r w:rsidRPr="00096103">
        <w:t xml:space="preserve">aseline with respect to demographic characteristics. </w:t>
      </w:r>
      <w:r>
        <w:t>Participants</w:t>
      </w:r>
      <w:r w:rsidRPr="00096103">
        <w:t xml:space="preserve"> had a median age of 51 years (range: </w:t>
      </w:r>
      <w:r w:rsidR="008A48F3">
        <w:t xml:space="preserve">19 to </w:t>
      </w:r>
      <w:r>
        <w:t xml:space="preserve">83 years) with </w:t>
      </w:r>
      <w:r w:rsidRPr="00096103">
        <w:t>86.1% aged &lt;</w:t>
      </w:r>
      <w:r w:rsidR="008A48F3">
        <w:t xml:space="preserve"> 65 years of age at B</w:t>
      </w:r>
      <w:r w:rsidRPr="00096103">
        <w:t xml:space="preserve">aseline. Just over half of </w:t>
      </w:r>
      <w:r>
        <w:t>participants were female and 88.9%</w:t>
      </w:r>
      <w:r w:rsidRPr="00096103">
        <w:t xml:space="preserve"> were of Caucasian background. The overall population had a mean </w:t>
      </w:r>
      <w:r w:rsidR="00DC2153">
        <w:t>body mass index (</w:t>
      </w:r>
      <w:r w:rsidRPr="00096103">
        <w:t>BMI</w:t>
      </w:r>
      <w:r w:rsidR="00DC2153">
        <w:t>)</w:t>
      </w:r>
      <w:r w:rsidRPr="00096103">
        <w:t xml:space="preserve"> of 30.3 kg/m</w:t>
      </w:r>
      <w:r w:rsidRPr="00096103">
        <w:rPr>
          <w:vertAlign w:val="superscript"/>
        </w:rPr>
        <w:t>2</w:t>
      </w:r>
      <w:r w:rsidR="008A48F3">
        <w:t xml:space="preserve"> (range: 16 to </w:t>
      </w:r>
      <w:r w:rsidRPr="00096103">
        <w:t>87 kg/m</w:t>
      </w:r>
      <w:r w:rsidRPr="00096103">
        <w:rPr>
          <w:vertAlign w:val="superscript"/>
        </w:rPr>
        <w:t>2</w:t>
      </w:r>
      <w:r w:rsidRPr="00096103">
        <w:t xml:space="preserve">). </w:t>
      </w:r>
      <w:r>
        <w:t>Some three quarters of participants had</w:t>
      </w:r>
      <w:r w:rsidRPr="00096103">
        <w:t xml:space="preserve"> BMI of ≥</w:t>
      </w:r>
      <w:r w:rsidR="008A48F3">
        <w:t xml:space="preserve"> </w:t>
      </w:r>
      <w:r w:rsidRPr="00096103">
        <w:t>25 kg/m</w:t>
      </w:r>
      <w:r w:rsidRPr="00096103">
        <w:rPr>
          <w:vertAlign w:val="superscript"/>
        </w:rPr>
        <w:t xml:space="preserve">2 </w:t>
      </w:r>
      <w:r w:rsidRPr="00096103">
        <w:t>a</w:t>
      </w:r>
      <w:r>
        <w:t xml:space="preserve">t </w:t>
      </w:r>
      <w:r w:rsidR="008A48F3">
        <w:t>B</w:t>
      </w:r>
      <w:r>
        <w:t>aseline</w:t>
      </w:r>
      <w:r w:rsidRPr="00096103">
        <w:t>.</w:t>
      </w:r>
      <w:r>
        <w:t xml:space="preserve"> Baseline disease activity was comparable in the treatment arms, and consistent wi</w:t>
      </w:r>
      <w:r w:rsidR="008A48F3">
        <w:t xml:space="preserve">th a population with a moderate </w:t>
      </w:r>
      <w:r>
        <w:t>severe disease activity at risk of functional impairment and damage over months to years.</w:t>
      </w:r>
      <w:r w:rsidRPr="00096103">
        <w:t xml:space="preserve"> For the overall enrolled population, the </w:t>
      </w:r>
      <w:r>
        <w:t xml:space="preserve">baseline </w:t>
      </w:r>
      <w:r w:rsidRPr="00096103">
        <w:t>mean Patient Global Assessment of disease activity was 6.4 (on 0</w:t>
      </w:r>
      <w:r w:rsidR="008A48F3">
        <w:t xml:space="preserve"> to </w:t>
      </w:r>
      <w:r w:rsidRPr="00096103">
        <w:t>10 NRS) and the mean Physician Global Assessment of</w:t>
      </w:r>
      <w:r w:rsidR="008A48F3">
        <w:t xml:space="preserve"> disease activity was 6.5 (on 0 to </w:t>
      </w:r>
      <w:r w:rsidRPr="00096103">
        <w:t>10 NRS).</w:t>
      </w:r>
    </w:p>
    <w:p w14:paraId="6A592953" w14:textId="77777777" w:rsidR="00984877" w:rsidRPr="00096103" w:rsidRDefault="00984877" w:rsidP="00984877">
      <w:r w:rsidRPr="00096103">
        <w:t xml:space="preserve">During Study M15-572, subjects could </w:t>
      </w:r>
      <w:proofErr w:type="gramStart"/>
      <w:r w:rsidRPr="00096103">
        <w:t>continue on</w:t>
      </w:r>
      <w:proofErr w:type="gramEnd"/>
      <w:r w:rsidRPr="00096103">
        <w:t xml:space="preserve"> stable doses of </w:t>
      </w:r>
      <w:r w:rsidR="006C4F9F">
        <w:t>methotrexate</w:t>
      </w:r>
      <w:r>
        <w:t xml:space="preserve"> and/or another non-biological DMARD</w:t>
      </w:r>
      <w:r w:rsidRPr="00096103">
        <w:t xml:space="preserve">, oral corticosteroids and NSAIDs. At </w:t>
      </w:r>
      <w:r w:rsidR="000A0A8E">
        <w:t>B</w:t>
      </w:r>
      <w:r w:rsidRPr="00096103">
        <w:t xml:space="preserve">aseline, </w:t>
      </w:r>
      <w:r>
        <w:t>around four in five participants</w:t>
      </w:r>
      <w:r w:rsidRPr="00096103">
        <w:t xml:space="preserve"> were taking at least </w:t>
      </w:r>
      <w:r>
        <w:t>one</w:t>
      </w:r>
      <w:r w:rsidRPr="00096103">
        <w:t xml:space="preserve"> </w:t>
      </w:r>
      <w:r>
        <w:t xml:space="preserve">non-biological </w:t>
      </w:r>
      <w:r w:rsidRPr="00096103">
        <w:t xml:space="preserve">DMARD, the most common </w:t>
      </w:r>
      <w:r>
        <w:t xml:space="preserve">(63.6%) </w:t>
      </w:r>
      <w:r w:rsidRPr="00096103">
        <w:t xml:space="preserve">of which was </w:t>
      </w:r>
      <w:r w:rsidR="006C4F9F">
        <w:t>methotrexate</w:t>
      </w:r>
      <w:r w:rsidRPr="00096103">
        <w:t xml:space="preserve"> alone. Only 5.2% of </w:t>
      </w:r>
      <w:r>
        <w:t>participants</w:t>
      </w:r>
      <w:r w:rsidRPr="00096103">
        <w:t xml:space="preserve"> were taking </w:t>
      </w:r>
      <w:r>
        <w:t>a</w:t>
      </w:r>
      <w:r w:rsidRPr="00096103">
        <w:t xml:space="preserve"> combination of </w:t>
      </w:r>
      <w:r w:rsidR="006C4F9F">
        <w:t>methotrexate</w:t>
      </w:r>
      <w:r w:rsidRPr="00096103">
        <w:t xml:space="preserve"> with </w:t>
      </w:r>
      <w:r>
        <w:t xml:space="preserve">one other non-biological </w:t>
      </w:r>
      <w:r w:rsidR="00DC2153">
        <w:t>DMARD. At B</w:t>
      </w:r>
      <w:r w:rsidRPr="00096103">
        <w:t xml:space="preserve">aseline, the proportions of subjects taking oral corticosteroid was comparable between the </w:t>
      </w:r>
      <w:r>
        <w:t>four</w:t>
      </w:r>
      <w:r w:rsidRPr="00096103">
        <w:t xml:space="preserve"> treatment groups (</w:t>
      </w:r>
      <w:r w:rsidR="000A0A8E">
        <w:t xml:space="preserve">around 16 to </w:t>
      </w:r>
      <w:r>
        <w:t>17% overall</w:t>
      </w:r>
      <w:r w:rsidRPr="00096103">
        <w:t>). In each group, a similar proportion of subjects were taki</w:t>
      </w:r>
      <w:r w:rsidR="000A0A8E">
        <w:t>ng NSAIDs at Baseline (63.2% overall).</w:t>
      </w:r>
    </w:p>
    <w:p w14:paraId="79934081" w14:textId="62DD30E7" w:rsidR="00984877" w:rsidRDefault="00984877" w:rsidP="00984877">
      <w:r>
        <w:t>The primary efficacy outcome was met. A</w:t>
      </w:r>
      <w:r w:rsidR="000A0A8E">
        <w:t>t W</w:t>
      </w:r>
      <w:r w:rsidRPr="00096103">
        <w:t xml:space="preserve">eek 12 in Study M15-572, a significantly greater proportion of </w:t>
      </w:r>
      <w:r>
        <w:t>patient</w:t>
      </w:r>
      <w:r w:rsidRPr="00096103">
        <w:t xml:space="preserve">s treated with </w:t>
      </w:r>
      <w:proofErr w:type="spellStart"/>
      <w:r w:rsidR="006C4F9F">
        <w:t>upadacitinib</w:t>
      </w:r>
      <w:proofErr w:type="spellEnd"/>
      <w:r w:rsidRPr="00096103">
        <w:t xml:space="preserve"> (either dose) achieved an ACR20 response compared to </w:t>
      </w:r>
      <w:r>
        <w:t xml:space="preserve">patients treated with </w:t>
      </w:r>
      <w:r w:rsidR="000A0A8E">
        <w:t>placebo</w:t>
      </w:r>
      <w:r w:rsidRPr="00096103">
        <w:t xml:space="preserve">. </w:t>
      </w:r>
      <w:r>
        <w:t>The</w:t>
      </w:r>
      <w:r w:rsidR="000A0A8E">
        <w:t xml:space="preserve"> W</w:t>
      </w:r>
      <w:r w:rsidRPr="00096103">
        <w:t xml:space="preserve">eek 12 ACR20 response rate </w:t>
      </w:r>
      <w:r>
        <w:t>in the full analysis set (FAS), applying non-responder imputation (NRI) ranged from 70.6%</w:t>
      </w:r>
      <w:r w:rsidRPr="00096103">
        <w:t xml:space="preserve"> in the </w:t>
      </w:r>
      <w:proofErr w:type="spellStart"/>
      <w:r w:rsidR="006C4F9F">
        <w:t>upadacitinib</w:t>
      </w:r>
      <w:proofErr w:type="spellEnd"/>
      <w:r>
        <w:t xml:space="preserve"> 15 mg group and 78.5%</w:t>
      </w:r>
      <w:r w:rsidRPr="00096103">
        <w:t xml:space="preserve"> in the </w:t>
      </w:r>
      <w:proofErr w:type="spellStart"/>
      <w:r w:rsidR="006C4F9F">
        <w:t>upadacitinib</w:t>
      </w:r>
      <w:proofErr w:type="spellEnd"/>
      <w:r w:rsidR="00195EEE">
        <w:t xml:space="preserve"> 30 </w:t>
      </w:r>
      <w:r w:rsidRPr="00096103">
        <w:t xml:space="preserve">mg arm </w:t>
      </w:r>
      <w:r>
        <w:t>to 36.2%</w:t>
      </w:r>
      <w:r w:rsidR="000A0A8E">
        <w:t xml:space="preserve"> in the placebo</w:t>
      </w:r>
      <w:r w:rsidRPr="00096103">
        <w:t xml:space="preserve"> group. In the ADA group, the ACR20 response rat</w:t>
      </w:r>
      <w:r w:rsidR="000A0A8E">
        <w:t>e at W</w:t>
      </w:r>
      <w:r>
        <w:t>eek 12 was 65.0%. The point estimate</w:t>
      </w:r>
      <w:r w:rsidRPr="00096103">
        <w:t xml:space="preserve"> for determining a treatment related dif</w:t>
      </w:r>
      <w:r w:rsidR="000A0A8E">
        <w:t xml:space="preserve">ference for </w:t>
      </w:r>
      <w:proofErr w:type="spellStart"/>
      <w:r w:rsidR="006C4F9F">
        <w:t>upadacitinib</w:t>
      </w:r>
      <w:proofErr w:type="spellEnd"/>
      <w:r w:rsidR="00195EEE">
        <w:t xml:space="preserve"> 15 </w:t>
      </w:r>
      <w:r w:rsidR="000A0A8E">
        <w:t>mg versus placebo</w:t>
      </w:r>
      <w:r w:rsidRPr="00096103">
        <w:t xml:space="preserve"> was 34.5</w:t>
      </w:r>
      <w:r>
        <w:t>%</w:t>
      </w:r>
      <w:r w:rsidRPr="00096103">
        <w:t xml:space="preserve"> (95% CI 28.2, 40</w:t>
      </w:r>
      <w:r w:rsidR="000A0A8E">
        <w:t xml:space="preserve">.7) and for </w:t>
      </w:r>
      <w:proofErr w:type="spellStart"/>
      <w:r w:rsidR="006C4F9F">
        <w:t>upadacitinib</w:t>
      </w:r>
      <w:proofErr w:type="spellEnd"/>
      <w:r w:rsidR="00195EEE">
        <w:t xml:space="preserve"> 30 </w:t>
      </w:r>
      <w:r w:rsidR="000A0A8E">
        <w:t>mg versus placebo</w:t>
      </w:r>
      <w:r w:rsidRPr="00096103">
        <w:t xml:space="preserve"> was 42.3</w:t>
      </w:r>
      <w:r>
        <w:t>%</w:t>
      </w:r>
      <w:r w:rsidRPr="00096103">
        <w:t xml:space="preserve"> (95% CI 36.3, 48.3</w:t>
      </w:r>
      <w:r>
        <w:t>, both p&lt;</w:t>
      </w:r>
      <w:r w:rsidR="000A0A8E">
        <w:t xml:space="preserve"> </w:t>
      </w:r>
      <w:r>
        <w:t>0.0001</w:t>
      </w:r>
      <w:r w:rsidRPr="00096103">
        <w:t xml:space="preserve">). Results from supplementary analyses using </w:t>
      </w:r>
      <w:r w:rsidR="000A0A8E">
        <w:t>‘as o</w:t>
      </w:r>
      <w:r w:rsidRPr="00096103">
        <w:t>bserved</w:t>
      </w:r>
      <w:r w:rsidR="000A0A8E">
        <w:t>’</w:t>
      </w:r>
      <w:r w:rsidRPr="00096103">
        <w:t xml:space="preserve"> (AO) </w:t>
      </w:r>
      <w:r>
        <w:t xml:space="preserve">measures </w:t>
      </w:r>
      <w:r w:rsidRPr="00096103">
        <w:t xml:space="preserve">for the FAS cohort and NRI on the </w:t>
      </w:r>
      <w:r>
        <w:t>per-protocol analysis set (</w:t>
      </w:r>
      <w:r w:rsidRPr="00096103">
        <w:t>PPS</w:t>
      </w:r>
      <w:r>
        <w:t>)</w:t>
      </w:r>
      <w:r w:rsidRPr="00096103">
        <w:t xml:space="preserve"> were</w:t>
      </w:r>
      <w:r>
        <w:t xml:space="preserve"> </w:t>
      </w:r>
      <w:r w:rsidRPr="00096103">
        <w:t>consistent with the primary anal</w:t>
      </w:r>
      <w:r w:rsidR="000A0A8E">
        <w:t>ysis of ACR20 response rate at W</w:t>
      </w:r>
      <w:r w:rsidRPr="00096103">
        <w:t>eek 12.</w:t>
      </w:r>
      <w:r>
        <w:t xml:space="preserve"> </w:t>
      </w:r>
      <w:r w:rsidR="000A0A8E">
        <w:t xml:space="preserve">Based on multiplicity </w:t>
      </w:r>
      <w:r>
        <w:t>adjusted p-values, most of the ranked secondary endpoints supported the primary outcome (</w:t>
      </w:r>
      <w:r w:rsidR="000A0A8E">
        <w:fldChar w:fldCharType="begin"/>
      </w:r>
      <w:r w:rsidR="000A0A8E">
        <w:instrText xml:space="preserve"> REF _Ref75172969 \h </w:instrText>
      </w:r>
      <w:r w:rsidR="000A0A8E">
        <w:fldChar w:fldCharType="separate"/>
      </w:r>
      <w:r w:rsidR="00A677D2" w:rsidRPr="000A0A8E">
        <w:t xml:space="preserve">Table </w:t>
      </w:r>
      <w:r w:rsidR="00A677D2">
        <w:rPr>
          <w:noProof/>
        </w:rPr>
        <w:t>3</w:t>
      </w:r>
      <w:r w:rsidR="000A0A8E">
        <w:fldChar w:fldCharType="end"/>
      </w:r>
      <w:r>
        <w:t xml:space="preserve">). Of particular interest, neither dose of </w:t>
      </w:r>
      <w:proofErr w:type="spellStart"/>
      <w:r w:rsidR="006C4F9F">
        <w:t>upadacitinib</w:t>
      </w:r>
      <w:proofErr w:type="spellEnd"/>
      <w:r>
        <w:t xml:space="preserve"> was significantly superior to AD</w:t>
      </w:r>
      <w:r w:rsidR="000A0A8E">
        <w:t xml:space="preserve">A, based on </w:t>
      </w:r>
      <w:r w:rsidR="00EA2114">
        <w:t>Health Assessment Questionnaire – Disability Index (</w:t>
      </w:r>
      <w:r w:rsidR="000A0A8E">
        <w:t>HAQ-DI</w:t>
      </w:r>
      <w:r w:rsidR="00EA2114">
        <w:t>)</w:t>
      </w:r>
      <w:r w:rsidR="000A0A8E">
        <w:t xml:space="preserve"> change from Baseline at W</w:t>
      </w:r>
      <w:r>
        <w:t>eek 12.</w:t>
      </w:r>
    </w:p>
    <w:p w14:paraId="211E81BC" w14:textId="62BFA96A" w:rsidR="00984877" w:rsidRPr="00B93D11" w:rsidRDefault="000A0A8E" w:rsidP="00C8184B">
      <w:pPr>
        <w:pStyle w:val="TableTitle"/>
      </w:pPr>
      <w:bookmarkStart w:id="45" w:name="_Ref75172969"/>
      <w:r w:rsidRPr="000A0A8E">
        <w:lastRenderedPageBreak/>
        <w:t xml:space="preserve">Table </w:t>
      </w:r>
      <w:r w:rsidR="00746A1E">
        <w:fldChar w:fldCharType="begin"/>
      </w:r>
      <w:r w:rsidR="00746A1E">
        <w:instrText xml:space="preserve"> SEQ Table \* ARABIC </w:instrText>
      </w:r>
      <w:r w:rsidR="00746A1E">
        <w:fldChar w:fldCharType="separate"/>
      </w:r>
      <w:r w:rsidR="00A677D2">
        <w:rPr>
          <w:noProof/>
        </w:rPr>
        <w:t>3</w:t>
      </w:r>
      <w:r w:rsidR="00746A1E">
        <w:rPr>
          <w:noProof/>
        </w:rPr>
        <w:fldChar w:fldCharType="end"/>
      </w:r>
      <w:bookmarkEnd w:id="45"/>
      <w:r w:rsidR="0033171C">
        <w:t>: Study M15-572 Results for secondary efficacy o</w:t>
      </w:r>
      <w:r>
        <w:t>utcomes</w:t>
      </w:r>
    </w:p>
    <w:p w14:paraId="2A63E04A" w14:textId="77777777" w:rsidR="00C8184B" w:rsidRDefault="00C8184B" w:rsidP="00C8184B">
      <w:r>
        <w:rPr>
          <w:noProof/>
          <w:lang w:eastAsia="en-AU"/>
        </w:rPr>
        <w:drawing>
          <wp:inline distT="0" distB="0" distL="0" distR="0" wp14:anchorId="100853C1" wp14:editId="2A81D9EC">
            <wp:extent cx="5400040" cy="2488870"/>
            <wp:effectExtent l="0" t="0" r="0" b="6985"/>
            <wp:docPr id="15" name="Picture 15" descr="Study M15-572 Results for secondary efficacy outcomes"/>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488870"/>
                    </a:xfrm>
                    <a:prstGeom prst="rect">
                      <a:avLst/>
                    </a:prstGeom>
                    <a:noFill/>
                    <a:ln>
                      <a:noFill/>
                    </a:ln>
                  </pic:spPr>
                </pic:pic>
              </a:graphicData>
            </a:graphic>
          </wp:inline>
        </w:drawing>
      </w:r>
    </w:p>
    <w:p w14:paraId="54A04C4D" w14:textId="77777777" w:rsidR="00C8184B" w:rsidRDefault="00C8184B" w:rsidP="00C8184B">
      <w:r>
        <w:rPr>
          <w:noProof/>
          <w:lang w:eastAsia="en-AU"/>
        </w:rPr>
        <w:drawing>
          <wp:inline distT="0" distB="0" distL="0" distR="0" wp14:anchorId="5291FF29" wp14:editId="41F34267">
            <wp:extent cx="5400040" cy="2228303"/>
            <wp:effectExtent l="0" t="0" r="0" b="635"/>
            <wp:docPr id="16" name="Picture 16" descr="Table 3: Study M15-572 Results for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3: Study M15-572 Results for secondary efficacy outco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228303"/>
                    </a:xfrm>
                    <a:prstGeom prst="rect">
                      <a:avLst/>
                    </a:prstGeom>
                    <a:noFill/>
                    <a:ln>
                      <a:noFill/>
                    </a:ln>
                  </pic:spPr>
                </pic:pic>
              </a:graphicData>
            </a:graphic>
          </wp:inline>
        </w:drawing>
      </w:r>
    </w:p>
    <w:p w14:paraId="249C0283" w14:textId="77777777" w:rsidR="00C8184B" w:rsidRDefault="00C8184B" w:rsidP="00C8184B">
      <w:r w:rsidRPr="004A3CA2">
        <w:rPr>
          <w:noProof/>
          <w:lang w:eastAsia="en-AU"/>
        </w:rPr>
        <w:drawing>
          <wp:inline distT="0" distB="0" distL="0" distR="0" wp14:anchorId="2339E8DD" wp14:editId="42F22369">
            <wp:extent cx="5454650" cy="2520846"/>
            <wp:effectExtent l="0" t="0" r="0" b="0"/>
            <wp:docPr id="1" name="Picture 1" descr="Table 3: Study M15-572 Results for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3: Study M15-572 Results for secondary efficacy outcom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229"/>
                    <a:stretch/>
                  </pic:blipFill>
                  <pic:spPr bwMode="auto">
                    <a:xfrm>
                      <a:off x="0" y="0"/>
                      <a:ext cx="5461183" cy="2523865"/>
                    </a:xfrm>
                    <a:prstGeom prst="rect">
                      <a:avLst/>
                    </a:prstGeom>
                    <a:noFill/>
                    <a:ln>
                      <a:noFill/>
                    </a:ln>
                    <a:extLst>
                      <a:ext uri="{53640926-AAD7-44D8-BBD7-CCE9431645EC}">
                        <a14:shadowObscured xmlns:a14="http://schemas.microsoft.com/office/drawing/2010/main"/>
                      </a:ext>
                    </a:extLst>
                  </pic:spPr>
                </pic:pic>
              </a:graphicData>
            </a:graphic>
          </wp:inline>
        </w:drawing>
      </w:r>
    </w:p>
    <w:p w14:paraId="10191B95" w14:textId="77777777" w:rsidR="00C8184B" w:rsidRDefault="00C8184B" w:rsidP="00C8184B">
      <w:r>
        <w:rPr>
          <w:noProof/>
          <w:lang w:eastAsia="en-AU"/>
        </w:rPr>
        <w:lastRenderedPageBreak/>
        <w:drawing>
          <wp:inline distT="0" distB="0" distL="0" distR="0" wp14:anchorId="4E0920A9" wp14:editId="230BF834">
            <wp:extent cx="5400040" cy="2341054"/>
            <wp:effectExtent l="0" t="0" r="0" b="2540"/>
            <wp:docPr id="18" name="Picture 18" descr="Table 3: Study M15-572 Results for secondary efficacy outcomes"/>
            <wp:cNvGraphicFramePr/>
            <a:graphic xmlns:a="http://schemas.openxmlformats.org/drawingml/2006/main">
              <a:graphicData uri="http://schemas.openxmlformats.org/drawingml/2006/picture">
                <pic:pic xmlns:pic="http://schemas.openxmlformats.org/drawingml/2006/picture">
                  <pic:nvPicPr>
                    <pic:cNvPr id="18" name="Picture 18" descr="Table 3: Study M15-572 Results for secondary efficacy outcome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341054"/>
                    </a:xfrm>
                    <a:prstGeom prst="rect">
                      <a:avLst/>
                    </a:prstGeom>
                    <a:noFill/>
                    <a:ln>
                      <a:noFill/>
                    </a:ln>
                  </pic:spPr>
                </pic:pic>
              </a:graphicData>
            </a:graphic>
          </wp:inline>
        </w:drawing>
      </w:r>
    </w:p>
    <w:p w14:paraId="2E43DB40" w14:textId="77777777" w:rsidR="00DA6BD9" w:rsidRDefault="00C8184B" w:rsidP="00475557">
      <w:pPr>
        <w:pStyle w:val="TableDescription"/>
      </w:pPr>
      <w:r>
        <w:t xml:space="preserve">ACR20/50/70 = American College of Rheumatology 20%, 50%, 70% response; ADA = adalimumab; ANCOVA = analysis of covariance; BSA = body surface area; CI = confidence interval; FACIT-F = Functional Assessment of Chronic Illness Therapy – Fatigue; FAS = Full Analysis Set; HAQ-DI = Health Assessment </w:t>
      </w:r>
      <w:r w:rsidR="00DA6BD9">
        <w:t>Questionnaire</w:t>
      </w:r>
      <w:r>
        <w:t xml:space="preserve"> Disability Index; </w:t>
      </w:r>
      <w:r w:rsidR="00EF0DA8">
        <w:t xml:space="preserve">LDI = </w:t>
      </w:r>
      <w:proofErr w:type="spellStart"/>
      <w:r w:rsidR="00EF0DA8">
        <w:t>Leed</w:t>
      </w:r>
      <w:proofErr w:type="spellEnd"/>
      <w:r w:rsidR="00EF0DA8">
        <w:t xml:space="preserve"> D</w:t>
      </w:r>
      <w:r w:rsidR="002D65E7">
        <w:t>actylitis I</w:t>
      </w:r>
      <w:r w:rsidR="00DA6BD9">
        <w:t xml:space="preserve">ndex; LEI = Leeds </w:t>
      </w:r>
      <w:proofErr w:type="spellStart"/>
      <w:r w:rsidR="00DA6BD9">
        <w:t>Enthesitis</w:t>
      </w:r>
      <w:proofErr w:type="spellEnd"/>
      <w:r w:rsidR="00DA6BD9">
        <w:t xml:space="preserve"> Index; MDA = min</w:t>
      </w:r>
      <w:r w:rsidR="002D65E7">
        <w:t>imal disease activity; MMRM</w:t>
      </w:r>
      <w:r w:rsidR="002A58C5">
        <w:t xml:space="preserve"> </w:t>
      </w:r>
      <w:r w:rsidR="002D65E7">
        <w:t>= m</w:t>
      </w:r>
      <w:r w:rsidR="00DA6BD9">
        <w:t>ixed effects model repeated measure; NI = non-inf</w:t>
      </w:r>
      <w:r w:rsidR="002D65E7">
        <w:t>eriority; NRI = n</w:t>
      </w:r>
      <w:r w:rsidR="00DA6BD9">
        <w:t>o</w:t>
      </w:r>
      <w:r w:rsidR="002D65E7">
        <w:t>n-responder imputation; PASI = p</w:t>
      </w:r>
      <w:r w:rsidR="00DA6BD9">
        <w:t>soriasis area severity</w:t>
      </w:r>
      <w:r w:rsidR="002D65E7">
        <w:t xml:space="preserve"> index; SAPS = s</w:t>
      </w:r>
      <w:r w:rsidR="00DA6BD9">
        <w:t>elf-assessment of psoriasis symptoms; SF-36 = 36-Item Short Form Health Survey; SHS = Sharp/va</w:t>
      </w:r>
      <w:r w:rsidR="002D65E7">
        <w:t xml:space="preserve">n der </w:t>
      </w:r>
      <w:proofErr w:type="spellStart"/>
      <w:r w:rsidR="002D65E7">
        <w:t>Heijde</w:t>
      </w:r>
      <w:proofErr w:type="spellEnd"/>
      <w:r w:rsidR="002D65E7">
        <w:t xml:space="preserve"> Score; </w:t>
      </w:r>
      <w:proofErr w:type="spellStart"/>
      <w:r w:rsidR="002D65E7">
        <w:t>sIGA</w:t>
      </w:r>
      <w:proofErr w:type="spellEnd"/>
      <w:r w:rsidR="002D65E7">
        <w:t xml:space="preserve"> 0/1 = Static Investigator Global Assessment of Psoriasis of 0 or 1 and at least a 2-point improvement from Baseline</w:t>
      </w:r>
      <w:r w:rsidR="00DA6BD9">
        <w:t xml:space="preserve">; UPA = </w:t>
      </w:r>
      <w:proofErr w:type="spellStart"/>
      <w:r w:rsidR="00DA6BD9">
        <w:t>upadactinib</w:t>
      </w:r>
      <w:proofErr w:type="spellEnd"/>
      <w:r w:rsidR="00DA6BD9">
        <w:t>.</w:t>
      </w:r>
    </w:p>
    <w:p w14:paraId="7C3F01F5" w14:textId="77777777" w:rsidR="00C8184B" w:rsidRDefault="00F827A7">
      <w:pPr>
        <w:pStyle w:val="TableDescription"/>
      </w:pPr>
      <w:r>
        <w:t xml:space="preserve">a Results for binary </w:t>
      </w:r>
      <w:proofErr w:type="spellStart"/>
      <w:r>
        <w:t>endopoints</w:t>
      </w:r>
      <w:proofErr w:type="spellEnd"/>
      <w:r>
        <w:t xml:space="preserve"> except for MDA at Week 24 are based on NRI. Results for MDA, resolution of </w:t>
      </w:r>
      <w:proofErr w:type="spellStart"/>
      <w:r>
        <w:t>enthesitis</w:t>
      </w:r>
      <w:proofErr w:type="spellEnd"/>
      <w:r>
        <w:t>, and resolution of dactylitis at Week 24 re based on NRI with additional rescue</w:t>
      </w:r>
      <w:r w:rsidR="00EF0DA8">
        <w:t xml:space="preserve"> handling, where subjects rescued at Week 16 is imputed as non-responders. </w:t>
      </w:r>
      <w:proofErr w:type="spellStart"/>
      <w:r w:rsidR="00EF0DA8">
        <w:t>Resultss</w:t>
      </w:r>
      <w:proofErr w:type="spellEnd"/>
      <w:r w:rsidR="00EF0DA8">
        <w:t xml:space="preserve"> for SHS were based on ANCOVA with linear extrapolation for missing data and rescue handling. Results for other continuous endpoints were based on MMRM model.</w:t>
      </w:r>
    </w:p>
    <w:p w14:paraId="183B20CC" w14:textId="77777777" w:rsidR="00EF0DA8" w:rsidRDefault="00EF0DA8">
      <w:pPr>
        <w:pStyle w:val="TableDescription"/>
      </w:pPr>
      <w:r>
        <w:t xml:space="preserve">b </w:t>
      </w:r>
      <w:proofErr w:type="spellStart"/>
      <w:r>
        <w:t>sIGA</w:t>
      </w:r>
      <w:proofErr w:type="spellEnd"/>
      <w:r>
        <w:t xml:space="preserve"> 0/1 for subject with baseline </w:t>
      </w:r>
      <w:proofErr w:type="spellStart"/>
      <w:r>
        <w:t>sIGA</w:t>
      </w:r>
      <w:proofErr w:type="spellEnd"/>
      <w:r>
        <w:t xml:space="preserve"> ≥ 2.</w:t>
      </w:r>
    </w:p>
    <w:p w14:paraId="2F65F146" w14:textId="77777777" w:rsidR="00EF0DA8" w:rsidRDefault="00EF0DA8">
      <w:pPr>
        <w:pStyle w:val="TableDescription"/>
      </w:pPr>
      <w:r>
        <w:t>c NI test of UPA versus ADA was based on three arm NI testing aiming UPA preserves at least 50% of the placebo-subtracted ADA effect.</w:t>
      </w:r>
    </w:p>
    <w:p w14:paraId="74E5E8FC" w14:textId="77777777" w:rsidR="00EF0DA8" w:rsidRDefault="00EF0DA8">
      <w:pPr>
        <w:pStyle w:val="TableDescription"/>
      </w:pPr>
      <w:r>
        <w:t>Adjusted P-value are provided for multiplicity-adjusted endpoints.</w:t>
      </w:r>
    </w:p>
    <w:p w14:paraId="33281498" w14:textId="0D8E00D6" w:rsidR="002D65E7" w:rsidRDefault="002D65E7" w:rsidP="002D65E7">
      <w:r>
        <w:t>Study M15-572 showed statistical significance for the non-inferiority (NI) analysis (</w:t>
      </w:r>
      <w:r w:rsidR="00BB3D5A">
        <w:t xml:space="preserve">seventh </w:t>
      </w:r>
      <w:r>
        <w:t>ranked secondary efficacy endpo</w:t>
      </w:r>
      <w:r w:rsidR="00EA2114">
        <w:t>int) of ACR20 response rate at W</w:t>
      </w:r>
      <w:r>
        <w:t xml:space="preserve">eek 12 compared with ADA for both </w:t>
      </w:r>
      <w:proofErr w:type="spellStart"/>
      <w:r w:rsidR="006C4F9F">
        <w:t>upadacitinib</w:t>
      </w:r>
      <w:proofErr w:type="spellEnd"/>
      <w:r>
        <w:t xml:space="preserve"> doses. The percentages of ADA effect preservation were 119.4% (95% CI: 98.0, 147.9) and 146.6% (95% CI: 122.8, 180.4) for the </w:t>
      </w:r>
      <w:proofErr w:type="spellStart"/>
      <w:r w:rsidR="006C4F9F">
        <w:t>upadacitinib</w:t>
      </w:r>
      <w:proofErr w:type="spellEnd"/>
      <w:r w:rsidR="00195EEE">
        <w:t xml:space="preserve"> 15 mg and 30 </w:t>
      </w:r>
      <w:r>
        <w:t xml:space="preserve">mg groups, respectively. For both </w:t>
      </w:r>
      <w:proofErr w:type="spellStart"/>
      <w:r w:rsidR="006C4F9F">
        <w:t>upadacitinib</w:t>
      </w:r>
      <w:proofErr w:type="spellEnd"/>
      <w:r>
        <w:t xml:space="preserve"> doses, the lower bound of the 95% CI exceeded the pre-specified NI ratio of at least 50% of the </w:t>
      </w:r>
      <w:r w:rsidR="006C4F9F">
        <w:t xml:space="preserve">placebo </w:t>
      </w:r>
      <w:r>
        <w:t>subtracted ADA effect. The ACR2</w:t>
      </w:r>
      <w:r w:rsidR="00EA2114">
        <w:t>0 response rate differences at W</w:t>
      </w:r>
      <w:r>
        <w:t xml:space="preserve">eek 12 between the </w:t>
      </w:r>
      <w:proofErr w:type="spellStart"/>
      <w:r w:rsidR="006C4F9F">
        <w:t>upadacitinib</w:t>
      </w:r>
      <w:proofErr w:type="spellEnd"/>
      <w:r w:rsidR="00195EEE">
        <w:t xml:space="preserve"> 15 and 30 </w:t>
      </w:r>
      <w:r>
        <w:t xml:space="preserve">mg doses and ADA were 5.6% (95% CI: –0.6, 11.8) and 13.5% (95% CI: 7.5, 19.4), respectively. The analysis of the </w:t>
      </w:r>
      <w:r w:rsidR="00EA2114">
        <w:t>PPS</w:t>
      </w:r>
      <w:r>
        <w:t xml:space="preserve"> showed consistent results for both difference in response rate </w:t>
      </w:r>
      <w:r w:rsidR="00EA2114">
        <w:t>and preservation of ADA effect.</w:t>
      </w:r>
    </w:p>
    <w:p w14:paraId="23AAC73D" w14:textId="3DE94603" w:rsidR="002D65E7" w:rsidRDefault="002D65E7" w:rsidP="002D65E7">
      <w:r>
        <w:t>In the subsequent testing of superiority versus ADA (</w:t>
      </w:r>
      <w:r w:rsidR="00BB3D5A">
        <w:t xml:space="preserve">tenth </w:t>
      </w:r>
      <w:r>
        <w:t xml:space="preserve">ranked secondary efficacy endpoint), the </w:t>
      </w:r>
      <w:proofErr w:type="spellStart"/>
      <w:r w:rsidR="006C4F9F">
        <w:t>upadacitinib</w:t>
      </w:r>
      <w:proofErr w:type="spellEnd"/>
      <w:r>
        <w:t xml:space="preserve"> 30 mg once daily group showed superiority versus ADA for the ACR20 response rate </w:t>
      </w:r>
      <w:r w:rsidR="00EA2114">
        <w:t>at W</w:t>
      </w:r>
      <w:r>
        <w:t>eek 12 (the point estimate of treatment related difference was 13.5%</w:t>
      </w:r>
      <w:r w:rsidR="00D12565">
        <w:t xml:space="preserve"> (95% CI: 7.5, 19.4)</w:t>
      </w:r>
      <w:r>
        <w:t>; p</w:t>
      </w:r>
      <w:r w:rsidR="00EA2114">
        <w:t xml:space="preserve"> </w:t>
      </w:r>
      <w:r>
        <w:t>&lt;</w:t>
      </w:r>
      <w:r w:rsidR="00EA2114">
        <w:t xml:space="preserve"> </w:t>
      </w:r>
      <w:r>
        <w:t xml:space="preserve">0.0001). However, the </w:t>
      </w:r>
      <w:proofErr w:type="spellStart"/>
      <w:r w:rsidR="006C4F9F">
        <w:t>upadacitinib</w:t>
      </w:r>
      <w:proofErr w:type="spellEnd"/>
      <w:r w:rsidR="00195EEE">
        <w:t xml:space="preserve"> 15 </w:t>
      </w:r>
      <w:r>
        <w:t>mg dose did not achieve statistical significance for superiority (the point estimate of treatme</w:t>
      </w:r>
      <w:r w:rsidR="00D12565">
        <w:t>nt related difference was 5.6% (</w:t>
      </w:r>
      <w:r>
        <w:t>95% CI: -0.6, 11.8</w:t>
      </w:r>
      <w:r w:rsidR="00D12565">
        <w:t>) p</w:t>
      </w:r>
      <w:r w:rsidR="00EA2114">
        <w:t xml:space="preserve"> </w:t>
      </w:r>
      <w:r w:rsidR="00D12565">
        <w:t>=</w:t>
      </w:r>
      <w:r w:rsidR="00EA2114">
        <w:t xml:space="preserve"> </w:t>
      </w:r>
      <w:r w:rsidR="00D12565">
        <w:t>0.0815).</w:t>
      </w:r>
    </w:p>
    <w:p w14:paraId="69AA3597" w14:textId="4515792A" w:rsidR="002D65E7" w:rsidRDefault="00D12565" w:rsidP="002D65E7">
      <w:r>
        <w:t xml:space="preserve">Study M15-554 was a randomised, double </w:t>
      </w:r>
      <w:r w:rsidR="002D65E7">
        <w:t>blin</w:t>
      </w:r>
      <w:r>
        <w:t xml:space="preserve">ded, placebo </w:t>
      </w:r>
      <w:r w:rsidR="002D65E7">
        <w:t xml:space="preserve">controlled trial that enrolled 642 adults with moderate to severe </w:t>
      </w:r>
      <w:proofErr w:type="spellStart"/>
      <w:r w:rsidR="002D65E7">
        <w:t>PsA</w:t>
      </w:r>
      <w:proofErr w:type="spellEnd"/>
      <w:r w:rsidR="002D65E7">
        <w:t>, according to CASPAR criteria,</w:t>
      </w:r>
      <w:r w:rsidR="00EA2114" w:rsidRPr="00EA2114">
        <w:rPr>
          <w:vertAlign w:val="superscript"/>
        </w:rPr>
        <w:fldChar w:fldCharType="begin"/>
      </w:r>
      <w:r w:rsidR="00EA2114" w:rsidRPr="00EA2114">
        <w:rPr>
          <w:vertAlign w:val="superscript"/>
        </w:rPr>
        <w:instrText xml:space="preserve"> NOTEREF _Ref75525560 \h </w:instrText>
      </w:r>
      <w:r w:rsidR="00EA2114">
        <w:rPr>
          <w:vertAlign w:val="superscript"/>
        </w:rPr>
        <w:instrText xml:space="preserve"> \* MERGEFORMAT </w:instrText>
      </w:r>
      <w:r w:rsidR="00EA2114" w:rsidRPr="00EA2114">
        <w:rPr>
          <w:vertAlign w:val="superscript"/>
        </w:rPr>
      </w:r>
      <w:r w:rsidR="00EA2114" w:rsidRPr="00EA2114">
        <w:rPr>
          <w:vertAlign w:val="superscript"/>
        </w:rPr>
        <w:fldChar w:fldCharType="separate"/>
      </w:r>
      <w:r w:rsidR="00A677D2">
        <w:rPr>
          <w:vertAlign w:val="superscript"/>
        </w:rPr>
        <w:t>2</w:t>
      </w:r>
      <w:r w:rsidR="00EA2114" w:rsidRPr="00EA2114">
        <w:rPr>
          <w:vertAlign w:val="superscript"/>
        </w:rPr>
        <w:fldChar w:fldCharType="end"/>
      </w:r>
      <w:r w:rsidR="002D65E7">
        <w:t xml:space="preserve"> with symptoms for at least six months. The study enrolled participants who had not responded to a minimum of twelve weeks therapy with at least one </w:t>
      </w:r>
      <w:proofErr w:type="spellStart"/>
      <w:r w:rsidR="002D65E7">
        <w:t>bDMARD</w:t>
      </w:r>
      <w:proofErr w:type="spellEnd"/>
      <w:r w:rsidR="002D65E7">
        <w:t xml:space="preserve">, or who had an intolerance or contraindication to a </w:t>
      </w:r>
      <w:proofErr w:type="spellStart"/>
      <w:r w:rsidR="002D65E7">
        <w:t>bDMARD</w:t>
      </w:r>
      <w:proofErr w:type="spellEnd"/>
      <w:r w:rsidR="002D65E7">
        <w:t xml:space="preserve">. The participants had to wait a minimum of five half-lives of </w:t>
      </w:r>
      <w:r w:rsidR="002D65E7">
        <w:lastRenderedPageBreak/>
        <w:t xml:space="preserve">the preceding </w:t>
      </w:r>
      <w:proofErr w:type="spellStart"/>
      <w:r w:rsidR="002D65E7">
        <w:t>bDMARD</w:t>
      </w:r>
      <w:proofErr w:type="spellEnd"/>
      <w:r w:rsidR="002D65E7">
        <w:t xml:space="preserve"> before commencing the trial. Otherwise, the same exclusion criter</w:t>
      </w:r>
      <w:r>
        <w:t>ia applied as in Study M15-572.</w:t>
      </w:r>
    </w:p>
    <w:p w14:paraId="41D6D82B" w14:textId="77777777" w:rsidR="002D65E7" w:rsidRDefault="002D65E7" w:rsidP="002D65E7">
      <w:r>
        <w:t xml:space="preserve">The study was conducted at 123 study centres in 16 countries. The first patient was enrolled in May 2017 and </w:t>
      </w:r>
      <w:r w:rsidR="00D12565">
        <w:t>the last participant completed W</w:t>
      </w:r>
      <w:r>
        <w:t>eek 24 evaluations in October 2019. The submission contained an interim report fo</w:t>
      </w:r>
      <w:r w:rsidR="00EA2114">
        <w:t xml:space="preserve">r Study M15-554 with a data </w:t>
      </w:r>
      <w:proofErr w:type="spellStart"/>
      <w:r w:rsidR="00EA2114">
        <w:t>cut</w:t>
      </w:r>
      <w:r>
        <w:t>off</w:t>
      </w:r>
      <w:proofErr w:type="spellEnd"/>
      <w:r>
        <w:t xml:space="preserve"> date of 9 October 2019. Six global amendments to the original trial protocol were not considered to impact significantly upon the trial’s findings.</w:t>
      </w:r>
    </w:p>
    <w:p w14:paraId="6A2FBC31" w14:textId="3A67EFB2" w:rsidR="002D65E7" w:rsidRDefault="002D65E7" w:rsidP="002D65E7">
      <w:r>
        <w:t xml:space="preserve">Participants were randomised to </w:t>
      </w:r>
      <w:proofErr w:type="spellStart"/>
      <w:r w:rsidR="006C4F9F">
        <w:t>upadacitinib</w:t>
      </w:r>
      <w:proofErr w:type="spellEnd"/>
      <w:r>
        <w:t xml:space="preserve"> </w:t>
      </w:r>
      <w:r w:rsidR="007B73C9">
        <w:t>15 mg</w:t>
      </w:r>
      <w:r>
        <w:t xml:space="preserve"> da</w:t>
      </w:r>
      <w:r w:rsidR="00D12565">
        <w:t xml:space="preserve">ily, </w:t>
      </w:r>
      <w:proofErr w:type="spellStart"/>
      <w:r w:rsidR="006C4F9F">
        <w:t>upadacitinib</w:t>
      </w:r>
      <w:proofErr w:type="spellEnd"/>
      <w:r w:rsidR="00D12565">
        <w:t xml:space="preserve"> </w:t>
      </w:r>
      <w:r w:rsidR="00195EEE">
        <w:t>30 </w:t>
      </w:r>
      <w:r w:rsidR="007B73C9">
        <w:t>mg</w:t>
      </w:r>
      <w:r w:rsidR="00D12565">
        <w:t xml:space="preserve"> daily</w:t>
      </w:r>
      <w:r w:rsidR="00106467">
        <w:t>,</w:t>
      </w:r>
      <w:r w:rsidR="00D12565">
        <w:t xml:space="preserve"> </w:t>
      </w:r>
      <w:r w:rsidR="006C4F9F">
        <w:t>placebo</w:t>
      </w:r>
      <w:r w:rsidR="00106467" w:rsidRPr="00106467">
        <w:t xml:space="preserve"> </w:t>
      </w:r>
      <w:r w:rsidR="00106467">
        <w:t xml:space="preserve">to </w:t>
      </w:r>
      <w:proofErr w:type="spellStart"/>
      <w:r w:rsidR="00106467">
        <w:t>upadacitinib</w:t>
      </w:r>
      <w:proofErr w:type="spellEnd"/>
      <w:r w:rsidR="00106467">
        <w:t xml:space="preserve"> 15 mg, or placebo to </w:t>
      </w:r>
      <w:proofErr w:type="spellStart"/>
      <w:r w:rsidR="00106467">
        <w:t>upadacitinib</w:t>
      </w:r>
      <w:proofErr w:type="spellEnd"/>
      <w:r w:rsidR="00106467">
        <w:t xml:space="preserve"> 30 mg</w:t>
      </w:r>
      <w:r w:rsidR="00D12565">
        <w:t>. At W</w:t>
      </w:r>
      <w:r>
        <w:t xml:space="preserve">eek 24, participants in the </w:t>
      </w:r>
      <w:r w:rsidR="006C4F9F">
        <w:t>placebo</w:t>
      </w:r>
      <w:r>
        <w:t xml:space="preserve"> arm were </w:t>
      </w:r>
      <w:r w:rsidR="00472A83">
        <w:t xml:space="preserve">switched </w:t>
      </w:r>
      <w:r>
        <w:t xml:space="preserve">to </w:t>
      </w:r>
      <w:proofErr w:type="spellStart"/>
      <w:r w:rsidR="006C4F9F">
        <w:t>upadacitinib</w:t>
      </w:r>
      <w:proofErr w:type="spellEnd"/>
      <w:r>
        <w:t xml:space="preserve"> </w:t>
      </w:r>
      <w:r w:rsidR="00195EEE">
        <w:t>15 </w:t>
      </w:r>
      <w:r w:rsidR="007B73C9">
        <w:t>mg</w:t>
      </w:r>
      <w:r>
        <w:t xml:space="preserve"> or </w:t>
      </w:r>
      <w:r w:rsidR="007B73C9">
        <w:t>30 mg</w:t>
      </w:r>
      <w:r>
        <w:t xml:space="preserve"> daily</w:t>
      </w:r>
      <w:r w:rsidR="00472A83">
        <w:t xml:space="preserve"> per the original randomi</w:t>
      </w:r>
      <w:r w:rsidR="00C95E19">
        <w:t>s</w:t>
      </w:r>
      <w:r w:rsidR="00472A83">
        <w:t>ation</w:t>
      </w:r>
      <w:r>
        <w:t>. An</w:t>
      </w:r>
      <w:r w:rsidR="00EA2114">
        <w:t xml:space="preserve"> open </w:t>
      </w:r>
      <w:r w:rsidR="00D12565">
        <w:t>label phase commenced at W</w:t>
      </w:r>
      <w:r>
        <w:t>eek 56</w:t>
      </w:r>
      <w:r w:rsidR="00D12565">
        <w:t xml:space="preserve"> (See </w:t>
      </w:r>
      <w:r w:rsidR="00D12565">
        <w:fldChar w:fldCharType="begin"/>
      </w:r>
      <w:r w:rsidR="00D12565">
        <w:instrText xml:space="preserve"> REF _Ref75261794 \h </w:instrText>
      </w:r>
      <w:r w:rsidR="00D12565">
        <w:fldChar w:fldCharType="separate"/>
      </w:r>
      <w:r w:rsidR="00A677D2" w:rsidRPr="00D12565">
        <w:t xml:space="preserve">Figure </w:t>
      </w:r>
      <w:r w:rsidR="00A677D2">
        <w:rPr>
          <w:noProof/>
        </w:rPr>
        <w:t>2</w:t>
      </w:r>
      <w:r w:rsidR="00D12565">
        <w:fldChar w:fldCharType="end"/>
      </w:r>
      <w:r w:rsidR="00D12565">
        <w:t>)</w:t>
      </w:r>
    </w:p>
    <w:p w14:paraId="44538415" w14:textId="6E9E69B3" w:rsidR="00D12565" w:rsidRDefault="00D12565" w:rsidP="00D12565">
      <w:pPr>
        <w:pStyle w:val="FigureTitle"/>
      </w:pPr>
      <w:bookmarkStart w:id="46" w:name="_Ref75261794"/>
      <w:r w:rsidRPr="00D12565">
        <w:t xml:space="preserve">Figure </w:t>
      </w:r>
      <w:r w:rsidR="00746A1E">
        <w:fldChar w:fldCharType="begin"/>
      </w:r>
      <w:r w:rsidR="00746A1E">
        <w:instrText xml:space="preserve"> SEQ Figure \* ARABIC </w:instrText>
      </w:r>
      <w:r w:rsidR="00746A1E">
        <w:fldChar w:fldCharType="separate"/>
      </w:r>
      <w:r w:rsidR="00A677D2">
        <w:rPr>
          <w:noProof/>
        </w:rPr>
        <w:t>2</w:t>
      </w:r>
      <w:r w:rsidR="00746A1E">
        <w:rPr>
          <w:noProof/>
        </w:rPr>
        <w:fldChar w:fldCharType="end"/>
      </w:r>
      <w:bookmarkEnd w:id="46"/>
      <w:r w:rsidR="0033171C">
        <w:t>: Study M15-554 Design s</w:t>
      </w:r>
      <w:r>
        <w:t>chema</w:t>
      </w:r>
    </w:p>
    <w:p w14:paraId="52FF0321" w14:textId="77777777" w:rsidR="00D12565" w:rsidRDefault="00D12565" w:rsidP="00D12565">
      <w:r>
        <w:rPr>
          <w:noProof/>
          <w:lang w:eastAsia="en-AU"/>
        </w:rPr>
        <w:drawing>
          <wp:inline distT="0" distB="0" distL="0" distR="0" wp14:anchorId="032A56F5" wp14:editId="5ADB4DE8">
            <wp:extent cx="5340884" cy="2421054"/>
            <wp:effectExtent l="0" t="0" r="0" b="0"/>
            <wp:docPr id="3" name="Picture 3" descr="Participants were randomised in ratio of 2:2:1:1 to upadacitinib 15 mg daily, upadacitinib 30 mg daily, or placebo to upadacitinib 15 mg,  or placebo to upadacitinib 30 mg  . At Week 24, participants in the placebo arm were switched to upadacitinib 15 mg or 30 mg daily per the original randomisation  . An open label phase commenced at Week 56." title="Study M15-554 Design schema"/>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a:extLst>
                        <a:ext uri="{28A0092B-C50C-407E-A947-70E740481C1C}">
                          <a14:useLocalDpi xmlns:a14="http://schemas.microsoft.com/office/drawing/2010/main" val="0"/>
                        </a:ext>
                      </a:extLst>
                    </a:blip>
                    <a:srcRect l="1084" b="30997"/>
                    <a:stretch/>
                  </pic:blipFill>
                  <pic:spPr bwMode="auto">
                    <a:xfrm>
                      <a:off x="0" y="0"/>
                      <a:ext cx="5341512" cy="2421339"/>
                    </a:xfrm>
                    <a:prstGeom prst="rect">
                      <a:avLst/>
                    </a:prstGeom>
                    <a:noFill/>
                    <a:ln>
                      <a:noFill/>
                    </a:ln>
                    <a:extLst>
                      <a:ext uri="{53640926-AAD7-44D8-BBD7-CCE9431645EC}">
                        <a14:shadowObscured xmlns:a14="http://schemas.microsoft.com/office/drawing/2010/main"/>
                      </a:ext>
                    </a:extLst>
                  </pic:spPr>
                </pic:pic>
              </a:graphicData>
            </a:graphic>
          </wp:inline>
        </w:drawing>
      </w:r>
    </w:p>
    <w:p w14:paraId="1C27D93D" w14:textId="77777777" w:rsidR="00D12565" w:rsidRDefault="00D12565" w:rsidP="00D12565">
      <w:pPr>
        <w:pStyle w:val="TableDescription"/>
      </w:pPr>
      <w:r>
        <w:t xml:space="preserve">ACR20 = American College of Rheumatology 20% response; BL = baseline; PBO = placebo; QD = once daily; </w:t>
      </w:r>
      <w:proofErr w:type="spellStart"/>
      <w:r>
        <w:t>Wk</w:t>
      </w:r>
      <w:proofErr w:type="spellEnd"/>
      <w:r>
        <w:t xml:space="preserve"> = week.</w:t>
      </w:r>
    </w:p>
    <w:p w14:paraId="3FC5C13E" w14:textId="77777777" w:rsidR="00D12565" w:rsidRDefault="00D12565" w:rsidP="00D12565">
      <w:pPr>
        <w:pStyle w:val="TableDescription"/>
      </w:pPr>
      <w:proofErr w:type="spellStart"/>
      <w:r>
        <w:t>a</w:t>
      </w:r>
      <w:proofErr w:type="spellEnd"/>
      <w:r>
        <w:t xml:space="preserve"> At Week 16, </w:t>
      </w:r>
      <w:proofErr w:type="spellStart"/>
      <w:r>
        <w:t>resuce</w:t>
      </w:r>
      <w:proofErr w:type="spellEnd"/>
      <w:r>
        <w:t xml:space="preserve"> therapy was to be offered to subjects classified as non-responders (defined as not achieving at least 20% improvement in either or both tender joint count (TJC) and swollen joint count (SJC) at both Week 12 and Week 16)</w:t>
      </w:r>
    </w:p>
    <w:p w14:paraId="20933753" w14:textId="77777777" w:rsidR="00D12565" w:rsidRDefault="00D12565" w:rsidP="00D12565">
      <w:pPr>
        <w:pStyle w:val="TableDescription"/>
      </w:pPr>
      <w:r>
        <w:t xml:space="preserve">b At Week 24, all placebo subjects were to switch to </w:t>
      </w:r>
      <w:proofErr w:type="spellStart"/>
      <w:r>
        <w:t>upadacitinib</w:t>
      </w:r>
      <w:proofErr w:type="spellEnd"/>
      <w:r>
        <w:t xml:space="preserve"> 15 mg QD or 30 mg QD (1:1 ratio) regardless of response.</w:t>
      </w:r>
    </w:p>
    <w:p w14:paraId="4ABE2FC9" w14:textId="77777777" w:rsidR="00D12565" w:rsidRDefault="00D12565" w:rsidP="00D12565">
      <w:r>
        <w:t>Participants were permitted to take up to two concomitant non-biological DMARDs during the trial. Inadequate responders could be rescued at Week 16 or later if they failed to achieve at least 20% improvement in either tender or swollen joint count at two consecutive evaluations.</w:t>
      </w:r>
    </w:p>
    <w:p w14:paraId="7D3C1A8B" w14:textId="2BCFE247" w:rsidR="00D12565" w:rsidRDefault="00D12565" w:rsidP="00D12565">
      <w:r>
        <w:t xml:space="preserve">The primary efficacy endpoint was the ACR20 response at Week 12. Ranked secondary endpoints included measures of the symptoms and signs of </w:t>
      </w:r>
      <w:proofErr w:type="spellStart"/>
      <w:r>
        <w:t>PsA</w:t>
      </w:r>
      <w:proofErr w:type="spellEnd"/>
      <w:r>
        <w:t xml:space="preserve"> and psoriasis and physical functioning (see </w:t>
      </w:r>
      <w:r>
        <w:fldChar w:fldCharType="begin"/>
      </w:r>
      <w:r>
        <w:instrText xml:space="preserve"> REF _Ref75261826 \h </w:instrText>
      </w:r>
      <w:r>
        <w:fldChar w:fldCharType="separate"/>
      </w:r>
      <w:r w:rsidR="00A677D2" w:rsidRPr="00984877">
        <w:t xml:space="preserve">Table </w:t>
      </w:r>
      <w:r w:rsidR="00A677D2">
        <w:rPr>
          <w:noProof/>
        </w:rPr>
        <w:t>2</w:t>
      </w:r>
      <w:r>
        <w:fldChar w:fldCharType="end"/>
      </w:r>
      <w:r>
        <w:t>). The evaluator considered the outcome measures and statistical analysis plan appropriate.</w:t>
      </w:r>
    </w:p>
    <w:p w14:paraId="05D32F40" w14:textId="77777777" w:rsidR="00D12565" w:rsidRDefault="00D12565" w:rsidP="00D12565">
      <w:proofErr w:type="gramStart"/>
      <w:r>
        <w:t>Overall</w:t>
      </w:r>
      <w:proofErr w:type="gramEnd"/>
      <w:r>
        <w:t xml:space="preserve"> 591 participants (92.1%) completed Week 12 and 543 participants (84.6%) completed Week 24 in the study. The most frequent primary reason for study medication discontinuation by Week 24 was lack of efficacy for the placebo group and AEs for the two </w:t>
      </w:r>
      <w:proofErr w:type="spellStart"/>
      <w:r w:rsidR="006C4F9F">
        <w:t>upadacitinib</w:t>
      </w:r>
      <w:proofErr w:type="spellEnd"/>
      <w:r>
        <w:t xml:space="preserve"> dose arms. At the data </w:t>
      </w:r>
      <w:proofErr w:type="spellStart"/>
      <w:r>
        <w:t>cutoff</w:t>
      </w:r>
      <w:proofErr w:type="spellEnd"/>
      <w:r>
        <w:t xml:space="preserve"> date, 297 participants (46.3%) had completed Period 1 (Week 56), 182 (28.3%) had discontinued study drug during Period 1 and 163 subjects were ongoing in Period 1. Of the 182 subjects who discontinued by data </w:t>
      </w:r>
      <w:proofErr w:type="spellStart"/>
      <w:r>
        <w:t>cutoff</w:t>
      </w:r>
      <w:proofErr w:type="spellEnd"/>
      <w:r>
        <w:t xml:space="preserve">, the most frequent primary reason for study drug discontinuation was lack of efficacy for the placebo and </w:t>
      </w:r>
      <w:proofErr w:type="spellStart"/>
      <w:r w:rsidR="006C4F9F">
        <w:t>upadacitinib</w:t>
      </w:r>
      <w:proofErr w:type="spellEnd"/>
      <w:r>
        <w:t xml:space="preserve"> 15 mg groups, and AEs for the </w:t>
      </w:r>
      <w:proofErr w:type="spellStart"/>
      <w:r w:rsidR="006C4F9F">
        <w:t>upadacitinib</w:t>
      </w:r>
      <w:proofErr w:type="spellEnd"/>
      <w:r>
        <w:t xml:space="preserve"> 30</w:t>
      </w:r>
      <w:r w:rsidR="00195EEE">
        <w:t> </w:t>
      </w:r>
      <w:r>
        <w:t>mg arm.</w:t>
      </w:r>
    </w:p>
    <w:p w14:paraId="11C85B55" w14:textId="77777777" w:rsidR="00D12565" w:rsidRDefault="00D12565" w:rsidP="00D12565">
      <w:r>
        <w:lastRenderedPageBreak/>
        <w:t xml:space="preserve">There were no clinically significant differences between the treatment groups at </w:t>
      </w:r>
      <w:r w:rsidR="00F123A4">
        <w:t>Baseline</w:t>
      </w:r>
      <w:r>
        <w:t xml:space="preserve"> with respect to demographic characteristics. The participants had a m</w:t>
      </w:r>
      <w:r w:rsidR="0033171C">
        <w:t xml:space="preserve">edian age of 54 years (range 22 to </w:t>
      </w:r>
      <w:r>
        <w:t>83 years) with 80.7% aged &lt;</w:t>
      </w:r>
      <w:r w:rsidR="001B7D7C">
        <w:t xml:space="preserve"> 65 years of age at B</w:t>
      </w:r>
      <w:r>
        <w:t>aseline. Just over half were female and almost 90% were of Caucasian background. The overall population had a mean BMI of 31.3 kg/m</w:t>
      </w:r>
      <w:r w:rsidRPr="001B7D7C">
        <w:rPr>
          <w:vertAlign w:val="superscript"/>
        </w:rPr>
        <w:t>2</w:t>
      </w:r>
      <w:r w:rsidR="001B7D7C">
        <w:t xml:space="preserve"> (range: 16 to </w:t>
      </w:r>
      <w:r>
        <w:t>65 kg/m</w:t>
      </w:r>
      <w:r w:rsidRPr="001B7D7C">
        <w:rPr>
          <w:vertAlign w:val="superscript"/>
        </w:rPr>
        <w:t>2</w:t>
      </w:r>
      <w:r>
        <w:t>) and around four in five had a BMI of ≥</w:t>
      </w:r>
      <w:r w:rsidR="001B7D7C">
        <w:t xml:space="preserve"> </w:t>
      </w:r>
      <w:r>
        <w:t>25 kg/m</w:t>
      </w:r>
      <w:r w:rsidRPr="001B7D7C">
        <w:rPr>
          <w:vertAlign w:val="superscript"/>
        </w:rPr>
        <w:t>2</w:t>
      </w:r>
      <w:r w:rsidR="001B7D7C">
        <w:t xml:space="preserve"> at B</w:t>
      </w:r>
      <w:r>
        <w:t xml:space="preserve">aseline. The treatment groups were </w:t>
      </w:r>
      <w:r w:rsidR="001B7D7C">
        <w:t xml:space="preserve">also comparable </w:t>
      </w:r>
      <w:proofErr w:type="gramStart"/>
      <w:r w:rsidR="001B7D7C">
        <w:t>with regard to</w:t>
      </w:r>
      <w:proofErr w:type="gramEnd"/>
      <w:r w:rsidR="001B7D7C">
        <w:t xml:space="preserve"> b</w:t>
      </w:r>
      <w:r>
        <w:t>aseline disease characteristics and activity, whic</w:t>
      </w:r>
      <w:r w:rsidR="0033171C">
        <w:t xml:space="preserve">h were consistent with moderate to </w:t>
      </w:r>
      <w:r>
        <w:t>severe activity in patients who are at a significant risk of disease progression.</w:t>
      </w:r>
    </w:p>
    <w:p w14:paraId="4E647E61" w14:textId="77777777" w:rsidR="00D12565" w:rsidRDefault="00D12565" w:rsidP="00D12565">
      <w:r>
        <w:t xml:space="preserve">Overall, adalimumab was the most frequently reported (46.6%) prior </w:t>
      </w:r>
      <w:proofErr w:type="spellStart"/>
      <w:r>
        <w:t>bDMARD</w:t>
      </w:r>
      <w:proofErr w:type="spellEnd"/>
      <w:r>
        <w:t>. Almost 80% of participants had recorded exposure to at least one anti-TNF therapy and 44.8% recorded exposure to a prior biological medicine other than anti-TNF drugs. Regarding past non-biological DMARD exposure, 21.5% had no prior experience, 50.2% had taken one, 20.7% had taken two, and 7.5% had prior experience with three or more non-biological DMARDs.</w:t>
      </w:r>
    </w:p>
    <w:p w14:paraId="0051396A" w14:textId="77777777" w:rsidR="001B7D7C" w:rsidRDefault="001B7D7C" w:rsidP="001B7D7C">
      <w:r>
        <w:t xml:space="preserve">During Study M15-554, participants could </w:t>
      </w:r>
      <w:proofErr w:type="gramStart"/>
      <w:r>
        <w:t>continue on</w:t>
      </w:r>
      <w:proofErr w:type="gramEnd"/>
      <w:r>
        <w:t xml:space="preserve"> stable doses of non-biological DMARDs, oral corticosteroids (equivalent to prednisone &lt; 10 mg daily) and NSAIDs. At Baseline, 46.2% were taking at least one non-biological DMARD, the most common of which was </w:t>
      </w:r>
      <w:r w:rsidR="006C4F9F">
        <w:t>methotrexate</w:t>
      </w:r>
      <w:r>
        <w:t xml:space="preserve"> (34.6%). Only 2.8% were taking the combination of </w:t>
      </w:r>
      <w:r w:rsidR="006C4F9F">
        <w:t>methotrexate</w:t>
      </w:r>
      <w:r>
        <w:t xml:space="preserve"> with one other non-biological DMARD. The proportion of participants taking oral corticosteroid at </w:t>
      </w:r>
      <w:r w:rsidR="00F123A4">
        <w:t>Baseline</w:t>
      </w:r>
      <w:r>
        <w:t xml:space="preserve"> was generally comparable between the three treatment groups although lower in the </w:t>
      </w:r>
      <w:proofErr w:type="spellStart"/>
      <w:r w:rsidR="006C4F9F">
        <w:t>upadacitinib</w:t>
      </w:r>
      <w:proofErr w:type="spellEnd"/>
      <w:r>
        <w:t xml:space="preserve"> 30 mg group (11.3% in the </w:t>
      </w:r>
      <w:r w:rsidR="006C4F9F">
        <w:t>placebo</w:t>
      </w:r>
      <w:r>
        <w:t xml:space="preserve"> group, 10.4% in the </w:t>
      </w:r>
      <w:proofErr w:type="spellStart"/>
      <w:r w:rsidR="006C4F9F">
        <w:t>upadacitinib</w:t>
      </w:r>
      <w:proofErr w:type="spellEnd"/>
      <w:r>
        <w:t xml:space="preserve"> 15 mg arm and 6.0% in the </w:t>
      </w:r>
      <w:proofErr w:type="spellStart"/>
      <w:r w:rsidR="006C4F9F">
        <w:t>upadacitinib</w:t>
      </w:r>
      <w:proofErr w:type="spellEnd"/>
      <w:r>
        <w:t xml:space="preserve"> 30 mg group).</w:t>
      </w:r>
    </w:p>
    <w:p w14:paraId="471459BF" w14:textId="77777777" w:rsidR="001B7D7C" w:rsidRDefault="001B7D7C" w:rsidP="001B7D7C">
      <w:r>
        <w:t xml:space="preserve">The primary efficacy outcome was met. A significantly greater proportion of subjects treated with </w:t>
      </w:r>
      <w:proofErr w:type="spellStart"/>
      <w:r w:rsidR="006C4F9F">
        <w:t>upadacitinib</w:t>
      </w:r>
      <w:proofErr w:type="spellEnd"/>
      <w:r>
        <w:t xml:space="preserve"> (either dose) achieved an ACR20 response compared to placebo. For </w:t>
      </w:r>
      <w:r w:rsidR="0033171C">
        <w:t>the FAS cohort (using NRI) the W</w:t>
      </w:r>
      <w:r>
        <w:t xml:space="preserve">eek 12 ACR20 response rate was 56.9% in the </w:t>
      </w:r>
      <w:proofErr w:type="spellStart"/>
      <w:r w:rsidR="006C4F9F">
        <w:t>upadacitinib</w:t>
      </w:r>
      <w:proofErr w:type="spellEnd"/>
      <w:r>
        <w:t xml:space="preserve"> 15 mg group and 63.8% in the </w:t>
      </w:r>
      <w:proofErr w:type="spellStart"/>
      <w:r w:rsidR="006C4F9F">
        <w:t>upadacitinib</w:t>
      </w:r>
      <w:proofErr w:type="spellEnd"/>
      <w:r>
        <w:t xml:space="preserve"> 30 mg arm compared with 24.1% in the </w:t>
      </w:r>
      <w:r w:rsidR="006C4F9F">
        <w:t>placebo</w:t>
      </w:r>
      <w:r>
        <w:t xml:space="preserve"> group. The point estimate for determining a treatment related difference for </w:t>
      </w:r>
      <w:proofErr w:type="spellStart"/>
      <w:r w:rsidR="006C4F9F">
        <w:t>upadacitinib</w:t>
      </w:r>
      <w:proofErr w:type="spellEnd"/>
      <w:r>
        <w:t xml:space="preserve"> 15 mg versus </w:t>
      </w:r>
      <w:r w:rsidR="006C4F9F">
        <w:t>placebo</w:t>
      </w:r>
      <w:r>
        <w:t xml:space="preserve"> was 32.8% (95% CI 24.0, 41.6, p &lt; 0.0001) and for </w:t>
      </w:r>
      <w:proofErr w:type="spellStart"/>
      <w:r w:rsidR="006C4F9F">
        <w:t>upadacitinib</w:t>
      </w:r>
      <w:proofErr w:type="spellEnd"/>
      <w:r>
        <w:t xml:space="preserve"> 30 mg versus </w:t>
      </w:r>
      <w:r w:rsidR="006C4F9F">
        <w:t>placebo</w:t>
      </w:r>
      <w:r>
        <w:t xml:space="preserve"> was 39.7% (95% CI 31.1, 48.3, p &lt; 0.0001). Supplementary analyses using AO for the FAS cohort and NRI on the PPS were consistent with the primary analysis of ACR20 response rate at Week 12. Based on multiplicity adjusted p-values, the study also achieved all ranked secondary efficacy endpoints (using FAS dataset).</w:t>
      </w:r>
    </w:p>
    <w:p w14:paraId="72C3BDBD" w14:textId="5C4BC82D" w:rsidR="001B7D7C" w:rsidRDefault="001B7D7C" w:rsidP="001B7D7C">
      <w:pPr>
        <w:pStyle w:val="TableTitle"/>
      </w:pPr>
      <w:r>
        <w:lastRenderedPageBreak/>
        <w:t xml:space="preserve">Table </w:t>
      </w:r>
      <w:r w:rsidR="00746A1E">
        <w:fldChar w:fldCharType="begin"/>
      </w:r>
      <w:r w:rsidR="00746A1E">
        <w:instrText xml:space="preserve"> SEQ Table \* ARABIC </w:instrText>
      </w:r>
      <w:r w:rsidR="00746A1E">
        <w:fldChar w:fldCharType="separate"/>
      </w:r>
      <w:r w:rsidR="00A677D2">
        <w:rPr>
          <w:noProof/>
        </w:rPr>
        <w:t>4</w:t>
      </w:r>
      <w:r w:rsidR="00746A1E">
        <w:rPr>
          <w:noProof/>
        </w:rPr>
        <w:fldChar w:fldCharType="end"/>
      </w:r>
      <w:r>
        <w:t xml:space="preserve">: </w:t>
      </w:r>
      <w:r w:rsidR="0033171C">
        <w:t>Study M15-554 Results for s</w:t>
      </w:r>
      <w:r w:rsidRPr="001B7D7C">
        <w:t xml:space="preserve">econdary </w:t>
      </w:r>
      <w:r w:rsidR="0033171C">
        <w:t>efficacy o</w:t>
      </w:r>
      <w:r w:rsidRPr="001B7D7C">
        <w:t>utcomes</w:t>
      </w:r>
    </w:p>
    <w:p w14:paraId="5A530394" w14:textId="77777777" w:rsidR="001B7D7C" w:rsidRDefault="001B7D7C" w:rsidP="001B7D7C">
      <w:r>
        <w:rPr>
          <w:noProof/>
          <w:lang w:eastAsia="en-AU"/>
        </w:rPr>
        <w:drawing>
          <wp:inline distT="0" distB="0" distL="0" distR="0" wp14:anchorId="39A70711" wp14:editId="57C6DE59">
            <wp:extent cx="5400040" cy="2554217"/>
            <wp:effectExtent l="0" t="0" r="0" b="0"/>
            <wp:docPr id="13" name="Picture 13" descr="Study M15-554 Results for secondary efficacy outcomes"/>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554217"/>
                    </a:xfrm>
                    <a:prstGeom prst="rect">
                      <a:avLst/>
                    </a:prstGeom>
                    <a:noFill/>
                    <a:ln>
                      <a:noFill/>
                    </a:ln>
                  </pic:spPr>
                </pic:pic>
              </a:graphicData>
            </a:graphic>
          </wp:inline>
        </w:drawing>
      </w:r>
      <w:r>
        <w:rPr>
          <w:noProof/>
          <w:lang w:eastAsia="en-AU"/>
        </w:rPr>
        <w:drawing>
          <wp:inline distT="0" distB="0" distL="0" distR="0" wp14:anchorId="034CDC52" wp14:editId="50741E81">
            <wp:extent cx="5400040" cy="1599346"/>
            <wp:effectExtent l="0" t="0" r="0" b="1270"/>
            <wp:docPr id="14" name="Picture 14" descr="Table 4: Study M15-554 Results for secondary efficacy outcomes"/>
            <wp:cNvGraphicFramePr/>
            <a:graphic xmlns:a="http://schemas.openxmlformats.org/drawingml/2006/main">
              <a:graphicData uri="http://schemas.openxmlformats.org/drawingml/2006/picture">
                <pic:pic xmlns:pic="http://schemas.openxmlformats.org/drawingml/2006/picture">
                  <pic:nvPicPr>
                    <pic:cNvPr id="14" name="Picture 14" descr="Table 4: Study M15-554 Results for secondary efficacy outcome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599346"/>
                    </a:xfrm>
                    <a:prstGeom prst="rect">
                      <a:avLst/>
                    </a:prstGeom>
                    <a:noFill/>
                    <a:ln>
                      <a:noFill/>
                    </a:ln>
                  </pic:spPr>
                </pic:pic>
              </a:graphicData>
            </a:graphic>
          </wp:inline>
        </w:drawing>
      </w:r>
    </w:p>
    <w:p w14:paraId="3DBD31C9" w14:textId="77777777" w:rsidR="001B7D7C" w:rsidRDefault="001B7D7C" w:rsidP="001B7D7C">
      <w:r>
        <w:t xml:space="preserve">An integrated analysis combined the efficacy data from the </w:t>
      </w:r>
      <w:proofErr w:type="gramStart"/>
      <w:r>
        <w:t>24 week</w:t>
      </w:r>
      <w:proofErr w:type="gramEnd"/>
      <w:r>
        <w:t xml:space="preserve"> </w:t>
      </w:r>
      <w:r w:rsidR="006C4F9F">
        <w:t>placebo</w:t>
      </w:r>
      <w:r>
        <w:t xml:space="preserve"> controlled periods of Study M15-572 (non-biological DMARD-IR </w:t>
      </w:r>
      <w:proofErr w:type="spellStart"/>
      <w:r>
        <w:t>PsA</w:t>
      </w:r>
      <w:proofErr w:type="spellEnd"/>
      <w:r>
        <w:t xml:space="preserve"> population) and Study M15-554 (</w:t>
      </w:r>
      <w:proofErr w:type="spellStart"/>
      <w:r>
        <w:t>bDMARD</w:t>
      </w:r>
      <w:proofErr w:type="spellEnd"/>
      <w:r>
        <w:t xml:space="preserve">-IR </w:t>
      </w:r>
      <w:proofErr w:type="spellStart"/>
      <w:r>
        <w:t>PsA</w:t>
      </w:r>
      <w:proofErr w:type="spellEnd"/>
      <w:r>
        <w:t xml:space="preserve"> population). The main objectives of the</w:t>
      </w:r>
      <w:r w:rsidR="0033171C">
        <w:t xml:space="preserve"> pooled efficacy analysis were:</w:t>
      </w:r>
    </w:p>
    <w:p w14:paraId="1E2BD0E0" w14:textId="77777777" w:rsidR="001B7D7C" w:rsidRDefault="001B7D7C" w:rsidP="001B7D7C">
      <w:pPr>
        <w:pStyle w:val="ListBullet"/>
      </w:pPr>
      <w:r>
        <w:t xml:space="preserve">to assess the efficacy of </w:t>
      </w:r>
      <w:proofErr w:type="spellStart"/>
      <w:r w:rsidR="006C4F9F">
        <w:t>upadacitinib</w:t>
      </w:r>
      <w:proofErr w:type="spellEnd"/>
      <w:r>
        <w:t xml:space="preserve"> versus </w:t>
      </w:r>
      <w:r w:rsidR="006C4F9F">
        <w:t>placebo</w:t>
      </w:r>
      <w:r>
        <w:t xml:space="preserve"> on key </w:t>
      </w:r>
      <w:proofErr w:type="gramStart"/>
      <w:r>
        <w:t>endpoints;</w:t>
      </w:r>
      <w:proofErr w:type="gramEnd"/>
    </w:p>
    <w:p w14:paraId="11F8E796" w14:textId="77777777" w:rsidR="001B7D7C" w:rsidRDefault="001B7D7C" w:rsidP="001B7D7C">
      <w:pPr>
        <w:pStyle w:val="ListBullet"/>
      </w:pPr>
      <w:r>
        <w:t xml:space="preserve">to assess the efficacy in subgroups defined by demographic and baseline disease </w:t>
      </w:r>
      <w:proofErr w:type="gramStart"/>
      <w:r>
        <w:t>characteristics;</w:t>
      </w:r>
      <w:proofErr w:type="gramEnd"/>
    </w:p>
    <w:p w14:paraId="14D9208A" w14:textId="77777777" w:rsidR="001B7D7C" w:rsidRDefault="001B7D7C" w:rsidP="001B7D7C">
      <w:pPr>
        <w:pStyle w:val="ListBullet"/>
      </w:pPr>
      <w:r>
        <w:t xml:space="preserve">to examine the efficacy of </w:t>
      </w:r>
      <w:proofErr w:type="spellStart"/>
      <w:r w:rsidR="006C4F9F">
        <w:t>upadacitinib</w:t>
      </w:r>
      <w:proofErr w:type="spellEnd"/>
      <w:r>
        <w:t xml:space="preserve"> as monotherapy versus in combination with background non-biologic DMARD; and</w:t>
      </w:r>
    </w:p>
    <w:p w14:paraId="68C206B4" w14:textId="77777777" w:rsidR="001B7D7C" w:rsidRDefault="001B7D7C" w:rsidP="001B7D7C">
      <w:pPr>
        <w:pStyle w:val="ListBullet"/>
      </w:pPr>
      <w:r>
        <w:t xml:space="preserve">to examine the efficacy of </w:t>
      </w:r>
      <w:proofErr w:type="spellStart"/>
      <w:r w:rsidR="006C4F9F">
        <w:t>upadacitinib</w:t>
      </w:r>
      <w:proofErr w:type="spellEnd"/>
      <w:r>
        <w:t xml:space="preserve"> in combination with </w:t>
      </w:r>
      <w:r w:rsidR="006C4F9F">
        <w:t>methotrexate</w:t>
      </w:r>
      <w:r>
        <w:t xml:space="preserve"> versus with other non-biologic DMARDs.</w:t>
      </w:r>
    </w:p>
    <w:p w14:paraId="7688068C" w14:textId="77777777" w:rsidR="001B7D7C" w:rsidRDefault="001B7D7C" w:rsidP="001B7D7C">
      <w:r>
        <w:t>The results of the pooled analysis were consis</w:t>
      </w:r>
      <w:r w:rsidR="0033171C">
        <w:t>tent with the individual Phase III</w:t>
      </w:r>
      <w:r>
        <w:t xml:space="preserve"> study results, which showed the superior efficacy of both doses of </w:t>
      </w:r>
      <w:proofErr w:type="spellStart"/>
      <w:r w:rsidR="006C4F9F">
        <w:t>upadacitinib</w:t>
      </w:r>
      <w:proofErr w:type="spellEnd"/>
      <w:r>
        <w:t xml:space="preserve"> versus </w:t>
      </w:r>
      <w:r w:rsidR="006C4F9F">
        <w:t>placebo</w:t>
      </w:r>
      <w:r>
        <w:t xml:space="preserve">, and that </w:t>
      </w:r>
      <w:proofErr w:type="spellStart"/>
      <w:r w:rsidR="006C4F9F">
        <w:t>upadacitinib</w:t>
      </w:r>
      <w:proofErr w:type="spellEnd"/>
      <w:r>
        <w:t xml:space="preserve"> 30 mg once daily provided an incremental </w:t>
      </w:r>
      <w:r w:rsidR="00195EEE">
        <w:t>efficacy benefit compared to 15 </w:t>
      </w:r>
      <w:r>
        <w:t>mg once daily, particularly for the more stringent efficacy endpoints.</w:t>
      </w:r>
    </w:p>
    <w:p w14:paraId="5B701CEC" w14:textId="2A147A4F" w:rsidR="001B7D7C" w:rsidRDefault="001B7D7C" w:rsidP="001B7D7C">
      <w:r>
        <w:t xml:space="preserve">The concurrent use of non-biological DMARDs (84% </w:t>
      </w:r>
      <w:r w:rsidR="006C4F9F">
        <w:t>methotrexate</w:t>
      </w:r>
      <w:r>
        <w:t>) did not appear to have a major effect on the ACR20 response rate at 12 weeks. The point estimates of placebo-subtracted treatment effects in the pooled analysis for 15 mg daily dosage were 34</w:t>
      </w:r>
      <w:r w:rsidR="0033171C">
        <w:t>.0% with non-biological DMARD versus</w:t>
      </w:r>
      <w:r>
        <w:t xml:space="preserve"> 33.7% in </w:t>
      </w:r>
      <w:proofErr w:type="spellStart"/>
      <w:r w:rsidR="006C4F9F">
        <w:t>upadacitinib</w:t>
      </w:r>
      <w:proofErr w:type="spellEnd"/>
      <w:r>
        <w:t xml:space="preserve"> monotherapy; and in the pooled analysis for 30</w:t>
      </w:r>
      <w:r w:rsidR="00195EEE">
        <w:t> </w:t>
      </w:r>
      <w:r>
        <w:t xml:space="preserve">mg daily dosage were 39.6% with non-biological DMARD versus 45.7% in </w:t>
      </w:r>
      <w:proofErr w:type="spellStart"/>
      <w:r w:rsidR="006C4F9F">
        <w:t>upadacitinib</w:t>
      </w:r>
      <w:proofErr w:type="spellEnd"/>
      <w:r>
        <w:t xml:space="preserve"> monotherapy. The greater difference between combination therapy and </w:t>
      </w:r>
      <w:proofErr w:type="spellStart"/>
      <w:r w:rsidR="006C4F9F">
        <w:t>upadacitinib</w:t>
      </w:r>
      <w:proofErr w:type="spellEnd"/>
      <w:r w:rsidR="00195EEE">
        <w:t xml:space="preserve"> monotherapy in the 30 </w:t>
      </w:r>
      <w:r>
        <w:t xml:space="preserve">mg daily cohort appeared to reflect greater variation in responsiveness in the smaller </w:t>
      </w:r>
      <w:r w:rsidR="00BB3D5A">
        <w:t>S</w:t>
      </w:r>
      <w:r>
        <w:t xml:space="preserve">tudy </w:t>
      </w:r>
      <w:r w:rsidR="00B645F1">
        <w:t xml:space="preserve">M15-554 </w:t>
      </w:r>
      <w:r>
        <w:t xml:space="preserve">enrolling participants previously intolerant or poorly responsive to </w:t>
      </w:r>
      <w:proofErr w:type="spellStart"/>
      <w:r>
        <w:t>bDMARD</w:t>
      </w:r>
      <w:proofErr w:type="spellEnd"/>
      <w:r>
        <w:t xml:space="preserve"> therapy.</w:t>
      </w:r>
    </w:p>
    <w:p w14:paraId="77127182" w14:textId="77777777" w:rsidR="001B7D7C" w:rsidRDefault="001B7D7C" w:rsidP="001B7D7C">
      <w:pPr>
        <w:pStyle w:val="Heading5"/>
      </w:pPr>
      <w:r>
        <w:lastRenderedPageBreak/>
        <w:t>Ankylosing Spondylitis</w:t>
      </w:r>
    </w:p>
    <w:p w14:paraId="19997806" w14:textId="7FF5148C" w:rsidR="001B7D7C" w:rsidRDefault="001B7D7C" w:rsidP="001B7D7C">
      <w:r>
        <w:t xml:space="preserve">Study M16-098 was a randomised, double blinded, </w:t>
      </w:r>
      <w:proofErr w:type="gramStart"/>
      <w:r>
        <w:t>placebo</w:t>
      </w:r>
      <w:r w:rsidR="0033171C">
        <w:t xml:space="preserve"> </w:t>
      </w:r>
      <w:r>
        <w:t>controlled</w:t>
      </w:r>
      <w:proofErr w:type="gramEnd"/>
      <w:r>
        <w:t xml:space="preserve"> trial that enrolled 187 adults with </w:t>
      </w:r>
      <w:r w:rsidR="00BE23B2">
        <w:t xml:space="preserve">active </w:t>
      </w:r>
      <w:r>
        <w:t xml:space="preserve">AS, according to the modified New York criteria for AS. The study enrolled participants who had not responded to a minimum of four weeks (total) therapy with at least two NSAIDs, or who had an intolerance or contraindication to a NSAID, and who had not been previously treated with a </w:t>
      </w:r>
      <w:proofErr w:type="spellStart"/>
      <w:r>
        <w:t>bDMARD</w:t>
      </w:r>
      <w:proofErr w:type="spellEnd"/>
      <w:r>
        <w:t xml:space="preserve">. Established and stable doses of NSAIDs, </w:t>
      </w:r>
      <w:proofErr w:type="spellStart"/>
      <w:r>
        <w:t>cDMARDs</w:t>
      </w:r>
      <w:proofErr w:type="spellEnd"/>
      <w:r>
        <w:t xml:space="preserve"> and/or oral corticosteroids were allowed as concomitant therapy. Exclusion criteria were typical for studies of this type, including other inflammatory arthritis, fibromyalgia, prior exposure to </w:t>
      </w:r>
      <w:r w:rsidR="00E9358F">
        <w:t>JAK inhibitor</w:t>
      </w:r>
      <w:r>
        <w:t>, concurrent use of strong CYP3A modulators,</w:t>
      </w:r>
      <w:r w:rsidR="0033171C">
        <w:fldChar w:fldCharType="begin"/>
      </w:r>
      <w:r w:rsidR="0033171C">
        <w:instrText xml:space="preserve"> NOTEREF _Ref75525644 \f \h </w:instrText>
      </w:r>
      <w:r w:rsidR="0033171C">
        <w:fldChar w:fldCharType="separate"/>
      </w:r>
      <w:r w:rsidR="00A677D2" w:rsidRPr="00A677D2">
        <w:rPr>
          <w:rStyle w:val="FootnoteReference"/>
        </w:rPr>
        <w:t>3</w:t>
      </w:r>
      <w:r w:rsidR="0033171C">
        <w:fldChar w:fldCharType="end"/>
      </w:r>
      <w:r>
        <w:t xml:space="preserve"> recent severe infection or chronic recurrent infections including herpes virus, TB, HIV and hepatitis B or C, and other significant or severe medical conditions including malignancy.</w:t>
      </w:r>
    </w:p>
    <w:p w14:paraId="2F9E31F5" w14:textId="77777777" w:rsidR="001B7D7C" w:rsidRDefault="001B7D7C" w:rsidP="001B7D7C">
      <w:r>
        <w:t>The study was conducted at 62 study centres in 20 countries (including Australia). The first patient was enrolled in October 2017 and the last patient assessment for this interim report occurred in January 2020. Global and local amendments to the original trial protocol were not considered to impact significantly upon the trial’s findings.</w:t>
      </w:r>
    </w:p>
    <w:p w14:paraId="62EF4B2F" w14:textId="55F1EF64" w:rsidR="001B7D7C" w:rsidRDefault="001B7D7C" w:rsidP="001B7D7C">
      <w:r>
        <w:t xml:space="preserve">Participants were randomised to 15 mg </w:t>
      </w:r>
      <w:proofErr w:type="spellStart"/>
      <w:r w:rsidR="006C4F9F">
        <w:t>upadacitinib</w:t>
      </w:r>
      <w:proofErr w:type="spellEnd"/>
      <w:r>
        <w:t xml:space="preserve"> daily or matching </w:t>
      </w:r>
      <w:r w:rsidR="006C4F9F">
        <w:t>placebo</w:t>
      </w:r>
      <w:r>
        <w:t xml:space="preserve">, for an initial period of 14 weeks (Period 1), after which </w:t>
      </w:r>
      <w:r w:rsidR="006C4F9F">
        <w:t>placebo</w:t>
      </w:r>
      <w:r w:rsidR="00195EEE">
        <w:t xml:space="preserve"> patients were switched to 15 </w:t>
      </w:r>
      <w:r>
        <w:t xml:space="preserve">mg </w:t>
      </w:r>
      <w:proofErr w:type="spellStart"/>
      <w:r w:rsidR="006C4F9F">
        <w:t>upadacitinib</w:t>
      </w:r>
      <w:proofErr w:type="spellEnd"/>
      <w:r>
        <w:t xml:space="preserve"> daily. All patients were then reviewed regularly up to a total of 104 </w:t>
      </w:r>
      <w:r w:rsidR="0033171C">
        <w:t xml:space="preserve">weeks treatment (Period 2, open </w:t>
      </w:r>
      <w:r>
        <w:t>label), with an additional safety follow up period of 30 days (</w:t>
      </w:r>
      <w:r w:rsidR="00BB3D5A">
        <w:t>s</w:t>
      </w:r>
      <w:r>
        <w:t xml:space="preserve">ee </w:t>
      </w:r>
      <w:r>
        <w:fldChar w:fldCharType="begin"/>
      </w:r>
      <w:r>
        <w:instrText xml:space="preserve"> REF _Ref75262697 \h </w:instrText>
      </w:r>
      <w:r>
        <w:fldChar w:fldCharType="separate"/>
      </w:r>
      <w:r w:rsidR="00A677D2">
        <w:t xml:space="preserve">Figure </w:t>
      </w:r>
      <w:r w:rsidR="00A677D2">
        <w:rPr>
          <w:noProof/>
        </w:rPr>
        <w:t>3</w:t>
      </w:r>
      <w:r>
        <w:fldChar w:fldCharType="end"/>
      </w:r>
      <w:r w:rsidR="00BB3D5A">
        <w:t>, below</w:t>
      </w:r>
      <w:r>
        <w:t>).</w:t>
      </w:r>
    </w:p>
    <w:p w14:paraId="11243959" w14:textId="036679BD" w:rsidR="001B7D7C" w:rsidRDefault="001B7D7C" w:rsidP="001B7D7C">
      <w:r>
        <w:t xml:space="preserve">Participants who did not achieve an </w:t>
      </w:r>
      <w:r w:rsidR="0033171C" w:rsidRPr="0033171C">
        <w:t xml:space="preserve">Assessment of </w:t>
      </w:r>
      <w:proofErr w:type="spellStart"/>
      <w:r w:rsidR="0033171C" w:rsidRPr="0033171C">
        <w:t>SpondyloArthritis</w:t>
      </w:r>
      <w:proofErr w:type="spellEnd"/>
      <w:r w:rsidR="0033171C" w:rsidRPr="0033171C">
        <w:t xml:space="preserve"> International Society </w:t>
      </w:r>
      <w:r w:rsidR="0033171C">
        <w:t>(</w:t>
      </w:r>
      <w:r>
        <w:t>ASAS</w:t>
      </w:r>
      <w:r w:rsidR="0033171C">
        <w:t xml:space="preserve">) </w:t>
      </w:r>
      <w:r>
        <w:t>20 response</w:t>
      </w:r>
      <w:r w:rsidR="00BD61CC">
        <w:t>;</w:t>
      </w:r>
      <w:r w:rsidR="00BB3D5A" w:rsidRPr="00475557">
        <w:rPr>
          <w:vertAlign w:val="superscript"/>
        </w:rPr>
        <w:fldChar w:fldCharType="begin"/>
      </w:r>
      <w:r w:rsidR="00BB3D5A" w:rsidRPr="00475557">
        <w:rPr>
          <w:vertAlign w:val="superscript"/>
        </w:rPr>
        <w:instrText xml:space="preserve"> NOTEREF _Ref77307194 \h </w:instrText>
      </w:r>
      <w:r w:rsidR="00965208">
        <w:rPr>
          <w:vertAlign w:val="superscript"/>
        </w:rPr>
        <w:instrText xml:space="preserve"> \* MERGEFORMAT </w:instrText>
      </w:r>
      <w:r w:rsidR="00BB3D5A" w:rsidRPr="00475557">
        <w:rPr>
          <w:vertAlign w:val="superscript"/>
        </w:rPr>
      </w:r>
      <w:r w:rsidR="00BB3D5A" w:rsidRPr="00475557">
        <w:rPr>
          <w:vertAlign w:val="superscript"/>
        </w:rPr>
        <w:fldChar w:fldCharType="separate"/>
      </w:r>
      <w:r w:rsidR="00A677D2">
        <w:rPr>
          <w:vertAlign w:val="superscript"/>
        </w:rPr>
        <w:t>7</w:t>
      </w:r>
      <w:r w:rsidR="00BB3D5A" w:rsidRPr="00475557">
        <w:rPr>
          <w:vertAlign w:val="superscript"/>
        </w:rPr>
        <w:fldChar w:fldCharType="end"/>
      </w:r>
      <w:r>
        <w:t xml:space="preserve"> at two consecutive visits </w:t>
      </w:r>
      <w:r w:rsidR="00CF1FDF">
        <w:t xml:space="preserve">starting at </w:t>
      </w:r>
      <w:r>
        <w:t xml:space="preserve">Week 16 were allowed additional or modified doses of NSAIDS, paracetamol, low potency opioids, and/or </w:t>
      </w:r>
      <w:proofErr w:type="spellStart"/>
      <w:r>
        <w:t>modifed</w:t>
      </w:r>
      <w:proofErr w:type="spellEnd"/>
      <w:r>
        <w:t xml:space="preserve"> doses of </w:t>
      </w:r>
      <w:r w:rsidR="006C4F9F">
        <w:t>methotrexate</w:t>
      </w:r>
      <w:r>
        <w:t xml:space="preserve"> or </w:t>
      </w:r>
      <w:r w:rsidR="006C4F9F">
        <w:t>sulfasalazine</w:t>
      </w:r>
      <w:r>
        <w:t xml:space="preserve"> from Week 20. Participants who did not achieve at least ASAS20 response at two consecutive visits </w:t>
      </w:r>
      <w:r w:rsidR="00CF1FDF">
        <w:t>starting at</w:t>
      </w:r>
      <w:r>
        <w:t xml:space="preserve"> Week 24 were discontinued from study treatment.</w:t>
      </w:r>
    </w:p>
    <w:p w14:paraId="35B8B4B2" w14:textId="2EE10186" w:rsidR="001B7D7C" w:rsidRDefault="001B7D7C" w:rsidP="0044041C">
      <w:pPr>
        <w:pStyle w:val="FigureTitle"/>
      </w:pPr>
      <w:bookmarkStart w:id="47" w:name="_Ref75262697"/>
      <w:r>
        <w:t xml:space="preserve">Figure </w:t>
      </w:r>
      <w:r w:rsidR="00746A1E">
        <w:fldChar w:fldCharType="begin"/>
      </w:r>
      <w:r w:rsidR="00746A1E">
        <w:instrText xml:space="preserve"> SEQ Figure \* ARABIC </w:instrText>
      </w:r>
      <w:r w:rsidR="00746A1E">
        <w:fldChar w:fldCharType="separate"/>
      </w:r>
      <w:r w:rsidR="00A677D2">
        <w:rPr>
          <w:noProof/>
        </w:rPr>
        <w:t>3</w:t>
      </w:r>
      <w:r w:rsidR="00746A1E">
        <w:rPr>
          <w:noProof/>
        </w:rPr>
        <w:fldChar w:fldCharType="end"/>
      </w:r>
      <w:bookmarkEnd w:id="47"/>
      <w:r w:rsidR="00BD61CC">
        <w:t>: Study M16-098 Design s</w:t>
      </w:r>
      <w:r>
        <w:t>chema</w:t>
      </w:r>
    </w:p>
    <w:p w14:paraId="09F8CE55" w14:textId="77777777" w:rsidR="0044041C" w:rsidRDefault="0044041C" w:rsidP="0044041C">
      <w:r>
        <w:rPr>
          <w:noProof/>
          <w:lang w:eastAsia="en-AU"/>
        </w:rPr>
        <w:drawing>
          <wp:inline distT="0" distB="0" distL="0" distR="0" wp14:anchorId="20A91C76" wp14:editId="07083946">
            <wp:extent cx="5072933" cy="2775006"/>
            <wp:effectExtent l="0" t="0" r="0" b="6350"/>
            <wp:docPr id="7" name="Picture 7" descr="A total of 170 participants were randomised to Placebo (N = 85) or 15 mg upadacitinib once daily (N = 85) in Period one consisting of 14 weeks treatment period. In Period two, placebo participants are switched to 15 mg upadacitinib for 90 weeks. After which, there is a follow up period of 30 days." title="Study M16-098 Design schema"/>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a:extLst>
                        <a:ext uri="{28A0092B-C50C-407E-A947-70E740481C1C}">
                          <a14:useLocalDpi xmlns:a14="http://schemas.microsoft.com/office/drawing/2010/main" val="0"/>
                        </a:ext>
                      </a:extLst>
                    </a:blip>
                    <a:srcRect l="9757" r="7055" b="50472"/>
                    <a:stretch/>
                  </pic:blipFill>
                  <pic:spPr bwMode="auto">
                    <a:xfrm>
                      <a:off x="0" y="0"/>
                      <a:ext cx="5079117" cy="2778389"/>
                    </a:xfrm>
                    <a:prstGeom prst="rect">
                      <a:avLst/>
                    </a:prstGeom>
                    <a:noFill/>
                    <a:ln>
                      <a:noFill/>
                    </a:ln>
                    <a:extLst>
                      <a:ext uri="{53640926-AAD7-44D8-BBD7-CCE9431645EC}">
                        <a14:shadowObscured xmlns:a14="http://schemas.microsoft.com/office/drawing/2010/main"/>
                      </a:ext>
                    </a:extLst>
                  </pic:spPr>
                </pic:pic>
              </a:graphicData>
            </a:graphic>
          </wp:inline>
        </w:drawing>
      </w:r>
    </w:p>
    <w:p w14:paraId="2910592A" w14:textId="77777777" w:rsidR="00E650B8" w:rsidRDefault="00E650B8" w:rsidP="00E650B8">
      <w:pPr>
        <w:pStyle w:val="TableDescription"/>
      </w:pPr>
      <w:r>
        <w:t xml:space="preserve">AS = ankylosing spondylitis; ASAS = Assessment of </w:t>
      </w:r>
      <w:proofErr w:type="spellStart"/>
      <w:r>
        <w:t>SpondyloArthritis</w:t>
      </w:r>
      <w:proofErr w:type="spellEnd"/>
      <w:r>
        <w:t xml:space="preserve"> International Society; BASDAI = Bath Ankylosing Spondylitis Disease Activity Index; </w:t>
      </w:r>
      <w:proofErr w:type="spellStart"/>
      <w:r>
        <w:t>bDMARD</w:t>
      </w:r>
      <w:proofErr w:type="spellEnd"/>
      <w:r>
        <w:t xml:space="preserve"> = biologic disease-modifying antirheumatic drugs; CT = computed tomography; </w:t>
      </w:r>
      <w:proofErr w:type="spellStart"/>
      <w:r>
        <w:t>hsCRP</w:t>
      </w:r>
      <w:proofErr w:type="spellEnd"/>
      <w:r>
        <w:t xml:space="preserve"> = high sensitivity C-reactive protein; MRI = magnetic resonance imaging; NRS = numeric rating scale; NSAIDs = nonsteroidal anti-inflammatory drugs; QD = once daily; ULN = upper limit of normal; W = week.</w:t>
      </w:r>
    </w:p>
    <w:p w14:paraId="73396244" w14:textId="77777777" w:rsidR="00E650B8" w:rsidRDefault="00E650B8" w:rsidP="00E650B8">
      <w:pPr>
        <w:pStyle w:val="TableDescription"/>
      </w:pPr>
      <w:r>
        <w:lastRenderedPageBreak/>
        <w:t xml:space="preserve">a Clinical diagnosis of AS and meeting the modified New York Criteria for AS. Subject must have baseline disease activity as defined by having </w:t>
      </w:r>
      <w:proofErr w:type="spellStart"/>
      <w:r>
        <w:t>BASDAi</w:t>
      </w:r>
      <w:proofErr w:type="spellEnd"/>
      <w:r>
        <w:t xml:space="preserve"> score ≥ 4 and Patient’s Assessment of Total Ba</w:t>
      </w:r>
      <w:r w:rsidR="005654FF">
        <w:t>ck Pain Score ≥ 4 based on a 0 to</w:t>
      </w:r>
      <w:r>
        <w:t xml:space="preserve"> 10 NRS at the screening and baseline visit.</w:t>
      </w:r>
    </w:p>
    <w:p w14:paraId="7B7BCBE0" w14:textId="77777777" w:rsidR="002142B2" w:rsidRDefault="002142B2" w:rsidP="00E650B8">
      <w:pPr>
        <w:pStyle w:val="TableDescription"/>
      </w:pPr>
      <w:r>
        <w:t xml:space="preserve">b Stratified by geographic region (USA/Canada, Japan, rest of the world) and </w:t>
      </w:r>
      <w:proofErr w:type="spellStart"/>
      <w:r>
        <w:t>hsCRP</w:t>
      </w:r>
      <w:proofErr w:type="spellEnd"/>
      <w:r>
        <w:t xml:space="preserve"> (≤ ULN versus &gt;</w:t>
      </w:r>
      <w:r w:rsidR="00BD61CC">
        <w:t xml:space="preserve"> </w:t>
      </w:r>
      <w:r>
        <w:t>ULN)</w:t>
      </w:r>
    </w:p>
    <w:p w14:paraId="57495645" w14:textId="77777777" w:rsidR="002142B2" w:rsidRDefault="002142B2" w:rsidP="00E650B8">
      <w:pPr>
        <w:pStyle w:val="TableDescription"/>
      </w:pPr>
      <w:r>
        <w:t>c The x-rays of the spine and pelvis will not be required during the screening period if subject has a previous anteroposterior pelvis x-ray and lateral spine x-rays within 90 days of the screening period, provided that the x-ray are confirmed to be adequate for the required evaluations and are deemed acceptable by the central imaging vendor.</w:t>
      </w:r>
    </w:p>
    <w:p w14:paraId="337F85AF" w14:textId="77777777" w:rsidR="002142B2" w:rsidRDefault="002142B2" w:rsidP="00E650B8">
      <w:pPr>
        <w:pStyle w:val="TableDescription"/>
      </w:pPr>
      <w:r>
        <w:t xml:space="preserve">d </w:t>
      </w:r>
      <w:proofErr w:type="gramStart"/>
      <w:r>
        <w:t>For</w:t>
      </w:r>
      <w:proofErr w:type="gramEnd"/>
      <w:r>
        <w:t xml:space="preserve"> subjects at select sites who consent to participation in the low-dose CT scan sub -study.</w:t>
      </w:r>
    </w:p>
    <w:p w14:paraId="3E3864A3" w14:textId="77777777" w:rsidR="002142B2" w:rsidRDefault="002142B2" w:rsidP="00E650B8">
      <w:pPr>
        <w:pStyle w:val="TableDescription"/>
      </w:pPr>
      <w:r>
        <w:t xml:space="preserve">e Starting at Week 16, subjects who do not achieve at least an ASA20 response at two consecutive visits will have the option to add or modify dose of NSAIDs, acetaminophen/paracetamol, low potency opioid medications (tramadol or combination of acetaminophen and codeine or hydrocodone), and/or modify dose of </w:t>
      </w:r>
      <w:r w:rsidR="006C4F9F">
        <w:t>methotrexate</w:t>
      </w:r>
      <w:r>
        <w:t xml:space="preserve"> or SSZ at Week 20 or thereafter.</w:t>
      </w:r>
    </w:p>
    <w:p w14:paraId="1479A7CB" w14:textId="77777777" w:rsidR="00DA7D15" w:rsidRDefault="002142B2" w:rsidP="00DA7D15">
      <w:pPr>
        <w:pStyle w:val="TableDescription"/>
      </w:pPr>
      <w:r>
        <w:t xml:space="preserve">f Starting at Week </w:t>
      </w:r>
      <w:proofErr w:type="gramStart"/>
      <w:r>
        <w:t>24 ,</w:t>
      </w:r>
      <w:proofErr w:type="gramEnd"/>
      <w:r>
        <w:t xml:space="preserve"> subjects who still do not achieve at least an ASA20 response at two consecutive visits will be discontinued from study drug treatment.</w:t>
      </w:r>
    </w:p>
    <w:p w14:paraId="1A26E3C6" w14:textId="163C0DF1" w:rsidR="002142B2" w:rsidRDefault="002142B2" w:rsidP="00DA7D15">
      <w:r>
        <w:t>The primary efficacy endpoint for Study M16-</w:t>
      </w:r>
      <w:r w:rsidR="00BD61CC">
        <w:t>098 was the ASAS40 response</w:t>
      </w:r>
      <w:bookmarkStart w:id="48" w:name="_Ref75764679"/>
      <w:r w:rsidR="00475557">
        <w:t>;</w:t>
      </w:r>
      <w:bookmarkEnd w:id="48"/>
      <w:r w:rsidR="00A677D2">
        <w:rPr>
          <w:rStyle w:val="FootnoteReference"/>
        </w:rPr>
        <w:footnoteReference w:id="9"/>
      </w:r>
      <w:r w:rsidR="00BD61CC">
        <w:t xml:space="preserve"> at W</w:t>
      </w:r>
      <w:r>
        <w:t xml:space="preserve">eek 14. The key multiplicity adjusted secondary endpoints for </w:t>
      </w:r>
      <w:r w:rsidR="00BD61CC">
        <w:t>Study M16-098 (all assessed at W</w:t>
      </w:r>
      <w:r>
        <w:t>eek 14) include:</w:t>
      </w:r>
    </w:p>
    <w:p w14:paraId="60FCF247" w14:textId="77777777" w:rsidR="002142B2" w:rsidRDefault="002142B2" w:rsidP="00DA7D15">
      <w:pPr>
        <w:pStyle w:val="ListBullet"/>
      </w:pPr>
      <w:r>
        <w:t xml:space="preserve">Mean change from </w:t>
      </w:r>
      <w:r w:rsidR="00F123A4">
        <w:t>Baseline</w:t>
      </w:r>
      <w:r>
        <w:t xml:space="preserve"> in Ankylosing Spondylitis Disease Activity Score (ASDAS), </w:t>
      </w:r>
    </w:p>
    <w:p w14:paraId="62E77558" w14:textId="77777777" w:rsidR="002142B2" w:rsidRDefault="002142B2" w:rsidP="00DA7D15">
      <w:pPr>
        <w:pStyle w:val="ListBullet"/>
      </w:pPr>
      <w:r>
        <w:t xml:space="preserve">Mean change from </w:t>
      </w:r>
      <w:r w:rsidR="00F123A4">
        <w:t>Baseline</w:t>
      </w:r>
      <w:r>
        <w:t xml:space="preserve"> in </w:t>
      </w:r>
      <w:proofErr w:type="spellStart"/>
      <w:r>
        <w:t>Spondyloarthritis</w:t>
      </w:r>
      <w:proofErr w:type="spellEnd"/>
      <w:r>
        <w:t xml:space="preserve"> Research Consortium of Canada (SPARCC) MRI spinal score, </w:t>
      </w:r>
    </w:p>
    <w:p w14:paraId="648D8BDB" w14:textId="77777777" w:rsidR="002142B2" w:rsidRDefault="002142B2" w:rsidP="00DA7D15">
      <w:pPr>
        <w:pStyle w:val="ListBullet"/>
      </w:pPr>
      <w:r>
        <w:t xml:space="preserve">Proportion of subjects achieving at least 50% improvement in </w:t>
      </w:r>
      <w:r w:rsidR="00BD61CC">
        <w:t>Bath Ankylosing Spondylitis Disease Activity Index (BASDAI 50 response rate),</w:t>
      </w:r>
      <w:r w:rsidR="00BD61CC">
        <w:rPr>
          <w:rStyle w:val="FootnoteReference"/>
        </w:rPr>
        <w:footnoteReference w:id="10"/>
      </w:r>
    </w:p>
    <w:p w14:paraId="253B3710" w14:textId="77777777" w:rsidR="002142B2" w:rsidRDefault="002142B2" w:rsidP="00DA7D15">
      <w:pPr>
        <w:pStyle w:val="ListBullet"/>
      </w:pPr>
      <w:r>
        <w:t xml:space="preserve">Mean change from </w:t>
      </w:r>
      <w:r w:rsidR="00F123A4">
        <w:t>Baseline</w:t>
      </w:r>
      <w:r>
        <w:t xml:space="preserve"> in Ankylosing Spondylitis Quality of Life (</w:t>
      </w:r>
      <w:proofErr w:type="spellStart"/>
      <w:r>
        <w:t>ASQoL</w:t>
      </w:r>
      <w:proofErr w:type="spellEnd"/>
      <w:r>
        <w:t>), and</w:t>
      </w:r>
    </w:p>
    <w:p w14:paraId="6BBC26DE" w14:textId="77777777" w:rsidR="002142B2" w:rsidRDefault="002142B2" w:rsidP="00DA7D15">
      <w:pPr>
        <w:pStyle w:val="ListBullet"/>
      </w:pPr>
      <w:r>
        <w:t xml:space="preserve">Proportion of subjects achieving ASAS partial remission. </w:t>
      </w:r>
    </w:p>
    <w:p w14:paraId="2C2C0C7C" w14:textId="77777777" w:rsidR="002142B2" w:rsidRDefault="002142B2" w:rsidP="00DA7D15">
      <w:r>
        <w:t xml:space="preserve">Mean changes from </w:t>
      </w:r>
      <w:r w:rsidR="00F123A4">
        <w:t>Baseline</w:t>
      </w:r>
      <w:r>
        <w:t xml:space="preserve"> were also examined for the following outcomes: </w:t>
      </w:r>
      <w:r w:rsidR="0010568F" w:rsidRPr="0010568F">
        <w:t xml:space="preserve">Bath Ankylosing Spondylitis Functional Index </w:t>
      </w:r>
      <w:r w:rsidR="0010568F">
        <w:t>(</w:t>
      </w:r>
      <w:r>
        <w:t>BASFI</w:t>
      </w:r>
      <w:r w:rsidR="0010568F">
        <w:t>)</w:t>
      </w:r>
      <w:r>
        <w:t xml:space="preserve">, linear Bath Ankylosing Spondylitis Metrology Index (BASMI linear), Maastricht Ankylosing Spondylitis </w:t>
      </w:r>
      <w:proofErr w:type="spellStart"/>
      <w:r>
        <w:t>Enthesitis</w:t>
      </w:r>
      <w:proofErr w:type="spellEnd"/>
      <w:r>
        <w:t xml:space="preserve"> Score (MASES), work productivity and activity impairment (WPAI) and ASAS Health Index.</w:t>
      </w:r>
    </w:p>
    <w:p w14:paraId="30E7B203" w14:textId="77777777" w:rsidR="002142B2" w:rsidRDefault="002142B2" w:rsidP="00DA7D15">
      <w:r>
        <w:t>The evaluator considered the outcome measures and statistical analysis plan appropriate.</w:t>
      </w:r>
    </w:p>
    <w:p w14:paraId="43A4E313" w14:textId="77777777" w:rsidR="002142B2" w:rsidRDefault="002142B2" w:rsidP="00DA7D15">
      <w:r>
        <w:t>Of the 187 subjects randomised into Study M16-098, all were included in the FAS and 168 (89.8%) subjects met the criteria for inclusion in the PPS a</w:t>
      </w:r>
      <w:r w:rsidR="0010568F">
        <w:t>t W</w:t>
      </w:r>
      <w:r>
        <w:t xml:space="preserve">eek 14. Eleven subjects (11.8%) in the </w:t>
      </w:r>
      <w:proofErr w:type="spellStart"/>
      <w:r w:rsidR="006C4F9F">
        <w:t>upadacitinib</w:t>
      </w:r>
      <w:proofErr w:type="spellEnd"/>
      <w:r>
        <w:t xml:space="preserve"> group and eight in the </w:t>
      </w:r>
      <w:r w:rsidR="006C4F9F">
        <w:t>placebo</w:t>
      </w:r>
      <w:r>
        <w:t xml:space="preserve"> arm (8.</w:t>
      </w:r>
      <w:r w:rsidR="0010568F">
        <w:t>5%) were excluded from the PPS.</w:t>
      </w:r>
    </w:p>
    <w:p w14:paraId="27A81C68" w14:textId="77777777" w:rsidR="002142B2" w:rsidRDefault="00F12FD6" w:rsidP="00F12FD6">
      <w:r>
        <w:t>Adverse events</w:t>
      </w:r>
      <w:r w:rsidR="002142B2">
        <w:t xml:space="preserve"> were the most frequent primary reason for discontinuing study drug in the </w:t>
      </w:r>
      <w:r w:rsidR="006C4F9F">
        <w:t>placebo</w:t>
      </w:r>
      <w:r w:rsidR="002142B2">
        <w:t xml:space="preserve"> group (n</w:t>
      </w:r>
      <w:r w:rsidR="0010568F">
        <w:t xml:space="preserve"> </w:t>
      </w:r>
      <w:r w:rsidR="002142B2">
        <w:t>=</w:t>
      </w:r>
      <w:r w:rsidR="0010568F">
        <w:t xml:space="preserve"> </w:t>
      </w:r>
      <w:r w:rsidR="002142B2">
        <w:t xml:space="preserve">3); while in the </w:t>
      </w:r>
      <w:proofErr w:type="spellStart"/>
      <w:r w:rsidR="006C4F9F">
        <w:t>upadacitinib</w:t>
      </w:r>
      <w:proofErr w:type="spellEnd"/>
      <w:r w:rsidR="002142B2">
        <w:t xml:space="preserve"> arm, </w:t>
      </w:r>
      <w:proofErr w:type="gramStart"/>
      <w:r w:rsidR="002142B2">
        <w:t>AEs</w:t>
      </w:r>
      <w:proofErr w:type="gramEnd"/>
      <w:r w:rsidR="002142B2">
        <w:t xml:space="preserve"> and subject withdrawal each accounted for two discontinuations.</w:t>
      </w:r>
    </w:p>
    <w:p w14:paraId="775686B6" w14:textId="744AD9F7" w:rsidR="002142B2" w:rsidRDefault="002142B2" w:rsidP="00F12FD6">
      <w:r>
        <w:lastRenderedPageBreak/>
        <w:t>There were no clinically significant differences betwe</w:t>
      </w:r>
      <w:r w:rsidR="0010568F">
        <w:t>en the two treatment groups at B</w:t>
      </w:r>
      <w:r>
        <w:t>aseline with respect to demographic characteristics. Randomised subjects had a median age of 46 years (range: 21</w:t>
      </w:r>
      <w:r w:rsidR="00F12FD6">
        <w:t xml:space="preserve"> to </w:t>
      </w:r>
      <w:r>
        <w:t>74 years) with 94.1% aged &lt;</w:t>
      </w:r>
      <w:r w:rsidR="00F12FD6">
        <w:t xml:space="preserve"> </w:t>
      </w:r>
      <w:r>
        <w:t>65 years. Males (70.6%) and White (82.9%) participants predominated. The overall po</w:t>
      </w:r>
      <w:r w:rsidR="00F12FD6">
        <w:t>pulation had a mean BMI of 26.8 </w:t>
      </w:r>
      <w:r w:rsidRPr="00F12FD6">
        <w:t>kg/m</w:t>
      </w:r>
      <w:r w:rsidRPr="00F12FD6">
        <w:rPr>
          <w:vertAlign w:val="superscript"/>
        </w:rPr>
        <w:t>2</w:t>
      </w:r>
      <w:r w:rsidR="00F12FD6" w:rsidRPr="00F12FD6">
        <w:t xml:space="preserve"> (range: 17 to </w:t>
      </w:r>
      <w:r w:rsidRPr="00F12FD6">
        <w:t>44 kg/m</w:t>
      </w:r>
      <w:r w:rsidRPr="00F12FD6">
        <w:rPr>
          <w:vertAlign w:val="superscript"/>
        </w:rPr>
        <w:t>2</w:t>
      </w:r>
      <w:r w:rsidRPr="00F12FD6">
        <w:t xml:space="preserve">) and 58.8% had BMI </w:t>
      </w:r>
      <w:r w:rsidR="00E56D01">
        <w:t>≥</w:t>
      </w:r>
      <w:r w:rsidR="00F12FD6">
        <w:t xml:space="preserve"> </w:t>
      </w:r>
      <w:r w:rsidRPr="00F12FD6">
        <w:t>25 kg/m</w:t>
      </w:r>
      <w:r w:rsidRPr="00F12FD6">
        <w:rPr>
          <w:vertAlign w:val="superscript"/>
        </w:rPr>
        <w:t>2</w:t>
      </w:r>
      <w:r w:rsidRPr="00F12FD6">
        <w:t>. Baseline disease</w:t>
      </w:r>
      <w:r>
        <w:t xml:space="preserve"> characteristics and activity were comparable in </w:t>
      </w:r>
      <w:proofErr w:type="spellStart"/>
      <w:r w:rsidR="006C4F9F">
        <w:t>upadacitinib</w:t>
      </w:r>
      <w:proofErr w:type="spellEnd"/>
      <w:r>
        <w:t xml:space="preserve"> and </w:t>
      </w:r>
      <w:r w:rsidR="006C4F9F">
        <w:t>placebo</w:t>
      </w:r>
      <w:r>
        <w:t xml:space="preserve"> groups. All but one of the 187 participants reported prior NSAID use. One participant in the </w:t>
      </w:r>
      <w:proofErr w:type="spellStart"/>
      <w:r w:rsidR="006C4F9F">
        <w:t>upadacitinib</w:t>
      </w:r>
      <w:proofErr w:type="spellEnd"/>
      <w:r>
        <w:t xml:space="preserve"> group had a recorded contraindication to a NSAID. The </w:t>
      </w:r>
      <w:proofErr w:type="gramStart"/>
      <w:r>
        <w:t>most commonly used</w:t>
      </w:r>
      <w:proofErr w:type="gramEnd"/>
      <w:r>
        <w:t xml:space="preserve"> prior NSAIDs included ibuprofen (48.1%), diclofenac (</w:t>
      </w:r>
      <w:r w:rsidR="00E56D01">
        <w:t>44.4</w:t>
      </w:r>
      <w:r>
        <w:t xml:space="preserve">%) and naproxen (34.2%). More than half of participants in each treatment group had no prior exposure to </w:t>
      </w:r>
      <w:proofErr w:type="spellStart"/>
      <w:r>
        <w:t>cDMARDs</w:t>
      </w:r>
      <w:proofErr w:type="spellEnd"/>
      <w:r>
        <w:t xml:space="preserve"> (</w:t>
      </w:r>
      <w:r w:rsidR="00F02849">
        <w:t xml:space="preserve">placebo </w:t>
      </w:r>
      <w:r>
        <w:t xml:space="preserve">61.7% </w:t>
      </w:r>
      <w:r w:rsidR="00F12FD6">
        <w:t>to</w:t>
      </w:r>
      <w:r>
        <w:t xml:space="preserve"> </w:t>
      </w:r>
      <w:proofErr w:type="spellStart"/>
      <w:r w:rsidR="00F02849">
        <w:t>upadacitinib</w:t>
      </w:r>
      <w:proofErr w:type="spellEnd"/>
      <w:r w:rsidR="00F02849">
        <w:t xml:space="preserve"> </w:t>
      </w:r>
      <w:r>
        <w:t xml:space="preserve">63.4%). The </w:t>
      </w:r>
      <w:proofErr w:type="gramStart"/>
      <w:r>
        <w:t>most commonly used</w:t>
      </w:r>
      <w:proofErr w:type="gramEnd"/>
      <w:r>
        <w:t xml:space="preserve"> </w:t>
      </w:r>
      <w:proofErr w:type="spellStart"/>
      <w:r>
        <w:t>cDMARDs</w:t>
      </w:r>
      <w:proofErr w:type="spellEnd"/>
      <w:r>
        <w:t xml:space="preserve"> included </w:t>
      </w:r>
      <w:r w:rsidR="006C4F9F">
        <w:t>sulfasalazine</w:t>
      </w:r>
      <w:r>
        <w:t xml:space="preserve"> (26.7%) and </w:t>
      </w:r>
      <w:r w:rsidR="006C4F9F">
        <w:t>methotrexate</w:t>
      </w:r>
      <w:r>
        <w:t xml:space="preserve"> (10.7%). Approximately 18% to 19% of subjects in each group had prior corticosteroid use.</w:t>
      </w:r>
    </w:p>
    <w:p w14:paraId="4D7AF884" w14:textId="5375552D" w:rsidR="002142B2" w:rsidRDefault="002142B2" w:rsidP="00DA7D15">
      <w:pPr>
        <w:rPr>
          <w:lang w:eastAsia="ja-JP"/>
        </w:rPr>
      </w:pPr>
      <w:r w:rsidRPr="00F12FD6">
        <w:t>The primary efficacy outcome was met. The ASAS40</w:t>
      </w:r>
      <w:r w:rsidR="00475557">
        <w:t>;</w:t>
      </w:r>
      <w:r w:rsidR="0010568F">
        <w:fldChar w:fldCharType="begin"/>
      </w:r>
      <w:r w:rsidR="0010568F">
        <w:instrText xml:space="preserve"> NOTEREF _Ref75764679 \f \h </w:instrText>
      </w:r>
      <w:r w:rsidR="0010568F">
        <w:fldChar w:fldCharType="separate"/>
      </w:r>
      <w:r w:rsidR="00A677D2" w:rsidRPr="00A677D2">
        <w:rPr>
          <w:rStyle w:val="FootnoteReference"/>
        </w:rPr>
        <w:t>9</w:t>
      </w:r>
      <w:r w:rsidR="0010568F">
        <w:fldChar w:fldCharType="end"/>
      </w:r>
      <w:r w:rsidRPr="00F12FD6">
        <w:t xml:space="preserve"> response</w:t>
      </w:r>
      <w:r w:rsidR="00F12FD6">
        <w:t xml:space="preserve"> rate at W</w:t>
      </w:r>
      <w:r w:rsidRPr="00F12FD6">
        <w:t xml:space="preserve">eek 14 was 51.6% in the </w:t>
      </w:r>
      <w:proofErr w:type="spellStart"/>
      <w:r w:rsidR="006C4F9F">
        <w:t>upadacitinib</w:t>
      </w:r>
      <w:proofErr w:type="spellEnd"/>
      <w:r w:rsidRPr="00F12FD6">
        <w:t xml:space="preserve"> arm and 25.5% in the </w:t>
      </w:r>
      <w:r w:rsidR="006C4F9F">
        <w:t>placebo</w:t>
      </w:r>
      <w:r w:rsidRPr="00F12FD6">
        <w:t xml:space="preserve"> arm. The treatment related difference for achieving ASAS40 response for </w:t>
      </w:r>
      <w:proofErr w:type="spellStart"/>
      <w:r w:rsidR="006C4F9F">
        <w:t>upadacitinib</w:t>
      </w:r>
      <w:proofErr w:type="spellEnd"/>
      <w:r w:rsidRPr="00F12FD6">
        <w:t xml:space="preserve"> versus </w:t>
      </w:r>
      <w:r w:rsidR="006C4F9F">
        <w:t>placebo</w:t>
      </w:r>
      <w:r w:rsidRPr="00F12FD6">
        <w:t xml:space="preserve"> was 26.1% (95% CI 12.6, 39.5, p</w:t>
      </w:r>
      <w:r w:rsidR="00F12FD6">
        <w:t xml:space="preserve"> </w:t>
      </w:r>
      <w:r w:rsidRPr="00F12FD6">
        <w:t>&lt;</w:t>
      </w:r>
      <w:r w:rsidR="00F12FD6">
        <w:t xml:space="preserve"> </w:t>
      </w:r>
      <w:r w:rsidRPr="00F12FD6">
        <w:t xml:space="preserve">0.001). Results from the supporting analyses using observed data (without missing data imputation) and the PPS were consistent with the primary statistical analysis. Treatment effects in all subgroups were in favour of </w:t>
      </w:r>
      <w:proofErr w:type="spellStart"/>
      <w:r w:rsidR="006C4F9F">
        <w:t>upadacitinib</w:t>
      </w:r>
      <w:proofErr w:type="spellEnd"/>
      <w:r w:rsidRPr="00F12FD6">
        <w:t xml:space="preserve"> versus </w:t>
      </w:r>
      <w:r w:rsidR="006C4F9F">
        <w:t>placebo</w:t>
      </w:r>
      <w:r w:rsidRPr="00F12FD6">
        <w:t>. In general, the analyses of secondary outcomes supported the primary outcome, although based on multiplicity adjusted testing not all were statistically significant</w:t>
      </w:r>
      <w:r w:rsidR="00F12FD6">
        <w:t xml:space="preserve"> (</w:t>
      </w:r>
      <w:r w:rsidR="00965208">
        <w:t>s</w:t>
      </w:r>
      <w:r w:rsidR="00F12FD6">
        <w:t xml:space="preserve">ee </w:t>
      </w:r>
      <w:r w:rsidR="00F12FD6">
        <w:fldChar w:fldCharType="begin"/>
      </w:r>
      <w:r w:rsidR="00F12FD6">
        <w:instrText xml:space="preserve"> REF _Ref75265771 \h </w:instrText>
      </w:r>
      <w:r w:rsidR="00F12FD6">
        <w:fldChar w:fldCharType="separate"/>
      </w:r>
      <w:r w:rsidR="00A677D2" w:rsidRPr="00F12FD6">
        <w:t xml:space="preserve">Table </w:t>
      </w:r>
      <w:r w:rsidR="00A677D2">
        <w:rPr>
          <w:noProof/>
        </w:rPr>
        <w:t>5</w:t>
      </w:r>
      <w:r w:rsidR="00F12FD6">
        <w:fldChar w:fldCharType="end"/>
      </w:r>
      <w:r w:rsidRPr="00F12FD6">
        <w:t>). An</w:t>
      </w:r>
      <w:r w:rsidR="00F12FD6">
        <w:t xml:space="preserve"> analysis of W</w:t>
      </w:r>
      <w:r w:rsidRPr="00F12FD6">
        <w:t xml:space="preserve">eek 14 spinal MRI results (using only available MRI data) supported the primary </w:t>
      </w:r>
      <w:r w:rsidR="00F12FD6">
        <w:t>analysis. The mean change from B</w:t>
      </w:r>
      <w:r w:rsidRPr="00F12FD6">
        <w:t>aseline in the MRI SP</w:t>
      </w:r>
      <w:r w:rsidR="0010568F">
        <w:t xml:space="preserve">ARCC score of the </w:t>
      </w:r>
      <w:r w:rsidR="0010568F" w:rsidRPr="0010568F">
        <w:t>sacroiliac joints</w:t>
      </w:r>
      <w:r w:rsidR="00F12FD6">
        <w:t xml:space="preserve"> at W</w:t>
      </w:r>
      <w:r w:rsidRPr="00F12FD6">
        <w:t xml:space="preserve">eek 14 (using observed data) showed an improvement for the </w:t>
      </w:r>
      <w:proofErr w:type="spellStart"/>
      <w:r w:rsidR="006C4F9F">
        <w:t>upadacitinib</w:t>
      </w:r>
      <w:proofErr w:type="spellEnd"/>
      <w:r w:rsidRPr="00F12FD6">
        <w:t xml:space="preserve"> versus </w:t>
      </w:r>
      <w:r w:rsidR="006C4F9F">
        <w:t>placebo</w:t>
      </w:r>
      <w:r w:rsidR="00BE0B06">
        <w:t xml:space="preserve"> group with a nominal p </w:t>
      </w:r>
      <w:r w:rsidRPr="00F12FD6">
        <w:t>value of &lt;</w:t>
      </w:r>
      <w:r w:rsidR="00F12FD6">
        <w:t xml:space="preserve"> </w:t>
      </w:r>
      <w:r w:rsidRPr="00F12FD6">
        <w:t>0.001 for the difference</w:t>
      </w:r>
      <w:r>
        <w:rPr>
          <w:lang w:eastAsia="ja-JP"/>
        </w:rPr>
        <w:t>.</w:t>
      </w:r>
    </w:p>
    <w:p w14:paraId="019CB84C" w14:textId="77777777" w:rsidR="002142B2" w:rsidRDefault="002142B2" w:rsidP="00DA7D15">
      <w:r>
        <w:rPr>
          <w:lang w:eastAsia="ja-JP"/>
        </w:rPr>
        <w:t xml:space="preserve">Preliminary results from </w:t>
      </w:r>
      <w:r w:rsidR="00F12FD6">
        <w:rPr>
          <w:lang w:eastAsia="ja-JP"/>
        </w:rPr>
        <w:t>P</w:t>
      </w:r>
      <w:r>
        <w:rPr>
          <w:lang w:eastAsia="ja-JP"/>
        </w:rPr>
        <w:t xml:space="preserve">eriod 2 of the study demonstrated that the treatment response to </w:t>
      </w:r>
      <w:proofErr w:type="spellStart"/>
      <w:r w:rsidR="006C4F9F">
        <w:rPr>
          <w:lang w:eastAsia="ja-JP"/>
        </w:rPr>
        <w:t>upadacitinib</w:t>
      </w:r>
      <w:proofErr w:type="spellEnd"/>
      <w:r>
        <w:rPr>
          <w:lang w:eastAsia="ja-JP"/>
        </w:rPr>
        <w:t xml:space="preserve"> was maintained</w:t>
      </w:r>
      <w:r w:rsidR="00F12FD6">
        <w:rPr>
          <w:lang w:eastAsia="ja-JP"/>
        </w:rPr>
        <w:t xml:space="preserve"> or continued to improve up to W</w:t>
      </w:r>
      <w:r>
        <w:rPr>
          <w:lang w:eastAsia="ja-JP"/>
        </w:rPr>
        <w:t xml:space="preserve">eek 64. For patients who switched from </w:t>
      </w:r>
      <w:r w:rsidR="006C4F9F">
        <w:rPr>
          <w:lang w:eastAsia="ja-JP"/>
        </w:rPr>
        <w:t>placebo</w:t>
      </w:r>
      <w:r>
        <w:rPr>
          <w:lang w:eastAsia="ja-JP"/>
        </w:rPr>
        <w:t xml:space="preserve"> to </w:t>
      </w:r>
      <w:proofErr w:type="spellStart"/>
      <w:r w:rsidR="006C4F9F">
        <w:rPr>
          <w:lang w:eastAsia="ja-JP"/>
        </w:rPr>
        <w:t>upadacitinib</w:t>
      </w:r>
      <w:proofErr w:type="spellEnd"/>
      <w:r>
        <w:rPr>
          <w:lang w:eastAsia="ja-JP"/>
        </w:rPr>
        <w:t xml:space="preserve"> 15 mg daily at the conclusion of Period 1, a similar magnitude of treatment response was observed in Period 2.</w:t>
      </w:r>
    </w:p>
    <w:p w14:paraId="7456F500" w14:textId="76AA7F3F" w:rsidR="002142B2" w:rsidRDefault="00F12FD6" w:rsidP="00F12FD6">
      <w:pPr>
        <w:pStyle w:val="TableTitle"/>
      </w:pPr>
      <w:bookmarkStart w:id="49" w:name="_Ref75265771"/>
      <w:r w:rsidRPr="00F12FD6">
        <w:lastRenderedPageBreak/>
        <w:t xml:space="preserve">Table </w:t>
      </w:r>
      <w:r w:rsidR="00746A1E">
        <w:fldChar w:fldCharType="begin"/>
      </w:r>
      <w:r w:rsidR="00746A1E">
        <w:instrText xml:space="preserve"> SEQ Table \* ARABIC </w:instrText>
      </w:r>
      <w:r w:rsidR="00746A1E">
        <w:fldChar w:fldCharType="separate"/>
      </w:r>
      <w:r w:rsidR="00A677D2">
        <w:rPr>
          <w:noProof/>
        </w:rPr>
        <w:t>5</w:t>
      </w:r>
      <w:r w:rsidR="00746A1E">
        <w:rPr>
          <w:noProof/>
        </w:rPr>
        <w:fldChar w:fldCharType="end"/>
      </w:r>
      <w:bookmarkEnd w:id="49"/>
      <w:r w:rsidR="00BE0B06">
        <w:t xml:space="preserve">: Study </w:t>
      </w:r>
      <w:r w:rsidR="00BD0FB4">
        <w:t>M16-098</w:t>
      </w:r>
      <w:r w:rsidR="00BE0B06">
        <w:t xml:space="preserve"> Results for secondary e</w:t>
      </w:r>
      <w:r>
        <w:t xml:space="preserve">fficacy </w:t>
      </w:r>
      <w:r w:rsidR="00BE0B06">
        <w:t>o</w:t>
      </w:r>
      <w:r>
        <w:t>utcomes</w:t>
      </w:r>
    </w:p>
    <w:p w14:paraId="47020673" w14:textId="77777777" w:rsidR="00F12FD6" w:rsidRDefault="00F12FD6" w:rsidP="00F12FD6">
      <w:r>
        <w:rPr>
          <w:noProof/>
          <w:lang w:eastAsia="en-AU"/>
        </w:rPr>
        <w:drawing>
          <wp:inline distT="0" distB="0" distL="0" distR="0" wp14:anchorId="5AB2512C" wp14:editId="05E0F681">
            <wp:extent cx="5400040" cy="5220338"/>
            <wp:effectExtent l="0" t="0" r="0" b="0"/>
            <wp:docPr id="6" name="Picture 6" descr="Study M160-94 Results for secondary efficacy outcomes"/>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220338"/>
                    </a:xfrm>
                    <a:prstGeom prst="rect">
                      <a:avLst/>
                    </a:prstGeom>
                    <a:noFill/>
                    <a:ln>
                      <a:noFill/>
                    </a:ln>
                  </pic:spPr>
                </pic:pic>
              </a:graphicData>
            </a:graphic>
          </wp:inline>
        </w:drawing>
      </w:r>
      <w:r>
        <w:rPr>
          <w:noProof/>
          <w:lang w:eastAsia="en-AU"/>
        </w:rPr>
        <w:drawing>
          <wp:inline distT="0" distB="0" distL="0" distR="0" wp14:anchorId="225D6D76" wp14:editId="7D12C83A">
            <wp:extent cx="5399578" cy="1097280"/>
            <wp:effectExtent l="0" t="0" r="0" b="7620"/>
            <wp:docPr id="8" name="Picture 8" descr="Table 5: Study M16-098 Results for secondary efficacy outcomes"/>
            <wp:cNvGraphicFramePr/>
            <a:graphic xmlns:a="http://schemas.openxmlformats.org/drawingml/2006/main">
              <a:graphicData uri="http://schemas.openxmlformats.org/drawingml/2006/picture">
                <pic:pic xmlns:pic="http://schemas.openxmlformats.org/drawingml/2006/picture">
                  <pic:nvPicPr>
                    <pic:cNvPr id="8" name="Picture 8" descr="Table 5: Study M16-098 Results for secondary efficacy outcomes"/>
                    <pic:cNvPicPr/>
                  </pic:nvPicPr>
                  <pic:blipFill rotWithShape="1">
                    <a:blip r:embed="rId28">
                      <a:extLst>
                        <a:ext uri="{28A0092B-C50C-407E-A947-70E740481C1C}">
                          <a14:useLocalDpi xmlns:a14="http://schemas.microsoft.com/office/drawing/2010/main" val="0"/>
                        </a:ext>
                      </a:extLst>
                    </a:blip>
                    <a:srcRect b="61651"/>
                    <a:stretch/>
                  </pic:blipFill>
                  <pic:spPr bwMode="auto">
                    <a:xfrm>
                      <a:off x="0" y="0"/>
                      <a:ext cx="5400040" cy="1097374"/>
                    </a:xfrm>
                    <a:prstGeom prst="rect">
                      <a:avLst/>
                    </a:prstGeom>
                    <a:noFill/>
                    <a:ln>
                      <a:noFill/>
                    </a:ln>
                    <a:extLst>
                      <a:ext uri="{53640926-AAD7-44D8-BBD7-CCE9431645EC}">
                        <a14:shadowObscured xmlns:a14="http://schemas.microsoft.com/office/drawing/2010/main"/>
                      </a:ext>
                    </a:extLst>
                  </pic:spPr>
                </pic:pic>
              </a:graphicData>
            </a:graphic>
          </wp:inline>
        </w:drawing>
      </w:r>
    </w:p>
    <w:p w14:paraId="33BE3C20" w14:textId="48FFF0C7" w:rsidR="00F12FD6" w:rsidRDefault="00F12FD6" w:rsidP="00F12FD6">
      <w:pPr>
        <w:pStyle w:val="TableDescription"/>
      </w:pPr>
      <w:r>
        <w:t>a</w:t>
      </w:r>
      <w:r w:rsidR="00965208">
        <w:t>)</w:t>
      </w:r>
      <w:r>
        <w:t xml:space="preserve"> Results for binary endpoints are based on non-responder imputation. Results for continuous endpoints are based on </w:t>
      </w:r>
      <w:r w:rsidR="00965208">
        <w:t>a mixed model for repeated measures (</w:t>
      </w:r>
      <w:r>
        <w:t>MMRM</w:t>
      </w:r>
      <w:r w:rsidR="00965208">
        <w:t>)</w:t>
      </w:r>
      <w:r>
        <w:t xml:space="preserve"> model.</w:t>
      </w:r>
    </w:p>
    <w:p w14:paraId="24156301" w14:textId="36769840" w:rsidR="00F12FD6" w:rsidRDefault="00F12FD6" w:rsidP="00F12FD6">
      <w:pPr>
        <w:pStyle w:val="TableDescription"/>
      </w:pPr>
      <w:r>
        <w:t>b</w:t>
      </w:r>
      <w:r w:rsidR="00965208">
        <w:t>)</w:t>
      </w:r>
      <w:r>
        <w:t xml:space="preserve"> Multiplicity adjusted results are obtained via the sequential multiple testing procedure with the group of endpoints denoted with ‘d’ tested using the Hochberg procedure as one node in the sequence. The testing procedure controls the overall type I error rate of all primary and ranked secondary endpoints at the 0.05 level.</w:t>
      </w:r>
    </w:p>
    <w:p w14:paraId="6383ECDC" w14:textId="2D14B14A" w:rsidR="00F12FD6" w:rsidRDefault="00F12FD6" w:rsidP="00F12FD6">
      <w:pPr>
        <w:pStyle w:val="TableDescription"/>
      </w:pPr>
      <w:r>
        <w:t>c</w:t>
      </w:r>
      <w:r w:rsidR="00965208">
        <w:t>)</w:t>
      </w:r>
      <w:r>
        <w:t xml:space="preserve"> Baseline includes MRI data up to 3 days post first dose of study drug and Week 14 includes MRI data up to first dose of Period 2 study drug.</w:t>
      </w:r>
    </w:p>
    <w:p w14:paraId="5722A969" w14:textId="620AE048" w:rsidR="00F12FD6" w:rsidRDefault="00F12FD6" w:rsidP="00F12FD6">
      <w:pPr>
        <w:pStyle w:val="TableDescription"/>
      </w:pPr>
      <w:r>
        <w:t>d</w:t>
      </w:r>
      <w:r w:rsidR="00965208">
        <w:t>)</w:t>
      </w:r>
      <w:r>
        <w:t xml:space="preserve"> Variables in the Hochberg procedure.</w:t>
      </w:r>
    </w:p>
    <w:p w14:paraId="67C9F3CA" w14:textId="5096AFCC" w:rsidR="00F12FD6" w:rsidRDefault="00F12FD6" w:rsidP="00F12FD6">
      <w:pPr>
        <w:pStyle w:val="TableDescription"/>
      </w:pPr>
      <w:r>
        <w:t>e</w:t>
      </w:r>
      <w:r w:rsidR="00965208">
        <w:t>)</w:t>
      </w:r>
      <w:r>
        <w:t xml:space="preserve"> Includes subjects currently employed according to WPAI S0.</w:t>
      </w:r>
    </w:p>
    <w:p w14:paraId="499A73A2" w14:textId="78FA1645" w:rsidR="00F12FD6" w:rsidRDefault="00F12FD6" w:rsidP="00F12FD6">
      <w:pPr>
        <w:pStyle w:val="TableDescription"/>
      </w:pPr>
      <w:r>
        <w:t>f</w:t>
      </w:r>
      <w:r w:rsidR="00965208">
        <w:t>)</w:t>
      </w:r>
      <w:r>
        <w:t xml:space="preserve"> Result is designed as not significant because the chain was broken before ASAS HI, and therefore it was not evaluated.</w:t>
      </w:r>
    </w:p>
    <w:p w14:paraId="4552F33B" w14:textId="77777777" w:rsidR="008F6481" w:rsidRDefault="008F6481" w:rsidP="008F6481">
      <w:pPr>
        <w:pStyle w:val="Heading4"/>
      </w:pPr>
      <w:r w:rsidRPr="00AA53F4">
        <w:lastRenderedPageBreak/>
        <w:t>Safety</w:t>
      </w:r>
    </w:p>
    <w:p w14:paraId="1A49EF0F" w14:textId="77777777" w:rsidR="008F6481" w:rsidRDefault="008F6481" w:rsidP="008F6481">
      <w:r>
        <w:t>Safety reports from the clinical studies were presented for the placebo</w:t>
      </w:r>
      <w:r w:rsidR="00BE0B06">
        <w:t xml:space="preserve"> </w:t>
      </w:r>
      <w:r>
        <w:t>controlled periods (</w:t>
      </w:r>
      <w:r w:rsidR="006C4F9F">
        <w:t>placebo</w:t>
      </w:r>
      <w:r w:rsidR="00BE0B06">
        <w:t xml:space="preserve"> controlled analysis sets, Week 0 to 24 in </w:t>
      </w:r>
      <w:proofErr w:type="spellStart"/>
      <w:r w:rsidR="00BE0B06">
        <w:t>PsA</w:t>
      </w:r>
      <w:proofErr w:type="spellEnd"/>
      <w:r w:rsidR="00BE0B06">
        <w:t xml:space="preserve"> studies, Week 0 to </w:t>
      </w:r>
      <w:r>
        <w:t>14 in AS study) and for all</w:t>
      </w:r>
      <w:r w:rsidR="00BE0B06">
        <w:t xml:space="preserve"> periods including the long </w:t>
      </w:r>
      <w:r>
        <w:t xml:space="preserve">term open label periods (any </w:t>
      </w:r>
      <w:proofErr w:type="spellStart"/>
      <w:r w:rsidR="006C4F9F">
        <w:t>upadacitinib</w:t>
      </w:r>
      <w:proofErr w:type="spellEnd"/>
      <w:r>
        <w:t xml:space="preserve"> analysis sets).</w:t>
      </w:r>
    </w:p>
    <w:p w14:paraId="2164D703" w14:textId="43848886" w:rsidR="008F6481" w:rsidRDefault="008F6481" w:rsidP="008F6481">
      <w:pPr>
        <w:pStyle w:val="TableTitle"/>
      </w:pPr>
      <w:bookmarkStart w:id="50" w:name="_Ref75349010"/>
      <w:r w:rsidRPr="008F6481">
        <w:t xml:space="preserve">Table </w:t>
      </w:r>
      <w:r w:rsidR="00746A1E">
        <w:fldChar w:fldCharType="begin"/>
      </w:r>
      <w:r w:rsidR="00746A1E">
        <w:instrText xml:space="preserve"> SEQ Table \* ARABIC </w:instrText>
      </w:r>
      <w:r w:rsidR="00746A1E">
        <w:fldChar w:fldCharType="separate"/>
      </w:r>
      <w:r w:rsidR="00A677D2">
        <w:rPr>
          <w:noProof/>
        </w:rPr>
        <w:t>6</w:t>
      </w:r>
      <w:r w:rsidR="00746A1E">
        <w:rPr>
          <w:noProof/>
        </w:rPr>
        <w:fldChar w:fldCharType="end"/>
      </w:r>
      <w:bookmarkEnd w:id="50"/>
      <w:r>
        <w:t xml:space="preserve">: </w:t>
      </w:r>
      <w:proofErr w:type="spellStart"/>
      <w:r>
        <w:t>PsA</w:t>
      </w:r>
      <w:proofErr w:type="spellEnd"/>
      <w:r>
        <w:t xml:space="preserve"> studies drug exposure by duration</w:t>
      </w:r>
    </w:p>
    <w:p w14:paraId="34994949" w14:textId="77777777" w:rsidR="008F6481" w:rsidRDefault="008F6481" w:rsidP="008F6481">
      <w:r>
        <w:rPr>
          <w:noProof/>
          <w:lang w:eastAsia="en-AU"/>
        </w:rPr>
        <w:drawing>
          <wp:inline distT="0" distB="0" distL="0" distR="0" wp14:anchorId="3FC26DCC" wp14:editId="20FAF690">
            <wp:extent cx="5237683" cy="2764419"/>
            <wp:effectExtent l="0" t="0" r="1270" b="0"/>
            <wp:docPr id="28" name="Picture 28" descr="PsA studies drug exposure by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94" b="31488"/>
                    <a:stretch/>
                  </pic:blipFill>
                  <pic:spPr bwMode="auto">
                    <a:xfrm>
                      <a:off x="0" y="0"/>
                      <a:ext cx="5246047" cy="2768833"/>
                    </a:xfrm>
                    <a:prstGeom prst="rect">
                      <a:avLst/>
                    </a:prstGeom>
                    <a:noFill/>
                    <a:ln>
                      <a:noFill/>
                    </a:ln>
                    <a:extLst>
                      <a:ext uri="{53640926-AAD7-44D8-BBD7-CCE9431645EC}">
                        <a14:shadowObscured xmlns:a14="http://schemas.microsoft.com/office/drawing/2010/main"/>
                      </a:ext>
                    </a:extLst>
                  </pic:spPr>
                </pic:pic>
              </a:graphicData>
            </a:graphic>
          </wp:inline>
        </w:drawing>
      </w:r>
    </w:p>
    <w:p w14:paraId="779D3C06" w14:textId="77777777" w:rsidR="008F6481" w:rsidRDefault="008F6481" w:rsidP="008F6481">
      <w:pPr>
        <w:pStyle w:val="TableDescription"/>
      </w:pPr>
      <w:r>
        <w:t>QD = once daily</w:t>
      </w:r>
    </w:p>
    <w:p w14:paraId="6614AF75" w14:textId="77777777" w:rsidR="00581191" w:rsidRDefault="008F6481" w:rsidP="008F6481">
      <w:pPr>
        <w:pStyle w:val="TableDescription"/>
      </w:pPr>
      <w:r>
        <w:t xml:space="preserve">Notes: Duration of exposure to study drug in this analysis is Period 1 and 2 combined exposure. Exposure is presented by treatment </w:t>
      </w:r>
      <w:proofErr w:type="gramStart"/>
      <w:r>
        <w:t>actually received</w:t>
      </w:r>
      <w:proofErr w:type="gramEnd"/>
      <w:r>
        <w:t>. Subjects could be included in</w:t>
      </w:r>
      <w:r w:rsidR="00581191">
        <w:t xml:space="preserve"> more than on treatment column.</w:t>
      </w:r>
    </w:p>
    <w:p w14:paraId="429C1051" w14:textId="77777777" w:rsidR="00581191" w:rsidRDefault="008F6481" w:rsidP="008F6481">
      <w:pPr>
        <w:pStyle w:val="TableDescription"/>
      </w:pPr>
      <w:r>
        <w:t xml:space="preserve">Exposure to </w:t>
      </w:r>
      <w:proofErr w:type="spellStart"/>
      <w:r>
        <w:t>upadacitinib</w:t>
      </w:r>
      <w:proofErr w:type="spellEnd"/>
      <w:r>
        <w:t xml:space="preserve"> 15 mg = date of last medication of </w:t>
      </w:r>
      <w:proofErr w:type="spellStart"/>
      <w:r>
        <w:t>upadacitinib</w:t>
      </w:r>
      <w:proofErr w:type="spellEnd"/>
      <w:r>
        <w:t xml:space="preserve"> 15 mg – date of first study </w:t>
      </w:r>
      <w:proofErr w:type="spellStart"/>
      <w:r>
        <w:t>medicia</w:t>
      </w:r>
      <w:r w:rsidR="00581191">
        <w:t>tion</w:t>
      </w:r>
      <w:proofErr w:type="spellEnd"/>
      <w:r w:rsidR="00581191">
        <w:t xml:space="preserve"> of </w:t>
      </w:r>
      <w:proofErr w:type="spellStart"/>
      <w:r w:rsidR="00581191">
        <w:t>upadacitinib</w:t>
      </w:r>
      <w:proofErr w:type="spellEnd"/>
      <w:r w:rsidR="00581191">
        <w:t xml:space="preserve"> 15 mg + 1.</w:t>
      </w:r>
    </w:p>
    <w:p w14:paraId="782AD415" w14:textId="77777777" w:rsidR="008F6481" w:rsidRDefault="008F6481" w:rsidP="008F6481">
      <w:pPr>
        <w:pStyle w:val="TableDescription"/>
      </w:pPr>
      <w:r>
        <w:t xml:space="preserve">Exposure to </w:t>
      </w:r>
      <w:proofErr w:type="spellStart"/>
      <w:r>
        <w:t>upadacitinib</w:t>
      </w:r>
      <w:proofErr w:type="spellEnd"/>
      <w:r>
        <w:t xml:space="preserve"> 30 mg = date of last study medication of </w:t>
      </w:r>
      <w:proofErr w:type="spellStart"/>
      <w:r>
        <w:t>upadacitinib</w:t>
      </w:r>
      <w:proofErr w:type="spellEnd"/>
      <w:r>
        <w:t xml:space="preserve"> </w:t>
      </w:r>
      <w:r w:rsidR="00581191">
        <w:t xml:space="preserve">– date of first study medication of </w:t>
      </w:r>
      <w:proofErr w:type="spellStart"/>
      <w:r w:rsidR="00581191">
        <w:t>upadacitinib</w:t>
      </w:r>
      <w:proofErr w:type="spellEnd"/>
      <w:r w:rsidR="00581191">
        <w:t xml:space="preserve"> 30 mg + 1.</w:t>
      </w:r>
    </w:p>
    <w:p w14:paraId="1E170F9C" w14:textId="46A002E3" w:rsidR="00581191" w:rsidRDefault="00581191" w:rsidP="00581191">
      <w:r>
        <w:t xml:space="preserve">The </w:t>
      </w:r>
      <w:proofErr w:type="spellStart"/>
      <w:r>
        <w:t>PsA</w:t>
      </w:r>
      <w:proofErr w:type="spellEnd"/>
      <w:r>
        <w:t xml:space="preserve"> Study M15-572 also included a third report that compared safety outcomes with ADA up to the data </w:t>
      </w:r>
      <w:proofErr w:type="spellStart"/>
      <w:r>
        <w:t>cutoff</w:t>
      </w:r>
      <w:proofErr w:type="spellEnd"/>
      <w:r>
        <w:t xml:space="preserve"> date of 13 December 2019 (ADA controlled analysis set). Updated reports from the RA development program provided additional safety data. AEs were summarised by the MedDRA classification (version 22.0) using System Organ Class (SOC) and Preferred Term (PT) nomenclature. Exposure information for the </w:t>
      </w:r>
      <w:proofErr w:type="spellStart"/>
      <w:r>
        <w:t>PsA</w:t>
      </w:r>
      <w:proofErr w:type="spellEnd"/>
      <w:r>
        <w:t xml:space="preserve"> studies is presented in </w:t>
      </w:r>
      <w:r>
        <w:fldChar w:fldCharType="begin"/>
      </w:r>
      <w:r>
        <w:instrText xml:space="preserve"> REF _Ref75349010 \h </w:instrText>
      </w:r>
      <w:r>
        <w:fldChar w:fldCharType="separate"/>
      </w:r>
      <w:r w:rsidR="00A677D2" w:rsidRPr="008F6481">
        <w:t xml:space="preserve">Table </w:t>
      </w:r>
      <w:r w:rsidR="00A677D2">
        <w:rPr>
          <w:noProof/>
        </w:rPr>
        <w:t>6</w:t>
      </w:r>
      <w:r>
        <w:fldChar w:fldCharType="end"/>
      </w:r>
      <w:r>
        <w:t>.</w:t>
      </w:r>
    </w:p>
    <w:p w14:paraId="75BE8F63" w14:textId="77777777" w:rsidR="00581191" w:rsidRDefault="00581191" w:rsidP="00581191">
      <w:r>
        <w:t xml:space="preserve">Overall exposure in the AS study with 182 participants was significantly lower. In the long-term safety dataset, the mean duration of exposure to </w:t>
      </w:r>
      <w:proofErr w:type="spellStart"/>
      <w:r w:rsidR="006C4F9F">
        <w:t>upadacitinib</w:t>
      </w:r>
      <w:proofErr w:type="spellEnd"/>
      <w:r>
        <w:t xml:space="preserve"> 15</w:t>
      </w:r>
      <w:r w:rsidR="00195EEE">
        <w:t> </w:t>
      </w:r>
      <w:r>
        <w:t xml:space="preserve">mg therapy was 476.9 days (median of 507.5 days; range 6 to 742 days). Up to the data </w:t>
      </w:r>
      <w:proofErr w:type="spellStart"/>
      <w:r>
        <w:t>cutoff</w:t>
      </w:r>
      <w:proofErr w:type="spellEnd"/>
      <w:r>
        <w:t xml:space="preserve"> date, 87.9% of participants who received ≥ 1 dose of </w:t>
      </w:r>
      <w:proofErr w:type="spellStart"/>
      <w:r w:rsidR="006C4F9F">
        <w:t>upadacitinib</w:t>
      </w:r>
      <w:proofErr w:type="spellEnd"/>
      <w:r>
        <w:t xml:space="preserve"> 15 mg had at least 12 months of exposure to </w:t>
      </w:r>
      <w:proofErr w:type="spellStart"/>
      <w:r w:rsidR="006C4F9F">
        <w:t>upadacitinib</w:t>
      </w:r>
      <w:proofErr w:type="spellEnd"/>
      <w:r>
        <w:t>, 34.1% had &gt; 18 months of use and 2.2% had &gt; 2 years exposure.</w:t>
      </w:r>
    </w:p>
    <w:p w14:paraId="2A8FC041" w14:textId="77777777" w:rsidR="00581191" w:rsidRDefault="00581191" w:rsidP="00581191">
      <w:r>
        <w:t xml:space="preserve">In the </w:t>
      </w:r>
      <w:proofErr w:type="spellStart"/>
      <w:r>
        <w:t>PsA</w:t>
      </w:r>
      <w:proofErr w:type="spellEnd"/>
      <w:r>
        <w:t xml:space="preserve"> studies, by SOC, the most frequent types of AEs (affecting ≥ 10% of subjects) were infections and infestations, gastrointestinal disorders, abnormal investigations and musculoskeletal and connective tissue disorders for </w:t>
      </w:r>
      <w:proofErr w:type="spellStart"/>
      <w:r w:rsidR="006C4F9F">
        <w:t>upadacitinib</w:t>
      </w:r>
      <w:proofErr w:type="spellEnd"/>
      <w:r w:rsidR="00195EEE">
        <w:t xml:space="preserve"> 15 </w:t>
      </w:r>
      <w:r>
        <w:t xml:space="preserve">mg therapy; and infections and infestations, and gastrointestinal disorders for </w:t>
      </w:r>
      <w:proofErr w:type="spellStart"/>
      <w:r w:rsidR="006C4F9F">
        <w:t>upadacitinib</w:t>
      </w:r>
      <w:proofErr w:type="spellEnd"/>
      <w:r w:rsidR="00195EEE">
        <w:t xml:space="preserve"> 30 </w:t>
      </w:r>
      <w:r>
        <w:t xml:space="preserve">mg treatment. For the </w:t>
      </w:r>
      <w:r w:rsidR="006C4F9F">
        <w:t>placebo</w:t>
      </w:r>
      <w:r>
        <w:t xml:space="preserve"> group, the most common SOCs were infections and infestations, gastrointestinal </w:t>
      </w:r>
      <w:proofErr w:type="gramStart"/>
      <w:r>
        <w:t>disorders</w:t>
      </w:r>
      <w:proofErr w:type="gramEnd"/>
      <w:r>
        <w:t xml:space="preserve"> and mus</w:t>
      </w:r>
      <w:r w:rsidR="00BE0B06">
        <w:t xml:space="preserve">culoskeletal disorders. </w:t>
      </w:r>
      <w:r>
        <w:t xml:space="preserve">In the AS study, the most frequently reported types of AEs by SOC in the </w:t>
      </w:r>
      <w:proofErr w:type="spellStart"/>
      <w:r w:rsidR="006C4F9F">
        <w:t>upadacitinib</w:t>
      </w:r>
      <w:proofErr w:type="spellEnd"/>
      <w:r>
        <w:t xml:space="preserve"> group were infections and infestations, gastrointestinal </w:t>
      </w:r>
      <w:proofErr w:type="gramStart"/>
      <w:r>
        <w:t>disorders</w:t>
      </w:r>
      <w:proofErr w:type="gramEnd"/>
      <w:r>
        <w:t xml:space="preserve"> and abnormal investigations. Infections and </w:t>
      </w:r>
      <w:r>
        <w:lastRenderedPageBreak/>
        <w:t xml:space="preserve">infestations, and gastrointestinal disorders were also the most frequently reported AEs in the </w:t>
      </w:r>
      <w:r w:rsidR="006C4F9F">
        <w:t>placebo</w:t>
      </w:r>
      <w:r>
        <w:t xml:space="preserve"> group in the AS study.</w:t>
      </w:r>
    </w:p>
    <w:p w14:paraId="67CF37AE" w14:textId="74ECB4DB" w:rsidR="00581191" w:rsidRDefault="00BE0B06" w:rsidP="00581191">
      <w:r>
        <w:t>By PT</w:t>
      </w:r>
      <w:r w:rsidR="00581191">
        <w:t xml:space="preserve"> nomenclature, the most frequently reported AEs (incidence ≥ 5%) in the </w:t>
      </w:r>
      <w:proofErr w:type="spellStart"/>
      <w:r w:rsidR="00581191">
        <w:t>PsA</w:t>
      </w:r>
      <w:proofErr w:type="spellEnd"/>
      <w:r w:rsidR="00581191">
        <w:t xml:space="preserve"> studies </w:t>
      </w:r>
      <w:proofErr w:type="spellStart"/>
      <w:r w:rsidR="006C4F9F">
        <w:t>upadacitinib</w:t>
      </w:r>
      <w:proofErr w:type="spellEnd"/>
      <w:r w:rsidR="00581191">
        <w:t xml:space="preserve"> 15 mg group were upper respiratory tract infection (URTI) and increased blood </w:t>
      </w:r>
      <w:r>
        <w:t>creatine phosphokinase (</w:t>
      </w:r>
      <w:r w:rsidR="00581191">
        <w:t>CPK</w:t>
      </w:r>
      <w:r>
        <w:t>)</w:t>
      </w:r>
      <w:r w:rsidR="00581191">
        <w:t xml:space="preserve">; in the </w:t>
      </w:r>
      <w:proofErr w:type="spellStart"/>
      <w:r w:rsidR="006C4F9F">
        <w:t>upadacitinib</w:t>
      </w:r>
      <w:proofErr w:type="spellEnd"/>
      <w:r w:rsidR="00581191">
        <w:t xml:space="preserve"> 30</w:t>
      </w:r>
      <w:r w:rsidR="00195EEE">
        <w:t> </w:t>
      </w:r>
      <w:r w:rsidR="00581191">
        <w:t xml:space="preserve">mg group were URTI, blood CPK levels increased, nasopharyngitis and increased serum </w:t>
      </w:r>
      <w:r>
        <w:t>alanine aminotransferase (ALT)</w:t>
      </w:r>
      <w:r w:rsidR="00581191">
        <w:t xml:space="preserve">; and in the </w:t>
      </w:r>
      <w:r w:rsidR="006C4F9F">
        <w:t>placebo</w:t>
      </w:r>
      <w:r w:rsidR="00581191">
        <w:t xml:space="preserve"> group were URTI and nasopharyngitis. No AEs by PT occurred in ≥</w:t>
      </w:r>
      <w:r>
        <w:t xml:space="preserve"> </w:t>
      </w:r>
      <w:r w:rsidR="00581191">
        <w:t xml:space="preserve">10% of subjects in any group. The rates of AEs reported in ≥ 2% of subjects were generally higher in the </w:t>
      </w:r>
      <w:proofErr w:type="spellStart"/>
      <w:r w:rsidR="006C4F9F">
        <w:t>upadacitinib</w:t>
      </w:r>
      <w:proofErr w:type="spellEnd"/>
      <w:r w:rsidR="00581191">
        <w:t xml:space="preserve"> groups compared with </w:t>
      </w:r>
      <w:r w:rsidR="006C4F9F">
        <w:t>placebo</w:t>
      </w:r>
      <w:r w:rsidR="00581191">
        <w:t xml:space="preserve">, although AEs of psoriatic arthropathy and skin psoriasis were higher in the </w:t>
      </w:r>
      <w:r w:rsidR="006C4F9F">
        <w:t>placebo</w:t>
      </w:r>
      <w:r w:rsidR="00581191">
        <w:t xml:space="preserve"> arm. Of note, the frequency of oral herpes and herpes zoster infection in the </w:t>
      </w:r>
      <w:proofErr w:type="spellStart"/>
      <w:r w:rsidR="006C4F9F">
        <w:t>upadacitinib</w:t>
      </w:r>
      <w:proofErr w:type="spellEnd"/>
      <w:r w:rsidR="00195EEE">
        <w:t xml:space="preserve"> 30 </w:t>
      </w:r>
      <w:r w:rsidR="00581191">
        <w:t xml:space="preserve">mg treatment group was approximately </w:t>
      </w:r>
      <w:proofErr w:type="gramStart"/>
      <w:r w:rsidR="00581191">
        <w:t>two fold</w:t>
      </w:r>
      <w:proofErr w:type="gramEnd"/>
      <w:r w:rsidR="00581191">
        <w:t xml:space="preserve"> that recorded in the </w:t>
      </w:r>
      <w:r w:rsidR="006C4F9F">
        <w:t>placebo</w:t>
      </w:r>
      <w:r w:rsidR="00581191">
        <w:t xml:space="preserve"> and </w:t>
      </w:r>
      <w:proofErr w:type="spellStart"/>
      <w:r w:rsidR="006C4F9F">
        <w:t>upadacitinib</w:t>
      </w:r>
      <w:proofErr w:type="spellEnd"/>
      <w:r w:rsidR="00581191">
        <w:t xml:space="preserve"> 15 mg once daily treatment cohorts. In addition, the incidence of haematological AEs (</w:t>
      </w:r>
      <w:proofErr w:type="spellStart"/>
      <w:r w:rsidR="00581191">
        <w:t>neutrop</w:t>
      </w:r>
      <w:r w:rsidR="00916F33">
        <w:t>a</w:t>
      </w:r>
      <w:r w:rsidR="00581191">
        <w:t>enia</w:t>
      </w:r>
      <w:proofErr w:type="spellEnd"/>
      <w:r w:rsidR="00581191">
        <w:t xml:space="preserve">, anaemia and </w:t>
      </w:r>
      <w:proofErr w:type="spellStart"/>
      <w:r w:rsidR="00581191">
        <w:t>lymphop</w:t>
      </w:r>
      <w:r w:rsidR="00916F33">
        <w:t>a</w:t>
      </w:r>
      <w:r w:rsidR="00581191">
        <w:t>enia</w:t>
      </w:r>
      <w:proofErr w:type="spellEnd"/>
      <w:r w:rsidR="00581191">
        <w:t>) as well as raised serum transaminases (ALT and</w:t>
      </w:r>
      <w:r>
        <w:t xml:space="preserve"> aspartate aminotransferase (</w:t>
      </w:r>
      <w:r w:rsidR="00581191">
        <w:t>AST</w:t>
      </w:r>
      <w:r>
        <w:t>)</w:t>
      </w:r>
      <w:r w:rsidR="00581191">
        <w:t xml:space="preserve">) were significantly higher with </w:t>
      </w:r>
      <w:proofErr w:type="gramStart"/>
      <w:r w:rsidR="00581191">
        <w:t xml:space="preserve">30 </w:t>
      </w:r>
      <w:r w:rsidR="00195EEE">
        <w:t> </w:t>
      </w:r>
      <w:r w:rsidR="00B01C65">
        <w:t>m</w:t>
      </w:r>
      <w:r w:rsidR="00581191">
        <w:t>g</w:t>
      </w:r>
      <w:proofErr w:type="gramEnd"/>
      <w:r w:rsidR="00581191">
        <w:t xml:space="preserve"> </w:t>
      </w:r>
      <w:proofErr w:type="spellStart"/>
      <w:r w:rsidR="006C4F9F">
        <w:t>upadacitinib</w:t>
      </w:r>
      <w:proofErr w:type="spellEnd"/>
      <w:r w:rsidR="00581191">
        <w:t xml:space="preserve"> once daily. In the ADA treatment group, the most common types of AEs (</w:t>
      </w:r>
      <w:r>
        <w:t>incidence &gt; 5%) reported up to W</w:t>
      </w:r>
      <w:r w:rsidR="00581191">
        <w:t>eek 24 in Study M15-572 were URTI, nasopharyngitis, increased blood CPK levels, elevated serum ALT and elevated serum AST.</w:t>
      </w:r>
    </w:p>
    <w:p w14:paraId="139805A6" w14:textId="77777777" w:rsidR="00581191" w:rsidRDefault="00581191" w:rsidP="00581191">
      <w:r>
        <w:t xml:space="preserve">In the AS study, the most frequently reported types of AEs by PT (≥ 5% incidence) in the </w:t>
      </w:r>
      <w:proofErr w:type="spellStart"/>
      <w:r w:rsidR="006C4F9F">
        <w:t>upadacitinib</w:t>
      </w:r>
      <w:proofErr w:type="spellEnd"/>
      <w:r>
        <w:t xml:space="preserve"> group were elevated blood CPK, diarrhoea, nasopharyngitis and headache. The frequency of elevated blood CPK was notably higher in the </w:t>
      </w:r>
      <w:proofErr w:type="spellStart"/>
      <w:r w:rsidR="006C4F9F">
        <w:t>upadacitinib</w:t>
      </w:r>
      <w:proofErr w:type="spellEnd"/>
      <w:r>
        <w:t xml:space="preserve"> group compared with the </w:t>
      </w:r>
      <w:r w:rsidR="006C4F9F">
        <w:t>placebo</w:t>
      </w:r>
      <w:r>
        <w:t xml:space="preserve"> arm (eight versus two cases). Moreover, a greater proportion of </w:t>
      </w:r>
      <w:proofErr w:type="spellStart"/>
      <w:r w:rsidR="006C4F9F">
        <w:t>upadacitinib</w:t>
      </w:r>
      <w:proofErr w:type="spellEnd"/>
      <w:r>
        <w:t xml:space="preserve"> treated subjects reported hepatic disorders compared with the </w:t>
      </w:r>
      <w:r w:rsidR="006C4F9F">
        <w:t>placebo</w:t>
      </w:r>
      <w:r>
        <w:t xml:space="preserve"> group (five versus two cases, respectively).</w:t>
      </w:r>
    </w:p>
    <w:p w14:paraId="4A1D794F" w14:textId="71768C88" w:rsidR="00581191" w:rsidRDefault="00581191" w:rsidP="00581191">
      <w:r>
        <w:t xml:space="preserve">In the </w:t>
      </w:r>
      <w:proofErr w:type="spellStart"/>
      <w:r>
        <w:t>PsA</w:t>
      </w:r>
      <w:proofErr w:type="spellEnd"/>
      <w:r>
        <w:t xml:space="preserve"> study ADA controlled treatment set, the frequency of most types of AEs was similar between </w:t>
      </w:r>
      <w:proofErr w:type="spellStart"/>
      <w:r w:rsidR="006C4F9F">
        <w:t>upadacitinib</w:t>
      </w:r>
      <w:proofErr w:type="spellEnd"/>
      <w:r>
        <w:t xml:space="preserve"> 15 mg orally and ADA treatment groups, and somewhat higher in the </w:t>
      </w:r>
      <w:proofErr w:type="spellStart"/>
      <w:r w:rsidR="006C4F9F">
        <w:t>upadacitinib</w:t>
      </w:r>
      <w:proofErr w:type="spellEnd"/>
      <w:r>
        <w:t xml:space="preserve"> </w:t>
      </w:r>
      <w:r w:rsidR="007B73C9">
        <w:t>30</w:t>
      </w:r>
      <w:r w:rsidR="00195EEE">
        <w:t> </w:t>
      </w:r>
      <w:r w:rsidR="007B73C9">
        <w:t>mg</w:t>
      </w:r>
      <w:r>
        <w:t xml:space="preserve"> group (</w:t>
      </w:r>
      <w:r w:rsidR="000651FF">
        <w:t xml:space="preserve">see </w:t>
      </w:r>
      <w:r w:rsidR="000651FF">
        <w:fldChar w:fldCharType="begin"/>
      </w:r>
      <w:r w:rsidR="000651FF">
        <w:instrText xml:space="preserve"> REF _Ref76988153 \h </w:instrText>
      </w:r>
      <w:r w:rsidR="000651FF">
        <w:fldChar w:fldCharType="separate"/>
      </w:r>
      <w:r w:rsidR="00A677D2" w:rsidRPr="00581191">
        <w:t xml:space="preserve">Table </w:t>
      </w:r>
      <w:r w:rsidR="00A677D2">
        <w:rPr>
          <w:noProof/>
        </w:rPr>
        <w:t>7</w:t>
      </w:r>
      <w:r w:rsidR="000651FF">
        <w:fldChar w:fldCharType="end"/>
      </w:r>
      <w:r>
        <w:t>).</w:t>
      </w:r>
    </w:p>
    <w:p w14:paraId="67C3BAE4" w14:textId="1C58C4B4" w:rsidR="00581191" w:rsidRDefault="00581191" w:rsidP="00581191">
      <w:pPr>
        <w:pStyle w:val="TableTitle"/>
      </w:pPr>
      <w:bookmarkStart w:id="51" w:name="_Ref76988153"/>
      <w:r w:rsidRPr="00581191">
        <w:t xml:space="preserve">Table </w:t>
      </w:r>
      <w:r w:rsidR="00746A1E">
        <w:fldChar w:fldCharType="begin"/>
      </w:r>
      <w:r w:rsidR="00746A1E">
        <w:instrText xml:space="preserve"> SEQ Table \* ARABIC </w:instrText>
      </w:r>
      <w:r w:rsidR="00746A1E">
        <w:fldChar w:fldCharType="separate"/>
      </w:r>
      <w:r w:rsidR="00A677D2">
        <w:rPr>
          <w:noProof/>
        </w:rPr>
        <w:t>7</w:t>
      </w:r>
      <w:r w:rsidR="00746A1E">
        <w:rPr>
          <w:noProof/>
        </w:rPr>
        <w:fldChar w:fldCharType="end"/>
      </w:r>
      <w:bookmarkEnd w:id="51"/>
      <w:r>
        <w:t>: Study M15-5</w:t>
      </w:r>
      <w:r w:rsidR="00BE0B06">
        <w:t>72 Adalimumab controlled safety set</w:t>
      </w:r>
      <w:r w:rsidR="00916F33">
        <w:t xml:space="preserve">; </w:t>
      </w:r>
      <w:r w:rsidR="00BE0B06">
        <w:t xml:space="preserve">most common adverse event </w:t>
      </w:r>
      <w:r>
        <w:t>by preferred term (</w:t>
      </w:r>
      <w:r w:rsidRPr="00AD7C8A">
        <w:rPr>
          <w:u w:val="single"/>
        </w:rPr>
        <w:t>&gt;</w:t>
      </w:r>
      <w:r>
        <w:rPr>
          <w:u w:val="single"/>
        </w:rPr>
        <w:t xml:space="preserve"> </w:t>
      </w:r>
      <w:r w:rsidR="00BE0B06">
        <w:t xml:space="preserve">5 per 100 </w:t>
      </w:r>
      <w:r w:rsidR="00916F33">
        <w:t>p</w:t>
      </w:r>
      <w:r w:rsidR="00BE0B06">
        <w:t>atient-</w:t>
      </w:r>
      <w:r w:rsidR="00916F33">
        <w:t>y</w:t>
      </w:r>
      <w:r w:rsidR="00BE0B06">
        <w:t>ear</w:t>
      </w:r>
      <w:r>
        <w:t>)</w:t>
      </w:r>
    </w:p>
    <w:p w14:paraId="5AE5ABF2" w14:textId="77777777" w:rsidR="00581191" w:rsidRDefault="00581191" w:rsidP="00746A1E">
      <w:r>
        <w:rPr>
          <w:noProof/>
          <w:lang w:eastAsia="en-AU"/>
        </w:rPr>
        <w:drawing>
          <wp:inline distT="0" distB="0" distL="0" distR="0" wp14:anchorId="56D1C8C7" wp14:editId="49106BA9">
            <wp:extent cx="5399379" cy="3803650"/>
            <wp:effectExtent l="0" t="0" r="0" b="6350"/>
            <wp:docPr id="30" name="Picture 30" descr="Study M15-572 Adalimumab controlled safety set - most common adverse event by preferred term (&gt; 5 per 100 Patient-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17013"/>
                    <a:stretch/>
                  </pic:blipFill>
                  <pic:spPr bwMode="auto">
                    <a:xfrm>
                      <a:off x="0" y="0"/>
                      <a:ext cx="5400040" cy="3804116"/>
                    </a:xfrm>
                    <a:prstGeom prst="rect">
                      <a:avLst/>
                    </a:prstGeom>
                    <a:noFill/>
                    <a:ln>
                      <a:noFill/>
                    </a:ln>
                    <a:extLst>
                      <a:ext uri="{53640926-AAD7-44D8-BBD7-CCE9431645EC}">
                        <a14:shadowObscured xmlns:a14="http://schemas.microsoft.com/office/drawing/2010/main"/>
                      </a:ext>
                    </a:extLst>
                  </pic:spPr>
                </pic:pic>
              </a:graphicData>
            </a:graphic>
          </wp:inline>
        </w:drawing>
      </w:r>
    </w:p>
    <w:p w14:paraId="38024B11" w14:textId="77777777" w:rsidR="00581191" w:rsidRDefault="00D0725D" w:rsidP="00581191">
      <w:pPr>
        <w:pStyle w:val="TableDescription"/>
      </w:pPr>
      <w:r>
        <w:lastRenderedPageBreak/>
        <w:t>ADA = adalimumab; ALT = alanine aminotransferase; AST = aspartate aminotransferase; CPK = creatine phosphokinase; EOW = every other week; MedDRA = Medical Dictionary for Regulatory Activities; PY = patient-year; QD = once daily.</w:t>
      </w:r>
    </w:p>
    <w:p w14:paraId="4B069115" w14:textId="77777777" w:rsidR="00D0725D" w:rsidRDefault="00D0725D" w:rsidP="00581191">
      <w:pPr>
        <w:pStyle w:val="TableDescription"/>
      </w:pPr>
      <w:r>
        <w:t xml:space="preserve">Note: Subjects in </w:t>
      </w:r>
      <w:proofErr w:type="spellStart"/>
      <w:r>
        <w:t>upadacitinib</w:t>
      </w:r>
      <w:proofErr w:type="spellEnd"/>
      <w:r>
        <w:t xml:space="preserve"> 15 mg or 30 mg group included th</w:t>
      </w:r>
      <w:r w:rsidR="00195EEE">
        <w:t xml:space="preserve">ose who started </w:t>
      </w:r>
      <w:proofErr w:type="spellStart"/>
      <w:r w:rsidR="00195EEE">
        <w:t>upadacitinib</w:t>
      </w:r>
      <w:proofErr w:type="spellEnd"/>
      <w:r w:rsidR="00195EEE">
        <w:t xml:space="preserve"> 15 </w:t>
      </w:r>
      <w:r>
        <w:t>mg or 30</w:t>
      </w:r>
      <w:r w:rsidR="00195EEE">
        <w:t> </w:t>
      </w:r>
      <w:r>
        <w:t>mg at the beginning of the study and those who switched from plac</w:t>
      </w:r>
      <w:r w:rsidR="00195EEE">
        <w:t xml:space="preserve">ebo to </w:t>
      </w:r>
      <w:proofErr w:type="spellStart"/>
      <w:r w:rsidR="00195EEE">
        <w:t>upadacitinib</w:t>
      </w:r>
      <w:proofErr w:type="spellEnd"/>
      <w:r w:rsidR="00195EEE">
        <w:t xml:space="preserve"> 15 mg or 30 </w:t>
      </w:r>
      <w:r>
        <w:t>mg at Week 24.</w:t>
      </w:r>
    </w:p>
    <w:p w14:paraId="55F8BE86" w14:textId="77777777" w:rsidR="00D0725D" w:rsidRDefault="00D0725D" w:rsidP="00D0725D">
      <w:pPr>
        <w:pStyle w:val="Bullet1"/>
        <w:numPr>
          <w:ilvl w:val="0"/>
          <w:numId w:val="0"/>
        </w:numPr>
      </w:pPr>
      <w:r>
        <w:t xml:space="preserve">Reports of AE in the long-term safety dataset of the AS study more or less reflected the </w:t>
      </w:r>
      <w:r w:rsidR="006C4F9F">
        <w:t>placebo</w:t>
      </w:r>
      <w:r>
        <w:t xml:space="preserve"> controlled and </w:t>
      </w:r>
      <w:proofErr w:type="spellStart"/>
      <w:r>
        <w:t>PsA</w:t>
      </w:r>
      <w:proofErr w:type="spellEnd"/>
      <w:r>
        <w:t xml:space="preserve"> study reports and were consistent with the known safety profile of JAK inhibitor in adults with RA. AEs were reported most frequently in the SOC of infections and infestations, musculoskeletal and connective tissue disorders, gastrointestinal disorders and abnormal investigations. Among adverse events of special interest (AESI), </w:t>
      </w:r>
      <w:r w:rsidRPr="00A95722">
        <w:t xml:space="preserve">there were </w:t>
      </w:r>
      <w:r>
        <w:t>six</w:t>
      </w:r>
      <w:r w:rsidRPr="00A95722">
        <w:t xml:space="preserve"> cases of latent TB (2.5 per 100 </w:t>
      </w:r>
      <w:r w:rsidR="00BE0B06">
        <w:t>Patient-Year (</w:t>
      </w:r>
      <w:r w:rsidRPr="00A95722">
        <w:t>PY</w:t>
      </w:r>
      <w:r w:rsidR="00BE0B06">
        <w:t>)</w:t>
      </w:r>
      <w:r w:rsidRPr="00A95722">
        <w:t>) and</w:t>
      </w:r>
      <w:r>
        <w:t xml:space="preserve"> five</w:t>
      </w:r>
      <w:r w:rsidRPr="00A95722">
        <w:t xml:space="preserve"> cases of herpes zoster in </w:t>
      </w:r>
      <w:r>
        <w:t>four participants</w:t>
      </w:r>
      <w:r w:rsidRPr="00A95722">
        <w:t xml:space="preserve"> (2.1 per 100 PY) in the </w:t>
      </w:r>
      <w:proofErr w:type="gramStart"/>
      <w:r w:rsidRPr="00A95722">
        <w:t>long term</w:t>
      </w:r>
      <w:proofErr w:type="gramEnd"/>
      <w:r w:rsidRPr="00A95722">
        <w:t xml:space="preserve"> safety set. One subject who received </w:t>
      </w:r>
      <w:proofErr w:type="spellStart"/>
      <w:r w:rsidR="006C4F9F">
        <w:t>upadacitinib</w:t>
      </w:r>
      <w:proofErr w:type="spellEnd"/>
      <w:r w:rsidRPr="00A95722">
        <w:t xml:space="preserve"> in both periods of Study M16-098 experienced </w:t>
      </w:r>
      <w:r>
        <w:t>two</w:t>
      </w:r>
      <w:r w:rsidRPr="00A95722">
        <w:t xml:space="preserve"> AEs of oesophageal candidiasis (opportunistic infection), </w:t>
      </w:r>
      <w:r>
        <w:t>one</w:t>
      </w:r>
      <w:r w:rsidRPr="00A95722">
        <w:t xml:space="preserve"> in each study period. Each AE was </w:t>
      </w:r>
      <w:r>
        <w:t>considered</w:t>
      </w:r>
      <w:r w:rsidRPr="00A95722">
        <w:t xml:space="preserve"> moderate severity</w:t>
      </w:r>
      <w:r>
        <w:t xml:space="preserve"> and</w:t>
      </w:r>
      <w:r w:rsidRPr="00A95722">
        <w:t xml:space="preserve"> non-</w:t>
      </w:r>
      <w:proofErr w:type="gramStart"/>
      <w:r w:rsidRPr="00A95722">
        <w:t>serious</w:t>
      </w:r>
      <w:r>
        <w:t>,</w:t>
      </w:r>
      <w:r w:rsidRPr="00A95722">
        <w:t xml:space="preserve"> and</w:t>
      </w:r>
      <w:proofErr w:type="gramEnd"/>
      <w:r w:rsidRPr="00A95722">
        <w:t xml:space="preserve"> was assessed by the investigator as having a reasonable possibility of being related to study medication. </w:t>
      </w:r>
    </w:p>
    <w:p w14:paraId="42B20A19" w14:textId="77777777" w:rsidR="00D0725D" w:rsidRDefault="00D0725D" w:rsidP="00D0725D">
      <w:pPr>
        <w:pStyle w:val="Bullet1"/>
        <w:numPr>
          <w:ilvl w:val="0"/>
          <w:numId w:val="0"/>
        </w:numPr>
      </w:pPr>
      <w:r>
        <w:t xml:space="preserve">No deaths related or probably related to </w:t>
      </w:r>
      <w:proofErr w:type="spellStart"/>
      <w:r w:rsidR="006C4F9F">
        <w:t>upadacitinib</w:t>
      </w:r>
      <w:proofErr w:type="spellEnd"/>
      <w:r>
        <w:t xml:space="preserve"> were reported in the </w:t>
      </w:r>
      <w:r w:rsidR="006C4F9F">
        <w:t>placebo</w:t>
      </w:r>
      <w:r>
        <w:t xml:space="preserve">-controlled period of any of the </w:t>
      </w:r>
      <w:proofErr w:type="spellStart"/>
      <w:r>
        <w:t>PsA</w:t>
      </w:r>
      <w:proofErr w:type="spellEnd"/>
      <w:r>
        <w:t xml:space="preserve"> or AS studies. In the any </w:t>
      </w:r>
      <w:proofErr w:type="spellStart"/>
      <w:r w:rsidR="006C4F9F">
        <w:t>upadacitinib</w:t>
      </w:r>
      <w:proofErr w:type="spellEnd"/>
      <w:r>
        <w:t xml:space="preserve"> </w:t>
      </w:r>
      <w:proofErr w:type="spellStart"/>
      <w:r>
        <w:t>PsA</w:t>
      </w:r>
      <w:proofErr w:type="spellEnd"/>
      <w:r>
        <w:t xml:space="preserve"> safety set, the death of one male receiving 30</w:t>
      </w:r>
      <w:r w:rsidR="000A5D01">
        <w:t xml:space="preserve"> </w:t>
      </w:r>
      <w:r>
        <w:t xml:space="preserve">mg </w:t>
      </w:r>
      <w:proofErr w:type="spellStart"/>
      <w:r w:rsidR="006C4F9F">
        <w:t>upadacitinib</w:t>
      </w:r>
      <w:proofErr w:type="spellEnd"/>
      <w:r>
        <w:t xml:space="preserve"> daily was considered reasonably related to </w:t>
      </w:r>
      <w:proofErr w:type="spellStart"/>
      <w:r w:rsidR="006C4F9F">
        <w:t>upadacitinib</w:t>
      </w:r>
      <w:proofErr w:type="spellEnd"/>
      <w:r>
        <w:t xml:space="preserve">. The patient developed pancytopenia, acute respiratory distress syndrome (ARDS) and pneumothorax, and required mechanical ventilation. Additional complications included interstitial pneumonia, opportunistic infections with </w:t>
      </w:r>
      <w:r>
        <w:rPr>
          <w:i/>
        </w:rPr>
        <w:t>P</w:t>
      </w:r>
      <w:r w:rsidRPr="00312898">
        <w:rPr>
          <w:i/>
        </w:rPr>
        <w:t xml:space="preserve">neumocystis </w:t>
      </w:r>
      <w:proofErr w:type="spellStart"/>
      <w:r w:rsidRPr="00312898">
        <w:rPr>
          <w:i/>
        </w:rPr>
        <w:t>jirovecii</w:t>
      </w:r>
      <w:proofErr w:type="spellEnd"/>
      <w:r w:rsidR="00BE0B06">
        <w:t xml:space="preserve"> and cytomegalovirus</w:t>
      </w:r>
      <w:r>
        <w:t>, cerebral infarction, disseminated intravascular coagulation. Comorbidities included alcoholic liver disease and active smoking.</w:t>
      </w:r>
    </w:p>
    <w:p w14:paraId="433A3EBE" w14:textId="0D9BFABA" w:rsidR="00D0725D" w:rsidRDefault="00D0725D" w:rsidP="00D0725D">
      <w:pPr>
        <w:pStyle w:val="Bullet1"/>
        <w:numPr>
          <w:ilvl w:val="0"/>
          <w:numId w:val="0"/>
        </w:numPr>
      </w:pPr>
      <w:r>
        <w:t xml:space="preserve">Across the studies, serious </w:t>
      </w:r>
      <w:r w:rsidR="00916F33">
        <w:t>adverse events</w:t>
      </w:r>
      <w:r>
        <w:t xml:space="preserve"> (SAE) were more frequently reported in </w:t>
      </w:r>
      <w:proofErr w:type="spellStart"/>
      <w:r w:rsidR="006C4F9F">
        <w:t>upadacitinib</w:t>
      </w:r>
      <w:proofErr w:type="spellEnd"/>
      <w:r>
        <w:t xml:space="preserve"> treated groups than in </w:t>
      </w:r>
      <w:r w:rsidR="006C4F9F">
        <w:t>placebo</w:t>
      </w:r>
      <w:r>
        <w:t xml:space="preserve"> treated groups, and the </w:t>
      </w:r>
      <w:proofErr w:type="spellStart"/>
      <w:r>
        <w:t>PsA</w:t>
      </w:r>
      <w:proofErr w:type="spellEnd"/>
      <w:r>
        <w:t xml:space="preserve"> studies identified a dose</w:t>
      </w:r>
      <w:r w:rsidR="00BE0B06">
        <w:t xml:space="preserve"> </w:t>
      </w:r>
      <w:r>
        <w:t>response relationship with higher exposure</w:t>
      </w:r>
      <w:r w:rsidR="00BE0B06">
        <w:t xml:space="preserve"> </w:t>
      </w:r>
      <w:r>
        <w:t xml:space="preserve">adjusted event rates with the higher dose of </w:t>
      </w:r>
      <w:proofErr w:type="spellStart"/>
      <w:r w:rsidR="006C4F9F">
        <w:t>upadacitinib</w:t>
      </w:r>
      <w:proofErr w:type="spellEnd"/>
      <w:r>
        <w:t xml:space="preserve">. With regard to </w:t>
      </w:r>
      <w:r w:rsidR="00BE0B06">
        <w:t>adverse events of special i</w:t>
      </w:r>
      <w:r w:rsidR="00BE0B06" w:rsidRPr="00E2153C">
        <w:t>nterest</w:t>
      </w:r>
      <w:r w:rsidR="00BE0B06">
        <w:t xml:space="preserve"> (</w:t>
      </w:r>
      <w:r>
        <w:t>AESI</w:t>
      </w:r>
      <w:r w:rsidR="00BE0B06">
        <w:t>)</w:t>
      </w:r>
      <w:r>
        <w:t xml:space="preserve"> in the </w:t>
      </w:r>
      <w:proofErr w:type="spellStart"/>
      <w:r>
        <w:t>PsA</w:t>
      </w:r>
      <w:proofErr w:type="spellEnd"/>
      <w:r>
        <w:t xml:space="preserve"> studies</w:t>
      </w:r>
      <w:r w:rsidRPr="00A95722">
        <w:rPr>
          <w:rFonts w:eastAsia="Cambria"/>
          <w:kern w:val="0"/>
          <w:szCs w:val="22"/>
          <w:lang w:eastAsia="en-US"/>
        </w:rPr>
        <w:t xml:space="preserve"> </w:t>
      </w:r>
      <w:r w:rsidRPr="00A95722">
        <w:t xml:space="preserve">a significantly higher proportion of </w:t>
      </w:r>
      <w:proofErr w:type="spellStart"/>
      <w:r w:rsidR="006C4F9F">
        <w:t>upadacitinib</w:t>
      </w:r>
      <w:proofErr w:type="spellEnd"/>
      <w:r w:rsidRPr="00A95722">
        <w:t xml:space="preserve"> 30 mg treated </w:t>
      </w:r>
      <w:r>
        <w:t>patients</w:t>
      </w:r>
      <w:r w:rsidRPr="00A95722">
        <w:t xml:space="preserve"> reported serious infections (2.7</w:t>
      </w:r>
      <w:r w:rsidR="000A5D01">
        <w:t xml:space="preserve">%; 17 out of </w:t>
      </w:r>
      <w:r w:rsidRPr="00A95722">
        <w:t xml:space="preserve">641) compared to those </w:t>
      </w:r>
      <w:r w:rsidR="000A5D01">
        <w:t xml:space="preserve">treated with </w:t>
      </w:r>
      <w:proofErr w:type="spellStart"/>
      <w:r w:rsidR="006C4F9F">
        <w:t>upadacitinib</w:t>
      </w:r>
      <w:proofErr w:type="spellEnd"/>
      <w:r w:rsidR="000A5D01">
        <w:t xml:space="preserve"> 15</w:t>
      </w:r>
      <w:r w:rsidR="00195EEE">
        <w:t> </w:t>
      </w:r>
      <w:r w:rsidR="000A5D01">
        <w:t xml:space="preserve">mg (0.9%; 6 out of 640) and </w:t>
      </w:r>
      <w:r w:rsidR="006C4F9F">
        <w:t>placebo</w:t>
      </w:r>
      <w:r w:rsidR="000A5D01">
        <w:t xml:space="preserve"> (0.8%; 5 out of </w:t>
      </w:r>
      <w:r w:rsidRPr="00A95722">
        <w:t xml:space="preserve">635). Of note, each </w:t>
      </w:r>
      <w:proofErr w:type="spellStart"/>
      <w:r w:rsidR="006C4F9F">
        <w:t>upadacitinib</w:t>
      </w:r>
      <w:proofErr w:type="spellEnd"/>
      <w:r w:rsidRPr="00A95722">
        <w:t xml:space="preserve"> treatment group recorded </w:t>
      </w:r>
      <w:r>
        <w:t>three</w:t>
      </w:r>
      <w:r w:rsidRPr="00A95722">
        <w:t xml:space="preserve"> neoplasms (</w:t>
      </w:r>
      <w:r>
        <w:t>compared to one</w:t>
      </w:r>
      <w:r w:rsidRPr="00A95722">
        <w:t xml:space="preserve"> in the </w:t>
      </w:r>
      <w:r w:rsidR="006C4F9F">
        <w:t>placebo</w:t>
      </w:r>
      <w:r w:rsidRPr="00A95722">
        <w:t xml:space="preserve"> arm). One deep vein thrombosis (DVT) SAE was reported in a </w:t>
      </w:r>
      <w:r w:rsidR="006C4F9F">
        <w:t>placebo</w:t>
      </w:r>
      <w:r w:rsidRPr="00A95722">
        <w:t xml:space="preserve"> treated </w:t>
      </w:r>
      <w:r>
        <w:t xml:space="preserve">participant </w:t>
      </w:r>
      <w:r w:rsidRPr="00A95722">
        <w:t xml:space="preserve">and </w:t>
      </w:r>
      <w:r>
        <w:t>one person</w:t>
      </w:r>
      <w:r w:rsidRPr="00A95722">
        <w:t xml:space="preserve"> in each </w:t>
      </w:r>
      <w:proofErr w:type="spellStart"/>
      <w:r w:rsidR="006C4F9F">
        <w:t>upadacitinib</w:t>
      </w:r>
      <w:proofErr w:type="spellEnd"/>
      <w:r w:rsidRPr="00A95722">
        <w:t xml:space="preserve"> dose group experienced an SAE of pulmonary embolism (PE).</w:t>
      </w:r>
      <w:r>
        <w:t xml:space="preserve"> Two participants developed interstitial lung disease and complications after ceasing </w:t>
      </w:r>
      <w:proofErr w:type="spellStart"/>
      <w:r w:rsidR="006C4F9F">
        <w:t>upadacitinib</w:t>
      </w:r>
      <w:proofErr w:type="spellEnd"/>
      <w:r>
        <w:t xml:space="preserve">, these AEs were considered to have a reasonable possibility of relationship to </w:t>
      </w:r>
      <w:proofErr w:type="spellStart"/>
      <w:r w:rsidR="006C4F9F">
        <w:t>upadacitinib</w:t>
      </w:r>
      <w:proofErr w:type="spellEnd"/>
      <w:r>
        <w:t>.</w:t>
      </w:r>
    </w:p>
    <w:p w14:paraId="2C85DAD0" w14:textId="77777777" w:rsidR="00D0725D" w:rsidRDefault="000A5D01" w:rsidP="00D0725D">
      <w:pPr>
        <w:pStyle w:val="Bullet1"/>
        <w:numPr>
          <w:ilvl w:val="0"/>
          <w:numId w:val="0"/>
        </w:numPr>
      </w:pPr>
      <w:r>
        <w:t>In P</w:t>
      </w:r>
      <w:r w:rsidR="00D0725D">
        <w:t>eriod 1 of the AS study,</w:t>
      </w:r>
      <w:r w:rsidR="00D0725D" w:rsidRPr="00A95722">
        <w:rPr>
          <w:rFonts w:eastAsia="Cambria"/>
          <w:kern w:val="0"/>
          <w:szCs w:val="22"/>
          <w:lang w:eastAsia="en-US"/>
        </w:rPr>
        <w:t xml:space="preserve"> </w:t>
      </w:r>
      <w:r w:rsidR="00D0725D" w:rsidRPr="00A95722">
        <w:t xml:space="preserve">no </w:t>
      </w:r>
      <w:r w:rsidR="00D0725D">
        <w:t>S</w:t>
      </w:r>
      <w:r w:rsidR="00D0725D" w:rsidRPr="00A95722">
        <w:t xml:space="preserve">AEs of serious infection, malignancy, </w:t>
      </w:r>
      <w:r w:rsidR="00D0725D">
        <w:t>non-melanoma skin cancer (</w:t>
      </w:r>
      <w:r w:rsidR="00D0725D" w:rsidRPr="00A95722">
        <w:t>NMSC</w:t>
      </w:r>
      <w:r w:rsidR="00D0725D">
        <w:t>)</w:t>
      </w:r>
      <w:r w:rsidR="00D0725D" w:rsidRPr="00A95722">
        <w:t xml:space="preserve">, lymphoma, gastrointestinal perforation, herpes zoster, active or latent TB, </w:t>
      </w:r>
      <w:r w:rsidR="00D0725D">
        <w:t xml:space="preserve">independently </w:t>
      </w:r>
      <w:r w:rsidR="00D0725D" w:rsidRPr="00A95722">
        <w:t xml:space="preserve">adjudicated </w:t>
      </w:r>
      <w:r w:rsidR="00D0725D">
        <w:t>major adverse cardiovascular events (</w:t>
      </w:r>
      <w:r w:rsidR="00D0725D" w:rsidRPr="00A95722">
        <w:t>MACE</w:t>
      </w:r>
      <w:r w:rsidR="00D0725D">
        <w:t>)</w:t>
      </w:r>
      <w:r w:rsidR="00D0725D" w:rsidRPr="00A95722">
        <w:t xml:space="preserve"> or adjudicated </w:t>
      </w:r>
      <w:r w:rsidR="00D0725D">
        <w:t>events of venous thromboembolism (</w:t>
      </w:r>
      <w:r w:rsidR="00D0725D" w:rsidRPr="00A95722">
        <w:t>VTE</w:t>
      </w:r>
      <w:r w:rsidR="00D0725D">
        <w:t>)</w:t>
      </w:r>
      <w:r w:rsidR="00D0725D" w:rsidRPr="00A95722">
        <w:t xml:space="preserve"> were reported. </w:t>
      </w:r>
      <w:r w:rsidR="00D0725D">
        <w:t xml:space="preserve">In the any </w:t>
      </w:r>
      <w:proofErr w:type="spellStart"/>
      <w:r w:rsidR="006C4F9F">
        <w:t>upadacitinib</w:t>
      </w:r>
      <w:proofErr w:type="spellEnd"/>
      <w:r w:rsidR="00D0725D">
        <w:t xml:space="preserve"> report, 14 single incidents of SAEs were reported by 12 participants, among those squamous cell carcinoma of the tongue (former </w:t>
      </w:r>
      <w:r>
        <w:t>smoker with onset on treatment D</w:t>
      </w:r>
      <w:r w:rsidR="00D0725D">
        <w:t>ay 146), iridocyclitis, multiple fractures, hypertensive emergency and raised serum ALT levels.</w:t>
      </w:r>
    </w:p>
    <w:p w14:paraId="26282499" w14:textId="77777777" w:rsidR="000A5D01" w:rsidRDefault="000A5D01" w:rsidP="000A5D01">
      <w:r>
        <w:t>The clinical evaluator concluded that:</w:t>
      </w:r>
    </w:p>
    <w:p w14:paraId="6D10BC8C" w14:textId="77777777" w:rsidR="000A5D01" w:rsidRPr="000A5D01" w:rsidRDefault="000A5D01" w:rsidP="000A5D01">
      <w:pPr>
        <w:ind w:left="720"/>
        <w:rPr>
          <w:i/>
        </w:rPr>
      </w:pPr>
      <w:r w:rsidRPr="000A5D01">
        <w:rPr>
          <w:i/>
        </w:rPr>
        <w:t xml:space="preserve">‘data indicates that </w:t>
      </w:r>
      <w:proofErr w:type="spellStart"/>
      <w:r w:rsidR="006C4F9F">
        <w:rPr>
          <w:i/>
        </w:rPr>
        <w:t>upadacitinib</w:t>
      </w:r>
      <w:proofErr w:type="spellEnd"/>
      <w:r w:rsidRPr="000A5D01">
        <w:rPr>
          <w:i/>
        </w:rPr>
        <w:t xml:space="preserve"> 15 mg once daily in both newly proposed treatment indications (</w:t>
      </w:r>
      <w:proofErr w:type="spellStart"/>
      <w:r w:rsidRPr="000A5D01">
        <w:rPr>
          <w:i/>
        </w:rPr>
        <w:t>PsA</w:t>
      </w:r>
      <w:proofErr w:type="spellEnd"/>
      <w:r w:rsidRPr="000A5D01">
        <w:rPr>
          <w:i/>
        </w:rPr>
        <w:t xml:space="preserve"> and AS) has an acceptable overall safety profile up to one year of therapy in the treatment of adult patients with moderately to severely active disease. There is limited long-term safety data in the current submission to assess the risk of some types of AEs such as malignancy and MACE, which will require additional longitudinal safety follow-up. From this reviewer’s assessment of the safety dataset, </w:t>
      </w:r>
      <w:r w:rsidRPr="000A5D01">
        <w:rPr>
          <w:i/>
        </w:rPr>
        <w:lastRenderedPageBreak/>
        <w:t xml:space="preserve">there are some significant safety concerns with </w:t>
      </w:r>
      <w:proofErr w:type="spellStart"/>
      <w:r w:rsidR="006C4F9F">
        <w:rPr>
          <w:i/>
        </w:rPr>
        <w:t>upadacitinib</w:t>
      </w:r>
      <w:proofErr w:type="spellEnd"/>
      <w:r w:rsidRPr="000A5D01">
        <w:rPr>
          <w:i/>
        </w:rPr>
        <w:t xml:space="preserve"> therapy including the risk of infection, opportunistic infection (mainly, oral herpes and zoster infection), increased serum CPK values, anaemia, neutropenia, abnormal liver function tests (raised serum transaminases) and dyslipidaemia. These safety concerns are consistent with the known profile of </w:t>
      </w:r>
      <w:proofErr w:type="spellStart"/>
      <w:r w:rsidR="006C4F9F">
        <w:rPr>
          <w:i/>
        </w:rPr>
        <w:t>upadacitinib</w:t>
      </w:r>
      <w:proofErr w:type="spellEnd"/>
      <w:r w:rsidRPr="000A5D01">
        <w:rPr>
          <w:i/>
        </w:rPr>
        <w:t xml:space="preserve"> therapy in adult patients with RA.’</w:t>
      </w:r>
    </w:p>
    <w:p w14:paraId="361E4530" w14:textId="77777777" w:rsidR="000A5D01" w:rsidRDefault="000A5D01" w:rsidP="000A5D01">
      <w:r>
        <w:t xml:space="preserve">The evaluator recommended and the sponsor agreed to an amended indication for </w:t>
      </w:r>
      <w:proofErr w:type="spellStart"/>
      <w:r>
        <w:t>upadacitinib</w:t>
      </w:r>
      <w:proofErr w:type="spellEnd"/>
      <w:r>
        <w:t xml:space="preserve"> in </w:t>
      </w:r>
      <w:proofErr w:type="spellStart"/>
      <w:r>
        <w:t>PsA</w:t>
      </w:r>
      <w:proofErr w:type="spellEnd"/>
      <w:r>
        <w:t>:</w:t>
      </w:r>
    </w:p>
    <w:p w14:paraId="425125DE" w14:textId="77777777" w:rsidR="000A5D01" w:rsidRPr="000A5D01" w:rsidRDefault="000A5D01" w:rsidP="000A5D01">
      <w:pPr>
        <w:ind w:left="720"/>
        <w:rPr>
          <w:i/>
        </w:rPr>
      </w:pPr>
      <w:r w:rsidRPr="000A5D01">
        <w:rPr>
          <w:i/>
        </w:rPr>
        <w:t>‘</w:t>
      </w:r>
      <w:proofErr w:type="spellStart"/>
      <w:r w:rsidRPr="000A5D01">
        <w:rPr>
          <w:i/>
        </w:rPr>
        <w:t>Rinvoq</w:t>
      </w:r>
      <w:proofErr w:type="spellEnd"/>
      <w:r w:rsidRPr="000A5D01">
        <w:rPr>
          <w:i/>
        </w:rPr>
        <w:t xml:space="preserve"> is indicated for the treatment of moderate to severe active psoriatic arthritis in adult patients when the response to one or more disease modifying anti-rheumatic drugs (DMARDs) has been inadequate, or inadequately tolerated. </w:t>
      </w:r>
      <w:proofErr w:type="spellStart"/>
      <w:r w:rsidRPr="000A5D01">
        <w:rPr>
          <w:i/>
        </w:rPr>
        <w:t>Rinvoq</w:t>
      </w:r>
      <w:proofErr w:type="spellEnd"/>
      <w:r w:rsidRPr="000A5D01">
        <w:rPr>
          <w:i/>
        </w:rPr>
        <w:t xml:space="preserve"> can be given as monotherapy or in combination with conventional DMARDs including methotrexate.’</w:t>
      </w:r>
    </w:p>
    <w:p w14:paraId="3E2690E9" w14:textId="77777777" w:rsidR="000A5D01" w:rsidRDefault="000A5D01" w:rsidP="000A5D01">
      <w:r>
        <w:t xml:space="preserve">The sponsor proposed and the evaluator agreed to the following indication for </w:t>
      </w:r>
      <w:proofErr w:type="spellStart"/>
      <w:r>
        <w:t>upadacitinib</w:t>
      </w:r>
      <w:proofErr w:type="spellEnd"/>
      <w:r>
        <w:t xml:space="preserve"> in AS:</w:t>
      </w:r>
    </w:p>
    <w:p w14:paraId="68921D9F" w14:textId="77777777" w:rsidR="000A5D01" w:rsidRPr="000A5D01" w:rsidRDefault="000A5D01" w:rsidP="000A5D01">
      <w:pPr>
        <w:ind w:firstLine="720"/>
        <w:rPr>
          <w:i/>
        </w:rPr>
      </w:pPr>
      <w:proofErr w:type="spellStart"/>
      <w:r w:rsidRPr="000A5D01">
        <w:rPr>
          <w:i/>
        </w:rPr>
        <w:t>Rinvoq</w:t>
      </w:r>
      <w:proofErr w:type="spellEnd"/>
      <w:r w:rsidRPr="000A5D01">
        <w:rPr>
          <w:i/>
        </w:rPr>
        <w:t xml:space="preserve"> is indicated for the treatment of adults with active ankylosing spondylitis.</w:t>
      </w:r>
    </w:p>
    <w:p w14:paraId="48875AF1" w14:textId="77777777" w:rsidR="00984877" w:rsidRPr="00984877" w:rsidRDefault="007B6132" w:rsidP="00984877">
      <w:pPr>
        <w:pStyle w:val="Heading4"/>
      </w:pPr>
      <w:r w:rsidRPr="007B6132">
        <w:t>Clinical evaluator’s recommendation</w:t>
      </w:r>
    </w:p>
    <w:p w14:paraId="0BB8A4E6" w14:textId="206B3E7A" w:rsidR="00DF3125" w:rsidRPr="00DF3125" w:rsidRDefault="00DF3125" w:rsidP="00DF3125">
      <w:r w:rsidRPr="00DF3125">
        <w:t xml:space="preserve">The clinical evaluator recommends approval of the submission to extend the indications of </w:t>
      </w:r>
      <w:proofErr w:type="spellStart"/>
      <w:r w:rsidRPr="00DF3125">
        <w:t>upadacitinib</w:t>
      </w:r>
      <w:proofErr w:type="spellEnd"/>
      <w:r w:rsidRPr="00DF3125">
        <w:t xml:space="preserve"> (</w:t>
      </w:r>
      <w:proofErr w:type="spellStart"/>
      <w:r>
        <w:t>upadacitinib</w:t>
      </w:r>
      <w:proofErr w:type="spellEnd"/>
      <w:r w:rsidRPr="00DF3125">
        <w:t xml:space="preserve">) to include the treatment of both </w:t>
      </w:r>
      <w:r w:rsidR="00D51F6C">
        <w:t>psoriatic arthritis</w:t>
      </w:r>
      <w:r w:rsidR="00D51F6C" w:rsidRPr="00DF3125">
        <w:t xml:space="preserve"> </w:t>
      </w:r>
      <w:r w:rsidR="00D51F6C">
        <w:t>(</w:t>
      </w:r>
      <w:proofErr w:type="spellStart"/>
      <w:r w:rsidR="00D51F6C">
        <w:t>PsA</w:t>
      </w:r>
      <w:proofErr w:type="spellEnd"/>
      <w:r w:rsidR="00D51F6C">
        <w:t xml:space="preserve">) </w:t>
      </w:r>
      <w:r w:rsidRPr="00DF3125">
        <w:t xml:space="preserve">and </w:t>
      </w:r>
      <w:r w:rsidR="00D51F6C">
        <w:t>ankylosing spondylitis (AS)</w:t>
      </w:r>
      <w:r w:rsidRPr="00DF3125">
        <w:t>. The indications supported by the clinical evaluator are:</w:t>
      </w:r>
    </w:p>
    <w:p w14:paraId="459ABAC2" w14:textId="77777777" w:rsidR="00DF3125" w:rsidRPr="00DF3125" w:rsidRDefault="00DF3125" w:rsidP="00DF3125">
      <w:pPr>
        <w:ind w:left="720"/>
        <w:rPr>
          <w:i/>
        </w:rPr>
      </w:pPr>
      <w:r w:rsidRPr="00DF3125">
        <w:rPr>
          <w:i/>
        </w:rPr>
        <w:t>Psoriatic Arthritis</w:t>
      </w:r>
    </w:p>
    <w:p w14:paraId="5BFB8EF3" w14:textId="77777777" w:rsidR="00DF3125" w:rsidRPr="00DF3125" w:rsidRDefault="00DF3125" w:rsidP="00DF3125">
      <w:pPr>
        <w:ind w:left="720"/>
        <w:rPr>
          <w:i/>
        </w:rPr>
      </w:pPr>
      <w:proofErr w:type="spellStart"/>
      <w:r w:rsidRPr="00DF3125">
        <w:rPr>
          <w:i/>
        </w:rPr>
        <w:t>Rinvoq</w:t>
      </w:r>
      <w:proofErr w:type="spellEnd"/>
      <w:r w:rsidRPr="00DF3125">
        <w:rPr>
          <w:i/>
        </w:rPr>
        <w:t xml:space="preserve"> is indicated for the treatment of moderate to severe active psoriatic arthritis in adult patients when the response to one or more disease modifying anti-rheumatic drugs (DMARDs) has been inadequate, or inadequately tolerated. </w:t>
      </w:r>
      <w:proofErr w:type="spellStart"/>
      <w:r w:rsidRPr="00DF3125">
        <w:rPr>
          <w:i/>
        </w:rPr>
        <w:t>Rinvoq</w:t>
      </w:r>
      <w:proofErr w:type="spellEnd"/>
      <w:r w:rsidRPr="00DF3125">
        <w:rPr>
          <w:i/>
        </w:rPr>
        <w:t xml:space="preserve"> can be given as monotherapy or in combination with conventional DMARDs including methotrexate.</w:t>
      </w:r>
    </w:p>
    <w:p w14:paraId="5CA7DE63" w14:textId="77777777" w:rsidR="00DF3125" w:rsidRPr="00DF3125" w:rsidRDefault="00DF3125" w:rsidP="00DF3125">
      <w:pPr>
        <w:ind w:left="720"/>
        <w:rPr>
          <w:i/>
        </w:rPr>
      </w:pPr>
      <w:r w:rsidRPr="00DF3125">
        <w:rPr>
          <w:i/>
        </w:rPr>
        <w:t>Ankylosing Spondylitis</w:t>
      </w:r>
    </w:p>
    <w:p w14:paraId="2F0B5B33" w14:textId="77777777" w:rsidR="00DF3125" w:rsidRPr="00DF3125" w:rsidRDefault="00DF3125" w:rsidP="00DF3125">
      <w:pPr>
        <w:ind w:left="720"/>
        <w:rPr>
          <w:b/>
          <w:bCs/>
          <w:i/>
        </w:rPr>
      </w:pPr>
      <w:proofErr w:type="spellStart"/>
      <w:r w:rsidRPr="00DF3125">
        <w:rPr>
          <w:i/>
        </w:rPr>
        <w:t>Rinvoq</w:t>
      </w:r>
      <w:proofErr w:type="spellEnd"/>
      <w:r w:rsidRPr="00DF3125">
        <w:rPr>
          <w:i/>
        </w:rPr>
        <w:t xml:space="preserve"> is indicated for the treatment of adults with active ankylosing spondylitis.</w:t>
      </w:r>
    </w:p>
    <w:p w14:paraId="61B68832" w14:textId="77777777" w:rsidR="008E7846" w:rsidRDefault="00386150" w:rsidP="00DF3125">
      <w:pPr>
        <w:pStyle w:val="Heading3"/>
        <w:rPr>
          <w:lang w:eastAsia="en-AU"/>
        </w:rPr>
      </w:pPr>
      <w:bookmarkStart w:id="52" w:name="_Toc80775940"/>
      <w:r>
        <w:rPr>
          <w:lang w:eastAsia="en-AU"/>
        </w:rPr>
        <w:t>Risk m</w:t>
      </w:r>
      <w:r w:rsidR="008E7846">
        <w:rPr>
          <w:lang w:eastAsia="en-AU"/>
        </w:rPr>
        <w:t xml:space="preserve">anagement </w:t>
      </w:r>
      <w:r>
        <w:rPr>
          <w:lang w:eastAsia="en-AU"/>
        </w:rPr>
        <w:t>p</w:t>
      </w:r>
      <w:r w:rsidR="008E7846">
        <w:rPr>
          <w:lang w:eastAsia="en-AU"/>
        </w:rPr>
        <w:t>lan</w:t>
      </w:r>
      <w:bookmarkEnd w:id="40"/>
      <w:bookmarkEnd w:id="52"/>
    </w:p>
    <w:p w14:paraId="3293C9BF" w14:textId="77777777" w:rsidR="008E7846" w:rsidRDefault="007D53B6" w:rsidP="007D53B6">
      <w:r>
        <w:t>There was no requirement for a risk management plan evaluation for a submission of this type.</w:t>
      </w:r>
      <w:r>
        <w:rPr>
          <w:rStyle w:val="FootnoteReference"/>
        </w:rPr>
        <w:footnoteReference w:id="11"/>
      </w:r>
    </w:p>
    <w:p w14:paraId="6AAF6738" w14:textId="77777777" w:rsidR="008E7846" w:rsidRDefault="00AA0ED0" w:rsidP="008E7846">
      <w:pPr>
        <w:pStyle w:val="Heading3"/>
      </w:pPr>
      <w:bookmarkStart w:id="53" w:name="_Toc247691531"/>
      <w:bookmarkStart w:id="54" w:name="_Toc314842515"/>
      <w:bookmarkStart w:id="55" w:name="_Toc196046505"/>
      <w:bookmarkStart w:id="56" w:name="_Toc196046949"/>
      <w:bookmarkStart w:id="57" w:name="_Toc80775941"/>
      <w:r>
        <w:t>Risk-benefit a</w:t>
      </w:r>
      <w:r w:rsidR="008E7846">
        <w:t>nalysis</w:t>
      </w:r>
      <w:bookmarkEnd w:id="53"/>
      <w:bookmarkEnd w:id="54"/>
      <w:bookmarkEnd w:id="57"/>
    </w:p>
    <w:p w14:paraId="6617D071" w14:textId="77777777" w:rsidR="00D23139" w:rsidRDefault="007D53B6" w:rsidP="00D23139">
      <w:pPr>
        <w:pStyle w:val="Heading4"/>
      </w:pPr>
      <w:r>
        <w:t>Delegate’s considerations</w:t>
      </w:r>
    </w:p>
    <w:p w14:paraId="3AA47DFB" w14:textId="77777777" w:rsidR="000A5D01" w:rsidRDefault="000A5D01" w:rsidP="000A5D01">
      <w:r>
        <w:t xml:space="preserve">The studies in </w:t>
      </w:r>
      <w:proofErr w:type="spellStart"/>
      <w:r>
        <w:t>PsA</w:t>
      </w:r>
      <w:proofErr w:type="spellEnd"/>
      <w:r>
        <w:t xml:space="preserve"> examined the efficacy and safety of two doses of </w:t>
      </w:r>
      <w:proofErr w:type="spellStart"/>
      <w:r w:rsidR="006C4F9F">
        <w:t>upadacitinib</w:t>
      </w:r>
      <w:proofErr w:type="spellEnd"/>
      <w:r>
        <w:t xml:space="preserve"> in patients with moderate to severe </w:t>
      </w:r>
      <w:proofErr w:type="spellStart"/>
      <w:r>
        <w:t>PsA</w:t>
      </w:r>
      <w:proofErr w:type="spellEnd"/>
      <w:r>
        <w:t xml:space="preserve"> who had inadequately responded to or were intolerant to non-biological DMARDs, and in patients who had inadequately responded to or were intolerant to at least one </w:t>
      </w:r>
      <w:proofErr w:type="spellStart"/>
      <w:r>
        <w:t>bDMARD</w:t>
      </w:r>
      <w:proofErr w:type="spellEnd"/>
      <w:r>
        <w:t xml:space="preserve">. The studies were well designed and, </w:t>
      </w:r>
      <w:proofErr w:type="gramStart"/>
      <w:r>
        <w:t>with regard to</w:t>
      </w:r>
      <w:proofErr w:type="gramEnd"/>
      <w:r>
        <w:t xml:space="preserve"> efficacy, convincingly indicated that </w:t>
      </w:r>
      <w:proofErr w:type="spellStart"/>
      <w:r w:rsidR="006C4F9F">
        <w:t>upadacitinib</w:t>
      </w:r>
      <w:proofErr w:type="spellEnd"/>
      <w:r>
        <w:t xml:space="preserve"> was superior to </w:t>
      </w:r>
      <w:r w:rsidR="006C4F9F">
        <w:t>placebo</w:t>
      </w:r>
      <w:r>
        <w:t xml:space="preserve"> in both populations. Although there may be some incremental efficacy benefits with </w:t>
      </w:r>
      <w:proofErr w:type="spellStart"/>
      <w:r w:rsidR="006C4F9F">
        <w:t>upadacitinib</w:t>
      </w:r>
      <w:proofErr w:type="spellEnd"/>
      <w:r>
        <w:t xml:space="preserve"> 30</w:t>
      </w:r>
      <w:r w:rsidR="00195EEE">
        <w:t> </w:t>
      </w:r>
      <w:r>
        <w:t>mg once daily compared to 15</w:t>
      </w:r>
      <w:r w:rsidR="00195EEE">
        <w:t> </w:t>
      </w:r>
      <w:r>
        <w:t xml:space="preserve">mg once daily, there is an increased risk of AEs that outweighs the additional (inconsistent) benefits. This supports the opinion that the most </w:t>
      </w:r>
      <w:r>
        <w:lastRenderedPageBreak/>
        <w:t xml:space="preserve">appropriate dose in </w:t>
      </w:r>
      <w:proofErr w:type="spellStart"/>
      <w:r>
        <w:t>PsA</w:t>
      </w:r>
      <w:proofErr w:type="spellEnd"/>
      <w:r>
        <w:t xml:space="preserve"> should be 15</w:t>
      </w:r>
      <w:r w:rsidR="002C7DAC">
        <w:t xml:space="preserve"> </w:t>
      </w:r>
      <w:r>
        <w:t>mg once daily, and that there is no important reason to register the 30</w:t>
      </w:r>
      <w:r w:rsidR="002C7DAC">
        <w:t xml:space="preserve"> </w:t>
      </w:r>
      <w:r>
        <w:t xml:space="preserve">mg once daily dose regimen for patients with </w:t>
      </w:r>
      <w:proofErr w:type="spellStart"/>
      <w:r>
        <w:t>PsA.</w:t>
      </w:r>
      <w:proofErr w:type="spellEnd"/>
    </w:p>
    <w:p w14:paraId="5381D47C" w14:textId="77777777" w:rsidR="000A5D01" w:rsidRPr="00456765" w:rsidRDefault="000A5D01" w:rsidP="000A5D01">
      <w:r>
        <w:t xml:space="preserve">The study in AS is relatively small and short term, but appropriately designed. There is considerable consensus among rheumatologists that the mechanism of action of any specific </w:t>
      </w:r>
      <w:r w:rsidR="00E9358F">
        <w:t>JAK inhibitor</w:t>
      </w:r>
      <w:r>
        <w:t xml:space="preserve"> is likely to be the same in the wide range of inflammatory rheumatic diseases in which evidence of efficacy and safety of the </w:t>
      </w:r>
      <w:r w:rsidR="00E9358F">
        <w:t>JAK inhibitor</w:t>
      </w:r>
      <w:r>
        <w:t xml:space="preserve"> has been investigated. In the case of </w:t>
      </w:r>
      <w:proofErr w:type="spellStart"/>
      <w:r w:rsidR="006C4F9F">
        <w:t>upadacitinib</w:t>
      </w:r>
      <w:proofErr w:type="spellEnd"/>
      <w:r>
        <w:t xml:space="preserve">, the relative specificity for JAK1 supports its use in the range of inflammatory conditions known to be mediated, at least in part, by IL-6. The sponsor has clearly reported the statistical design of the study, and has justified that a statistically significant, and presumably clinically relevant, response was identified </w:t>
      </w:r>
      <w:proofErr w:type="gramStart"/>
      <w:r>
        <w:t>in spite of</w:t>
      </w:r>
      <w:proofErr w:type="gramEnd"/>
      <w:r>
        <w:t xml:space="preserve"> the small population. In the absence of direct head to head studies, the apparent treatment effect in AS would appear to be similar to or approach that of already registered </w:t>
      </w:r>
      <w:proofErr w:type="spellStart"/>
      <w:r>
        <w:t>bDMARDs</w:t>
      </w:r>
      <w:proofErr w:type="spellEnd"/>
      <w:r>
        <w:t xml:space="preserve">, and the safety findings in AS are also consistent with those reported with </w:t>
      </w:r>
      <w:proofErr w:type="spellStart"/>
      <w:r>
        <w:t>upadacitinib</w:t>
      </w:r>
      <w:proofErr w:type="spellEnd"/>
      <w:r>
        <w:t xml:space="preserve"> in RA and </w:t>
      </w:r>
      <w:proofErr w:type="spellStart"/>
      <w:r>
        <w:t>PsA.</w:t>
      </w:r>
      <w:proofErr w:type="spellEnd"/>
      <w:r>
        <w:t xml:space="preserve"> An additional benefit of </w:t>
      </w:r>
      <w:proofErr w:type="spellStart"/>
      <w:r>
        <w:t>upadacitinib</w:t>
      </w:r>
      <w:proofErr w:type="spellEnd"/>
      <w:r>
        <w:t xml:space="preserve"> in AS is the oral formulation and associated lower risk of immunogenicity.</w:t>
      </w:r>
    </w:p>
    <w:p w14:paraId="36C16BC5" w14:textId="77777777" w:rsidR="00D23139" w:rsidRDefault="00D23139" w:rsidP="00D23139">
      <w:pPr>
        <w:pStyle w:val="Heading4"/>
      </w:pPr>
      <w:r w:rsidRPr="00D23139">
        <w:t>Proposed action</w:t>
      </w:r>
    </w:p>
    <w:p w14:paraId="35502C6C" w14:textId="77777777" w:rsidR="000A5D01" w:rsidRDefault="000A5D01" w:rsidP="00C81DC6">
      <w:pPr>
        <w:rPr>
          <w:i/>
        </w:rPr>
      </w:pPr>
      <w:r w:rsidRPr="002E21A4">
        <w:t xml:space="preserve">Overall, the benefit-risk balance of </w:t>
      </w:r>
      <w:proofErr w:type="spellStart"/>
      <w:r w:rsidR="006C4F9F">
        <w:t>upadacitinib</w:t>
      </w:r>
      <w:proofErr w:type="spellEnd"/>
      <w:r w:rsidRPr="002E21A4">
        <w:t xml:space="preserve"> for the proposed indication of use in adult patients with active </w:t>
      </w:r>
      <w:proofErr w:type="spellStart"/>
      <w:r w:rsidRPr="002E21A4">
        <w:t>PsA</w:t>
      </w:r>
      <w:proofErr w:type="spellEnd"/>
      <w:r w:rsidRPr="002E21A4">
        <w:t xml:space="preserve"> is favourable. The recommended dose in adult patients with active </w:t>
      </w:r>
      <w:proofErr w:type="spellStart"/>
      <w:r w:rsidRPr="002E21A4">
        <w:t>PsA</w:t>
      </w:r>
      <w:proofErr w:type="spellEnd"/>
      <w:r w:rsidRPr="002E21A4">
        <w:t xml:space="preserve"> is 15 mg once daily orally (as either monotherapy or in conjunction with </w:t>
      </w:r>
      <w:r>
        <w:t>non-biological</w:t>
      </w:r>
      <w:r w:rsidRPr="002E21A4">
        <w:t xml:space="preserve"> DMARDs). However, the </w:t>
      </w:r>
      <w:r>
        <w:t xml:space="preserve">proposed </w:t>
      </w:r>
      <w:r w:rsidRPr="002E21A4">
        <w:t xml:space="preserve">treatment indication </w:t>
      </w:r>
      <w:r>
        <w:t>is</w:t>
      </w:r>
      <w:r w:rsidRPr="002E21A4">
        <w:t xml:space="preserve"> amended to reflect that </w:t>
      </w:r>
      <w:proofErr w:type="spellStart"/>
      <w:r w:rsidR="006C4F9F">
        <w:t>upadacitinib</w:t>
      </w:r>
      <w:proofErr w:type="spellEnd"/>
      <w:r w:rsidRPr="002E21A4">
        <w:t xml:space="preserve"> should only be commenced after a prior trial of at least</w:t>
      </w:r>
      <w:r>
        <w:t xml:space="preserve"> one</w:t>
      </w:r>
      <w:r w:rsidRPr="002E21A4">
        <w:t xml:space="preserve"> conventional </w:t>
      </w:r>
      <w:r>
        <w:t xml:space="preserve">or non-biological </w:t>
      </w:r>
      <w:r w:rsidRPr="00C81DC6">
        <w:t>DMARD, as this indication wording is consist</w:t>
      </w:r>
      <w:r w:rsidR="00C81DC6">
        <w:t>ent with the supporting dataset. The Delegate</w:t>
      </w:r>
      <w:r w:rsidRPr="00C81DC6">
        <w:t xml:space="preserve"> support</w:t>
      </w:r>
      <w:r w:rsidR="00C81DC6">
        <w:t>s</w:t>
      </w:r>
      <w:r w:rsidRPr="00C81DC6">
        <w:t xml:space="preserve"> appr</w:t>
      </w:r>
      <w:r w:rsidR="00C81DC6" w:rsidRPr="00C81DC6">
        <w:t>oval for the amended indication:</w:t>
      </w:r>
    </w:p>
    <w:p w14:paraId="5FC50C7D" w14:textId="77777777" w:rsidR="00C81DC6" w:rsidRPr="00C81DC6" w:rsidRDefault="00C81DC6" w:rsidP="00C81DC6">
      <w:pPr>
        <w:ind w:left="720"/>
        <w:rPr>
          <w:i/>
        </w:rPr>
      </w:pPr>
      <w:proofErr w:type="spellStart"/>
      <w:r w:rsidRPr="00C81DC6">
        <w:rPr>
          <w:i/>
        </w:rPr>
        <w:t>R</w:t>
      </w:r>
      <w:r>
        <w:rPr>
          <w:i/>
        </w:rPr>
        <w:t>invoq</w:t>
      </w:r>
      <w:proofErr w:type="spellEnd"/>
      <w:r w:rsidRPr="00C81DC6">
        <w:rPr>
          <w:i/>
        </w:rPr>
        <w:t xml:space="preserve"> is indicated for the treatment of moderate to severe active psoriatic arthritis in adult patients who have responded inadequately to, or who are intolerant to one or more DMARDs. </w:t>
      </w:r>
      <w:proofErr w:type="spellStart"/>
      <w:r w:rsidRPr="00C81DC6">
        <w:rPr>
          <w:i/>
        </w:rPr>
        <w:t>R</w:t>
      </w:r>
      <w:r>
        <w:rPr>
          <w:i/>
        </w:rPr>
        <w:t>invoq</w:t>
      </w:r>
      <w:proofErr w:type="spellEnd"/>
      <w:r w:rsidRPr="00C81DC6">
        <w:rPr>
          <w:i/>
        </w:rPr>
        <w:t xml:space="preserve"> may be used as monotherapy or in combination with a non-biological DMARD.</w:t>
      </w:r>
    </w:p>
    <w:p w14:paraId="257D0EC6" w14:textId="0238AAF0" w:rsidR="000A5D01" w:rsidRPr="00456765" w:rsidRDefault="00C81DC6" w:rsidP="00C81DC6">
      <w:r>
        <w:t xml:space="preserve">Overall, the benefit-risk balance of </w:t>
      </w:r>
      <w:proofErr w:type="spellStart"/>
      <w:r w:rsidR="006C4F9F">
        <w:t>upadacitinib</w:t>
      </w:r>
      <w:proofErr w:type="spellEnd"/>
      <w:r>
        <w:t xml:space="preserve"> for the proposed indication of use in adult patients with</w:t>
      </w:r>
      <w:r w:rsidR="002C7DAC">
        <w:t xml:space="preserve"> active AS is also favourable. The Delegate</w:t>
      </w:r>
      <w:r>
        <w:t xml:space="preserve"> concur</w:t>
      </w:r>
      <w:r w:rsidR="00D51F6C">
        <w:t>s</w:t>
      </w:r>
      <w:r>
        <w:t xml:space="preserve"> with the sponsor</w:t>
      </w:r>
      <w:r w:rsidR="00D51F6C">
        <w:t>’s</w:t>
      </w:r>
      <w:r>
        <w:t xml:space="preserve"> recommended dose of </w:t>
      </w:r>
      <w:proofErr w:type="spellStart"/>
      <w:r w:rsidR="006C4F9F">
        <w:t>upadacitinib</w:t>
      </w:r>
      <w:proofErr w:type="spellEnd"/>
      <w:r>
        <w:t xml:space="preserve"> 15 mg once daily in adult patients with active AS and the proposed treatment indication wording is consistent with the supporting data.</w:t>
      </w:r>
    </w:p>
    <w:p w14:paraId="49AC82F8" w14:textId="77777777" w:rsidR="007D53B6" w:rsidRDefault="007D53B6" w:rsidP="007D53B6">
      <w:pPr>
        <w:pStyle w:val="Heading4"/>
      </w:pPr>
      <w:r>
        <w:t xml:space="preserve">Questions for </w:t>
      </w:r>
      <w:r w:rsidR="00744121">
        <w:t xml:space="preserve">the </w:t>
      </w:r>
      <w:r>
        <w:t>sponsor</w:t>
      </w:r>
    </w:p>
    <w:p w14:paraId="7A29310B" w14:textId="77777777" w:rsidR="00744121" w:rsidRPr="00955A16" w:rsidRDefault="00744121" w:rsidP="00744121">
      <w:r>
        <w:t>The sponsor provided the following response to questions from the Delegate.</w:t>
      </w:r>
    </w:p>
    <w:p w14:paraId="194B61BE" w14:textId="06CC497A" w:rsidR="00935881" w:rsidRDefault="00935881" w:rsidP="00935881">
      <w:pPr>
        <w:pStyle w:val="Numberbullet0"/>
        <w:rPr>
          <w:b/>
          <w:i/>
        </w:rPr>
      </w:pPr>
      <w:r w:rsidRPr="00935881">
        <w:rPr>
          <w:b/>
          <w:i/>
        </w:rPr>
        <w:t xml:space="preserve">In Section 5.1 Pharmacodynamic properties in the annotated </w:t>
      </w:r>
      <w:r w:rsidR="00D51F6C">
        <w:rPr>
          <w:b/>
          <w:i/>
        </w:rPr>
        <w:t xml:space="preserve">Product Information </w:t>
      </w:r>
      <w:r w:rsidR="00D51F6C" w:rsidRPr="00F544FC">
        <w:rPr>
          <w:b/>
        </w:rPr>
        <w:t>[not included here]</w:t>
      </w:r>
      <w:r w:rsidRPr="00935881">
        <w:rPr>
          <w:b/>
          <w:i/>
        </w:rPr>
        <w:t xml:space="preserve"> dated 15 December 2020, the sponsor proposes to restrict information regarding ‘small transient increase in mean </w:t>
      </w:r>
      <w:r w:rsidR="00D51F6C">
        <w:rPr>
          <w:b/>
          <w:i/>
        </w:rPr>
        <w:t>absolute lymphocyte count (ALC)</w:t>
      </w:r>
      <w:r w:rsidRPr="00935881">
        <w:rPr>
          <w:b/>
          <w:i/>
        </w:rPr>
        <w:t xml:space="preserve"> [et seq]’ to patients with rheumatoid arthritis. According to the </w:t>
      </w:r>
      <w:r w:rsidR="00D51F6C">
        <w:rPr>
          <w:b/>
          <w:i/>
        </w:rPr>
        <w:t>s</w:t>
      </w:r>
      <w:r w:rsidRPr="00935881">
        <w:rPr>
          <w:b/>
          <w:i/>
        </w:rPr>
        <w:t xml:space="preserve">econd round of clinical evaluation report, similar changes were seen in the </w:t>
      </w:r>
      <w:proofErr w:type="gramStart"/>
      <w:r w:rsidRPr="00935881">
        <w:rPr>
          <w:b/>
          <w:i/>
        </w:rPr>
        <w:t>long term</w:t>
      </w:r>
      <w:proofErr w:type="gramEnd"/>
      <w:r w:rsidRPr="00935881">
        <w:rPr>
          <w:b/>
          <w:i/>
        </w:rPr>
        <w:t xml:space="preserve"> Phase III studies of psoriatic arthritis. Please clarify whether this effect of </w:t>
      </w:r>
      <w:proofErr w:type="spellStart"/>
      <w:r w:rsidR="006C4F9F">
        <w:rPr>
          <w:b/>
          <w:i/>
        </w:rPr>
        <w:t>upadacitinib</w:t>
      </w:r>
      <w:proofErr w:type="spellEnd"/>
      <w:r w:rsidRPr="00935881">
        <w:rPr>
          <w:b/>
          <w:i/>
        </w:rPr>
        <w:t xml:space="preserve"> on lymphocyte count is specific to rheumatoid arthritis or is likely to occur in all treated patients?</w:t>
      </w:r>
    </w:p>
    <w:p w14:paraId="7BF17B7B" w14:textId="232A2AC3" w:rsidR="002C7DAC" w:rsidRDefault="002C7DAC" w:rsidP="002C7DAC">
      <w:r>
        <w:t>The sponsor would like to clarify that the observed</w:t>
      </w:r>
      <w:r w:rsidR="007A5C52">
        <w:t xml:space="preserve"> effect of </w:t>
      </w:r>
      <w:proofErr w:type="spellStart"/>
      <w:r w:rsidR="007A5C52">
        <w:t>upadacitinib</w:t>
      </w:r>
      <w:proofErr w:type="spellEnd"/>
      <w:r w:rsidR="007A5C52">
        <w:t xml:space="preserve"> 15 mg once daily</w:t>
      </w:r>
      <w:r>
        <w:t xml:space="preserve"> on lymphocyte count as presented in the label was based on findings from the RA study. However, this effect is not considered to be specific to RA. As noted, similar changes were observed in the long-term Phase </w:t>
      </w:r>
      <w:r w:rsidR="00D51F6C">
        <w:t>III</w:t>
      </w:r>
      <w:r>
        <w:t xml:space="preserve"> studies for psoriatic arthritis (</w:t>
      </w:r>
      <w:proofErr w:type="spellStart"/>
      <w:r>
        <w:t>PsA</w:t>
      </w:r>
      <w:proofErr w:type="spellEnd"/>
      <w:r>
        <w:t xml:space="preserve">) and AS. </w:t>
      </w:r>
      <w:r w:rsidR="00D51F6C">
        <w:t>The s</w:t>
      </w:r>
      <w:r w:rsidR="00E928AC">
        <w:t xml:space="preserve">ponsor’s </w:t>
      </w:r>
      <w:r>
        <w:t>approach to the P</w:t>
      </w:r>
      <w:r w:rsidR="00DB6EAD">
        <w:t xml:space="preserve">roduct </w:t>
      </w:r>
      <w:r>
        <w:t>I</w:t>
      </w:r>
      <w:r w:rsidR="00DB6EAD">
        <w:t>nformation</w:t>
      </w:r>
      <w:r>
        <w:t xml:space="preserve"> is to state the observed effects for the lead indication of RA in Section 5.1</w:t>
      </w:r>
      <w:r w:rsidR="00D51F6C">
        <w:t xml:space="preserve"> [of the proposed PI]</w:t>
      </w:r>
      <w:r>
        <w:t xml:space="preserve"> for all parameters and affirm the </w:t>
      </w:r>
      <w:r>
        <w:lastRenderedPageBreak/>
        <w:t xml:space="preserve">consistency of this observation for other indications in Section 4.8 Adverse Effects. </w:t>
      </w:r>
      <w:r w:rsidR="00DB6EAD">
        <w:t>The sponsor</w:t>
      </w:r>
      <w:r>
        <w:t xml:space="preserve"> proposes to retain the following wording in Section 5.1:</w:t>
      </w:r>
    </w:p>
    <w:p w14:paraId="7A1B0621" w14:textId="77777777" w:rsidR="00DB6EAD" w:rsidRDefault="002C7DAC" w:rsidP="002C7DAC">
      <w:pPr>
        <w:pStyle w:val="ListBullet"/>
      </w:pPr>
      <w:r>
        <w:t>In Section 5.1 Pharmacodynamic properties, under Lymphocytes:</w:t>
      </w:r>
    </w:p>
    <w:p w14:paraId="79C72848" w14:textId="77777777" w:rsidR="00935881" w:rsidRDefault="00DB6EAD" w:rsidP="00DB6EAD">
      <w:pPr>
        <w:pStyle w:val="ListBullet"/>
        <w:numPr>
          <w:ilvl w:val="0"/>
          <w:numId w:val="0"/>
        </w:numPr>
        <w:ind w:left="360"/>
      </w:pPr>
      <w:r>
        <w:t>‘I</w:t>
      </w:r>
      <w:r w:rsidR="002C7DAC">
        <w:t xml:space="preserve">n patients with rheumatoid arthritis, treatment with </w:t>
      </w:r>
      <w:proofErr w:type="spellStart"/>
      <w:r w:rsidR="002C7DAC">
        <w:t>upadacitinib</w:t>
      </w:r>
      <w:proofErr w:type="spellEnd"/>
      <w:r w:rsidR="002C7DAC">
        <w:t xml:space="preserve"> was</w:t>
      </w:r>
      <w:r>
        <w:t xml:space="preserve"> </w:t>
      </w:r>
      <w:r w:rsidR="002C7DAC">
        <w:t>associated with a small, trans</w:t>
      </w:r>
      <w:r w:rsidR="00072D69">
        <w:t>ient increase in mean ALC from B</w:t>
      </w:r>
      <w:r w:rsidR="002C7DAC">
        <w:t>aseline up to</w:t>
      </w:r>
      <w:r>
        <w:t xml:space="preserve"> </w:t>
      </w:r>
      <w:r w:rsidR="002C7DAC">
        <w:t>Week 36 which gradually returned to, at or ne</w:t>
      </w:r>
      <w:r w:rsidR="00072D69">
        <w:t>ar B</w:t>
      </w:r>
      <w:r w:rsidR="002C7DAC">
        <w:t>aseline levels with continued</w:t>
      </w:r>
      <w:r>
        <w:t xml:space="preserve"> treatment.’</w:t>
      </w:r>
    </w:p>
    <w:p w14:paraId="68613B94" w14:textId="77777777" w:rsidR="002C7DAC" w:rsidRDefault="002C7DAC" w:rsidP="002C7DAC">
      <w:r>
        <w:t xml:space="preserve">Furthermore, Section 4.8 supports </w:t>
      </w:r>
      <w:r w:rsidR="00DB6EAD">
        <w:t>sponsor</w:t>
      </w:r>
      <w:r>
        <w:t xml:space="preserve">'s position to </w:t>
      </w:r>
      <w:r w:rsidR="00072D69">
        <w:t xml:space="preserve">maintain the wording in Section </w:t>
      </w:r>
      <w:r>
        <w:t>5.1:</w:t>
      </w:r>
    </w:p>
    <w:p w14:paraId="75378C7B" w14:textId="77777777" w:rsidR="00DB6EAD" w:rsidRDefault="002C7DAC" w:rsidP="002C7DAC">
      <w:pPr>
        <w:pStyle w:val="ListBullet"/>
      </w:pPr>
      <w:r>
        <w:t xml:space="preserve">In Section 4.8 Adverse Effects, under </w:t>
      </w:r>
      <w:proofErr w:type="spellStart"/>
      <w:r>
        <w:t>PsA</w:t>
      </w:r>
      <w:proofErr w:type="spellEnd"/>
      <w:r>
        <w:t>:</w:t>
      </w:r>
    </w:p>
    <w:p w14:paraId="6F154437" w14:textId="77777777" w:rsidR="002C7DAC" w:rsidRDefault="00DB6EAD" w:rsidP="00DB6EAD">
      <w:pPr>
        <w:pStyle w:val="ListBullet"/>
        <w:numPr>
          <w:ilvl w:val="0"/>
          <w:numId w:val="0"/>
        </w:numPr>
        <w:ind w:left="360"/>
      </w:pPr>
      <w:r>
        <w:t>‘</w:t>
      </w:r>
      <w:r w:rsidR="002C7DAC">
        <w:t>Overall, the safety profile observed in patients with active psoriatic arthritis</w:t>
      </w:r>
      <w:r>
        <w:t xml:space="preserve"> </w:t>
      </w:r>
      <w:r w:rsidR="002C7DAC">
        <w:t xml:space="preserve">treated with </w:t>
      </w:r>
      <w:proofErr w:type="spellStart"/>
      <w:r w:rsidR="002C7DAC">
        <w:t>R</w:t>
      </w:r>
      <w:r w:rsidR="00072D69">
        <w:t>invoq</w:t>
      </w:r>
      <w:proofErr w:type="spellEnd"/>
      <w:r w:rsidR="002C7DAC">
        <w:t xml:space="preserve"> 15 mg was consistent with the safety profile observed in</w:t>
      </w:r>
      <w:r>
        <w:t xml:space="preserve"> </w:t>
      </w:r>
      <w:r w:rsidR="002C7DAC">
        <w:t>patients with rheumatoid arthri</w:t>
      </w:r>
      <w:r w:rsidR="00072D69">
        <w:t xml:space="preserve">tis. During the </w:t>
      </w:r>
      <w:proofErr w:type="gramStart"/>
      <w:r w:rsidR="00072D69">
        <w:t>24 week</w:t>
      </w:r>
      <w:proofErr w:type="gramEnd"/>
      <w:r w:rsidR="00072D69">
        <w:t xml:space="preserve"> placebo </w:t>
      </w:r>
      <w:r w:rsidR="002C7DAC">
        <w:t>controlled</w:t>
      </w:r>
      <w:r>
        <w:t xml:space="preserve"> </w:t>
      </w:r>
      <w:r w:rsidR="002C7DAC">
        <w:t>period, the frequencies of herpes zoster and herpes simplex were &gt; 1% (1.1%</w:t>
      </w:r>
      <w:r>
        <w:t xml:space="preserve"> </w:t>
      </w:r>
      <w:r w:rsidR="002C7DAC">
        <w:t xml:space="preserve">and 1.4%, respectively) with </w:t>
      </w:r>
      <w:proofErr w:type="spellStart"/>
      <w:r w:rsidR="00072D69">
        <w:t>Rinvoq</w:t>
      </w:r>
      <w:proofErr w:type="spellEnd"/>
      <w:r w:rsidR="002C7DAC">
        <w:t xml:space="preserve"> 15 mg and 0.8% and 1.3%,</w:t>
      </w:r>
      <w:r>
        <w:t xml:space="preserve"> </w:t>
      </w:r>
      <w:r w:rsidR="002C7DAC">
        <w:t>respectively, with placebo. A higher incidence of acne and bronchitis was also</w:t>
      </w:r>
      <w:r>
        <w:t xml:space="preserve"> </w:t>
      </w:r>
      <w:r w:rsidR="002C7DAC">
        <w:t xml:space="preserve">observed in patients treated with </w:t>
      </w:r>
      <w:proofErr w:type="spellStart"/>
      <w:r w:rsidR="00072D69">
        <w:t>Rinvoq</w:t>
      </w:r>
      <w:proofErr w:type="spellEnd"/>
      <w:r w:rsidR="002C7DAC">
        <w:t xml:space="preserve"> 15 mg (1.3% and 3.9%,</w:t>
      </w:r>
      <w:r>
        <w:t xml:space="preserve"> </w:t>
      </w:r>
      <w:r w:rsidR="002C7DAC">
        <w:t>respectively) compared to placebo</w:t>
      </w:r>
      <w:r>
        <w:t xml:space="preserve"> (0.3% and 2.7%, respectively).’</w:t>
      </w:r>
    </w:p>
    <w:p w14:paraId="1DE6E3CD" w14:textId="77777777" w:rsidR="00DB6EAD" w:rsidRDefault="002C7DAC" w:rsidP="002C7DAC">
      <w:pPr>
        <w:pStyle w:val="ListBullet"/>
      </w:pPr>
      <w:r>
        <w:t>In Section 4.8 Adverse Effects, under AS:</w:t>
      </w:r>
    </w:p>
    <w:p w14:paraId="3DBDDFA7" w14:textId="77777777" w:rsidR="00DB6EAD" w:rsidRDefault="00DB6EAD" w:rsidP="00DB6EAD">
      <w:pPr>
        <w:pStyle w:val="ListBullet"/>
        <w:numPr>
          <w:ilvl w:val="0"/>
          <w:numId w:val="0"/>
        </w:numPr>
        <w:ind w:left="360"/>
      </w:pPr>
      <w:r>
        <w:t>‘</w:t>
      </w:r>
      <w:r w:rsidR="002C7DAC">
        <w:t>Overall, the safety profile observed in patients with active ankylosing</w:t>
      </w:r>
      <w:r>
        <w:t xml:space="preserve"> </w:t>
      </w:r>
      <w:r w:rsidR="00072D69">
        <w:t xml:space="preserve">spondylitis treated with </w:t>
      </w:r>
      <w:proofErr w:type="spellStart"/>
      <w:r w:rsidR="00072D69">
        <w:t>Rinvoq</w:t>
      </w:r>
      <w:proofErr w:type="spellEnd"/>
      <w:r w:rsidR="002C7DAC">
        <w:t xml:space="preserve"> 15 mg was consistent with the safety profile</w:t>
      </w:r>
      <w:r>
        <w:t xml:space="preserve"> </w:t>
      </w:r>
      <w:r w:rsidR="002C7DAC">
        <w:t>observed in patients with rheumatoid arthritis. No new safety findings were</w:t>
      </w:r>
      <w:r>
        <w:t xml:space="preserve"> identified.’</w:t>
      </w:r>
    </w:p>
    <w:p w14:paraId="3839DBA4" w14:textId="77777777" w:rsidR="002C7DAC" w:rsidRPr="00935881" w:rsidRDefault="002C7DAC" w:rsidP="00DB6EAD">
      <w:pPr>
        <w:pStyle w:val="ListBullet"/>
        <w:numPr>
          <w:ilvl w:val="0"/>
          <w:numId w:val="0"/>
        </w:numPr>
      </w:pPr>
      <w:r>
        <w:t xml:space="preserve">This approach allows for a more concise label </w:t>
      </w:r>
      <w:proofErr w:type="gramStart"/>
      <w:r>
        <w:t>and also</w:t>
      </w:r>
      <w:proofErr w:type="gramEnd"/>
      <w:r>
        <w:t xml:space="preserve"> offers flexibility so that specific</w:t>
      </w:r>
      <w:r w:rsidR="00DB6EAD">
        <w:t xml:space="preserve"> </w:t>
      </w:r>
      <w:r>
        <w:t>descriptions can be placed under a particular indication if different observations of effects</w:t>
      </w:r>
      <w:r w:rsidR="00DB6EAD">
        <w:t xml:space="preserve"> </w:t>
      </w:r>
      <w:r>
        <w:t>on these laboratory parameters are noted.</w:t>
      </w:r>
    </w:p>
    <w:p w14:paraId="1EABF17B" w14:textId="77777777" w:rsidR="008E7846" w:rsidRDefault="008E7846" w:rsidP="00935881">
      <w:pPr>
        <w:pStyle w:val="Heading4"/>
      </w:pPr>
      <w:r>
        <w:t xml:space="preserve">Advisory Committee </w:t>
      </w:r>
      <w:r w:rsidR="007D53B6">
        <w:t>c</w:t>
      </w:r>
      <w:r>
        <w:t>onsiderations</w:t>
      </w:r>
      <w:r w:rsidR="00456765">
        <w:rPr>
          <w:rStyle w:val="FootnoteReference"/>
        </w:rPr>
        <w:footnoteReference w:id="12"/>
      </w:r>
    </w:p>
    <w:p w14:paraId="455BB96D" w14:textId="77777777" w:rsidR="00744121" w:rsidRDefault="00744121" w:rsidP="00744121">
      <w:pPr>
        <w:rPr>
          <w:bCs/>
        </w:rPr>
      </w:pPr>
      <w:bookmarkStart w:id="58" w:name="_Toc247691532"/>
      <w:bookmarkStart w:id="59" w:name="_Toc314842516"/>
      <w:bookmarkEnd w:id="30"/>
      <w:bookmarkEnd w:id="55"/>
      <w:bookmarkEnd w:id="56"/>
      <w:r w:rsidRPr="00456765">
        <w:rPr>
          <w:bCs/>
        </w:rPr>
        <w:t>The Advisory Committee on Medicines (ACM), having considered the evaluations and the Delegate’s overview, as well as the sponsor’s response to these documents, advised the following</w:t>
      </w:r>
      <w:r>
        <w:rPr>
          <w:bCs/>
        </w:rPr>
        <w:t>.</w:t>
      </w:r>
    </w:p>
    <w:p w14:paraId="6AE557D9" w14:textId="77777777" w:rsidR="00744121" w:rsidRDefault="00744121" w:rsidP="00744121">
      <w:pPr>
        <w:pStyle w:val="Heading5"/>
      </w:pPr>
      <w:r>
        <w:t>Specific advice to the Delegate</w:t>
      </w:r>
    </w:p>
    <w:p w14:paraId="7B680415" w14:textId="77777777" w:rsidR="00935881" w:rsidRDefault="00935881" w:rsidP="00935881">
      <w:pPr>
        <w:pStyle w:val="Numberbullet0"/>
        <w:numPr>
          <w:ilvl w:val="0"/>
          <w:numId w:val="36"/>
        </w:numPr>
        <w:rPr>
          <w:b/>
          <w:i/>
        </w:rPr>
      </w:pPr>
      <w:r w:rsidRPr="00935881">
        <w:rPr>
          <w:b/>
          <w:i/>
        </w:rPr>
        <w:t xml:space="preserve">What is the opinion of the committee on the benefit-risk balance of </w:t>
      </w:r>
      <w:proofErr w:type="spellStart"/>
      <w:r w:rsidRPr="00935881">
        <w:rPr>
          <w:b/>
          <w:i/>
        </w:rPr>
        <w:t>upadacitinib</w:t>
      </w:r>
      <w:proofErr w:type="spellEnd"/>
      <w:r w:rsidRPr="00935881">
        <w:rPr>
          <w:b/>
          <w:i/>
        </w:rPr>
        <w:t xml:space="preserve"> in the proposed indication for ankylosing spondylitis?</w:t>
      </w:r>
    </w:p>
    <w:p w14:paraId="60719B54" w14:textId="77777777" w:rsidR="00935881" w:rsidRDefault="00935881" w:rsidP="00935881">
      <w:pPr>
        <w:pStyle w:val="Numberbullet0"/>
        <w:numPr>
          <w:ilvl w:val="0"/>
          <w:numId w:val="0"/>
        </w:numPr>
      </w:pPr>
      <w:r>
        <w:t xml:space="preserve">The ACM was of the view that despite the small numbers of patients with AS enrolled in the Phase II/III study, the effect size of </w:t>
      </w:r>
      <w:proofErr w:type="spellStart"/>
      <w:r>
        <w:t>upadacitinib</w:t>
      </w:r>
      <w:proofErr w:type="spellEnd"/>
      <w:r>
        <w:t xml:space="preserve"> is similar to other biological disease modifying anti-rheumatic drugs, and were of the opinion that the safety profile in patients with AS is unlikely to be different to patients with </w:t>
      </w:r>
      <w:proofErr w:type="spellStart"/>
      <w:r>
        <w:t>PsA</w:t>
      </w:r>
      <w:proofErr w:type="spellEnd"/>
      <w:r>
        <w:t xml:space="preserve"> and RA.</w:t>
      </w:r>
    </w:p>
    <w:p w14:paraId="0160CF8B" w14:textId="77777777" w:rsidR="00935881" w:rsidRPr="00935881" w:rsidRDefault="00935881" w:rsidP="00935881">
      <w:pPr>
        <w:pStyle w:val="Numberbullet0"/>
        <w:numPr>
          <w:ilvl w:val="0"/>
          <w:numId w:val="0"/>
        </w:numPr>
      </w:pPr>
      <w:r>
        <w:t xml:space="preserve">The ACM advised that the overall benefit-risk balance of </w:t>
      </w:r>
      <w:proofErr w:type="spellStart"/>
      <w:r>
        <w:t>upadacitinib</w:t>
      </w:r>
      <w:proofErr w:type="spellEnd"/>
      <w:r>
        <w:t xml:space="preserve"> (15 mg dose regimen) for the proposed indication of use in adult patients with active AS is favourable.</w:t>
      </w:r>
    </w:p>
    <w:p w14:paraId="7A06BBCB" w14:textId="77777777" w:rsidR="00935881" w:rsidRDefault="00935881" w:rsidP="00935881">
      <w:pPr>
        <w:pStyle w:val="Numberbullet0"/>
        <w:rPr>
          <w:b/>
          <w:i/>
        </w:rPr>
      </w:pPr>
      <w:r w:rsidRPr="00935881">
        <w:rPr>
          <w:b/>
          <w:i/>
        </w:rPr>
        <w:lastRenderedPageBreak/>
        <w:t xml:space="preserve">The committee is also requested to provide advice on any other issues that it thinks may be relevant to a decision on </w:t>
      </w:r>
      <w:proofErr w:type="gramStart"/>
      <w:r w:rsidRPr="00935881">
        <w:rPr>
          <w:b/>
          <w:i/>
        </w:rPr>
        <w:t>whether or not</w:t>
      </w:r>
      <w:proofErr w:type="gramEnd"/>
      <w:r w:rsidRPr="00935881">
        <w:rPr>
          <w:b/>
          <w:i/>
        </w:rPr>
        <w:t xml:space="preserve"> to approve this application.</w:t>
      </w:r>
    </w:p>
    <w:p w14:paraId="6F5F52B4" w14:textId="77777777" w:rsidR="00935881" w:rsidRPr="00935881" w:rsidRDefault="00935881" w:rsidP="00935881">
      <w:pPr>
        <w:pStyle w:val="Numberbullet0"/>
        <w:numPr>
          <w:ilvl w:val="0"/>
          <w:numId w:val="0"/>
        </w:numPr>
      </w:pPr>
      <w:r w:rsidRPr="00935881">
        <w:t xml:space="preserve">The ACM advised that the overall benefit-risk balance of </w:t>
      </w:r>
      <w:proofErr w:type="spellStart"/>
      <w:r w:rsidRPr="00935881">
        <w:t>upadacitinib</w:t>
      </w:r>
      <w:proofErr w:type="spellEnd"/>
      <w:r w:rsidRPr="00935881">
        <w:t xml:space="preserve"> (15 mg dose regimen) for the proposed indication of use in adult patients with active </w:t>
      </w:r>
      <w:proofErr w:type="spellStart"/>
      <w:r w:rsidRPr="00935881">
        <w:t>PsA</w:t>
      </w:r>
      <w:proofErr w:type="spellEnd"/>
      <w:r w:rsidRPr="00935881">
        <w:t xml:space="preserve"> is favourable.</w:t>
      </w:r>
    </w:p>
    <w:p w14:paraId="36F4C7CA" w14:textId="77777777" w:rsidR="00744121" w:rsidRDefault="00744121" w:rsidP="00744121">
      <w:pPr>
        <w:pStyle w:val="Heading5"/>
      </w:pPr>
      <w:r>
        <w:t>Conclusion</w:t>
      </w:r>
    </w:p>
    <w:p w14:paraId="67A168B9" w14:textId="77777777" w:rsidR="00935881" w:rsidRDefault="00935881" w:rsidP="00935881">
      <w:r>
        <w:t>The ACM considered this product to have an overall positive benefit-risk profile for the indications:</w:t>
      </w:r>
    </w:p>
    <w:p w14:paraId="363B60F7" w14:textId="77777777" w:rsidR="00935881" w:rsidRPr="00935881" w:rsidRDefault="00935881" w:rsidP="00935881">
      <w:pPr>
        <w:ind w:left="720"/>
        <w:rPr>
          <w:i/>
        </w:rPr>
      </w:pPr>
      <w:proofErr w:type="spellStart"/>
      <w:r w:rsidRPr="00935881">
        <w:rPr>
          <w:i/>
        </w:rPr>
        <w:t>R</w:t>
      </w:r>
      <w:r>
        <w:rPr>
          <w:i/>
        </w:rPr>
        <w:t>invoq</w:t>
      </w:r>
      <w:proofErr w:type="spellEnd"/>
      <w:r w:rsidRPr="00935881">
        <w:rPr>
          <w:i/>
        </w:rPr>
        <w:t xml:space="preserve"> is indicated for the treatment of moderate to severe active psoriatic arthritis in adult patients who have responded inadequately to, or who are intolerant to, one or more DMARDs. </w:t>
      </w:r>
      <w:proofErr w:type="spellStart"/>
      <w:r w:rsidRPr="00935881">
        <w:rPr>
          <w:i/>
        </w:rPr>
        <w:t>R</w:t>
      </w:r>
      <w:r>
        <w:rPr>
          <w:i/>
        </w:rPr>
        <w:t>invoq</w:t>
      </w:r>
      <w:proofErr w:type="spellEnd"/>
      <w:r>
        <w:rPr>
          <w:i/>
        </w:rPr>
        <w:t xml:space="preserve"> </w:t>
      </w:r>
      <w:r w:rsidRPr="00935881">
        <w:rPr>
          <w:i/>
        </w:rPr>
        <w:t>may be used as monotherapy or in combination with a non-biological DMARD.</w:t>
      </w:r>
    </w:p>
    <w:p w14:paraId="1F03C2D1" w14:textId="77777777" w:rsidR="00935881" w:rsidRDefault="00935881" w:rsidP="00935881">
      <w:pPr>
        <w:ind w:left="720"/>
      </w:pPr>
      <w:proofErr w:type="spellStart"/>
      <w:r w:rsidRPr="00935881">
        <w:rPr>
          <w:i/>
        </w:rPr>
        <w:t>R</w:t>
      </w:r>
      <w:r>
        <w:rPr>
          <w:i/>
        </w:rPr>
        <w:t>invoq</w:t>
      </w:r>
      <w:proofErr w:type="spellEnd"/>
      <w:r w:rsidRPr="00935881">
        <w:rPr>
          <w:i/>
        </w:rPr>
        <w:t xml:space="preserve"> is indicated for the treatment of adults with active ankylosing spondylitis.</w:t>
      </w:r>
    </w:p>
    <w:p w14:paraId="6E5592A8" w14:textId="77777777" w:rsidR="008E7846" w:rsidRPr="002E238E" w:rsidRDefault="008E7846" w:rsidP="008E7846">
      <w:pPr>
        <w:pStyle w:val="Heading3"/>
      </w:pPr>
      <w:bookmarkStart w:id="60" w:name="_Toc80775942"/>
      <w:r>
        <w:t>Outcome</w:t>
      </w:r>
      <w:bookmarkEnd w:id="58"/>
      <w:bookmarkEnd w:id="59"/>
      <w:bookmarkEnd w:id="60"/>
    </w:p>
    <w:p w14:paraId="63E822DA" w14:textId="77777777" w:rsidR="00744121" w:rsidRDefault="00744121" w:rsidP="00744121">
      <w:bookmarkStart w:id="61" w:name="_Toc247691533"/>
      <w:bookmarkStart w:id="62" w:name="_Toc314842517"/>
      <w:r>
        <w:t xml:space="preserve">Based on a review of quality, </w:t>
      </w:r>
      <w:proofErr w:type="gramStart"/>
      <w:r>
        <w:t>safety</w:t>
      </w:r>
      <w:proofErr w:type="gramEnd"/>
      <w:r>
        <w:t xml:space="preserve"> and efficacy, the TGA approved the registration of </w:t>
      </w:r>
      <w:proofErr w:type="spellStart"/>
      <w:r w:rsidR="005A6C23">
        <w:t>Rinvoq</w:t>
      </w:r>
      <w:proofErr w:type="spellEnd"/>
      <w:r w:rsidR="005A6C23" w:rsidRPr="00250271">
        <w:t xml:space="preserve"> (</w:t>
      </w:r>
      <w:proofErr w:type="spellStart"/>
      <w:r w:rsidR="005A6C23">
        <w:t>upadacitinob</w:t>
      </w:r>
      <w:proofErr w:type="spellEnd"/>
      <w:r w:rsidR="005A6C23">
        <w:t>) 15 mg, modified release tablet, blister pack</w:t>
      </w:r>
      <w:r>
        <w:t>, indicated for the following extension of indications:</w:t>
      </w:r>
    </w:p>
    <w:p w14:paraId="5B8DEDB8" w14:textId="77777777" w:rsidR="002409E1" w:rsidRPr="002409E1" w:rsidRDefault="002409E1" w:rsidP="002409E1">
      <w:pPr>
        <w:ind w:left="720"/>
        <w:rPr>
          <w:i/>
        </w:rPr>
      </w:pPr>
      <w:r w:rsidRPr="002409E1">
        <w:rPr>
          <w:i/>
        </w:rPr>
        <w:t>Psoriatic Arthritis</w:t>
      </w:r>
    </w:p>
    <w:p w14:paraId="6EE59497" w14:textId="77777777" w:rsidR="002409E1" w:rsidRPr="002409E1" w:rsidRDefault="002409E1" w:rsidP="002409E1">
      <w:pPr>
        <w:ind w:left="720"/>
        <w:rPr>
          <w:i/>
        </w:rPr>
      </w:pPr>
      <w:proofErr w:type="spellStart"/>
      <w:r w:rsidRPr="002409E1">
        <w:rPr>
          <w:i/>
        </w:rPr>
        <w:t>Rinvoq</w:t>
      </w:r>
      <w:proofErr w:type="spellEnd"/>
      <w:r w:rsidRPr="002409E1">
        <w:rPr>
          <w:i/>
        </w:rPr>
        <w:t xml:space="preserve"> is indicated for the treatment of moderate to severe active psoriatic arthritis in adult patients who have responded inadequately </w:t>
      </w:r>
      <w:proofErr w:type="gramStart"/>
      <w:r w:rsidRPr="002409E1">
        <w:rPr>
          <w:i/>
        </w:rPr>
        <w:t>to, or</w:t>
      </w:r>
      <w:proofErr w:type="gramEnd"/>
      <w:r w:rsidRPr="002409E1">
        <w:rPr>
          <w:i/>
        </w:rPr>
        <w:t xml:space="preserve"> are intolerant to one or more DMARDs.</w:t>
      </w:r>
    </w:p>
    <w:p w14:paraId="78826282" w14:textId="77777777" w:rsidR="002409E1" w:rsidRPr="002409E1" w:rsidRDefault="002409E1" w:rsidP="002409E1">
      <w:pPr>
        <w:ind w:left="720"/>
        <w:rPr>
          <w:i/>
        </w:rPr>
      </w:pPr>
      <w:proofErr w:type="spellStart"/>
      <w:r w:rsidRPr="002409E1">
        <w:rPr>
          <w:i/>
        </w:rPr>
        <w:t>Rinvoq</w:t>
      </w:r>
      <w:proofErr w:type="spellEnd"/>
      <w:r w:rsidRPr="002409E1">
        <w:rPr>
          <w:i/>
        </w:rPr>
        <w:t xml:space="preserve"> may be used as monotherapy or in combination with a non-biological DMARD.</w:t>
      </w:r>
    </w:p>
    <w:p w14:paraId="3D0A0698" w14:textId="77777777" w:rsidR="002409E1" w:rsidRPr="002409E1" w:rsidRDefault="002409E1" w:rsidP="002409E1">
      <w:pPr>
        <w:ind w:left="720"/>
        <w:rPr>
          <w:i/>
        </w:rPr>
      </w:pPr>
      <w:r w:rsidRPr="002409E1">
        <w:rPr>
          <w:i/>
        </w:rPr>
        <w:t>Ankylosing Spondylitis</w:t>
      </w:r>
    </w:p>
    <w:p w14:paraId="44ABC850" w14:textId="77777777" w:rsidR="002409E1" w:rsidRPr="002409E1" w:rsidRDefault="002409E1" w:rsidP="002409E1">
      <w:pPr>
        <w:ind w:left="720"/>
        <w:rPr>
          <w:b/>
          <w:bCs/>
        </w:rPr>
      </w:pPr>
      <w:proofErr w:type="spellStart"/>
      <w:r w:rsidRPr="002409E1">
        <w:rPr>
          <w:i/>
        </w:rPr>
        <w:t>Rinvoq</w:t>
      </w:r>
      <w:proofErr w:type="spellEnd"/>
      <w:r w:rsidRPr="002409E1">
        <w:rPr>
          <w:i/>
        </w:rPr>
        <w:t xml:space="preserve"> is indicated for the treatment of adults with active ankylosing spondylitis.</w:t>
      </w:r>
    </w:p>
    <w:p w14:paraId="0D308FC4" w14:textId="77777777" w:rsidR="007D53B6" w:rsidRDefault="007D53B6" w:rsidP="007D53B6">
      <w:r>
        <w:t xml:space="preserve">As such, the full indications </w:t>
      </w:r>
      <w:proofErr w:type="gramStart"/>
      <w:r>
        <w:t>at this time</w:t>
      </w:r>
      <w:proofErr w:type="gramEnd"/>
      <w:r>
        <w:t xml:space="preserve"> were:</w:t>
      </w:r>
    </w:p>
    <w:p w14:paraId="1B07F87E" w14:textId="77777777" w:rsidR="005A6C23" w:rsidRPr="002409E1" w:rsidRDefault="005A6C23" w:rsidP="002409E1">
      <w:pPr>
        <w:ind w:left="720"/>
        <w:rPr>
          <w:i/>
        </w:rPr>
      </w:pPr>
      <w:r w:rsidRPr="002409E1">
        <w:rPr>
          <w:i/>
        </w:rPr>
        <w:t>Rheumatoid Arthritis</w:t>
      </w:r>
    </w:p>
    <w:p w14:paraId="1BD4CCA6" w14:textId="77777777" w:rsidR="005A6C23" w:rsidRPr="002409E1" w:rsidRDefault="005A6C23" w:rsidP="002409E1">
      <w:pPr>
        <w:ind w:left="720"/>
        <w:rPr>
          <w:i/>
        </w:rPr>
      </w:pPr>
      <w:proofErr w:type="spellStart"/>
      <w:r w:rsidRPr="002409E1">
        <w:rPr>
          <w:i/>
        </w:rPr>
        <w:t>Rinvoq</w:t>
      </w:r>
      <w:proofErr w:type="spellEnd"/>
      <w:r w:rsidRPr="002409E1">
        <w:rPr>
          <w:i/>
        </w:rPr>
        <w:t xml:space="preserve"> is indicated for the treatment of moderate to severe active rheumatoid arthritis in adult patients who have responded inadequately to, or who are intolerant to, one or more disease-modifying anti-rheumatic drugs (DMARDs). </w:t>
      </w:r>
      <w:proofErr w:type="spellStart"/>
      <w:r w:rsidRPr="002409E1">
        <w:rPr>
          <w:i/>
        </w:rPr>
        <w:t>R</w:t>
      </w:r>
      <w:r w:rsidR="002409E1" w:rsidRPr="002409E1">
        <w:rPr>
          <w:i/>
        </w:rPr>
        <w:t>invoq</w:t>
      </w:r>
      <w:proofErr w:type="spellEnd"/>
      <w:r w:rsidRPr="002409E1">
        <w:rPr>
          <w:i/>
        </w:rPr>
        <w:t xml:space="preserve"> may be used as monotherapy or in combination with methotrexate or other conventional synthetic disease-modifying anti-rheumatic drugs (</w:t>
      </w:r>
      <w:proofErr w:type="spellStart"/>
      <w:r w:rsidRPr="002409E1">
        <w:rPr>
          <w:i/>
        </w:rPr>
        <w:t>csDMARDs</w:t>
      </w:r>
      <w:proofErr w:type="spellEnd"/>
      <w:r w:rsidRPr="002409E1">
        <w:rPr>
          <w:i/>
        </w:rPr>
        <w:t>).</w:t>
      </w:r>
    </w:p>
    <w:p w14:paraId="4DBBABBC" w14:textId="77777777" w:rsidR="005A6C23" w:rsidRPr="002409E1" w:rsidRDefault="005A6C23" w:rsidP="002409E1">
      <w:pPr>
        <w:ind w:left="720"/>
        <w:rPr>
          <w:i/>
        </w:rPr>
      </w:pPr>
      <w:r w:rsidRPr="002409E1">
        <w:rPr>
          <w:i/>
        </w:rPr>
        <w:t>Psoriatic Arthritis</w:t>
      </w:r>
    </w:p>
    <w:p w14:paraId="33B82450" w14:textId="77777777" w:rsidR="005A6C23" w:rsidRPr="002409E1" w:rsidRDefault="005A6C23" w:rsidP="002409E1">
      <w:pPr>
        <w:ind w:left="720"/>
        <w:rPr>
          <w:i/>
        </w:rPr>
      </w:pPr>
      <w:proofErr w:type="spellStart"/>
      <w:r w:rsidRPr="002409E1">
        <w:rPr>
          <w:i/>
        </w:rPr>
        <w:t>Rinvoq</w:t>
      </w:r>
      <w:proofErr w:type="spellEnd"/>
      <w:r w:rsidRPr="002409E1">
        <w:rPr>
          <w:i/>
        </w:rPr>
        <w:t xml:space="preserve"> is indicated for the treatment of moderate to severe active psoriatic arthritis in adult patients who have responded inadequately </w:t>
      </w:r>
      <w:proofErr w:type="gramStart"/>
      <w:r w:rsidRPr="002409E1">
        <w:rPr>
          <w:i/>
        </w:rPr>
        <w:t>to, or</w:t>
      </w:r>
      <w:proofErr w:type="gramEnd"/>
      <w:r w:rsidRPr="002409E1">
        <w:rPr>
          <w:i/>
        </w:rPr>
        <w:t xml:space="preserve"> are intolerant to one or more DMARDs.</w:t>
      </w:r>
    </w:p>
    <w:p w14:paraId="3A55E2CF" w14:textId="77777777" w:rsidR="005A6C23" w:rsidRPr="002409E1" w:rsidRDefault="005A6C23" w:rsidP="002409E1">
      <w:pPr>
        <w:ind w:left="720"/>
        <w:rPr>
          <w:i/>
        </w:rPr>
      </w:pPr>
      <w:proofErr w:type="spellStart"/>
      <w:r w:rsidRPr="002409E1">
        <w:rPr>
          <w:i/>
        </w:rPr>
        <w:t>Rinvoq</w:t>
      </w:r>
      <w:proofErr w:type="spellEnd"/>
      <w:r w:rsidRPr="002409E1">
        <w:rPr>
          <w:i/>
        </w:rPr>
        <w:t xml:space="preserve"> may be used as monotherapy or in combination with a non-biological DMARD.</w:t>
      </w:r>
    </w:p>
    <w:p w14:paraId="0BEAFF8F" w14:textId="77777777" w:rsidR="005A6C23" w:rsidRPr="002409E1" w:rsidRDefault="005A6C23" w:rsidP="002409E1">
      <w:pPr>
        <w:ind w:left="720"/>
        <w:rPr>
          <w:i/>
        </w:rPr>
      </w:pPr>
      <w:r w:rsidRPr="002409E1">
        <w:rPr>
          <w:i/>
        </w:rPr>
        <w:t>Ankylosing Spondylitis</w:t>
      </w:r>
    </w:p>
    <w:p w14:paraId="515ADB0D" w14:textId="77777777" w:rsidR="005A6C23" w:rsidRDefault="005A6C23" w:rsidP="002409E1">
      <w:pPr>
        <w:ind w:left="720"/>
        <w:rPr>
          <w:b/>
          <w:bCs/>
        </w:rPr>
      </w:pPr>
      <w:proofErr w:type="spellStart"/>
      <w:r w:rsidRPr="002409E1">
        <w:rPr>
          <w:i/>
        </w:rPr>
        <w:t>Rinvoq</w:t>
      </w:r>
      <w:proofErr w:type="spellEnd"/>
      <w:r w:rsidRPr="002409E1">
        <w:rPr>
          <w:i/>
        </w:rPr>
        <w:t xml:space="preserve"> is indicated for the treatment of adults with active ankylosing spondylitis.</w:t>
      </w:r>
    </w:p>
    <w:p w14:paraId="25927437" w14:textId="77777777" w:rsidR="00D23139" w:rsidRDefault="00D23139" w:rsidP="005A6C23">
      <w:pPr>
        <w:pStyle w:val="Heading4"/>
      </w:pPr>
      <w:r w:rsidRPr="00D23139">
        <w:lastRenderedPageBreak/>
        <w:t>Specific conditions of registration applying to these goods</w:t>
      </w:r>
    </w:p>
    <w:p w14:paraId="7E812A6F" w14:textId="77777777" w:rsidR="007D355E" w:rsidRDefault="007D355E" w:rsidP="007D355E">
      <w:pPr>
        <w:pStyle w:val="ListBullet"/>
      </w:pPr>
      <w:proofErr w:type="spellStart"/>
      <w:r>
        <w:t>Rinvoq</w:t>
      </w:r>
      <w:proofErr w:type="spellEnd"/>
      <w:r>
        <w:t xml:space="preserve"> (</w:t>
      </w:r>
      <w:proofErr w:type="spellStart"/>
      <w:r>
        <w:t>upadacitinib</w:t>
      </w:r>
      <w:proofErr w:type="spellEnd"/>
      <w:r>
        <w:t xml:space="preserve">) is to be included in the Black Triangle Scheme. The Product Information and Consumer Medicines Information for </w:t>
      </w:r>
      <w:proofErr w:type="spellStart"/>
      <w:r>
        <w:t>Rinvoq</w:t>
      </w:r>
      <w:proofErr w:type="spellEnd"/>
      <w:r>
        <w:t xml:space="preserve"> must include the black triangle symbol and mandatory accompanying text for five years, which starts from the date the new indication is registered.</w:t>
      </w:r>
    </w:p>
    <w:p w14:paraId="3C45D6F7" w14:textId="77777777" w:rsidR="007D355E" w:rsidRDefault="007D355E" w:rsidP="007D355E">
      <w:pPr>
        <w:pStyle w:val="ListBullet"/>
      </w:pPr>
      <w:r>
        <w:t>Provision to the TGA of the final clinical study reports for the Phase III studies in PSA</w:t>
      </w:r>
      <w:r w:rsidR="005D0AC1">
        <w:t xml:space="preserve"> </w:t>
      </w:r>
      <w:r>
        <w:t>(Study M15-572 and M15-554) and the Phase II/III study in AS (Study M16-098), when available.</w:t>
      </w:r>
    </w:p>
    <w:p w14:paraId="5E549845" w14:textId="77777777" w:rsidR="007D355E" w:rsidRPr="007D355E" w:rsidRDefault="007D355E" w:rsidP="007D355E">
      <w:pPr>
        <w:pStyle w:val="ListBullet"/>
      </w:pPr>
      <w:r>
        <w:t>This approval does not impose any requirement for the submission of Periodic Safety Update reports</w:t>
      </w:r>
      <w:r w:rsidR="003907B7">
        <w:t xml:space="preserve"> (PSUR)</w:t>
      </w:r>
      <w:r>
        <w:t xml:space="preserve">. Sponsor should note that it is a requirement that all existing requirements for the submission of PSURs </w:t>
      </w:r>
      <w:proofErr w:type="gramStart"/>
      <w:r>
        <w:t>as a consequence of</w:t>
      </w:r>
      <w:proofErr w:type="gramEnd"/>
      <w:r>
        <w:t xml:space="preserve"> the initial registration or subsequent changes must be completed.</w:t>
      </w:r>
    </w:p>
    <w:p w14:paraId="6E628766" w14:textId="77777777" w:rsidR="008E7846" w:rsidRDefault="00A80B5B" w:rsidP="00D23139">
      <w:pPr>
        <w:pStyle w:val="Heading2"/>
      </w:pPr>
      <w:bookmarkStart w:id="63" w:name="_Toc80775943"/>
      <w:r>
        <w:t xml:space="preserve">Attachment 1. </w:t>
      </w:r>
      <w:r w:rsidR="008E7846">
        <w:t xml:space="preserve">Product </w:t>
      </w:r>
      <w:r w:rsidR="00AA0ED0">
        <w:t>I</w:t>
      </w:r>
      <w:r w:rsidR="008E7846">
        <w:t>nformation</w:t>
      </w:r>
      <w:bookmarkEnd w:id="61"/>
      <w:bookmarkEnd w:id="62"/>
      <w:bookmarkEnd w:id="63"/>
    </w:p>
    <w:p w14:paraId="54F14951" w14:textId="5877150F" w:rsidR="00C80137" w:rsidRDefault="006136D7" w:rsidP="00C80137">
      <w:pPr>
        <w:rPr>
          <w:color w:val="000000"/>
          <w:lang w:eastAsia="en-AU"/>
        </w:rPr>
      </w:pPr>
      <w:r w:rsidRPr="002B3624">
        <w:t xml:space="preserve">The </w:t>
      </w:r>
      <w:r>
        <w:t>PI</w:t>
      </w:r>
      <w:r w:rsidR="007D355E">
        <w:t xml:space="preserve"> for </w:t>
      </w:r>
      <w:proofErr w:type="spellStart"/>
      <w:r w:rsidR="007D355E">
        <w:t>Rinvoq</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7D355E">
        <w:t>&gt;.</w:t>
      </w:r>
    </w:p>
    <w:p w14:paraId="47968C9B" w14:textId="77777777" w:rsidR="00744121" w:rsidRDefault="008E7846" w:rsidP="003913D5">
      <w:pPr>
        <w:autoSpaceDE w:val="0"/>
        <w:autoSpaceDN w:val="0"/>
        <w:adjustRightInd w:val="0"/>
        <w:spacing w:after="0"/>
        <w:rPr>
          <w:lang w:eastAsia="ja-JP"/>
        </w:rPr>
      </w:pPr>
      <w:r w:rsidRPr="00C80137">
        <w:rPr>
          <w:b/>
        </w:rPr>
        <w:br w:type="page"/>
      </w:r>
    </w:p>
    <w:p w14:paraId="759CEA86"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71222FD" w14:textId="77777777" w:rsidTr="00A05FA4">
        <w:trPr>
          <w:trHeight w:hRule="exact" w:val="704"/>
        </w:trPr>
        <w:tc>
          <w:tcPr>
            <w:tcW w:w="9175" w:type="dxa"/>
          </w:tcPr>
          <w:p w14:paraId="1FDE1D2E" w14:textId="77777777" w:rsidR="001C32CD" w:rsidRPr="00487162" w:rsidRDefault="001C32CD" w:rsidP="00A05FA4">
            <w:pPr>
              <w:pStyle w:val="TGASignoff"/>
            </w:pPr>
            <w:r w:rsidRPr="00487162">
              <w:lastRenderedPageBreak/>
              <w:t>Therapeutic Goods Administration</w:t>
            </w:r>
          </w:p>
        </w:tc>
      </w:tr>
      <w:tr w:rsidR="001C32CD" w:rsidRPr="004C239D" w14:paraId="2E92C7B0" w14:textId="77777777" w:rsidTr="00A05FA4">
        <w:trPr>
          <w:trHeight w:val="1221"/>
        </w:trPr>
        <w:tc>
          <w:tcPr>
            <w:tcW w:w="9175" w:type="dxa"/>
            <w:tcMar>
              <w:top w:w="28" w:type="dxa"/>
            </w:tcMar>
          </w:tcPr>
          <w:p w14:paraId="7DD4FD01" w14:textId="77777777" w:rsidR="001C32CD" w:rsidRPr="00487162" w:rsidRDefault="001C32CD" w:rsidP="00A05FA4">
            <w:pPr>
              <w:pStyle w:val="Address"/>
            </w:pPr>
            <w:r w:rsidRPr="00487162">
              <w:t>PO Box 100 Woden ACT 2606 Australia</w:t>
            </w:r>
          </w:p>
          <w:p w14:paraId="6EFAF8EF" w14:textId="6B6FB57E"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2D2CE67B" w14:textId="379282D5" w:rsidR="001C32CD" w:rsidRPr="004C239D" w:rsidRDefault="00746A1E"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50037DF5"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2A0D9" w14:textId="77777777" w:rsidR="00F544FC" w:rsidRDefault="00F544FC" w:rsidP="00C40A36">
      <w:pPr>
        <w:spacing w:after="0"/>
      </w:pPr>
      <w:r>
        <w:separator/>
      </w:r>
    </w:p>
  </w:endnote>
  <w:endnote w:type="continuationSeparator" w:id="0">
    <w:p w14:paraId="7EC818AA" w14:textId="77777777" w:rsidR="00F544FC" w:rsidRDefault="00F544F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DE66" w14:textId="77777777" w:rsidR="002A7F58" w:rsidRDefault="002A7F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544FC" w:rsidRPr="00487162" w14:paraId="73C92C47" w14:textId="77777777" w:rsidTr="00DB750B">
      <w:trPr>
        <w:trHeight w:val="269"/>
      </w:trPr>
      <w:tc>
        <w:tcPr>
          <w:tcW w:w="7371" w:type="dxa"/>
          <w:tcMar>
            <w:top w:w="142" w:type="dxa"/>
            <w:bottom w:w="0" w:type="dxa"/>
          </w:tcMar>
        </w:tcPr>
        <w:p w14:paraId="0E78F66C" w14:textId="0C80B7E8" w:rsidR="00F544FC" w:rsidRPr="00487162" w:rsidRDefault="00F544FC" w:rsidP="004C71FE">
          <w:pPr>
            <w:pStyle w:val="Footer"/>
          </w:pPr>
          <w:proofErr w:type="spellStart"/>
          <w:r w:rsidRPr="00487162">
            <w:t>AusPA</w:t>
          </w:r>
          <w:r>
            <w:t>R</w:t>
          </w:r>
          <w:proofErr w:type="spellEnd"/>
          <w:r>
            <w:t xml:space="preserve"> – </w:t>
          </w:r>
          <w:proofErr w:type="spellStart"/>
          <w:r w:rsidRPr="0075010A">
            <w:t>R</w:t>
          </w:r>
          <w:r>
            <w:t>invoq</w:t>
          </w:r>
          <w:proofErr w:type="spellEnd"/>
          <w:r w:rsidRPr="0075010A">
            <w:t xml:space="preserve"> - </w:t>
          </w:r>
          <w:proofErr w:type="spellStart"/>
          <w:r w:rsidRPr="0075010A">
            <w:t>upadacitinib</w:t>
          </w:r>
          <w:proofErr w:type="spellEnd"/>
          <w:r w:rsidRPr="0075010A">
            <w:t xml:space="preserve"> - AbbVie Pty Ltd - PM-2020-02479-1-</w:t>
          </w:r>
          <w:r>
            <w:t xml:space="preserve">3 </w:t>
          </w:r>
          <w:r>
            <w:br/>
          </w:r>
          <w:r w:rsidR="004C71FE">
            <w:t>FINAL</w:t>
          </w:r>
          <w:r w:rsidRPr="00487162">
            <w:t xml:space="preserve"> </w:t>
          </w:r>
          <w:r w:rsidR="004C71FE">
            <w:t>16</w:t>
          </w:r>
          <w:r>
            <w:t xml:space="preserve"> July 2021</w:t>
          </w:r>
        </w:p>
      </w:tc>
      <w:tc>
        <w:tcPr>
          <w:tcW w:w="1490" w:type="dxa"/>
          <w:tcMar>
            <w:top w:w="142" w:type="dxa"/>
            <w:bottom w:w="0" w:type="dxa"/>
          </w:tcMar>
        </w:tcPr>
        <w:p w14:paraId="51924761" w14:textId="2C44D28A" w:rsidR="00F544FC" w:rsidRPr="00487162" w:rsidRDefault="00F544FC" w:rsidP="00DB750B">
          <w:pPr>
            <w:pStyle w:val="Footer"/>
            <w:jc w:val="right"/>
          </w:pPr>
          <w:r w:rsidRPr="00487162">
            <w:t xml:space="preserve">Page </w:t>
          </w:r>
          <w:r>
            <w:fldChar w:fldCharType="begin"/>
          </w:r>
          <w:r>
            <w:instrText xml:space="preserve"> PAGE  \* Arabic </w:instrText>
          </w:r>
          <w:r>
            <w:fldChar w:fldCharType="separate"/>
          </w:r>
          <w:r w:rsidR="004C71FE">
            <w:rPr>
              <w:noProof/>
            </w:rPr>
            <w:t>16</w:t>
          </w:r>
          <w:r>
            <w:fldChar w:fldCharType="end"/>
          </w:r>
          <w:r w:rsidRPr="00487162">
            <w:t xml:space="preserve"> of </w:t>
          </w:r>
          <w:r w:rsidR="00746A1E">
            <w:fldChar w:fldCharType="begin"/>
          </w:r>
          <w:r w:rsidR="00746A1E">
            <w:instrText xml:space="preserve"> NUMPAGES  \* Arabic </w:instrText>
          </w:r>
          <w:r w:rsidR="00746A1E">
            <w:fldChar w:fldCharType="separate"/>
          </w:r>
          <w:r w:rsidR="004C71FE">
            <w:rPr>
              <w:noProof/>
            </w:rPr>
            <w:t>36</w:t>
          </w:r>
          <w:r w:rsidR="00746A1E">
            <w:rPr>
              <w:noProof/>
            </w:rPr>
            <w:fldChar w:fldCharType="end"/>
          </w:r>
        </w:p>
      </w:tc>
    </w:tr>
  </w:tbl>
  <w:p w14:paraId="07B48A0C" w14:textId="77777777" w:rsidR="00F544FC" w:rsidRDefault="00F544FC"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A39AE" w14:textId="77777777" w:rsidR="002A7F58" w:rsidRDefault="002A7F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544FC" w:rsidRPr="00487162" w14:paraId="6651B301" w14:textId="77777777" w:rsidTr="00E45619">
      <w:trPr>
        <w:trHeight w:val="269"/>
      </w:trPr>
      <w:tc>
        <w:tcPr>
          <w:tcW w:w="4519" w:type="dxa"/>
          <w:tcBorders>
            <w:top w:val="single" w:sz="4" w:space="0" w:color="auto"/>
          </w:tcBorders>
          <w:tcMar>
            <w:top w:w="142" w:type="dxa"/>
            <w:bottom w:w="0" w:type="dxa"/>
          </w:tcMar>
        </w:tcPr>
        <w:p w14:paraId="6B358C9C" w14:textId="77777777" w:rsidR="00F544FC" w:rsidRPr="00487162" w:rsidRDefault="00F544FC" w:rsidP="00FE1DEE">
          <w:pPr>
            <w:pStyle w:val="Footer"/>
          </w:pPr>
          <w:r w:rsidRPr="00487162">
            <w:t>Document title, Part #, Section # - Section title</w:t>
          </w:r>
        </w:p>
        <w:p w14:paraId="006026C6" w14:textId="77777777" w:rsidR="00F544FC" w:rsidRPr="00487162" w:rsidRDefault="00F544FC" w:rsidP="00FE1DEE">
          <w:pPr>
            <w:pStyle w:val="Footer"/>
          </w:pPr>
          <w:r w:rsidRPr="00487162">
            <w:t>V1.0 October 2010</w:t>
          </w:r>
        </w:p>
      </w:tc>
      <w:tc>
        <w:tcPr>
          <w:tcW w:w="4342" w:type="dxa"/>
          <w:tcBorders>
            <w:top w:val="single" w:sz="4" w:space="0" w:color="auto"/>
          </w:tcBorders>
          <w:tcMar>
            <w:top w:w="142" w:type="dxa"/>
            <w:bottom w:w="0" w:type="dxa"/>
          </w:tcMar>
        </w:tcPr>
        <w:p w14:paraId="03BC3534" w14:textId="77777777" w:rsidR="00F544FC" w:rsidRPr="00487162" w:rsidRDefault="00F544F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46A1E">
            <w:fldChar w:fldCharType="begin"/>
          </w:r>
          <w:r w:rsidR="00746A1E">
            <w:instrText xml:space="preserve"> NUMPAGES  </w:instrText>
          </w:r>
          <w:r w:rsidR="00746A1E">
            <w:fldChar w:fldCharType="separate"/>
          </w:r>
          <w:r>
            <w:rPr>
              <w:noProof/>
            </w:rPr>
            <w:t>2</w:t>
          </w:r>
          <w:r w:rsidR="00746A1E">
            <w:rPr>
              <w:noProof/>
            </w:rPr>
            <w:fldChar w:fldCharType="end"/>
          </w:r>
        </w:p>
      </w:tc>
    </w:tr>
  </w:tbl>
  <w:p w14:paraId="674D0E87" w14:textId="77777777" w:rsidR="00F544FC" w:rsidRDefault="00F544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64B3" w14:textId="77777777" w:rsidR="00F544FC" w:rsidRPr="001C32CD" w:rsidRDefault="00F544FC"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544FC" w14:paraId="03D97DC0" w14:textId="77777777" w:rsidTr="0010601F">
      <w:trPr>
        <w:trHeight w:val="108"/>
      </w:trPr>
      <w:tc>
        <w:tcPr>
          <w:tcW w:w="8875" w:type="dxa"/>
          <w:gridSpan w:val="2"/>
          <w:tcBorders>
            <w:bottom w:val="single" w:sz="4" w:space="0" w:color="auto"/>
          </w:tcBorders>
          <w:tcMar>
            <w:right w:w="284" w:type="dxa"/>
          </w:tcMar>
        </w:tcPr>
        <w:p w14:paraId="36B556DB" w14:textId="77777777" w:rsidR="00F544FC" w:rsidRDefault="00F544FC" w:rsidP="006E08B3">
          <w:pPr>
            <w:pStyle w:val="Heading3"/>
          </w:pPr>
          <w:r>
            <w:t>Copyright</w:t>
          </w:r>
        </w:p>
        <w:p w14:paraId="65D1E08E" w14:textId="77777777" w:rsidR="00F544FC" w:rsidRDefault="00F544FC" w:rsidP="006E08B3">
          <w:r>
            <w:rPr>
              <w:rFonts w:cs="Arial"/>
            </w:rPr>
            <w:t>©</w:t>
          </w:r>
          <w:r>
            <w:t xml:space="preserve"> Commonwealth of Australia [add year]</w:t>
          </w:r>
        </w:p>
        <w:p w14:paraId="3FA08EFD" w14:textId="77777777" w:rsidR="00F544FC" w:rsidRDefault="00F544FC" w:rsidP="006E08B3"/>
        <w:p w14:paraId="0D9A4CDD" w14:textId="77777777" w:rsidR="00F544FC" w:rsidRDefault="00F544F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38382AA" w14:textId="77777777" w:rsidR="00F544FC" w:rsidRDefault="00F544FC" w:rsidP="006E08B3"/>
        <w:p w14:paraId="17389F6F" w14:textId="77777777" w:rsidR="00F544FC" w:rsidRDefault="00F544FC" w:rsidP="006E08B3">
          <w:pPr>
            <w:pStyle w:val="Heading3"/>
          </w:pPr>
          <w:r>
            <w:t>Confidentiality</w:t>
          </w:r>
        </w:p>
        <w:p w14:paraId="7249198C" w14:textId="77777777" w:rsidR="00F544FC" w:rsidRDefault="00F544F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96600D9" w14:textId="77777777" w:rsidR="00F544FC" w:rsidRDefault="00F544FC" w:rsidP="006E08B3"/>
        <w:p w14:paraId="593B81BC" w14:textId="77777777" w:rsidR="00F544FC" w:rsidRDefault="00F544FC" w:rsidP="006E08B3">
          <w:r>
            <w:t>For submission made by individuals, all personal details, other than your name, will be removed from your submission before it is published on the TGA’s Internet site.</w:t>
          </w:r>
        </w:p>
        <w:p w14:paraId="5AED01B5" w14:textId="77777777" w:rsidR="00F544FC" w:rsidRDefault="00F544FC" w:rsidP="006E08B3"/>
        <w:p w14:paraId="5167529F" w14:textId="77777777" w:rsidR="00F544FC" w:rsidRDefault="00F544F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544FC" w14:paraId="13C2E5D6" w14:textId="77777777" w:rsidTr="0010601F">
      <w:trPr>
        <w:trHeight w:val="417"/>
      </w:trPr>
      <w:tc>
        <w:tcPr>
          <w:tcW w:w="4519" w:type="dxa"/>
          <w:tcBorders>
            <w:top w:val="single" w:sz="4" w:space="0" w:color="auto"/>
          </w:tcBorders>
          <w:tcMar>
            <w:top w:w="142" w:type="dxa"/>
            <w:bottom w:w="0" w:type="dxa"/>
          </w:tcMar>
        </w:tcPr>
        <w:p w14:paraId="49B9D603" w14:textId="77777777" w:rsidR="00F544FC" w:rsidRDefault="00F544FC" w:rsidP="006E08B3">
          <w:r>
            <w:t>Document title, Part #, Section # - Section title</w:t>
          </w:r>
        </w:p>
        <w:p w14:paraId="795411D2" w14:textId="77777777" w:rsidR="00F544FC" w:rsidRDefault="00F544FC" w:rsidP="006E08B3">
          <w:r>
            <w:t>V1.0 October 2010</w:t>
          </w:r>
        </w:p>
      </w:tc>
      <w:tc>
        <w:tcPr>
          <w:tcW w:w="4356" w:type="dxa"/>
          <w:tcBorders>
            <w:top w:val="single" w:sz="4" w:space="0" w:color="auto"/>
          </w:tcBorders>
          <w:tcMar>
            <w:top w:w="142" w:type="dxa"/>
            <w:bottom w:w="0" w:type="dxa"/>
          </w:tcMar>
        </w:tcPr>
        <w:p w14:paraId="293C923D" w14:textId="77777777" w:rsidR="00F544FC" w:rsidRDefault="00F544F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46A1E">
            <w:fldChar w:fldCharType="begin"/>
          </w:r>
          <w:r w:rsidR="00746A1E">
            <w:instrText xml:space="preserve"> NUMPAGES  \* Arabic </w:instrText>
          </w:r>
          <w:r w:rsidR="00746A1E">
            <w:fldChar w:fldCharType="separate"/>
          </w:r>
          <w:r>
            <w:rPr>
              <w:noProof/>
            </w:rPr>
            <w:t>2</w:t>
          </w:r>
          <w:r w:rsidR="00746A1E">
            <w:rPr>
              <w:noProof/>
            </w:rPr>
            <w:fldChar w:fldCharType="end"/>
          </w:r>
          <w:r>
            <w:t xml:space="preserve">  </w:t>
          </w:r>
        </w:p>
      </w:tc>
    </w:tr>
  </w:tbl>
  <w:p w14:paraId="36F7F4A5" w14:textId="77777777" w:rsidR="00F544FC" w:rsidRDefault="00F544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F056B" w14:textId="77777777" w:rsidR="00F544FC" w:rsidRDefault="00F544FC" w:rsidP="00C40A36">
      <w:pPr>
        <w:spacing w:after="0"/>
      </w:pPr>
      <w:r>
        <w:separator/>
      </w:r>
    </w:p>
  </w:footnote>
  <w:footnote w:type="continuationSeparator" w:id="0">
    <w:p w14:paraId="00D9CFF0" w14:textId="77777777" w:rsidR="00F544FC" w:rsidRDefault="00F544FC" w:rsidP="00C40A36">
      <w:pPr>
        <w:spacing w:after="0"/>
      </w:pPr>
      <w:r>
        <w:continuationSeparator/>
      </w:r>
    </w:p>
  </w:footnote>
  <w:footnote w:id="1">
    <w:p w14:paraId="7B6889F6" w14:textId="77777777" w:rsidR="00F544FC" w:rsidRDefault="00F544FC">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4819036" w14:textId="2E46D22C" w:rsidR="00F544FC" w:rsidRDefault="00F544FC">
      <w:pPr>
        <w:pStyle w:val="FootnoteText"/>
      </w:pPr>
      <w:r>
        <w:rPr>
          <w:rStyle w:val="FootnoteReference"/>
        </w:rPr>
        <w:footnoteRef/>
      </w:r>
      <w:r>
        <w:t xml:space="preserve"> </w:t>
      </w:r>
      <w:r w:rsidRPr="001B5706">
        <w:t xml:space="preserve">The </w:t>
      </w:r>
      <w:r w:rsidRPr="001B5706">
        <w:rPr>
          <w:b/>
        </w:rPr>
        <w:t>Classification Criteria For Psoriatic Arthritis</w:t>
      </w:r>
      <w:r>
        <w:t xml:space="preserve"> </w:t>
      </w:r>
      <w:r w:rsidRPr="001B5706">
        <w:t xml:space="preserve">criteria </w:t>
      </w:r>
      <w:r>
        <w:t xml:space="preserve">(or </w:t>
      </w:r>
      <w:r w:rsidRPr="00F544FC">
        <w:rPr>
          <w:b/>
        </w:rPr>
        <w:t>CASPAR</w:t>
      </w:r>
      <w:r>
        <w:t xml:space="preserve">) </w:t>
      </w:r>
      <w:r w:rsidRPr="001B5706">
        <w:t>consisted of established inflammatory a</w:t>
      </w:r>
      <w:r>
        <w:t>rticular disease with at least three</w:t>
      </w:r>
      <w:r w:rsidRPr="001B5706">
        <w:t xml:space="preserve"> points from the following features: current psoriasis (assigned a score of 2; all other features were assigned a score of 1), a history of psoriasis (unless current psoriasis was</w:t>
      </w:r>
      <w:r>
        <w:t xml:space="preserve"> </w:t>
      </w:r>
      <w:r w:rsidRPr="001B5706">
        <w:t>present), a family history of psoriasis (unless current psoriasis was present or there was a history of psoriasis), dactylitis</w:t>
      </w:r>
      <w:r>
        <w:t xml:space="preserve"> (or severe inflammation of the finger and/or toe joints)</w:t>
      </w:r>
      <w:r w:rsidRPr="001B5706">
        <w:t xml:space="preserve">, </w:t>
      </w:r>
      <w:proofErr w:type="spellStart"/>
      <w:r w:rsidRPr="001B5706">
        <w:t>juxtaarticular</w:t>
      </w:r>
      <w:proofErr w:type="spellEnd"/>
      <w:r w:rsidRPr="001B5706">
        <w:t xml:space="preserve"> new bone formation</w:t>
      </w:r>
      <w:r>
        <w:t xml:space="preserve"> (or new bone formation next to or close to the affected joint)</w:t>
      </w:r>
      <w:r w:rsidRPr="001B5706">
        <w:t>, rheumatoid factor negativity, and nail dystrophy</w:t>
      </w:r>
      <w:r>
        <w:t xml:space="preserve"> (or abnormal nail formation).</w:t>
      </w:r>
    </w:p>
  </w:footnote>
  <w:footnote w:id="3">
    <w:p w14:paraId="29864C8C" w14:textId="77777777" w:rsidR="00F544FC" w:rsidRPr="00BD271A" w:rsidRDefault="00F544FC" w:rsidP="00505B41">
      <w:pPr>
        <w:pStyle w:val="FootnoteText"/>
        <w:rPr>
          <w:b/>
          <w:lang w:eastAsia="ja-JP"/>
        </w:rPr>
      </w:pPr>
      <w:r>
        <w:rPr>
          <w:rStyle w:val="FootnoteReference"/>
        </w:rPr>
        <w:footnoteRef/>
      </w:r>
      <w:r>
        <w:t xml:space="preserve"> </w:t>
      </w:r>
      <w:r w:rsidRPr="00B41C85">
        <w:rPr>
          <w:b/>
          <w:lang w:eastAsia="ja-JP"/>
        </w:rPr>
        <w:t>Cytochrome P450 (CYP) enzymes:</w:t>
      </w:r>
      <w:r>
        <w:rPr>
          <w:b/>
          <w:lang w:eastAsia="ja-JP"/>
        </w:rPr>
        <w:t xml:space="preserve"> </w:t>
      </w:r>
      <w:r>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033641D" w14:textId="77777777" w:rsidR="00F544FC" w:rsidRDefault="00F544FC" w:rsidP="00505B41">
      <w:pPr>
        <w:pStyle w:val="FootnoteText"/>
      </w:pPr>
      <w:r>
        <w:rPr>
          <w:lang w:eastAsia="ja-JP"/>
        </w:rP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rPr>
          <w:lang w:eastAsia="ja-JP"/>
        </w:rPr>
        <w:t>interactions, since</w:t>
      </w:r>
      <w:proofErr w:type="gramEnd"/>
      <w:r>
        <w:rPr>
          <w:lang w:eastAsia="ja-JP"/>
        </w:rPr>
        <w:t xml:space="preserv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4">
    <w:p w14:paraId="6E946A6C" w14:textId="77777777" w:rsidR="00F544FC" w:rsidRDefault="00F544FC" w:rsidP="00DF3125">
      <w:pPr>
        <w:pStyle w:val="FootnoteText"/>
      </w:pPr>
      <w:r>
        <w:rPr>
          <w:rStyle w:val="FootnoteReference"/>
        </w:rPr>
        <w:footnoteRef/>
      </w:r>
      <w:r>
        <w:t xml:space="preserve"> American College of Rheumatology is </w:t>
      </w:r>
      <w:proofErr w:type="spellStart"/>
      <w:r>
        <w:t>acomposite</w:t>
      </w:r>
      <w:proofErr w:type="spellEnd"/>
      <w:r>
        <w:t xml:space="preserve"> measure of the severity of inflammatory arthritis (RA and </w:t>
      </w:r>
      <w:proofErr w:type="spellStart"/>
      <w:r>
        <w:t>PsA</w:t>
      </w:r>
      <w:proofErr w:type="spellEnd"/>
      <w:r>
        <w:t>)</w:t>
      </w:r>
    </w:p>
  </w:footnote>
  <w:footnote w:id="5">
    <w:p w14:paraId="4EC3B2C9" w14:textId="77777777" w:rsidR="00F544FC" w:rsidRDefault="00F544FC" w:rsidP="00DF3125">
      <w:pPr>
        <w:pStyle w:val="FootnoteText"/>
      </w:pPr>
      <w:r>
        <w:rPr>
          <w:rStyle w:val="FootnoteReference"/>
        </w:rPr>
        <w:footnoteRef/>
      </w:r>
      <w:r>
        <w:t xml:space="preserve"> Psoriasis Area and Severity Index, a measure of the severity of psoriasis</w:t>
      </w:r>
    </w:p>
  </w:footnote>
  <w:footnote w:id="6">
    <w:p w14:paraId="44AEA51B" w14:textId="77777777" w:rsidR="00F544FC" w:rsidRDefault="00F544FC" w:rsidP="00DF3125">
      <w:pPr>
        <w:pStyle w:val="FootnoteText"/>
      </w:pPr>
      <w:r>
        <w:rPr>
          <w:rStyle w:val="FootnoteReference"/>
        </w:rPr>
        <w:footnoteRef/>
      </w:r>
      <w:r>
        <w:t xml:space="preserve"> Investigator’s Global Assessment (static) of psoriasis at a point in time based on induration, </w:t>
      </w:r>
      <w:proofErr w:type="gramStart"/>
      <w:r>
        <w:t>erythema</w:t>
      </w:r>
      <w:proofErr w:type="gramEnd"/>
      <w:r>
        <w:t xml:space="preserve"> and scaling</w:t>
      </w:r>
    </w:p>
  </w:footnote>
  <w:footnote w:id="7">
    <w:p w14:paraId="7474A198" w14:textId="726DE0DE" w:rsidR="00F544FC" w:rsidRPr="00F544FC" w:rsidRDefault="00F544FC">
      <w:pPr>
        <w:pStyle w:val="FootnoteText"/>
        <w:rPr>
          <w:lang w:val="en-US"/>
        </w:rPr>
      </w:pPr>
      <w:r>
        <w:rPr>
          <w:rStyle w:val="FootnoteReference"/>
        </w:rPr>
        <w:footnoteRef/>
      </w:r>
      <w:r>
        <w:t xml:space="preserve"> </w:t>
      </w:r>
      <w:r w:rsidRPr="00BD61CC">
        <w:t xml:space="preserve">The </w:t>
      </w:r>
      <w:r w:rsidRPr="00BD61CC">
        <w:rPr>
          <w:b/>
        </w:rPr>
        <w:t xml:space="preserve">Assessment of </w:t>
      </w:r>
      <w:proofErr w:type="spellStart"/>
      <w:r w:rsidRPr="00BD61CC">
        <w:rPr>
          <w:b/>
        </w:rPr>
        <w:t>SpondyloArthritis</w:t>
      </w:r>
      <w:proofErr w:type="spellEnd"/>
      <w:r w:rsidRPr="00BD61CC">
        <w:rPr>
          <w:b/>
        </w:rPr>
        <w:t xml:space="preserve"> International Society Response Criteria</w:t>
      </w:r>
      <w:r w:rsidRPr="00BD61CC">
        <w:t xml:space="preserve"> </w:t>
      </w:r>
      <w:r w:rsidRPr="00BD61CC">
        <w:rPr>
          <w:b/>
        </w:rPr>
        <w:t>(ASAS 20</w:t>
      </w:r>
      <w:r>
        <w:rPr>
          <w:b/>
        </w:rPr>
        <w:t>; ASAS 40</w:t>
      </w:r>
      <w:r w:rsidRPr="00BD61CC">
        <w:rPr>
          <w:b/>
        </w:rPr>
        <w:t xml:space="preserve">) </w:t>
      </w:r>
      <w:r w:rsidRPr="00BD61CC">
        <w:t xml:space="preserve">is defined as an improvement of at least 20% </w:t>
      </w:r>
      <w:r>
        <w:t xml:space="preserve">(or 40%) </w:t>
      </w:r>
      <w:r w:rsidRPr="00BD61CC">
        <w:t>and an absolute improvem</w:t>
      </w:r>
      <w:r>
        <w:t>ent of at least 10 units on a 0</w:t>
      </w:r>
      <w:r>
        <w:noBreakHyphen/>
      </w:r>
      <w:r w:rsidRPr="00BD61CC">
        <w:t xml:space="preserve">100 scale in at least three of the following domains: Patient global assessment, Pain assessment, Function (BASFI), and Inflammation (last 2 questions of </w:t>
      </w:r>
      <w:r>
        <w:t>Bath Ankylosing Spondylitis Disease Activity Index</w:t>
      </w:r>
      <w:r w:rsidRPr="00BD61CC">
        <w:t>).</w:t>
      </w:r>
    </w:p>
  </w:footnote>
  <w:footnote w:id="8">
    <w:p w14:paraId="7B00DFB6" w14:textId="77777777" w:rsidR="00F544FC" w:rsidRDefault="00F544FC" w:rsidP="00984877">
      <w:pPr>
        <w:pStyle w:val="FootnoteText"/>
      </w:pPr>
      <w:r>
        <w:rPr>
          <w:rStyle w:val="FootnoteReference"/>
        </w:rPr>
        <w:footnoteRef/>
      </w:r>
      <w:r>
        <w:t xml:space="preserve"> </w:t>
      </w:r>
      <w:r w:rsidRPr="00F544FC">
        <w:rPr>
          <w:b/>
        </w:rPr>
        <w:t>ACR20</w:t>
      </w:r>
      <w:r w:rsidRPr="00F544FC">
        <w:rPr>
          <w:b/>
          <w:sz w:val="22"/>
          <w:szCs w:val="22"/>
        </w:rPr>
        <w:t xml:space="preserve"> </w:t>
      </w:r>
      <w:r w:rsidRPr="00C77BC5">
        <w:t>defined as a 20% decrease in the combined number of swollen (maximum of 66) and tender (maximum of 68) joint counts, with a 20% improvement in any three of the five core-set measures: Patient’s Global Assessment of disease activity, Physician’s Global Assessment of disease activity, Patient’s Assessment of Pain score (on 10 cm VAS), and Patient’s assessment of physical function as measured by the HAQ-DI and an acute phase reactant (ESR or CRP)</w:t>
      </w:r>
      <w:r>
        <w:t>.</w:t>
      </w:r>
    </w:p>
  </w:footnote>
  <w:footnote w:id="9">
    <w:p w14:paraId="7354E7E7" w14:textId="77777777" w:rsidR="00A677D2" w:rsidRDefault="00A677D2" w:rsidP="00A677D2">
      <w:pPr>
        <w:pStyle w:val="FootnoteText"/>
      </w:pPr>
      <w:r>
        <w:rPr>
          <w:rStyle w:val="FootnoteReference"/>
        </w:rPr>
        <w:footnoteRef/>
      </w:r>
      <w:r>
        <w:t xml:space="preserve"> The primary endpoint is the proportion of subjects with ASAS 40 response at Week 14, which is defined as a ≥ 40% improvement and an absolute improvement of ≥ 2 units (on a scale of 0 to 10) from Baseline in at least three of the following four domains, with no worsening at all in the remaining domain:</w:t>
      </w:r>
    </w:p>
    <w:p w14:paraId="1B518FB7" w14:textId="77777777" w:rsidR="00A677D2" w:rsidRDefault="00A677D2" w:rsidP="00A677D2">
      <w:pPr>
        <w:pStyle w:val="FootnoteText"/>
        <w:numPr>
          <w:ilvl w:val="0"/>
          <w:numId w:val="37"/>
        </w:numPr>
      </w:pPr>
      <w:r>
        <w:t xml:space="preserve">Patient's Global Assessment – Represented by the </w:t>
      </w:r>
      <w:proofErr w:type="spellStart"/>
      <w:r>
        <w:t>PtGA</w:t>
      </w:r>
      <w:proofErr w:type="spellEnd"/>
      <w:r>
        <w:t xml:space="preserve"> NRS score (0 to 10</w:t>
      </w:r>
      <w:proofErr w:type="gramStart"/>
      <w:r>
        <w:t>);</w:t>
      </w:r>
      <w:proofErr w:type="gramEnd"/>
    </w:p>
    <w:p w14:paraId="230330A1" w14:textId="77777777" w:rsidR="00A677D2" w:rsidRDefault="00A677D2" w:rsidP="00A677D2">
      <w:pPr>
        <w:pStyle w:val="FootnoteText"/>
        <w:numPr>
          <w:ilvl w:val="0"/>
          <w:numId w:val="37"/>
        </w:numPr>
      </w:pPr>
      <w:r>
        <w:t>Pain – Represented by the Patient's Assessment of Total Back Pain NRS score (0 to 10</w:t>
      </w:r>
      <w:proofErr w:type="gramStart"/>
      <w:r>
        <w:t>);</w:t>
      </w:r>
      <w:proofErr w:type="gramEnd"/>
    </w:p>
    <w:p w14:paraId="4C6D5F76" w14:textId="77777777" w:rsidR="00A677D2" w:rsidRDefault="00A677D2" w:rsidP="00A677D2">
      <w:pPr>
        <w:pStyle w:val="FootnoteText"/>
        <w:numPr>
          <w:ilvl w:val="0"/>
          <w:numId w:val="37"/>
        </w:numPr>
      </w:pPr>
      <w:r>
        <w:t>Function – Represented by the BASFI NRS score (0 to 10</w:t>
      </w:r>
      <w:proofErr w:type="gramStart"/>
      <w:r>
        <w:t>);</w:t>
      </w:r>
      <w:proofErr w:type="gramEnd"/>
    </w:p>
    <w:p w14:paraId="18EF8D7A" w14:textId="1AF41CF1" w:rsidR="00A677D2" w:rsidRDefault="00A677D2" w:rsidP="00A677D2">
      <w:pPr>
        <w:pStyle w:val="FootnoteText"/>
      </w:pPr>
      <w:r>
        <w:t xml:space="preserve">Inflammation – Represented by the mean of the </w:t>
      </w:r>
      <w:proofErr w:type="gramStart"/>
      <w:r>
        <w:t>two morning</w:t>
      </w:r>
      <w:proofErr w:type="gramEnd"/>
      <w:r>
        <w:t xml:space="preserve"> stiffness-related BASDAI NRS scores (mean of items 5 and 6 of the BASDAI [0 to 10]).</w:t>
      </w:r>
    </w:p>
  </w:footnote>
  <w:footnote w:id="10">
    <w:p w14:paraId="26C9E553" w14:textId="77777777" w:rsidR="00F544FC" w:rsidRDefault="00F544FC">
      <w:pPr>
        <w:pStyle w:val="FootnoteText"/>
      </w:pPr>
      <w:r>
        <w:rPr>
          <w:rStyle w:val="FootnoteReference"/>
        </w:rPr>
        <w:footnoteRef/>
      </w:r>
      <w:r>
        <w:t xml:space="preserve"> T</w:t>
      </w:r>
      <w:r w:rsidRPr="00BD61CC">
        <w:t>he Bath Ankylosing Spondylitis Disease Activity Index (BASDAI) disease activity questionnaire</w:t>
      </w:r>
      <w:r>
        <w:t xml:space="preserve"> in ankylosing s</w:t>
      </w:r>
      <w:r w:rsidRPr="0010568F">
        <w:t>pondylitis</w:t>
      </w:r>
      <w:r w:rsidRPr="00BD61CC">
        <w:t xml:space="preserve"> contains six questions regarding subjective symptoms </w:t>
      </w:r>
      <w:r>
        <w:t xml:space="preserve">in </w:t>
      </w:r>
      <w:r w:rsidRPr="00BD61CC">
        <w:t>during the week prior to answering the questions.</w:t>
      </w:r>
    </w:p>
  </w:footnote>
  <w:footnote w:id="11">
    <w:p w14:paraId="2A6F6BA2" w14:textId="77777777" w:rsidR="00F544FC" w:rsidRDefault="00F544FC">
      <w:pPr>
        <w:pStyle w:val="FootnoteText"/>
      </w:pPr>
      <w:r>
        <w:rPr>
          <w:rStyle w:val="FootnoteReference"/>
        </w:rPr>
        <w:footnoteRef/>
      </w:r>
      <w:r>
        <w:t xml:space="preserve"> </w:t>
      </w:r>
      <w:r w:rsidRPr="007D53B6">
        <w:t>The sponsor must still comply with routine product vigilance and risk minimisation requirements.</w:t>
      </w:r>
    </w:p>
  </w:footnote>
  <w:footnote w:id="12">
    <w:p w14:paraId="0F80EE76" w14:textId="77777777" w:rsidR="00F544FC" w:rsidRDefault="00F544FC"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048D8B7" w14:textId="77777777" w:rsidR="00F544FC" w:rsidRPr="00456765" w:rsidRDefault="00F544FC"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xml:space="preserve">. ACM encompass </w:t>
      </w:r>
      <w:proofErr w:type="gramStart"/>
      <w:r>
        <w:t>pre</w:t>
      </w:r>
      <w:proofErr w:type="gramEnd"/>
      <w:r>
        <w:t xml:space="preserv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w:t>
      </w:r>
      <w:proofErr w:type="gramStart"/>
      <w:r>
        <w:t>medical</w:t>
      </w:r>
      <w:proofErr w:type="gramEnd"/>
      <w:r>
        <w:t xml:space="preserve">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62045" w14:textId="77777777" w:rsidR="002A7F58" w:rsidRDefault="002A7F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2DB64" w14:textId="77777777" w:rsidR="00F544FC" w:rsidRDefault="00F544FC"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4FCDD" w14:textId="77777777" w:rsidR="00F544FC" w:rsidRDefault="00F544FC">
    <w:pPr>
      <w:rPr>
        <w:noProof/>
        <w:lang w:eastAsia="en-AU"/>
      </w:rPr>
    </w:pPr>
    <w:r w:rsidRPr="00347824">
      <w:rPr>
        <w:noProof/>
        <w:lang w:eastAsia="en-AU"/>
      </w:rPr>
      <w:drawing>
        <wp:anchor distT="0" distB="0" distL="114300" distR="114300" simplePos="0" relativeHeight="251659264" behindDoc="1" locked="0" layoutInCell="1" allowOverlap="1" wp14:anchorId="6C46366F" wp14:editId="5CA32FAB">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3159BF5" w14:textId="77777777" w:rsidR="00F544FC" w:rsidRDefault="00F544FC"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733B" w14:textId="77777777" w:rsidR="00F544FC" w:rsidRDefault="00F544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C0C76" w14:textId="77777777" w:rsidR="00F544FC" w:rsidRDefault="00F544F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1CEBC" w14:textId="77777777" w:rsidR="00F544FC" w:rsidRDefault="00F544FC">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53013" w14:textId="77777777" w:rsidR="00F544FC" w:rsidRDefault="00F544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C905" w14:textId="77777777" w:rsidR="00F544FC" w:rsidRDefault="00F544FC"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994F5" w14:textId="77777777" w:rsidR="00F544FC" w:rsidRDefault="00F544FC" w:rsidP="006E08B3">
    <w:r>
      <w:t>Therapeutic Goods Administration</w:t>
    </w:r>
  </w:p>
  <w:p w14:paraId="2B544DBA" w14:textId="77777777" w:rsidR="00F544FC" w:rsidRDefault="00F544FC"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0811615"/>
    <w:multiLevelType w:val="hybridMultilevel"/>
    <w:tmpl w:val="B25E2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BDEEF42C"/>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E194A93"/>
    <w:multiLevelType w:val="hybridMultilevel"/>
    <w:tmpl w:val="5568FEF6"/>
    <w:lvl w:ilvl="0" w:tplc="97E6DC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3A21DE"/>
    <w:multiLevelType w:val="hybridMultilevel"/>
    <w:tmpl w:val="E7FA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5"/>
  </w:num>
  <w:num w:numId="29">
    <w:abstractNumId w:val="7"/>
  </w:num>
  <w:num w:numId="30">
    <w:abstractNumId w:val="11"/>
  </w:num>
  <w:num w:numId="31">
    <w:abstractNumId w:val="5"/>
  </w:num>
  <w:num w:numId="32">
    <w:abstractNumId w:val="14"/>
  </w:num>
  <w:num w:numId="33">
    <w:abstractNumId w:val="4"/>
  </w:num>
  <w:num w:numId="34">
    <w:abstractNumId w:val="10"/>
  </w:num>
  <w:num w:numId="35">
    <w:abstractNumId w:val="9"/>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BE1"/>
    <w:rsid w:val="00002031"/>
    <w:rsid w:val="00004734"/>
    <w:rsid w:val="00006B22"/>
    <w:rsid w:val="00006FAB"/>
    <w:rsid w:val="0001276A"/>
    <w:rsid w:val="000246AE"/>
    <w:rsid w:val="00025C67"/>
    <w:rsid w:val="00033C8A"/>
    <w:rsid w:val="000368AB"/>
    <w:rsid w:val="00044772"/>
    <w:rsid w:val="0004541C"/>
    <w:rsid w:val="0005559E"/>
    <w:rsid w:val="000604D6"/>
    <w:rsid w:val="000651FF"/>
    <w:rsid w:val="00072D69"/>
    <w:rsid w:val="000734D8"/>
    <w:rsid w:val="00077775"/>
    <w:rsid w:val="0008106A"/>
    <w:rsid w:val="00090471"/>
    <w:rsid w:val="00096AA7"/>
    <w:rsid w:val="000A0A8E"/>
    <w:rsid w:val="000A3AED"/>
    <w:rsid w:val="000A5D01"/>
    <w:rsid w:val="000B3532"/>
    <w:rsid w:val="000B3A75"/>
    <w:rsid w:val="000C00C2"/>
    <w:rsid w:val="000C591D"/>
    <w:rsid w:val="000C690F"/>
    <w:rsid w:val="000D1295"/>
    <w:rsid w:val="000D391B"/>
    <w:rsid w:val="000D3D6D"/>
    <w:rsid w:val="000D4FC7"/>
    <w:rsid w:val="000E6196"/>
    <w:rsid w:val="000F4869"/>
    <w:rsid w:val="000F5B42"/>
    <w:rsid w:val="000F6E6F"/>
    <w:rsid w:val="0010568F"/>
    <w:rsid w:val="0010601F"/>
    <w:rsid w:val="00106467"/>
    <w:rsid w:val="0010788A"/>
    <w:rsid w:val="00107A31"/>
    <w:rsid w:val="00110EA5"/>
    <w:rsid w:val="00112F56"/>
    <w:rsid w:val="00121E0C"/>
    <w:rsid w:val="00122C2E"/>
    <w:rsid w:val="00124ACD"/>
    <w:rsid w:val="00125318"/>
    <w:rsid w:val="001276A7"/>
    <w:rsid w:val="001305A2"/>
    <w:rsid w:val="00133238"/>
    <w:rsid w:val="00133A1B"/>
    <w:rsid w:val="0014197B"/>
    <w:rsid w:val="001447CD"/>
    <w:rsid w:val="00144E16"/>
    <w:rsid w:val="001516B1"/>
    <w:rsid w:val="00154EBB"/>
    <w:rsid w:val="00156316"/>
    <w:rsid w:val="00161181"/>
    <w:rsid w:val="00162D14"/>
    <w:rsid w:val="00163780"/>
    <w:rsid w:val="00165389"/>
    <w:rsid w:val="0017693F"/>
    <w:rsid w:val="0018110E"/>
    <w:rsid w:val="00181684"/>
    <w:rsid w:val="001843C6"/>
    <w:rsid w:val="001850E0"/>
    <w:rsid w:val="00195EEE"/>
    <w:rsid w:val="001A03AF"/>
    <w:rsid w:val="001A2158"/>
    <w:rsid w:val="001A525F"/>
    <w:rsid w:val="001B09F9"/>
    <w:rsid w:val="001B5706"/>
    <w:rsid w:val="001B5C90"/>
    <w:rsid w:val="001B6448"/>
    <w:rsid w:val="001B7D7C"/>
    <w:rsid w:val="001C32CD"/>
    <w:rsid w:val="001C74F8"/>
    <w:rsid w:val="001D2984"/>
    <w:rsid w:val="001D7072"/>
    <w:rsid w:val="001E07CF"/>
    <w:rsid w:val="001E59F1"/>
    <w:rsid w:val="001F2CEE"/>
    <w:rsid w:val="001F49EB"/>
    <w:rsid w:val="001F6CBA"/>
    <w:rsid w:val="00201D4E"/>
    <w:rsid w:val="002076C9"/>
    <w:rsid w:val="002142B2"/>
    <w:rsid w:val="00220B8A"/>
    <w:rsid w:val="002257F3"/>
    <w:rsid w:val="00233456"/>
    <w:rsid w:val="002339A5"/>
    <w:rsid w:val="002409E1"/>
    <w:rsid w:val="00250271"/>
    <w:rsid w:val="00257848"/>
    <w:rsid w:val="002578E8"/>
    <w:rsid w:val="0027084A"/>
    <w:rsid w:val="00280265"/>
    <w:rsid w:val="00286434"/>
    <w:rsid w:val="00286C59"/>
    <w:rsid w:val="00291957"/>
    <w:rsid w:val="002942D1"/>
    <w:rsid w:val="0029501A"/>
    <w:rsid w:val="002A3721"/>
    <w:rsid w:val="002A58C5"/>
    <w:rsid w:val="002A7F58"/>
    <w:rsid w:val="002B1638"/>
    <w:rsid w:val="002B3624"/>
    <w:rsid w:val="002C3291"/>
    <w:rsid w:val="002C7DAC"/>
    <w:rsid w:val="002D0952"/>
    <w:rsid w:val="002D65E7"/>
    <w:rsid w:val="002E40B3"/>
    <w:rsid w:val="002E4C9A"/>
    <w:rsid w:val="002F11F8"/>
    <w:rsid w:val="002F3F56"/>
    <w:rsid w:val="002F44B5"/>
    <w:rsid w:val="002F5122"/>
    <w:rsid w:val="00311AC0"/>
    <w:rsid w:val="003176FC"/>
    <w:rsid w:val="00320592"/>
    <w:rsid w:val="00324E45"/>
    <w:rsid w:val="0032583B"/>
    <w:rsid w:val="00327883"/>
    <w:rsid w:val="003309B2"/>
    <w:rsid w:val="0033171C"/>
    <w:rsid w:val="00335504"/>
    <w:rsid w:val="00340C18"/>
    <w:rsid w:val="003442FD"/>
    <w:rsid w:val="00347824"/>
    <w:rsid w:val="00350567"/>
    <w:rsid w:val="003521E8"/>
    <w:rsid w:val="00370CE3"/>
    <w:rsid w:val="003728F3"/>
    <w:rsid w:val="003735BC"/>
    <w:rsid w:val="0037496E"/>
    <w:rsid w:val="00383221"/>
    <w:rsid w:val="00385995"/>
    <w:rsid w:val="00386150"/>
    <w:rsid w:val="003874CE"/>
    <w:rsid w:val="003907B7"/>
    <w:rsid w:val="00390900"/>
    <w:rsid w:val="003913D5"/>
    <w:rsid w:val="00397D20"/>
    <w:rsid w:val="003A44D1"/>
    <w:rsid w:val="003A7F6C"/>
    <w:rsid w:val="003B4D60"/>
    <w:rsid w:val="003B7E39"/>
    <w:rsid w:val="003C58DC"/>
    <w:rsid w:val="003D1E62"/>
    <w:rsid w:val="003E0B99"/>
    <w:rsid w:val="003E2486"/>
    <w:rsid w:val="003E3208"/>
    <w:rsid w:val="003E774B"/>
    <w:rsid w:val="003F0B04"/>
    <w:rsid w:val="0040134E"/>
    <w:rsid w:val="00414500"/>
    <w:rsid w:val="004334C7"/>
    <w:rsid w:val="0044041C"/>
    <w:rsid w:val="00440A2D"/>
    <w:rsid w:val="00441C3F"/>
    <w:rsid w:val="00442F1F"/>
    <w:rsid w:val="00444D1A"/>
    <w:rsid w:val="0045186A"/>
    <w:rsid w:val="004564A7"/>
    <w:rsid w:val="00456765"/>
    <w:rsid w:val="00460036"/>
    <w:rsid w:val="004617BF"/>
    <w:rsid w:val="00463658"/>
    <w:rsid w:val="004637A0"/>
    <w:rsid w:val="004722CC"/>
    <w:rsid w:val="00472A83"/>
    <w:rsid w:val="00475557"/>
    <w:rsid w:val="00476FC4"/>
    <w:rsid w:val="00490483"/>
    <w:rsid w:val="004936E4"/>
    <w:rsid w:val="00494E60"/>
    <w:rsid w:val="00497487"/>
    <w:rsid w:val="004A1B38"/>
    <w:rsid w:val="004A2771"/>
    <w:rsid w:val="004A6189"/>
    <w:rsid w:val="004A7390"/>
    <w:rsid w:val="004B7B76"/>
    <w:rsid w:val="004C1400"/>
    <w:rsid w:val="004C239D"/>
    <w:rsid w:val="004C2DCA"/>
    <w:rsid w:val="004C4FBE"/>
    <w:rsid w:val="004C61D2"/>
    <w:rsid w:val="004C71FE"/>
    <w:rsid w:val="004D35B6"/>
    <w:rsid w:val="004F0C4A"/>
    <w:rsid w:val="004F0F38"/>
    <w:rsid w:val="004F47D6"/>
    <w:rsid w:val="004F77CD"/>
    <w:rsid w:val="00500337"/>
    <w:rsid w:val="00501921"/>
    <w:rsid w:val="00505B41"/>
    <w:rsid w:val="00515457"/>
    <w:rsid w:val="0052060A"/>
    <w:rsid w:val="00530354"/>
    <w:rsid w:val="0053625B"/>
    <w:rsid w:val="005406A0"/>
    <w:rsid w:val="005434C6"/>
    <w:rsid w:val="00543B39"/>
    <w:rsid w:val="00546154"/>
    <w:rsid w:val="00550096"/>
    <w:rsid w:val="00555280"/>
    <w:rsid w:val="00557FF9"/>
    <w:rsid w:val="00562327"/>
    <w:rsid w:val="005654FF"/>
    <w:rsid w:val="005711D5"/>
    <w:rsid w:val="00576378"/>
    <w:rsid w:val="00577130"/>
    <w:rsid w:val="00577945"/>
    <w:rsid w:val="00577E38"/>
    <w:rsid w:val="00581191"/>
    <w:rsid w:val="00585322"/>
    <w:rsid w:val="005857C6"/>
    <w:rsid w:val="00592F6E"/>
    <w:rsid w:val="00593AD1"/>
    <w:rsid w:val="005A68B6"/>
    <w:rsid w:val="005A6C23"/>
    <w:rsid w:val="005C5570"/>
    <w:rsid w:val="005C5B66"/>
    <w:rsid w:val="005C79A4"/>
    <w:rsid w:val="005D0AC1"/>
    <w:rsid w:val="005D5442"/>
    <w:rsid w:val="00603F32"/>
    <w:rsid w:val="00605AD4"/>
    <w:rsid w:val="006136D7"/>
    <w:rsid w:val="00625A6E"/>
    <w:rsid w:val="00632398"/>
    <w:rsid w:val="00640EEE"/>
    <w:rsid w:val="00640FC3"/>
    <w:rsid w:val="00642020"/>
    <w:rsid w:val="006430EE"/>
    <w:rsid w:val="0065337B"/>
    <w:rsid w:val="0065419D"/>
    <w:rsid w:val="006603BC"/>
    <w:rsid w:val="006604D8"/>
    <w:rsid w:val="00664A5B"/>
    <w:rsid w:val="0066735C"/>
    <w:rsid w:val="006763D2"/>
    <w:rsid w:val="00680C08"/>
    <w:rsid w:val="00687AE4"/>
    <w:rsid w:val="006916A0"/>
    <w:rsid w:val="006931B1"/>
    <w:rsid w:val="006A15C0"/>
    <w:rsid w:val="006A58A8"/>
    <w:rsid w:val="006C3E2A"/>
    <w:rsid w:val="006C4F9F"/>
    <w:rsid w:val="006C642F"/>
    <w:rsid w:val="006D03E5"/>
    <w:rsid w:val="006D5D3E"/>
    <w:rsid w:val="006E08B3"/>
    <w:rsid w:val="006F17AC"/>
    <w:rsid w:val="006F25B8"/>
    <w:rsid w:val="006F572E"/>
    <w:rsid w:val="007046D6"/>
    <w:rsid w:val="00705DB0"/>
    <w:rsid w:val="00722B57"/>
    <w:rsid w:val="00727BF3"/>
    <w:rsid w:val="00730F8A"/>
    <w:rsid w:val="00735A8C"/>
    <w:rsid w:val="0074253D"/>
    <w:rsid w:val="00744121"/>
    <w:rsid w:val="0074429B"/>
    <w:rsid w:val="00746A1E"/>
    <w:rsid w:val="0075010A"/>
    <w:rsid w:val="007615BC"/>
    <w:rsid w:val="00762F05"/>
    <w:rsid w:val="007652FF"/>
    <w:rsid w:val="00767DEE"/>
    <w:rsid w:val="00770CAC"/>
    <w:rsid w:val="00770EF1"/>
    <w:rsid w:val="00773EF7"/>
    <w:rsid w:val="00774E1D"/>
    <w:rsid w:val="007765D8"/>
    <w:rsid w:val="0077675A"/>
    <w:rsid w:val="00780355"/>
    <w:rsid w:val="007819FD"/>
    <w:rsid w:val="00785717"/>
    <w:rsid w:val="00785721"/>
    <w:rsid w:val="00793A59"/>
    <w:rsid w:val="007A006A"/>
    <w:rsid w:val="007A46F5"/>
    <w:rsid w:val="007A5C52"/>
    <w:rsid w:val="007A6505"/>
    <w:rsid w:val="007B6132"/>
    <w:rsid w:val="007B6239"/>
    <w:rsid w:val="007B6E9F"/>
    <w:rsid w:val="007B73C9"/>
    <w:rsid w:val="007C1216"/>
    <w:rsid w:val="007C1AF7"/>
    <w:rsid w:val="007C6B9B"/>
    <w:rsid w:val="007D083F"/>
    <w:rsid w:val="007D355E"/>
    <w:rsid w:val="007D53B6"/>
    <w:rsid w:val="00805D27"/>
    <w:rsid w:val="00806DCB"/>
    <w:rsid w:val="00821776"/>
    <w:rsid w:val="008321F5"/>
    <w:rsid w:val="00832369"/>
    <w:rsid w:val="00834660"/>
    <w:rsid w:val="00835886"/>
    <w:rsid w:val="00836BC2"/>
    <w:rsid w:val="00840718"/>
    <w:rsid w:val="0085004A"/>
    <w:rsid w:val="0085156D"/>
    <w:rsid w:val="00852B28"/>
    <w:rsid w:val="008544AB"/>
    <w:rsid w:val="0085641B"/>
    <w:rsid w:val="00857136"/>
    <w:rsid w:val="00875A6B"/>
    <w:rsid w:val="0088221A"/>
    <w:rsid w:val="00885B11"/>
    <w:rsid w:val="00886D15"/>
    <w:rsid w:val="008872E9"/>
    <w:rsid w:val="00887DD8"/>
    <w:rsid w:val="00891BA9"/>
    <w:rsid w:val="00896018"/>
    <w:rsid w:val="008960DD"/>
    <w:rsid w:val="0089635C"/>
    <w:rsid w:val="008A2B9D"/>
    <w:rsid w:val="008A3D9F"/>
    <w:rsid w:val="008A48F3"/>
    <w:rsid w:val="008A5E0B"/>
    <w:rsid w:val="008A6D59"/>
    <w:rsid w:val="008B4B03"/>
    <w:rsid w:val="008B596F"/>
    <w:rsid w:val="008C159F"/>
    <w:rsid w:val="008C1623"/>
    <w:rsid w:val="008C1850"/>
    <w:rsid w:val="008C51A9"/>
    <w:rsid w:val="008D4C1A"/>
    <w:rsid w:val="008E7846"/>
    <w:rsid w:val="008F02E5"/>
    <w:rsid w:val="008F1CCC"/>
    <w:rsid w:val="008F2967"/>
    <w:rsid w:val="008F6481"/>
    <w:rsid w:val="008F6943"/>
    <w:rsid w:val="00902A21"/>
    <w:rsid w:val="00911364"/>
    <w:rsid w:val="0091523F"/>
    <w:rsid w:val="00916F33"/>
    <w:rsid w:val="00920330"/>
    <w:rsid w:val="009219D7"/>
    <w:rsid w:val="00922D53"/>
    <w:rsid w:val="00923B70"/>
    <w:rsid w:val="00924482"/>
    <w:rsid w:val="00930237"/>
    <w:rsid w:val="00935881"/>
    <w:rsid w:val="00937C17"/>
    <w:rsid w:val="00940A89"/>
    <w:rsid w:val="00941F77"/>
    <w:rsid w:val="009425A2"/>
    <w:rsid w:val="0094266C"/>
    <w:rsid w:val="00946EA5"/>
    <w:rsid w:val="00960520"/>
    <w:rsid w:val="009617B5"/>
    <w:rsid w:val="00963C08"/>
    <w:rsid w:val="00965208"/>
    <w:rsid w:val="009752A5"/>
    <w:rsid w:val="00984877"/>
    <w:rsid w:val="00984DBA"/>
    <w:rsid w:val="0098585A"/>
    <w:rsid w:val="009A4CED"/>
    <w:rsid w:val="009A690D"/>
    <w:rsid w:val="009B1D12"/>
    <w:rsid w:val="009B416B"/>
    <w:rsid w:val="009C3BCD"/>
    <w:rsid w:val="009C444F"/>
    <w:rsid w:val="009C4BD5"/>
    <w:rsid w:val="009D3AA6"/>
    <w:rsid w:val="009D7B77"/>
    <w:rsid w:val="009E0BB0"/>
    <w:rsid w:val="009E3FBB"/>
    <w:rsid w:val="009F7353"/>
    <w:rsid w:val="009F7379"/>
    <w:rsid w:val="00A048A2"/>
    <w:rsid w:val="00A04F85"/>
    <w:rsid w:val="00A05FA4"/>
    <w:rsid w:val="00A102E4"/>
    <w:rsid w:val="00A1219C"/>
    <w:rsid w:val="00A12C42"/>
    <w:rsid w:val="00A14DF7"/>
    <w:rsid w:val="00A21CE8"/>
    <w:rsid w:val="00A22D57"/>
    <w:rsid w:val="00A3246D"/>
    <w:rsid w:val="00A36FA7"/>
    <w:rsid w:val="00A44DDB"/>
    <w:rsid w:val="00A475B7"/>
    <w:rsid w:val="00A47AF7"/>
    <w:rsid w:val="00A47C3E"/>
    <w:rsid w:val="00A50226"/>
    <w:rsid w:val="00A60BAD"/>
    <w:rsid w:val="00A677D2"/>
    <w:rsid w:val="00A77F87"/>
    <w:rsid w:val="00A80B5B"/>
    <w:rsid w:val="00A84E36"/>
    <w:rsid w:val="00A964D1"/>
    <w:rsid w:val="00AA0ED0"/>
    <w:rsid w:val="00AC145F"/>
    <w:rsid w:val="00AC2B40"/>
    <w:rsid w:val="00AC2BB2"/>
    <w:rsid w:val="00AC2C3C"/>
    <w:rsid w:val="00AC512D"/>
    <w:rsid w:val="00AD0083"/>
    <w:rsid w:val="00AD3935"/>
    <w:rsid w:val="00AE65EB"/>
    <w:rsid w:val="00AE67A7"/>
    <w:rsid w:val="00AF1D94"/>
    <w:rsid w:val="00AF60C5"/>
    <w:rsid w:val="00B009C6"/>
    <w:rsid w:val="00B01548"/>
    <w:rsid w:val="00B01C65"/>
    <w:rsid w:val="00B130C5"/>
    <w:rsid w:val="00B13EBD"/>
    <w:rsid w:val="00B21D29"/>
    <w:rsid w:val="00B25034"/>
    <w:rsid w:val="00B33588"/>
    <w:rsid w:val="00B33863"/>
    <w:rsid w:val="00B37D17"/>
    <w:rsid w:val="00B4175E"/>
    <w:rsid w:val="00B41C85"/>
    <w:rsid w:val="00B452CE"/>
    <w:rsid w:val="00B54C25"/>
    <w:rsid w:val="00B645F1"/>
    <w:rsid w:val="00B76B91"/>
    <w:rsid w:val="00B77EB1"/>
    <w:rsid w:val="00B811C6"/>
    <w:rsid w:val="00B855B0"/>
    <w:rsid w:val="00B85AFC"/>
    <w:rsid w:val="00B92E08"/>
    <w:rsid w:val="00B93D11"/>
    <w:rsid w:val="00BB3D5A"/>
    <w:rsid w:val="00BC622A"/>
    <w:rsid w:val="00BD0FB4"/>
    <w:rsid w:val="00BD61CC"/>
    <w:rsid w:val="00BE0A78"/>
    <w:rsid w:val="00BE0B06"/>
    <w:rsid w:val="00BE23B2"/>
    <w:rsid w:val="00BE5EB3"/>
    <w:rsid w:val="00BE79F0"/>
    <w:rsid w:val="00BF046D"/>
    <w:rsid w:val="00BF1190"/>
    <w:rsid w:val="00BF2853"/>
    <w:rsid w:val="00BF3774"/>
    <w:rsid w:val="00BF5D04"/>
    <w:rsid w:val="00C009AA"/>
    <w:rsid w:val="00C1164D"/>
    <w:rsid w:val="00C16861"/>
    <w:rsid w:val="00C346AB"/>
    <w:rsid w:val="00C404A6"/>
    <w:rsid w:val="00C40A36"/>
    <w:rsid w:val="00C44419"/>
    <w:rsid w:val="00C45E7B"/>
    <w:rsid w:val="00C471B1"/>
    <w:rsid w:val="00C525A2"/>
    <w:rsid w:val="00C52E24"/>
    <w:rsid w:val="00C61F51"/>
    <w:rsid w:val="00C6316B"/>
    <w:rsid w:val="00C634A9"/>
    <w:rsid w:val="00C64586"/>
    <w:rsid w:val="00C66E66"/>
    <w:rsid w:val="00C70A36"/>
    <w:rsid w:val="00C70D53"/>
    <w:rsid w:val="00C72FA1"/>
    <w:rsid w:val="00C73D0B"/>
    <w:rsid w:val="00C74F5C"/>
    <w:rsid w:val="00C772FF"/>
    <w:rsid w:val="00C800F7"/>
    <w:rsid w:val="00C80137"/>
    <w:rsid w:val="00C801AF"/>
    <w:rsid w:val="00C80256"/>
    <w:rsid w:val="00C8184B"/>
    <w:rsid w:val="00C81DC6"/>
    <w:rsid w:val="00C94CD4"/>
    <w:rsid w:val="00C95E19"/>
    <w:rsid w:val="00C9747E"/>
    <w:rsid w:val="00CA2BE1"/>
    <w:rsid w:val="00CB6BC0"/>
    <w:rsid w:val="00CB7D95"/>
    <w:rsid w:val="00CC1B7C"/>
    <w:rsid w:val="00CC727F"/>
    <w:rsid w:val="00CD4673"/>
    <w:rsid w:val="00CF15C3"/>
    <w:rsid w:val="00CF1FDF"/>
    <w:rsid w:val="00CF2B6F"/>
    <w:rsid w:val="00CF2F3E"/>
    <w:rsid w:val="00CF58B6"/>
    <w:rsid w:val="00CF5DAD"/>
    <w:rsid w:val="00D0062D"/>
    <w:rsid w:val="00D017ED"/>
    <w:rsid w:val="00D040D3"/>
    <w:rsid w:val="00D04C65"/>
    <w:rsid w:val="00D0725D"/>
    <w:rsid w:val="00D12565"/>
    <w:rsid w:val="00D153D8"/>
    <w:rsid w:val="00D201D2"/>
    <w:rsid w:val="00D224FE"/>
    <w:rsid w:val="00D23139"/>
    <w:rsid w:val="00D425BB"/>
    <w:rsid w:val="00D453FA"/>
    <w:rsid w:val="00D51F6C"/>
    <w:rsid w:val="00D549DC"/>
    <w:rsid w:val="00D56A94"/>
    <w:rsid w:val="00D6493E"/>
    <w:rsid w:val="00D7195D"/>
    <w:rsid w:val="00D7301E"/>
    <w:rsid w:val="00D83AE1"/>
    <w:rsid w:val="00D855D4"/>
    <w:rsid w:val="00D902C9"/>
    <w:rsid w:val="00D93466"/>
    <w:rsid w:val="00DA1124"/>
    <w:rsid w:val="00DA64CB"/>
    <w:rsid w:val="00DA6BD9"/>
    <w:rsid w:val="00DA7D15"/>
    <w:rsid w:val="00DB06B8"/>
    <w:rsid w:val="00DB6124"/>
    <w:rsid w:val="00DB6EAD"/>
    <w:rsid w:val="00DB750B"/>
    <w:rsid w:val="00DB75B7"/>
    <w:rsid w:val="00DC0A2F"/>
    <w:rsid w:val="00DC1948"/>
    <w:rsid w:val="00DC2153"/>
    <w:rsid w:val="00DC45A0"/>
    <w:rsid w:val="00DC4DFB"/>
    <w:rsid w:val="00DC6E02"/>
    <w:rsid w:val="00DD28CD"/>
    <w:rsid w:val="00DE02AE"/>
    <w:rsid w:val="00DE39D1"/>
    <w:rsid w:val="00DF15D4"/>
    <w:rsid w:val="00DF1D7F"/>
    <w:rsid w:val="00DF3125"/>
    <w:rsid w:val="00DF4BE4"/>
    <w:rsid w:val="00E000C9"/>
    <w:rsid w:val="00E02382"/>
    <w:rsid w:val="00E02FB4"/>
    <w:rsid w:val="00E11BDC"/>
    <w:rsid w:val="00E13FC7"/>
    <w:rsid w:val="00E20571"/>
    <w:rsid w:val="00E235F7"/>
    <w:rsid w:val="00E23659"/>
    <w:rsid w:val="00E239D4"/>
    <w:rsid w:val="00E26130"/>
    <w:rsid w:val="00E33D42"/>
    <w:rsid w:val="00E40B22"/>
    <w:rsid w:val="00E44ED1"/>
    <w:rsid w:val="00E45619"/>
    <w:rsid w:val="00E4588F"/>
    <w:rsid w:val="00E46DA3"/>
    <w:rsid w:val="00E51BB1"/>
    <w:rsid w:val="00E55CB0"/>
    <w:rsid w:val="00E56D01"/>
    <w:rsid w:val="00E624A5"/>
    <w:rsid w:val="00E64BA4"/>
    <w:rsid w:val="00E650B8"/>
    <w:rsid w:val="00E7344E"/>
    <w:rsid w:val="00E82665"/>
    <w:rsid w:val="00E9070A"/>
    <w:rsid w:val="00E911A2"/>
    <w:rsid w:val="00E928AC"/>
    <w:rsid w:val="00E9358F"/>
    <w:rsid w:val="00EA2114"/>
    <w:rsid w:val="00EB0798"/>
    <w:rsid w:val="00EB40AD"/>
    <w:rsid w:val="00EB586E"/>
    <w:rsid w:val="00EB5FC8"/>
    <w:rsid w:val="00EC463D"/>
    <w:rsid w:val="00EC7A85"/>
    <w:rsid w:val="00ED2922"/>
    <w:rsid w:val="00ED3CAD"/>
    <w:rsid w:val="00ED5A41"/>
    <w:rsid w:val="00EE1DE8"/>
    <w:rsid w:val="00EE27C2"/>
    <w:rsid w:val="00EF0DA8"/>
    <w:rsid w:val="00EF4BAD"/>
    <w:rsid w:val="00EF59DC"/>
    <w:rsid w:val="00F02849"/>
    <w:rsid w:val="00F033EC"/>
    <w:rsid w:val="00F04F68"/>
    <w:rsid w:val="00F123A4"/>
    <w:rsid w:val="00F12670"/>
    <w:rsid w:val="00F12FD6"/>
    <w:rsid w:val="00F14B27"/>
    <w:rsid w:val="00F3148D"/>
    <w:rsid w:val="00F32403"/>
    <w:rsid w:val="00F325C5"/>
    <w:rsid w:val="00F32FE0"/>
    <w:rsid w:val="00F35298"/>
    <w:rsid w:val="00F47333"/>
    <w:rsid w:val="00F47E37"/>
    <w:rsid w:val="00F53C07"/>
    <w:rsid w:val="00F544FC"/>
    <w:rsid w:val="00F54B65"/>
    <w:rsid w:val="00F63DBF"/>
    <w:rsid w:val="00F640B6"/>
    <w:rsid w:val="00F66DF2"/>
    <w:rsid w:val="00F80E40"/>
    <w:rsid w:val="00F827A7"/>
    <w:rsid w:val="00F848D9"/>
    <w:rsid w:val="00FA5069"/>
    <w:rsid w:val="00FA5B82"/>
    <w:rsid w:val="00FA639E"/>
    <w:rsid w:val="00FC1FCA"/>
    <w:rsid w:val="00FC25E4"/>
    <w:rsid w:val="00FC3967"/>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1A3C656"/>
  <w15:docId w15:val="{1EB71CF8-8FB7-4C0D-A97D-C56AA5F2C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7F5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2142B2"/>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uiPriority w:val="99"/>
    <w:rsid w:val="008F6481"/>
    <w:pPr>
      <w:numPr>
        <w:numId w:val="34"/>
      </w:numPr>
      <w:spacing w:after="0" w:line="240" w:lineRule="auto"/>
    </w:pPr>
    <w:rPr>
      <w:rFonts w:eastAsia="Times New Roman"/>
      <w:kern w:val="24"/>
      <w:szCs w:val="24"/>
      <w:lang w:eastAsia="en-AU"/>
    </w:rPr>
  </w:style>
  <w:style w:type="paragraph" w:styleId="TOC6">
    <w:name w:val="toc 6"/>
    <w:basedOn w:val="Normal"/>
    <w:next w:val="Normal"/>
    <w:autoRedefine/>
    <w:uiPriority w:val="39"/>
    <w:semiHidden/>
    <w:unhideWhenUsed/>
    <w:rsid w:val="00505B41"/>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5721">
      <w:bodyDiv w:val="1"/>
      <w:marLeft w:val="0"/>
      <w:marRight w:val="0"/>
      <w:marTop w:val="0"/>
      <w:marBottom w:val="0"/>
      <w:divBdr>
        <w:top w:val="none" w:sz="0" w:space="0" w:color="auto"/>
        <w:left w:val="none" w:sz="0" w:space="0" w:color="auto"/>
        <w:bottom w:val="none" w:sz="0" w:space="0" w:color="auto"/>
        <w:right w:val="none" w:sz="0" w:space="0" w:color="auto"/>
      </w:divBdr>
    </w:div>
    <w:div w:id="95252037">
      <w:bodyDiv w:val="1"/>
      <w:marLeft w:val="0"/>
      <w:marRight w:val="0"/>
      <w:marTop w:val="0"/>
      <w:marBottom w:val="0"/>
      <w:divBdr>
        <w:top w:val="none" w:sz="0" w:space="0" w:color="auto"/>
        <w:left w:val="none" w:sz="0" w:space="0" w:color="auto"/>
        <w:bottom w:val="none" w:sz="0" w:space="0" w:color="auto"/>
        <w:right w:val="none" w:sz="0" w:space="0" w:color="auto"/>
      </w:divBdr>
    </w:div>
    <w:div w:id="921372460">
      <w:bodyDiv w:val="1"/>
      <w:marLeft w:val="0"/>
      <w:marRight w:val="0"/>
      <w:marTop w:val="0"/>
      <w:marBottom w:val="0"/>
      <w:divBdr>
        <w:top w:val="none" w:sz="0" w:space="0" w:color="auto"/>
        <w:left w:val="none" w:sz="0" w:space="0" w:color="auto"/>
        <w:bottom w:val="none" w:sz="0" w:space="0" w:color="auto"/>
        <w:right w:val="none" w:sz="0" w:space="0" w:color="auto"/>
      </w:divBdr>
    </w:div>
    <w:div w:id="1104038377">
      <w:bodyDiv w:val="1"/>
      <w:marLeft w:val="0"/>
      <w:marRight w:val="0"/>
      <w:marTop w:val="0"/>
      <w:marBottom w:val="0"/>
      <w:divBdr>
        <w:top w:val="none" w:sz="0" w:space="0" w:color="auto"/>
        <w:left w:val="none" w:sz="0" w:space="0" w:color="auto"/>
        <w:bottom w:val="none" w:sz="0" w:space="0" w:color="auto"/>
        <w:right w:val="none" w:sz="0" w:space="0" w:color="auto"/>
      </w:divBdr>
    </w:div>
    <w:div w:id="1628657468">
      <w:bodyDiv w:val="1"/>
      <w:marLeft w:val="0"/>
      <w:marRight w:val="0"/>
      <w:marTop w:val="0"/>
      <w:marBottom w:val="0"/>
      <w:divBdr>
        <w:top w:val="none" w:sz="0" w:space="0" w:color="auto"/>
        <w:left w:val="none" w:sz="0" w:space="0" w:color="auto"/>
        <w:bottom w:val="none" w:sz="0" w:space="0" w:color="auto"/>
        <w:right w:val="none" w:sz="0" w:space="0" w:color="auto"/>
      </w:divBdr>
    </w:div>
    <w:div w:id="1629775649">
      <w:bodyDiv w:val="1"/>
      <w:marLeft w:val="0"/>
      <w:marRight w:val="0"/>
      <w:marTop w:val="0"/>
      <w:marBottom w:val="0"/>
      <w:divBdr>
        <w:top w:val="none" w:sz="0" w:space="0" w:color="auto"/>
        <w:left w:val="none" w:sz="0" w:space="0" w:color="auto"/>
        <w:bottom w:val="none" w:sz="0" w:space="0" w:color="auto"/>
        <w:right w:val="none" w:sz="0" w:space="0" w:color="auto"/>
      </w:divBdr>
    </w:div>
    <w:div w:id="1810854233">
      <w:bodyDiv w:val="1"/>
      <w:marLeft w:val="0"/>
      <w:marRight w:val="0"/>
      <w:marTop w:val="0"/>
      <w:marBottom w:val="0"/>
      <w:divBdr>
        <w:top w:val="none" w:sz="0" w:space="0" w:color="auto"/>
        <w:left w:val="none" w:sz="0" w:space="0" w:color="auto"/>
        <w:bottom w:val="none" w:sz="0" w:space="0" w:color="auto"/>
        <w:right w:val="none" w:sz="0" w:space="0" w:color="auto"/>
      </w:divBdr>
    </w:div>
    <w:div w:id="188189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59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6289-D443-442B-8A6C-00C670C8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6</TotalTime>
  <Pages>36</Pages>
  <Words>11185</Words>
  <Characters>63758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74794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Upadacitinib</dc:title>
  <dc:subject>prescription medicines</dc:subject>
  <dc:creator>Therapeutic Goods Administration</dc:creator>
  <cp:keywords/>
  <cp:lastPrinted>2019-08-14T04:30:00Z</cp:lastPrinted>
  <dcterms:created xsi:type="dcterms:W3CDTF">2021-08-24T23:19:00Z</dcterms:created>
  <dcterms:modified xsi:type="dcterms:W3CDTF">2021-08-24T23:25:00Z</dcterms:modified>
  <cp:category/>
</cp:coreProperties>
</file>