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08" w:rsidRDefault="002D31A3">
      <w:pPr>
        <w:pStyle w:val="Title"/>
        <w:rPr>
          <w:b w:val="0"/>
        </w:rPr>
      </w:pPr>
      <w:r w:rsidRPr="002D31A3">
        <w:t>PRODUCT INFORMATION</w:t>
      </w:r>
    </w:p>
    <w:p w:rsidR="007201F1" w:rsidRPr="003D4309" w:rsidRDefault="00F8274A" w:rsidP="007201F1">
      <w:pPr>
        <w:spacing w:line="240" w:lineRule="auto"/>
        <w:jc w:val="center"/>
        <w:rPr>
          <w:rFonts w:ascii="Arial" w:eastAsia="Times New Roman" w:hAnsi="Arial" w:cs="Arial"/>
          <w:b/>
          <w:caps/>
          <w:sz w:val="24"/>
          <w:szCs w:val="24"/>
        </w:rPr>
      </w:pPr>
      <w:r w:rsidRPr="00F8274A">
        <w:rPr>
          <w:rFonts w:ascii="Arial" w:eastAsia="Times New Roman" w:hAnsi="Arial" w:cs="Arial"/>
          <w:b/>
          <w:caps/>
          <w:sz w:val="24"/>
          <w:szCs w:val="24"/>
        </w:rPr>
        <w:t>ENTYVIO</w:t>
      </w:r>
      <w:r w:rsidR="00503A25">
        <w:rPr>
          <w:rFonts w:ascii="Arial" w:eastAsia="Times New Roman" w:hAnsi="Arial" w:cs="Arial"/>
          <w:b/>
          <w:caps/>
          <w:sz w:val="24"/>
          <w:szCs w:val="24"/>
          <w:vertAlign w:val="superscript"/>
        </w:rPr>
        <w:t>®</w:t>
      </w:r>
      <w:r w:rsidR="002D31A3" w:rsidRPr="002D31A3">
        <w:rPr>
          <w:rFonts w:ascii="Arial" w:eastAsia="Times New Roman" w:hAnsi="Arial" w:cs="Arial"/>
          <w:b/>
          <w:caps/>
          <w:sz w:val="24"/>
          <w:szCs w:val="24"/>
        </w:rPr>
        <w:t xml:space="preserve"> </w:t>
      </w:r>
    </w:p>
    <w:p w:rsidR="00691008" w:rsidRDefault="002D31A3">
      <w:pPr>
        <w:pStyle w:val="Heading1"/>
        <w:spacing w:after="240"/>
        <w:rPr>
          <w:rFonts w:cs="Arial"/>
          <w:b w:val="0"/>
          <w:sz w:val="22"/>
          <w:szCs w:val="22"/>
        </w:rPr>
      </w:pPr>
      <w:r w:rsidRPr="002D31A3">
        <w:rPr>
          <w:rFonts w:cs="Arial"/>
          <w:sz w:val="22"/>
          <w:szCs w:val="22"/>
        </w:rPr>
        <w:t>NAME OF THE MEDICINE</w:t>
      </w:r>
    </w:p>
    <w:p w:rsidR="00A02BF4" w:rsidRDefault="00A02BF4" w:rsidP="00A02BF4">
      <w:pPr>
        <w:spacing w:after="240" w:line="240" w:lineRule="auto"/>
        <w:jc w:val="both"/>
        <w:rPr>
          <w:rFonts w:ascii="Arial" w:eastAsia="Times New Roman" w:hAnsi="Arial" w:cs="Arial"/>
        </w:rPr>
      </w:pPr>
      <w:r w:rsidRPr="00A02BF4">
        <w:rPr>
          <w:rFonts w:ascii="Arial" w:eastAsia="Times New Roman" w:hAnsi="Arial" w:cs="Arial"/>
        </w:rPr>
        <w:t xml:space="preserve">Non-proprietary name: </w:t>
      </w:r>
      <w:r w:rsidR="000A64D1">
        <w:rPr>
          <w:rFonts w:ascii="Arial" w:eastAsia="Times New Roman" w:hAnsi="Arial" w:cs="Arial"/>
        </w:rPr>
        <w:t>V</w:t>
      </w:r>
      <w:r w:rsidR="000A64D1" w:rsidRPr="00A02BF4">
        <w:rPr>
          <w:rFonts w:ascii="Arial" w:eastAsia="Times New Roman" w:hAnsi="Arial" w:cs="Arial"/>
        </w:rPr>
        <w:t>edolizumab</w:t>
      </w:r>
      <w:r w:rsidR="0070297E">
        <w:rPr>
          <w:rFonts w:ascii="Arial" w:eastAsia="Times New Roman" w:hAnsi="Arial" w:cs="Arial"/>
        </w:rPr>
        <w:t xml:space="preserve"> (rch)</w:t>
      </w:r>
    </w:p>
    <w:p w:rsidR="00A02BF4" w:rsidRDefault="00A02BF4" w:rsidP="00A02BF4">
      <w:pPr>
        <w:spacing w:after="240" w:line="240" w:lineRule="auto"/>
        <w:jc w:val="both"/>
        <w:rPr>
          <w:rFonts w:ascii="Arial" w:eastAsia="Times New Roman" w:hAnsi="Arial" w:cs="Arial"/>
        </w:rPr>
      </w:pPr>
      <w:r w:rsidRPr="00A02BF4">
        <w:rPr>
          <w:rFonts w:ascii="Arial" w:eastAsia="Times New Roman" w:hAnsi="Arial" w:cs="Arial"/>
        </w:rPr>
        <w:t>CAS Re</w:t>
      </w:r>
      <w:bookmarkStart w:id="0" w:name="_GoBack"/>
      <w:bookmarkEnd w:id="0"/>
      <w:r w:rsidRPr="00A02BF4">
        <w:rPr>
          <w:rFonts w:ascii="Arial" w:eastAsia="Times New Roman" w:hAnsi="Arial" w:cs="Arial"/>
        </w:rPr>
        <w:t>gistry Number: 943609-66-3</w:t>
      </w:r>
    </w:p>
    <w:p w:rsidR="00691008" w:rsidRPr="00A15297" w:rsidRDefault="002D31A3" w:rsidP="00A15297">
      <w:pPr>
        <w:pStyle w:val="Heading1"/>
        <w:spacing w:after="240"/>
        <w:rPr>
          <w:rFonts w:cs="Arial"/>
          <w:sz w:val="22"/>
          <w:szCs w:val="22"/>
        </w:rPr>
      </w:pPr>
      <w:r w:rsidRPr="002D31A3">
        <w:rPr>
          <w:rFonts w:cs="Arial"/>
          <w:sz w:val="22"/>
          <w:szCs w:val="22"/>
        </w:rPr>
        <w:t>DESCRIPTION</w:t>
      </w:r>
    </w:p>
    <w:p w:rsidR="00A02BF4" w:rsidRDefault="00A02BF4" w:rsidP="00A02BF4">
      <w:pPr>
        <w:spacing w:after="240" w:line="240" w:lineRule="auto"/>
        <w:jc w:val="both"/>
        <w:rPr>
          <w:rFonts w:ascii="Arial" w:eastAsia="Times New Roman" w:hAnsi="Arial" w:cs="Arial"/>
        </w:rPr>
      </w:pPr>
      <w:r w:rsidRPr="00375C62">
        <w:rPr>
          <w:rFonts w:ascii="Arial" w:eastAsia="Times New Roman" w:hAnsi="Arial" w:cs="Arial"/>
        </w:rPr>
        <w:t>Vedolizumab is a humanised IgG</w:t>
      </w:r>
      <w:r w:rsidRPr="00BD2963">
        <w:rPr>
          <w:rFonts w:ascii="Arial" w:eastAsia="Times New Roman" w:hAnsi="Arial" w:cs="Arial"/>
        </w:rPr>
        <w:t>1</w:t>
      </w:r>
      <w:r w:rsidRPr="00375C62">
        <w:rPr>
          <w:rFonts w:ascii="Arial" w:eastAsia="Times New Roman" w:hAnsi="Arial" w:cs="Arial"/>
        </w:rPr>
        <w:t xml:space="preserve"> monoclonal antibody that binds to the human α</w:t>
      </w:r>
      <w:r w:rsidRPr="00BB18D6">
        <w:rPr>
          <w:rFonts w:ascii="Arial" w:eastAsia="Times New Roman" w:hAnsi="Arial" w:cs="Arial"/>
          <w:vertAlign w:val="subscript"/>
        </w:rPr>
        <w:t>4</w:t>
      </w:r>
      <w:r w:rsidRPr="00375C62">
        <w:rPr>
          <w:rFonts w:ascii="Arial" w:eastAsia="Times New Roman" w:hAnsi="Arial" w:cs="Arial"/>
        </w:rPr>
        <w:t>β</w:t>
      </w:r>
      <w:r w:rsidRPr="00BB18D6">
        <w:rPr>
          <w:rFonts w:ascii="Arial" w:eastAsia="Times New Roman" w:hAnsi="Arial" w:cs="Arial"/>
          <w:vertAlign w:val="subscript"/>
        </w:rPr>
        <w:t>7</w:t>
      </w:r>
      <w:r w:rsidRPr="00375C62">
        <w:rPr>
          <w:rFonts w:ascii="Arial" w:eastAsia="Times New Roman" w:hAnsi="Arial" w:cs="Arial"/>
        </w:rPr>
        <w:t> integrin and is produced in Chinese hamster ovary cells.</w:t>
      </w:r>
    </w:p>
    <w:p w:rsidR="008E5409" w:rsidRPr="008D25CB" w:rsidRDefault="00F8274A" w:rsidP="008E5409">
      <w:pPr>
        <w:spacing w:after="240" w:line="240" w:lineRule="auto"/>
        <w:jc w:val="both"/>
        <w:rPr>
          <w:rFonts w:ascii="Arial" w:eastAsia="Times New Roman" w:hAnsi="Arial" w:cs="Arial"/>
        </w:rPr>
      </w:pPr>
      <w:r>
        <w:rPr>
          <w:rFonts w:ascii="Arial" w:eastAsia="Times New Roman" w:hAnsi="Arial" w:cs="Arial"/>
        </w:rPr>
        <w:t>ENTYVIO</w:t>
      </w:r>
      <w:r w:rsidR="008E5409" w:rsidRPr="00BD2963">
        <w:rPr>
          <w:rFonts w:ascii="Arial" w:eastAsia="Times New Roman" w:hAnsi="Arial" w:cs="Arial"/>
        </w:rPr>
        <w:t xml:space="preserve"> </w:t>
      </w:r>
      <w:r w:rsidR="008E5409">
        <w:rPr>
          <w:rFonts w:ascii="Arial" w:eastAsia="Times New Roman" w:hAnsi="Arial" w:cs="Arial"/>
        </w:rPr>
        <w:t>is supplied as a w</w:t>
      </w:r>
      <w:r w:rsidR="008E5409" w:rsidRPr="00865986">
        <w:rPr>
          <w:rFonts w:ascii="Arial" w:eastAsia="Times New Roman" w:hAnsi="Arial" w:cs="Arial"/>
        </w:rPr>
        <w:t>hite to off</w:t>
      </w:r>
      <w:r w:rsidR="008E5409" w:rsidRPr="00865986">
        <w:rPr>
          <w:rFonts w:ascii="Arial" w:eastAsia="Times New Roman" w:hAnsi="Arial" w:cs="Arial"/>
        </w:rPr>
        <w:noBreakHyphen/>
        <w:t>white lyophilised cake or powder</w:t>
      </w:r>
      <w:r w:rsidR="008E5409">
        <w:rPr>
          <w:rFonts w:ascii="Arial" w:eastAsia="Times New Roman" w:hAnsi="Arial" w:cs="Arial"/>
        </w:rPr>
        <w:t xml:space="preserve"> for injection, in a single-use vial. </w:t>
      </w:r>
      <w:r w:rsidR="008E5409" w:rsidRPr="008D25CB">
        <w:rPr>
          <w:rFonts w:ascii="Arial" w:eastAsia="Times New Roman" w:hAnsi="Arial" w:cs="Arial"/>
        </w:rPr>
        <w:t xml:space="preserve">Each vial </w:t>
      </w:r>
      <w:r w:rsidR="008E5409">
        <w:rPr>
          <w:rFonts w:ascii="Arial" w:eastAsia="Times New Roman" w:hAnsi="Arial" w:cs="Arial"/>
        </w:rPr>
        <w:t xml:space="preserve">of </w:t>
      </w:r>
      <w:r>
        <w:rPr>
          <w:rFonts w:ascii="Arial" w:eastAsia="Times New Roman" w:hAnsi="Arial" w:cs="Arial"/>
        </w:rPr>
        <w:t>ENTYVIO</w:t>
      </w:r>
      <w:r w:rsidR="008E5409" w:rsidRPr="00BD2963">
        <w:rPr>
          <w:rFonts w:ascii="Arial" w:eastAsia="Times New Roman" w:hAnsi="Arial" w:cs="Arial"/>
        </w:rPr>
        <w:t xml:space="preserve"> </w:t>
      </w:r>
      <w:r w:rsidR="008E5409" w:rsidRPr="008D25CB">
        <w:rPr>
          <w:rFonts w:ascii="Arial" w:eastAsia="Times New Roman" w:hAnsi="Arial" w:cs="Arial"/>
        </w:rPr>
        <w:t>contains 300 mg of vedolizumab. The powder is intended to be reconstituted with 4.8 mL of sterile water for injection. After reconstitution, each mL contains 60 mg of vedolizumab</w:t>
      </w:r>
      <w:r w:rsidR="008D60CA">
        <w:rPr>
          <w:rFonts w:ascii="Arial" w:eastAsia="Times New Roman" w:hAnsi="Arial" w:cs="Arial"/>
        </w:rPr>
        <w:t xml:space="preserve"> and the pH is </w:t>
      </w:r>
      <w:r w:rsidR="00822897">
        <w:rPr>
          <w:rFonts w:ascii="Arial" w:eastAsia="Times New Roman" w:hAnsi="Arial" w:cs="Arial"/>
        </w:rPr>
        <w:t xml:space="preserve">approximately </w:t>
      </w:r>
      <w:r w:rsidR="008D60CA">
        <w:rPr>
          <w:rFonts w:ascii="Arial" w:eastAsia="Times New Roman" w:hAnsi="Arial" w:cs="Arial"/>
        </w:rPr>
        <w:t>6.3</w:t>
      </w:r>
      <w:r w:rsidR="008E5409" w:rsidRPr="008D25CB">
        <w:rPr>
          <w:rFonts w:ascii="Arial" w:eastAsia="Times New Roman" w:hAnsi="Arial" w:cs="Arial"/>
        </w:rPr>
        <w:t xml:space="preserve">.  Each vial also contains histidine, histidine hydrochloride monohydrate, arginine hydrochloride, sucrose and polysorbate 80. </w:t>
      </w:r>
      <w:r w:rsidR="00822897">
        <w:rPr>
          <w:rFonts w:ascii="Arial" w:eastAsia="Times New Roman" w:hAnsi="Arial" w:cs="Arial"/>
        </w:rPr>
        <w:t>Five (5) mL of t</w:t>
      </w:r>
      <w:r w:rsidR="008E5409" w:rsidRPr="008D25CB">
        <w:rPr>
          <w:rFonts w:ascii="Arial" w:eastAsia="Times New Roman" w:hAnsi="Arial" w:cs="Arial"/>
        </w:rPr>
        <w:t>he reconstituted solution is to be diluted into 250 mL sterile 0.9% sodium chloride solution prior to use.</w:t>
      </w:r>
    </w:p>
    <w:p w:rsidR="00691008" w:rsidRDefault="002D31A3">
      <w:pPr>
        <w:pStyle w:val="Heading1"/>
        <w:spacing w:after="240"/>
        <w:rPr>
          <w:rFonts w:cs="Arial"/>
          <w:b w:val="0"/>
          <w:sz w:val="22"/>
          <w:szCs w:val="22"/>
        </w:rPr>
      </w:pPr>
      <w:r w:rsidRPr="002D31A3">
        <w:rPr>
          <w:rFonts w:cs="Arial"/>
          <w:sz w:val="22"/>
          <w:szCs w:val="22"/>
        </w:rPr>
        <w:t>PHARMACOLOGY</w:t>
      </w:r>
    </w:p>
    <w:p w:rsidR="00F42942" w:rsidRDefault="003B16BB" w:rsidP="00A40C3F">
      <w:pPr>
        <w:spacing w:after="240" w:line="240" w:lineRule="auto"/>
        <w:jc w:val="both"/>
        <w:rPr>
          <w:rFonts w:ascii="Arial" w:eastAsia="Times New Roman" w:hAnsi="Arial" w:cs="Arial"/>
        </w:rPr>
      </w:pPr>
      <w:r w:rsidRPr="00BD2963">
        <w:rPr>
          <w:rFonts w:ascii="Arial" w:eastAsia="Times New Roman" w:hAnsi="Arial" w:cs="Arial"/>
        </w:rPr>
        <w:t>Vedolizumab is a humanized monoclonal antibody that binds to the α</w:t>
      </w:r>
      <w:r w:rsidRPr="00BB18D6">
        <w:rPr>
          <w:rFonts w:ascii="Arial" w:eastAsia="Times New Roman" w:hAnsi="Arial" w:cs="Arial"/>
          <w:vertAlign w:val="subscript"/>
        </w:rPr>
        <w:t>4</w:t>
      </w:r>
      <w:r w:rsidRPr="00BD2963">
        <w:rPr>
          <w:rFonts w:ascii="Arial" w:eastAsia="Times New Roman" w:hAnsi="Arial" w:cs="Arial"/>
        </w:rPr>
        <w:t>β</w:t>
      </w:r>
      <w:r w:rsidRPr="00BB18D6">
        <w:rPr>
          <w:rFonts w:ascii="Arial" w:eastAsia="Times New Roman" w:hAnsi="Arial" w:cs="Arial"/>
          <w:vertAlign w:val="subscript"/>
        </w:rPr>
        <w:t>7</w:t>
      </w:r>
      <w:r w:rsidR="00E93E44">
        <w:rPr>
          <w:rFonts w:ascii="Arial" w:eastAsia="Times New Roman" w:hAnsi="Arial" w:cs="Arial"/>
          <w:vertAlign w:val="subscript"/>
        </w:rPr>
        <w:t xml:space="preserve"> </w:t>
      </w:r>
      <w:r w:rsidR="00E93E44">
        <w:rPr>
          <w:rFonts w:ascii="Arial" w:eastAsia="Times New Roman" w:hAnsi="Arial" w:cs="Arial"/>
        </w:rPr>
        <w:t>integrin</w:t>
      </w:r>
      <w:r w:rsidR="00F5285C">
        <w:rPr>
          <w:rFonts w:ascii="Arial" w:eastAsia="Times New Roman" w:hAnsi="Arial" w:cs="Arial"/>
        </w:rPr>
        <w:t>.</w:t>
      </w:r>
      <w:r w:rsidRPr="00BD2963">
        <w:rPr>
          <w:rFonts w:ascii="Arial" w:eastAsia="Times New Roman" w:hAnsi="Arial" w:cs="Arial"/>
        </w:rPr>
        <w:t xml:space="preserve"> </w:t>
      </w:r>
      <w:r w:rsidR="00F42942">
        <w:rPr>
          <w:rFonts w:ascii="Arial" w:eastAsia="Times New Roman" w:hAnsi="Arial" w:cs="Arial"/>
        </w:rPr>
        <w:t xml:space="preserve">It </w:t>
      </w:r>
      <w:r w:rsidR="00F42942" w:rsidRPr="00BD2963">
        <w:rPr>
          <w:rFonts w:ascii="Arial" w:eastAsia="Times New Roman" w:hAnsi="Arial" w:cs="Arial"/>
        </w:rPr>
        <w:t xml:space="preserve">does not bind to, nor inhibit </w:t>
      </w:r>
      <w:r w:rsidR="00F42942">
        <w:rPr>
          <w:rFonts w:ascii="Arial" w:eastAsia="Times New Roman" w:hAnsi="Arial" w:cs="Arial"/>
        </w:rPr>
        <w:t xml:space="preserve">the </w:t>
      </w:r>
      <w:r w:rsidR="00F42942" w:rsidRPr="00BD2963">
        <w:rPr>
          <w:rFonts w:ascii="Arial" w:eastAsia="Times New Roman" w:hAnsi="Arial" w:cs="Arial"/>
        </w:rPr>
        <w:t>function of, the α</w:t>
      </w:r>
      <w:r w:rsidR="00F42942" w:rsidRPr="00BB18D6">
        <w:rPr>
          <w:rFonts w:ascii="Arial" w:eastAsia="Times New Roman" w:hAnsi="Arial" w:cs="Arial"/>
          <w:vertAlign w:val="subscript"/>
        </w:rPr>
        <w:t>4</w:t>
      </w:r>
      <w:r w:rsidR="00F42942" w:rsidRPr="00BD2963">
        <w:rPr>
          <w:rFonts w:ascii="Arial" w:eastAsia="Times New Roman" w:hAnsi="Arial" w:cs="Arial"/>
        </w:rPr>
        <w:t>β</w:t>
      </w:r>
      <w:r w:rsidR="00F42942" w:rsidRPr="00BB18D6">
        <w:rPr>
          <w:rFonts w:ascii="Arial" w:eastAsia="Times New Roman" w:hAnsi="Arial" w:cs="Arial"/>
          <w:vertAlign w:val="subscript"/>
        </w:rPr>
        <w:t>1</w:t>
      </w:r>
      <w:r w:rsidR="00F42942" w:rsidRPr="00BD2963">
        <w:rPr>
          <w:rFonts w:ascii="Arial" w:eastAsia="Times New Roman" w:hAnsi="Arial" w:cs="Arial"/>
        </w:rPr>
        <w:t xml:space="preserve"> and α</w:t>
      </w:r>
      <w:r w:rsidR="00F42942" w:rsidRPr="00BB18D6">
        <w:rPr>
          <w:rFonts w:ascii="Arial" w:eastAsia="Times New Roman" w:hAnsi="Arial" w:cs="Arial"/>
          <w:vertAlign w:val="subscript"/>
        </w:rPr>
        <w:t>E</w:t>
      </w:r>
      <w:r w:rsidR="00F42942" w:rsidRPr="00BD2963">
        <w:rPr>
          <w:rFonts w:ascii="Arial" w:eastAsia="Times New Roman" w:hAnsi="Arial" w:cs="Arial"/>
        </w:rPr>
        <w:t>β</w:t>
      </w:r>
      <w:r w:rsidR="00F42942" w:rsidRPr="00BB18D6">
        <w:rPr>
          <w:rFonts w:ascii="Arial" w:eastAsia="Times New Roman" w:hAnsi="Arial" w:cs="Arial"/>
          <w:vertAlign w:val="subscript"/>
        </w:rPr>
        <w:t>7</w:t>
      </w:r>
      <w:r w:rsidR="00F42942" w:rsidRPr="00BD2963">
        <w:rPr>
          <w:rFonts w:ascii="Arial" w:eastAsia="Times New Roman" w:hAnsi="Arial" w:cs="Arial"/>
        </w:rPr>
        <w:t xml:space="preserve"> integrins.</w:t>
      </w:r>
      <w:r w:rsidR="00097A23">
        <w:rPr>
          <w:rFonts w:ascii="Arial" w:eastAsia="Times New Roman" w:hAnsi="Arial" w:cs="Arial"/>
        </w:rPr>
        <w:t xml:space="preserve"> </w:t>
      </w:r>
      <w:r w:rsidRPr="00BD2963">
        <w:rPr>
          <w:rFonts w:ascii="Arial" w:eastAsia="Times New Roman" w:hAnsi="Arial" w:cs="Arial"/>
        </w:rPr>
        <w:t>The α</w:t>
      </w:r>
      <w:r w:rsidRPr="00BB18D6">
        <w:rPr>
          <w:rFonts w:ascii="Arial" w:eastAsia="Times New Roman" w:hAnsi="Arial" w:cs="Arial"/>
          <w:vertAlign w:val="subscript"/>
        </w:rPr>
        <w:t>4</w:t>
      </w:r>
      <w:r w:rsidRPr="00BD2963">
        <w:rPr>
          <w:rFonts w:ascii="Arial" w:eastAsia="Times New Roman" w:hAnsi="Arial" w:cs="Arial"/>
        </w:rPr>
        <w:t>β</w:t>
      </w:r>
      <w:r w:rsidRPr="00BB18D6">
        <w:rPr>
          <w:rFonts w:ascii="Arial" w:eastAsia="Times New Roman" w:hAnsi="Arial" w:cs="Arial"/>
          <w:vertAlign w:val="subscript"/>
        </w:rPr>
        <w:t>7</w:t>
      </w:r>
      <w:r w:rsidRPr="00BD2963">
        <w:rPr>
          <w:rFonts w:ascii="Arial" w:eastAsia="Times New Roman" w:hAnsi="Arial" w:cs="Arial"/>
        </w:rPr>
        <w:t xml:space="preserve"> integrin is expressed on the surface of </w:t>
      </w:r>
      <w:r w:rsidR="00F42942">
        <w:rPr>
          <w:rFonts w:ascii="Arial" w:eastAsia="Times New Roman" w:hAnsi="Arial" w:cs="Arial"/>
        </w:rPr>
        <w:t xml:space="preserve">various leukocytes, including </w:t>
      </w:r>
      <w:r w:rsidRPr="00BD2963">
        <w:rPr>
          <w:rFonts w:ascii="Arial" w:eastAsia="Times New Roman" w:hAnsi="Arial" w:cs="Arial"/>
        </w:rPr>
        <w:t>T lymphocytes</w:t>
      </w:r>
      <w:r w:rsidR="00F42942">
        <w:rPr>
          <w:rFonts w:ascii="Arial" w:eastAsia="Times New Roman" w:hAnsi="Arial" w:cs="Arial"/>
        </w:rPr>
        <w:t>.</w:t>
      </w:r>
      <w:r w:rsidRPr="00BD2963">
        <w:rPr>
          <w:rFonts w:ascii="Arial" w:eastAsia="Times New Roman" w:hAnsi="Arial" w:cs="Arial"/>
        </w:rPr>
        <w:t xml:space="preserve"> </w:t>
      </w:r>
      <w:r w:rsidR="00F5285C">
        <w:rPr>
          <w:rFonts w:ascii="Arial" w:eastAsia="Times New Roman" w:hAnsi="Arial" w:cs="Arial"/>
        </w:rPr>
        <w:t>Vedolizumab</w:t>
      </w:r>
      <w:r w:rsidR="00F5285C" w:rsidRPr="00BD2963">
        <w:rPr>
          <w:rFonts w:ascii="Arial" w:eastAsia="Times New Roman" w:hAnsi="Arial" w:cs="Arial"/>
        </w:rPr>
        <w:t xml:space="preserve"> inhibits adhesion of cells </w:t>
      </w:r>
      <w:r w:rsidR="00F42942">
        <w:rPr>
          <w:rFonts w:ascii="Arial" w:eastAsia="Times New Roman" w:hAnsi="Arial" w:cs="Arial"/>
        </w:rPr>
        <w:t xml:space="preserve">expressing </w:t>
      </w:r>
      <w:r w:rsidR="00F42942" w:rsidRPr="00BD2963">
        <w:rPr>
          <w:rFonts w:ascii="Arial" w:eastAsia="Times New Roman" w:hAnsi="Arial" w:cs="Arial"/>
        </w:rPr>
        <w:t>α</w:t>
      </w:r>
      <w:r w:rsidR="00F42942" w:rsidRPr="00BB18D6">
        <w:rPr>
          <w:rFonts w:ascii="Arial" w:eastAsia="Times New Roman" w:hAnsi="Arial" w:cs="Arial"/>
          <w:vertAlign w:val="subscript"/>
        </w:rPr>
        <w:t>4</w:t>
      </w:r>
      <w:r w:rsidR="00F42942" w:rsidRPr="00BD2963">
        <w:rPr>
          <w:rFonts w:ascii="Arial" w:eastAsia="Times New Roman" w:hAnsi="Arial" w:cs="Arial"/>
        </w:rPr>
        <w:t>β</w:t>
      </w:r>
      <w:r w:rsidR="00F42942" w:rsidRPr="00BB18D6">
        <w:rPr>
          <w:rFonts w:ascii="Arial" w:eastAsia="Times New Roman" w:hAnsi="Arial" w:cs="Arial"/>
          <w:vertAlign w:val="subscript"/>
        </w:rPr>
        <w:t>7</w:t>
      </w:r>
      <w:r w:rsidR="00F42942">
        <w:rPr>
          <w:rFonts w:ascii="Arial" w:eastAsia="Times New Roman" w:hAnsi="Arial" w:cs="Arial"/>
          <w:vertAlign w:val="subscript"/>
        </w:rPr>
        <w:t xml:space="preserve"> </w:t>
      </w:r>
      <w:r w:rsidR="00F5285C" w:rsidRPr="00BD2963">
        <w:rPr>
          <w:rFonts w:ascii="Arial" w:eastAsia="Times New Roman" w:hAnsi="Arial" w:cs="Arial"/>
        </w:rPr>
        <w:t>to mucosal addressin cell adhesion molecule</w:t>
      </w:r>
      <w:r w:rsidR="00F5285C" w:rsidRPr="00BD2963">
        <w:rPr>
          <w:rFonts w:ascii="Arial" w:eastAsia="Times New Roman" w:hAnsi="Arial" w:cs="Arial"/>
        </w:rPr>
        <w:noBreakHyphen/>
        <w:t>1 (MAdCAM</w:t>
      </w:r>
      <w:r w:rsidR="00F5285C" w:rsidRPr="00BD2963">
        <w:rPr>
          <w:rFonts w:ascii="Arial" w:eastAsia="Times New Roman" w:hAnsi="Arial" w:cs="Arial"/>
        </w:rPr>
        <w:noBreakHyphen/>
        <w:t>1), but not vascular cell adhesion molecule</w:t>
      </w:r>
      <w:r w:rsidR="00F5285C" w:rsidRPr="00BD2963">
        <w:rPr>
          <w:rFonts w:ascii="Arial" w:eastAsia="Times New Roman" w:hAnsi="Arial" w:cs="Arial"/>
        </w:rPr>
        <w:noBreakHyphen/>
        <w:t>1 (VCAM</w:t>
      </w:r>
      <w:r w:rsidR="00F5285C" w:rsidRPr="00BD2963">
        <w:rPr>
          <w:rFonts w:ascii="Arial" w:eastAsia="Times New Roman" w:hAnsi="Arial" w:cs="Arial"/>
        </w:rPr>
        <w:noBreakHyphen/>
        <w:t xml:space="preserve">1). </w:t>
      </w:r>
    </w:p>
    <w:p w:rsidR="004D3273" w:rsidRDefault="004D3273" w:rsidP="004D3273">
      <w:pPr>
        <w:rPr>
          <w:rFonts w:ascii="Arial" w:eastAsia="Times New Roman" w:hAnsi="Arial" w:cs="Arial"/>
        </w:rPr>
      </w:pPr>
      <w:r>
        <w:rPr>
          <w:rFonts w:ascii="Arial" w:eastAsia="Times New Roman" w:hAnsi="Arial" w:cs="Arial"/>
        </w:rPr>
        <w:t>A subset of memory T lymphocytes preferen</w:t>
      </w:r>
      <w:r w:rsidR="00097A23">
        <w:rPr>
          <w:rFonts w:ascii="Arial" w:eastAsia="Times New Roman" w:hAnsi="Arial" w:cs="Arial"/>
        </w:rPr>
        <w:t>t</w:t>
      </w:r>
      <w:r>
        <w:rPr>
          <w:rFonts w:ascii="Arial" w:eastAsia="Times New Roman" w:hAnsi="Arial" w:cs="Arial"/>
        </w:rPr>
        <w:t xml:space="preserve">ially migrates into the gastrointestinal tract and causes inflammation that is </w:t>
      </w:r>
      <w:r w:rsidRPr="00224DB7">
        <w:rPr>
          <w:rFonts w:ascii="Arial" w:eastAsia="Times New Roman" w:hAnsi="Arial" w:cs="Arial"/>
        </w:rPr>
        <w:t>characteristic of ulcerative colitis and Crohn’s disease</w:t>
      </w:r>
      <w:r>
        <w:rPr>
          <w:rFonts w:ascii="Arial" w:eastAsia="Times New Roman" w:hAnsi="Arial" w:cs="Arial"/>
        </w:rPr>
        <w:t xml:space="preserve">. </w:t>
      </w:r>
      <w:r w:rsidRPr="00727C62">
        <w:rPr>
          <w:rFonts w:ascii="Arial" w:eastAsia="Times New Roman" w:hAnsi="Arial" w:cs="Arial"/>
        </w:rPr>
        <w:t>Vedolizumab selectively inhibits adhesion of these cells to</w:t>
      </w:r>
      <w:r w:rsidRPr="00BD2963">
        <w:rPr>
          <w:rFonts w:ascii="Arial" w:eastAsia="Times New Roman" w:hAnsi="Arial" w:cs="Arial"/>
        </w:rPr>
        <w:t xml:space="preserve"> MAdCAM</w:t>
      </w:r>
      <w:r w:rsidRPr="00BD2963">
        <w:rPr>
          <w:rFonts w:ascii="Arial" w:eastAsia="Times New Roman" w:hAnsi="Arial" w:cs="Arial"/>
        </w:rPr>
        <w:noBreakHyphen/>
        <w:t xml:space="preserve">1 </w:t>
      </w:r>
      <w:r w:rsidRPr="00727C62">
        <w:rPr>
          <w:rFonts w:ascii="Arial" w:eastAsia="Times New Roman" w:hAnsi="Arial" w:cs="Arial"/>
        </w:rPr>
        <w:t>and thereby inhibits the inflammation characteristic of these diseases. The action of vedolizumab is gut-selective since MAdCAM-1 is expressed selectively in the gut.</w:t>
      </w:r>
    </w:p>
    <w:p w:rsidR="004D3273" w:rsidRDefault="004D3273" w:rsidP="004D3273">
      <w:pPr>
        <w:spacing w:after="240" w:line="240" w:lineRule="auto"/>
        <w:jc w:val="both"/>
        <w:rPr>
          <w:rFonts w:ascii="Arial" w:eastAsia="Times New Roman" w:hAnsi="Arial" w:cs="Arial"/>
        </w:rPr>
      </w:pPr>
      <w:r w:rsidRPr="00727C62">
        <w:rPr>
          <w:rFonts w:ascii="Arial" w:eastAsia="Times New Roman" w:hAnsi="Arial" w:cs="Arial"/>
        </w:rPr>
        <w:t xml:space="preserve">In a rhesus monkey model investigating immune surveillance in the CNS, vedolizumab did not affect the infiltration of leukocytes, or subsets of leukocytes such as CD4+ and CD8+ </w:t>
      </w:r>
      <w:r w:rsidR="001C61E1">
        <w:rPr>
          <w:rFonts w:ascii="Arial" w:eastAsia="Times New Roman" w:hAnsi="Arial" w:cs="Arial"/>
        </w:rPr>
        <w:t xml:space="preserve">    </w:t>
      </w:r>
      <w:r w:rsidRPr="00727C62">
        <w:rPr>
          <w:rFonts w:ascii="Arial" w:eastAsia="Times New Roman" w:hAnsi="Arial" w:cs="Arial"/>
        </w:rPr>
        <w:t>T lymphocytes, into the cerebrospinal fluid</w:t>
      </w:r>
      <w:r>
        <w:rPr>
          <w:rFonts w:ascii="Arial" w:eastAsia="Times New Roman" w:hAnsi="Arial" w:cs="Arial"/>
        </w:rPr>
        <w:t>.</w:t>
      </w:r>
    </w:p>
    <w:p w:rsidR="003B16BB" w:rsidRPr="00AF5249" w:rsidRDefault="003B16BB" w:rsidP="00727C62">
      <w:pPr>
        <w:spacing w:after="240" w:line="240" w:lineRule="auto"/>
        <w:jc w:val="both"/>
        <w:rPr>
          <w:rFonts w:ascii="Arial" w:eastAsia="Times New Roman" w:hAnsi="Arial" w:cs="Arial"/>
        </w:rPr>
      </w:pPr>
      <w:r w:rsidRPr="00AF5249">
        <w:rPr>
          <w:rFonts w:ascii="Arial" w:eastAsia="Times New Roman" w:hAnsi="Arial" w:cs="Arial"/>
        </w:rPr>
        <w:t>In a study in ulcerative colitis patients, vedolizumab reduced gastrointestinal inflammation. In healthy subjects, ulcerative colitis patients, or Crohn’s disease patients, vedolizumab does not elevate neutrophils, basophils, eosinophils, B</w:t>
      </w:r>
      <w:r w:rsidRPr="00AF5249">
        <w:rPr>
          <w:rFonts w:ascii="Arial" w:eastAsia="Times New Roman" w:hAnsi="Arial" w:cs="Arial"/>
        </w:rPr>
        <w:noBreakHyphen/>
        <w:t>helper and cytotoxic T lymphocytes, total memory</w:t>
      </w:r>
      <w:r w:rsidRPr="00AF5249">
        <w:rPr>
          <w:rFonts w:ascii="Arial" w:eastAsia="Times New Roman" w:hAnsi="Arial" w:cs="Arial"/>
        </w:rPr>
        <w:noBreakHyphen/>
        <w:t>helper T lymphocytes, monocytes or natural killer cells, with no leukocytosis observed.</w:t>
      </w:r>
    </w:p>
    <w:p w:rsidR="00691008" w:rsidRDefault="002D31A3" w:rsidP="003F6600">
      <w:pPr>
        <w:rPr>
          <w:rFonts w:ascii="Arial" w:hAnsi="Arial" w:cs="Arial"/>
          <w:b/>
        </w:rPr>
      </w:pPr>
      <w:r w:rsidRPr="002D31A3">
        <w:rPr>
          <w:rFonts w:ascii="Arial" w:hAnsi="Arial" w:cs="Arial"/>
          <w:b/>
        </w:rPr>
        <w:t>Pharmacodynamics</w:t>
      </w:r>
    </w:p>
    <w:p w:rsidR="003B16BB" w:rsidRPr="00DD625A" w:rsidRDefault="003B16BB" w:rsidP="00BD2963">
      <w:pPr>
        <w:spacing w:after="240" w:line="240" w:lineRule="auto"/>
        <w:jc w:val="both"/>
        <w:rPr>
          <w:rFonts w:ascii="Arial" w:eastAsia="Times New Roman" w:hAnsi="Arial" w:cs="Arial"/>
        </w:rPr>
      </w:pPr>
      <w:r w:rsidRPr="00DD625A">
        <w:rPr>
          <w:rFonts w:ascii="Arial" w:eastAsia="Times New Roman" w:hAnsi="Arial" w:cs="Arial"/>
        </w:rPr>
        <w:lastRenderedPageBreak/>
        <w:t>In clinical trials with vedolizumab at doses ranging from 0.2 to 10 mg/kg, saturation of α</w:t>
      </w:r>
      <w:r w:rsidRPr="00DD625A">
        <w:rPr>
          <w:rFonts w:ascii="Arial" w:eastAsia="Times New Roman" w:hAnsi="Arial" w:cs="Arial"/>
          <w:vertAlign w:val="subscript"/>
        </w:rPr>
        <w:t>4</w:t>
      </w:r>
      <w:r w:rsidRPr="00DD625A">
        <w:rPr>
          <w:rFonts w:ascii="Arial" w:eastAsia="Times New Roman" w:hAnsi="Arial" w:cs="Arial"/>
        </w:rPr>
        <w:t>β</w:t>
      </w:r>
      <w:r w:rsidRPr="00DD625A">
        <w:rPr>
          <w:rFonts w:ascii="Arial" w:eastAsia="Times New Roman" w:hAnsi="Arial" w:cs="Arial"/>
          <w:vertAlign w:val="subscript"/>
        </w:rPr>
        <w:t>7</w:t>
      </w:r>
      <w:r w:rsidRPr="00DD625A">
        <w:rPr>
          <w:rFonts w:ascii="Arial" w:eastAsia="Times New Roman" w:hAnsi="Arial" w:cs="Arial"/>
        </w:rPr>
        <w:t xml:space="preserve"> receptors on subsets of circulating lymphocytes involved in gut immune surveillance was observed. </w:t>
      </w:r>
    </w:p>
    <w:p w:rsidR="003B16BB" w:rsidRPr="00DD625A" w:rsidRDefault="00AE46A6" w:rsidP="00BD2963">
      <w:pPr>
        <w:spacing w:after="240" w:line="240" w:lineRule="auto"/>
        <w:jc w:val="both"/>
        <w:rPr>
          <w:rFonts w:ascii="Arial" w:eastAsia="Times New Roman" w:hAnsi="Arial" w:cs="Arial"/>
        </w:rPr>
      </w:pPr>
      <w:r w:rsidRPr="00AE46A6">
        <w:rPr>
          <w:rFonts w:ascii="Arial" w:eastAsia="Times New Roman" w:hAnsi="Arial" w:cs="Arial"/>
        </w:rPr>
        <w:t>In patients with ulcerative colitis or Crohn’s disease who responded to treatment with vedolizumab in clinical trials the following changes in markers of inflammation were observed</w:t>
      </w:r>
      <w:r w:rsidR="00427126">
        <w:rPr>
          <w:rFonts w:ascii="Arial" w:eastAsia="Times New Roman" w:hAnsi="Arial" w:cs="Arial"/>
        </w:rPr>
        <w:t>:</w:t>
      </w:r>
      <w:r w:rsidR="003B16BB" w:rsidRPr="00DD625A">
        <w:rPr>
          <w:rFonts w:ascii="Arial" w:eastAsia="Times New Roman" w:hAnsi="Arial" w:cs="Arial"/>
        </w:rPr>
        <w:t xml:space="preserve"> </w:t>
      </w:r>
      <w:r w:rsidR="00427126">
        <w:rPr>
          <w:rFonts w:ascii="Arial" w:eastAsia="Times New Roman" w:hAnsi="Arial" w:cs="Arial"/>
        </w:rPr>
        <w:t>a</w:t>
      </w:r>
      <w:r w:rsidR="00427126" w:rsidRPr="00DD625A">
        <w:rPr>
          <w:rFonts w:ascii="Arial" w:eastAsia="Times New Roman" w:hAnsi="Arial" w:cs="Arial"/>
        </w:rPr>
        <w:t xml:space="preserve"> </w:t>
      </w:r>
      <w:r w:rsidR="003B16BB" w:rsidRPr="00DD625A">
        <w:rPr>
          <w:rFonts w:ascii="Arial" w:eastAsia="Times New Roman" w:hAnsi="Arial" w:cs="Arial"/>
        </w:rPr>
        <w:t>reduction of faecal calprotectin levels was observed in some ulcerative colitis patients treated for 52 weeks</w:t>
      </w:r>
      <w:r w:rsidR="00427126">
        <w:rPr>
          <w:rFonts w:ascii="Arial" w:eastAsia="Times New Roman" w:hAnsi="Arial" w:cs="Arial"/>
        </w:rPr>
        <w:t>;</w:t>
      </w:r>
      <w:r w:rsidR="00427126" w:rsidRPr="00DD625A">
        <w:rPr>
          <w:rFonts w:ascii="Arial" w:eastAsia="Times New Roman" w:hAnsi="Arial" w:cs="Arial"/>
        </w:rPr>
        <w:t xml:space="preserve">  </w:t>
      </w:r>
      <w:r w:rsidR="007561EC" w:rsidRPr="00DD625A">
        <w:rPr>
          <w:rFonts w:ascii="Arial" w:eastAsia="Times New Roman" w:hAnsi="Arial" w:cs="Arial"/>
        </w:rPr>
        <w:t>C</w:t>
      </w:r>
      <w:r w:rsidR="007561EC" w:rsidRPr="00DD625A">
        <w:rPr>
          <w:rFonts w:ascii="Arial" w:eastAsia="Times New Roman" w:hAnsi="Arial" w:cs="Arial"/>
        </w:rPr>
        <w:noBreakHyphen/>
      </w:r>
      <w:r w:rsidR="003B16BB" w:rsidRPr="00DD625A">
        <w:rPr>
          <w:rFonts w:ascii="Arial" w:eastAsia="Times New Roman" w:hAnsi="Arial" w:cs="Arial"/>
        </w:rPr>
        <w:t xml:space="preserve">reactive protein levels were decreased in some Crohn’s disease patients with elevated CRP levels at baseline treated with vedolizumab for 52 weeks. </w:t>
      </w:r>
    </w:p>
    <w:p w:rsidR="003B16BB" w:rsidRPr="00AF5249" w:rsidRDefault="003B16BB" w:rsidP="00BD2963">
      <w:pPr>
        <w:spacing w:after="240" w:line="240" w:lineRule="auto"/>
        <w:jc w:val="both"/>
        <w:rPr>
          <w:rFonts w:ascii="Arial" w:eastAsia="Times New Roman" w:hAnsi="Arial" w:cs="Arial"/>
        </w:rPr>
      </w:pPr>
      <w:r w:rsidRPr="00AF5249">
        <w:rPr>
          <w:rFonts w:ascii="Arial" w:eastAsia="Times New Roman" w:hAnsi="Arial" w:cs="Arial"/>
        </w:rPr>
        <w:t>Vedolizumab did not affect CD4</w:t>
      </w:r>
      <w:r w:rsidRPr="00AF5249">
        <w:rPr>
          <w:rFonts w:ascii="Arial" w:eastAsia="Times New Roman" w:hAnsi="Arial" w:cs="Arial"/>
          <w:vertAlign w:val="superscript"/>
        </w:rPr>
        <w:t>+</w:t>
      </w:r>
      <w:r w:rsidRPr="00AF5249">
        <w:rPr>
          <w:rFonts w:ascii="Arial" w:eastAsia="Times New Roman" w:hAnsi="Arial" w:cs="Arial"/>
        </w:rPr>
        <w:t xml:space="preserve"> and CD8</w:t>
      </w:r>
      <w:r w:rsidRPr="00AF5249">
        <w:rPr>
          <w:rFonts w:ascii="Arial" w:eastAsia="Times New Roman" w:hAnsi="Arial" w:cs="Arial"/>
          <w:vertAlign w:val="superscript"/>
        </w:rPr>
        <w:t>+</w:t>
      </w:r>
      <w:r w:rsidRPr="00AF5249">
        <w:rPr>
          <w:rFonts w:ascii="Arial" w:eastAsia="Times New Roman" w:hAnsi="Arial" w:cs="Arial"/>
        </w:rPr>
        <w:t xml:space="preserve"> trafficking into the CNS as evidenced by the lack of change in the ratio of CD4</w:t>
      </w:r>
      <w:r w:rsidRPr="00AF5249">
        <w:rPr>
          <w:rFonts w:ascii="Arial" w:eastAsia="Times New Roman" w:hAnsi="Arial" w:cs="Arial"/>
          <w:vertAlign w:val="superscript"/>
        </w:rPr>
        <w:t>+</w:t>
      </w:r>
      <w:r w:rsidRPr="00AF5249">
        <w:rPr>
          <w:rFonts w:ascii="Arial" w:eastAsia="Times New Roman" w:hAnsi="Arial" w:cs="Arial"/>
        </w:rPr>
        <w:t>/CD8</w:t>
      </w:r>
      <w:r w:rsidRPr="00AF5249">
        <w:rPr>
          <w:rFonts w:ascii="Arial" w:eastAsia="Times New Roman" w:hAnsi="Arial" w:cs="Arial"/>
          <w:vertAlign w:val="superscript"/>
        </w:rPr>
        <w:t>+</w:t>
      </w:r>
      <w:r w:rsidRPr="00AF5249">
        <w:rPr>
          <w:rFonts w:ascii="Arial" w:eastAsia="Times New Roman" w:hAnsi="Arial" w:cs="Arial"/>
        </w:rPr>
        <w:t xml:space="preserve"> in CSF pre</w:t>
      </w:r>
      <w:r w:rsidRPr="00AF5249">
        <w:rPr>
          <w:rFonts w:ascii="Arial" w:eastAsia="Times New Roman" w:hAnsi="Arial" w:cs="Arial"/>
        </w:rPr>
        <w:noBreakHyphen/>
        <w:t xml:space="preserve"> and post</w:t>
      </w:r>
      <w:r w:rsidRPr="00AF5249">
        <w:rPr>
          <w:rFonts w:ascii="Arial" w:eastAsia="Times New Roman" w:hAnsi="Arial" w:cs="Arial"/>
        </w:rPr>
        <w:noBreakHyphen/>
        <w:t>vedolizumab administration in non</w:t>
      </w:r>
      <w:r w:rsidRPr="00AF5249">
        <w:rPr>
          <w:rFonts w:ascii="Arial" w:eastAsia="Times New Roman" w:hAnsi="Arial" w:cs="Arial"/>
        </w:rPr>
        <w:noBreakHyphen/>
        <w:t>human primates and healthy human volunteers.</w:t>
      </w:r>
    </w:p>
    <w:p w:rsidR="003B16BB" w:rsidRPr="00BD2963" w:rsidRDefault="003B16BB" w:rsidP="00BD2963">
      <w:pPr>
        <w:spacing w:after="240" w:line="240" w:lineRule="auto"/>
        <w:jc w:val="both"/>
        <w:rPr>
          <w:rFonts w:ascii="Arial" w:eastAsia="Times New Roman" w:hAnsi="Arial" w:cs="Arial"/>
        </w:rPr>
      </w:pPr>
      <w:r w:rsidRPr="00DD625A">
        <w:rPr>
          <w:rFonts w:ascii="Arial" w:eastAsia="Times New Roman" w:hAnsi="Arial" w:cs="Arial"/>
        </w:rPr>
        <w:t>A significant reduction in gastrointestinal inflammation was observed in rectal-biopsy specimens from Phase 2 ulcerative colitis patients exposed to vedolizumab for four or six weeks compared to placebo control as assessed by histopathology.</w:t>
      </w:r>
    </w:p>
    <w:p w:rsidR="00691008" w:rsidRDefault="002D31A3">
      <w:pPr>
        <w:pStyle w:val="NoSpacing"/>
        <w:spacing w:after="240"/>
        <w:jc w:val="both"/>
        <w:rPr>
          <w:rFonts w:ascii="Arial" w:hAnsi="Arial" w:cs="Arial"/>
          <w:b/>
        </w:rPr>
      </w:pPr>
      <w:r w:rsidRPr="002D31A3">
        <w:rPr>
          <w:rFonts w:ascii="Arial" w:hAnsi="Arial" w:cs="Arial"/>
          <w:b/>
        </w:rPr>
        <w:t>Pharmacokinetics</w:t>
      </w:r>
    </w:p>
    <w:p w:rsidR="00AA39BE" w:rsidRPr="00BD2963" w:rsidRDefault="00AA39BE" w:rsidP="00D66EFB">
      <w:pPr>
        <w:spacing w:after="240" w:line="240" w:lineRule="auto"/>
        <w:jc w:val="both"/>
        <w:rPr>
          <w:rFonts w:ascii="Arial" w:eastAsia="Times New Roman" w:hAnsi="Arial" w:cs="Arial"/>
        </w:rPr>
      </w:pPr>
      <w:r w:rsidRPr="00B15AFB">
        <w:rPr>
          <w:rFonts w:ascii="Arial" w:eastAsia="Times New Roman" w:hAnsi="Arial" w:cs="Arial"/>
        </w:rPr>
        <w:t>The single and multiple dose pharmacokinetics of vedolizumab have been studied in healthy subjects and in patients with moderate to severe ulcerative colitis or Crohn’s disease. Population pharmacokinetic analyses were conducted to characterize the</w:t>
      </w:r>
      <w:r w:rsidRPr="00BD2963">
        <w:rPr>
          <w:rFonts w:ascii="Arial" w:eastAsia="Times New Roman" w:hAnsi="Arial" w:cs="Arial"/>
        </w:rPr>
        <w:t xml:space="preserve"> pharmacokinetics of vedolizumab and assess the impact of various covariates on the pharmacokinetic parameters of vedolizumab. </w:t>
      </w:r>
    </w:p>
    <w:p w:rsidR="00AA39BE" w:rsidRPr="00BD2963" w:rsidRDefault="00AA39BE" w:rsidP="00D66EFB">
      <w:pPr>
        <w:spacing w:after="240" w:line="240" w:lineRule="auto"/>
        <w:jc w:val="both"/>
        <w:rPr>
          <w:rFonts w:ascii="Arial" w:eastAsia="Times New Roman" w:hAnsi="Arial" w:cs="Arial"/>
        </w:rPr>
      </w:pPr>
      <w:r w:rsidRPr="00BD2963">
        <w:rPr>
          <w:rFonts w:ascii="Arial" w:eastAsia="Times New Roman" w:hAnsi="Arial" w:cs="Arial"/>
        </w:rPr>
        <w:t xml:space="preserve">Similar pharmacokinetics were observed in ulcerative colitis and Crohn’s disease populations.  In patients administered 300 mg vedolizumab as a 30 minute intravenous infusion on Weeks 0 and 2, </w:t>
      </w:r>
      <w:r w:rsidR="00823847">
        <w:rPr>
          <w:rFonts w:ascii="Arial" w:eastAsia="Times New Roman" w:hAnsi="Arial" w:cs="Arial"/>
        </w:rPr>
        <w:t>mean</w:t>
      </w:r>
      <w:r w:rsidR="0083021B" w:rsidRPr="00BD2963">
        <w:rPr>
          <w:rFonts w:ascii="Arial" w:eastAsia="Times New Roman" w:hAnsi="Arial" w:cs="Arial"/>
        </w:rPr>
        <w:t xml:space="preserve"> </w:t>
      </w:r>
      <w:r w:rsidRPr="00BD2963">
        <w:rPr>
          <w:rFonts w:ascii="Arial" w:eastAsia="Times New Roman" w:hAnsi="Arial" w:cs="Arial"/>
        </w:rPr>
        <w:t xml:space="preserve">serum trough concentrations at Week 6 were </w:t>
      </w:r>
      <w:r w:rsidR="00823847">
        <w:rPr>
          <w:rFonts w:ascii="Arial" w:eastAsia="Times New Roman" w:hAnsi="Arial" w:cs="Arial"/>
        </w:rPr>
        <w:t>2</w:t>
      </w:r>
      <w:r w:rsidR="004E502C">
        <w:rPr>
          <w:rFonts w:ascii="Arial" w:eastAsia="Times New Roman" w:hAnsi="Arial" w:cs="Arial"/>
        </w:rPr>
        <w:t>7.9</w:t>
      </w:r>
      <w:r w:rsidRPr="00BD2963">
        <w:rPr>
          <w:rFonts w:ascii="Arial" w:eastAsia="Times New Roman" w:hAnsi="Arial" w:cs="Arial"/>
        </w:rPr>
        <w:t> </w:t>
      </w:r>
      <w:r w:rsidR="00DF47B1">
        <w:rPr>
          <w:rFonts w:ascii="Arial" w:eastAsia="Times New Roman" w:hAnsi="Arial" w:cs="Arial"/>
        </w:rPr>
        <w:t>microgram</w:t>
      </w:r>
      <w:r w:rsidRPr="00BD2963">
        <w:rPr>
          <w:rFonts w:ascii="Arial" w:eastAsia="Times New Roman" w:hAnsi="Arial" w:cs="Arial"/>
        </w:rPr>
        <w:t>/m</w:t>
      </w:r>
      <w:r w:rsidR="0094351B">
        <w:rPr>
          <w:rFonts w:ascii="Arial" w:eastAsia="Times New Roman" w:hAnsi="Arial" w:cs="Arial"/>
        </w:rPr>
        <w:t>L</w:t>
      </w:r>
      <w:r w:rsidRPr="00BD2963">
        <w:rPr>
          <w:rFonts w:ascii="Arial" w:eastAsia="Times New Roman" w:hAnsi="Arial" w:cs="Arial"/>
        </w:rPr>
        <w:t xml:space="preserve"> </w:t>
      </w:r>
      <w:r w:rsidRPr="00AF017E">
        <w:rPr>
          <w:rFonts w:ascii="Arial" w:eastAsia="Times New Roman" w:hAnsi="Arial" w:cs="Arial"/>
        </w:rPr>
        <w:t>(</w:t>
      </w:r>
      <w:r w:rsidR="004E502C" w:rsidRPr="00AF017E">
        <w:rPr>
          <w:rFonts w:ascii="Arial" w:eastAsia="Times New Roman" w:hAnsi="Arial" w:cs="Arial"/>
        </w:rPr>
        <w:t>SD ± 15.51</w:t>
      </w:r>
      <w:r w:rsidRPr="00AF017E">
        <w:rPr>
          <w:rFonts w:ascii="Arial" w:eastAsia="Times New Roman" w:hAnsi="Arial" w:cs="Arial"/>
        </w:rPr>
        <w:t>)</w:t>
      </w:r>
      <w:r w:rsidRPr="00BD2963">
        <w:rPr>
          <w:rFonts w:ascii="Arial" w:eastAsia="Times New Roman" w:hAnsi="Arial" w:cs="Arial"/>
        </w:rPr>
        <w:t xml:space="preserve"> in ulcerative colitis and </w:t>
      </w:r>
      <w:r w:rsidR="004E502C">
        <w:rPr>
          <w:rFonts w:ascii="Arial" w:eastAsia="Times New Roman" w:hAnsi="Arial" w:cs="Arial"/>
        </w:rPr>
        <w:t>26.8</w:t>
      </w:r>
      <w:r w:rsidR="0083021B" w:rsidRPr="00BD2963">
        <w:rPr>
          <w:rFonts w:ascii="Arial" w:eastAsia="Times New Roman" w:hAnsi="Arial" w:cs="Arial"/>
        </w:rPr>
        <w:t> </w:t>
      </w:r>
      <w:r w:rsidR="00DF47B1">
        <w:rPr>
          <w:rFonts w:ascii="Arial" w:eastAsia="Times New Roman" w:hAnsi="Arial" w:cs="Arial"/>
        </w:rPr>
        <w:t>microgram</w:t>
      </w:r>
      <w:r w:rsidRPr="00BD2963">
        <w:rPr>
          <w:rFonts w:ascii="Arial" w:eastAsia="Times New Roman" w:hAnsi="Arial" w:cs="Arial"/>
        </w:rPr>
        <w:t>/m</w:t>
      </w:r>
      <w:r w:rsidR="0094351B">
        <w:rPr>
          <w:rFonts w:ascii="Arial" w:eastAsia="Times New Roman" w:hAnsi="Arial" w:cs="Arial"/>
        </w:rPr>
        <w:t>L</w:t>
      </w:r>
      <w:r w:rsidRPr="00BD2963">
        <w:rPr>
          <w:rFonts w:ascii="Arial" w:eastAsia="Times New Roman" w:hAnsi="Arial" w:cs="Arial"/>
        </w:rPr>
        <w:t xml:space="preserve"> </w:t>
      </w:r>
      <w:r w:rsidRPr="00AF017E">
        <w:rPr>
          <w:rFonts w:ascii="Arial" w:eastAsia="Times New Roman" w:hAnsi="Arial" w:cs="Arial"/>
        </w:rPr>
        <w:t>(</w:t>
      </w:r>
      <w:r w:rsidR="004E502C" w:rsidRPr="00AF017E">
        <w:rPr>
          <w:rFonts w:ascii="Arial" w:eastAsia="Times New Roman" w:hAnsi="Arial" w:cs="Arial"/>
        </w:rPr>
        <w:t>SD ± 17.45</w:t>
      </w:r>
      <w:r w:rsidRPr="00AF017E">
        <w:rPr>
          <w:rFonts w:ascii="Arial" w:eastAsia="Times New Roman" w:hAnsi="Arial" w:cs="Arial"/>
        </w:rPr>
        <w:t>)</w:t>
      </w:r>
      <w:r w:rsidRPr="00BD2963">
        <w:rPr>
          <w:rFonts w:ascii="Arial" w:eastAsia="Times New Roman" w:hAnsi="Arial" w:cs="Arial"/>
        </w:rPr>
        <w:t xml:space="preserve"> in Crohn’s disease. Starting at Week 6, patients received 300 mg vedolizumab every eight or four weeks. In patients with ulcerative colitis, </w:t>
      </w:r>
      <w:r w:rsidR="004E502C">
        <w:rPr>
          <w:rFonts w:ascii="Arial" w:eastAsia="Times New Roman" w:hAnsi="Arial" w:cs="Arial"/>
        </w:rPr>
        <w:t>mean</w:t>
      </w:r>
      <w:r w:rsidR="0083021B" w:rsidRPr="00BD2963">
        <w:rPr>
          <w:rFonts w:ascii="Arial" w:eastAsia="Times New Roman" w:hAnsi="Arial" w:cs="Arial"/>
        </w:rPr>
        <w:t xml:space="preserve"> </w:t>
      </w:r>
      <w:r w:rsidRPr="00BD2963">
        <w:rPr>
          <w:rFonts w:ascii="Arial" w:eastAsia="Times New Roman" w:hAnsi="Arial" w:cs="Arial"/>
        </w:rPr>
        <w:t>steady</w:t>
      </w:r>
      <w:r w:rsidRPr="00BD2963">
        <w:rPr>
          <w:rFonts w:ascii="Arial" w:eastAsia="Times New Roman" w:hAnsi="Arial" w:cs="Arial"/>
        </w:rPr>
        <w:noBreakHyphen/>
        <w:t xml:space="preserve">state serum trough concentrations were </w:t>
      </w:r>
      <w:r w:rsidR="004E502C">
        <w:rPr>
          <w:rFonts w:ascii="Arial" w:eastAsia="Times New Roman" w:hAnsi="Arial" w:cs="Arial"/>
        </w:rPr>
        <w:t>11.2</w:t>
      </w:r>
      <w:r w:rsidRPr="00BD2963">
        <w:rPr>
          <w:rFonts w:ascii="Arial" w:eastAsia="Times New Roman" w:hAnsi="Arial" w:cs="Arial"/>
        </w:rPr>
        <w:t> </w:t>
      </w:r>
      <w:r w:rsidR="00DF47B1">
        <w:rPr>
          <w:rFonts w:ascii="Arial" w:eastAsia="Times New Roman" w:hAnsi="Arial" w:cs="Arial"/>
        </w:rPr>
        <w:t>microgram</w:t>
      </w:r>
      <w:r w:rsidRPr="00BD2963">
        <w:rPr>
          <w:rFonts w:ascii="Arial" w:eastAsia="Times New Roman" w:hAnsi="Arial" w:cs="Arial"/>
        </w:rPr>
        <w:t>/m</w:t>
      </w:r>
      <w:r w:rsidR="0094351B">
        <w:rPr>
          <w:rFonts w:ascii="Arial" w:eastAsia="Times New Roman" w:hAnsi="Arial" w:cs="Arial"/>
        </w:rPr>
        <w:t>L</w:t>
      </w:r>
      <w:r w:rsidRPr="00BD2963">
        <w:rPr>
          <w:rFonts w:ascii="Arial" w:eastAsia="Times New Roman" w:hAnsi="Arial" w:cs="Arial"/>
        </w:rPr>
        <w:t xml:space="preserve"> </w:t>
      </w:r>
      <w:r w:rsidRPr="00AF017E">
        <w:rPr>
          <w:rFonts w:ascii="Arial" w:eastAsia="Times New Roman" w:hAnsi="Arial" w:cs="Arial"/>
        </w:rPr>
        <w:t>(</w:t>
      </w:r>
      <w:r w:rsidR="004E502C" w:rsidRPr="00AF017E">
        <w:rPr>
          <w:rFonts w:ascii="Arial" w:eastAsia="Times New Roman" w:hAnsi="Arial" w:cs="Arial"/>
        </w:rPr>
        <w:t>SD ± 7.24</w:t>
      </w:r>
      <w:r w:rsidRPr="00AF017E">
        <w:rPr>
          <w:rFonts w:ascii="Arial" w:eastAsia="Times New Roman" w:hAnsi="Arial" w:cs="Arial"/>
        </w:rPr>
        <w:t>)</w:t>
      </w:r>
      <w:r w:rsidRPr="00BD2963">
        <w:rPr>
          <w:rFonts w:ascii="Arial" w:eastAsia="Times New Roman" w:hAnsi="Arial" w:cs="Arial"/>
        </w:rPr>
        <w:t xml:space="preserve"> and </w:t>
      </w:r>
      <w:r w:rsidR="004E502C">
        <w:rPr>
          <w:rFonts w:ascii="Arial" w:eastAsia="Times New Roman" w:hAnsi="Arial" w:cs="Arial"/>
        </w:rPr>
        <w:t>38.3</w:t>
      </w:r>
      <w:r w:rsidRPr="00BD2963">
        <w:rPr>
          <w:rFonts w:ascii="Arial" w:eastAsia="Times New Roman" w:hAnsi="Arial" w:cs="Arial"/>
        </w:rPr>
        <w:t> </w:t>
      </w:r>
      <w:r w:rsidR="00DF47B1">
        <w:rPr>
          <w:rFonts w:ascii="Arial" w:eastAsia="Times New Roman" w:hAnsi="Arial" w:cs="Arial"/>
        </w:rPr>
        <w:t>microgram</w:t>
      </w:r>
      <w:r w:rsidRPr="00BD2963">
        <w:rPr>
          <w:rFonts w:ascii="Arial" w:eastAsia="Times New Roman" w:hAnsi="Arial" w:cs="Arial"/>
        </w:rPr>
        <w:t>/m</w:t>
      </w:r>
      <w:r w:rsidR="0094351B">
        <w:rPr>
          <w:rFonts w:ascii="Arial" w:eastAsia="Times New Roman" w:hAnsi="Arial" w:cs="Arial"/>
        </w:rPr>
        <w:t>L</w:t>
      </w:r>
      <w:r w:rsidRPr="00BD2963">
        <w:rPr>
          <w:rFonts w:ascii="Arial" w:eastAsia="Times New Roman" w:hAnsi="Arial" w:cs="Arial"/>
        </w:rPr>
        <w:t xml:space="preserve"> </w:t>
      </w:r>
      <w:r w:rsidRPr="00AF017E">
        <w:rPr>
          <w:rFonts w:ascii="Arial" w:eastAsia="Times New Roman" w:hAnsi="Arial" w:cs="Arial"/>
        </w:rPr>
        <w:t>(</w:t>
      </w:r>
      <w:r w:rsidR="004E502C" w:rsidRPr="00AF017E">
        <w:rPr>
          <w:rFonts w:ascii="Arial" w:eastAsia="Times New Roman" w:hAnsi="Arial" w:cs="Arial"/>
        </w:rPr>
        <w:t>SD ± 24.43</w:t>
      </w:r>
      <w:r w:rsidRPr="00AF017E">
        <w:rPr>
          <w:rFonts w:ascii="Arial" w:eastAsia="Times New Roman" w:hAnsi="Arial" w:cs="Arial"/>
        </w:rPr>
        <w:t>)</w:t>
      </w:r>
      <w:r w:rsidRPr="00BD2963">
        <w:rPr>
          <w:rFonts w:ascii="Arial" w:eastAsia="Times New Roman" w:hAnsi="Arial" w:cs="Arial"/>
        </w:rPr>
        <w:t xml:space="preserve">, respectively. In patients with Crohn's disease </w:t>
      </w:r>
      <w:r w:rsidR="0083021B">
        <w:rPr>
          <w:rFonts w:ascii="Arial" w:eastAsia="Times New Roman" w:hAnsi="Arial" w:cs="Arial"/>
        </w:rPr>
        <w:t>median</w:t>
      </w:r>
      <w:r w:rsidR="0083021B" w:rsidRPr="00BD2963">
        <w:rPr>
          <w:rFonts w:ascii="Arial" w:eastAsia="Times New Roman" w:hAnsi="Arial" w:cs="Arial"/>
        </w:rPr>
        <w:t xml:space="preserve"> </w:t>
      </w:r>
      <w:r w:rsidRPr="00BD2963">
        <w:rPr>
          <w:rFonts w:ascii="Arial" w:eastAsia="Times New Roman" w:hAnsi="Arial" w:cs="Arial"/>
        </w:rPr>
        <w:t>steady</w:t>
      </w:r>
      <w:r w:rsidRPr="00BD2963">
        <w:rPr>
          <w:rFonts w:ascii="Arial" w:eastAsia="Times New Roman" w:hAnsi="Arial" w:cs="Arial"/>
        </w:rPr>
        <w:noBreakHyphen/>
        <w:t xml:space="preserve">state serum trough concentrations were </w:t>
      </w:r>
      <w:r w:rsidR="004E502C">
        <w:rPr>
          <w:rFonts w:ascii="Arial" w:eastAsia="Times New Roman" w:hAnsi="Arial" w:cs="Arial"/>
        </w:rPr>
        <w:t>13.0</w:t>
      </w:r>
      <w:r w:rsidRPr="00BD2963">
        <w:rPr>
          <w:rFonts w:ascii="Arial" w:eastAsia="Times New Roman" w:hAnsi="Arial" w:cs="Arial"/>
        </w:rPr>
        <w:t> </w:t>
      </w:r>
      <w:r w:rsidR="00DF47B1">
        <w:rPr>
          <w:rFonts w:ascii="Arial" w:eastAsia="Times New Roman" w:hAnsi="Arial" w:cs="Arial"/>
        </w:rPr>
        <w:t>microgram</w:t>
      </w:r>
      <w:r w:rsidRPr="00BD2963">
        <w:rPr>
          <w:rFonts w:ascii="Arial" w:eastAsia="Times New Roman" w:hAnsi="Arial" w:cs="Arial"/>
        </w:rPr>
        <w:t>/m</w:t>
      </w:r>
      <w:r w:rsidR="0094351B">
        <w:rPr>
          <w:rFonts w:ascii="Arial" w:eastAsia="Times New Roman" w:hAnsi="Arial" w:cs="Arial"/>
        </w:rPr>
        <w:t>L</w:t>
      </w:r>
      <w:r w:rsidRPr="00BD2963">
        <w:rPr>
          <w:rFonts w:ascii="Arial" w:eastAsia="Times New Roman" w:hAnsi="Arial" w:cs="Arial"/>
        </w:rPr>
        <w:t xml:space="preserve"> </w:t>
      </w:r>
      <w:r w:rsidRPr="00AF017E">
        <w:rPr>
          <w:rFonts w:ascii="Arial" w:eastAsia="Times New Roman" w:hAnsi="Arial" w:cs="Arial"/>
        </w:rPr>
        <w:t>(</w:t>
      </w:r>
      <w:r w:rsidR="004E502C" w:rsidRPr="00AF017E">
        <w:rPr>
          <w:rFonts w:ascii="Arial" w:eastAsia="Times New Roman" w:hAnsi="Arial" w:cs="Arial"/>
        </w:rPr>
        <w:t>SD ± 9.08</w:t>
      </w:r>
      <w:r w:rsidRPr="00AF017E">
        <w:rPr>
          <w:rFonts w:ascii="Arial" w:eastAsia="Times New Roman" w:hAnsi="Arial" w:cs="Arial"/>
        </w:rPr>
        <w:t>)</w:t>
      </w:r>
      <w:r w:rsidRPr="00BD2963">
        <w:rPr>
          <w:rFonts w:ascii="Arial" w:eastAsia="Times New Roman" w:hAnsi="Arial" w:cs="Arial"/>
        </w:rPr>
        <w:t xml:space="preserve"> and </w:t>
      </w:r>
      <w:r w:rsidR="004E502C">
        <w:rPr>
          <w:rFonts w:ascii="Arial" w:eastAsia="Times New Roman" w:hAnsi="Arial" w:cs="Arial"/>
        </w:rPr>
        <w:t>34.8</w:t>
      </w:r>
      <w:r w:rsidRPr="00BD2963">
        <w:rPr>
          <w:rFonts w:ascii="Arial" w:eastAsia="Times New Roman" w:hAnsi="Arial" w:cs="Arial"/>
        </w:rPr>
        <w:t> </w:t>
      </w:r>
      <w:r w:rsidR="00DF47B1">
        <w:rPr>
          <w:rFonts w:ascii="Arial" w:eastAsia="Times New Roman" w:hAnsi="Arial" w:cs="Arial"/>
        </w:rPr>
        <w:t>microgram</w:t>
      </w:r>
      <w:r w:rsidRPr="00BD2963">
        <w:rPr>
          <w:rFonts w:ascii="Arial" w:eastAsia="Times New Roman" w:hAnsi="Arial" w:cs="Arial"/>
        </w:rPr>
        <w:t>/m</w:t>
      </w:r>
      <w:r w:rsidR="0094351B">
        <w:rPr>
          <w:rFonts w:ascii="Arial" w:eastAsia="Times New Roman" w:hAnsi="Arial" w:cs="Arial"/>
        </w:rPr>
        <w:t>L</w:t>
      </w:r>
      <w:r w:rsidRPr="00BD2963">
        <w:rPr>
          <w:rFonts w:ascii="Arial" w:eastAsia="Times New Roman" w:hAnsi="Arial" w:cs="Arial"/>
        </w:rPr>
        <w:t xml:space="preserve"> </w:t>
      </w:r>
      <w:r w:rsidRPr="00AF017E">
        <w:rPr>
          <w:rFonts w:ascii="Arial" w:eastAsia="Times New Roman" w:hAnsi="Arial" w:cs="Arial"/>
        </w:rPr>
        <w:t>(</w:t>
      </w:r>
      <w:r w:rsidR="004E502C" w:rsidRPr="00AF017E">
        <w:rPr>
          <w:rFonts w:ascii="Arial" w:eastAsia="Times New Roman" w:hAnsi="Arial" w:cs="Arial"/>
        </w:rPr>
        <w:t>SD ± 22.55</w:t>
      </w:r>
      <w:r w:rsidRPr="00AF017E">
        <w:rPr>
          <w:rFonts w:ascii="Arial" w:eastAsia="Times New Roman" w:hAnsi="Arial" w:cs="Arial"/>
        </w:rPr>
        <w:t>)</w:t>
      </w:r>
      <w:r w:rsidRPr="00BD2963">
        <w:rPr>
          <w:rFonts w:ascii="Arial" w:eastAsia="Times New Roman" w:hAnsi="Arial" w:cs="Arial"/>
        </w:rPr>
        <w:t>, respectively.</w:t>
      </w:r>
      <w:r w:rsidR="00160FD4">
        <w:rPr>
          <w:rFonts w:ascii="Arial" w:eastAsia="Times New Roman" w:hAnsi="Arial" w:cs="Arial"/>
        </w:rPr>
        <w:t xml:space="preserve"> </w:t>
      </w:r>
      <w:r w:rsidR="00160FD4" w:rsidRPr="00160FD4">
        <w:rPr>
          <w:rFonts w:ascii="Arial" w:eastAsia="Times New Roman" w:hAnsi="Arial" w:cs="Arial"/>
        </w:rPr>
        <w:t>The presence of pers</w:t>
      </w:r>
      <w:r w:rsidR="00A038BD">
        <w:rPr>
          <w:rFonts w:ascii="Arial" w:eastAsia="Times New Roman" w:hAnsi="Arial" w:cs="Arial"/>
        </w:rPr>
        <w:t>istent anti-vedolizumab antibodies</w:t>
      </w:r>
      <w:r w:rsidR="00160FD4" w:rsidRPr="00160FD4">
        <w:rPr>
          <w:rFonts w:ascii="Arial" w:eastAsia="Times New Roman" w:hAnsi="Arial" w:cs="Arial"/>
        </w:rPr>
        <w:t xml:space="preserve"> was observed to substantially reduce the serum concentrations of vedolizumab, either to undetectable or negligible level at Weeks 6 and 52 (n=8).</w:t>
      </w:r>
    </w:p>
    <w:p w:rsidR="00696696" w:rsidRPr="00696696" w:rsidRDefault="00696696" w:rsidP="00696696">
      <w:pPr>
        <w:spacing w:after="240" w:line="240" w:lineRule="auto"/>
        <w:jc w:val="both"/>
        <w:rPr>
          <w:rFonts w:ascii="Arial" w:eastAsia="Times New Roman" w:hAnsi="Arial" w:cs="Arial"/>
          <w:i/>
        </w:rPr>
      </w:pPr>
      <w:r w:rsidRPr="00696696">
        <w:rPr>
          <w:rFonts w:ascii="Arial" w:eastAsia="Times New Roman" w:hAnsi="Arial" w:cs="Arial"/>
          <w:i/>
        </w:rPr>
        <w:t xml:space="preserve">Distribution </w:t>
      </w:r>
    </w:p>
    <w:p w:rsidR="00AA39BE" w:rsidRPr="00BD2963" w:rsidRDefault="00AA39BE" w:rsidP="00BD2963">
      <w:pPr>
        <w:spacing w:after="240" w:line="240" w:lineRule="auto"/>
        <w:jc w:val="both"/>
        <w:rPr>
          <w:rFonts w:ascii="Arial" w:eastAsia="Times New Roman" w:hAnsi="Arial" w:cs="Arial"/>
        </w:rPr>
      </w:pPr>
      <w:r w:rsidRPr="00BD2963">
        <w:rPr>
          <w:rFonts w:ascii="Arial" w:eastAsia="Times New Roman" w:hAnsi="Arial" w:cs="Arial"/>
        </w:rPr>
        <w:t>Population pharmacokinetic analyses indicate that the distribution volume of vedolizumab is approximately 5 litres. The plasma protein binding of vedolizumab has not been evaluated. Vedolizumab is a therapeutic monoclonal antibody and is not expected to bind to plasma proteins.</w:t>
      </w:r>
    </w:p>
    <w:p w:rsidR="00AA39BE" w:rsidRPr="00BD2963" w:rsidRDefault="00AA39BE" w:rsidP="00BD2963">
      <w:pPr>
        <w:spacing w:after="240" w:line="240" w:lineRule="auto"/>
        <w:jc w:val="both"/>
        <w:rPr>
          <w:rFonts w:ascii="Arial" w:eastAsia="Times New Roman" w:hAnsi="Arial" w:cs="Arial"/>
        </w:rPr>
      </w:pPr>
      <w:r w:rsidRPr="00BD2963">
        <w:rPr>
          <w:rFonts w:ascii="Arial" w:eastAsia="Times New Roman" w:hAnsi="Arial" w:cs="Arial"/>
        </w:rPr>
        <w:t xml:space="preserve">Vedolizumab does not pass the blood brain barrier after intravenous administration. </w:t>
      </w:r>
      <w:r w:rsidR="003F6600" w:rsidRPr="003F6600">
        <w:rPr>
          <w:rFonts w:ascii="Arial" w:eastAsia="Times New Roman" w:hAnsi="Arial" w:cs="Arial"/>
        </w:rPr>
        <w:t xml:space="preserve">Vedolizumab was not detected in the cerebrospinal fluid (CSF) of 14 healthy subjects at 5 </w:t>
      </w:r>
      <w:r w:rsidR="003F6600" w:rsidRPr="003F6600">
        <w:rPr>
          <w:rFonts w:ascii="Arial" w:eastAsia="Times New Roman" w:hAnsi="Arial" w:cs="Arial"/>
        </w:rPr>
        <w:lastRenderedPageBreak/>
        <w:t>weeks after a single intravenous administration of 450 mg ENTYVIO (1.5 times the recommended dosage).</w:t>
      </w:r>
    </w:p>
    <w:p w:rsidR="00696696" w:rsidRDefault="00696696" w:rsidP="00696696">
      <w:pPr>
        <w:spacing w:after="240" w:line="240" w:lineRule="auto"/>
        <w:jc w:val="both"/>
        <w:rPr>
          <w:rFonts w:ascii="Arial" w:eastAsia="Times New Roman" w:hAnsi="Arial" w:cs="Arial"/>
          <w:i/>
        </w:rPr>
      </w:pPr>
      <w:r w:rsidRPr="00696696">
        <w:rPr>
          <w:rFonts w:ascii="Arial" w:eastAsia="Times New Roman" w:hAnsi="Arial" w:cs="Arial"/>
          <w:i/>
        </w:rPr>
        <w:t>Excretion</w:t>
      </w:r>
    </w:p>
    <w:p w:rsidR="00AA39BE" w:rsidRPr="00BD2963" w:rsidRDefault="00AA39BE" w:rsidP="00BD2963">
      <w:pPr>
        <w:spacing w:after="240" w:line="240" w:lineRule="auto"/>
        <w:jc w:val="both"/>
        <w:rPr>
          <w:rFonts w:ascii="Arial" w:eastAsia="Times New Roman" w:hAnsi="Arial" w:cs="Arial"/>
        </w:rPr>
      </w:pPr>
      <w:r w:rsidRPr="00BD2963">
        <w:rPr>
          <w:rFonts w:ascii="Arial" w:eastAsia="Times New Roman" w:hAnsi="Arial" w:cs="Arial"/>
        </w:rPr>
        <w:t>Population pharmacokinetic analyses indicate that vedolizumab has a total body clearance of approximately 0.157 L/day and a plasma half</w:t>
      </w:r>
      <w:r w:rsidRPr="00BD2963">
        <w:rPr>
          <w:rFonts w:ascii="Arial" w:eastAsia="Times New Roman" w:hAnsi="Arial" w:cs="Arial"/>
        </w:rPr>
        <w:noBreakHyphen/>
        <w:t xml:space="preserve">life of </w:t>
      </w:r>
      <w:r w:rsidR="00902484">
        <w:rPr>
          <w:rFonts w:ascii="Arial" w:eastAsia="Times New Roman" w:hAnsi="Arial" w:cs="Arial"/>
        </w:rPr>
        <w:t>approximately</w:t>
      </w:r>
      <w:r w:rsidR="00902484" w:rsidRPr="00BD2963">
        <w:rPr>
          <w:rFonts w:ascii="Arial" w:eastAsia="Times New Roman" w:hAnsi="Arial" w:cs="Arial"/>
        </w:rPr>
        <w:t xml:space="preserve"> </w:t>
      </w:r>
      <w:r w:rsidRPr="00BD2963">
        <w:rPr>
          <w:rFonts w:ascii="Arial" w:eastAsia="Times New Roman" w:hAnsi="Arial" w:cs="Arial"/>
        </w:rPr>
        <w:t>25 days. The exact elimination route of vedolizumab is not known. Population pharmacokinetic analyses suggest that while higher body weight and presence of anti</w:t>
      </w:r>
      <w:r w:rsidRPr="00BD2963">
        <w:rPr>
          <w:rFonts w:ascii="Arial" w:eastAsia="Times New Roman" w:hAnsi="Arial" w:cs="Arial"/>
        </w:rPr>
        <w:noBreakHyphen/>
        <w:t>vedolizumab antibody increase vedolizumab clearance, the magnitude of their effects is not consid</w:t>
      </w:r>
      <w:r w:rsidR="00416438">
        <w:rPr>
          <w:rFonts w:ascii="Arial" w:eastAsia="Times New Roman" w:hAnsi="Arial" w:cs="Arial"/>
        </w:rPr>
        <w:t>ered to be clinically relevant.</w:t>
      </w:r>
    </w:p>
    <w:p w:rsidR="00AA39BE" w:rsidRPr="00BD2963" w:rsidRDefault="00AA39BE" w:rsidP="00BD2963">
      <w:pPr>
        <w:spacing w:after="240" w:line="240" w:lineRule="auto"/>
        <w:jc w:val="both"/>
        <w:rPr>
          <w:rFonts w:ascii="Arial" w:eastAsia="Times New Roman" w:hAnsi="Arial" w:cs="Arial"/>
          <w:i/>
        </w:rPr>
      </w:pPr>
      <w:r w:rsidRPr="00BD2963">
        <w:rPr>
          <w:rFonts w:ascii="Arial" w:eastAsia="Times New Roman" w:hAnsi="Arial" w:cs="Arial"/>
          <w:i/>
        </w:rPr>
        <w:t>Linearity</w:t>
      </w:r>
    </w:p>
    <w:p w:rsidR="00AA39BE" w:rsidRPr="00BD2963" w:rsidRDefault="00AA39BE" w:rsidP="00BD2963">
      <w:pPr>
        <w:spacing w:after="240" w:line="240" w:lineRule="auto"/>
        <w:jc w:val="both"/>
        <w:rPr>
          <w:rFonts w:ascii="Arial" w:eastAsia="Times New Roman" w:hAnsi="Arial" w:cs="Arial"/>
        </w:rPr>
      </w:pPr>
      <w:r w:rsidRPr="00BD2963">
        <w:rPr>
          <w:rFonts w:ascii="Arial" w:eastAsia="Times New Roman" w:hAnsi="Arial" w:cs="Arial"/>
        </w:rPr>
        <w:t>Vedolizumab exhibited linear pharmacokinetics at serum concentrations greater than 1 </w:t>
      </w:r>
      <w:r w:rsidR="00DF47B1">
        <w:rPr>
          <w:rFonts w:ascii="Arial" w:eastAsia="Times New Roman" w:hAnsi="Arial" w:cs="Arial"/>
        </w:rPr>
        <w:t>microgram</w:t>
      </w:r>
      <w:r w:rsidRPr="00BD2963">
        <w:rPr>
          <w:rFonts w:ascii="Arial" w:eastAsia="Times New Roman" w:hAnsi="Arial" w:cs="Arial"/>
        </w:rPr>
        <w:t>/m</w:t>
      </w:r>
      <w:r w:rsidR="0094351B">
        <w:rPr>
          <w:rFonts w:ascii="Arial" w:eastAsia="Times New Roman" w:hAnsi="Arial" w:cs="Arial"/>
        </w:rPr>
        <w:t>L</w:t>
      </w:r>
      <w:r w:rsidR="00AF017E">
        <w:rPr>
          <w:rFonts w:ascii="Arial" w:eastAsia="Times New Roman" w:hAnsi="Arial" w:cs="Arial"/>
        </w:rPr>
        <w:t>.</w:t>
      </w:r>
      <w:r w:rsidR="009848EA">
        <w:rPr>
          <w:rFonts w:ascii="Arial" w:eastAsia="Times New Roman" w:hAnsi="Arial" w:cs="Arial"/>
        </w:rPr>
        <w:t xml:space="preserve"> </w:t>
      </w:r>
    </w:p>
    <w:p w:rsidR="00AA39BE" w:rsidRPr="00BD2963" w:rsidRDefault="00AA39BE" w:rsidP="00BD2963">
      <w:pPr>
        <w:spacing w:after="240" w:line="240" w:lineRule="auto"/>
        <w:jc w:val="both"/>
        <w:rPr>
          <w:rFonts w:ascii="Arial" w:eastAsia="Times New Roman" w:hAnsi="Arial" w:cs="Arial"/>
          <w:i/>
        </w:rPr>
      </w:pPr>
      <w:r w:rsidRPr="00BD2963">
        <w:rPr>
          <w:rFonts w:ascii="Arial" w:eastAsia="Times New Roman" w:hAnsi="Arial" w:cs="Arial"/>
          <w:i/>
        </w:rPr>
        <w:t>Special Populations</w:t>
      </w:r>
    </w:p>
    <w:p w:rsidR="00AA39BE" w:rsidRPr="00BD2963" w:rsidRDefault="00AA39BE" w:rsidP="00BD2963">
      <w:pPr>
        <w:spacing w:after="240" w:line="240" w:lineRule="auto"/>
        <w:jc w:val="both"/>
        <w:rPr>
          <w:rFonts w:ascii="Arial" w:eastAsia="Times New Roman" w:hAnsi="Arial" w:cs="Arial"/>
        </w:rPr>
      </w:pPr>
      <w:r w:rsidRPr="00BD2963">
        <w:rPr>
          <w:rFonts w:ascii="Arial" w:eastAsia="Times New Roman" w:hAnsi="Arial" w:cs="Arial"/>
        </w:rPr>
        <w:t>Age does not impact the vedolizumab clearance in ulcerative colitis and Crohn’s disease patients based on the population pharmacokinetic analyses. No formal studies have been conducted to examine the effects of either renal or hepatic impairment on the pharmacokinetics of vedolizumab.</w:t>
      </w:r>
    </w:p>
    <w:p w:rsidR="00691008" w:rsidRDefault="002D31A3">
      <w:pPr>
        <w:pStyle w:val="NoSpacing"/>
        <w:keepNext/>
        <w:spacing w:after="240"/>
        <w:jc w:val="both"/>
        <w:rPr>
          <w:rFonts w:ascii="Arial" w:hAnsi="Arial" w:cs="Arial"/>
          <w:b/>
        </w:rPr>
      </w:pPr>
      <w:r w:rsidRPr="002D31A3">
        <w:rPr>
          <w:rFonts w:ascii="Arial" w:hAnsi="Arial" w:cs="Arial"/>
          <w:b/>
        </w:rPr>
        <w:t>CLINICAL TRIALS</w:t>
      </w:r>
    </w:p>
    <w:p w:rsidR="003B16BB" w:rsidRPr="00AC1807" w:rsidRDefault="003B16BB" w:rsidP="00AC1807">
      <w:pPr>
        <w:spacing w:after="240" w:line="240" w:lineRule="auto"/>
        <w:jc w:val="both"/>
        <w:rPr>
          <w:rFonts w:ascii="Arial" w:eastAsia="Times New Roman" w:hAnsi="Arial" w:cs="Arial"/>
          <w:b/>
        </w:rPr>
      </w:pPr>
      <w:r w:rsidRPr="00AC1807">
        <w:rPr>
          <w:rFonts w:ascii="Arial" w:eastAsia="Times New Roman" w:hAnsi="Arial" w:cs="Arial"/>
          <w:b/>
        </w:rPr>
        <w:t>Ulcerative Colitis</w:t>
      </w:r>
    </w:p>
    <w:p w:rsidR="003B16BB" w:rsidRPr="00AC1807" w:rsidRDefault="003B16BB" w:rsidP="00B247D9">
      <w:pPr>
        <w:spacing w:after="240" w:line="240" w:lineRule="auto"/>
        <w:jc w:val="both"/>
        <w:rPr>
          <w:rFonts w:ascii="Arial" w:eastAsia="Times New Roman" w:hAnsi="Arial" w:cs="Arial"/>
        </w:rPr>
      </w:pPr>
      <w:r w:rsidRPr="00AC1807">
        <w:rPr>
          <w:rFonts w:ascii="Arial" w:eastAsia="Times New Roman" w:hAnsi="Arial" w:cs="Arial"/>
        </w:rPr>
        <w:t xml:space="preserve">The safety and efficacy of vedolizumab for the treatment of adult patients with moderate to severe ulcerative colitis (Mayo score 6 to 12 with endoscopic sub score </w:t>
      </w:r>
      <w:r w:rsidR="008B3743" w:rsidRPr="00AC1807">
        <w:rPr>
          <w:rFonts w:ascii="Arial" w:eastAsia="Times New Roman" w:hAnsi="Arial" w:cs="Arial"/>
        </w:rPr>
        <w:sym w:font="Symbol" w:char="F0B3"/>
      </w:r>
      <w:r w:rsidRPr="00AC1807">
        <w:rPr>
          <w:rFonts w:ascii="Arial" w:eastAsia="Times New Roman" w:hAnsi="Arial" w:cs="Arial"/>
        </w:rPr>
        <w:t>2) was demonstrated in a randomised, double</w:t>
      </w:r>
      <w:r w:rsidRPr="00AC1807">
        <w:rPr>
          <w:rFonts w:ascii="Arial" w:eastAsia="Times New Roman" w:hAnsi="Arial" w:cs="Arial"/>
        </w:rPr>
        <w:noBreakHyphen/>
        <w:t>blind, placebo</w:t>
      </w:r>
      <w:r w:rsidRPr="00AC1807">
        <w:rPr>
          <w:rFonts w:ascii="Arial" w:eastAsia="Times New Roman" w:hAnsi="Arial" w:cs="Arial"/>
        </w:rPr>
        <w:noBreakHyphen/>
        <w:t>controlled study evaluating efficacy endpoints at Week 6 and Week 52 (GEMINI</w:t>
      </w:r>
      <w:r w:rsidR="0012660C">
        <w:rPr>
          <w:rFonts w:ascii="Arial" w:eastAsia="Times New Roman" w:hAnsi="Arial" w:cs="Arial"/>
        </w:rPr>
        <w:t> </w:t>
      </w:r>
      <w:r w:rsidRPr="00AC1807">
        <w:rPr>
          <w:rFonts w:ascii="Arial" w:eastAsia="Times New Roman" w:hAnsi="Arial" w:cs="Arial"/>
        </w:rPr>
        <w:t xml:space="preserve">I). Enrolled patients </w:t>
      </w:r>
      <w:r w:rsidR="006F3CD5">
        <w:rPr>
          <w:rFonts w:ascii="Arial" w:eastAsia="Times New Roman" w:hAnsi="Arial" w:cs="Arial"/>
        </w:rPr>
        <w:t>had</w:t>
      </w:r>
      <w:r w:rsidR="006F3CD5" w:rsidRPr="00AC1807">
        <w:rPr>
          <w:rFonts w:ascii="Arial" w:eastAsia="Times New Roman" w:hAnsi="Arial" w:cs="Arial"/>
        </w:rPr>
        <w:t xml:space="preserve"> </w:t>
      </w:r>
      <w:r w:rsidRPr="00AC1807">
        <w:rPr>
          <w:rFonts w:ascii="Arial" w:eastAsia="Times New Roman" w:hAnsi="Arial" w:cs="Arial"/>
        </w:rPr>
        <w:t xml:space="preserve">failed at least one conventional therapy, including corticosteroids, immunomodulators, and/or </w:t>
      </w:r>
      <w:r w:rsidR="009C41EA">
        <w:rPr>
          <w:rFonts w:ascii="Arial" w:eastAsia="Times New Roman" w:hAnsi="Arial" w:cs="Arial"/>
        </w:rPr>
        <w:t xml:space="preserve">one or more </w:t>
      </w:r>
      <w:r w:rsidRPr="00AC1807">
        <w:rPr>
          <w:rFonts w:ascii="Arial" w:eastAsia="Times New Roman" w:hAnsi="Arial" w:cs="Arial"/>
        </w:rPr>
        <w:t>TNFα antagonists</w:t>
      </w:r>
      <w:r w:rsidR="009848EA">
        <w:rPr>
          <w:rFonts w:ascii="Arial" w:eastAsia="Times New Roman" w:hAnsi="Arial" w:cs="Arial"/>
        </w:rPr>
        <w:t>. TNFα antagonist failure patients included those with inadequate response</w:t>
      </w:r>
      <w:r w:rsidRPr="00AC1807">
        <w:rPr>
          <w:rFonts w:ascii="Arial" w:eastAsia="Times New Roman" w:hAnsi="Arial" w:cs="Arial"/>
        </w:rPr>
        <w:t xml:space="preserve"> (primary non</w:t>
      </w:r>
      <w:r w:rsidRPr="00AC1807">
        <w:rPr>
          <w:rFonts w:ascii="Arial" w:eastAsia="Times New Roman" w:hAnsi="Arial" w:cs="Arial"/>
        </w:rPr>
        <w:noBreakHyphen/>
        <w:t>responders</w:t>
      </w:r>
      <w:r w:rsidR="00D041C0">
        <w:rPr>
          <w:rFonts w:ascii="Arial" w:eastAsia="Times New Roman" w:hAnsi="Arial" w:cs="Arial"/>
        </w:rPr>
        <w:t>)</w:t>
      </w:r>
      <w:r w:rsidR="009C41EA" w:rsidRPr="00A11348">
        <w:rPr>
          <w:rFonts w:ascii="Arial" w:eastAsia="Times New Roman" w:hAnsi="Arial" w:cs="Arial"/>
        </w:rPr>
        <w:t xml:space="preserve">, </w:t>
      </w:r>
      <w:r w:rsidR="00D041C0">
        <w:rPr>
          <w:rFonts w:ascii="Arial" w:eastAsia="Times New Roman" w:hAnsi="Arial" w:cs="Arial"/>
        </w:rPr>
        <w:t>loss of response (</w:t>
      </w:r>
      <w:r w:rsidR="009C41EA" w:rsidRPr="00A11348">
        <w:rPr>
          <w:rFonts w:ascii="Arial" w:eastAsia="Times New Roman" w:hAnsi="Arial" w:cs="Arial"/>
        </w:rPr>
        <w:t>secondary non-</w:t>
      </w:r>
      <w:r w:rsidR="00D041C0" w:rsidRPr="00A11348">
        <w:rPr>
          <w:rFonts w:ascii="Arial" w:eastAsia="Times New Roman" w:hAnsi="Arial" w:cs="Arial"/>
        </w:rPr>
        <w:t>responder</w:t>
      </w:r>
      <w:r w:rsidR="00D40DE8">
        <w:rPr>
          <w:rFonts w:ascii="Arial" w:eastAsia="Times New Roman" w:hAnsi="Arial" w:cs="Arial"/>
        </w:rPr>
        <w:t>s</w:t>
      </w:r>
      <w:r w:rsidR="00D041C0">
        <w:rPr>
          <w:rFonts w:ascii="Arial" w:eastAsia="Times New Roman" w:hAnsi="Arial" w:cs="Arial"/>
        </w:rPr>
        <w:t>)</w:t>
      </w:r>
      <w:r w:rsidR="00D041C0" w:rsidRPr="00A11348">
        <w:rPr>
          <w:rFonts w:ascii="Arial" w:eastAsia="Times New Roman" w:hAnsi="Arial" w:cs="Arial"/>
        </w:rPr>
        <w:t xml:space="preserve"> </w:t>
      </w:r>
      <w:r w:rsidR="009C41EA" w:rsidRPr="00A11348">
        <w:rPr>
          <w:rFonts w:ascii="Arial" w:eastAsia="Times New Roman" w:hAnsi="Arial" w:cs="Arial"/>
        </w:rPr>
        <w:t>or those who were intolerant</w:t>
      </w:r>
      <w:r w:rsidRPr="00AC1807">
        <w:rPr>
          <w:rFonts w:ascii="Arial" w:eastAsia="Times New Roman" w:hAnsi="Arial" w:cs="Arial"/>
        </w:rPr>
        <w:t xml:space="preserve">. </w:t>
      </w:r>
      <w:r w:rsidR="00784076">
        <w:rPr>
          <w:rFonts w:ascii="Arial" w:eastAsia="Times New Roman" w:hAnsi="Arial" w:cs="Arial"/>
        </w:rPr>
        <w:t xml:space="preserve">Approximately </w:t>
      </w:r>
      <w:r w:rsidR="00784076">
        <w:rPr>
          <w:rFonts w:ascii="Arial" w:hAnsi="Arial" w:cs="Arial"/>
        </w:rPr>
        <w:t>40% of patients had failed prior TNF</w:t>
      </w:r>
      <w:r w:rsidR="00784076" w:rsidRPr="002C479D">
        <w:rPr>
          <w:rFonts w:ascii="Arial" w:hAnsi="Arial" w:cs="Arial"/>
        </w:rPr>
        <w:t>α</w:t>
      </w:r>
      <w:r w:rsidR="00784076">
        <w:rPr>
          <w:rFonts w:ascii="Arial" w:hAnsi="Arial" w:cs="Arial"/>
        </w:rPr>
        <w:t xml:space="preserve"> antagonist therapy.</w:t>
      </w:r>
      <w:r w:rsidR="00784076">
        <w:rPr>
          <w:rFonts w:ascii="Arial" w:eastAsia="Times New Roman" w:hAnsi="Arial" w:cs="Arial"/>
        </w:rPr>
        <w:t xml:space="preserve"> </w:t>
      </w:r>
    </w:p>
    <w:p w:rsidR="00634D75" w:rsidRPr="00634D75" w:rsidRDefault="00634D75" w:rsidP="00AC1807">
      <w:pPr>
        <w:spacing w:after="240" w:line="240" w:lineRule="auto"/>
        <w:jc w:val="both"/>
        <w:rPr>
          <w:rFonts w:ascii="Arial" w:eastAsia="Times New Roman" w:hAnsi="Arial" w:cs="Arial"/>
          <w:u w:val="single"/>
        </w:rPr>
      </w:pPr>
      <w:r w:rsidRPr="00634D75">
        <w:rPr>
          <w:rFonts w:ascii="Arial" w:eastAsia="Times New Roman" w:hAnsi="Arial" w:cs="Arial"/>
          <w:u w:val="single"/>
        </w:rPr>
        <w:t>Induction</w:t>
      </w:r>
    </w:p>
    <w:p w:rsidR="00D62CF4" w:rsidRDefault="003B16BB" w:rsidP="00AC1807">
      <w:pPr>
        <w:spacing w:after="240" w:line="240" w:lineRule="auto"/>
        <w:jc w:val="both"/>
        <w:rPr>
          <w:rFonts w:ascii="Arial" w:eastAsia="Times New Roman" w:hAnsi="Arial" w:cs="Arial"/>
        </w:rPr>
      </w:pPr>
      <w:r w:rsidRPr="00AC1807">
        <w:rPr>
          <w:rFonts w:ascii="Arial" w:eastAsia="Times New Roman" w:hAnsi="Arial" w:cs="Arial"/>
        </w:rPr>
        <w:t>For the evaluation of the Week 6 endpoints, 374 patients were randomised in a double</w:t>
      </w:r>
      <w:r w:rsidRPr="00AC1807">
        <w:rPr>
          <w:rFonts w:ascii="Arial" w:eastAsia="Times New Roman" w:hAnsi="Arial" w:cs="Arial"/>
        </w:rPr>
        <w:noBreakHyphen/>
        <w:t xml:space="preserve">blind fashion (3:2) to receive vedolizumab 300 mg or placebo at Week 0 and Week 2. </w:t>
      </w:r>
      <w:r w:rsidR="00D041C0">
        <w:rPr>
          <w:rFonts w:ascii="Arial" w:eastAsia="Times New Roman" w:hAnsi="Arial" w:cs="Arial"/>
        </w:rPr>
        <w:t>Concomitant medications were permitted, and patients received corticosteroid (54%), immunomodulators (30%), and aminosalicylates (74%).</w:t>
      </w:r>
      <w:r w:rsidR="00B11B0F">
        <w:rPr>
          <w:rFonts w:ascii="Arial" w:eastAsia="Times New Roman" w:hAnsi="Arial" w:cs="Arial"/>
        </w:rPr>
        <w:t xml:space="preserve"> </w:t>
      </w:r>
      <w:r w:rsidR="00814D21">
        <w:rPr>
          <w:rFonts w:ascii="Arial" w:eastAsia="Times New Roman" w:hAnsi="Arial" w:cs="Arial"/>
        </w:rPr>
        <w:t>The</w:t>
      </w:r>
      <w:r w:rsidR="00B11B0F">
        <w:rPr>
          <w:rFonts w:ascii="Arial" w:eastAsia="Times New Roman" w:hAnsi="Arial" w:cs="Arial"/>
        </w:rPr>
        <w:t xml:space="preserve"> </w:t>
      </w:r>
      <w:r w:rsidR="00814D21">
        <w:rPr>
          <w:rFonts w:ascii="Arial" w:eastAsia="Times New Roman" w:hAnsi="Arial" w:cs="Arial"/>
        </w:rPr>
        <w:t>p</w:t>
      </w:r>
      <w:r w:rsidRPr="00AC1807">
        <w:rPr>
          <w:rFonts w:ascii="Arial" w:eastAsia="Times New Roman" w:hAnsi="Arial" w:cs="Arial"/>
        </w:rPr>
        <w:t xml:space="preserve">rimary endpoint was the proportion of patients with clinical response (defined as reduction in complete Mayo score of </w:t>
      </w:r>
      <w:r w:rsidRPr="00AC1807">
        <w:rPr>
          <w:rFonts w:ascii="Arial" w:eastAsia="Times New Roman" w:hAnsi="Arial" w:cs="Arial"/>
        </w:rPr>
        <w:sym w:font="Symbol" w:char="F0B3"/>
      </w:r>
      <w:r w:rsidRPr="00AC1807">
        <w:rPr>
          <w:rFonts w:ascii="Arial" w:eastAsia="Times New Roman" w:hAnsi="Arial" w:cs="Arial"/>
        </w:rPr>
        <w:t xml:space="preserve">3 points and </w:t>
      </w:r>
      <w:r w:rsidRPr="00AC1807">
        <w:rPr>
          <w:rFonts w:ascii="Arial" w:eastAsia="Times New Roman" w:hAnsi="Arial" w:cs="Arial"/>
        </w:rPr>
        <w:sym w:font="Symbol" w:char="F0B3"/>
      </w:r>
      <w:r w:rsidRPr="00AC1807">
        <w:rPr>
          <w:rFonts w:ascii="Arial" w:eastAsia="Times New Roman" w:hAnsi="Arial" w:cs="Arial"/>
        </w:rPr>
        <w:t xml:space="preserve">30% from baseline with an accompanying decrease in rectal bleeding subscore of </w:t>
      </w:r>
      <w:r w:rsidRPr="00AC1807">
        <w:rPr>
          <w:rFonts w:ascii="Arial" w:eastAsia="Times New Roman" w:hAnsi="Arial" w:cs="Arial"/>
        </w:rPr>
        <w:sym w:font="Symbol" w:char="F0B3"/>
      </w:r>
      <w:r w:rsidRPr="00AC1807">
        <w:rPr>
          <w:rFonts w:ascii="Arial" w:eastAsia="Times New Roman" w:hAnsi="Arial" w:cs="Arial"/>
        </w:rPr>
        <w:t>1 point or absolute rectal bleeding subscore of ≤1 point) at W</w:t>
      </w:r>
      <w:bookmarkStart w:id="1" w:name="_Ref335805301"/>
      <w:r w:rsidRPr="00AC1807">
        <w:rPr>
          <w:rFonts w:ascii="Arial" w:eastAsia="Times New Roman" w:hAnsi="Arial" w:cs="Arial"/>
        </w:rPr>
        <w:t>eek 6.</w:t>
      </w:r>
      <w:r w:rsidR="00D041C0">
        <w:rPr>
          <w:rFonts w:ascii="Arial" w:eastAsia="Times New Roman" w:hAnsi="Arial" w:cs="Arial"/>
        </w:rPr>
        <w:t xml:space="preserve"> </w:t>
      </w:r>
      <w:r w:rsidR="00814D21">
        <w:rPr>
          <w:rFonts w:ascii="Arial" w:eastAsia="Times New Roman" w:hAnsi="Arial" w:cs="Arial"/>
        </w:rPr>
        <w:t>The secondary endpoints were c</w:t>
      </w:r>
      <w:r w:rsidR="00814D21" w:rsidRPr="00814D21">
        <w:rPr>
          <w:rFonts w:ascii="Arial" w:eastAsia="Times New Roman" w:hAnsi="Arial" w:cs="Arial"/>
        </w:rPr>
        <w:t>linical remission at Week 6</w:t>
      </w:r>
      <w:r w:rsidR="00814D21">
        <w:rPr>
          <w:rFonts w:ascii="Arial" w:eastAsia="Times New Roman" w:hAnsi="Arial" w:cs="Arial"/>
        </w:rPr>
        <w:t xml:space="preserve"> (</w:t>
      </w:r>
      <w:r w:rsidR="00814D21" w:rsidRPr="00AC1807">
        <w:rPr>
          <w:rFonts w:ascii="Arial" w:eastAsia="Times New Roman" w:hAnsi="Arial" w:cs="Arial"/>
        </w:rPr>
        <w:t>defined as</w:t>
      </w:r>
      <w:r w:rsidR="00814D21">
        <w:rPr>
          <w:rFonts w:ascii="Arial" w:eastAsia="Times New Roman" w:hAnsi="Arial" w:cs="Arial"/>
        </w:rPr>
        <w:t xml:space="preserve"> c</w:t>
      </w:r>
      <w:r w:rsidR="00814D21" w:rsidRPr="00814D21">
        <w:rPr>
          <w:rFonts w:ascii="Arial" w:eastAsia="Times New Roman" w:hAnsi="Arial" w:cs="Arial"/>
        </w:rPr>
        <w:t xml:space="preserve">omplete Mayo score of </w:t>
      </w:r>
      <w:r w:rsidR="00814D21" w:rsidRPr="00814D21">
        <w:rPr>
          <w:rFonts w:ascii="Arial" w:eastAsia="Times New Roman" w:hAnsi="Arial" w:cs="Arial"/>
        </w:rPr>
        <w:lastRenderedPageBreak/>
        <w:t>≤2 points and no individual subscore &gt;1 point</w:t>
      </w:r>
      <w:r w:rsidR="00814D21">
        <w:rPr>
          <w:rFonts w:ascii="Arial" w:eastAsia="Times New Roman" w:hAnsi="Arial" w:cs="Arial"/>
        </w:rPr>
        <w:t>) and m</w:t>
      </w:r>
      <w:r w:rsidR="00814D21" w:rsidRPr="00814D21">
        <w:rPr>
          <w:rFonts w:ascii="Arial" w:eastAsia="Times New Roman" w:hAnsi="Arial" w:cs="Arial"/>
        </w:rPr>
        <w:t>ucosal healing at Week 6</w:t>
      </w:r>
      <w:r w:rsidR="00814D21">
        <w:rPr>
          <w:rFonts w:ascii="Arial" w:eastAsia="Times New Roman" w:hAnsi="Arial" w:cs="Arial"/>
        </w:rPr>
        <w:t xml:space="preserve"> (</w:t>
      </w:r>
      <w:r w:rsidR="00814D21" w:rsidRPr="00AC1807">
        <w:rPr>
          <w:rFonts w:ascii="Arial" w:eastAsia="Times New Roman" w:hAnsi="Arial" w:cs="Arial"/>
        </w:rPr>
        <w:t>defined as</w:t>
      </w:r>
      <w:r w:rsidR="00814D21" w:rsidRPr="00814D21">
        <w:rPr>
          <w:rFonts w:ascii="Arial" w:eastAsia="Times New Roman" w:hAnsi="Arial" w:cs="Arial"/>
        </w:rPr>
        <w:t xml:space="preserve"> Mayo endoscopic subscore of ≤1 point</w:t>
      </w:r>
      <w:r w:rsidR="00814D21">
        <w:rPr>
          <w:rFonts w:ascii="Arial" w:eastAsia="Times New Roman" w:hAnsi="Arial" w:cs="Arial"/>
        </w:rPr>
        <w:t>)</w:t>
      </w:r>
      <w:r w:rsidR="00814D21" w:rsidRPr="00814D21">
        <w:rPr>
          <w:rFonts w:ascii="Arial" w:eastAsia="Times New Roman" w:hAnsi="Arial" w:cs="Arial"/>
        </w:rPr>
        <w:t>.</w:t>
      </w:r>
    </w:p>
    <w:p w:rsidR="001E4505" w:rsidRDefault="00D041C0" w:rsidP="00AC1807">
      <w:pPr>
        <w:spacing w:after="240" w:line="240" w:lineRule="auto"/>
        <w:jc w:val="both"/>
        <w:rPr>
          <w:rFonts w:ascii="Arial" w:eastAsia="Times New Roman" w:hAnsi="Arial" w:cs="Arial"/>
        </w:rPr>
      </w:pPr>
      <w:r>
        <w:rPr>
          <w:rFonts w:ascii="Arial" w:eastAsia="Times New Roman" w:hAnsi="Arial" w:cs="Arial"/>
        </w:rPr>
        <w:t>In GEMINI I, a greater percentage of patients treated with vedolizumab compared to patients treated with place</w:t>
      </w:r>
      <w:r w:rsidR="00AD52E5">
        <w:rPr>
          <w:rFonts w:ascii="Arial" w:eastAsia="Times New Roman" w:hAnsi="Arial" w:cs="Arial"/>
        </w:rPr>
        <w:t>b</w:t>
      </w:r>
      <w:r>
        <w:rPr>
          <w:rFonts w:ascii="Arial" w:eastAsia="Times New Roman" w:hAnsi="Arial" w:cs="Arial"/>
        </w:rPr>
        <w:t xml:space="preserve">o achieved clinical response, clinical remission, and mucosal healing at Week 6. </w:t>
      </w:r>
      <w:r w:rsidR="003B16BB" w:rsidRPr="00AC1807">
        <w:rPr>
          <w:rFonts w:ascii="Arial" w:eastAsia="Times New Roman" w:hAnsi="Arial" w:cs="Arial"/>
        </w:rPr>
        <w:t xml:space="preserve"> </w:t>
      </w:r>
      <w:r w:rsidR="008B3743">
        <w:rPr>
          <w:rFonts w:ascii="Arial" w:eastAsia="Times New Roman" w:hAnsi="Arial" w:cs="Arial"/>
        </w:rPr>
        <w:t xml:space="preserve">Table 1 </w:t>
      </w:r>
      <w:r w:rsidR="003B16BB" w:rsidRPr="00AC1807">
        <w:rPr>
          <w:rFonts w:ascii="Arial" w:eastAsia="Times New Roman" w:hAnsi="Arial" w:cs="Arial"/>
        </w:rPr>
        <w:t>shows the results from the primary and secondary endpoints evaluated.</w:t>
      </w:r>
    </w:p>
    <w:p w:rsidR="001E4505" w:rsidRDefault="001E4505">
      <w:pPr>
        <w:rPr>
          <w:rFonts w:ascii="Arial" w:eastAsia="Times New Roman" w:hAnsi="Arial" w:cs="Arial"/>
        </w:rPr>
      </w:pPr>
      <w:r>
        <w:rPr>
          <w:rFonts w:ascii="Arial" w:eastAsia="Times New Roman" w:hAnsi="Arial" w:cs="Arial"/>
        </w:rPr>
        <w:br w:type="page"/>
      </w:r>
    </w:p>
    <w:tbl>
      <w:tblPr>
        <w:tblW w:w="7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890"/>
        <w:gridCol w:w="1890"/>
      </w:tblGrid>
      <w:tr w:rsidR="00EC6A5C" w:rsidRPr="00404049" w:rsidTr="002D7716">
        <w:trPr>
          <w:tblHeader/>
          <w:jc w:val="center"/>
        </w:trPr>
        <w:tc>
          <w:tcPr>
            <w:tcW w:w="7218" w:type="dxa"/>
            <w:gridSpan w:val="3"/>
            <w:tcBorders>
              <w:top w:val="nil"/>
              <w:left w:val="nil"/>
              <w:right w:val="nil"/>
            </w:tcBorders>
            <w:vAlign w:val="bottom"/>
          </w:tcPr>
          <w:p w:rsidR="00EC6A5C" w:rsidRPr="00404049" w:rsidRDefault="00EC6A5C" w:rsidP="00404049">
            <w:pPr>
              <w:pStyle w:val="Caption"/>
              <w:ind w:left="973" w:hanging="973"/>
              <w:rPr>
                <w:rFonts w:ascii="Arial" w:hAnsi="Arial" w:cs="Arial"/>
                <w:sz w:val="20"/>
                <w:szCs w:val="20"/>
              </w:rPr>
            </w:pPr>
            <w:bookmarkStart w:id="2" w:name="_Ref350430887"/>
            <w:bookmarkEnd w:id="1"/>
            <w:r w:rsidRPr="00404049">
              <w:rPr>
                <w:rFonts w:ascii="Arial" w:hAnsi="Arial" w:cs="Arial"/>
                <w:sz w:val="20"/>
                <w:szCs w:val="20"/>
              </w:rPr>
              <w:lastRenderedPageBreak/>
              <w:t xml:space="preserve">Table </w:t>
            </w:r>
            <w:r w:rsidR="0051470C" w:rsidRPr="00404049">
              <w:rPr>
                <w:rFonts w:ascii="Arial" w:hAnsi="Arial" w:cs="Arial"/>
                <w:sz w:val="20"/>
                <w:szCs w:val="20"/>
              </w:rPr>
              <w:fldChar w:fldCharType="begin"/>
            </w:r>
            <w:r w:rsidRPr="00404049">
              <w:rPr>
                <w:rFonts w:ascii="Arial" w:hAnsi="Arial" w:cs="Arial"/>
                <w:sz w:val="20"/>
                <w:szCs w:val="20"/>
              </w:rPr>
              <w:instrText xml:space="preserve"> SEQ Table \* ARABIC </w:instrText>
            </w:r>
            <w:r w:rsidR="0051470C" w:rsidRPr="00404049">
              <w:rPr>
                <w:rFonts w:ascii="Arial" w:hAnsi="Arial" w:cs="Arial"/>
                <w:sz w:val="20"/>
                <w:szCs w:val="20"/>
              </w:rPr>
              <w:fldChar w:fldCharType="separate"/>
            </w:r>
            <w:r w:rsidR="00B95525">
              <w:rPr>
                <w:rFonts w:ascii="Arial" w:hAnsi="Arial" w:cs="Arial"/>
                <w:noProof/>
                <w:sz w:val="20"/>
                <w:szCs w:val="20"/>
              </w:rPr>
              <w:t>1</w:t>
            </w:r>
            <w:r w:rsidR="0051470C" w:rsidRPr="00404049">
              <w:rPr>
                <w:rFonts w:ascii="Arial" w:hAnsi="Arial" w:cs="Arial"/>
                <w:sz w:val="20"/>
                <w:szCs w:val="20"/>
              </w:rPr>
              <w:fldChar w:fldCharType="end"/>
            </w:r>
            <w:bookmarkEnd w:id="2"/>
            <w:r>
              <w:rPr>
                <w:rFonts w:ascii="Arial" w:hAnsi="Arial" w:cs="Arial"/>
                <w:sz w:val="20"/>
                <w:szCs w:val="20"/>
              </w:rPr>
              <w:tab/>
            </w:r>
            <w:r w:rsidRPr="00404049">
              <w:rPr>
                <w:rFonts w:ascii="Arial" w:hAnsi="Arial" w:cs="Arial"/>
                <w:sz w:val="20"/>
                <w:szCs w:val="20"/>
              </w:rPr>
              <w:t>Week 6 Efficacy Results of GEMINI I</w:t>
            </w:r>
          </w:p>
        </w:tc>
      </w:tr>
      <w:tr w:rsidR="002D7716" w:rsidRPr="00404049" w:rsidTr="003829C0">
        <w:trPr>
          <w:tblHeader/>
          <w:jc w:val="center"/>
        </w:trPr>
        <w:tc>
          <w:tcPr>
            <w:tcW w:w="3438" w:type="dxa"/>
            <w:vAlign w:val="bottom"/>
          </w:tcPr>
          <w:p w:rsidR="002D7716" w:rsidRPr="00404049" w:rsidRDefault="002D7716" w:rsidP="00AC1807">
            <w:pPr>
              <w:pStyle w:val="table-heading-9"/>
              <w:keepLines/>
              <w:rPr>
                <w:rFonts w:ascii="Arial" w:hAnsi="Arial" w:cs="Arial"/>
                <w:b w:val="0"/>
                <w:sz w:val="20"/>
                <w:szCs w:val="20"/>
              </w:rPr>
            </w:pPr>
            <w:r w:rsidRPr="00404049">
              <w:rPr>
                <w:rFonts w:ascii="Arial" w:hAnsi="Arial" w:cs="Arial"/>
                <w:b w:val="0"/>
                <w:sz w:val="20"/>
                <w:szCs w:val="20"/>
              </w:rPr>
              <w:t>Endpoint</w:t>
            </w:r>
          </w:p>
        </w:tc>
        <w:tc>
          <w:tcPr>
            <w:tcW w:w="1890" w:type="dxa"/>
            <w:vAlign w:val="bottom"/>
          </w:tcPr>
          <w:p w:rsidR="002D7716" w:rsidRPr="00404049" w:rsidRDefault="002D7716" w:rsidP="00AC1807">
            <w:pPr>
              <w:pStyle w:val="table-heading-9centered"/>
              <w:keepLines/>
              <w:rPr>
                <w:rFonts w:ascii="Arial" w:hAnsi="Arial" w:cs="Arial"/>
                <w:b w:val="0"/>
                <w:sz w:val="20"/>
                <w:szCs w:val="20"/>
              </w:rPr>
            </w:pPr>
            <w:r w:rsidRPr="00404049">
              <w:rPr>
                <w:rFonts w:ascii="Arial" w:hAnsi="Arial" w:cs="Arial"/>
                <w:b w:val="0"/>
                <w:sz w:val="20"/>
                <w:szCs w:val="20"/>
              </w:rPr>
              <w:t>Placebo</w:t>
            </w:r>
            <w:r w:rsidRPr="00404049">
              <w:rPr>
                <w:rFonts w:ascii="Arial" w:hAnsi="Arial" w:cs="Arial"/>
                <w:b w:val="0"/>
                <w:sz w:val="20"/>
                <w:szCs w:val="20"/>
              </w:rPr>
              <w:br/>
              <w:t>N=149</w:t>
            </w:r>
          </w:p>
        </w:tc>
        <w:tc>
          <w:tcPr>
            <w:tcW w:w="1890" w:type="dxa"/>
            <w:vAlign w:val="bottom"/>
          </w:tcPr>
          <w:p w:rsidR="002D7716" w:rsidRPr="00404049" w:rsidRDefault="002D7716" w:rsidP="00AC1807">
            <w:pPr>
              <w:pStyle w:val="table-heading-9centered"/>
              <w:keepLines/>
              <w:rPr>
                <w:rFonts w:ascii="Arial" w:hAnsi="Arial" w:cs="Arial"/>
                <w:b w:val="0"/>
                <w:sz w:val="20"/>
                <w:szCs w:val="20"/>
              </w:rPr>
            </w:pPr>
            <w:r w:rsidRPr="00404049">
              <w:rPr>
                <w:rFonts w:ascii="Arial" w:hAnsi="Arial" w:cs="Arial"/>
                <w:b w:val="0"/>
                <w:sz w:val="20"/>
                <w:szCs w:val="20"/>
              </w:rPr>
              <w:t>Vedolizumab</w:t>
            </w:r>
            <w:r w:rsidRPr="00404049">
              <w:rPr>
                <w:rFonts w:ascii="Arial" w:hAnsi="Arial" w:cs="Arial"/>
                <w:b w:val="0"/>
                <w:sz w:val="20"/>
                <w:szCs w:val="20"/>
              </w:rPr>
              <w:br/>
              <w:t>N=225</w:t>
            </w:r>
          </w:p>
        </w:tc>
      </w:tr>
      <w:tr w:rsidR="002D7716" w:rsidRPr="00404049" w:rsidTr="002D7716">
        <w:trPr>
          <w:jc w:val="center"/>
        </w:trPr>
        <w:tc>
          <w:tcPr>
            <w:tcW w:w="3438" w:type="dxa"/>
          </w:tcPr>
          <w:p w:rsidR="002D7716" w:rsidRPr="00404049" w:rsidRDefault="002D7716" w:rsidP="00AC1807">
            <w:pPr>
              <w:pStyle w:val="table-body-9"/>
              <w:keepNext/>
              <w:keepLines/>
              <w:rPr>
                <w:rFonts w:ascii="Arial" w:hAnsi="Arial" w:cs="Arial"/>
                <w:sz w:val="20"/>
                <w:szCs w:val="20"/>
              </w:rPr>
            </w:pPr>
            <w:r w:rsidRPr="00404049">
              <w:rPr>
                <w:rFonts w:ascii="Arial" w:hAnsi="Arial" w:cs="Arial"/>
                <w:sz w:val="20"/>
                <w:szCs w:val="20"/>
              </w:rPr>
              <w:t>Clinical response</w:t>
            </w:r>
          </w:p>
        </w:tc>
        <w:tc>
          <w:tcPr>
            <w:tcW w:w="1890" w:type="dxa"/>
          </w:tcPr>
          <w:p w:rsidR="002D7716" w:rsidRPr="00404049" w:rsidRDefault="002D7716" w:rsidP="00AC1807">
            <w:pPr>
              <w:pStyle w:val="EUtablebody-9centered"/>
              <w:keepNext/>
              <w:keepLines/>
              <w:rPr>
                <w:rFonts w:ascii="Arial" w:hAnsi="Arial" w:cs="Arial"/>
                <w:sz w:val="20"/>
                <w:szCs w:val="20"/>
              </w:rPr>
            </w:pPr>
            <w:r w:rsidRPr="00404049">
              <w:rPr>
                <w:rFonts w:ascii="Arial" w:hAnsi="Arial" w:cs="Arial"/>
                <w:sz w:val="20"/>
                <w:szCs w:val="20"/>
              </w:rPr>
              <w:t>26%</w:t>
            </w:r>
          </w:p>
        </w:tc>
        <w:tc>
          <w:tcPr>
            <w:tcW w:w="1890" w:type="dxa"/>
            <w:vAlign w:val="bottom"/>
          </w:tcPr>
          <w:p w:rsidR="002D7716" w:rsidRPr="00404049" w:rsidRDefault="002D7716" w:rsidP="00AC1807">
            <w:pPr>
              <w:pStyle w:val="EUtablebody-9centered"/>
              <w:keepNext/>
              <w:keepLines/>
              <w:rPr>
                <w:rFonts w:ascii="Arial" w:hAnsi="Arial" w:cs="Arial"/>
                <w:sz w:val="20"/>
                <w:szCs w:val="20"/>
              </w:rPr>
            </w:pPr>
            <w:r w:rsidRPr="00404049">
              <w:rPr>
                <w:rFonts w:ascii="Arial" w:hAnsi="Arial" w:cs="Arial"/>
                <w:sz w:val="20"/>
                <w:szCs w:val="20"/>
              </w:rPr>
              <w:t>47%*</w:t>
            </w:r>
          </w:p>
        </w:tc>
      </w:tr>
      <w:tr w:rsidR="002D7716" w:rsidRPr="00404049" w:rsidTr="002D7716">
        <w:trPr>
          <w:jc w:val="center"/>
        </w:trPr>
        <w:tc>
          <w:tcPr>
            <w:tcW w:w="3438" w:type="dxa"/>
          </w:tcPr>
          <w:p w:rsidR="002D7716" w:rsidRPr="00404049" w:rsidRDefault="002D7716" w:rsidP="001E4505">
            <w:pPr>
              <w:pStyle w:val="table-body-9"/>
              <w:rPr>
                <w:rFonts w:ascii="Arial" w:hAnsi="Arial" w:cs="Arial"/>
                <w:sz w:val="20"/>
                <w:szCs w:val="20"/>
              </w:rPr>
            </w:pPr>
            <w:r w:rsidRPr="00404049">
              <w:rPr>
                <w:rFonts w:ascii="Arial" w:hAnsi="Arial" w:cs="Arial"/>
                <w:sz w:val="20"/>
                <w:szCs w:val="20"/>
              </w:rPr>
              <w:t>Clinical remission</w:t>
            </w:r>
          </w:p>
        </w:tc>
        <w:tc>
          <w:tcPr>
            <w:tcW w:w="1890" w:type="dxa"/>
          </w:tcPr>
          <w:p w:rsidR="002D7716" w:rsidRPr="00404049" w:rsidRDefault="002D7716" w:rsidP="00AC1807">
            <w:pPr>
              <w:pStyle w:val="EUtablebody-9centered"/>
              <w:keepNext/>
              <w:keepLines/>
              <w:rPr>
                <w:rFonts w:ascii="Arial" w:hAnsi="Arial" w:cs="Arial"/>
                <w:sz w:val="20"/>
                <w:szCs w:val="20"/>
              </w:rPr>
            </w:pPr>
            <w:r w:rsidRPr="00404049">
              <w:rPr>
                <w:rFonts w:ascii="Arial" w:hAnsi="Arial" w:cs="Arial"/>
                <w:sz w:val="20"/>
                <w:szCs w:val="20"/>
              </w:rPr>
              <w:t>5%</w:t>
            </w:r>
          </w:p>
        </w:tc>
        <w:tc>
          <w:tcPr>
            <w:tcW w:w="1890" w:type="dxa"/>
            <w:vAlign w:val="bottom"/>
          </w:tcPr>
          <w:p w:rsidR="002D7716" w:rsidRPr="00404049" w:rsidRDefault="002D7716" w:rsidP="00AC1807">
            <w:pPr>
              <w:pStyle w:val="EUtablebody-9centered"/>
              <w:keepNext/>
              <w:keepLines/>
              <w:rPr>
                <w:rFonts w:ascii="Arial" w:hAnsi="Arial" w:cs="Arial"/>
                <w:sz w:val="20"/>
                <w:szCs w:val="20"/>
              </w:rPr>
            </w:pPr>
            <w:r w:rsidRPr="00404049">
              <w:rPr>
                <w:rFonts w:ascii="Arial" w:hAnsi="Arial" w:cs="Arial"/>
                <w:sz w:val="20"/>
                <w:szCs w:val="20"/>
              </w:rPr>
              <w:t>17%</w:t>
            </w:r>
            <w:r w:rsidRPr="00404049">
              <w:rPr>
                <w:rFonts w:ascii="Arial" w:hAnsi="Arial" w:cs="Arial"/>
                <w:sz w:val="20"/>
                <w:szCs w:val="20"/>
                <w:vertAlign w:val="superscript"/>
              </w:rPr>
              <w:t>†</w:t>
            </w:r>
          </w:p>
        </w:tc>
      </w:tr>
      <w:tr w:rsidR="002D7716" w:rsidRPr="00404049" w:rsidTr="002D7716">
        <w:trPr>
          <w:jc w:val="center"/>
        </w:trPr>
        <w:tc>
          <w:tcPr>
            <w:tcW w:w="3438" w:type="dxa"/>
            <w:tcBorders>
              <w:bottom w:val="single" w:sz="4" w:space="0" w:color="auto"/>
            </w:tcBorders>
          </w:tcPr>
          <w:p w:rsidR="002D7716" w:rsidRPr="00404049" w:rsidRDefault="002D7716" w:rsidP="001E4505">
            <w:pPr>
              <w:pStyle w:val="table-body-9"/>
              <w:rPr>
                <w:rFonts w:ascii="Arial" w:hAnsi="Arial" w:cs="Arial"/>
                <w:sz w:val="20"/>
                <w:szCs w:val="20"/>
              </w:rPr>
            </w:pPr>
            <w:r w:rsidRPr="00404049">
              <w:rPr>
                <w:rFonts w:ascii="Arial" w:hAnsi="Arial" w:cs="Arial"/>
                <w:sz w:val="20"/>
                <w:szCs w:val="20"/>
              </w:rPr>
              <w:t>Mucosal healing</w:t>
            </w:r>
          </w:p>
        </w:tc>
        <w:tc>
          <w:tcPr>
            <w:tcW w:w="1890" w:type="dxa"/>
            <w:tcBorders>
              <w:bottom w:val="single" w:sz="4" w:space="0" w:color="auto"/>
            </w:tcBorders>
          </w:tcPr>
          <w:p w:rsidR="002D7716" w:rsidRPr="00404049" w:rsidRDefault="002D7716" w:rsidP="00AC1807">
            <w:pPr>
              <w:pStyle w:val="EUtablebody-9centered"/>
              <w:keepNext/>
              <w:keepLines/>
              <w:rPr>
                <w:rFonts w:ascii="Arial" w:hAnsi="Arial" w:cs="Arial"/>
                <w:sz w:val="20"/>
                <w:szCs w:val="20"/>
              </w:rPr>
            </w:pPr>
            <w:r w:rsidRPr="00404049">
              <w:rPr>
                <w:rFonts w:ascii="Arial" w:hAnsi="Arial" w:cs="Arial"/>
                <w:sz w:val="20"/>
                <w:szCs w:val="20"/>
              </w:rPr>
              <w:t>25%</w:t>
            </w:r>
          </w:p>
        </w:tc>
        <w:tc>
          <w:tcPr>
            <w:tcW w:w="1890" w:type="dxa"/>
            <w:tcBorders>
              <w:bottom w:val="single" w:sz="4" w:space="0" w:color="auto"/>
            </w:tcBorders>
            <w:vAlign w:val="bottom"/>
          </w:tcPr>
          <w:p w:rsidR="002D7716" w:rsidRPr="00404049" w:rsidRDefault="002D7716" w:rsidP="00AC1807">
            <w:pPr>
              <w:pStyle w:val="EUtablebody-9centered"/>
              <w:keepNext/>
              <w:keepLines/>
              <w:rPr>
                <w:rFonts w:ascii="Arial" w:hAnsi="Arial" w:cs="Arial"/>
                <w:sz w:val="20"/>
                <w:szCs w:val="20"/>
              </w:rPr>
            </w:pPr>
            <w:r w:rsidRPr="00404049">
              <w:rPr>
                <w:rFonts w:ascii="Arial" w:hAnsi="Arial" w:cs="Arial"/>
                <w:sz w:val="20"/>
                <w:szCs w:val="20"/>
              </w:rPr>
              <w:t>41%</w:t>
            </w:r>
            <w:r w:rsidRPr="00404049">
              <w:rPr>
                <w:rFonts w:ascii="Arial" w:hAnsi="Arial" w:cs="Arial"/>
                <w:sz w:val="20"/>
                <w:szCs w:val="20"/>
                <w:vertAlign w:val="superscript"/>
              </w:rPr>
              <w:t>‡</w:t>
            </w:r>
          </w:p>
        </w:tc>
      </w:tr>
      <w:tr w:rsidR="00EC6A5C" w:rsidRPr="00404049" w:rsidTr="002D7716">
        <w:trPr>
          <w:trHeight w:val="1188"/>
          <w:jc w:val="center"/>
        </w:trPr>
        <w:tc>
          <w:tcPr>
            <w:tcW w:w="7218" w:type="dxa"/>
            <w:gridSpan w:val="3"/>
            <w:tcBorders>
              <w:left w:val="nil"/>
              <w:bottom w:val="nil"/>
              <w:right w:val="nil"/>
            </w:tcBorders>
          </w:tcPr>
          <w:p w:rsidR="00EC6A5C" w:rsidRPr="00404049" w:rsidRDefault="00EC6A5C" w:rsidP="00404049">
            <w:pPr>
              <w:keepNext/>
              <w:keepLines/>
              <w:widowControl w:val="0"/>
              <w:spacing w:after="0" w:line="240" w:lineRule="auto"/>
              <w:ind w:left="232" w:hanging="232"/>
              <w:rPr>
                <w:rFonts w:ascii="Arial" w:hAnsi="Arial" w:cs="Arial"/>
                <w:sz w:val="18"/>
                <w:szCs w:val="18"/>
              </w:rPr>
            </w:pPr>
            <w:r w:rsidRPr="00404049">
              <w:rPr>
                <w:rFonts w:ascii="Arial" w:hAnsi="Arial" w:cs="Arial"/>
                <w:sz w:val="18"/>
                <w:szCs w:val="18"/>
              </w:rPr>
              <w:t>*p&lt;0.0001</w:t>
            </w:r>
          </w:p>
          <w:p w:rsidR="00EC6A5C" w:rsidRPr="00404049" w:rsidRDefault="00EC6A5C" w:rsidP="00404049">
            <w:pPr>
              <w:keepNext/>
              <w:keepLines/>
              <w:widowControl w:val="0"/>
              <w:spacing w:after="0" w:line="240" w:lineRule="auto"/>
              <w:ind w:left="232" w:hanging="232"/>
              <w:rPr>
                <w:rFonts w:ascii="Arial" w:hAnsi="Arial" w:cs="Arial"/>
                <w:sz w:val="18"/>
                <w:szCs w:val="18"/>
              </w:rPr>
            </w:pPr>
            <w:r w:rsidRPr="00404049">
              <w:rPr>
                <w:rFonts w:ascii="Arial" w:hAnsi="Arial" w:cs="Arial"/>
                <w:sz w:val="18"/>
                <w:szCs w:val="18"/>
                <w:vertAlign w:val="superscript"/>
              </w:rPr>
              <w:t>†</w:t>
            </w:r>
            <w:r w:rsidRPr="00404049">
              <w:rPr>
                <w:rFonts w:ascii="Arial" w:hAnsi="Arial" w:cs="Arial"/>
                <w:sz w:val="18"/>
                <w:szCs w:val="18"/>
              </w:rPr>
              <w:t>p&lt;0.001</w:t>
            </w:r>
          </w:p>
          <w:p w:rsidR="00EC6A5C" w:rsidRPr="00404049" w:rsidRDefault="00EC6A5C" w:rsidP="00404049">
            <w:pPr>
              <w:keepNext/>
              <w:keepLines/>
              <w:widowControl w:val="0"/>
              <w:spacing w:after="0" w:line="240" w:lineRule="auto"/>
              <w:ind w:left="232" w:hanging="232"/>
              <w:rPr>
                <w:rFonts w:ascii="Arial" w:hAnsi="Arial" w:cs="Arial"/>
                <w:sz w:val="20"/>
                <w:szCs w:val="20"/>
              </w:rPr>
            </w:pPr>
            <w:r w:rsidRPr="00404049">
              <w:rPr>
                <w:rFonts w:ascii="Arial" w:hAnsi="Arial" w:cs="Arial"/>
                <w:sz w:val="18"/>
                <w:szCs w:val="18"/>
                <w:vertAlign w:val="superscript"/>
              </w:rPr>
              <w:t>‡</w:t>
            </w:r>
            <w:r w:rsidRPr="00404049">
              <w:rPr>
                <w:rFonts w:ascii="Arial" w:hAnsi="Arial" w:cs="Arial"/>
                <w:sz w:val="18"/>
                <w:szCs w:val="18"/>
              </w:rPr>
              <w:t>p&lt;0.05</w:t>
            </w:r>
          </w:p>
        </w:tc>
      </w:tr>
    </w:tbl>
    <w:p w:rsidR="003B16BB" w:rsidRPr="00D041C0" w:rsidRDefault="00D041C0" w:rsidP="00B247D9">
      <w:pPr>
        <w:spacing w:after="240" w:line="240" w:lineRule="auto"/>
        <w:jc w:val="both"/>
        <w:rPr>
          <w:rFonts w:ascii="Arial" w:eastAsia="Times New Roman" w:hAnsi="Arial" w:cs="Arial"/>
        </w:rPr>
      </w:pPr>
      <w:r>
        <w:rPr>
          <w:rFonts w:ascii="Arial" w:eastAsia="Times New Roman" w:hAnsi="Arial" w:cs="Arial"/>
        </w:rPr>
        <w:t>In exploratory analyses, t</w:t>
      </w:r>
      <w:r w:rsidRPr="00D041C0">
        <w:rPr>
          <w:rFonts w:ascii="Arial" w:eastAsia="Times New Roman" w:hAnsi="Arial" w:cs="Arial"/>
        </w:rPr>
        <w:t xml:space="preserve">he </w:t>
      </w:r>
      <w:r w:rsidR="003B16BB" w:rsidRPr="00D041C0">
        <w:rPr>
          <w:rFonts w:ascii="Arial" w:eastAsia="Times New Roman" w:hAnsi="Arial" w:cs="Arial"/>
        </w:rPr>
        <w:t>beneficial effect of vedolizumab on clinical response, remission and mucosal healing was observed both in patients with no prior TNF</w:t>
      </w:r>
      <w:r w:rsidR="003B16BB" w:rsidRPr="00D041C0">
        <w:rPr>
          <w:rFonts w:ascii="Arial" w:eastAsia="Times New Roman" w:hAnsi="Arial" w:cs="Arial"/>
        </w:rPr>
        <w:sym w:font="Symbol" w:char="F061"/>
      </w:r>
      <w:r w:rsidR="003B16BB" w:rsidRPr="00D041C0">
        <w:rPr>
          <w:rFonts w:ascii="Arial" w:eastAsia="Times New Roman" w:hAnsi="Arial" w:cs="Arial"/>
        </w:rPr>
        <w:t xml:space="preserve"> antagonist exposure </w:t>
      </w:r>
      <w:r>
        <w:rPr>
          <w:rFonts w:ascii="Arial" w:eastAsia="Times New Roman" w:hAnsi="Arial" w:cs="Arial"/>
        </w:rPr>
        <w:t>and</w:t>
      </w:r>
      <w:r w:rsidR="003B16BB" w:rsidRPr="00D041C0">
        <w:rPr>
          <w:rFonts w:ascii="Arial" w:eastAsia="Times New Roman" w:hAnsi="Arial" w:cs="Arial"/>
        </w:rPr>
        <w:t xml:space="preserve"> in those who had failed prior TNF</w:t>
      </w:r>
      <w:r w:rsidR="003B16BB" w:rsidRPr="00D041C0">
        <w:rPr>
          <w:rFonts w:ascii="Arial" w:eastAsia="Times New Roman" w:hAnsi="Arial" w:cs="Arial"/>
        </w:rPr>
        <w:sym w:font="Symbol" w:char="F061"/>
      </w:r>
      <w:r w:rsidR="003B16BB" w:rsidRPr="00D041C0">
        <w:rPr>
          <w:rFonts w:ascii="Arial" w:eastAsia="Times New Roman" w:hAnsi="Arial" w:cs="Arial"/>
        </w:rPr>
        <w:t xml:space="preserve"> antagonist therapy.</w:t>
      </w:r>
    </w:p>
    <w:p w:rsidR="00634D75" w:rsidRPr="00634D75" w:rsidRDefault="00634D75" w:rsidP="00666ADD">
      <w:pPr>
        <w:spacing w:after="240" w:line="240" w:lineRule="auto"/>
        <w:jc w:val="both"/>
        <w:rPr>
          <w:rFonts w:ascii="Arial" w:eastAsia="Times New Roman" w:hAnsi="Arial" w:cs="Arial"/>
          <w:u w:val="single"/>
        </w:rPr>
      </w:pPr>
      <w:r w:rsidRPr="00634D75">
        <w:rPr>
          <w:rFonts w:ascii="Arial" w:eastAsia="Times New Roman" w:hAnsi="Arial" w:cs="Arial"/>
          <w:u w:val="single"/>
        </w:rPr>
        <w:t>Mai</w:t>
      </w:r>
      <w:r w:rsidR="00F03523">
        <w:rPr>
          <w:rFonts w:ascii="Arial" w:eastAsia="Times New Roman" w:hAnsi="Arial" w:cs="Arial"/>
          <w:u w:val="single"/>
        </w:rPr>
        <w:t>n</w:t>
      </w:r>
      <w:r w:rsidRPr="00634D75">
        <w:rPr>
          <w:rFonts w:ascii="Arial" w:eastAsia="Times New Roman" w:hAnsi="Arial" w:cs="Arial"/>
          <w:u w:val="single"/>
        </w:rPr>
        <w:t>tenance</w:t>
      </w:r>
    </w:p>
    <w:p w:rsidR="00822250" w:rsidRDefault="003B16BB" w:rsidP="001E0340">
      <w:pPr>
        <w:spacing w:after="240" w:line="240" w:lineRule="auto"/>
        <w:jc w:val="both"/>
        <w:rPr>
          <w:rFonts w:ascii="Arial" w:eastAsia="Times New Roman" w:hAnsi="Arial" w:cs="Arial"/>
        </w:rPr>
      </w:pPr>
      <w:r w:rsidRPr="00666ADD">
        <w:rPr>
          <w:rFonts w:ascii="Arial" w:eastAsia="Times New Roman" w:hAnsi="Arial" w:cs="Arial"/>
        </w:rPr>
        <w:t>In GEMINI I, two cohorts of patients received vedolizumab at Week 0 and Week 2: cohort 1 patients were randomised to receive either vedolizumab 300 mg or placebo in a double</w:t>
      </w:r>
      <w:r w:rsidRPr="00666ADD">
        <w:rPr>
          <w:rFonts w:ascii="Arial" w:eastAsia="Times New Roman" w:hAnsi="Arial" w:cs="Arial"/>
        </w:rPr>
        <w:noBreakHyphen/>
        <w:t>blind fashion, and cohort 2 patients were treated with open</w:t>
      </w:r>
      <w:r w:rsidRPr="00666ADD">
        <w:rPr>
          <w:rFonts w:ascii="Arial" w:eastAsia="Times New Roman" w:hAnsi="Arial" w:cs="Arial"/>
        </w:rPr>
        <w:noBreakHyphen/>
        <w:t>label vedolizumab 300 mg. To evaluate efficacy at Week 52, 373 patients from cohort 1 and 2 who were treated with vedolizumab and had achieved clinical response at Week 6 were randomised in a double</w:t>
      </w:r>
      <w:r w:rsidRPr="00666ADD">
        <w:rPr>
          <w:rFonts w:ascii="Arial" w:eastAsia="Times New Roman" w:hAnsi="Arial" w:cs="Arial"/>
        </w:rPr>
        <w:noBreakHyphen/>
        <w:t xml:space="preserve">blind fashion (1:1:1) to one of the following regimens beginning at Week 6: </w:t>
      </w:r>
      <w:r w:rsidR="00AF017E" w:rsidRPr="00666ADD">
        <w:rPr>
          <w:rFonts w:ascii="Arial" w:eastAsia="Times New Roman" w:hAnsi="Arial" w:cs="Arial"/>
        </w:rPr>
        <w:t>placebo every four weeks</w:t>
      </w:r>
      <w:r w:rsidR="00AF017E">
        <w:rPr>
          <w:rFonts w:ascii="Arial" w:eastAsia="Times New Roman" w:hAnsi="Arial" w:cs="Arial"/>
        </w:rPr>
        <w:t>,</w:t>
      </w:r>
      <w:r w:rsidR="00AF017E" w:rsidRPr="00666ADD">
        <w:rPr>
          <w:rFonts w:ascii="Arial" w:eastAsia="Times New Roman" w:hAnsi="Arial" w:cs="Arial"/>
        </w:rPr>
        <w:t xml:space="preserve"> </w:t>
      </w:r>
      <w:r w:rsidRPr="00666ADD">
        <w:rPr>
          <w:rFonts w:ascii="Arial" w:eastAsia="Times New Roman" w:hAnsi="Arial" w:cs="Arial"/>
        </w:rPr>
        <w:t>vedolizumab 300 mg every eight weeks</w:t>
      </w:r>
      <w:r w:rsidR="00AF017E">
        <w:rPr>
          <w:rFonts w:ascii="Arial" w:eastAsia="Times New Roman" w:hAnsi="Arial" w:cs="Arial"/>
        </w:rPr>
        <w:t xml:space="preserve"> or</w:t>
      </w:r>
      <w:r w:rsidR="00AF017E" w:rsidRPr="00666ADD">
        <w:rPr>
          <w:rFonts w:ascii="Arial" w:eastAsia="Times New Roman" w:hAnsi="Arial" w:cs="Arial"/>
        </w:rPr>
        <w:t xml:space="preserve"> </w:t>
      </w:r>
      <w:r w:rsidRPr="00666ADD">
        <w:rPr>
          <w:rFonts w:ascii="Arial" w:eastAsia="Times New Roman" w:hAnsi="Arial" w:cs="Arial"/>
        </w:rPr>
        <w:t xml:space="preserve">vedolizumab 300 mg every four weeks. </w:t>
      </w:r>
      <w:r w:rsidR="006E2A3E">
        <w:rPr>
          <w:rFonts w:ascii="Arial" w:eastAsia="Times New Roman" w:hAnsi="Arial" w:cs="Arial"/>
        </w:rPr>
        <w:t>Concomitant medications were permitted, and patients received corticosteroids (61%), immunomodulators (32%), and aminosalicylates (75%).</w:t>
      </w:r>
      <w:r w:rsidR="006E2A3E" w:rsidRPr="00666ADD">
        <w:rPr>
          <w:rFonts w:ascii="Arial" w:eastAsia="Times New Roman" w:hAnsi="Arial" w:cs="Arial"/>
        </w:rPr>
        <w:t xml:space="preserve"> </w:t>
      </w:r>
      <w:r w:rsidRPr="00666ADD">
        <w:rPr>
          <w:rFonts w:ascii="Arial" w:eastAsia="Times New Roman" w:hAnsi="Arial" w:cs="Arial"/>
        </w:rPr>
        <w:t xml:space="preserve">Beginning at Week 6, patients who had achieved clinical response and were receiving corticosteroids were required to begin a corticosteroid tapering regimen. </w:t>
      </w:r>
      <w:r w:rsidR="00822250">
        <w:rPr>
          <w:rFonts w:ascii="Arial" w:eastAsia="Times New Roman" w:hAnsi="Arial" w:cs="Arial"/>
        </w:rPr>
        <w:t>The p</w:t>
      </w:r>
      <w:r w:rsidRPr="00666ADD">
        <w:rPr>
          <w:rFonts w:ascii="Arial" w:eastAsia="Times New Roman" w:hAnsi="Arial" w:cs="Arial"/>
        </w:rPr>
        <w:t xml:space="preserve">rimary endpoint was the proportion of patients in clinical remission at Week 52. </w:t>
      </w:r>
      <w:r w:rsidR="006E2A3E">
        <w:rPr>
          <w:rFonts w:ascii="Arial" w:eastAsia="Times New Roman" w:hAnsi="Arial" w:cs="Arial"/>
        </w:rPr>
        <w:t xml:space="preserve"> </w:t>
      </w:r>
      <w:r w:rsidR="00822250">
        <w:rPr>
          <w:rFonts w:ascii="Arial" w:eastAsia="Times New Roman" w:hAnsi="Arial" w:cs="Arial"/>
        </w:rPr>
        <w:t xml:space="preserve">The secondary endpoints were </w:t>
      </w:r>
      <w:r w:rsidR="00B93162">
        <w:rPr>
          <w:rFonts w:ascii="Arial" w:eastAsia="Times New Roman" w:hAnsi="Arial" w:cs="Arial"/>
        </w:rPr>
        <w:t>d</w:t>
      </w:r>
      <w:r w:rsidR="00822250" w:rsidRPr="00822250">
        <w:rPr>
          <w:rFonts w:ascii="Arial" w:eastAsia="Times New Roman" w:hAnsi="Arial" w:cs="Arial"/>
        </w:rPr>
        <w:t xml:space="preserve">urable clinical response </w:t>
      </w:r>
      <w:r w:rsidR="00822250">
        <w:rPr>
          <w:rFonts w:ascii="Arial" w:eastAsia="Times New Roman" w:hAnsi="Arial" w:cs="Arial"/>
        </w:rPr>
        <w:t>(defined as c</w:t>
      </w:r>
      <w:r w:rsidR="00822250" w:rsidRPr="00822250">
        <w:rPr>
          <w:rFonts w:ascii="Arial" w:eastAsia="Times New Roman" w:hAnsi="Arial" w:cs="Arial"/>
        </w:rPr>
        <w:t>linical response at both Weeks 6 and 52</w:t>
      </w:r>
      <w:r w:rsidR="00822250">
        <w:rPr>
          <w:rFonts w:ascii="Arial" w:eastAsia="Times New Roman" w:hAnsi="Arial" w:cs="Arial"/>
        </w:rPr>
        <w:t>), m</w:t>
      </w:r>
      <w:r w:rsidR="00822250" w:rsidRPr="00822250">
        <w:rPr>
          <w:rFonts w:ascii="Arial" w:eastAsia="Times New Roman" w:hAnsi="Arial" w:cs="Arial"/>
        </w:rPr>
        <w:t xml:space="preserve">ucosal healing at Week 52 </w:t>
      </w:r>
      <w:r w:rsidR="00822250">
        <w:rPr>
          <w:rFonts w:ascii="Arial" w:eastAsia="Times New Roman" w:hAnsi="Arial" w:cs="Arial"/>
        </w:rPr>
        <w:t xml:space="preserve">(defined as </w:t>
      </w:r>
      <w:r w:rsidR="00822250" w:rsidRPr="00822250">
        <w:rPr>
          <w:rFonts w:ascii="Arial" w:eastAsia="Times New Roman" w:hAnsi="Arial" w:cs="Arial"/>
        </w:rPr>
        <w:t>Mayo endoscopic subscore of ≤ 1 point</w:t>
      </w:r>
      <w:r w:rsidR="00822250">
        <w:rPr>
          <w:rFonts w:ascii="Arial" w:eastAsia="Times New Roman" w:hAnsi="Arial" w:cs="Arial"/>
        </w:rPr>
        <w:t>), d</w:t>
      </w:r>
      <w:r w:rsidR="00822250" w:rsidRPr="00822250">
        <w:rPr>
          <w:rFonts w:ascii="Arial" w:eastAsia="Times New Roman" w:hAnsi="Arial" w:cs="Arial"/>
        </w:rPr>
        <w:t>urable clinical remission</w:t>
      </w:r>
      <w:r w:rsidR="00822250">
        <w:rPr>
          <w:rFonts w:ascii="Arial" w:eastAsia="Times New Roman" w:hAnsi="Arial" w:cs="Arial"/>
        </w:rPr>
        <w:t xml:space="preserve"> (defined as c</w:t>
      </w:r>
      <w:r w:rsidR="00822250" w:rsidRPr="00822250">
        <w:rPr>
          <w:rFonts w:ascii="Arial" w:eastAsia="Times New Roman" w:hAnsi="Arial" w:cs="Arial"/>
        </w:rPr>
        <w:t>linical remission at both Weeks 6 and 52</w:t>
      </w:r>
      <w:r w:rsidR="00822250">
        <w:rPr>
          <w:rFonts w:ascii="Arial" w:eastAsia="Times New Roman" w:hAnsi="Arial" w:cs="Arial"/>
        </w:rPr>
        <w:t>)</w:t>
      </w:r>
      <w:r w:rsidR="001E0340">
        <w:rPr>
          <w:rFonts w:ascii="Arial" w:eastAsia="Times New Roman" w:hAnsi="Arial" w:cs="Arial"/>
        </w:rPr>
        <w:t xml:space="preserve"> and </w:t>
      </w:r>
      <w:r w:rsidR="00B5103E">
        <w:rPr>
          <w:rFonts w:ascii="Arial" w:eastAsia="Times New Roman" w:hAnsi="Arial" w:cs="Arial"/>
        </w:rPr>
        <w:t>c</w:t>
      </w:r>
      <w:r w:rsidR="001E0340" w:rsidRPr="001E0340">
        <w:rPr>
          <w:rFonts w:ascii="Arial" w:eastAsia="Times New Roman" w:hAnsi="Arial" w:cs="Arial"/>
        </w:rPr>
        <w:t>orticosteroid-free remission at</w:t>
      </w:r>
      <w:r w:rsidR="001E0340">
        <w:rPr>
          <w:rFonts w:ascii="Arial" w:eastAsia="Times New Roman" w:hAnsi="Arial" w:cs="Arial"/>
        </w:rPr>
        <w:t xml:space="preserve"> </w:t>
      </w:r>
      <w:r w:rsidR="001E0340" w:rsidRPr="001E0340">
        <w:rPr>
          <w:rFonts w:ascii="Arial" w:eastAsia="Times New Roman" w:hAnsi="Arial" w:cs="Arial"/>
        </w:rPr>
        <w:t>Week 52</w:t>
      </w:r>
      <w:r w:rsidR="001E0340">
        <w:rPr>
          <w:rFonts w:ascii="Arial" w:eastAsia="Times New Roman" w:hAnsi="Arial" w:cs="Arial"/>
        </w:rPr>
        <w:t xml:space="preserve"> (defined as </w:t>
      </w:r>
      <w:r w:rsidR="00B5103E">
        <w:rPr>
          <w:rFonts w:ascii="Arial" w:eastAsia="Times New Roman" w:hAnsi="Arial" w:cs="Arial"/>
        </w:rPr>
        <w:t>p</w:t>
      </w:r>
      <w:r w:rsidR="001E0340" w:rsidRPr="001E0340">
        <w:rPr>
          <w:rFonts w:ascii="Arial" w:eastAsia="Times New Roman" w:hAnsi="Arial" w:cs="Arial"/>
        </w:rPr>
        <w:t>atients using oral corticosteroids at baseline who</w:t>
      </w:r>
      <w:r w:rsidR="001E0340">
        <w:rPr>
          <w:rFonts w:ascii="Arial" w:eastAsia="Times New Roman" w:hAnsi="Arial" w:cs="Arial"/>
        </w:rPr>
        <w:t xml:space="preserve"> </w:t>
      </w:r>
      <w:r w:rsidR="001E0340" w:rsidRPr="001E0340">
        <w:rPr>
          <w:rFonts w:ascii="Arial" w:eastAsia="Times New Roman" w:hAnsi="Arial" w:cs="Arial"/>
        </w:rPr>
        <w:t>have discontinued corticosteroids and are in clinical remission</w:t>
      </w:r>
      <w:r w:rsidR="001E0340">
        <w:rPr>
          <w:rFonts w:ascii="Arial" w:eastAsia="Times New Roman" w:hAnsi="Arial" w:cs="Arial"/>
        </w:rPr>
        <w:t xml:space="preserve"> </w:t>
      </w:r>
      <w:r w:rsidR="001E0340" w:rsidRPr="001E0340">
        <w:rPr>
          <w:rFonts w:ascii="Arial" w:eastAsia="Times New Roman" w:hAnsi="Arial" w:cs="Arial"/>
        </w:rPr>
        <w:t>at Week 52</w:t>
      </w:r>
      <w:r w:rsidR="001E0340">
        <w:rPr>
          <w:rFonts w:ascii="Arial" w:eastAsia="Times New Roman" w:hAnsi="Arial" w:cs="Arial"/>
        </w:rPr>
        <w:t>)</w:t>
      </w:r>
      <w:r w:rsidR="00822250" w:rsidRPr="00822250">
        <w:rPr>
          <w:rFonts w:ascii="Arial" w:eastAsia="Times New Roman" w:hAnsi="Arial" w:cs="Arial"/>
        </w:rPr>
        <w:t>.</w:t>
      </w:r>
    </w:p>
    <w:p w:rsidR="00932F5A" w:rsidRDefault="006E2A3E" w:rsidP="00666ADD">
      <w:pPr>
        <w:spacing w:after="240" w:line="240" w:lineRule="auto"/>
        <w:jc w:val="both"/>
        <w:rPr>
          <w:rFonts w:ascii="Arial" w:eastAsia="Times New Roman" w:hAnsi="Arial" w:cs="Arial"/>
        </w:rPr>
      </w:pPr>
      <w:r>
        <w:rPr>
          <w:rFonts w:ascii="Arial" w:eastAsia="Times New Roman" w:hAnsi="Arial" w:cs="Arial"/>
        </w:rPr>
        <w:t xml:space="preserve">A greater percentage of patients in groups treated </w:t>
      </w:r>
      <w:r w:rsidR="00371CBD">
        <w:rPr>
          <w:rFonts w:ascii="Arial" w:eastAsia="Times New Roman" w:hAnsi="Arial" w:cs="Arial"/>
        </w:rPr>
        <w:t>with</w:t>
      </w:r>
      <w:r>
        <w:rPr>
          <w:rFonts w:ascii="Arial" w:eastAsia="Times New Roman" w:hAnsi="Arial" w:cs="Arial"/>
        </w:rPr>
        <w:t xml:space="preserve"> vedolizumab as compared to placebo achieved clinical remission, mucosal healing, and corticosteroid-free clinical remission at Week 52. In addition, a greater proportion of patients in the groups treated with vedolizumab demonstrated durable clinical response and durable clinical remission. </w:t>
      </w:r>
      <w:r w:rsidR="008B3743">
        <w:rPr>
          <w:rFonts w:ascii="Arial" w:eastAsia="Times New Roman" w:hAnsi="Arial" w:cs="Arial"/>
        </w:rPr>
        <w:t>Table 2</w:t>
      </w:r>
      <w:r w:rsidR="003B16BB" w:rsidRPr="00666ADD">
        <w:rPr>
          <w:rFonts w:ascii="Arial" w:eastAsia="Times New Roman" w:hAnsi="Arial" w:cs="Arial"/>
        </w:rPr>
        <w:t xml:space="preserve"> shows the results from the primary and secondary endpoints evaluated.</w:t>
      </w:r>
    </w:p>
    <w:p w:rsidR="00932F5A" w:rsidRDefault="00932F5A">
      <w:pPr>
        <w:rPr>
          <w:rFonts w:ascii="Arial" w:eastAsia="Times New Roman" w:hAnsi="Arial" w:cs="Arial"/>
        </w:rPr>
      </w:pPr>
      <w:r>
        <w:rPr>
          <w:rFonts w:ascii="Arial" w:eastAsia="Times New Roman" w:hAnsi="Arial" w:cs="Arial"/>
        </w:rPr>
        <w:br w:type="page"/>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FFFFFF" w:fill="auto"/>
        <w:tblLook w:val="0000" w:firstRow="0" w:lastRow="0" w:firstColumn="0" w:lastColumn="0" w:noHBand="0" w:noVBand="0"/>
      </w:tblPr>
      <w:tblGrid>
        <w:gridCol w:w="3542"/>
        <w:gridCol w:w="1547"/>
        <w:gridCol w:w="1547"/>
        <w:gridCol w:w="1762"/>
        <w:gridCol w:w="24"/>
      </w:tblGrid>
      <w:tr w:rsidR="00EC6A5C" w:rsidRPr="00666ADD" w:rsidTr="00067BB8">
        <w:trPr>
          <w:gridAfter w:val="1"/>
          <w:wAfter w:w="24" w:type="dxa"/>
          <w:trHeight w:val="342"/>
          <w:jc w:val="center"/>
        </w:trPr>
        <w:tc>
          <w:tcPr>
            <w:tcW w:w="8398" w:type="dxa"/>
            <w:gridSpan w:val="4"/>
            <w:tcBorders>
              <w:top w:val="nil"/>
              <w:left w:val="nil"/>
              <w:right w:val="nil"/>
            </w:tcBorders>
            <w:shd w:val="pct10" w:color="FFFFFF" w:fill="auto"/>
            <w:noWrap/>
          </w:tcPr>
          <w:p w:rsidR="00EC6A5C" w:rsidRPr="00666ADD" w:rsidRDefault="00EC6A5C" w:rsidP="00666ADD">
            <w:pPr>
              <w:pStyle w:val="Caption"/>
              <w:tabs>
                <w:tab w:val="left" w:pos="1134"/>
              </w:tabs>
              <w:rPr>
                <w:rFonts w:ascii="Arial" w:hAnsi="Arial" w:cs="Arial"/>
                <w:b w:val="0"/>
                <w:bCs w:val="0"/>
                <w:sz w:val="20"/>
                <w:szCs w:val="20"/>
              </w:rPr>
            </w:pPr>
            <w:bookmarkStart w:id="3" w:name="_Ref350431160"/>
            <w:r w:rsidRPr="00666ADD">
              <w:rPr>
                <w:rFonts w:ascii="Arial" w:hAnsi="Arial" w:cs="Arial"/>
                <w:sz w:val="20"/>
                <w:szCs w:val="20"/>
              </w:rPr>
              <w:lastRenderedPageBreak/>
              <w:t xml:space="preserve">Table </w:t>
            </w:r>
            <w:r w:rsidR="0051470C" w:rsidRPr="00666ADD">
              <w:rPr>
                <w:rFonts w:ascii="Arial" w:hAnsi="Arial" w:cs="Arial"/>
                <w:sz w:val="20"/>
                <w:szCs w:val="20"/>
              </w:rPr>
              <w:fldChar w:fldCharType="begin"/>
            </w:r>
            <w:r w:rsidRPr="00666ADD">
              <w:rPr>
                <w:rFonts w:ascii="Arial" w:hAnsi="Arial" w:cs="Arial"/>
                <w:sz w:val="20"/>
                <w:szCs w:val="20"/>
              </w:rPr>
              <w:instrText xml:space="preserve"> SEQ Table \* ARABIC </w:instrText>
            </w:r>
            <w:r w:rsidR="0051470C" w:rsidRPr="00666ADD">
              <w:rPr>
                <w:rFonts w:ascii="Arial" w:hAnsi="Arial" w:cs="Arial"/>
                <w:sz w:val="20"/>
                <w:szCs w:val="20"/>
              </w:rPr>
              <w:fldChar w:fldCharType="separate"/>
            </w:r>
            <w:r w:rsidR="00B95525">
              <w:rPr>
                <w:rFonts w:ascii="Arial" w:hAnsi="Arial" w:cs="Arial"/>
                <w:noProof/>
                <w:sz w:val="20"/>
                <w:szCs w:val="20"/>
              </w:rPr>
              <w:t>2</w:t>
            </w:r>
            <w:r w:rsidR="0051470C" w:rsidRPr="00666ADD">
              <w:rPr>
                <w:rFonts w:ascii="Arial" w:hAnsi="Arial" w:cs="Arial"/>
                <w:sz w:val="20"/>
                <w:szCs w:val="20"/>
              </w:rPr>
              <w:fldChar w:fldCharType="end"/>
            </w:r>
            <w:bookmarkEnd w:id="3"/>
            <w:r w:rsidRPr="00666ADD">
              <w:rPr>
                <w:rFonts w:ascii="Arial" w:hAnsi="Arial" w:cs="Arial"/>
                <w:sz w:val="20"/>
                <w:szCs w:val="20"/>
              </w:rPr>
              <w:tab/>
              <w:t>Week 52 Efficacy Results of GEMINI I</w:t>
            </w:r>
          </w:p>
        </w:tc>
      </w:tr>
      <w:tr w:rsidR="00067BB8" w:rsidRPr="00666ADD" w:rsidTr="00FE4AE9">
        <w:trPr>
          <w:trHeight w:val="821"/>
          <w:jc w:val="center"/>
        </w:trPr>
        <w:tc>
          <w:tcPr>
            <w:tcW w:w="3542" w:type="dxa"/>
            <w:shd w:val="pct10" w:color="FFFFFF" w:fill="auto"/>
            <w:noWrap/>
            <w:vAlign w:val="bottom"/>
          </w:tcPr>
          <w:p w:rsidR="00067BB8" w:rsidRPr="00666ADD" w:rsidRDefault="00067BB8" w:rsidP="00AC1807">
            <w:pPr>
              <w:spacing w:line="240" w:lineRule="auto"/>
              <w:rPr>
                <w:rFonts w:ascii="Arial" w:hAnsi="Arial" w:cs="Arial"/>
                <w:sz w:val="20"/>
                <w:szCs w:val="20"/>
              </w:rPr>
            </w:pPr>
            <w:r w:rsidRPr="00666ADD">
              <w:rPr>
                <w:rFonts w:ascii="Arial" w:hAnsi="Arial" w:cs="Arial"/>
                <w:sz w:val="20"/>
                <w:szCs w:val="20"/>
              </w:rPr>
              <w:t>Endpoint</w:t>
            </w:r>
          </w:p>
        </w:tc>
        <w:tc>
          <w:tcPr>
            <w:tcW w:w="1547" w:type="dxa"/>
            <w:shd w:val="pct10" w:color="FFFFFF" w:fill="auto"/>
            <w:vAlign w:val="bottom"/>
          </w:tcPr>
          <w:p w:rsidR="00067BB8" w:rsidRPr="00666ADD" w:rsidRDefault="00067BB8" w:rsidP="00AC1807">
            <w:pPr>
              <w:spacing w:line="240" w:lineRule="auto"/>
              <w:jc w:val="center"/>
              <w:rPr>
                <w:rFonts w:ascii="Arial" w:hAnsi="Arial" w:cs="Arial"/>
                <w:sz w:val="20"/>
                <w:szCs w:val="20"/>
                <w:lang w:val="pt-BR"/>
              </w:rPr>
            </w:pPr>
            <w:r w:rsidRPr="00666ADD">
              <w:rPr>
                <w:rFonts w:ascii="Arial" w:hAnsi="Arial" w:cs="Arial"/>
                <w:sz w:val="20"/>
                <w:szCs w:val="20"/>
              </w:rPr>
              <w:t>Placebo</w:t>
            </w:r>
            <w:r w:rsidRPr="00666ADD">
              <w:rPr>
                <w:rFonts w:ascii="Arial" w:hAnsi="Arial" w:cs="Arial"/>
                <w:sz w:val="20"/>
                <w:szCs w:val="20"/>
              </w:rPr>
              <w:br/>
              <w:t>N = 126*</w:t>
            </w:r>
          </w:p>
        </w:tc>
        <w:tc>
          <w:tcPr>
            <w:tcW w:w="1547" w:type="dxa"/>
            <w:shd w:val="pct10" w:color="FFFFFF" w:fill="auto"/>
            <w:vAlign w:val="bottom"/>
          </w:tcPr>
          <w:p w:rsidR="00067BB8" w:rsidRPr="00666ADD" w:rsidRDefault="00067BB8" w:rsidP="00AC1807">
            <w:pPr>
              <w:spacing w:line="240" w:lineRule="auto"/>
              <w:jc w:val="center"/>
              <w:rPr>
                <w:rFonts w:ascii="Arial" w:hAnsi="Arial" w:cs="Arial"/>
                <w:sz w:val="20"/>
                <w:szCs w:val="20"/>
                <w:lang w:val="pt-BR"/>
              </w:rPr>
            </w:pPr>
            <w:r w:rsidRPr="00666ADD">
              <w:rPr>
                <w:rFonts w:ascii="Arial" w:hAnsi="Arial" w:cs="Arial"/>
                <w:sz w:val="20"/>
                <w:szCs w:val="20"/>
                <w:lang w:val="pt-BR"/>
              </w:rPr>
              <w:t>Vedolizumab</w:t>
            </w:r>
            <w:r w:rsidRPr="00666ADD">
              <w:rPr>
                <w:rFonts w:ascii="Arial" w:hAnsi="Arial" w:cs="Arial"/>
                <w:sz w:val="20"/>
                <w:szCs w:val="20"/>
                <w:lang w:val="pt-BR"/>
              </w:rPr>
              <w:br/>
              <w:t>Every 8 Weeks</w:t>
            </w:r>
            <w:r w:rsidRPr="00666ADD">
              <w:rPr>
                <w:rFonts w:ascii="Arial" w:hAnsi="Arial" w:cs="Arial"/>
                <w:sz w:val="20"/>
                <w:szCs w:val="20"/>
                <w:lang w:val="pt-BR"/>
              </w:rPr>
              <w:br/>
              <w:t>N = 122</w:t>
            </w:r>
          </w:p>
        </w:tc>
        <w:tc>
          <w:tcPr>
            <w:tcW w:w="1786" w:type="dxa"/>
            <w:gridSpan w:val="2"/>
            <w:shd w:val="pct10" w:color="FFFFFF" w:fill="auto"/>
            <w:vAlign w:val="bottom"/>
          </w:tcPr>
          <w:p w:rsidR="00067BB8" w:rsidRPr="00666ADD" w:rsidRDefault="00067BB8" w:rsidP="00AC1807">
            <w:pPr>
              <w:spacing w:line="240" w:lineRule="auto"/>
              <w:jc w:val="center"/>
              <w:rPr>
                <w:rFonts w:ascii="Arial" w:hAnsi="Arial" w:cs="Arial"/>
                <w:sz w:val="20"/>
                <w:szCs w:val="20"/>
                <w:lang w:val="pt-BR"/>
              </w:rPr>
            </w:pPr>
            <w:r w:rsidRPr="00666ADD">
              <w:rPr>
                <w:rFonts w:ascii="Arial" w:hAnsi="Arial" w:cs="Arial"/>
                <w:sz w:val="20"/>
                <w:szCs w:val="20"/>
                <w:lang w:val="pt-BR"/>
              </w:rPr>
              <w:t>Vedolizumab</w:t>
            </w:r>
            <w:r w:rsidRPr="00666ADD">
              <w:rPr>
                <w:rFonts w:ascii="Arial" w:hAnsi="Arial" w:cs="Arial"/>
                <w:sz w:val="20"/>
                <w:szCs w:val="20"/>
                <w:lang w:val="pt-BR"/>
              </w:rPr>
              <w:br/>
              <w:t>Every 4 Weeks</w:t>
            </w:r>
            <w:r w:rsidRPr="00666ADD">
              <w:rPr>
                <w:rFonts w:ascii="Arial" w:hAnsi="Arial" w:cs="Arial"/>
                <w:sz w:val="20"/>
                <w:szCs w:val="20"/>
                <w:lang w:val="pt-BR"/>
              </w:rPr>
              <w:br/>
              <w:t>N = 125</w:t>
            </w:r>
          </w:p>
        </w:tc>
      </w:tr>
      <w:tr w:rsidR="00067BB8" w:rsidRPr="00666ADD" w:rsidTr="00067BB8">
        <w:trPr>
          <w:trHeight w:val="225"/>
          <w:jc w:val="center"/>
        </w:trPr>
        <w:tc>
          <w:tcPr>
            <w:tcW w:w="3542" w:type="dxa"/>
            <w:shd w:val="pct10" w:color="FFFFFF" w:fill="auto"/>
            <w:noWrap/>
          </w:tcPr>
          <w:p w:rsidR="00067BB8" w:rsidRPr="00666ADD" w:rsidRDefault="00067BB8" w:rsidP="00AC1807">
            <w:pPr>
              <w:spacing w:before="40" w:after="40" w:line="240" w:lineRule="auto"/>
              <w:rPr>
                <w:rFonts w:ascii="Arial" w:hAnsi="Arial" w:cs="Arial"/>
                <w:sz w:val="20"/>
                <w:szCs w:val="20"/>
              </w:rPr>
            </w:pPr>
            <w:r w:rsidRPr="00666ADD">
              <w:rPr>
                <w:rFonts w:ascii="Arial" w:eastAsia="Calibri" w:hAnsi="Arial" w:cs="Arial"/>
                <w:sz w:val="20"/>
                <w:szCs w:val="20"/>
              </w:rPr>
              <w:t>Clinical remission</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16%</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42%</w:t>
            </w:r>
            <w:r w:rsidRPr="00666ADD">
              <w:rPr>
                <w:rFonts w:ascii="Arial" w:hAnsi="Arial" w:cs="Arial"/>
                <w:sz w:val="20"/>
                <w:szCs w:val="20"/>
                <w:vertAlign w:val="superscript"/>
              </w:rPr>
              <w:t>†</w:t>
            </w:r>
          </w:p>
        </w:tc>
        <w:tc>
          <w:tcPr>
            <w:tcW w:w="1786" w:type="dxa"/>
            <w:gridSpan w:val="2"/>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45%</w:t>
            </w:r>
            <w:r w:rsidRPr="00666ADD">
              <w:rPr>
                <w:rFonts w:ascii="Arial" w:hAnsi="Arial" w:cs="Arial"/>
                <w:sz w:val="20"/>
                <w:szCs w:val="20"/>
                <w:vertAlign w:val="superscript"/>
              </w:rPr>
              <w:t>†</w:t>
            </w:r>
          </w:p>
        </w:tc>
      </w:tr>
      <w:tr w:rsidR="00067BB8" w:rsidRPr="00666ADD" w:rsidTr="00067BB8">
        <w:trPr>
          <w:trHeight w:val="225"/>
          <w:jc w:val="center"/>
        </w:trPr>
        <w:tc>
          <w:tcPr>
            <w:tcW w:w="3542" w:type="dxa"/>
            <w:shd w:val="pct10" w:color="FFFFFF" w:fill="auto"/>
            <w:noWrap/>
          </w:tcPr>
          <w:p w:rsidR="00067BB8" w:rsidRPr="00666ADD" w:rsidRDefault="00067BB8" w:rsidP="0058650A">
            <w:pPr>
              <w:spacing w:before="40" w:after="40" w:line="240" w:lineRule="auto"/>
              <w:rPr>
                <w:rFonts w:ascii="Arial" w:hAnsi="Arial" w:cs="Arial"/>
                <w:sz w:val="20"/>
                <w:szCs w:val="20"/>
              </w:rPr>
            </w:pPr>
            <w:r w:rsidRPr="00666ADD">
              <w:rPr>
                <w:rFonts w:ascii="Arial" w:eastAsia="Calibri" w:hAnsi="Arial" w:cs="Arial"/>
                <w:sz w:val="20"/>
                <w:szCs w:val="20"/>
              </w:rPr>
              <w:t>Durable clinical response</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24%</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57%</w:t>
            </w:r>
            <w:r w:rsidRPr="00666ADD">
              <w:rPr>
                <w:rFonts w:ascii="Arial" w:hAnsi="Arial" w:cs="Arial"/>
                <w:sz w:val="20"/>
                <w:szCs w:val="20"/>
                <w:vertAlign w:val="superscript"/>
              </w:rPr>
              <w:t>†</w:t>
            </w:r>
          </w:p>
        </w:tc>
        <w:tc>
          <w:tcPr>
            <w:tcW w:w="1786" w:type="dxa"/>
            <w:gridSpan w:val="2"/>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52%</w:t>
            </w:r>
            <w:r w:rsidRPr="00666ADD">
              <w:rPr>
                <w:rFonts w:ascii="Arial" w:hAnsi="Arial" w:cs="Arial"/>
                <w:sz w:val="20"/>
                <w:szCs w:val="20"/>
                <w:vertAlign w:val="superscript"/>
              </w:rPr>
              <w:t>†</w:t>
            </w:r>
          </w:p>
        </w:tc>
      </w:tr>
      <w:tr w:rsidR="00067BB8" w:rsidRPr="00666ADD" w:rsidTr="00067BB8">
        <w:trPr>
          <w:trHeight w:val="225"/>
          <w:jc w:val="center"/>
        </w:trPr>
        <w:tc>
          <w:tcPr>
            <w:tcW w:w="3542" w:type="dxa"/>
            <w:shd w:val="pct10" w:color="FFFFFF" w:fill="auto"/>
            <w:noWrap/>
          </w:tcPr>
          <w:p w:rsidR="00067BB8" w:rsidRPr="00666ADD" w:rsidRDefault="00067BB8" w:rsidP="00AC1807">
            <w:pPr>
              <w:widowControl w:val="0"/>
              <w:spacing w:before="40" w:after="40" w:line="240" w:lineRule="auto"/>
              <w:rPr>
                <w:rFonts w:ascii="Arial" w:hAnsi="Arial" w:cs="Arial"/>
                <w:sz w:val="20"/>
                <w:szCs w:val="20"/>
              </w:rPr>
            </w:pPr>
            <w:r w:rsidRPr="00666ADD">
              <w:rPr>
                <w:rFonts w:ascii="Arial" w:hAnsi="Arial" w:cs="Arial"/>
                <w:sz w:val="20"/>
                <w:szCs w:val="20"/>
              </w:rPr>
              <w:t>Mucosal healing</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20%</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52%</w:t>
            </w:r>
            <w:r w:rsidRPr="00666ADD">
              <w:rPr>
                <w:rFonts w:ascii="Arial" w:hAnsi="Arial" w:cs="Arial"/>
                <w:sz w:val="20"/>
                <w:szCs w:val="20"/>
                <w:vertAlign w:val="superscript"/>
              </w:rPr>
              <w:t>†</w:t>
            </w:r>
          </w:p>
        </w:tc>
        <w:tc>
          <w:tcPr>
            <w:tcW w:w="1786" w:type="dxa"/>
            <w:gridSpan w:val="2"/>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56%</w:t>
            </w:r>
            <w:r w:rsidRPr="00666ADD">
              <w:rPr>
                <w:rFonts w:ascii="Arial" w:hAnsi="Arial" w:cs="Arial"/>
                <w:sz w:val="20"/>
                <w:szCs w:val="20"/>
                <w:vertAlign w:val="superscript"/>
              </w:rPr>
              <w:t>†</w:t>
            </w:r>
          </w:p>
        </w:tc>
      </w:tr>
      <w:tr w:rsidR="00067BB8" w:rsidRPr="00666ADD" w:rsidTr="00067BB8">
        <w:trPr>
          <w:trHeight w:val="225"/>
          <w:jc w:val="center"/>
        </w:trPr>
        <w:tc>
          <w:tcPr>
            <w:tcW w:w="3542" w:type="dxa"/>
            <w:shd w:val="pct10" w:color="FFFFFF" w:fill="auto"/>
            <w:noWrap/>
          </w:tcPr>
          <w:p w:rsidR="00067BB8" w:rsidRPr="00666ADD" w:rsidRDefault="00067BB8" w:rsidP="0058650A">
            <w:pPr>
              <w:widowControl w:val="0"/>
              <w:spacing w:before="40" w:after="40" w:line="240" w:lineRule="auto"/>
              <w:rPr>
                <w:rFonts w:ascii="Arial" w:hAnsi="Arial" w:cs="Arial"/>
                <w:sz w:val="20"/>
                <w:szCs w:val="20"/>
              </w:rPr>
            </w:pPr>
            <w:r w:rsidRPr="00666ADD">
              <w:rPr>
                <w:rFonts w:ascii="Arial" w:hAnsi="Arial" w:cs="Arial"/>
                <w:sz w:val="20"/>
                <w:szCs w:val="20"/>
              </w:rPr>
              <w:t>Durable clinical remission</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9%</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20%</w:t>
            </w:r>
            <w:r w:rsidRPr="00666ADD">
              <w:rPr>
                <w:rFonts w:ascii="Arial" w:eastAsia="Calibri" w:hAnsi="Arial" w:cs="Arial"/>
                <w:sz w:val="20"/>
                <w:szCs w:val="20"/>
                <w:vertAlign w:val="superscript"/>
              </w:rPr>
              <w:t>§</w:t>
            </w:r>
          </w:p>
        </w:tc>
        <w:tc>
          <w:tcPr>
            <w:tcW w:w="1786" w:type="dxa"/>
            <w:gridSpan w:val="2"/>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24%</w:t>
            </w:r>
            <w:r w:rsidRPr="00666ADD">
              <w:rPr>
                <w:rFonts w:ascii="Arial" w:hAnsi="Arial" w:cs="Arial"/>
                <w:sz w:val="20"/>
                <w:szCs w:val="20"/>
                <w:vertAlign w:val="superscript"/>
              </w:rPr>
              <w:t>‡</w:t>
            </w:r>
          </w:p>
        </w:tc>
      </w:tr>
      <w:tr w:rsidR="00067BB8" w:rsidRPr="00666ADD" w:rsidTr="00067BB8">
        <w:trPr>
          <w:trHeight w:val="225"/>
          <w:jc w:val="center"/>
        </w:trPr>
        <w:tc>
          <w:tcPr>
            <w:tcW w:w="3542" w:type="dxa"/>
            <w:shd w:val="pct10" w:color="FFFFFF" w:fill="auto"/>
            <w:noWrap/>
          </w:tcPr>
          <w:p w:rsidR="00067BB8" w:rsidRPr="00666ADD" w:rsidRDefault="00067BB8" w:rsidP="00AC1807">
            <w:pPr>
              <w:widowControl w:val="0"/>
              <w:spacing w:before="40" w:after="40" w:line="240" w:lineRule="auto"/>
              <w:rPr>
                <w:rFonts w:ascii="Arial" w:hAnsi="Arial" w:cs="Arial"/>
                <w:sz w:val="20"/>
                <w:szCs w:val="20"/>
              </w:rPr>
            </w:pPr>
            <w:r w:rsidRPr="00666ADD">
              <w:rPr>
                <w:rFonts w:ascii="Arial" w:hAnsi="Arial" w:cs="Arial"/>
                <w:sz w:val="20"/>
                <w:szCs w:val="20"/>
              </w:rPr>
              <w:t>Corticosteroid-free clinical remission</w:t>
            </w:r>
            <w:r w:rsidR="0058650A" w:rsidRPr="00666ADD">
              <w:rPr>
                <w:rFonts w:ascii="Arial" w:eastAsia="Calibri" w:hAnsi="Arial" w:cs="Arial"/>
                <w:sz w:val="20"/>
                <w:szCs w:val="20"/>
                <w:vertAlign w:val="superscript"/>
              </w:rPr>
              <w:t>¶</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14%</w:t>
            </w:r>
          </w:p>
        </w:tc>
        <w:tc>
          <w:tcPr>
            <w:tcW w:w="1547" w:type="dxa"/>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31%</w:t>
            </w:r>
            <w:r w:rsidRPr="00666ADD">
              <w:rPr>
                <w:rFonts w:ascii="Arial" w:eastAsia="Calibri" w:hAnsi="Arial" w:cs="Arial"/>
                <w:sz w:val="20"/>
                <w:szCs w:val="20"/>
                <w:vertAlign w:val="superscript"/>
              </w:rPr>
              <w:t>§</w:t>
            </w:r>
          </w:p>
        </w:tc>
        <w:tc>
          <w:tcPr>
            <w:tcW w:w="1786" w:type="dxa"/>
            <w:gridSpan w:val="2"/>
            <w:shd w:val="pct10" w:color="FFFFFF" w:fill="auto"/>
          </w:tcPr>
          <w:p w:rsidR="00067BB8" w:rsidRPr="00666ADD" w:rsidRDefault="00067BB8" w:rsidP="00AC1807">
            <w:pPr>
              <w:spacing w:before="40" w:after="40" w:line="240" w:lineRule="auto"/>
              <w:jc w:val="center"/>
              <w:rPr>
                <w:rFonts w:ascii="Arial" w:hAnsi="Arial" w:cs="Arial"/>
                <w:sz w:val="20"/>
                <w:szCs w:val="20"/>
              </w:rPr>
            </w:pPr>
            <w:r w:rsidRPr="00666ADD">
              <w:rPr>
                <w:rFonts w:ascii="Arial" w:hAnsi="Arial" w:cs="Arial"/>
                <w:sz w:val="20"/>
                <w:szCs w:val="20"/>
              </w:rPr>
              <w:t>45%</w:t>
            </w:r>
            <w:r w:rsidRPr="00666ADD">
              <w:rPr>
                <w:rFonts w:ascii="Arial" w:hAnsi="Arial" w:cs="Arial"/>
                <w:sz w:val="20"/>
                <w:szCs w:val="20"/>
                <w:vertAlign w:val="superscript"/>
              </w:rPr>
              <w:t>†</w:t>
            </w:r>
          </w:p>
        </w:tc>
      </w:tr>
      <w:tr w:rsidR="00EC6A5C" w:rsidRPr="00666ADD" w:rsidTr="00067BB8">
        <w:trPr>
          <w:gridAfter w:val="1"/>
          <w:wAfter w:w="24" w:type="dxa"/>
          <w:trHeight w:val="225"/>
          <w:jc w:val="center"/>
        </w:trPr>
        <w:tc>
          <w:tcPr>
            <w:tcW w:w="8398" w:type="dxa"/>
            <w:gridSpan w:val="4"/>
            <w:tcBorders>
              <w:left w:val="nil"/>
              <w:bottom w:val="nil"/>
              <w:right w:val="nil"/>
            </w:tcBorders>
            <w:shd w:val="pct10" w:color="FFFFFF" w:fill="auto"/>
            <w:noWrap/>
          </w:tcPr>
          <w:p w:rsidR="00EC6A5C" w:rsidRPr="00666ADD" w:rsidRDefault="00EC6A5C" w:rsidP="00666ADD">
            <w:pPr>
              <w:keepNext/>
              <w:keepLines/>
              <w:widowControl w:val="0"/>
              <w:spacing w:after="0" w:line="240" w:lineRule="auto"/>
              <w:ind w:left="232" w:hanging="232"/>
              <w:rPr>
                <w:rFonts w:ascii="Arial" w:hAnsi="Arial" w:cs="Arial"/>
                <w:sz w:val="18"/>
                <w:szCs w:val="18"/>
              </w:rPr>
            </w:pPr>
            <w:r w:rsidRPr="00666ADD">
              <w:rPr>
                <w:rFonts w:ascii="Arial" w:hAnsi="Arial" w:cs="Arial"/>
                <w:sz w:val="18"/>
                <w:szCs w:val="18"/>
              </w:rPr>
              <w:t>*The placebo group includes those subjects who received vedolizumab at Week 0 and Week 2, and were randomised to receive placebo from Week 6 through Week 52.</w:t>
            </w:r>
          </w:p>
          <w:p w:rsidR="00EC6A5C" w:rsidRPr="00666ADD" w:rsidRDefault="00EC6A5C" w:rsidP="00666ADD">
            <w:pPr>
              <w:keepNext/>
              <w:keepLines/>
              <w:widowControl w:val="0"/>
              <w:spacing w:after="0" w:line="240" w:lineRule="auto"/>
              <w:ind w:left="232" w:hanging="232"/>
              <w:rPr>
                <w:rFonts w:ascii="Arial" w:hAnsi="Arial" w:cs="Arial"/>
                <w:sz w:val="18"/>
                <w:szCs w:val="18"/>
              </w:rPr>
            </w:pPr>
            <w:r w:rsidRPr="00666ADD">
              <w:rPr>
                <w:rFonts w:ascii="Arial" w:hAnsi="Arial" w:cs="Arial"/>
                <w:sz w:val="18"/>
                <w:szCs w:val="18"/>
                <w:vertAlign w:val="superscript"/>
              </w:rPr>
              <w:t>†</w:t>
            </w:r>
            <w:r w:rsidRPr="00666ADD">
              <w:rPr>
                <w:rFonts w:ascii="Arial" w:hAnsi="Arial" w:cs="Arial"/>
                <w:sz w:val="18"/>
                <w:szCs w:val="18"/>
              </w:rPr>
              <w:t>p&lt;0.0001</w:t>
            </w:r>
          </w:p>
          <w:p w:rsidR="00EC6A5C" w:rsidRPr="00666ADD" w:rsidRDefault="00EC6A5C" w:rsidP="00666ADD">
            <w:pPr>
              <w:keepNext/>
              <w:keepLines/>
              <w:widowControl w:val="0"/>
              <w:spacing w:after="0" w:line="240" w:lineRule="auto"/>
              <w:ind w:left="232" w:hanging="232"/>
              <w:rPr>
                <w:rFonts w:ascii="Arial" w:hAnsi="Arial" w:cs="Arial"/>
                <w:sz w:val="18"/>
                <w:szCs w:val="18"/>
              </w:rPr>
            </w:pPr>
            <w:r w:rsidRPr="00666ADD">
              <w:rPr>
                <w:rFonts w:ascii="Arial" w:hAnsi="Arial" w:cs="Arial"/>
                <w:sz w:val="18"/>
                <w:szCs w:val="18"/>
                <w:vertAlign w:val="superscript"/>
              </w:rPr>
              <w:t>‡</w:t>
            </w:r>
            <w:r w:rsidRPr="00666ADD">
              <w:rPr>
                <w:rFonts w:ascii="Arial" w:hAnsi="Arial" w:cs="Arial"/>
                <w:sz w:val="18"/>
                <w:szCs w:val="18"/>
              </w:rPr>
              <w:t>p&lt;0.001</w:t>
            </w:r>
          </w:p>
          <w:p w:rsidR="00EC6A5C" w:rsidRPr="00666ADD" w:rsidRDefault="00EC6A5C" w:rsidP="00666ADD">
            <w:pPr>
              <w:widowControl w:val="0"/>
              <w:spacing w:after="0" w:line="240" w:lineRule="auto"/>
              <w:ind w:left="232" w:hanging="232"/>
              <w:rPr>
                <w:rFonts w:ascii="Arial" w:hAnsi="Arial" w:cs="Arial"/>
                <w:sz w:val="18"/>
                <w:szCs w:val="18"/>
              </w:rPr>
            </w:pPr>
            <w:r w:rsidRPr="00666ADD">
              <w:rPr>
                <w:rFonts w:ascii="Arial" w:eastAsia="Calibri" w:hAnsi="Arial" w:cs="Arial"/>
                <w:sz w:val="18"/>
                <w:szCs w:val="18"/>
                <w:vertAlign w:val="superscript"/>
              </w:rPr>
              <w:t>§</w:t>
            </w:r>
            <w:r w:rsidRPr="00666ADD">
              <w:rPr>
                <w:rFonts w:ascii="Arial" w:hAnsi="Arial" w:cs="Arial"/>
                <w:sz w:val="18"/>
                <w:szCs w:val="18"/>
              </w:rPr>
              <w:t>p&lt;0.05</w:t>
            </w:r>
          </w:p>
          <w:p w:rsidR="00EC6A5C" w:rsidRPr="00666ADD" w:rsidRDefault="0058650A" w:rsidP="0058650A">
            <w:pPr>
              <w:keepNext/>
              <w:keepLines/>
              <w:widowControl w:val="0"/>
              <w:spacing w:after="0" w:line="240" w:lineRule="auto"/>
              <w:ind w:left="232" w:hanging="232"/>
              <w:rPr>
                <w:rFonts w:ascii="Arial" w:hAnsi="Arial" w:cs="Arial"/>
                <w:sz w:val="18"/>
                <w:szCs w:val="18"/>
                <w:lang w:val="en-US"/>
              </w:rPr>
            </w:pPr>
            <w:r w:rsidRPr="00666ADD">
              <w:rPr>
                <w:rFonts w:ascii="Arial" w:eastAsia="Calibri" w:hAnsi="Arial" w:cs="Arial"/>
                <w:sz w:val="18"/>
                <w:szCs w:val="18"/>
                <w:vertAlign w:val="superscript"/>
              </w:rPr>
              <w:t>¶</w:t>
            </w:r>
            <w:r>
              <w:rPr>
                <w:rFonts w:ascii="Arial" w:eastAsia="Calibri" w:hAnsi="Arial" w:cs="Arial"/>
                <w:sz w:val="18"/>
                <w:szCs w:val="18"/>
              </w:rPr>
              <w:t xml:space="preserve"> </w:t>
            </w:r>
            <w:r w:rsidR="00EC6A5C" w:rsidRPr="00666ADD">
              <w:rPr>
                <w:rFonts w:ascii="Arial" w:eastAsia="Calibri" w:hAnsi="Arial" w:cs="Arial"/>
                <w:sz w:val="18"/>
                <w:szCs w:val="18"/>
              </w:rPr>
              <w:t xml:space="preserve">Patient numbers were </w:t>
            </w:r>
            <w:r w:rsidR="00EC6A5C" w:rsidRPr="00666ADD">
              <w:rPr>
                <w:rFonts w:ascii="Arial" w:hAnsi="Arial" w:cs="Arial"/>
                <w:sz w:val="18"/>
                <w:szCs w:val="18"/>
                <w:lang w:val="en-US"/>
              </w:rPr>
              <w:t>n=72 for placebo, n=70 for vedolizumab every eight weeks, and n=73 for vedolizumab every four weeks</w:t>
            </w:r>
          </w:p>
        </w:tc>
      </w:tr>
    </w:tbl>
    <w:p w:rsidR="003B16BB" w:rsidRPr="00080058" w:rsidRDefault="003B16BB" w:rsidP="003B16BB">
      <w:pPr>
        <w:pStyle w:val="BodyText0"/>
        <w:spacing w:before="0" w:after="0" w:line="240" w:lineRule="auto"/>
        <w:rPr>
          <w:sz w:val="22"/>
          <w:szCs w:val="22"/>
        </w:rPr>
      </w:pPr>
    </w:p>
    <w:p w:rsidR="003B16BB" w:rsidRDefault="00D27EA1" w:rsidP="00666ADD">
      <w:pPr>
        <w:spacing w:after="240" w:line="240" w:lineRule="auto"/>
        <w:jc w:val="both"/>
        <w:rPr>
          <w:rFonts w:ascii="Arial" w:eastAsia="Times New Roman" w:hAnsi="Arial" w:cs="Arial"/>
        </w:rPr>
      </w:pPr>
      <w:r w:rsidRPr="00D27EA1">
        <w:rPr>
          <w:rFonts w:ascii="Arial" w:eastAsia="Times New Roman" w:hAnsi="Arial" w:cs="Arial"/>
        </w:rPr>
        <w:t>In the GEMINI I study, the induction regimen was administered at Weeks 0 and 2 and maintenance dosing started at week 6. However exploratory analyses suggest a higher rate of long term clinical response and remission will be achieved with a 0, 2 and 6 week induction regimen followed by maintenance treatment every 8 weeks for patients who demonstrate a clinical response (reduction in complete Mayo score of ≥3 points and ≥30% from baseline with an accompanying decrease in rectal bleeding subscore of ≥1 point or absolute rectal bleeding subscore of ≤1 point or reduction in partial Mayo score of  ≥2 points and ≥25% from baseline with an accompanying decrease in rectal bleeding subscore of ≥1 point or absolute rectal bleeding subscore of ≤1 point) 6 to 8 weeks after completion of the induction regimen.</w:t>
      </w:r>
    </w:p>
    <w:p w:rsidR="006F3CD5" w:rsidRPr="00666ADD" w:rsidRDefault="006F3CD5" w:rsidP="006F3CD5">
      <w:pPr>
        <w:spacing w:after="240" w:line="240" w:lineRule="auto"/>
        <w:jc w:val="both"/>
        <w:rPr>
          <w:rFonts w:ascii="Arial" w:eastAsia="Times New Roman" w:hAnsi="Arial" w:cs="Arial"/>
        </w:rPr>
      </w:pPr>
      <w:r w:rsidRPr="00CF10B2">
        <w:rPr>
          <w:rFonts w:ascii="Arial" w:eastAsia="Times New Roman" w:hAnsi="Arial" w:cs="Arial"/>
        </w:rPr>
        <w:t>Relatively few patients in any of the treatment groups (10 patients in the placebo group and</w:t>
      </w:r>
      <w:r w:rsidR="00CF10B2">
        <w:rPr>
          <w:rFonts w:ascii="Arial" w:eastAsia="Times New Roman" w:hAnsi="Arial" w:cs="Arial"/>
        </w:rPr>
        <w:t xml:space="preserve"> </w:t>
      </w:r>
      <w:r w:rsidRPr="00CF10B2">
        <w:rPr>
          <w:rFonts w:ascii="Arial" w:eastAsia="Times New Roman" w:hAnsi="Arial" w:cs="Arial"/>
        </w:rPr>
        <w:t>4 patients in each of the vedolizumab groups) had major UC-related events (defined as</w:t>
      </w:r>
      <w:r w:rsidR="00CF10B2">
        <w:rPr>
          <w:rFonts w:ascii="Arial" w:eastAsia="Times New Roman" w:hAnsi="Arial" w:cs="Arial"/>
        </w:rPr>
        <w:t xml:space="preserve"> </w:t>
      </w:r>
      <w:r w:rsidRPr="00CF10B2">
        <w:rPr>
          <w:rFonts w:ascii="Arial" w:eastAsia="Times New Roman" w:hAnsi="Arial" w:cs="Arial"/>
        </w:rPr>
        <w:t>colectomy, UC-related hospitalization, or UC-related procedure). However, the proportion</w:t>
      </w:r>
      <w:r w:rsidR="00CF10B2">
        <w:rPr>
          <w:rFonts w:ascii="Arial" w:eastAsia="Times New Roman" w:hAnsi="Arial" w:cs="Arial"/>
        </w:rPr>
        <w:t xml:space="preserve"> </w:t>
      </w:r>
      <w:r w:rsidRPr="00CF10B2">
        <w:rPr>
          <w:rFonts w:ascii="Arial" w:eastAsia="Times New Roman" w:hAnsi="Arial" w:cs="Arial"/>
        </w:rPr>
        <w:t>of patients who experienced these major UC-related events was lower among patients who</w:t>
      </w:r>
      <w:r w:rsidR="00CF10B2">
        <w:rPr>
          <w:rFonts w:ascii="Arial" w:eastAsia="Times New Roman" w:hAnsi="Arial" w:cs="Arial"/>
        </w:rPr>
        <w:t xml:space="preserve"> </w:t>
      </w:r>
      <w:r w:rsidRPr="00CF10B2">
        <w:rPr>
          <w:rFonts w:ascii="Arial" w:eastAsia="Times New Roman" w:hAnsi="Arial" w:cs="Arial"/>
        </w:rPr>
        <w:t>received vedolizumab (3% and 3% for the Q8W and Q4W groups, respectively)</w:t>
      </w:r>
      <w:r w:rsidR="00CF10B2">
        <w:rPr>
          <w:rFonts w:ascii="Arial" w:eastAsia="Times New Roman" w:hAnsi="Arial" w:cs="Arial"/>
        </w:rPr>
        <w:t xml:space="preserve"> </w:t>
      </w:r>
      <w:r w:rsidRPr="00CF10B2">
        <w:rPr>
          <w:rFonts w:ascii="Arial" w:eastAsia="Times New Roman" w:hAnsi="Arial" w:cs="Arial"/>
        </w:rPr>
        <w:t>compared with those who received placebo (</w:t>
      </w:r>
      <w:r w:rsidR="00373DAC">
        <w:rPr>
          <w:rFonts w:ascii="Arial" w:eastAsia="Times New Roman" w:hAnsi="Arial" w:cs="Arial"/>
        </w:rPr>
        <w:t>8</w:t>
      </w:r>
      <w:r w:rsidRPr="00CF10B2">
        <w:rPr>
          <w:rFonts w:ascii="Arial" w:eastAsia="Times New Roman" w:hAnsi="Arial" w:cs="Arial"/>
        </w:rPr>
        <w:t>%</w:t>
      </w:r>
      <w:r w:rsidR="00CF10B2" w:rsidRPr="00CF10B2">
        <w:rPr>
          <w:rFonts w:ascii="Arial" w:eastAsia="Times New Roman" w:hAnsi="Arial" w:cs="Arial"/>
        </w:rPr>
        <w:t>).</w:t>
      </w:r>
    </w:p>
    <w:p w:rsidR="003B16BB" w:rsidRPr="00666ADD" w:rsidRDefault="003B16BB" w:rsidP="00666ADD">
      <w:pPr>
        <w:spacing w:after="240" w:line="240" w:lineRule="auto"/>
        <w:jc w:val="both"/>
        <w:rPr>
          <w:rFonts w:ascii="Arial" w:eastAsia="Times New Roman" w:hAnsi="Arial" w:cs="Arial"/>
          <w:b/>
        </w:rPr>
      </w:pPr>
      <w:r w:rsidRPr="00666ADD">
        <w:rPr>
          <w:rFonts w:ascii="Arial" w:eastAsia="Times New Roman" w:hAnsi="Arial" w:cs="Arial"/>
          <w:b/>
        </w:rPr>
        <w:t>Crohn’s Disease</w:t>
      </w:r>
    </w:p>
    <w:p w:rsidR="003B16BB" w:rsidRPr="00666ADD" w:rsidRDefault="003B16BB" w:rsidP="00666ADD">
      <w:pPr>
        <w:spacing w:after="240" w:line="240" w:lineRule="auto"/>
        <w:jc w:val="both"/>
        <w:rPr>
          <w:rFonts w:ascii="Arial" w:eastAsia="Times New Roman" w:hAnsi="Arial" w:cs="Arial"/>
        </w:rPr>
      </w:pPr>
      <w:r w:rsidRPr="00666ADD">
        <w:rPr>
          <w:rFonts w:ascii="Arial" w:eastAsia="Times New Roman" w:hAnsi="Arial" w:cs="Arial"/>
        </w:rPr>
        <w:t xml:space="preserve">The safety and efficacy of vedolizumab for the treatment of adult patients with moderate to severe Crohn’s Disease (Crohn’s Disease Activity Index [CDAI] score of 220 to 450) were evaluated in two studies (GEMINI II and III). Enrolled patients </w:t>
      </w:r>
      <w:r w:rsidR="005C2CB8" w:rsidRPr="00666ADD">
        <w:rPr>
          <w:rFonts w:ascii="Arial" w:eastAsia="Times New Roman" w:hAnsi="Arial" w:cs="Arial"/>
        </w:rPr>
        <w:t>ha</w:t>
      </w:r>
      <w:r w:rsidR="005C2CB8">
        <w:rPr>
          <w:rFonts w:ascii="Arial" w:eastAsia="Times New Roman" w:hAnsi="Arial" w:cs="Arial"/>
        </w:rPr>
        <w:t>d</w:t>
      </w:r>
      <w:r w:rsidR="005C2CB8" w:rsidRPr="00666ADD">
        <w:rPr>
          <w:rFonts w:ascii="Arial" w:eastAsia="Times New Roman" w:hAnsi="Arial" w:cs="Arial"/>
        </w:rPr>
        <w:t xml:space="preserve"> </w:t>
      </w:r>
      <w:r w:rsidRPr="00666ADD">
        <w:rPr>
          <w:rFonts w:ascii="Arial" w:eastAsia="Times New Roman" w:hAnsi="Arial" w:cs="Arial"/>
        </w:rPr>
        <w:t>failed at least one conventional therapy, including corticosteroids, immunomodulators, and/or</w:t>
      </w:r>
      <w:r w:rsidR="009C41EA">
        <w:rPr>
          <w:rFonts w:ascii="Arial" w:eastAsia="Times New Roman" w:hAnsi="Arial" w:cs="Arial"/>
        </w:rPr>
        <w:t xml:space="preserve"> one or more</w:t>
      </w:r>
      <w:r w:rsidRPr="00666ADD">
        <w:rPr>
          <w:rFonts w:ascii="Arial" w:eastAsia="Times New Roman" w:hAnsi="Arial" w:cs="Arial"/>
        </w:rPr>
        <w:t xml:space="preserve"> TNFα antagonists. </w:t>
      </w:r>
      <w:r w:rsidR="005C2CB8">
        <w:rPr>
          <w:rFonts w:ascii="Arial" w:eastAsia="Times New Roman" w:hAnsi="Arial" w:cs="Arial"/>
        </w:rPr>
        <w:t>TNFα antagonist failure patients included those with inadequate response</w:t>
      </w:r>
      <w:r w:rsidR="005C2CB8" w:rsidRPr="00AC1807">
        <w:rPr>
          <w:rFonts w:ascii="Arial" w:eastAsia="Times New Roman" w:hAnsi="Arial" w:cs="Arial"/>
        </w:rPr>
        <w:t xml:space="preserve"> (primary non</w:t>
      </w:r>
      <w:r w:rsidR="005C2CB8" w:rsidRPr="00AC1807">
        <w:rPr>
          <w:rFonts w:ascii="Arial" w:eastAsia="Times New Roman" w:hAnsi="Arial" w:cs="Arial"/>
        </w:rPr>
        <w:noBreakHyphen/>
        <w:t>responders</w:t>
      </w:r>
      <w:r w:rsidR="005C2CB8">
        <w:rPr>
          <w:rFonts w:ascii="Arial" w:eastAsia="Times New Roman" w:hAnsi="Arial" w:cs="Arial"/>
        </w:rPr>
        <w:t>)</w:t>
      </w:r>
      <w:r w:rsidR="005C2CB8" w:rsidRPr="00A11348">
        <w:rPr>
          <w:rFonts w:ascii="Arial" w:eastAsia="Times New Roman" w:hAnsi="Arial" w:cs="Arial"/>
        </w:rPr>
        <w:t xml:space="preserve">, </w:t>
      </w:r>
      <w:r w:rsidR="005C2CB8">
        <w:rPr>
          <w:rFonts w:ascii="Arial" w:eastAsia="Times New Roman" w:hAnsi="Arial" w:cs="Arial"/>
        </w:rPr>
        <w:t>loss of response (</w:t>
      </w:r>
      <w:r w:rsidR="005C2CB8" w:rsidRPr="00A11348">
        <w:rPr>
          <w:rFonts w:ascii="Arial" w:eastAsia="Times New Roman" w:hAnsi="Arial" w:cs="Arial"/>
        </w:rPr>
        <w:t>secondary non-responders</w:t>
      </w:r>
      <w:r w:rsidR="005C2CB8">
        <w:rPr>
          <w:rFonts w:ascii="Arial" w:eastAsia="Times New Roman" w:hAnsi="Arial" w:cs="Arial"/>
        </w:rPr>
        <w:t>)</w:t>
      </w:r>
      <w:r w:rsidR="005C2CB8" w:rsidRPr="00A11348">
        <w:rPr>
          <w:rFonts w:ascii="Arial" w:eastAsia="Times New Roman" w:hAnsi="Arial" w:cs="Arial"/>
        </w:rPr>
        <w:t xml:space="preserve"> or those who were intolerant</w:t>
      </w:r>
      <w:r w:rsidR="005C2CB8" w:rsidRPr="00AC1807">
        <w:rPr>
          <w:rFonts w:ascii="Arial" w:eastAsia="Times New Roman" w:hAnsi="Arial" w:cs="Arial"/>
        </w:rPr>
        <w:t>.</w:t>
      </w:r>
      <w:r w:rsidR="005C2CB8">
        <w:rPr>
          <w:rFonts w:ascii="Arial" w:eastAsia="Times New Roman" w:hAnsi="Arial" w:cs="Arial"/>
        </w:rPr>
        <w:t xml:space="preserve"> </w:t>
      </w:r>
    </w:p>
    <w:p w:rsidR="00473306" w:rsidRPr="00634D75" w:rsidRDefault="00473306" w:rsidP="00473306">
      <w:pPr>
        <w:spacing w:after="240" w:line="240" w:lineRule="auto"/>
        <w:jc w:val="both"/>
        <w:rPr>
          <w:rFonts w:ascii="Arial" w:eastAsia="Times New Roman" w:hAnsi="Arial" w:cs="Arial"/>
          <w:u w:val="single"/>
        </w:rPr>
      </w:pPr>
      <w:r w:rsidRPr="00634D75">
        <w:rPr>
          <w:rFonts w:ascii="Arial" w:eastAsia="Times New Roman" w:hAnsi="Arial" w:cs="Arial"/>
          <w:u w:val="single"/>
        </w:rPr>
        <w:t>Induction</w:t>
      </w:r>
    </w:p>
    <w:p w:rsidR="009C41EA" w:rsidRDefault="003B16BB" w:rsidP="00C847CC">
      <w:pPr>
        <w:autoSpaceDE w:val="0"/>
        <w:autoSpaceDN w:val="0"/>
        <w:adjustRightInd w:val="0"/>
        <w:spacing w:after="0" w:line="240" w:lineRule="auto"/>
        <w:jc w:val="both"/>
        <w:rPr>
          <w:rFonts w:ascii="Arial" w:eastAsia="Times New Roman" w:hAnsi="Arial" w:cs="Arial"/>
        </w:rPr>
      </w:pPr>
      <w:r w:rsidRPr="00666ADD">
        <w:rPr>
          <w:rFonts w:ascii="Arial" w:eastAsia="Times New Roman" w:hAnsi="Arial" w:cs="Arial"/>
        </w:rPr>
        <w:lastRenderedPageBreak/>
        <w:t>The GEMINI II Study was a randomised, double</w:t>
      </w:r>
      <w:r w:rsidRPr="00666ADD">
        <w:rPr>
          <w:rFonts w:ascii="Arial" w:eastAsia="Times New Roman" w:hAnsi="Arial" w:cs="Arial"/>
        </w:rPr>
        <w:noBreakHyphen/>
        <w:t>blind, placebo</w:t>
      </w:r>
      <w:r w:rsidRPr="00666ADD">
        <w:rPr>
          <w:rFonts w:ascii="Arial" w:eastAsia="Times New Roman" w:hAnsi="Arial" w:cs="Arial"/>
        </w:rPr>
        <w:noBreakHyphen/>
        <w:t>controlled study evaluating efficacy endpoints at Week 6 and Week 52. Patients (n=368) were randomised in a double</w:t>
      </w:r>
      <w:r w:rsidRPr="00666ADD">
        <w:rPr>
          <w:rFonts w:ascii="Arial" w:eastAsia="Times New Roman" w:hAnsi="Arial" w:cs="Arial"/>
        </w:rPr>
        <w:noBreakHyphen/>
        <w:t xml:space="preserve">blind fashion (3:2) to receive two doses of vedolizumab 300 mg or placebo at Week 0 and Week 2. </w:t>
      </w:r>
      <w:r w:rsidR="005C2CB8">
        <w:rPr>
          <w:rFonts w:ascii="Arial" w:eastAsia="Times New Roman" w:hAnsi="Arial" w:cs="Arial"/>
        </w:rPr>
        <w:t xml:space="preserve"> Concomitant medications were permitted, and patients received corticosteroids (49%), immunomodulators (35%), and aminosalicylates (46%). </w:t>
      </w:r>
      <w:r w:rsidRPr="00666ADD">
        <w:rPr>
          <w:rFonts w:ascii="Arial" w:eastAsia="Times New Roman" w:hAnsi="Arial" w:cs="Arial"/>
        </w:rPr>
        <w:t xml:space="preserve">The two primary endpoints were the proportion of patients in clinical remission (defined as CDAI score ≤150 points) at Week 6 and the proportion of patients with enhanced clinical response </w:t>
      </w:r>
      <w:r w:rsidRPr="00944BA0">
        <w:rPr>
          <w:rFonts w:ascii="Arial" w:eastAsia="Times New Roman" w:hAnsi="Arial" w:cs="Arial"/>
        </w:rPr>
        <w:t>(defined as a ≥100</w:t>
      </w:r>
      <w:r w:rsidRPr="00944BA0">
        <w:rPr>
          <w:rFonts w:ascii="Arial" w:eastAsia="Times New Roman" w:hAnsi="Arial" w:cs="Arial"/>
        </w:rPr>
        <w:noBreakHyphen/>
        <w:t>point decrease in CDAI score from baseline) at Week 6.</w:t>
      </w:r>
      <w:r w:rsidRPr="00666ADD">
        <w:rPr>
          <w:rFonts w:ascii="Arial" w:eastAsia="Times New Roman" w:hAnsi="Arial" w:cs="Arial"/>
        </w:rPr>
        <w:t xml:space="preserve"> </w:t>
      </w:r>
      <w:r w:rsidR="00C847CC">
        <w:rPr>
          <w:rFonts w:ascii="Arial" w:eastAsia="Times New Roman" w:hAnsi="Arial" w:cs="Arial"/>
        </w:rPr>
        <w:t>A</w:t>
      </w:r>
      <w:r w:rsidR="00C847CC" w:rsidRPr="00C847CC">
        <w:rPr>
          <w:rFonts w:ascii="Arial" w:eastAsia="Times New Roman" w:hAnsi="Arial" w:cs="Arial"/>
        </w:rPr>
        <w:t xml:space="preserve"> statistically significantly higher percentage of patients treated with </w:t>
      </w:r>
      <w:r w:rsidR="00C847CC">
        <w:rPr>
          <w:rFonts w:ascii="Arial" w:eastAsia="Times New Roman" w:hAnsi="Arial" w:cs="Arial"/>
        </w:rPr>
        <w:t xml:space="preserve">vedolizumab </w:t>
      </w:r>
      <w:r w:rsidR="00C847CC" w:rsidRPr="00C847CC">
        <w:rPr>
          <w:rFonts w:ascii="Arial" w:eastAsia="Times New Roman" w:hAnsi="Arial" w:cs="Arial"/>
        </w:rPr>
        <w:t>achieved clinical remission</w:t>
      </w:r>
      <w:r w:rsidR="00C847CC">
        <w:rPr>
          <w:rFonts w:ascii="Arial" w:eastAsia="Times New Roman" w:hAnsi="Arial" w:cs="Arial"/>
        </w:rPr>
        <w:t xml:space="preserve"> </w:t>
      </w:r>
      <w:r w:rsidR="00C847CC" w:rsidRPr="00C847CC">
        <w:rPr>
          <w:rFonts w:ascii="Arial" w:eastAsia="Times New Roman" w:hAnsi="Arial" w:cs="Arial"/>
        </w:rPr>
        <w:t xml:space="preserve">as compared to placebo at Week 6. The difference in the percentage of patients who demonstrated </w:t>
      </w:r>
      <w:r w:rsidR="00C847CC">
        <w:rPr>
          <w:rFonts w:ascii="Arial" w:eastAsia="Times New Roman" w:hAnsi="Arial" w:cs="Arial"/>
        </w:rPr>
        <w:t xml:space="preserve">enhanced </w:t>
      </w:r>
      <w:r w:rsidR="00C847CC" w:rsidRPr="00C847CC">
        <w:rPr>
          <w:rFonts w:ascii="Arial" w:eastAsia="Times New Roman" w:hAnsi="Arial" w:cs="Arial"/>
        </w:rPr>
        <w:t>clinical response, was however, not statistically</w:t>
      </w:r>
      <w:r w:rsidR="00C847CC">
        <w:rPr>
          <w:rFonts w:ascii="Arial" w:eastAsia="Times New Roman" w:hAnsi="Arial" w:cs="Arial"/>
        </w:rPr>
        <w:t xml:space="preserve"> </w:t>
      </w:r>
      <w:r w:rsidR="00C847CC" w:rsidRPr="00C847CC">
        <w:rPr>
          <w:rFonts w:ascii="Arial" w:eastAsia="Times New Roman" w:hAnsi="Arial" w:cs="Arial"/>
        </w:rPr>
        <w:t>significant at Week 6</w:t>
      </w:r>
      <w:r w:rsidR="00633C20">
        <w:rPr>
          <w:rFonts w:ascii="Arial" w:eastAsia="Times New Roman" w:hAnsi="Arial" w:cs="Arial"/>
        </w:rPr>
        <w:t xml:space="preserve"> </w:t>
      </w:r>
      <w:r w:rsidR="00633C20" w:rsidRPr="00944BA0">
        <w:rPr>
          <w:rFonts w:ascii="Arial" w:eastAsia="Times New Roman" w:hAnsi="Arial" w:cs="Arial"/>
        </w:rPr>
        <w:t>(see Table 3)</w:t>
      </w:r>
      <w:r w:rsidR="00C847CC" w:rsidRPr="00C847CC">
        <w:rPr>
          <w:rFonts w:ascii="Arial" w:eastAsia="Times New Roman" w:hAnsi="Arial" w:cs="Arial"/>
        </w:rPr>
        <w:t>.</w:t>
      </w:r>
    </w:p>
    <w:p w:rsidR="009C41EA" w:rsidRDefault="009C41EA" w:rsidP="00872D31">
      <w:pPr>
        <w:autoSpaceDE w:val="0"/>
        <w:autoSpaceDN w:val="0"/>
        <w:adjustRightInd w:val="0"/>
        <w:spacing w:after="0" w:line="240" w:lineRule="auto"/>
        <w:jc w:val="both"/>
        <w:rPr>
          <w:rFonts w:ascii="Arial" w:eastAsia="Times New Roman" w:hAnsi="Arial" w:cs="Arial"/>
        </w:rPr>
      </w:pPr>
    </w:p>
    <w:p w:rsidR="009C41EA" w:rsidRPr="00872D31" w:rsidRDefault="009C41EA" w:rsidP="00872D31">
      <w:pPr>
        <w:autoSpaceDE w:val="0"/>
        <w:autoSpaceDN w:val="0"/>
        <w:adjustRightInd w:val="0"/>
        <w:spacing w:after="0" w:line="240" w:lineRule="auto"/>
        <w:jc w:val="both"/>
        <w:rPr>
          <w:rFonts w:ascii="Arial" w:eastAsia="Times New Roman" w:hAnsi="Arial" w:cs="Arial"/>
        </w:rPr>
      </w:pPr>
      <w:r w:rsidRPr="00872D31">
        <w:rPr>
          <w:rFonts w:ascii="Arial" w:eastAsia="Times New Roman" w:hAnsi="Arial" w:cs="Arial"/>
        </w:rPr>
        <w:t>Almost 50% of the overall population in GEMINI II had failed prior TNF</w:t>
      </w:r>
      <w:r w:rsidR="00872D31">
        <w:rPr>
          <w:rFonts w:ascii="Arial" w:eastAsia="Times New Roman" w:hAnsi="Arial" w:cs="Arial"/>
        </w:rPr>
        <w:t xml:space="preserve">α </w:t>
      </w:r>
      <w:r w:rsidRPr="00872D31">
        <w:rPr>
          <w:rFonts w:ascii="Arial" w:eastAsia="Times New Roman" w:hAnsi="Arial" w:cs="Arial"/>
        </w:rPr>
        <w:t xml:space="preserve">antagonist therapy. The beneficial effect of </w:t>
      </w:r>
      <w:r w:rsidR="00D94DAC">
        <w:rPr>
          <w:rFonts w:ascii="Arial" w:eastAsia="Times New Roman" w:hAnsi="Arial" w:cs="Arial"/>
        </w:rPr>
        <w:t>ENTYVIO</w:t>
      </w:r>
      <w:r w:rsidRPr="00872D31">
        <w:rPr>
          <w:rFonts w:ascii="Arial" w:eastAsia="Times New Roman" w:hAnsi="Arial" w:cs="Arial"/>
        </w:rPr>
        <w:t xml:space="preserve"> on clinical remission was similar in patients </w:t>
      </w:r>
      <w:r w:rsidR="005C2CB8">
        <w:rPr>
          <w:rFonts w:ascii="Arial" w:eastAsia="Times New Roman" w:hAnsi="Arial" w:cs="Arial"/>
        </w:rPr>
        <w:t xml:space="preserve">naive to </w:t>
      </w:r>
      <w:r w:rsidRPr="00872D31">
        <w:rPr>
          <w:rFonts w:ascii="Arial" w:eastAsia="Times New Roman" w:hAnsi="Arial" w:cs="Arial"/>
        </w:rPr>
        <w:t>TNF</w:t>
      </w:r>
      <w:r w:rsidR="00872D31">
        <w:rPr>
          <w:rFonts w:ascii="Arial" w:eastAsia="Times New Roman" w:hAnsi="Arial" w:cs="Arial"/>
        </w:rPr>
        <w:t>α</w:t>
      </w:r>
      <w:r w:rsidRPr="00872D31">
        <w:rPr>
          <w:rFonts w:ascii="Arial" w:eastAsia="Times New Roman" w:hAnsi="Arial" w:cs="Arial"/>
        </w:rPr>
        <w:t xml:space="preserve"> antagonist exposure as well as in those who had failed prior TNF</w:t>
      </w:r>
      <w:r w:rsidR="00872D31">
        <w:rPr>
          <w:rFonts w:ascii="Arial" w:eastAsia="Times New Roman" w:hAnsi="Arial" w:cs="Arial"/>
        </w:rPr>
        <w:t>α</w:t>
      </w:r>
      <w:r w:rsidRPr="00872D31">
        <w:rPr>
          <w:rFonts w:ascii="Arial" w:eastAsia="Times New Roman" w:hAnsi="Arial" w:cs="Arial"/>
        </w:rPr>
        <w:t xml:space="preserve"> antagonist therapy.</w:t>
      </w:r>
    </w:p>
    <w:p w:rsidR="0012660C" w:rsidRPr="00872D31" w:rsidRDefault="0012660C" w:rsidP="00872D31">
      <w:pPr>
        <w:autoSpaceDE w:val="0"/>
        <w:autoSpaceDN w:val="0"/>
        <w:adjustRightInd w:val="0"/>
        <w:spacing w:after="0" w:line="240" w:lineRule="auto"/>
        <w:rPr>
          <w:rFonts w:ascii="Arial" w:eastAsia="Times New Roman" w:hAnsi="Arial" w:cs="Arial"/>
        </w:rPr>
      </w:pPr>
    </w:p>
    <w:p w:rsidR="00307765" w:rsidRDefault="003B16BB" w:rsidP="00666ADD">
      <w:pPr>
        <w:spacing w:after="240" w:line="240" w:lineRule="auto"/>
        <w:jc w:val="both"/>
        <w:rPr>
          <w:rFonts w:ascii="Arial" w:eastAsia="Times New Roman" w:hAnsi="Arial" w:cs="Arial"/>
        </w:rPr>
      </w:pPr>
      <w:r w:rsidRPr="00666ADD">
        <w:rPr>
          <w:rFonts w:ascii="Arial" w:eastAsia="Times New Roman" w:hAnsi="Arial" w:cs="Arial"/>
        </w:rPr>
        <w:t>The GEMINI III Study was a second randomised, double</w:t>
      </w:r>
      <w:r w:rsidRPr="00666ADD">
        <w:rPr>
          <w:rFonts w:ascii="Arial" w:eastAsia="Times New Roman" w:hAnsi="Arial" w:cs="Arial"/>
        </w:rPr>
        <w:noBreakHyphen/>
        <w:t>blind, placebo</w:t>
      </w:r>
      <w:r w:rsidRPr="00666ADD">
        <w:rPr>
          <w:rFonts w:ascii="Arial" w:eastAsia="Times New Roman" w:hAnsi="Arial" w:cs="Arial"/>
        </w:rPr>
        <w:noBreakHyphen/>
        <w:t xml:space="preserve">controlled study that evaluated efficacy at Week 6 and Week 10 in the subgroup of patients defined as having failed at least one conventional therapy and failed </w:t>
      </w:r>
      <w:r w:rsidR="009C41EA">
        <w:rPr>
          <w:rFonts w:ascii="Arial" w:eastAsia="Times New Roman" w:hAnsi="Arial" w:cs="Arial"/>
        </w:rPr>
        <w:t xml:space="preserve">one or more </w:t>
      </w:r>
      <w:r w:rsidRPr="00666ADD">
        <w:rPr>
          <w:rFonts w:ascii="Arial" w:eastAsia="Times New Roman" w:hAnsi="Arial" w:cs="Arial"/>
        </w:rPr>
        <w:t>TNF</w:t>
      </w:r>
      <w:r w:rsidRPr="00666ADD">
        <w:rPr>
          <w:rFonts w:ascii="Arial" w:eastAsia="Times New Roman" w:hAnsi="Arial" w:cs="Arial"/>
        </w:rPr>
        <w:sym w:font="Symbol" w:char="F061"/>
      </w:r>
      <w:r w:rsidRPr="00666ADD">
        <w:rPr>
          <w:rFonts w:ascii="Arial" w:eastAsia="Times New Roman" w:hAnsi="Arial" w:cs="Arial"/>
        </w:rPr>
        <w:t xml:space="preserve"> antagonist therapy</w:t>
      </w:r>
      <w:r w:rsidR="005C2CB8">
        <w:rPr>
          <w:rFonts w:ascii="Arial" w:eastAsia="Times New Roman" w:hAnsi="Arial" w:cs="Arial"/>
        </w:rPr>
        <w:t>,</w:t>
      </w:r>
      <w:r w:rsidRPr="00666ADD">
        <w:rPr>
          <w:rFonts w:ascii="Arial" w:eastAsia="Times New Roman" w:hAnsi="Arial" w:cs="Arial"/>
        </w:rPr>
        <w:t xml:space="preserve"> as well as the overall population, which also included patients who failed at least one conventional therapy and were naïve to TNF</w:t>
      </w:r>
      <w:r w:rsidRPr="00666ADD">
        <w:rPr>
          <w:rFonts w:ascii="Arial" w:eastAsia="Times New Roman" w:hAnsi="Arial" w:cs="Arial"/>
        </w:rPr>
        <w:sym w:font="Symbol" w:char="F061"/>
      </w:r>
      <w:r w:rsidRPr="00666ADD">
        <w:rPr>
          <w:rFonts w:ascii="Arial" w:eastAsia="Times New Roman" w:hAnsi="Arial" w:cs="Arial"/>
        </w:rPr>
        <w:t xml:space="preserve"> antagonist therapy. </w:t>
      </w:r>
      <w:r w:rsidR="005C2CB8">
        <w:rPr>
          <w:rFonts w:ascii="Arial" w:eastAsia="Times New Roman" w:hAnsi="Arial" w:cs="Arial"/>
        </w:rPr>
        <w:t xml:space="preserve">TNFα antagonist failure patients </w:t>
      </w:r>
      <w:r w:rsidR="005C2CB8" w:rsidRPr="00872D31">
        <w:rPr>
          <w:rFonts w:ascii="Arial" w:eastAsia="Times New Roman" w:hAnsi="Arial" w:cs="Arial"/>
        </w:rPr>
        <w:t>includ</w:t>
      </w:r>
      <w:r w:rsidR="005C2CB8">
        <w:rPr>
          <w:rFonts w:ascii="Arial" w:eastAsia="Times New Roman" w:hAnsi="Arial" w:cs="Arial"/>
        </w:rPr>
        <w:t>ed those who had inadequate response (</w:t>
      </w:r>
      <w:r w:rsidR="005C2CB8" w:rsidRPr="00872D31">
        <w:rPr>
          <w:rFonts w:ascii="Arial" w:eastAsia="Times New Roman" w:hAnsi="Arial" w:cs="Arial"/>
        </w:rPr>
        <w:t>primary non</w:t>
      </w:r>
      <w:r w:rsidR="005C2CB8" w:rsidRPr="00872D31">
        <w:rPr>
          <w:rFonts w:ascii="Arial" w:eastAsia="Times New Roman" w:hAnsi="Arial" w:cs="Arial"/>
        </w:rPr>
        <w:noBreakHyphen/>
        <w:t>responders</w:t>
      </w:r>
      <w:r w:rsidR="005C2CB8">
        <w:rPr>
          <w:rFonts w:ascii="Arial" w:eastAsia="Times New Roman" w:hAnsi="Arial" w:cs="Arial"/>
        </w:rPr>
        <w:t>)</w:t>
      </w:r>
      <w:r w:rsidR="005C2CB8" w:rsidRPr="00872D31">
        <w:rPr>
          <w:rFonts w:ascii="Arial" w:eastAsia="Times New Roman" w:hAnsi="Arial" w:cs="Arial"/>
        </w:rPr>
        <w:t xml:space="preserve">, </w:t>
      </w:r>
      <w:r w:rsidR="005C2CB8">
        <w:rPr>
          <w:rFonts w:ascii="Arial" w:eastAsia="Times New Roman" w:hAnsi="Arial" w:cs="Arial"/>
        </w:rPr>
        <w:t>loss of response (</w:t>
      </w:r>
      <w:r w:rsidR="005C2CB8" w:rsidRPr="00872D31">
        <w:rPr>
          <w:rFonts w:ascii="Arial" w:eastAsia="Times New Roman" w:hAnsi="Arial" w:cs="Arial"/>
        </w:rPr>
        <w:t>secondary non-responders</w:t>
      </w:r>
      <w:r w:rsidR="005C2CB8">
        <w:rPr>
          <w:rFonts w:ascii="Arial" w:eastAsia="Times New Roman" w:hAnsi="Arial" w:cs="Arial"/>
        </w:rPr>
        <w:t>)</w:t>
      </w:r>
      <w:r w:rsidR="005C2CB8" w:rsidRPr="00872D31">
        <w:rPr>
          <w:rFonts w:ascii="Arial" w:eastAsia="Times New Roman" w:hAnsi="Arial" w:cs="Arial"/>
        </w:rPr>
        <w:t xml:space="preserve"> or those who were intolerant</w:t>
      </w:r>
      <w:r w:rsidR="005C2CB8">
        <w:rPr>
          <w:rFonts w:ascii="Arial" w:eastAsia="Times New Roman" w:hAnsi="Arial" w:cs="Arial"/>
        </w:rPr>
        <w:t xml:space="preserve">. </w:t>
      </w:r>
      <w:r w:rsidRPr="00666ADD">
        <w:rPr>
          <w:rFonts w:ascii="Arial" w:eastAsia="Times New Roman" w:hAnsi="Arial" w:cs="Arial"/>
        </w:rPr>
        <w:t>Patients (n=416), which included approximately 75% TNF</w:t>
      </w:r>
      <w:r w:rsidRPr="00666ADD">
        <w:rPr>
          <w:rFonts w:ascii="Arial" w:eastAsia="Times New Roman" w:hAnsi="Arial" w:cs="Arial"/>
        </w:rPr>
        <w:sym w:font="Symbol" w:char="F061"/>
      </w:r>
      <w:r w:rsidRPr="00666ADD">
        <w:rPr>
          <w:rFonts w:ascii="Arial" w:eastAsia="Times New Roman" w:hAnsi="Arial" w:cs="Arial"/>
        </w:rPr>
        <w:t xml:space="preserve"> antagonist failures patients, were randomised in a double</w:t>
      </w:r>
      <w:r w:rsidRPr="00666ADD">
        <w:rPr>
          <w:rFonts w:ascii="Arial" w:eastAsia="Times New Roman" w:hAnsi="Arial" w:cs="Arial"/>
        </w:rPr>
        <w:noBreakHyphen/>
        <w:t xml:space="preserve">blind fashion (1:1) to receive either vedolizumab 300 mg or placebo at Weeks 0, 2, and 6. </w:t>
      </w:r>
      <w:r w:rsidR="005C2CB8">
        <w:rPr>
          <w:rFonts w:ascii="Arial" w:eastAsia="Times New Roman" w:hAnsi="Arial" w:cs="Arial"/>
        </w:rPr>
        <w:t xml:space="preserve">Concomitant medications were permitted, and patients received corticosteroids (54%), immumodulators (34%), and aminosalicylates (31%). </w:t>
      </w:r>
      <w:r w:rsidRPr="00666ADD">
        <w:rPr>
          <w:rFonts w:ascii="Arial" w:eastAsia="Times New Roman" w:hAnsi="Arial" w:cs="Arial"/>
        </w:rPr>
        <w:t>The primary endpoint was the proportion of patients in clinical remission at Week 6 in the TNF</w:t>
      </w:r>
      <w:r w:rsidRPr="00666ADD">
        <w:rPr>
          <w:rFonts w:ascii="Arial" w:eastAsia="Times New Roman" w:hAnsi="Arial" w:cs="Arial"/>
        </w:rPr>
        <w:sym w:font="Symbol" w:char="F061"/>
      </w:r>
      <w:r w:rsidRPr="00666ADD">
        <w:rPr>
          <w:rFonts w:ascii="Arial" w:eastAsia="Times New Roman" w:hAnsi="Arial" w:cs="Arial"/>
        </w:rPr>
        <w:t xml:space="preserve"> antagonist failure subpopulation. </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1418"/>
        <w:gridCol w:w="992"/>
        <w:gridCol w:w="1701"/>
      </w:tblGrid>
      <w:tr w:rsidR="00FA5E1A" w:rsidRPr="00F440CA" w:rsidTr="00D60A21">
        <w:trPr>
          <w:trHeight w:val="422"/>
          <w:jc w:val="center"/>
        </w:trPr>
        <w:tc>
          <w:tcPr>
            <w:tcW w:w="8330" w:type="dxa"/>
            <w:gridSpan w:val="5"/>
            <w:tcBorders>
              <w:top w:val="nil"/>
              <w:left w:val="nil"/>
              <w:right w:val="nil"/>
            </w:tcBorders>
            <w:shd w:val="clear" w:color="auto" w:fill="auto"/>
            <w:vAlign w:val="bottom"/>
          </w:tcPr>
          <w:p w:rsidR="00FA5E1A" w:rsidRPr="00F440CA" w:rsidRDefault="00FA5E1A" w:rsidP="00FC1354">
            <w:pPr>
              <w:pStyle w:val="Caption"/>
              <w:ind w:left="973" w:hanging="973"/>
              <w:rPr>
                <w:rFonts w:ascii="Arial" w:hAnsi="Arial" w:cs="Arial"/>
                <w:sz w:val="20"/>
                <w:szCs w:val="20"/>
              </w:rPr>
            </w:pPr>
            <w:r w:rsidRPr="00F440CA">
              <w:rPr>
                <w:rFonts w:ascii="Arial" w:hAnsi="Arial" w:cs="Arial"/>
                <w:sz w:val="20"/>
                <w:szCs w:val="20"/>
              </w:rPr>
              <w:t xml:space="preserve">Table </w:t>
            </w:r>
            <w:r w:rsidR="0051470C" w:rsidRPr="00F440CA">
              <w:rPr>
                <w:rFonts w:ascii="Arial" w:hAnsi="Arial" w:cs="Arial"/>
                <w:sz w:val="20"/>
                <w:szCs w:val="20"/>
              </w:rPr>
              <w:fldChar w:fldCharType="begin"/>
            </w:r>
            <w:r w:rsidRPr="00F440CA">
              <w:rPr>
                <w:rFonts w:ascii="Arial" w:hAnsi="Arial" w:cs="Arial"/>
                <w:sz w:val="20"/>
                <w:szCs w:val="20"/>
              </w:rPr>
              <w:instrText xml:space="preserve"> SEQ Table \* ARABIC </w:instrText>
            </w:r>
            <w:r w:rsidR="0051470C" w:rsidRPr="00F440CA">
              <w:rPr>
                <w:rFonts w:ascii="Arial" w:hAnsi="Arial" w:cs="Arial"/>
                <w:sz w:val="20"/>
                <w:szCs w:val="20"/>
              </w:rPr>
              <w:fldChar w:fldCharType="separate"/>
            </w:r>
            <w:r w:rsidR="00B95525">
              <w:rPr>
                <w:rFonts w:ascii="Arial" w:hAnsi="Arial" w:cs="Arial"/>
                <w:noProof/>
                <w:sz w:val="20"/>
                <w:szCs w:val="20"/>
              </w:rPr>
              <w:t>3</w:t>
            </w:r>
            <w:r w:rsidR="0051470C" w:rsidRPr="00F440CA">
              <w:rPr>
                <w:rFonts w:ascii="Arial" w:hAnsi="Arial" w:cs="Arial"/>
                <w:sz w:val="20"/>
                <w:szCs w:val="20"/>
              </w:rPr>
              <w:fldChar w:fldCharType="end"/>
            </w:r>
            <w:r w:rsidRPr="00F440CA">
              <w:rPr>
                <w:rFonts w:ascii="Arial" w:hAnsi="Arial" w:cs="Arial"/>
                <w:sz w:val="20"/>
                <w:szCs w:val="20"/>
              </w:rPr>
              <w:tab/>
              <w:t xml:space="preserve">Efficacy Results for GEMINI II and III Studies at Week 6 </w:t>
            </w:r>
          </w:p>
        </w:tc>
      </w:tr>
      <w:tr w:rsidR="00DE01A4" w:rsidRPr="00DE01A4" w:rsidTr="00D436A1">
        <w:trPr>
          <w:trHeight w:val="422"/>
          <w:jc w:val="center"/>
        </w:trPr>
        <w:tc>
          <w:tcPr>
            <w:tcW w:w="2802" w:type="dxa"/>
            <w:tcBorders>
              <w:bottom w:val="single" w:sz="4" w:space="0" w:color="auto"/>
            </w:tcBorders>
            <w:shd w:val="clear" w:color="auto" w:fill="auto"/>
            <w:vAlign w:val="center"/>
          </w:tcPr>
          <w:p w:rsidR="00DE01A4" w:rsidRPr="00F440CA" w:rsidRDefault="00DE01A4" w:rsidP="00DE01A4">
            <w:pPr>
              <w:widowControl w:val="0"/>
              <w:spacing w:after="40" w:line="240" w:lineRule="auto"/>
              <w:jc w:val="center"/>
              <w:rPr>
                <w:rFonts w:ascii="Arial" w:hAnsi="Arial" w:cs="Arial"/>
                <w:sz w:val="20"/>
                <w:szCs w:val="20"/>
              </w:rPr>
            </w:pPr>
            <w:r w:rsidRPr="00F440CA">
              <w:rPr>
                <w:rFonts w:ascii="Arial" w:hAnsi="Arial" w:cs="Arial"/>
                <w:sz w:val="20"/>
                <w:szCs w:val="20"/>
              </w:rPr>
              <w:t>Endpoint</w:t>
            </w:r>
          </w:p>
        </w:tc>
        <w:tc>
          <w:tcPr>
            <w:tcW w:w="1417" w:type="dxa"/>
            <w:tcBorders>
              <w:bottom w:val="single" w:sz="4" w:space="0" w:color="auto"/>
            </w:tcBorders>
            <w:vAlign w:val="center"/>
          </w:tcPr>
          <w:p w:rsidR="00DE01A4" w:rsidRPr="00F440CA" w:rsidRDefault="00DE01A4" w:rsidP="00DE01A4">
            <w:pPr>
              <w:widowControl w:val="0"/>
              <w:spacing w:after="40" w:line="240" w:lineRule="auto"/>
              <w:jc w:val="center"/>
              <w:rPr>
                <w:rFonts w:ascii="Arial" w:hAnsi="Arial" w:cs="Arial"/>
                <w:sz w:val="20"/>
                <w:szCs w:val="20"/>
              </w:rPr>
            </w:pPr>
            <w:r w:rsidRPr="00F440CA">
              <w:rPr>
                <w:rFonts w:ascii="Arial" w:hAnsi="Arial" w:cs="Arial"/>
                <w:sz w:val="20"/>
                <w:szCs w:val="20"/>
              </w:rPr>
              <w:t>Placebo</w:t>
            </w:r>
          </w:p>
        </w:tc>
        <w:tc>
          <w:tcPr>
            <w:tcW w:w="1418" w:type="dxa"/>
            <w:tcBorders>
              <w:bottom w:val="single" w:sz="4" w:space="0" w:color="auto"/>
            </w:tcBorders>
            <w:shd w:val="clear" w:color="auto" w:fill="auto"/>
            <w:vAlign w:val="center"/>
          </w:tcPr>
          <w:p w:rsidR="00DE01A4" w:rsidRPr="00F440CA" w:rsidRDefault="00DE01A4" w:rsidP="00DE01A4">
            <w:pPr>
              <w:widowControl w:val="0"/>
              <w:spacing w:after="40" w:line="240" w:lineRule="auto"/>
              <w:jc w:val="center"/>
              <w:rPr>
                <w:rFonts w:ascii="Arial" w:hAnsi="Arial" w:cs="Arial"/>
                <w:sz w:val="20"/>
                <w:szCs w:val="20"/>
              </w:rPr>
            </w:pPr>
            <w:r w:rsidRPr="00F440CA">
              <w:rPr>
                <w:rFonts w:ascii="Arial" w:hAnsi="Arial" w:cs="Arial"/>
                <w:sz w:val="20"/>
                <w:szCs w:val="20"/>
              </w:rPr>
              <w:t>Vedolizumab</w:t>
            </w:r>
          </w:p>
        </w:tc>
        <w:tc>
          <w:tcPr>
            <w:tcW w:w="992" w:type="dxa"/>
            <w:tcBorders>
              <w:bottom w:val="single" w:sz="4" w:space="0" w:color="auto"/>
            </w:tcBorders>
            <w:vAlign w:val="center"/>
          </w:tcPr>
          <w:p w:rsidR="00DE01A4" w:rsidRPr="00F440CA" w:rsidRDefault="00DE01A4" w:rsidP="00DE01A4">
            <w:pPr>
              <w:widowControl w:val="0"/>
              <w:spacing w:after="40" w:line="240" w:lineRule="auto"/>
              <w:jc w:val="center"/>
              <w:rPr>
                <w:rFonts w:ascii="Arial" w:hAnsi="Arial" w:cs="Arial"/>
                <w:sz w:val="20"/>
                <w:szCs w:val="20"/>
              </w:rPr>
            </w:pPr>
            <w:r w:rsidRPr="00DE01A4">
              <w:rPr>
                <w:rFonts w:ascii="Arial" w:hAnsi="Arial" w:cs="Arial"/>
                <w:sz w:val="20"/>
                <w:szCs w:val="20"/>
              </w:rPr>
              <w:t>p-value</w:t>
            </w:r>
          </w:p>
        </w:tc>
        <w:tc>
          <w:tcPr>
            <w:tcW w:w="1701" w:type="dxa"/>
            <w:tcBorders>
              <w:bottom w:val="single" w:sz="4" w:space="0" w:color="auto"/>
            </w:tcBorders>
            <w:vAlign w:val="center"/>
          </w:tcPr>
          <w:p w:rsidR="00DE01A4" w:rsidRPr="00DE01A4" w:rsidRDefault="00DE01A4" w:rsidP="00DE01A4">
            <w:pPr>
              <w:widowControl w:val="0"/>
              <w:spacing w:after="40" w:line="240" w:lineRule="auto"/>
              <w:jc w:val="center"/>
              <w:rPr>
                <w:rFonts w:ascii="Arial" w:hAnsi="Arial" w:cs="Arial"/>
                <w:sz w:val="20"/>
                <w:szCs w:val="20"/>
              </w:rPr>
            </w:pPr>
            <w:r w:rsidRPr="00DE01A4">
              <w:rPr>
                <w:rFonts w:ascii="Arial" w:hAnsi="Arial" w:cs="Arial"/>
                <w:sz w:val="20"/>
                <w:szCs w:val="20"/>
              </w:rPr>
              <w:t>Treatment</w:t>
            </w:r>
          </w:p>
          <w:p w:rsidR="00DE01A4" w:rsidRPr="00DE01A4" w:rsidRDefault="00DE01A4" w:rsidP="00DE01A4">
            <w:pPr>
              <w:widowControl w:val="0"/>
              <w:spacing w:after="40" w:line="240" w:lineRule="auto"/>
              <w:jc w:val="center"/>
              <w:rPr>
                <w:rFonts w:ascii="Arial" w:hAnsi="Arial" w:cs="Arial"/>
                <w:sz w:val="20"/>
                <w:szCs w:val="20"/>
              </w:rPr>
            </w:pPr>
            <w:r w:rsidRPr="00DE01A4">
              <w:rPr>
                <w:rFonts w:ascii="Arial" w:hAnsi="Arial" w:cs="Arial"/>
                <w:sz w:val="20"/>
                <w:szCs w:val="20"/>
              </w:rPr>
              <w:t>Difference</w:t>
            </w:r>
          </w:p>
          <w:p w:rsidR="00DE01A4" w:rsidRPr="00DE01A4" w:rsidRDefault="00DE01A4" w:rsidP="00DE01A4">
            <w:pPr>
              <w:widowControl w:val="0"/>
              <w:spacing w:after="40" w:line="240" w:lineRule="auto"/>
              <w:jc w:val="center"/>
              <w:rPr>
                <w:rFonts w:ascii="Arial" w:hAnsi="Arial" w:cs="Arial"/>
                <w:sz w:val="20"/>
                <w:szCs w:val="20"/>
              </w:rPr>
            </w:pPr>
            <w:r w:rsidRPr="00DE01A4">
              <w:rPr>
                <w:rFonts w:ascii="Arial" w:hAnsi="Arial" w:cs="Arial"/>
                <w:sz w:val="20"/>
                <w:szCs w:val="20"/>
              </w:rPr>
              <w:t>and</w:t>
            </w:r>
          </w:p>
          <w:p w:rsidR="00DE01A4" w:rsidRPr="00F440CA" w:rsidRDefault="00DE01A4" w:rsidP="00DE01A4">
            <w:pPr>
              <w:widowControl w:val="0"/>
              <w:spacing w:after="40" w:line="240" w:lineRule="auto"/>
              <w:jc w:val="center"/>
              <w:rPr>
                <w:rFonts w:ascii="Arial" w:hAnsi="Arial" w:cs="Arial"/>
                <w:sz w:val="20"/>
                <w:szCs w:val="20"/>
              </w:rPr>
            </w:pPr>
            <w:r w:rsidRPr="00DE01A4">
              <w:rPr>
                <w:rFonts w:ascii="Arial" w:hAnsi="Arial" w:cs="Arial"/>
                <w:sz w:val="20"/>
                <w:szCs w:val="20"/>
              </w:rPr>
              <w:t>95% CI</w:t>
            </w:r>
          </w:p>
        </w:tc>
      </w:tr>
      <w:tr w:rsidR="00DE01A4" w:rsidRPr="00F440CA" w:rsidTr="00D436A1">
        <w:trPr>
          <w:jc w:val="center"/>
        </w:trPr>
        <w:tc>
          <w:tcPr>
            <w:tcW w:w="2802" w:type="dxa"/>
            <w:tcBorders>
              <w:bottom w:val="nil"/>
            </w:tcBorders>
            <w:shd w:val="clear" w:color="auto" w:fill="auto"/>
            <w:vAlign w:val="bottom"/>
          </w:tcPr>
          <w:p w:rsidR="00DE01A4" w:rsidRPr="00F440CA" w:rsidRDefault="00DE01A4" w:rsidP="00AC1807">
            <w:pPr>
              <w:widowControl w:val="0"/>
              <w:tabs>
                <w:tab w:val="left" w:pos="-90"/>
              </w:tabs>
              <w:spacing w:before="60" w:after="60" w:line="240" w:lineRule="auto"/>
              <w:rPr>
                <w:rFonts w:ascii="Arial" w:hAnsi="Arial" w:cs="Arial"/>
                <w:sz w:val="20"/>
                <w:szCs w:val="20"/>
              </w:rPr>
            </w:pPr>
            <w:r w:rsidRPr="00F440CA">
              <w:rPr>
                <w:rFonts w:ascii="Arial" w:hAnsi="Arial" w:cs="Arial"/>
                <w:sz w:val="20"/>
                <w:szCs w:val="20"/>
              </w:rPr>
              <w:t>GEMINI II Study</w:t>
            </w:r>
          </w:p>
        </w:tc>
        <w:tc>
          <w:tcPr>
            <w:tcW w:w="1417" w:type="dxa"/>
            <w:tcBorders>
              <w:bottom w:val="nil"/>
            </w:tcBorders>
            <w:vAlign w:val="bottom"/>
          </w:tcPr>
          <w:p w:rsidR="00DE01A4" w:rsidRPr="00F440CA" w:rsidRDefault="00DE01A4" w:rsidP="00AC1807">
            <w:pPr>
              <w:widowControl w:val="0"/>
              <w:spacing w:before="60" w:after="60" w:line="240" w:lineRule="auto"/>
              <w:jc w:val="center"/>
              <w:rPr>
                <w:rFonts w:ascii="Arial" w:hAnsi="Arial" w:cs="Arial"/>
                <w:sz w:val="20"/>
                <w:szCs w:val="20"/>
              </w:rPr>
            </w:pPr>
          </w:p>
        </w:tc>
        <w:tc>
          <w:tcPr>
            <w:tcW w:w="1418" w:type="dxa"/>
            <w:tcBorders>
              <w:bottom w:val="nil"/>
            </w:tcBorders>
            <w:shd w:val="clear" w:color="auto" w:fill="auto"/>
            <w:vAlign w:val="bottom"/>
          </w:tcPr>
          <w:p w:rsidR="00DE01A4" w:rsidRPr="00F440CA" w:rsidRDefault="00DE01A4" w:rsidP="00AC1807">
            <w:pPr>
              <w:widowControl w:val="0"/>
              <w:spacing w:before="60" w:after="60" w:line="240" w:lineRule="auto"/>
              <w:jc w:val="center"/>
              <w:rPr>
                <w:rFonts w:ascii="Arial" w:hAnsi="Arial" w:cs="Arial"/>
                <w:sz w:val="20"/>
                <w:szCs w:val="20"/>
              </w:rPr>
            </w:pPr>
          </w:p>
        </w:tc>
        <w:tc>
          <w:tcPr>
            <w:tcW w:w="992" w:type="dxa"/>
            <w:tcBorders>
              <w:bottom w:val="nil"/>
            </w:tcBorders>
          </w:tcPr>
          <w:p w:rsidR="00DE01A4" w:rsidRPr="00F440CA" w:rsidRDefault="00DE01A4" w:rsidP="00AC1807">
            <w:pPr>
              <w:widowControl w:val="0"/>
              <w:spacing w:before="60" w:after="60" w:line="240" w:lineRule="auto"/>
              <w:jc w:val="center"/>
              <w:rPr>
                <w:rFonts w:ascii="Arial" w:hAnsi="Arial" w:cs="Arial"/>
                <w:sz w:val="20"/>
                <w:szCs w:val="20"/>
              </w:rPr>
            </w:pPr>
          </w:p>
        </w:tc>
        <w:tc>
          <w:tcPr>
            <w:tcW w:w="1701" w:type="dxa"/>
            <w:tcBorders>
              <w:bottom w:val="nil"/>
            </w:tcBorders>
          </w:tcPr>
          <w:p w:rsidR="00DE01A4" w:rsidRPr="00F440CA" w:rsidRDefault="00DE01A4" w:rsidP="00DE01A4">
            <w:pPr>
              <w:widowControl w:val="0"/>
              <w:spacing w:before="60" w:after="60" w:line="240" w:lineRule="auto"/>
              <w:jc w:val="center"/>
              <w:rPr>
                <w:rFonts w:ascii="Arial" w:hAnsi="Arial" w:cs="Arial"/>
                <w:sz w:val="20"/>
                <w:szCs w:val="20"/>
              </w:rPr>
            </w:pPr>
          </w:p>
        </w:tc>
      </w:tr>
      <w:tr w:rsidR="00DE01A4" w:rsidRPr="00F440CA" w:rsidTr="009C18A4">
        <w:trPr>
          <w:jc w:val="center"/>
        </w:trPr>
        <w:tc>
          <w:tcPr>
            <w:tcW w:w="2802" w:type="dxa"/>
            <w:tcBorders>
              <w:top w:val="nil"/>
              <w:bottom w:val="nil"/>
            </w:tcBorders>
            <w:shd w:val="clear" w:color="auto" w:fill="auto"/>
          </w:tcPr>
          <w:p w:rsidR="00DE01A4" w:rsidRPr="00F440CA" w:rsidRDefault="00DE01A4" w:rsidP="00AC1807">
            <w:pPr>
              <w:widowControl w:val="0"/>
              <w:spacing w:before="40" w:after="40" w:line="240" w:lineRule="auto"/>
              <w:ind w:left="180"/>
              <w:rPr>
                <w:rFonts w:ascii="Arial" w:hAnsi="Arial" w:cs="Arial"/>
                <w:sz w:val="20"/>
                <w:szCs w:val="20"/>
              </w:rPr>
            </w:pPr>
            <w:r w:rsidRPr="00F440CA">
              <w:rPr>
                <w:rFonts w:ascii="Arial" w:hAnsi="Arial" w:cs="Arial"/>
                <w:sz w:val="20"/>
                <w:szCs w:val="20"/>
              </w:rPr>
              <w:t>Clinical remission, Week 6</w:t>
            </w:r>
          </w:p>
        </w:tc>
        <w:tc>
          <w:tcPr>
            <w:tcW w:w="1417" w:type="dxa"/>
            <w:tcBorders>
              <w:top w:val="nil"/>
              <w:bottom w:val="nil"/>
            </w:tcBorders>
          </w:tcPr>
          <w:p w:rsidR="00DE01A4" w:rsidRDefault="00DE01A4" w:rsidP="00AC1807">
            <w:pPr>
              <w:widowControl w:val="0"/>
              <w:spacing w:before="40" w:after="40" w:line="240" w:lineRule="auto"/>
              <w:jc w:val="center"/>
              <w:rPr>
                <w:rFonts w:ascii="Arial" w:hAnsi="Arial" w:cs="Arial"/>
                <w:sz w:val="20"/>
                <w:szCs w:val="20"/>
              </w:rPr>
            </w:pPr>
            <w:r w:rsidRPr="00F440CA">
              <w:rPr>
                <w:rFonts w:ascii="Arial" w:hAnsi="Arial" w:cs="Arial"/>
                <w:sz w:val="20"/>
                <w:szCs w:val="20"/>
              </w:rPr>
              <w:t>7%</w:t>
            </w:r>
          </w:p>
          <w:p w:rsidR="00DE01A4" w:rsidRPr="00F440CA" w:rsidRDefault="00DE01A4" w:rsidP="00AC1807">
            <w:pPr>
              <w:widowControl w:val="0"/>
              <w:spacing w:before="40" w:after="40" w:line="240" w:lineRule="auto"/>
              <w:jc w:val="center"/>
              <w:rPr>
                <w:rFonts w:ascii="Arial" w:hAnsi="Arial" w:cs="Arial"/>
                <w:sz w:val="20"/>
                <w:szCs w:val="20"/>
              </w:rPr>
            </w:pPr>
            <w:r>
              <w:rPr>
                <w:rFonts w:ascii="Arial" w:hAnsi="Arial" w:cs="Arial"/>
                <w:sz w:val="20"/>
                <w:szCs w:val="20"/>
              </w:rPr>
              <w:t>(10/148)</w:t>
            </w:r>
          </w:p>
        </w:tc>
        <w:tc>
          <w:tcPr>
            <w:tcW w:w="1418" w:type="dxa"/>
            <w:tcBorders>
              <w:top w:val="nil"/>
              <w:bottom w:val="nil"/>
            </w:tcBorders>
            <w:shd w:val="clear" w:color="auto" w:fill="auto"/>
          </w:tcPr>
          <w:p w:rsidR="00DE01A4" w:rsidRDefault="00DE01A4" w:rsidP="00AC1807">
            <w:pPr>
              <w:widowControl w:val="0"/>
              <w:spacing w:before="40" w:after="40" w:line="240" w:lineRule="auto"/>
              <w:jc w:val="center"/>
              <w:rPr>
                <w:rFonts w:ascii="Arial" w:hAnsi="Arial" w:cs="Arial"/>
                <w:sz w:val="20"/>
                <w:szCs w:val="20"/>
              </w:rPr>
            </w:pPr>
            <w:r w:rsidRPr="00F440CA">
              <w:rPr>
                <w:rFonts w:ascii="Arial" w:hAnsi="Arial" w:cs="Arial"/>
                <w:sz w:val="20"/>
                <w:szCs w:val="20"/>
              </w:rPr>
              <w:t>15%</w:t>
            </w:r>
          </w:p>
          <w:p w:rsidR="00DE01A4" w:rsidRPr="00F440CA" w:rsidRDefault="00DE01A4" w:rsidP="00AC1807">
            <w:pPr>
              <w:widowControl w:val="0"/>
              <w:spacing w:before="40" w:after="40" w:line="240" w:lineRule="auto"/>
              <w:jc w:val="center"/>
              <w:rPr>
                <w:rFonts w:ascii="Arial" w:hAnsi="Arial" w:cs="Arial"/>
                <w:sz w:val="20"/>
                <w:szCs w:val="20"/>
              </w:rPr>
            </w:pPr>
            <w:r w:rsidRPr="00DE01A4">
              <w:rPr>
                <w:rFonts w:ascii="Arial" w:hAnsi="Arial" w:cs="Arial"/>
                <w:sz w:val="20"/>
                <w:szCs w:val="20"/>
              </w:rPr>
              <w:t>(32/220)</w:t>
            </w:r>
          </w:p>
        </w:tc>
        <w:tc>
          <w:tcPr>
            <w:tcW w:w="992" w:type="dxa"/>
            <w:tcBorders>
              <w:top w:val="nil"/>
              <w:bottom w:val="nil"/>
            </w:tcBorders>
          </w:tcPr>
          <w:p w:rsidR="00DE01A4" w:rsidRPr="00F440CA" w:rsidRDefault="00233771" w:rsidP="00233771">
            <w:pPr>
              <w:widowControl w:val="0"/>
              <w:spacing w:before="40" w:after="40" w:line="240" w:lineRule="auto"/>
              <w:jc w:val="center"/>
              <w:rPr>
                <w:rFonts w:ascii="Arial" w:hAnsi="Arial" w:cs="Arial"/>
                <w:sz w:val="20"/>
                <w:szCs w:val="20"/>
              </w:rPr>
            </w:pPr>
            <w:r>
              <w:rPr>
                <w:rFonts w:ascii="Arial" w:hAnsi="Arial" w:cs="Arial"/>
                <w:sz w:val="20"/>
                <w:szCs w:val="20"/>
              </w:rPr>
              <w:t>0.021</w:t>
            </w:r>
          </w:p>
        </w:tc>
        <w:tc>
          <w:tcPr>
            <w:tcW w:w="1701" w:type="dxa"/>
            <w:tcBorders>
              <w:top w:val="nil"/>
              <w:bottom w:val="nil"/>
            </w:tcBorders>
          </w:tcPr>
          <w:p w:rsidR="00DE01A4" w:rsidRPr="00DE01A4" w:rsidRDefault="00DE01A4" w:rsidP="00DE01A4">
            <w:pPr>
              <w:widowControl w:val="0"/>
              <w:spacing w:before="60" w:after="60" w:line="240" w:lineRule="auto"/>
              <w:jc w:val="center"/>
              <w:rPr>
                <w:rFonts w:ascii="Arial" w:hAnsi="Arial" w:cs="Arial"/>
                <w:sz w:val="20"/>
                <w:szCs w:val="20"/>
              </w:rPr>
            </w:pPr>
            <w:r w:rsidRPr="00DE01A4">
              <w:rPr>
                <w:rFonts w:ascii="Arial" w:hAnsi="Arial" w:cs="Arial"/>
                <w:sz w:val="20"/>
                <w:szCs w:val="20"/>
              </w:rPr>
              <w:t>8%</w:t>
            </w:r>
          </w:p>
          <w:p w:rsidR="00DE01A4" w:rsidRPr="00F440CA" w:rsidRDefault="00DE01A4" w:rsidP="00DE01A4">
            <w:pPr>
              <w:widowControl w:val="0"/>
              <w:spacing w:before="40" w:after="40" w:line="240" w:lineRule="auto"/>
              <w:jc w:val="center"/>
              <w:rPr>
                <w:rFonts w:ascii="Arial" w:hAnsi="Arial" w:cs="Arial"/>
                <w:sz w:val="20"/>
                <w:szCs w:val="20"/>
              </w:rPr>
            </w:pPr>
            <w:r w:rsidRPr="00DE01A4">
              <w:rPr>
                <w:rFonts w:ascii="Arial" w:hAnsi="Arial" w:cs="Arial"/>
                <w:sz w:val="20"/>
                <w:szCs w:val="20"/>
              </w:rPr>
              <w:t>(1%, 14%)</w:t>
            </w:r>
          </w:p>
        </w:tc>
      </w:tr>
      <w:tr w:rsidR="00DE01A4" w:rsidRPr="00F440CA" w:rsidTr="009C18A4">
        <w:trPr>
          <w:trHeight w:val="414"/>
          <w:jc w:val="center"/>
        </w:trPr>
        <w:tc>
          <w:tcPr>
            <w:tcW w:w="2802" w:type="dxa"/>
            <w:tcBorders>
              <w:top w:val="nil"/>
            </w:tcBorders>
            <w:shd w:val="clear" w:color="auto" w:fill="auto"/>
          </w:tcPr>
          <w:p w:rsidR="00DE01A4" w:rsidRPr="00F440CA" w:rsidRDefault="00DE01A4" w:rsidP="00AC1807">
            <w:pPr>
              <w:widowControl w:val="0"/>
              <w:spacing w:before="40" w:after="40" w:line="240" w:lineRule="auto"/>
              <w:ind w:left="180"/>
              <w:rPr>
                <w:rFonts w:ascii="Arial" w:hAnsi="Arial" w:cs="Arial"/>
                <w:sz w:val="20"/>
                <w:szCs w:val="20"/>
              </w:rPr>
            </w:pPr>
            <w:r w:rsidRPr="00F440CA">
              <w:rPr>
                <w:rFonts w:ascii="Arial" w:hAnsi="Arial" w:cs="Arial"/>
                <w:sz w:val="20"/>
                <w:szCs w:val="20"/>
              </w:rPr>
              <w:t>Enhanced clinical response, Week 6</w:t>
            </w:r>
          </w:p>
        </w:tc>
        <w:tc>
          <w:tcPr>
            <w:tcW w:w="1417" w:type="dxa"/>
            <w:tcBorders>
              <w:top w:val="nil"/>
            </w:tcBorders>
          </w:tcPr>
          <w:p w:rsidR="00DE01A4" w:rsidRDefault="00DE01A4" w:rsidP="00AC1807">
            <w:pPr>
              <w:widowControl w:val="0"/>
              <w:spacing w:before="40" w:after="40" w:line="240" w:lineRule="auto"/>
              <w:jc w:val="center"/>
              <w:rPr>
                <w:rFonts w:ascii="Arial" w:hAnsi="Arial" w:cs="Arial"/>
                <w:sz w:val="20"/>
                <w:szCs w:val="20"/>
              </w:rPr>
            </w:pPr>
            <w:r w:rsidRPr="00F440CA">
              <w:rPr>
                <w:rFonts w:ascii="Arial" w:hAnsi="Arial" w:cs="Arial"/>
                <w:sz w:val="20"/>
                <w:szCs w:val="20"/>
              </w:rPr>
              <w:t>26%</w:t>
            </w:r>
          </w:p>
          <w:p w:rsidR="00233771" w:rsidRPr="00F440CA" w:rsidRDefault="00233771" w:rsidP="00AC1807">
            <w:pPr>
              <w:widowControl w:val="0"/>
              <w:spacing w:before="40" w:after="40" w:line="240" w:lineRule="auto"/>
              <w:jc w:val="center"/>
              <w:rPr>
                <w:rFonts w:ascii="Arial" w:hAnsi="Arial" w:cs="Arial"/>
                <w:sz w:val="20"/>
                <w:szCs w:val="20"/>
              </w:rPr>
            </w:pPr>
            <w:r>
              <w:rPr>
                <w:rFonts w:ascii="Arial" w:hAnsi="Arial" w:cs="Arial"/>
                <w:sz w:val="20"/>
                <w:szCs w:val="20"/>
              </w:rPr>
              <w:t>(38/148)</w:t>
            </w:r>
          </w:p>
        </w:tc>
        <w:tc>
          <w:tcPr>
            <w:tcW w:w="1418" w:type="dxa"/>
            <w:tcBorders>
              <w:top w:val="nil"/>
            </w:tcBorders>
            <w:shd w:val="clear" w:color="auto" w:fill="auto"/>
          </w:tcPr>
          <w:p w:rsidR="00DE01A4" w:rsidRDefault="00DE01A4" w:rsidP="00AC1807">
            <w:pPr>
              <w:widowControl w:val="0"/>
              <w:spacing w:before="40" w:after="40" w:line="240" w:lineRule="auto"/>
              <w:jc w:val="center"/>
              <w:rPr>
                <w:rFonts w:ascii="Arial" w:hAnsi="Arial" w:cs="Arial"/>
                <w:sz w:val="20"/>
                <w:szCs w:val="20"/>
                <w:vertAlign w:val="superscript"/>
              </w:rPr>
            </w:pPr>
            <w:r w:rsidRPr="00F440CA">
              <w:rPr>
                <w:rFonts w:ascii="Arial" w:hAnsi="Arial" w:cs="Arial"/>
                <w:sz w:val="20"/>
                <w:szCs w:val="20"/>
              </w:rPr>
              <w:t>31%</w:t>
            </w:r>
          </w:p>
          <w:p w:rsidR="00233771" w:rsidRPr="00F440CA" w:rsidRDefault="00233771" w:rsidP="00AC1807">
            <w:pPr>
              <w:widowControl w:val="0"/>
              <w:spacing w:before="40" w:after="40" w:line="240" w:lineRule="auto"/>
              <w:jc w:val="center"/>
              <w:rPr>
                <w:rFonts w:ascii="Arial" w:hAnsi="Arial" w:cs="Arial"/>
                <w:sz w:val="20"/>
                <w:szCs w:val="20"/>
              </w:rPr>
            </w:pPr>
            <w:r>
              <w:rPr>
                <w:rFonts w:ascii="Arial" w:hAnsi="Arial" w:cs="Arial"/>
                <w:sz w:val="20"/>
                <w:szCs w:val="20"/>
              </w:rPr>
              <w:t>(69</w:t>
            </w:r>
            <w:r w:rsidRPr="00DE01A4">
              <w:rPr>
                <w:rFonts w:ascii="Arial" w:hAnsi="Arial" w:cs="Arial"/>
                <w:sz w:val="20"/>
                <w:szCs w:val="20"/>
              </w:rPr>
              <w:t>/220)</w:t>
            </w:r>
          </w:p>
        </w:tc>
        <w:tc>
          <w:tcPr>
            <w:tcW w:w="992" w:type="dxa"/>
            <w:tcBorders>
              <w:top w:val="nil"/>
            </w:tcBorders>
            <w:vAlign w:val="center"/>
          </w:tcPr>
          <w:p w:rsidR="00DE01A4" w:rsidRPr="00F440CA" w:rsidRDefault="00233771" w:rsidP="00E11CB6">
            <w:pPr>
              <w:widowControl w:val="0"/>
              <w:spacing w:before="40" w:after="40" w:line="240" w:lineRule="auto"/>
              <w:jc w:val="center"/>
              <w:rPr>
                <w:rFonts w:ascii="Arial" w:hAnsi="Arial" w:cs="Arial"/>
                <w:sz w:val="20"/>
                <w:szCs w:val="20"/>
              </w:rPr>
            </w:pPr>
            <w:r>
              <w:rPr>
                <w:rFonts w:ascii="Arial" w:hAnsi="Arial" w:cs="Arial"/>
                <w:sz w:val="20"/>
                <w:szCs w:val="20"/>
              </w:rPr>
              <w:t>0.232</w:t>
            </w:r>
            <w:r w:rsidR="00591BAD" w:rsidRPr="00F440CA">
              <w:rPr>
                <w:rFonts w:ascii="Arial" w:hAnsi="Arial" w:cs="Arial"/>
                <w:sz w:val="20"/>
                <w:szCs w:val="20"/>
                <w:vertAlign w:val="superscript"/>
              </w:rPr>
              <w:t>†</w:t>
            </w:r>
          </w:p>
        </w:tc>
        <w:tc>
          <w:tcPr>
            <w:tcW w:w="1701" w:type="dxa"/>
            <w:tcBorders>
              <w:top w:val="nil"/>
            </w:tcBorders>
          </w:tcPr>
          <w:p w:rsidR="00DE01A4" w:rsidRDefault="00E11CB6" w:rsidP="00AC1807">
            <w:pPr>
              <w:widowControl w:val="0"/>
              <w:spacing w:before="40" w:after="40" w:line="240" w:lineRule="auto"/>
              <w:jc w:val="center"/>
              <w:rPr>
                <w:rFonts w:ascii="Arial" w:hAnsi="Arial" w:cs="Arial"/>
                <w:sz w:val="20"/>
                <w:szCs w:val="20"/>
              </w:rPr>
            </w:pPr>
            <w:r>
              <w:rPr>
                <w:rFonts w:ascii="Arial" w:hAnsi="Arial" w:cs="Arial"/>
                <w:sz w:val="20"/>
                <w:szCs w:val="20"/>
              </w:rPr>
              <w:t>6%</w:t>
            </w:r>
          </w:p>
          <w:p w:rsidR="00E11CB6" w:rsidRPr="00F440CA" w:rsidRDefault="00E11CB6" w:rsidP="00AC1807">
            <w:pPr>
              <w:widowControl w:val="0"/>
              <w:spacing w:before="40" w:after="40" w:line="240" w:lineRule="auto"/>
              <w:jc w:val="center"/>
              <w:rPr>
                <w:rFonts w:ascii="Arial" w:hAnsi="Arial" w:cs="Arial"/>
                <w:sz w:val="20"/>
                <w:szCs w:val="20"/>
              </w:rPr>
            </w:pPr>
            <w:r>
              <w:rPr>
                <w:rFonts w:ascii="Arial" w:hAnsi="Arial" w:cs="Arial"/>
                <w:sz w:val="20"/>
                <w:szCs w:val="20"/>
              </w:rPr>
              <w:t>(-4%, 15%)</w:t>
            </w:r>
          </w:p>
        </w:tc>
      </w:tr>
      <w:tr w:rsidR="00DE01A4" w:rsidRPr="00F440CA" w:rsidTr="00D436A1">
        <w:trPr>
          <w:jc w:val="center"/>
        </w:trPr>
        <w:tc>
          <w:tcPr>
            <w:tcW w:w="2802" w:type="dxa"/>
            <w:tcBorders>
              <w:bottom w:val="nil"/>
            </w:tcBorders>
            <w:shd w:val="clear" w:color="auto" w:fill="auto"/>
            <w:vAlign w:val="bottom"/>
          </w:tcPr>
          <w:p w:rsidR="00DE01A4" w:rsidRPr="00F440CA" w:rsidRDefault="00DE01A4" w:rsidP="00AC1807">
            <w:pPr>
              <w:widowControl w:val="0"/>
              <w:spacing w:before="60" w:after="60" w:line="240" w:lineRule="auto"/>
              <w:rPr>
                <w:rFonts w:ascii="Arial" w:hAnsi="Arial" w:cs="Arial"/>
                <w:sz w:val="20"/>
                <w:szCs w:val="20"/>
              </w:rPr>
            </w:pPr>
            <w:r w:rsidRPr="00F440CA">
              <w:rPr>
                <w:rFonts w:ascii="Arial" w:hAnsi="Arial" w:cs="Arial"/>
                <w:sz w:val="20"/>
                <w:szCs w:val="20"/>
              </w:rPr>
              <w:t>GEMINI III Study</w:t>
            </w:r>
          </w:p>
        </w:tc>
        <w:tc>
          <w:tcPr>
            <w:tcW w:w="1417" w:type="dxa"/>
            <w:tcBorders>
              <w:bottom w:val="nil"/>
            </w:tcBorders>
            <w:vAlign w:val="bottom"/>
          </w:tcPr>
          <w:p w:rsidR="00DE01A4" w:rsidRPr="00F440CA" w:rsidRDefault="00DE01A4" w:rsidP="00AC1807">
            <w:pPr>
              <w:widowControl w:val="0"/>
              <w:spacing w:before="60" w:after="60" w:line="240" w:lineRule="auto"/>
              <w:jc w:val="center"/>
              <w:rPr>
                <w:rFonts w:ascii="Arial" w:hAnsi="Arial" w:cs="Arial"/>
                <w:sz w:val="20"/>
                <w:szCs w:val="20"/>
              </w:rPr>
            </w:pPr>
          </w:p>
        </w:tc>
        <w:tc>
          <w:tcPr>
            <w:tcW w:w="1418" w:type="dxa"/>
            <w:tcBorders>
              <w:bottom w:val="nil"/>
            </w:tcBorders>
            <w:shd w:val="clear" w:color="auto" w:fill="auto"/>
            <w:vAlign w:val="bottom"/>
          </w:tcPr>
          <w:p w:rsidR="00DE01A4" w:rsidRPr="00F440CA" w:rsidRDefault="00DE01A4" w:rsidP="00AC1807">
            <w:pPr>
              <w:widowControl w:val="0"/>
              <w:spacing w:before="60" w:after="60" w:line="240" w:lineRule="auto"/>
              <w:jc w:val="center"/>
              <w:rPr>
                <w:rFonts w:ascii="Arial" w:hAnsi="Arial" w:cs="Arial"/>
                <w:sz w:val="20"/>
                <w:szCs w:val="20"/>
              </w:rPr>
            </w:pPr>
          </w:p>
        </w:tc>
        <w:tc>
          <w:tcPr>
            <w:tcW w:w="992" w:type="dxa"/>
            <w:tcBorders>
              <w:bottom w:val="nil"/>
            </w:tcBorders>
          </w:tcPr>
          <w:p w:rsidR="00DE01A4" w:rsidRPr="00F440CA" w:rsidRDefault="00DE01A4" w:rsidP="00AC1807">
            <w:pPr>
              <w:widowControl w:val="0"/>
              <w:spacing w:before="60" w:after="60" w:line="240" w:lineRule="auto"/>
              <w:jc w:val="center"/>
              <w:rPr>
                <w:rFonts w:ascii="Arial" w:hAnsi="Arial" w:cs="Arial"/>
                <w:sz w:val="20"/>
                <w:szCs w:val="20"/>
              </w:rPr>
            </w:pPr>
          </w:p>
        </w:tc>
        <w:tc>
          <w:tcPr>
            <w:tcW w:w="1701" w:type="dxa"/>
            <w:tcBorders>
              <w:bottom w:val="nil"/>
            </w:tcBorders>
          </w:tcPr>
          <w:p w:rsidR="00DE01A4" w:rsidRPr="00F440CA" w:rsidRDefault="00DE01A4" w:rsidP="00AC1807">
            <w:pPr>
              <w:widowControl w:val="0"/>
              <w:spacing w:before="60" w:after="60" w:line="240" w:lineRule="auto"/>
              <w:jc w:val="center"/>
              <w:rPr>
                <w:rFonts w:ascii="Arial" w:hAnsi="Arial" w:cs="Arial"/>
                <w:sz w:val="20"/>
                <w:szCs w:val="20"/>
              </w:rPr>
            </w:pPr>
          </w:p>
        </w:tc>
      </w:tr>
      <w:tr w:rsidR="007725FF" w:rsidRPr="00F440CA" w:rsidTr="00D436A1">
        <w:trPr>
          <w:trHeight w:val="330"/>
          <w:jc w:val="center"/>
        </w:trPr>
        <w:tc>
          <w:tcPr>
            <w:tcW w:w="2802" w:type="dxa"/>
            <w:tcBorders>
              <w:top w:val="nil"/>
            </w:tcBorders>
            <w:shd w:val="clear" w:color="auto" w:fill="auto"/>
          </w:tcPr>
          <w:p w:rsidR="007725FF" w:rsidRPr="00F440CA" w:rsidRDefault="007725FF" w:rsidP="00D436A1">
            <w:pPr>
              <w:widowControl w:val="0"/>
              <w:spacing w:before="40" w:after="40" w:line="240" w:lineRule="auto"/>
              <w:ind w:left="180"/>
              <w:rPr>
                <w:rFonts w:ascii="Arial" w:hAnsi="Arial" w:cs="Arial"/>
                <w:sz w:val="20"/>
                <w:szCs w:val="20"/>
              </w:rPr>
            </w:pPr>
            <w:r w:rsidRPr="00F440CA">
              <w:rPr>
                <w:rFonts w:ascii="Arial" w:hAnsi="Arial" w:cs="Arial"/>
                <w:sz w:val="20"/>
                <w:szCs w:val="20"/>
              </w:rPr>
              <w:t xml:space="preserve">Clinical remission, Week 6 </w:t>
            </w:r>
            <w:r>
              <w:rPr>
                <w:rFonts w:ascii="Arial" w:hAnsi="Arial" w:cs="Arial"/>
                <w:sz w:val="20"/>
                <w:szCs w:val="20"/>
              </w:rPr>
              <w:t>(</w:t>
            </w:r>
            <w:r w:rsidRPr="00F440CA">
              <w:rPr>
                <w:rFonts w:ascii="Arial" w:hAnsi="Arial" w:cs="Arial"/>
                <w:sz w:val="20"/>
                <w:szCs w:val="20"/>
              </w:rPr>
              <w:t>TNFα Antagonist(s) Failure</w:t>
            </w:r>
            <w:r>
              <w:rPr>
                <w:rFonts w:ascii="Arial" w:hAnsi="Arial" w:cs="Arial"/>
                <w:sz w:val="20"/>
                <w:szCs w:val="20"/>
              </w:rPr>
              <w:t>)</w:t>
            </w:r>
          </w:p>
        </w:tc>
        <w:tc>
          <w:tcPr>
            <w:tcW w:w="1417" w:type="dxa"/>
            <w:tcBorders>
              <w:top w:val="nil"/>
            </w:tcBorders>
          </w:tcPr>
          <w:p w:rsidR="007725FF" w:rsidRDefault="007725FF" w:rsidP="00AC1807">
            <w:pPr>
              <w:widowControl w:val="0"/>
              <w:spacing w:before="40" w:after="40" w:line="240" w:lineRule="auto"/>
              <w:jc w:val="center"/>
              <w:rPr>
                <w:rFonts w:ascii="Arial" w:hAnsi="Arial" w:cs="Arial"/>
                <w:sz w:val="20"/>
                <w:szCs w:val="20"/>
              </w:rPr>
            </w:pPr>
            <w:r w:rsidRPr="00F440CA">
              <w:rPr>
                <w:rFonts w:ascii="Arial" w:hAnsi="Arial" w:cs="Arial"/>
                <w:sz w:val="20"/>
                <w:szCs w:val="20"/>
              </w:rPr>
              <w:t>12%</w:t>
            </w:r>
          </w:p>
          <w:p w:rsidR="007725FF" w:rsidRPr="00F440CA" w:rsidRDefault="007725FF" w:rsidP="00AC1807">
            <w:pPr>
              <w:widowControl w:val="0"/>
              <w:spacing w:before="40" w:after="40" w:line="240" w:lineRule="auto"/>
              <w:jc w:val="center"/>
              <w:rPr>
                <w:rFonts w:ascii="Arial" w:hAnsi="Arial" w:cs="Arial"/>
                <w:sz w:val="20"/>
                <w:szCs w:val="20"/>
              </w:rPr>
            </w:pPr>
            <w:r>
              <w:rPr>
                <w:rFonts w:ascii="Arial" w:hAnsi="Arial" w:cs="Arial"/>
                <w:sz w:val="20"/>
                <w:szCs w:val="20"/>
              </w:rPr>
              <w:t>(19/157)</w:t>
            </w:r>
          </w:p>
        </w:tc>
        <w:tc>
          <w:tcPr>
            <w:tcW w:w="1418" w:type="dxa"/>
            <w:tcBorders>
              <w:top w:val="nil"/>
            </w:tcBorders>
            <w:shd w:val="clear" w:color="auto" w:fill="auto"/>
          </w:tcPr>
          <w:p w:rsidR="007725FF" w:rsidRDefault="007725FF" w:rsidP="00AC1807">
            <w:pPr>
              <w:widowControl w:val="0"/>
              <w:spacing w:before="40" w:after="40" w:line="240" w:lineRule="auto"/>
              <w:jc w:val="center"/>
              <w:rPr>
                <w:rFonts w:ascii="Arial" w:hAnsi="Arial" w:cs="Arial"/>
                <w:sz w:val="20"/>
                <w:szCs w:val="20"/>
                <w:vertAlign w:val="superscript"/>
              </w:rPr>
            </w:pPr>
            <w:r w:rsidRPr="00F440CA">
              <w:rPr>
                <w:rFonts w:ascii="Arial" w:hAnsi="Arial" w:cs="Arial"/>
                <w:sz w:val="20"/>
                <w:szCs w:val="20"/>
              </w:rPr>
              <w:t>15%</w:t>
            </w:r>
          </w:p>
          <w:p w:rsidR="007725FF" w:rsidRPr="007725FF" w:rsidRDefault="007725FF" w:rsidP="00AC1807">
            <w:pPr>
              <w:widowControl w:val="0"/>
              <w:spacing w:before="40" w:after="40" w:line="240" w:lineRule="auto"/>
              <w:jc w:val="center"/>
              <w:rPr>
                <w:rFonts w:ascii="Arial" w:hAnsi="Arial" w:cs="Arial"/>
                <w:sz w:val="20"/>
                <w:szCs w:val="20"/>
              </w:rPr>
            </w:pPr>
            <w:r>
              <w:rPr>
                <w:rFonts w:ascii="Arial" w:hAnsi="Arial" w:cs="Arial"/>
                <w:sz w:val="20"/>
                <w:szCs w:val="20"/>
              </w:rPr>
              <w:t>(24/158)</w:t>
            </w:r>
          </w:p>
        </w:tc>
        <w:tc>
          <w:tcPr>
            <w:tcW w:w="992" w:type="dxa"/>
            <w:tcBorders>
              <w:top w:val="nil"/>
            </w:tcBorders>
          </w:tcPr>
          <w:p w:rsidR="007725FF" w:rsidRPr="00F440CA" w:rsidRDefault="00BD5180" w:rsidP="00AC1807">
            <w:pPr>
              <w:widowControl w:val="0"/>
              <w:spacing w:before="40" w:after="40" w:line="240" w:lineRule="auto"/>
              <w:jc w:val="center"/>
              <w:rPr>
                <w:rFonts w:ascii="Arial" w:hAnsi="Arial" w:cs="Arial"/>
                <w:sz w:val="20"/>
                <w:szCs w:val="20"/>
              </w:rPr>
            </w:pPr>
            <w:r>
              <w:rPr>
                <w:rFonts w:ascii="Arial" w:hAnsi="Arial" w:cs="Arial"/>
                <w:sz w:val="20"/>
                <w:szCs w:val="20"/>
              </w:rPr>
              <w:t>0.</w:t>
            </w:r>
            <w:r w:rsidR="008626D5">
              <w:rPr>
                <w:rFonts w:ascii="Arial" w:hAnsi="Arial" w:cs="Arial"/>
                <w:sz w:val="20"/>
                <w:szCs w:val="20"/>
              </w:rPr>
              <w:t>433</w:t>
            </w:r>
            <w:r w:rsidR="00591BAD" w:rsidRPr="00F440CA">
              <w:rPr>
                <w:rFonts w:ascii="Arial" w:hAnsi="Arial" w:cs="Arial"/>
                <w:sz w:val="20"/>
                <w:szCs w:val="20"/>
                <w:vertAlign w:val="superscript"/>
              </w:rPr>
              <w:t>‡</w:t>
            </w:r>
          </w:p>
        </w:tc>
        <w:tc>
          <w:tcPr>
            <w:tcW w:w="1701" w:type="dxa"/>
            <w:tcBorders>
              <w:top w:val="nil"/>
            </w:tcBorders>
          </w:tcPr>
          <w:p w:rsidR="007725FF" w:rsidRPr="00D436A1" w:rsidRDefault="007725FF" w:rsidP="00D436A1">
            <w:pPr>
              <w:widowControl w:val="0"/>
              <w:spacing w:before="60" w:after="60" w:line="240" w:lineRule="auto"/>
              <w:jc w:val="center"/>
              <w:rPr>
                <w:rFonts w:ascii="Arial" w:hAnsi="Arial" w:cs="Arial"/>
                <w:sz w:val="20"/>
                <w:szCs w:val="20"/>
              </w:rPr>
            </w:pPr>
            <w:r w:rsidRPr="00D436A1">
              <w:rPr>
                <w:rFonts w:ascii="Arial" w:hAnsi="Arial" w:cs="Arial"/>
                <w:sz w:val="20"/>
                <w:szCs w:val="20"/>
              </w:rPr>
              <w:t>3%</w:t>
            </w:r>
          </w:p>
          <w:p w:rsidR="007725FF" w:rsidRPr="00F440CA" w:rsidRDefault="007725FF" w:rsidP="00D436A1">
            <w:pPr>
              <w:widowControl w:val="0"/>
              <w:spacing w:before="60" w:after="60" w:line="240" w:lineRule="auto"/>
              <w:jc w:val="center"/>
              <w:rPr>
                <w:rFonts w:ascii="Arial" w:hAnsi="Arial" w:cs="Arial"/>
                <w:sz w:val="20"/>
                <w:szCs w:val="20"/>
              </w:rPr>
            </w:pPr>
            <w:r w:rsidRPr="00D436A1">
              <w:rPr>
                <w:rFonts w:ascii="Arial" w:hAnsi="Arial" w:cs="Arial"/>
                <w:sz w:val="20"/>
                <w:szCs w:val="20"/>
              </w:rPr>
              <w:t>(-5%, 11%)</w:t>
            </w:r>
          </w:p>
        </w:tc>
      </w:tr>
      <w:tr w:rsidR="007725FF" w:rsidRPr="00F440CA" w:rsidTr="00D436A1">
        <w:trPr>
          <w:jc w:val="center"/>
        </w:trPr>
        <w:tc>
          <w:tcPr>
            <w:tcW w:w="8330" w:type="dxa"/>
            <w:gridSpan w:val="5"/>
            <w:tcBorders>
              <w:left w:val="single" w:sz="4" w:space="0" w:color="auto"/>
              <w:bottom w:val="single" w:sz="4" w:space="0" w:color="auto"/>
              <w:right w:val="single" w:sz="4" w:space="0" w:color="auto"/>
            </w:tcBorders>
          </w:tcPr>
          <w:p w:rsidR="00233771" w:rsidRDefault="00B316CF" w:rsidP="00D436A1">
            <w:pPr>
              <w:pStyle w:val="Default"/>
              <w:rPr>
                <w:rFonts w:ascii="Arial" w:hAnsi="Arial" w:cs="Arial"/>
                <w:sz w:val="18"/>
                <w:szCs w:val="18"/>
              </w:rPr>
            </w:pPr>
            <w:r w:rsidRPr="00F440CA">
              <w:rPr>
                <w:rFonts w:ascii="Arial" w:hAnsi="Arial" w:cs="Arial"/>
                <w:sz w:val="20"/>
                <w:szCs w:val="20"/>
                <w:vertAlign w:val="superscript"/>
              </w:rPr>
              <w:t>†</w:t>
            </w:r>
            <w:r w:rsidRPr="00F440CA">
              <w:rPr>
                <w:rFonts w:ascii="Arial" w:hAnsi="Arial" w:cs="Arial"/>
                <w:sz w:val="18"/>
                <w:szCs w:val="18"/>
              </w:rPr>
              <w:t xml:space="preserve"> </w:t>
            </w:r>
            <w:r w:rsidR="00233771" w:rsidRPr="00F440CA">
              <w:rPr>
                <w:rFonts w:ascii="Arial" w:hAnsi="Arial" w:cs="Arial"/>
                <w:sz w:val="18"/>
                <w:szCs w:val="18"/>
              </w:rPr>
              <w:t>not statistically significant</w:t>
            </w:r>
          </w:p>
          <w:p w:rsidR="007725FF" w:rsidRPr="00F440CA" w:rsidRDefault="00233771" w:rsidP="00D436A1">
            <w:pPr>
              <w:pStyle w:val="Default"/>
              <w:rPr>
                <w:rFonts w:ascii="Arial" w:hAnsi="Arial" w:cs="Arial"/>
                <w:sz w:val="18"/>
                <w:szCs w:val="18"/>
              </w:rPr>
            </w:pPr>
            <w:r w:rsidRPr="00F440CA">
              <w:rPr>
                <w:rFonts w:ascii="Arial" w:hAnsi="Arial" w:cs="Arial"/>
                <w:sz w:val="20"/>
                <w:szCs w:val="20"/>
                <w:vertAlign w:val="superscript"/>
              </w:rPr>
              <w:lastRenderedPageBreak/>
              <w:t>‡</w:t>
            </w:r>
            <w:r>
              <w:rPr>
                <w:rFonts w:ascii="Arial" w:hAnsi="Arial" w:cs="Arial"/>
                <w:sz w:val="20"/>
                <w:szCs w:val="20"/>
                <w:vertAlign w:val="superscript"/>
              </w:rPr>
              <w:t xml:space="preserve"> </w:t>
            </w:r>
            <w:r w:rsidR="00B316CF" w:rsidRPr="00F440CA">
              <w:rPr>
                <w:rFonts w:ascii="Arial" w:hAnsi="Arial" w:cs="Arial"/>
                <w:sz w:val="18"/>
                <w:szCs w:val="18"/>
              </w:rPr>
              <w:t>not statistically significant, the other endpoints were therefore not tested statistically</w:t>
            </w:r>
          </w:p>
        </w:tc>
      </w:tr>
    </w:tbl>
    <w:p w:rsidR="003B16BB" w:rsidRDefault="003B16BB" w:rsidP="003B16BB">
      <w:pPr>
        <w:pStyle w:val="BodyText0"/>
        <w:spacing w:before="0" w:after="0" w:line="240" w:lineRule="auto"/>
        <w:rPr>
          <w:sz w:val="22"/>
          <w:szCs w:val="22"/>
        </w:rPr>
      </w:pPr>
    </w:p>
    <w:p w:rsidR="00473306" w:rsidRPr="00634D75" w:rsidRDefault="00473306" w:rsidP="00473306">
      <w:pPr>
        <w:spacing w:after="240" w:line="240" w:lineRule="auto"/>
        <w:jc w:val="both"/>
        <w:rPr>
          <w:rFonts w:ascii="Arial" w:eastAsia="Times New Roman" w:hAnsi="Arial" w:cs="Arial"/>
          <w:u w:val="single"/>
        </w:rPr>
      </w:pPr>
      <w:r w:rsidRPr="00634D75">
        <w:rPr>
          <w:rFonts w:ascii="Arial" w:eastAsia="Times New Roman" w:hAnsi="Arial" w:cs="Arial"/>
          <w:u w:val="single"/>
        </w:rPr>
        <w:t>Mai</w:t>
      </w:r>
      <w:r>
        <w:rPr>
          <w:rFonts w:ascii="Arial" w:eastAsia="Times New Roman" w:hAnsi="Arial" w:cs="Arial"/>
          <w:u w:val="single"/>
        </w:rPr>
        <w:t>n</w:t>
      </w:r>
      <w:r w:rsidRPr="00634D75">
        <w:rPr>
          <w:rFonts w:ascii="Arial" w:eastAsia="Times New Roman" w:hAnsi="Arial" w:cs="Arial"/>
          <w:u w:val="single"/>
        </w:rPr>
        <w:t>tenance</w:t>
      </w:r>
    </w:p>
    <w:p w:rsidR="007D466B" w:rsidRDefault="00C90457" w:rsidP="004B07C9">
      <w:pPr>
        <w:autoSpaceDE w:val="0"/>
        <w:autoSpaceDN w:val="0"/>
        <w:adjustRightInd w:val="0"/>
        <w:spacing w:after="240" w:line="240" w:lineRule="auto"/>
        <w:rPr>
          <w:rFonts w:ascii="Arial" w:eastAsia="Times New Roman" w:hAnsi="Arial" w:cs="Arial"/>
        </w:rPr>
      </w:pPr>
      <w:r w:rsidRPr="00666ADD">
        <w:rPr>
          <w:rFonts w:ascii="Arial" w:eastAsia="Times New Roman" w:hAnsi="Arial" w:cs="Arial"/>
        </w:rPr>
        <w:t>GEMINI II contained two cohorts of patients that received vedolizumab at Weeks 0 and 2: Cohort 1 patients were randomised to receive either vedolizumab 300 mg or placebo in a double</w:t>
      </w:r>
      <w:r w:rsidRPr="00666ADD">
        <w:rPr>
          <w:rFonts w:ascii="Arial" w:eastAsia="Times New Roman" w:hAnsi="Arial" w:cs="Arial"/>
        </w:rPr>
        <w:noBreakHyphen/>
        <w:t>blind fashion, and Cohort 2 patients were treated with open</w:t>
      </w:r>
      <w:r w:rsidRPr="00666ADD">
        <w:rPr>
          <w:rFonts w:ascii="Arial" w:eastAsia="Times New Roman" w:hAnsi="Arial" w:cs="Arial"/>
        </w:rPr>
        <w:noBreakHyphen/>
        <w:t xml:space="preserve">label vedolizumab 300 mg. To evaluate efficacy at Week 52, 461 patients from Cohorts 1 and 2, who were treated with vedolizumab and had achieved clinical response (defined as a </w:t>
      </w:r>
      <w:r w:rsidRPr="00AC1807">
        <w:rPr>
          <w:rFonts w:ascii="Arial" w:eastAsia="Times New Roman" w:hAnsi="Arial" w:cs="Arial"/>
        </w:rPr>
        <w:sym w:font="Symbol" w:char="F0B3"/>
      </w:r>
      <w:r w:rsidRPr="00666ADD">
        <w:rPr>
          <w:rFonts w:ascii="Arial" w:eastAsia="Times New Roman" w:hAnsi="Arial" w:cs="Arial"/>
        </w:rPr>
        <w:t>70</w:t>
      </w:r>
      <w:r w:rsidRPr="00666ADD">
        <w:rPr>
          <w:rFonts w:ascii="Arial" w:eastAsia="Times New Roman" w:hAnsi="Arial" w:cs="Arial"/>
        </w:rPr>
        <w:noBreakHyphen/>
        <w:t>point decrease in CDAI score from baseline) at Week 6,</w:t>
      </w:r>
      <w:r>
        <w:rPr>
          <w:rFonts w:ascii="Arial" w:eastAsia="Times New Roman" w:hAnsi="Arial" w:cs="Arial"/>
        </w:rPr>
        <w:t xml:space="preserve"> </w:t>
      </w:r>
      <w:r w:rsidRPr="00666ADD">
        <w:rPr>
          <w:rFonts w:ascii="Arial" w:eastAsia="Times New Roman" w:hAnsi="Arial" w:cs="Arial"/>
        </w:rPr>
        <w:t>were randomised in a double</w:t>
      </w:r>
      <w:r w:rsidRPr="00666ADD">
        <w:rPr>
          <w:rFonts w:ascii="Arial" w:eastAsia="Times New Roman" w:hAnsi="Arial" w:cs="Arial"/>
        </w:rPr>
        <w:noBreakHyphen/>
        <w:t xml:space="preserve">blind fashion (1:1:1) to one of the following regimens beginning at Week 6: vedolizumab 300 mg every eight weeks, vedolizumab 300 mg every four weeks, or placebo every four weeks. </w:t>
      </w:r>
      <w:r>
        <w:rPr>
          <w:rFonts w:ascii="Arial" w:eastAsia="Times New Roman" w:hAnsi="Arial" w:cs="Arial"/>
        </w:rPr>
        <w:t xml:space="preserve">Concomitant medications were permitted, and patients received corticosteroids (59%), immunomodulators (31%), and aminosalicylates (41%). </w:t>
      </w:r>
      <w:r w:rsidRPr="00666ADD">
        <w:rPr>
          <w:rFonts w:ascii="Arial" w:eastAsia="Times New Roman" w:hAnsi="Arial" w:cs="Arial"/>
        </w:rPr>
        <w:t xml:space="preserve">Patients showing clinical response at Week 6 were required to begin corticosteroid tapering. </w:t>
      </w:r>
      <w:r w:rsidR="00710D78">
        <w:rPr>
          <w:rFonts w:ascii="Arial" w:eastAsia="Times New Roman" w:hAnsi="Arial" w:cs="Arial"/>
        </w:rPr>
        <w:t>The p</w:t>
      </w:r>
      <w:r w:rsidRPr="00666ADD">
        <w:rPr>
          <w:rFonts w:ascii="Arial" w:eastAsia="Times New Roman" w:hAnsi="Arial" w:cs="Arial"/>
        </w:rPr>
        <w:t>rimary endpoint was the proportion of patients in clinical remission at Week 52.</w:t>
      </w:r>
      <w:r w:rsidR="00A005E7">
        <w:rPr>
          <w:rFonts w:ascii="Arial" w:eastAsia="Times New Roman" w:hAnsi="Arial" w:cs="Arial"/>
        </w:rPr>
        <w:t xml:space="preserve"> The secondary endpoints were enhanced</w:t>
      </w:r>
      <w:r w:rsidR="008650CC" w:rsidRPr="00282C80">
        <w:rPr>
          <w:rFonts w:ascii="Arial" w:eastAsia="Times New Roman" w:hAnsi="Arial" w:cs="Arial"/>
        </w:rPr>
        <w:t xml:space="preserve"> clinical response (defined as ≥100 decrease in CDAI score from baseline) at Week 52</w:t>
      </w:r>
      <w:r w:rsidR="00A005E7">
        <w:rPr>
          <w:rFonts w:ascii="Arial" w:eastAsia="Times New Roman" w:hAnsi="Arial" w:cs="Arial"/>
        </w:rPr>
        <w:t>,</w:t>
      </w:r>
      <w:r w:rsidR="008650CC" w:rsidRPr="00282C80">
        <w:rPr>
          <w:rFonts w:ascii="Arial" w:eastAsia="Times New Roman" w:hAnsi="Arial" w:cs="Arial"/>
        </w:rPr>
        <w:t xml:space="preserve"> corticosteroid</w:t>
      </w:r>
      <w:r w:rsidR="00A005E7">
        <w:rPr>
          <w:rFonts w:ascii="Arial" w:eastAsia="Times New Roman" w:hAnsi="Arial" w:cs="Arial"/>
        </w:rPr>
        <w:t>-free remission (defined as p</w:t>
      </w:r>
      <w:r w:rsidR="00A005E7" w:rsidRPr="00A005E7">
        <w:rPr>
          <w:rFonts w:ascii="Arial" w:eastAsia="Times New Roman" w:hAnsi="Arial" w:cs="Arial"/>
        </w:rPr>
        <w:t>atients using oral corticosteroids at baseline who have</w:t>
      </w:r>
      <w:r w:rsidR="00A005E7">
        <w:rPr>
          <w:rFonts w:ascii="Arial" w:eastAsia="Times New Roman" w:hAnsi="Arial" w:cs="Arial"/>
        </w:rPr>
        <w:t xml:space="preserve"> </w:t>
      </w:r>
      <w:r w:rsidR="00A005E7" w:rsidRPr="00A005E7">
        <w:rPr>
          <w:rFonts w:ascii="Arial" w:eastAsia="Times New Roman" w:hAnsi="Arial" w:cs="Arial"/>
        </w:rPr>
        <w:t>discontinued corticosteroids and are in clinical remission at</w:t>
      </w:r>
      <w:r w:rsidR="00A005E7">
        <w:rPr>
          <w:rFonts w:ascii="Arial" w:eastAsia="Times New Roman" w:hAnsi="Arial" w:cs="Arial"/>
        </w:rPr>
        <w:t xml:space="preserve"> </w:t>
      </w:r>
      <w:r w:rsidR="00A005E7" w:rsidRPr="00A005E7">
        <w:rPr>
          <w:rFonts w:ascii="Arial" w:eastAsia="Times New Roman" w:hAnsi="Arial" w:cs="Arial"/>
        </w:rPr>
        <w:t>Week 52</w:t>
      </w:r>
      <w:r w:rsidR="00A005E7">
        <w:rPr>
          <w:rFonts w:ascii="Arial" w:eastAsia="Times New Roman" w:hAnsi="Arial" w:cs="Arial"/>
        </w:rPr>
        <w:t xml:space="preserve">) and durable clinical remission (defined as </w:t>
      </w:r>
      <w:r w:rsidR="00A005E7" w:rsidRPr="00A005E7">
        <w:rPr>
          <w:rFonts w:ascii="Arial" w:eastAsia="Times New Roman" w:hAnsi="Arial" w:cs="Arial"/>
        </w:rPr>
        <w:t xml:space="preserve">clinical remission </w:t>
      </w:r>
      <w:r w:rsidR="00A005E7" w:rsidRPr="00282C80">
        <w:rPr>
          <w:rFonts w:ascii="Arial" w:eastAsia="Times New Roman" w:hAnsi="Arial" w:cs="Arial"/>
        </w:rPr>
        <w:t>≥</w:t>
      </w:r>
      <w:r w:rsidR="00A005E7" w:rsidRPr="00A005E7">
        <w:rPr>
          <w:rFonts w:ascii="Arial" w:eastAsia="Times New Roman" w:hAnsi="Arial" w:cs="Arial" w:hint="eastAsia"/>
        </w:rPr>
        <w:t xml:space="preserve"> </w:t>
      </w:r>
      <w:r w:rsidR="00A005E7" w:rsidRPr="00A005E7">
        <w:rPr>
          <w:rFonts w:ascii="Arial" w:eastAsia="Times New Roman" w:hAnsi="Arial" w:cs="Arial"/>
        </w:rPr>
        <w:t>at 80</w:t>
      </w:r>
      <w:r w:rsidR="00A005E7">
        <w:rPr>
          <w:rFonts w:ascii="Arial" w:eastAsia="Times New Roman" w:hAnsi="Arial" w:cs="Arial"/>
        </w:rPr>
        <w:t>%</w:t>
      </w:r>
      <w:r w:rsidR="00A005E7" w:rsidRPr="00A005E7">
        <w:rPr>
          <w:rFonts w:ascii="Arial" w:eastAsia="Times New Roman" w:hAnsi="Arial" w:cs="Arial" w:hint="eastAsia"/>
        </w:rPr>
        <w:t xml:space="preserve"> </w:t>
      </w:r>
      <w:r w:rsidR="00A005E7" w:rsidRPr="00A005E7">
        <w:rPr>
          <w:rFonts w:ascii="Arial" w:eastAsia="Times New Roman" w:hAnsi="Arial" w:cs="Arial"/>
        </w:rPr>
        <w:t>of study visits for an individual</w:t>
      </w:r>
      <w:r w:rsidR="00A005E7">
        <w:rPr>
          <w:rFonts w:ascii="Arial" w:eastAsia="Times New Roman" w:hAnsi="Arial" w:cs="Arial"/>
        </w:rPr>
        <w:t xml:space="preserve"> patient, including final visit at </w:t>
      </w:r>
      <w:r w:rsidR="00A005E7" w:rsidRPr="00A005E7">
        <w:rPr>
          <w:rFonts w:ascii="Arial" w:eastAsia="Times New Roman" w:hAnsi="Arial" w:cs="Arial"/>
        </w:rPr>
        <w:t>Week 52)</w:t>
      </w:r>
      <w:r w:rsidR="008650CC" w:rsidRPr="00A005E7">
        <w:rPr>
          <w:rFonts w:ascii="Arial" w:eastAsia="Times New Roman" w:hAnsi="Arial" w:cs="Arial"/>
        </w:rPr>
        <w:t>.</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019"/>
        <w:gridCol w:w="2019"/>
        <w:gridCol w:w="1864"/>
        <w:gridCol w:w="31"/>
      </w:tblGrid>
      <w:tr w:rsidR="00D3721B" w:rsidRPr="002551A8" w:rsidTr="00C24D82">
        <w:trPr>
          <w:gridAfter w:val="1"/>
          <w:wAfter w:w="31" w:type="dxa"/>
          <w:tblHeader/>
          <w:jc w:val="center"/>
        </w:trPr>
        <w:tc>
          <w:tcPr>
            <w:tcW w:w="8867" w:type="dxa"/>
            <w:gridSpan w:val="4"/>
            <w:tcBorders>
              <w:top w:val="nil"/>
              <w:left w:val="nil"/>
              <w:right w:val="nil"/>
            </w:tcBorders>
            <w:shd w:val="clear" w:color="auto" w:fill="auto"/>
            <w:tcMar>
              <w:top w:w="14" w:type="dxa"/>
              <w:left w:w="43" w:type="dxa"/>
              <w:bottom w:w="14" w:type="dxa"/>
              <w:right w:w="43" w:type="dxa"/>
            </w:tcMar>
          </w:tcPr>
          <w:p w:rsidR="00D3721B" w:rsidRPr="002551A8" w:rsidRDefault="00D3721B" w:rsidP="002551A8">
            <w:pPr>
              <w:pStyle w:val="Caption"/>
              <w:tabs>
                <w:tab w:val="left" w:pos="1134"/>
              </w:tabs>
              <w:rPr>
                <w:rFonts w:ascii="Arial" w:hAnsi="Arial" w:cs="Arial"/>
                <w:sz w:val="20"/>
                <w:szCs w:val="20"/>
              </w:rPr>
            </w:pPr>
            <w:bookmarkStart w:id="4" w:name="_Ref350431301"/>
            <w:r w:rsidRPr="002551A8">
              <w:rPr>
                <w:rFonts w:ascii="Arial" w:hAnsi="Arial" w:cs="Arial"/>
                <w:sz w:val="20"/>
                <w:szCs w:val="20"/>
              </w:rPr>
              <w:t xml:space="preserve">Table </w:t>
            </w:r>
            <w:r w:rsidR="0051470C" w:rsidRPr="002551A8">
              <w:rPr>
                <w:rFonts w:ascii="Arial" w:hAnsi="Arial" w:cs="Arial"/>
                <w:sz w:val="20"/>
                <w:szCs w:val="20"/>
              </w:rPr>
              <w:fldChar w:fldCharType="begin"/>
            </w:r>
            <w:r w:rsidRPr="002551A8">
              <w:rPr>
                <w:rFonts w:ascii="Arial" w:hAnsi="Arial" w:cs="Arial"/>
                <w:sz w:val="20"/>
                <w:szCs w:val="20"/>
              </w:rPr>
              <w:instrText xml:space="preserve"> SEQ Table \* ARABIC </w:instrText>
            </w:r>
            <w:r w:rsidR="0051470C" w:rsidRPr="002551A8">
              <w:rPr>
                <w:rFonts w:ascii="Arial" w:hAnsi="Arial" w:cs="Arial"/>
                <w:sz w:val="20"/>
                <w:szCs w:val="20"/>
              </w:rPr>
              <w:fldChar w:fldCharType="separate"/>
            </w:r>
            <w:r w:rsidR="00B95525">
              <w:rPr>
                <w:rFonts w:ascii="Arial" w:hAnsi="Arial" w:cs="Arial"/>
                <w:noProof/>
                <w:sz w:val="20"/>
                <w:szCs w:val="20"/>
              </w:rPr>
              <w:t>4</w:t>
            </w:r>
            <w:r w:rsidR="0051470C" w:rsidRPr="002551A8">
              <w:rPr>
                <w:rFonts w:ascii="Arial" w:hAnsi="Arial" w:cs="Arial"/>
                <w:sz w:val="20"/>
                <w:szCs w:val="20"/>
              </w:rPr>
              <w:fldChar w:fldCharType="end"/>
            </w:r>
            <w:bookmarkEnd w:id="4"/>
            <w:r w:rsidRPr="002551A8">
              <w:rPr>
                <w:rFonts w:ascii="Arial" w:hAnsi="Arial" w:cs="Arial"/>
                <w:sz w:val="20"/>
                <w:szCs w:val="20"/>
              </w:rPr>
              <w:tab/>
              <w:t>Efficacy Results for GEMINI II at Week 52</w:t>
            </w:r>
          </w:p>
        </w:tc>
      </w:tr>
      <w:tr w:rsidR="00C24D82" w:rsidRPr="002551A8" w:rsidTr="00C24D82">
        <w:trPr>
          <w:trHeight w:val="1207"/>
          <w:tblHeader/>
          <w:jc w:val="center"/>
        </w:trPr>
        <w:tc>
          <w:tcPr>
            <w:tcW w:w="2965" w:type="dxa"/>
            <w:shd w:val="clear" w:color="auto" w:fill="auto"/>
            <w:tcMar>
              <w:top w:w="14" w:type="dxa"/>
              <w:left w:w="43" w:type="dxa"/>
              <w:bottom w:w="14" w:type="dxa"/>
              <w:right w:w="43" w:type="dxa"/>
            </w:tcMar>
            <w:vAlign w:val="bottom"/>
          </w:tcPr>
          <w:p w:rsidR="00C24D82" w:rsidRPr="002551A8" w:rsidRDefault="00C24D82" w:rsidP="00AC1807">
            <w:pPr>
              <w:keepNext/>
              <w:widowControl w:val="0"/>
              <w:spacing w:line="240" w:lineRule="auto"/>
              <w:rPr>
                <w:rFonts w:ascii="Arial" w:hAnsi="Arial" w:cs="Arial"/>
                <w:b/>
                <w:sz w:val="20"/>
                <w:szCs w:val="20"/>
              </w:rPr>
            </w:pPr>
          </w:p>
        </w:tc>
        <w:tc>
          <w:tcPr>
            <w:tcW w:w="2019" w:type="dxa"/>
            <w:vAlign w:val="bottom"/>
          </w:tcPr>
          <w:p w:rsidR="00C24D82" w:rsidRPr="002551A8" w:rsidRDefault="00C24D82" w:rsidP="00AC1807">
            <w:pPr>
              <w:keepNext/>
              <w:widowControl w:val="0"/>
              <w:spacing w:before="40" w:line="240" w:lineRule="auto"/>
              <w:jc w:val="center"/>
              <w:rPr>
                <w:rFonts w:ascii="Arial" w:hAnsi="Arial" w:cs="Arial"/>
                <w:sz w:val="20"/>
                <w:szCs w:val="20"/>
              </w:rPr>
            </w:pPr>
            <w:r w:rsidRPr="002551A8">
              <w:rPr>
                <w:rFonts w:ascii="Arial" w:hAnsi="Arial" w:cs="Arial"/>
                <w:sz w:val="20"/>
                <w:szCs w:val="20"/>
              </w:rPr>
              <w:t>Placebo</w:t>
            </w:r>
            <w:r w:rsidRPr="002551A8">
              <w:rPr>
                <w:rFonts w:ascii="Arial" w:hAnsi="Arial" w:cs="Arial"/>
                <w:sz w:val="20"/>
                <w:szCs w:val="20"/>
              </w:rPr>
              <w:br/>
              <w:t>N=153*</w:t>
            </w:r>
          </w:p>
        </w:tc>
        <w:tc>
          <w:tcPr>
            <w:tcW w:w="2019" w:type="dxa"/>
            <w:shd w:val="clear" w:color="auto" w:fill="auto"/>
            <w:vAlign w:val="bottom"/>
          </w:tcPr>
          <w:p w:rsidR="00C24D82" w:rsidRPr="002551A8" w:rsidRDefault="00C24D82" w:rsidP="00AC1807">
            <w:pPr>
              <w:keepNext/>
              <w:widowControl w:val="0"/>
              <w:spacing w:before="40" w:line="240" w:lineRule="auto"/>
              <w:jc w:val="center"/>
              <w:rPr>
                <w:rFonts w:ascii="Arial" w:hAnsi="Arial" w:cs="Arial"/>
                <w:sz w:val="20"/>
                <w:szCs w:val="20"/>
              </w:rPr>
            </w:pPr>
            <w:r w:rsidRPr="002551A8">
              <w:rPr>
                <w:rFonts w:ascii="Arial" w:hAnsi="Arial" w:cs="Arial"/>
                <w:sz w:val="20"/>
                <w:szCs w:val="20"/>
              </w:rPr>
              <w:t>Vedolizumab</w:t>
            </w:r>
            <w:r w:rsidRPr="002551A8">
              <w:rPr>
                <w:rFonts w:ascii="Arial" w:hAnsi="Arial" w:cs="Arial"/>
                <w:sz w:val="20"/>
                <w:szCs w:val="20"/>
              </w:rPr>
              <w:br/>
              <w:t>Every 8 Weeks</w:t>
            </w:r>
            <w:r w:rsidRPr="002551A8">
              <w:rPr>
                <w:rFonts w:ascii="Arial" w:hAnsi="Arial" w:cs="Arial"/>
                <w:sz w:val="20"/>
                <w:szCs w:val="20"/>
              </w:rPr>
              <w:br/>
              <w:t>N=154</w:t>
            </w:r>
          </w:p>
        </w:tc>
        <w:tc>
          <w:tcPr>
            <w:tcW w:w="1895" w:type="dxa"/>
            <w:gridSpan w:val="2"/>
            <w:shd w:val="clear" w:color="auto" w:fill="auto"/>
            <w:vAlign w:val="bottom"/>
          </w:tcPr>
          <w:p w:rsidR="00C24D82" w:rsidRPr="002551A8" w:rsidRDefault="00C24D82" w:rsidP="00AC1807">
            <w:pPr>
              <w:keepNext/>
              <w:widowControl w:val="0"/>
              <w:spacing w:before="40" w:line="240" w:lineRule="auto"/>
              <w:jc w:val="center"/>
              <w:rPr>
                <w:rFonts w:ascii="Arial" w:hAnsi="Arial" w:cs="Arial"/>
                <w:sz w:val="20"/>
                <w:szCs w:val="20"/>
              </w:rPr>
            </w:pPr>
            <w:r w:rsidRPr="002551A8">
              <w:rPr>
                <w:rFonts w:ascii="Arial" w:hAnsi="Arial" w:cs="Arial"/>
                <w:sz w:val="20"/>
                <w:szCs w:val="20"/>
              </w:rPr>
              <w:t>Vedolizumab</w:t>
            </w:r>
            <w:r w:rsidRPr="002551A8">
              <w:rPr>
                <w:rFonts w:ascii="Arial" w:hAnsi="Arial" w:cs="Arial"/>
                <w:sz w:val="20"/>
                <w:szCs w:val="20"/>
              </w:rPr>
              <w:br/>
              <w:t>Every 4 Weeks</w:t>
            </w:r>
            <w:r w:rsidRPr="002551A8">
              <w:rPr>
                <w:rFonts w:ascii="Arial" w:hAnsi="Arial" w:cs="Arial"/>
                <w:sz w:val="20"/>
                <w:szCs w:val="20"/>
              </w:rPr>
              <w:br/>
              <w:t>N=154</w:t>
            </w:r>
          </w:p>
        </w:tc>
      </w:tr>
      <w:tr w:rsidR="00C24D82" w:rsidRPr="002551A8" w:rsidTr="00C24D82">
        <w:trPr>
          <w:jc w:val="center"/>
        </w:trPr>
        <w:tc>
          <w:tcPr>
            <w:tcW w:w="2965" w:type="dxa"/>
            <w:shd w:val="clear" w:color="auto" w:fill="auto"/>
            <w:tcMar>
              <w:top w:w="14" w:type="dxa"/>
              <w:left w:w="43" w:type="dxa"/>
              <w:bottom w:w="14" w:type="dxa"/>
              <w:right w:w="43" w:type="dxa"/>
            </w:tcMar>
          </w:tcPr>
          <w:p w:rsidR="00C24D82" w:rsidRPr="002551A8" w:rsidRDefault="00C24D82" w:rsidP="00AC1807">
            <w:pPr>
              <w:keepNext/>
              <w:widowControl w:val="0"/>
              <w:spacing w:before="40" w:after="40" w:line="240" w:lineRule="auto"/>
              <w:rPr>
                <w:rFonts w:ascii="Arial" w:hAnsi="Arial" w:cs="Arial"/>
                <w:sz w:val="20"/>
                <w:szCs w:val="20"/>
              </w:rPr>
            </w:pPr>
            <w:r w:rsidRPr="002551A8">
              <w:rPr>
                <w:rFonts w:ascii="Arial" w:hAnsi="Arial" w:cs="Arial"/>
                <w:sz w:val="20"/>
                <w:szCs w:val="20"/>
              </w:rPr>
              <w:t>Clinical remission</w:t>
            </w:r>
          </w:p>
        </w:tc>
        <w:tc>
          <w:tcPr>
            <w:tcW w:w="2019" w:type="dxa"/>
            <w:vAlign w:val="center"/>
          </w:tcPr>
          <w:p w:rsidR="00C24D82" w:rsidRPr="002551A8" w:rsidRDefault="00C24D82" w:rsidP="00AC1807">
            <w:pPr>
              <w:keepNext/>
              <w:widowControl w:val="0"/>
              <w:spacing w:before="40" w:after="40" w:line="240" w:lineRule="auto"/>
              <w:jc w:val="center"/>
              <w:rPr>
                <w:rFonts w:ascii="Arial" w:hAnsi="Arial" w:cs="Arial"/>
                <w:sz w:val="20"/>
                <w:szCs w:val="20"/>
              </w:rPr>
            </w:pPr>
            <w:r w:rsidRPr="002551A8">
              <w:rPr>
                <w:rFonts w:ascii="Arial" w:hAnsi="Arial" w:cs="Arial"/>
                <w:sz w:val="20"/>
                <w:szCs w:val="20"/>
              </w:rPr>
              <w:t>22%</w:t>
            </w:r>
          </w:p>
        </w:tc>
        <w:tc>
          <w:tcPr>
            <w:tcW w:w="2019" w:type="dxa"/>
            <w:shd w:val="clear" w:color="auto" w:fill="auto"/>
            <w:tcMar>
              <w:top w:w="14" w:type="dxa"/>
              <w:left w:w="43" w:type="dxa"/>
              <w:bottom w:w="14" w:type="dxa"/>
              <w:right w:w="43" w:type="dxa"/>
            </w:tcMar>
            <w:vAlign w:val="bottom"/>
          </w:tcPr>
          <w:p w:rsidR="00C24D82" w:rsidRPr="002551A8" w:rsidRDefault="00C24D82" w:rsidP="00AC1807">
            <w:pPr>
              <w:keepNext/>
              <w:widowControl w:val="0"/>
              <w:spacing w:before="40" w:after="40" w:line="240" w:lineRule="auto"/>
              <w:jc w:val="center"/>
              <w:rPr>
                <w:rFonts w:ascii="Arial" w:hAnsi="Arial" w:cs="Arial"/>
                <w:sz w:val="20"/>
                <w:szCs w:val="20"/>
              </w:rPr>
            </w:pPr>
            <w:r w:rsidRPr="002551A8">
              <w:rPr>
                <w:rFonts w:ascii="Arial" w:hAnsi="Arial" w:cs="Arial"/>
                <w:sz w:val="20"/>
                <w:szCs w:val="20"/>
              </w:rPr>
              <w:t>39%</w:t>
            </w:r>
            <w:r w:rsidRPr="002551A8">
              <w:rPr>
                <w:rFonts w:ascii="Arial" w:hAnsi="Arial" w:cs="Arial"/>
                <w:sz w:val="20"/>
                <w:szCs w:val="20"/>
                <w:vertAlign w:val="superscript"/>
              </w:rPr>
              <w:t>†</w:t>
            </w:r>
          </w:p>
        </w:tc>
        <w:tc>
          <w:tcPr>
            <w:tcW w:w="1895" w:type="dxa"/>
            <w:gridSpan w:val="2"/>
            <w:shd w:val="clear" w:color="auto" w:fill="auto"/>
            <w:tcMar>
              <w:top w:w="14" w:type="dxa"/>
              <w:left w:w="43" w:type="dxa"/>
              <w:bottom w:w="14" w:type="dxa"/>
              <w:right w:w="43" w:type="dxa"/>
            </w:tcMar>
            <w:vAlign w:val="bottom"/>
          </w:tcPr>
          <w:p w:rsidR="00C24D82" w:rsidRPr="002551A8" w:rsidRDefault="00C24D82" w:rsidP="00AC1807">
            <w:pPr>
              <w:keepNext/>
              <w:widowControl w:val="0"/>
              <w:spacing w:before="40" w:after="40" w:line="240" w:lineRule="auto"/>
              <w:jc w:val="center"/>
              <w:rPr>
                <w:rFonts w:ascii="Arial" w:hAnsi="Arial" w:cs="Arial"/>
                <w:sz w:val="20"/>
                <w:szCs w:val="20"/>
              </w:rPr>
            </w:pPr>
            <w:r w:rsidRPr="002551A8">
              <w:rPr>
                <w:rFonts w:ascii="Arial" w:hAnsi="Arial" w:cs="Arial"/>
                <w:sz w:val="20"/>
                <w:szCs w:val="20"/>
              </w:rPr>
              <w:t>36%</w:t>
            </w:r>
            <w:r w:rsidRPr="002551A8">
              <w:rPr>
                <w:rFonts w:ascii="Arial" w:hAnsi="Arial" w:cs="Arial"/>
                <w:sz w:val="20"/>
                <w:szCs w:val="20"/>
                <w:vertAlign w:val="superscript"/>
              </w:rPr>
              <w:t>‡</w:t>
            </w:r>
          </w:p>
        </w:tc>
      </w:tr>
      <w:tr w:rsidR="00C24D82" w:rsidRPr="002551A8" w:rsidTr="00C24D82">
        <w:trPr>
          <w:jc w:val="center"/>
        </w:trPr>
        <w:tc>
          <w:tcPr>
            <w:tcW w:w="2965" w:type="dxa"/>
            <w:shd w:val="clear" w:color="auto" w:fill="auto"/>
            <w:tcMar>
              <w:top w:w="14" w:type="dxa"/>
              <w:left w:w="43" w:type="dxa"/>
              <w:bottom w:w="14" w:type="dxa"/>
              <w:right w:w="43" w:type="dxa"/>
            </w:tcMar>
          </w:tcPr>
          <w:p w:rsidR="00C24D82" w:rsidRPr="002551A8" w:rsidRDefault="00C24D82" w:rsidP="00AC1807">
            <w:pPr>
              <w:keepNext/>
              <w:widowControl w:val="0"/>
              <w:spacing w:before="40" w:after="40" w:line="240" w:lineRule="auto"/>
              <w:rPr>
                <w:rFonts w:ascii="Arial" w:hAnsi="Arial" w:cs="Arial"/>
                <w:sz w:val="20"/>
                <w:szCs w:val="20"/>
              </w:rPr>
            </w:pPr>
            <w:r w:rsidRPr="002551A8">
              <w:rPr>
                <w:rFonts w:ascii="Arial" w:hAnsi="Arial" w:cs="Arial"/>
                <w:sz w:val="20"/>
                <w:szCs w:val="20"/>
              </w:rPr>
              <w:t>Enhanced clinical response</w:t>
            </w:r>
          </w:p>
        </w:tc>
        <w:tc>
          <w:tcPr>
            <w:tcW w:w="2019" w:type="dxa"/>
            <w:vAlign w:val="center"/>
          </w:tcPr>
          <w:p w:rsidR="00C24D82" w:rsidRPr="002551A8" w:rsidRDefault="00C24D82" w:rsidP="00AC1807">
            <w:pPr>
              <w:keepNext/>
              <w:widowControl w:val="0"/>
              <w:spacing w:before="40" w:after="40" w:line="240" w:lineRule="auto"/>
              <w:jc w:val="center"/>
              <w:rPr>
                <w:rFonts w:ascii="Arial" w:hAnsi="Arial" w:cs="Arial"/>
                <w:sz w:val="20"/>
                <w:szCs w:val="20"/>
              </w:rPr>
            </w:pPr>
            <w:r w:rsidRPr="002551A8">
              <w:rPr>
                <w:rFonts w:ascii="Arial" w:hAnsi="Arial" w:cs="Arial"/>
                <w:sz w:val="20"/>
                <w:szCs w:val="20"/>
              </w:rPr>
              <w:t>30%</w:t>
            </w:r>
          </w:p>
        </w:tc>
        <w:tc>
          <w:tcPr>
            <w:tcW w:w="2019" w:type="dxa"/>
            <w:shd w:val="clear" w:color="auto" w:fill="auto"/>
            <w:tcMar>
              <w:top w:w="14" w:type="dxa"/>
              <w:left w:w="43" w:type="dxa"/>
              <w:bottom w:w="14" w:type="dxa"/>
              <w:right w:w="43" w:type="dxa"/>
            </w:tcMar>
          </w:tcPr>
          <w:p w:rsidR="00C24D82" w:rsidRPr="002551A8" w:rsidRDefault="00C24D82" w:rsidP="00AC1807">
            <w:pPr>
              <w:keepNext/>
              <w:widowControl w:val="0"/>
              <w:spacing w:before="40" w:after="40" w:line="240" w:lineRule="auto"/>
              <w:jc w:val="center"/>
              <w:rPr>
                <w:rFonts w:ascii="Arial" w:hAnsi="Arial" w:cs="Arial"/>
                <w:sz w:val="20"/>
                <w:szCs w:val="20"/>
              </w:rPr>
            </w:pPr>
            <w:r w:rsidRPr="002551A8">
              <w:rPr>
                <w:rFonts w:ascii="Arial" w:hAnsi="Arial" w:cs="Arial"/>
                <w:sz w:val="20"/>
                <w:szCs w:val="20"/>
              </w:rPr>
              <w:t>44%</w:t>
            </w:r>
            <w:r w:rsidRPr="002551A8">
              <w:rPr>
                <w:rFonts w:ascii="Arial" w:hAnsi="Arial" w:cs="Arial"/>
                <w:sz w:val="20"/>
                <w:szCs w:val="20"/>
                <w:vertAlign w:val="superscript"/>
              </w:rPr>
              <w:t>‡</w:t>
            </w:r>
          </w:p>
        </w:tc>
        <w:tc>
          <w:tcPr>
            <w:tcW w:w="1895" w:type="dxa"/>
            <w:gridSpan w:val="2"/>
            <w:shd w:val="clear" w:color="auto" w:fill="auto"/>
            <w:tcMar>
              <w:top w:w="14" w:type="dxa"/>
              <w:left w:w="43" w:type="dxa"/>
              <w:bottom w:w="14" w:type="dxa"/>
              <w:right w:w="43" w:type="dxa"/>
            </w:tcMar>
          </w:tcPr>
          <w:p w:rsidR="00C24D82" w:rsidRPr="002551A8" w:rsidRDefault="00C24D82" w:rsidP="00AC1807">
            <w:pPr>
              <w:keepNext/>
              <w:widowControl w:val="0"/>
              <w:spacing w:before="40" w:after="40" w:line="240" w:lineRule="auto"/>
              <w:jc w:val="center"/>
              <w:rPr>
                <w:rFonts w:ascii="Arial" w:hAnsi="Arial" w:cs="Arial"/>
                <w:sz w:val="20"/>
                <w:szCs w:val="20"/>
              </w:rPr>
            </w:pPr>
            <w:r w:rsidRPr="002551A8">
              <w:rPr>
                <w:rFonts w:ascii="Arial" w:hAnsi="Arial" w:cs="Arial"/>
                <w:sz w:val="20"/>
                <w:szCs w:val="20"/>
              </w:rPr>
              <w:t>45%</w:t>
            </w:r>
            <w:r w:rsidRPr="002551A8">
              <w:rPr>
                <w:rFonts w:ascii="Arial" w:hAnsi="Arial" w:cs="Arial"/>
                <w:sz w:val="20"/>
                <w:szCs w:val="20"/>
                <w:vertAlign w:val="superscript"/>
              </w:rPr>
              <w:t>‡</w:t>
            </w:r>
          </w:p>
        </w:tc>
      </w:tr>
      <w:tr w:rsidR="00C24D82" w:rsidRPr="002551A8" w:rsidTr="00AA3191">
        <w:trPr>
          <w:jc w:val="center"/>
        </w:trPr>
        <w:tc>
          <w:tcPr>
            <w:tcW w:w="2965" w:type="dxa"/>
            <w:shd w:val="clear" w:color="auto" w:fill="auto"/>
            <w:tcMar>
              <w:top w:w="14" w:type="dxa"/>
              <w:left w:w="43" w:type="dxa"/>
              <w:bottom w:w="14" w:type="dxa"/>
              <w:right w:w="43" w:type="dxa"/>
            </w:tcMar>
          </w:tcPr>
          <w:p w:rsidR="00C24D82" w:rsidRPr="002551A8" w:rsidRDefault="00C24D82" w:rsidP="00AC1807">
            <w:pPr>
              <w:keepNext/>
              <w:widowControl w:val="0"/>
              <w:spacing w:before="40" w:after="40" w:line="240" w:lineRule="auto"/>
              <w:rPr>
                <w:rFonts w:ascii="Arial" w:hAnsi="Arial" w:cs="Arial"/>
                <w:sz w:val="20"/>
                <w:szCs w:val="20"/>
              </w:rPr>
            </w:pPr>
            <w:r w:rsidRPr="002551A8">
              <w:rPr>
                <w:rFonts w:ascii="Arial" w:hAnsi="Arial" w:cs="Arial"/>
                <w:sz w:val="20"/>
                <w:szCs w:val="20"/>
              </w:rPr>
              <w:t>Corticosteroid-free clinical remission</w:t>
            </w:r>
            <w:r w:rsidRPr="002551A8">
              <w:rPr>
                <w:rFonts w:ascii="Arial" w:hAnsi="Arial" w:cs="Arial"/>
                <w:sz w:val="20"/>
                <w:szCs w:val="20"/>
                <w:vertAlign w:val="superscript"/>
              </w:rPr>
              <w:t>§</w:t>
            </w:r>
          </w:p>
        </w:tc>
        <w:tc>
          <w:tcPr>
            <w:tcW w:w="2019" w:type="dxa"/>
            <w:vAlign w:val="center"/>
          </w:tcPr>
          <w:p w:rsidR="00C24D82" w:rsidRPr="002551A8" w:rsidRDefault="00C24D82" w:rsidP="00AA3191">
            <w:pPr>
              <w:adjustRightInd w:val="0"/>
              <w:spacing w:before="40" w:after="40" w:line="240" w:lineRule="auto"/>
              <w:jc w:val="center"/>
              <w:rPr>
                <w:rFonts w:ascii="Arial" w:hAnsi="Arial" w:cs="Arial"/>
                <w:sz w:val="20"/>
                <w:szCs w:val="20"/>
              </w:rPr>
            </w:pPr>
            <w:r w:rsidRPr="002551A8">
              <w:rPr>
                <w:rFonts w:ascii="Arial" w:hAnsi="Arial" w:cs="Arial"/>
                <w:sz w:val="20"/>
                <w:szCs w:val="20"/>
              </w:rPr>
              <w:t>16%</w:t>
            </w:r>
          </w:p>
        </w:tc>
        <w:tc>
          <w:tcPr>
            <w:tcW w:w="2019" w:type="dxa"/>
            <w:shd w:val="clear" w:color="auto" w:fill="auto"/>
            <w:tcMar>
              <w:top w:w="14" w:type="dxa"/>
              <w:left w:w="43" w:type="dxa"/>
              <w:bottom w:w="14" w:type="dxa"/>
              <w:right w:w="43" w:type="dxa"/>
            </w:tcMar>
            <w:vAlign w:val="center"/>
          </w:tcPr>
          <w:p w:rsidR="00C24D82" w:rsidRPr="002551A8" w:rsidRDefault="00C24D82" w:rsidP="00AA3191">
            <w:pPr>
              <w:adjustRightInd w:val="0"/>
              <w:spacing w:before="40" w:after="40" w:line="240" w:lineRule="auto"/>
              <w:jc w:val="center"/>
              <w:rPr>
                <w:rFonts w:ascii="Arial" w:hAnsi="Arial" w:cs="Arial"/>
                <w:sz w:val="20"/>
                <w:szCs w:val="20"/>
              </w:rPr>
            </w:pPr>
            <w:r w:rsidRPr="002551A8">
              <w:rPr>
                <w:rFonts w:ascii="Arial" w:hAnsi="Arial" w:cs="Arial"/>
                <w:sz w:val="20"/>
                <w:szCs w:val="20"/>
              </w:rPr>
              <w:t>32%</w:t>
            </w:r>
            <w:r w:rsidRPr="002551A8">
              <w:rPr>
                <w:rFonts w:ascii="Arial" w:hAnsi="Arial" w:cs="Arial"/>
                <w:sz w:val="20"/>
                <w:szCs w:val="20"/>
                <w:vertAlign w:val="superscript"/>
              </w:rPr>
              <w:t>‡</w:t>
            </w:r>
          </w:p>
        </w:tc>
        <w:tc>
          <w:tcPr>
            <w:tcW w:w="1895" w:type="dxa"/>
            <w:gridSpan w:val="2"/>
            <w:shd w:val="clear" w:color="auto" w:fill="auto"/>
            <w:tcMar>
              <w:top w:w="14" w:type="dxa"/>
              <w:left w:w="43" w:type="dxa"/>
              <w:bottom w:w="14" w:type="dxa"/>
              <w:right w:w="43" w:type="dxa"/>
            </w:tcMar>
            <w:vAlign w:val="center"/>
          </w:tcPr>
          <w:p w:rsidR="00C24D82" w:rsidRPr="002551A8" w:rsidRDefault="00C24D82" w:rsidP="00AA3191">
            <w:pPr>
              <w:adjustRightInd w:val="0"/>
              <w:spacing w:before="40" w:after="40" w:line="240" w:lineRule="auto"/>
              <w:jc w:val="center"/>
              <w:rPr>
                <w:rFonts w:ascii="Arial" w:hAnsi="Arial" w:cs="Arial"/>
                <w:sz w:val="20"/>
                <w:szCs w:val="20"/>
              </w:rPr>
            </w:pPr>
            <w:r w:rsidRPr="002551A8">
              <w:rPr>
                <w:rFonts w:ascii="Arial" w:hAnsi="Arial" w:cs="Arial"/>
                <w:sz w:val="20"/>
                <w:szCs w:val="20"/>
              </w:rPr>
              <w:t>29%</w:t>
            </w:r>
            <w:r w:rsidRPr="002551A8">
              <w:rPr>
                <w:rFonts w:ascii="Arial" w:hAnsi="Arial" w:cs="Arial"/>
                <w:sz w:val="20"/>
                <w:szCs w:val="20"/>
                <w:vertAlign w:val="superscript"/>
              </w:rPr>
              <w:t>‡</w:t>
            </w:r>
          </w:p>
        </w:tc>
      </w:tr>
      <w:tr w:rsidR="00C24D82" w:rsidRPr="002551A8" w:rsidTr="00C24D82">
        <w:trPr>
          <w:jc w:val="center"/>
        </w:trPr>
        <w:tc>
          <w:tcPr>
            <w:tcW w:w="2965" w:type="dxa"/>
            <w:shd w:val="clear" w:color="auto" w:fill="auto"/>
            <w:tcMar>
              <w:top w:w="14" w:type="dxa"/>
              <w:left w:w="43" w:type="dxa"/>
              <w:bottom w:w="14" w:type="dxa"/>
              <w:right w:w="43" w:type="dxa"/>
            </w:tcMar>
          </w:tcPr>
          <w:p w:rsidR="00C24D82" w:rsidRPr="0012110F" w:rsidRDefault="00C24D82" w:rsidP="00CD6F6D">
            <w:pPr>
              <w:keepNext/>
              <w:widowControl w:val="0"/>
              <w:spacing w:before="40" w:after="40" w:line="240" w:lineRule="auto"/>
              <w:rPr>
                <w:rFonts w:ascii="Arial" w:hAnsi="Arial" w:cs="Arial"/>
                <w:sz w:val="20"/>
                <w:szCs w:val="20"/>
              </w:rPr>
            </w:pPr>
            <w:r w:rsidRPr="0012110F">
              <w:rPr>
                <w:rFonts w:ascii="Arial" w:hAnsi="Arial" w:cs="Arial"/>
                <w:sz w:val="20"/>
                <w:szCs w:val="20"/>
              </w:rPr>
              <w:t>Durable clinical remission</w:t>
            </w:r>
          </w:p>
        </w:tc>
        <w:tc>
          <w:tcPr>
            <w:tcW w:w="2019" w:type="dxa"/>
            <w:vAlign w:val="center"/>
          </w:tcPr>
          <w:p w:rsidR="00C24D82" w:rsidRPr="0012110F" w:rsidRDefault="00C24D82" w:rsidP="00AC1807">
            <w:pPr>
              <w:adjustRightInd w:val="0"/>
              <w:spacing w:before="40" w:after="40" w:line="240" w:lineRule="auto"/>
              <w:jc w:val="center"/>
              <w:rPr>
                <w:rFonts w:ascii="Arial" w:hAnsi="Arial" w:cs="Arial"/>
                <w:sz w:val="20"/>
                <w:szCs w:val="20"/>
              </w:rPr>
            </w:pPr>
            <w:r w:rsidRPr="0012110F">
              <w:rPr>
                <w:rFonts w:ascii="Arial" w:hAnsi="Arial" w:cs="Arial"/>
                <w:sz w:val="20"/>
                <w:szCs w:val="20"/>
              </w:rPr>
              <w:t>14%</w:t>
            </w:r>
          </w:p>
        </w:tc>
        <w:tc>
          <w:tcPr>
            <w:tcW w:w="2019" w:type="dxa"/>
            <w:shd w:val="clear" w:color="auto" w:fill="auto"/>
            <w:tcMar>
              <w:top w:w="14" w:type="dxa"/>
              <w:left w:w="43" w:type="dxa"/>
              <w:bottom w:w="14" w:type="dxa"/>
              <w:right w:w="43" w:type="dxa"/>
            </w:tcMar>
            <w:vAlign w:val="bottom"/>
          </w:tcPr>
          <w:p w:rsidR="00C24D82" w:rsidRPr="0012110F" w:rsidRDefault="00C24D82" w:rsidP="00AC1807">
            <w:pPr>
              <w:adjustRightInd w:val="0"/>
              <w:spacing w:before="40" w:after="40" w:line="240" w:lineRule="auto"/>
              <w:jc w:val="center"/>
              <w:rPr>
                <w:rFonts w:ascii="Arial" w:hAnsi="Arial" w:cs="Arial"/>
                <w:sz w:val="20"/>
                <w:szCs w:val="20"/>
              </w:rPr>
            </w:pPr>
            <w:r w:rsidRPr="0012110F">
              <w:rPr>
                <w:rFonts w:ascii="Arial" w:hAnsi="Arial" w:cs="Arial"/>
                <w:sz w:val="20"/>
                <w:szCs w:val="20"/>
              </w:rPr>
              <w:t>21%</w:t>
            </w:r>
          </w:p>
        </w:tc>
        <w:tc>
          <w:tcPr>
            <w:tcW w:w="1895" w:type="dxa"/>
            <w:gridSpan w:val="2"/>
            <w:shd w:val="clear" w:color="auto" w:fill="auto"/>
            <w:tcMar>
              <w:top w:w="14" w:type="dxa"/>
              <w:left w:w="43" w:type="dxa"/>
              <w:bottom w:w="14" w:type="dxa"/>
              <w:right w:w="43" w:type="dxa"/>
            </w:tcMar>
            <w:vAlign w:val="bottom"/>
          </w:tcPr>
          <w:p w:rsidR="00C24D82" w:rsidRPr="002551A8" w:rsidRDefault="00C24D82" w:rsidP="00AC1807">
            <w:pPr>
              <w:adjustRightInd w:val="0"/>
              <w:spacing w:before="40" w:after="40" w:line="240" w:lineRule="auto"/>
              <w:jc w:val="center"/>
              <w:rPr>
                <w:rFonts w:ascii="Arial" w:hAnsi="Arial" w:cs="Arial"/>
                <w:sz w:val="20"/>
                <w:szCs w:val="20"/>
              </w:rPr>
            </w:pPr>
            <w:r w:rsidRPr="0012110F">
              <w:rPr>
                <w:rFonts w:ascii="Arial" w:hAnsi="Arial" w:cs="Arial"/>
                <w:sz w:val="20"/>
                <w:szCs w:val="20"/>
              </w:rPr>
              <w:t>16%</w:t>
            </w:r>
          </w:p>
        </w:tc>
      </w:tr>
      <w:tr w:rsidR="00D3721B" w:rsidRPr="00865C69" w:rsidTr="00C24D82">
        <w:trPr>
          <w:gridAfter w:val="1"/>
          <w:wAfter w:w="31" w:type="dxa"/>
          <w:jc w:val="center"/>
        </w:trPr>
        <w:tc>
          <w:tcPr>
            <w:tcW w:w="8867" w:type="dxa"/>
            <w:gridSpan w:val="4"/>
            <w:tcBorders>
              <w:left w:val="nil"/>
              <w:bottom w:val="nil"/>
              <w:right w:val="nil"/>
            </w:tcBorders>
            <w:shd w:val="clear" w:color="auto" w:fill="auto"/>
            <w:tcMar>
              <w:top w:w="14" w:type="dxa"/>
              <w:left w:w="43" w:type="dxa"/>
              <w:bottom w:w="14" w:type="dxa"/>
              <w:right w:w="43" w:type="dxa"/>
            </w:tcMar>
          </w:tcPr>
          <w:p w:rsidR="00D3721B" w:rsidRPr="00865C69" w:rsidRDefault="00D3721B" w:rsidP="002551A8">
            <w:pPr>
              <w:widowControl w:val="0"/>
              <w:spacing w:before="40" w:after="0" w:line="240" w:lineRule="auto"/>
              <w:ind w:left="90" w:hanging="90"/>
              <w:rPr>
                <w:rFonts w:ascii="Arial" w:hAnsi="Arial" w:cs="Arial"/>
                <w:sz w:val="18"/>
                <w:szCs w:val="18"/>
              </w:rPr>
            </w:pPr>
            <w:r w:rsidRPr="00865C69">
              <w:rPr>
                <w:rFonts w:ascii="Arial" w:hAnsi="Arial" w:cs="Arial"/>
                <w:sz w:val="18"/>
                <w:szCs w:val="18"/>
              </w:rPr>
              <w:t>*The placebo group includes those subjects who received vedolizumab at Week 0 and Week 2, and were randomised to receive placebo from Week 6 through Week 52.</w:t>
            </w:r>
          </w:p>
          <w:p w:rsidR="00D3721B" w:rsidRPr="00865C69" w:rsidRDefault="00D3721B" w:rsidP="002551A8">
            <w:pPr>
              <w:widowControl w:val="0"/>
              <w:spacing w:before="40" w:after="0" w:line="240" w:lineRule="auto"/>
              <w:ind w:left="230" w:hanging="230"/>
              <w:rPr>
                <w:rFonts w:ascii="Arial" w:hAnsi="Arial" w:cs="Arial"/>
                <w:sz w:val="18"/>
                <w:szCs w:val="18"/>
              </w:rPr>
            </w:pPr>
            <w:r w:rsidRPr="00865C69">
              <w:rPr>
                <w:rFonts w:ascii="Arial" w:hAnsi="Arial" w:cs="Arial"/>
                <w:sz w:val="18"/>
                <w:szCs w:val="18"/>
                <w:vertAlign w:val="superscript"/>
              </w:rPr>
              <w:t>†</w:t>
            </w:r>
            <w:r w:rsidRPr="00865C69">
              <w:rPr>
                <w:rFonts w:ascii="Arial" w:hAnsi="Arial" w:cs="Arial"/>
                <w:sz w:val="18"/>
                <w:szCs w:val="18"/>
              </w:rPr>
              <w:t>p&lt;0.001</w:t>
            </w:r>
          </w:p>
          <w:p w:rsidR="00D3721B" w:rsidRPr="00865C69" w:rsidRDefault="00D3721B" w:rsidP="002551A8">
            <w:pPr>
              <w:widowControl w:val="0"/>
              <w:spacing w:before="40" w:after="0" w:line="240" w:lineRule="auto"/>
              <w:ind w:left="230" w:hanging="230"/>
              <w:rPr>
                <w:rFonts w:ascii="Arial" w:hAnsi="Arial" w:cs="Arial"/>
                <w:sz w:val="18"/>
                <w:szCs w:val="18"/>
              </w:rPr>
            </w:pPr>
            <w:r w:rsidRPr="00865C69">
              <w:rPr>
                <w:rFonts w:ascii="Arial" w:hAnsi="Arial" w:cs="Arial"/>
                <w:sz w:val="18"/>
                <w:szCs w:val="18"/>
                <w:vertAlign w:val="superscript"/>
              </w:rPr>
              <w:t>‡</w:t>
            </w:r>
            <w:r w:rsidRPr="00865C69">
              <w:rPr>
                <w:rFonts w:ascii="Arial" w:hAnsi="Arial" w:cs="Arial"/>
                <w:sz w:val="18"/>
                <w:szCs w:val="18"/>
              </w:rPr>
              <w:t>p&lt;0.05</w:t>
            </w:r>
          </w:p>
          <w:p w:rsidR="00D3721B" w:rsidRPr="00865C69" w:rsidRDefault="00D3721B" w:rsidP="002551A8">
            <w:pPr>
              <w:widowControl w:val="0"/>
              <w:spacing w:after="0" w:line="240" w:lineRule="auto"/>
              <w:ind w:left="90" w:hanging="90"/>
              <w:rPr>
                <w:rFonts w:ascii="Arial" w:hAnsi="Arial" w:cs="Arial"/>
                <w:sz w:val="18"/>
                <w:szCs w:val="18"/>
              </w:rPr>
            </w:pPr>
            <w:r w:rsidRPr="00865C69">
              <w:rPr>
                <w:rFonts w:ascii="Arial" w:hAnsi="Arial" w:cs="Arial"/>
                <w:sz w:val="18"/>
                <w:szCs w:val="18"/>
                <w:vertAlign w:val="superscript"/>
                <w:lang w:val="en-US"/>
              </w:rPr>
              <w:t>§</w:t>
            </w:r>
            <w:r w:rsidRPr="00865C69">
              <w:rPr>
                <w:rFonts w:ascii="Arial" w:hAnsi="Arial" w:cs="Arial"/>
                <w:sz w:val="18"/>
                <w:szCs w:val="18"/>
              </w:rPr>
              <w:t xml:space="preserve">Patient numbers were </w:t>
            </w:r>
            <w:r w:rsidRPr="00865C69">
              <w:rPr>
                <w:rFonts w:ascii="Arial" w:hAnsi="Arial" w:cs="Arial"/>
                <w:sz w:val="18"/>
                <w:szCs w:val="18"/>
                <w:lang w:val="en-US"/>
              </w:rPr>
              <w:t>n=82 for placebo, n=82 for vedolizumab every eight weeks, and n=80 for vedolizumab every four weeks</w:t>
            </w:r>
            <w:r w:rsidRPr="00865C69">
              <w:rPr>
                <w:rFonts w:ascii="Arial" w:hAnsi="Arial" w:cs="Arial"/>
                <w:sz w:val="18"/>
                <w:szCs w:val="18"/>
              </w:rPr>
              <w:t xml:space="preserve"> </w:t>
            </w:r>
          </w:p>
          <w:p w:rsidR="00D3721B" w:rsidRPr="00865C69" w:rsidRDefault="00D3721B" w:rsidP="00CD6F6D">
            <w:pPr>
              <w:widowControl w:val="0"/>
              <w:spacing w:after="0" w:line="240" w:lineRule="auto"/>
              <w:ind w:left="90" w:hanging="90"/>
              <w:rPr>
                <w:rFonts w:ascii="Arial" w:hAnsi="Arial" w:cs="Arial"/>
                <w:sz w:val="18"/>
                <w:szCs w:val="18"/>
                <w:lang w:val="en-US"/>
              </w:rPr>
            </w:pPr>
          </w:p>
        </w:tc>
      </w:tr>
    </w:tbl>
    <w:p w:rsidR="009550E4" w:rsidRDefault="00D23BD6" w:rsidP="006F501B">
      <w:pPr>
        <w:spacing w:after="240" w:line="240" w:lineRule="auto"/>
        <w:jc w:val="both"/>
        <w:rPr>
          <w:rFonts w:ascii="Arial" w:eastAsia="Times New Roman" w:hAnsi="Arial" w:cs="Arial"/>
        </w:rPr>
      </w:pPr>
      <w:r w:rsidRPr="00D23BD6">
        <w:rPr>
          <w:rFonts w:ascii="Arial" w:eastAsia="Times New Roman" w:hAnsi="Arial" w:cs="Arial"/>
        </w:rPr>
        <w:t>In the GEMINI II study, the induction regimen was administered at Weeks 0 and 2 and maintenance dosing started at week 6. However exploratory analyses suggest a higher rate of long term clinical response with a 0, 2 and 6 week induction regimen followed by maintenance treatment every 8 weeks for patients who demonstrate a clinical response (≥70-point decrease in CDAI score from baseline of induction) 6 to 8 weeks after completion of the induction regimen.</w:t>
      </w:r>
      <w:r w:rsidR="003B16BB" w:rsidRPr="006F501B">
        <w:rPr>
          <w:rFonts w:ascii="Arial" w:eastAsia="Times New Roman" w:hAnsi="Arial" w:cs="Arial"/>
        </w:rPr>
        <w:t xml:space="preserve"> </w:t>
      </w:r>
    </w:p>
    <w:p w:rsidR="00691008" w:rsidRPr="00473FE2" w:rsidRDefault="002D31A3" w:rsidP="0039756B">
      <w:pPr>
        <w:rPr>
          <w:rFonts w:ascii="Arial" w:hAnsi="Arial" w:cs="Arial"/>
          <w:b/>
        </w:rPr>
      </w:pPr>
      <w:r w:rsidRPr="00473FE2">
        <w:rPr>
          <w:rFonts w:ascii="Arial" w:hAnsi="Arial" w:cs="Arial"/>
          <w:b/>
        </w:rPr>
        <w:lastRenderedPageBreak/>
        <w:t>INDICATIONS</w:t>
      </w:r>
    </w:p>
    <w:p w:rsidR="00DF0F01" w:rsidRPr="00473FE2" w:rsidRDefault="00DF0F01" w:rsidP="00DF0F01">
      <w:pPr>
        <w:spacing w:after="240" w:line="240" w:lineRule="auto"/>
        <w:jc w:val="both"/>
        <w:rPr>
          <w:rFonts w:ascii="Arial" w:eastAsia="Times New Roman" w:hAnsi="Arial" w:cs="Arial"/>
        </w:rPr>
      </w:pPr>
      <w:r w:rsidRPr="00473FE2">
        <w:rPr>
          <w:rFonts w:ascii="Arial" w:eastAsia="Times New Roman" w:hAnsi="Arial" w:cs="Arial"/>
        </w:rPr>
        <w:t xml:space="preserve">Treatment of adult patients with moderate to severe ulcerative colitis who have had an inadequate response with, lost response to, or </w:t>
      </w:r>
      <w:r w:rsidR="009E1D9C">
        <w:rPr>
          <w:rFonts w:ascii="Arial" w:eastAsia="Times New Roman" w:hAnsi="Arial" w:cs="Arial"/>
        </w:rPr>
        <w:t>are</w:t>
      </w:r>
      <w:r w:rsidR="009E1D9C" w:rsidRPr="00473FE2">
        <w:rPr>
          <w:rFonts w:ascii="Arial" w:eastAsia="Times New Roman" w:hAnsi="Arial" w:cs="Arial"/>
        </w:rPr>
        <w:t xml:space="preserve"> </w:t>
      </w:r>
      <w:r w:rsidRPr="00473FE2">
        <w:rPr>
          <w:rFonts w:ascii="Arial" w:eastAsia="Times New Roman" w:hAnsi="Arial" w:cs="Arial"/>
        </w:rPr>
        <w:t>intolerant to either conventional therapy or a tumour necrosis factor-alpha (TNF</w:t>
      </w:r>
      <w:r w:rsidRPr="00473FE2">
        <w:rPr>
          <w:rFonts w:ascii="Arial" w:eastAsia="Times New Roman" w:hAnsi="Arial" w:cs="Arial" w:hint="eastAsia"/>
        </w:rPr>
        <w:t>α</w:t>
      </w:r>
      <w:r w:rsidRPr="00473FE2">
        <w:rPr>
          <w:rFonts w:ascii="Arial" w:eastAsia="Times New Roman" w:hAnsi="Arial" w:cs="Arial"/>
        </w:rPr>
        <w:t>) antagonist.</w:t>
      </w:r>
    </w:p>
    <w:p w:rsidR="00DF0F01" w:rsidRPr="00BA2EC7" w:rsidRDefault="00DF0F01" w:rsidP="00DF0F01">
      <w:pPr>
        <w:spacing w:after="240" w:line="240" w:lineRule="auto"/>
        <w:jc w:val="both"/>
        <w:rPr>
          <w:rFonts w:ascii="Arial" w:eastAsia="Times New Roman" w:hAnsi="Arial" w:cs="Arial"/>
        </w:rPr>
      </w:pPr>
      <w:r w:rsidRPr="00473FE2">
        <w:rPr>
          <w:rFonts w:ascii="Arial" w:eastAsia="Times New Roman" w:hAnsi="Arial" w:cs="Arial"/>
        </w:rPr>
        <w:t>Treatment of adult patients with moderate to severe Crohn</w:t>
      </w:r>
      <w:r w:rsidRPr="00473FE2">
        <w:rPr>
          <w:rFonts w:ascii="Arial" w:eastAsia="Times New Roman" w:hAnsi="Arial" w:cs="Arial" w:hint="eastAsia"/>
        </w:rPr>
        <w:t>’</w:t>
      </w:r>
      <w:r w:rsidRPr="00473FE2">
        <w:rPr>
          <w:rFonts w:ascii="Arial" w:eastAsia="Times New Roman" w:hAnsi="Arial" w:cs="Arial"/>
        </w:rPr>
        <w:t xml:space="preserve">s disease who have had an inadequate response with, lost response to, or </w:t>
      </w:r>
      <w:r w:rsidR="009E1D9C">
        <w:rPr>
          <w:rFonts w:ascii="Arial" w:eastAsia="Times New Roman" w:hAnsi="Arial" w:cs="Arial"/>
        </w:rPr>
        <w:t>are</w:t>
      </w:r>
      <w:r w:rsidR="009E1D9C" w:rsidRPr="00473FE2">
        <w:rPr>
          <w:rFonts w:ascii="Arial" w:eastAsia="Times New Roman" w:hAnsi="Arial" w:cs="Arial"/>
        </w:rPr>
        <w:t xml:space="preserve"> </w:t>
      </w:r>
      <w:r w:rsidRPr="00473FE2">
        <w:rPr>
          <w:rFonts w:ascii="Arial" w:eastAsia="Times New Roman" w:hAnsi="Arial" w:cs="Arial"/>
        </w:rPr>
        <w:t>intolerant to either conventional therapy or a tumour necrosis factor-alpha (TNF</w:t>
      </w:r>
      <w:r w:rsidRPr="00473FE2">
        <w:rPr>
          <w:rFonts w:ascii="Arial" w:eastAsia="Times New Roman" w:hAnsi="Arial" w:cs="Arial" w:hint="eastAsia"/>
        </w:rPr>
        <w:t>α</w:t>
      </w:r>
      <w:r w:rsidRPr="00473FE2">
        <w:rPr>
          <w:rFonts w:ascii="Arial" w:eastAsia="Times New Roman" w:hAnsi="Arial" w:cs="Arial"/>
        </w:rPr>
        <w:t>) antagonist.</w:t>
      </w:r>
    </w:p>
    <w:p w:rsidR="00691008" w:rsidRDefault="002D31A3">
      <w:pPr>
        <w:pStyle w:val="NoSpacing"/>
        <w:keepNext/>
        <w:spacing w:after="240" w:line="276" w:lineRule="auto"/>
        <w:jc w:val="both"/>
        <w:rPr>
          <w:rFonts w:ascii="Arial" w:hAnsi="Arial" w:cs="Arial"/>
          <w:b/>
        </w:rPr>
      </w:pPr>
      <w:r w:rsidRPr="002D31A3">
        <w:rPr>
          <w:rFonts w:ascii="Arial" w:hAnsi="Arial" w:cs="Arial"/>
          <w:b/>
        </w:rPr>
        <w:t>CONTRAINDICATIONS</w:t>
      </w:r>
    </w:p>
    <w:p w:rsidR="0062559A" w:rsidRPr="0062559A" w:rsidRDefault="0062559A" w:rsidP="0062559A">
      <w:pPr>
        <w:spacing w:after="240" w:line="240" w:lineRule="auto"/>
        <w:jc w:val="both"/>
        <w:rPr>
          <w:rFonts w:ascii="Arial" w:eastAsia="Times New Roman" w:hAnsi="Arial" w:cs="Arial"/>
        </w:rPr>
      </w:pPr>
      <w:r w:rsidRPr="0062559A">
        <w:rPr>
          <w:rFonts w:ascii="Arial" w:eastAsia="Times New Roman" w:hAnsi="Arial" w:cs="Arial"/>
        </w:rPr>
        <w:t>Hypersensitivity to the active substance or to any of the excipients.</w:t>
      </w:r>
    </w:p>
    <w:p w:rsidR="00416438" w:rsidRPr="00416438" w:rsidRDefault="00961E75" w:rsidP="00416438">
      <w:pPr>
        <w:spacing w:after="240" w:line="240" w:lineRule="auto"/>
        <w:jc w:val="both"/>
        <w:rPr>
          <w:rFonts w:ascii="Arial" w:eastAsia="Times New Roman" w:hAnsi="Arial" w:cs="Arial"/>
        </w:rPr>
      </w:pPr>
      <w:r>
        <w:rPr>
          <w:rFonts w:ascii="Arial" w:eastAsia="Times New Roman" w:hAnsi="Arial" w:cs="Arial"/>
        </w:rPr>
        <w:t>Active s</w:t>
      </w:r>
      <w:r w:rsidR="0062559A" w:rsidRPr="0062559A">
        <w:rPr>
          <w:rFonts w:ascii="Arial" w:eastAsia="Times New Roman" w:hAnsi="Arial" w:cs="Arial"/>
        </w:rPr>
        <w:t xml:space="preserve">evere infections </w:t>
      </w:r>
      <w:r w:rsidR="006334BF" w:rsidRPr="006334BF">
        <w:rPr>
          <w:rFonts w:ascii="Arial" w:eastAsia="Times New Roman" w:hAnsi="Arial" w:cs="Arial"/>
        </w:rPr>
        <w:t>such as sepsis,</w:t>
      </w:r>
      <w:r w:rsidR="008C4405">
        <w:rPr>
          <w:rFonts w:ascii="Arial" w:eastAsia="Times New Roman" w:hAnsi="Arial" w:cs="Arial"/>
        </w:rPr>
        <w:t xml:space="preserve"> </w:t>
      </w:r>
      <w:r w:rsidR="008C4405" w:rsidRPr="006334BF">
        <w:rPr>
          <w:rFonts w:ascii="Arial" w:eastAsia="Times New Roman" w:hAnsi="Arial" w:cs="Arial"/>
        </w:rPr>
        <w:t>tuberculosis</w:t>
      </w:r>
      <w:r>
        <w:rPr>
          <w:rFonts w:ascii="Arial" w:eastAsia="Times New Roman" w:hAnsi="Arial" w:cs="Arial"/>
        </w:rPr>
        <w:t>,</w:t>
      </w:r>
      <w:r w:rsidR="006334BF" w:rsidRPr="006334BF">
        <w:rPr>
          <w:rFonts w:ascii="Arial" w:eastAsia="Times New Roman" w:hAnsi="Arial" w:cs="Arial"/>
        </w:rPr>
        <w:t xml:space="preserve"> opportunistic infections</w:t>
      </w:r>
      <w:r>
        <w:rPr>
          <w:rFonts w:ascii="Arial" w:eastAsia="Times New Roman" w:hAnsi="Arial" w:cs="Arial"/>
        </w:rPr>
        <w:t>, and serious abscesses</w:t>
      </w:r>
      <w:r w:rsidR="006334BF" w:rsidRPr="006334BF">
        <w:rPr>
          <w:rFonts w:ascii="Arial" w:eastAsia="Times New Roman" w:hAnsi="Arial" w:cs="Arial"/>
        </w:rPr>
        <w:t xml:space="preserve"> </w:t>
      </w:r>
      <w:r w:rsidR="0062559A" w:rsidRPr="0062559A">
        <w:rPr>
          <w:rFonts w:ascii="Arial" w:eastAsia="Times New Roman" w:hAnsi="Arial" w:cs="Arial"/>
        </w:rPr>
        <w:t>(see PRECAUTIONS).</w:t>
      </w:r>
    </w:p>
    <w:p w:rsidR="00691008" w:rsidRDefault="002D31A3">
      <w:pPr>
        <w:pStyle w:val="NoSpacing"/>
        <w:spacing w:after="240"/>
        <w:jc w:val="both"/>
        <w:rPr>
          <w:rFonts w:ascii="Arial" w:hAnsi="Arial" w:cs="Arial"/>
          <w:b/>
        </w:rPr>
      </w:pPr>
      <w:r w:rsidRPr="002D31A3">
        <w:rPr>
          <w:rFonts w:ascii="Arial" w:hAnsi="Arial" w:cs="Arial"/>
          <w:b/>
        </w:rPr>
        <w:t>PRECAUTIONS</w:t>
      </w:r>
    </w:p>
    <w:p w:rsidR="00E05168" w:rsidRPr="00E05168" w:rsidRDefault="00E05168" w:rsidP="00E05168">
      <w:pPr>
        <w:spacing w:after="240" w:line="240" w:lineRule="auto"/>
        <w:jc w:val="both"/>
        <w:rPr>
          <w:rFonts w:ascii="Arial" w:eastAsia="Times New Roman" w:hAnsi="Arial" w:cs="Arial"/>
          <w:b/>
        </w:rPr>
      </w:pPr>
      <w:r w:rsidRPr="00E05168">
        <w:rPr>
          <w:rFonts w:ascii="Arial" w:eastAsia="Times New Roman" w:hAnsi="Arial" w:cs="Arial"/>
          <w:b/>
        </w:rPr>
        <w:t>Infusion</w:t>
      </w:r>
      <w:r w:rsidRPr="00E05168">
        <w:rPr>
          <w:rFonts w:ascii="Arial" w:eastAsia="Times New Roman" w:hAnsi="Arial" w:cs="Arial"/>
          <w:b/>
        </w:rPr>
        <w:noBreakHyphen/>
        <w:t>related reactions and hypersensitivity</w:t>
      </w:r>
    </w:p>
    <w:p w:rsidR="00E05168" w:rsidRPr="00E05168" w:rsidRDefault="00E05168" w:rsidP="00473281">
      <w:pPr>
        <w:spacing w:after="240" w:line="240" w:lineRule="auto"/>
        <w:jc w:val="both"/>
        <w:rPr>
          <w:rFonts w:ascii="Arial" w:eastAsia="Times New Roman" w:hAnsi="Arial" w:cs="Arial"/>
        </w:rPr>
      </w:pPr>
      <w:r w:rsidRPr="00E05168">
        <w:rPr>
          <w:rFonts w:ascii="Arial" w:eastAsia="Times New Roman" w:hAnsi="Arial" w:cs="Arial"/>
        </w:rPr>
        <w:t>In clinical studies, infusion</w:t>
      </w:r>
      <w:r w:rsidRPr="00E05168">
        <w:rPr>
          <w:rFonts w:ascii="Arial" w:eastAsia="Times New Roman" w:hAnsi="Arial" w:cs="Arial"/>
        </w:rPr>
        <w:noBreakHyphen/>
        <w:t xml:space="preserve">related reactions (IRR) and hypersensitivity reactions have been reported, with the majority being mild to moderate in severity (see </w:t>
      </w:r>
      <w:r w:rsidR="00FC7B4B">
        <w:rPr>
          <w:rFonts w:ascii="Arial" w:eastAsia="Times New Roman" w:hAnsi="Arial" w:cs="Arial"/>
        </w:rPr>
        <w:t>ADVERSE EFFECTS</w:t>
      </w:r>
      <w:r w:rsidRPr="00E05168">
        <w:rPr>
          <w:rFonts w:ascii="Arial" w:eastAsia="Times New Roman" w:hAnsi="Arial" w:cs="Arial"/>
        </w:rPr>
        <w:t>).</w:t>
      </w:r>
      <w:r w:rsidR="00516C71">
        <w:rPr>
          <w:rFonts w:ascii="Arial" w:eastAsia="Times New Roman" w:hAnsi="Arial" w:cs="Arial"/>
        </w:rPr>
        <w:t xml:space="preserve"> Experience with other biologic medications suggests that hypersensitivity reactions and anaphylaxis may vary in their time of onset from during infusion or immediately post-infusion to occurring up to several hours post-infusion.</w:t>
      </w:r>
    </w:p>
    <w:p w:rsidR="00E05168" w:rsidRPr="00E05168" w:rsidRDefault="00E05168" w:rsidP="00E05168">
      <w:pPr>
        <w:spacing w:after="240" w:line="240" w:lineRule="auto"/>
        <w:jc w:val="both"/>
        <w:rPr>
          <w:rFonts w:ascii="Arial" w:eastAsia="Times New Roman" w:hAnsi="Arial" w:cs="Arial"/>
        </w:rPr>
      </w:pPr>
      <w:r w:rsidRPr="00E05168">
        <w:rPr>
          <w:rFonts w:ascii="Arial" w:eastAsia="Times New Roman" w:hAnsi="Arial" w:cs="Arial"/>
        </w:rPr>
        <w:t xml:space="preserve">If </w:t>
      </w:r>
      <w:r w:rsidR="00E40072">
        <w:rPr>
          <w:rFonts w:ascii="Arial" w:eastAsia="Times New Roman" w:hAnsi="Arial" w:cs="Arial"/>
        </w:rPr>
        <w:t xml:space="preserve">severe IRR, anaphylactic reaction, or other severe reaction </w:t>
      </w:r>
      <w:r w:rsidRPr="00E05168">
        <w:rPr>
          <w:rFonts w:ascii="Arial" w:eastAsia="Times New Roman" w:hAnsi="Arial" w:cs="Arial"/>
        </w:rPr>
        <w:t xml:space="preserve">occurs, administration of </w:t>
      </w:r>
      <w:r w:rsidR="00F8274A">
        <w:rPr>
          <w:rFonts w:ascii="Arial" w:eastAsia="Times New Roman" w:hAnsi="Arial" w:cs="Arial"/>
        </w:rPr>
        <w:t>ENTYVIO</w:t>
      </w:r>
      <w:r w:rsidR="00CF209C" w:rsidRPr="00C92913">
        <w:rPr>
          <w:rFonts w:ascii="Arial" w:eastAsia="Times New Roman" w:hAnsi="Arial" w:cs="Arial"/>
        </w:rPr>
        <w:t xml:space="preserve"> </w:t>
      </w:r>
      <w:r w:rsidRPr="00E05168">
        <w:rPr>
          <w:rFonts w:ascii="Arial" w:eastAsia="Times New Roman" w:hAnsi="Arial" w:cs="Arial"/>
        </w:rPr>
        <w:t>must be discontinued immediately and appropriate treatment initiated (e.g., epinephrine and antihistamines).</w:t>
      </w:r>
    </w:p>
    <w:p w:rsidR="00E05168" w:rsidRPr="00E05168" w:rsidRDefault="00E05168" w:rsidP="00CA2D96">
      <w:pPr>
        <w:spacing w:after="240" w:line="240" w:lineRule="auto"/>
        <w:jc w:val="both"/>
        <w:rPr>
          <w:rFonts w:ascii="Arial" w:eastAsia="Times New Roman" w:hAnsi="Arial" w:cs="Arial"/>
        </w:rPr>
      </w:pPr>
      <w:r w:rsidRPr="00E05168">
        <w:rPr>
          <w:rFonts w:ascii="Arial" w:eastAsia="Times New Roman" w:hAnsi="Arial" w:cs="Arial"/>
        </w:rPr>
        <w:t xml:space="preserve">If a mild to moderate IRR occurs, the infusion rate can be slowed or interrupted and appropriate treatment initiated. Once the mild or moderate IRR subsides, continue the infusion with monitoring. </w:t>
      </w:r>
      <w:r w:rsidR="00CA2D96">
        <w:rPr>
          <w:rFonts w:ascii="Arial" w:eastAsia="Times New Roman" w:hAnsi="Arial" w:cs="Arial"/>
        </w:rPr>
        <w:t>P</w:t>
      </w:r>
      <w:r w:rsidRPr="00E05168">
        <w:rPr>
          <w:rFonts w:ascii="Arial" w:eastAsia="Times New Roman" w:hAnsi="Arial" w:cs="Arial"/>
        </w:rPr>
        <w:t xml:space="preserve">hysicians should consider pretreatment  (e.g., </w:t>
      </w:r>
      <w:r w:rsidR="00CA2D96">
        <w:rPr>
          <w:rFonts w:ascii="Arial" w:eastAsia="Times New Roman" w:hAnsi="Arial" w:cs="Arial"/>
        </w:rPr>
        <w:t xml:space="preserve">with </w:t>
      </w:r>
      <w:r w:rsidRPr="00E05168">
        <w:rPr>
          <w:rFonts w:ascii="Arial" w:eastAsia="Times New Roman" w:hAnsi="Arial" w:cs="Arial"/>
        </w:rPr>
        <w:t>antihistamine, hydrocortisone and/or paracetamol) prior to the next infusion</w:t>
      </w:r>
      <w:r w:rsidR="00CA2D96">
        <w:rPr>
          <w:rFonts w:ascii="Arial" w:eastAsia="Times New Roman" w:hAnsi="Arial" w:cs="Arial"/>
        </w:rPr>
        <w:t xml:space="preserve"> </w:t>
      </w:r>
      <w:r w:rsidR="00CA2D96" w:rsidRPr="00CA2D96">
        <w:rPr>
          <w:rFonts w:ascii="Arial" w:eastAsia="Times New Roman" w:hAnsi="Arial" w:cs="Arial"/>
        </w:rPr>
        <w:t>for</w:t>
      </w:r>
      <w:r w:rsidR="008A367B">
        <w:rPr>
          <w:rFonts w:ascii="Arial" w:eastAsia="Times New Roman" w:hAnsi="Arial" w:cs="Arial"/>
        </w:rPr>
        <w:t xml:space="preserve"> </w:t>
      </w:r>
      <w:r w:rsidR="00CA2D96" w:rsidRPr="00CA2D96">
        <w:rPr>
          <w:rFonts w:ascii="Arial" w:eastAsia="Times New Roman" w:hAnsi="Arial" w:cs="Arial"/>
        </w:rPr>
        <w:t>patients with a history of mild to moderate IRR to vedolizumab</w:t>
      </w:r>
      <w:r w:rsidR="00CA2D96">
        <w:rPr>
          <w:rFonts w:ascii="Arial" w:eastAsia="Times New Roman" w:hAnsi="Arial" w:cs="Arial"/>
        </w:rPr>
        <w:t>,</w:t>
      </w:r>
      <w:r w:rsidRPr="00E05168">
        <w:rPr>
          <w:rFonts w:ascii="Arial" w:eastAsia="Times New Roman" w:hAnsi="Arial" w:cs="Arial"/>
        </w:rPr>
        <w:t xml:space="preserve"> in order to minimize the</w:t>
      </w:r>
      <w:r w:rsidR="00CA2D96">
        <w:rPr>
          <w:rFonts w:ascii="Arial" w:eastAsia="Times New Roman" w:hAnsi="Arial" w:cs="Arial"/>
        </w:rPr>
        <w:t>ir</w:t>
      </w:r>
      <w:r w:rsidRPr="00E05168">
        <w:rPr>
          <w:rFonts w:ascii="Arial" w:eastAsia="Times New Roman" w:hAnsi="Arial" w:cs="Arial"/>
        </w:rPr>
        <w:t xml:space="preserve"> risks (see </w:t>
      </w:r>
      <w:r w:rsidR="00FC7B4B">
        <w:rPr>
          <w:rFonts w:ascii="Arial" w:eastAsia="Times New Roman" w:hAnsi="Arial" w:cs="Arial"/>
        </w:rPr>
        <w:t>ADVERSE EFFECTS</w:t>
      </w:r>
      <w:r w:rsidRPr="00E05168">
        <w:rPr>
          <w:rFonts w:ascii="Arial" w:eastAsia="Times New Roman" w:hAnsi="Arial" w:cs="Arial"/>
        </w:rPr>
        <w:t>).</w:t>
      </w:r>
    </w:p>
    <w:p w:rsidR="00E05168" w:rsidRPr="00E05168" w:rsidRDefault="00E05168" w:rsidP="00E05168">
      <w:pPr>
        <w:spacing w:after="240" w:line="240" w:lineRule="auto"/>
        <w:jc w:val="both"/>
        <w:rPr>
          <w:rFonts w:ascii="Arial" w:eastAsia="Times New Roman" w:hAnsi="Arial" w:cs="Arial"/>
          <w:b/>
        </w:rPr>
      </w:pPr>
      <w:r w:rsidRPr="00F24912">
        <w:rPr>
          <w:rFonts w:ascii="Arial" w:eastAsia="Times New Roman" w:hAnsi="Arial" w:cs="Arial"/>
          <w:b/>
        </w:rPr>
        <w:t>Infections</w:t>
      </w:r>
    </w:p>
    <w:p w:rsidR="001D24BE" w:rsidRDefault="00E05168" w:rsidP="001D24BE">
      <w:pPr>
        <w:spacing w:after="240" w:line="240" w:lineRule="auto"/>
        <w:jc w:val="both"/>
        <w:rPr>
          <w:rFonts w:ascii="Arial" w:eastAsia="Times New Roman" w:hAnsi="Arial" w:cs="Arial"/>
        </w:rPr>
      </w:pPr>
      <w:r>
        <w:rPr>
          <w:rFonts w:ascii="Arial" w:eastAsia="Times New Roman" w:hAnsi="Arial" w:cs="Arial"/>
        </w:rPr>
        <w:t>V</w:t>
      </w:r>
      <w:r w:rsidRPr="00E05168">
        <w:rPr>
          <w:rFonts w:ascii="Arial" w:eastAsia="Times New Roman" w:hAnsi="Arial" w:cs="Arial"/>
        </w:rPr>
        <w:t>edolizumab is a gut</w:t>
      </w:r>
      <w:r w:rsidRPr="00E05168">
        <w:rPr>
          <w:rFonts w:ascii="Arial" w:eastAsia="Times New Roman" w:hAnsi="Arial" w:cs="Arial"/>
        </w:rPr>
        <w:noBreakHyphen/>
        <w:t>selective integrin antagonist</w:t>
      </w:r>
      <w:r w:rsidR="003F46A5">
        <w:rPr>
          <w:rFonts w:ascii="Arial" w:eastAsia="Times New Roman" w:hAnsi="Arial" w:cs="Arial"/>
        </w:rPr>
        <w:t>.</w:t>
      </w:r>
      <w:r w:rsidRPr="00E05168">
        <w:rPr>
          <w:rFonts w:ascii="Arial" w:eastAsia="Times New Roman" w:hAnsi="Arial" w:cs="Arial"/>
        </w:rPr>
        <w:t xml:space="preserve"> </w:t>
      </w:r>
      <w:r w:rsidR="003F46A5">
        <w:rPr>
          <w:rFonts w:ascii="Arial" w:eastAsia="Times New Roman" w:hAnsi="Arial" w:cs="Arial"/>
        </w:rPr>
        <w:t xml:space="preserve">While vedolizumab has not been shown to cause systemic immunosuppressive activity, systemic infections including septic shock have occurred in patients receiving vedolizumab. </w:t>
      </w:r>
      <w:r w:rsidR="001D24BE">
        <w:rPr>
          <w:rFonts w:ascii="Arial" w:eastAsia="Times New Roman" w:hAnsi="Arial" w:cs="Arial"/>
        </w:rPr>
        <w:t>P</w:t>
      </w:r>
      <w:r w:rsidR="00516C71" w:rsidRPr="00E05168">
        <w:rPr>
          <w:rFonts w:ascii="Arial" w:eastAsia="Times New Roman" w:hAnsi="Arial" w:cs="Arial"/>
        </w:rPr>
        <w:t xml:space="preserve">hysicians </w:t>
      </w:r>
      <w:r w:rsidRPr="00E05168">
        <w:rPr>
          <w:rFonts w:ascii="Arial" w:eastAsia="Times New Roman" w:hAnsi="Arial" w:cs="Arial"/>
        </w:rPr>
        <w:t xml:space="preserve">should be aware of the potential increased risk of </w:t>
      </w:r>
      <w:r w:rsidR="001D24BE">
        <w:rPr>
          <w:rFonts w:ascii="Arial" w:eastAsia="Times New Roman" w:hAnsi="Arial" w:cs="Arial"/>
        </w:rPr>
        <w:t xml:space="preserve">opportunistic </w:t>
      </w:r>
      <w:r w:rsidRPr="00E05168">
        <w:rPr>
          <w:rFonts w:ascii="Arial" w:eastAsia="Times New Roman" w:hAnsi="Arial" w:cs="Arial"/>
        </w:rPr>
        <w:t>infections</w:t>
      </w:r>
      <w:r w:rsidR="001D24BE">
        <w:rPr>
          <w:rFonts w:ascii="Arial" w:eastAsia="Times New Roman" w:hAnsi="Arial" w:cs="Arial"/>
        </w:rPr>
        <w:t xml:space="preserve"> or infections for which the gut is a defensive barrier (see ADVERSE EFFECTS)</w:t>
      </w:r>
      <w:r w:rsidR="00516C71">
        <w:rPr>
          <w:rFonts w:ascii="Arial" w:eastAsia="Times New Roman" w:hAnsi="Arial" w:cs="Arial"/>
        </w:rPr>
        <w:t>.</w:t>
      </w:r>
      <w:r w:rsidRPr="00E05168">
        <w:rPr>
          <w:rFonts w:ascii="Arial" w:eastAsia="Times New Roman" w:hAnsi="Arial" w:cs="Arial"/>
        </w:rPr>
        <w:t xml:space="preserve"> </w:t>
      </w:r>
      <w:r w:rsidR="001D24BE">
        <w:rPr>
          <w:rFonts w:ascii="Arial" w:eastAsia="Times New Roman" w:hAnsi="Arial" w:cs="Arial"/>
        </w:rPr>
        <w:t xml:space="preserve">ENTYVIO </w:t>
      </w:r>
      <w:r w:rsidR="001D24BE" w:rsidRPr="00E05168">
        <w:rPr>
          <w:rFonts w:ascii="Arial" w:eastAsia="Times New Roman" w:hAnsi="Arial" w:cs="Arial"/>
        </w:rPr>
        <w:t xml:space="preserve">treatment </w:t>
      </w:r>
      <w:r w:rsidR="001D24BE">
        <w:rPr>
          <w:rFonts w:ascii="Arial" w:eastAsia="Times New Roman" w:hAnsi="Arial" w:cs="Arial"/>
        </w:rPr>
        <w:t>is not to be initiated</w:t>
      </w:r>
      <w:r w:rsidR="001D24BE" w:rsidRPr="00E05168">
        <w:rPr>
          <w:rFonts w:ascii="Arial" w:eastAsia="Times New Roman" w:hAnsi="Arial" w:cs="Arial"/>
        </w:rPr>
        <w:t xml:space="preserve"> in patients with active, severe infections until the infections are controlled</w:t>
      </w:r>
      <w:r w:rsidR="00693F49" w:rsidRPr="00DE73B0">
        <w:rPr>
          <w:rFonts w:ascii="Arial" w:eastAsia="Times New Roman" w:hAnsi="Arial" w:cs="Arial"/>
        </w:rPr>
        <w:t xml:space="preserve">, </w:t>
      </w:r>
      <w:r w:rsidR="00693F49" w:rsidRPr="00DE73B0">
        <w:rPr>
          <w:rFonts w:ascii="Arial" w:hAnsi="Arial" w:cs="Arial"/>
        </w:rPr>
        <w:t xml:space="preserve">and physicians should consider withholding treatment in patients who develop a severe infection while on chronic treatment with </w:t>
      </w:r>
      <w:r w:rsidR="00137DAD">
        <w:rPr>
          <w:rFonts w:ascii="Arial" w:eastAsia="Times New Roman" w:hAnsi="Arial" w:cs="Arial"/>
        </w:rPr>
        <w:t>ENTYVIO</w:t>
      </w:r>
      <w:r w:rsidR="001D24BE" w:rsidRPr="00DE73B0">
        <w:rPr>
          <w:rFonts w:ascii="Arial" w:eastAsia="Times New Roman" w:hAnsi="Arial" w:cs="Arial"/>
        </w:rPr>
        <w:t>. Caution should be excercised when considering</w:t>
      </w:r>
      <w:r w:rsidR="001D24BE" w:rsidRPr="00E05168">
        <w:rPr>
          <w:rFonts w:ascii="Arial" w:eastAsia="Times New Roman" w:hAnsi="Arial" w:cs="Arial"/>
        </w:rPr>
        <w:t xml:space="preserve"> the use of vedolizumab in patients with a controlled chronic severe infection or a history of recurring severe infections. </w:t>
      </w:r>
      <w:r w:rsidR="001D24BE" w:rsidRPr="001D24BE">
        <w:rPr>
          <w:rFonts w:ascii="Arial" w:eastAsia="Times New Roman" w:hAnsi="Arial" w:cs="Arial"/>
        </w:rPr>
        <w:t>Patients should be monitored closely for infections</w:t>
      </w:r>
      <w:r w:rsidR="002D62FB">
        <w:rPr>
          <w:rFonts w:ascii="Arial" w:eastAsia="Times New Roman" w:hAnsi="Arial" w:cs="Arial"/>
        </w:rPr>
        <w:t>.</w:t>
      </w:r>
      <w:r w:rsidR="001D24BE" w:rsidRPr="001D24BE">
        <w:rPr>
          <w:rFonts w:ascii="Arial" w:eastAsia="Times New Roman" w:hAnsi="Arial" w:cs="Arial"/>
        </w:rPr>
        <w:t xml:space="preserve"> </w:t>
      </w:r>
      <w:r w:rsidR="0064072D">
        <w:rPr>
          <w:rFonts w:ascii="Arial" w:eastAsia="Times New Roman" w:hAnsi="Arial" w:cs="Arial"/>
        </w:rPr>
        <w:t>ENTYVIO</w:t>
      </w:r>
      <w:r w:rsidR="0064072D" w:rsidRPr="001D24BE">
        <w:rPr>
          <w:rFonts w:ascii="Arial" w:eastAsia="Times New Roman" w:hAnsi="Arial" w:cs="Arial"/>
        </w:rPr>
        <w:t xml:space="preserve"> </w:t>
      </w:r>
      <w:r w:rsidR="001D24BE" w:rsidRPr="001D24BE">
        <w:rPr>
          <w:rFonts w:ascii="Arial" w:eastAsia="Times New Roman" w:hAnsi="Arial" w:cs="Arial"/>
        </w:rPr>
        <w:t xml:space="preserve">is </w:t>
      </w:r>
      <w:r w:rsidR="001D24BE" w:rsidRPr="001D24BE">
        <w:rPr>
          <w:rFonts w:ascii="Arial" w:eastAsia="Times New Roman" w:hAnsi="Arial" w:cs="Arial"/>
        </w:rPr>
        <w:lastRenderedPageBreak/>
        <w:t xml:space="preserve">contraindicated in patients with active tuberculosis </w:t>
      </w:r>
      <w:r w:rsidR="001D24BE" w:rsidRPr="00137DAD">
        <w:rPr>
          <w:rFonts w:ascii="Arial" w:eastAsia="Times New Roman" w:hAnsi="Arial" w:cs="Arial"/>
        </w:rPr>
        <w:t xml:space="preserve">(see </w:t>
      </w:r>
      <w:r w:rsidR="00137DAD" w:rsidRPr="005E0467">
        <w:rPr>
          <w:rFonts w:ascii="Arial" w:eastAsia="Times New Roman" w:hAnsi="Arial" w:cs="Arial"/>
        </w:rPr>
        <w:t>CONTRAINDICATIONS</w:t>
      </w:r>
      <w:r w:rsidR="001D24BE" w:rsidRPr="00137DAD">
        <w:rPr>
          <w:rFonts w:ascii="Arial" w:eastAsia="Times New Roman" w:hAnsi="Arial" w:cs="Arial"/>
        </w:rPr>
        <w:t>)</w:t>
      </w:r>
      <w:r w:rsidR="001D24BE" w:rsidRPr="001D24BE">
        <w:rPr>
          <w:rFonts w:ascii="Arial" w:eastAsia="Times New Roman" w:hAnsi="Arial" w:cs="Arial"/>
        </w:rPr>
        <w:t>. Before</w:t>
      </w:r>
      <w:r w:rsidR="001D24BE">
        <w:rPr>
          <w:rFonts w:ascii="Arial" w:eastAsia="Times New Roman" w:hAnsi="Arial" w:cs="Arial"/>
        </w:rPr>
        <w:t xml:space="preserve"> </w:t>
      </w:r>
      <w:r w:rsidR="001D24BE" w:rsidRPr="001D24BE">
        <w:rPr>
          <w:rFonts w:ascii="Arial" w:eastAsia="Times New Roman" w:hAnsi="Arial" w:cs="Arial"/>
        </w:rPr>
        <w:t xml:space="preserve">starting treatment with vedolizumab, </w:t>
      </w:r>
      <w:r w:rsidR="00DE73B0">
        <w:rPr>
          <w:rFonts w:ascii="Arial" w:eastAsia="Times New Roman" w:hAnsi="Arial" w:cs="Arial"/>
        </w:rPr>
        <w:t xml:space="preserve">consider </w:t>
      </w:r>
      <w:r w:rsidR="001D24BE" w:rsidRPr="001D24BE">
        <w:rPr>
          <w:rFonts w:ascii="Arial" w:eastAsia="Times New Roman" w:hAnsi="Arial" w:cs="Arial"/>
        </w:rPr>
        <w:t>screen</w:t>
      </w:r>
      <w:r w:rsidR="00DE73B0">
        <w:rPr>
          <w:rFonts w:ascii="Arial" w:eastAsia="Times New Roman" w:hAnsi="Arial" w:cs="Arial"/>
        </w:rPr>
        <w:t>ing</w:t>
      </w:r>
      <w:r w:rsidR="001D24BE" w:rsidRPr="001D24BE">
        <w:rPr>
          <w:rFonts w:ascii="Arial" w:eastAsia="Times New Roman" w:hAnsi="Arial" w:cs="Arial"/>
        </w:rPr>
        <w:t xml:space="preserve"> for tuberculosis according to the local</w:t>
      </w:r>
      <w:r w:rsidR="001D24BE">
        <w:rPr>
          <w:rFonts w:ascii="Arial" w:eastAsia="Times New Roman" w:hAnsi="Arial" w:cs="Arial"/>
        </w:rPr>
        <w:t xml:space="preserve"> </w:t>
      </w:r>
      <w:r w:rsidR="001D24BE" w:rsidRPr="001D24BE">
        <w:rPr>
          <w:rFonts w:ascii="Arial" w:eastAsia="Times New Roman" w:hAnsi="Arial" w:cs="Arial"/>
        </w:rPr>
        <w:t>practice. If latent tuberculosis is diagnosed, appropriate treatment must be started with anti-tuberculosis</w:t>
      </w:r>
      <w:r w:rsidR="001D24BE">
        <w:rPr>
          <w:rFonts w:ascii="Arial" w:eastAsia="Times New Roman" w:hAnsi="Arial" w:cs="Arial"/>
        </w:rPr>
        <w:t xml:space="preserve"> </w:t>
      </w:r>
      <w:r w:rsidR="001D24BE" w:rsidRPr="001D24BE">
        <w:rPr>
          <w:rFonts w:ascii="Arial" w:eastAsia="Times New Roman" w:hAnsi="Arial" w:cs="Arial"/>
        </w:rPr>
        <w:t>treatment in accordance with local recommendations, before beginning vedolizumab.</w:t>
      </w:r>
    </w:p>
    <w:p w:rsidR="00C23C5A" w:rsidRPr="00C23C5A" w:rsidRDefault="00C23C5A" w:rsidP="00B529DE">
      <w:pPr>
        <w:spacing w:after="240" w:line="240" w:lineRule="auto"/>
        <w:jc w:val="both"/>
        <w:rPr>
          <w:rFonts w:ascii="Arial" w:eastAsia="Times New Roman" w:hAnsi="Arial" w:cs="Arial"/>
          <w:b/>
        </w:rPr>
      </w:pPr>
      <w:r w:rsidRPr="00C23C5A">
        <w:rPr>
          <w:rFonts w:ascii="Arial" w:eastAsia="Times New Roman" w:hAnsi="Arial" w:cs="Arial"/>
          <w:b/>
        </w:rPr>
        <w:t>Progressive Multifocal Leukoencephalopathy</w:t>
      </w:r>
    </w:p>
    <w:p w:rsidR="001D24BE" w:rsidRPr="00A97E9E" w:rsidRDefault="00E05168" w:rsidP="00B529DE">
      <w:pPr>
        <w:spacing w:after="240" w:line="240" w:lineRule="auto"/>
        <w:jc w:val="both"/>
        <w:rPr>
          <w:rFonts w:ascii="Arial" w:eastAsia="Times New Roman" w:hAnsi="Arial" w:cs="Arial"/>
        </w:rPr>
      </w:pPr>
      <w:r w:rsidRPr="00E05168">
        <w:rPr>
          <w:rFonts w:ascii="Arial" w:eastAsia="Times New Roman" w:hAnsi="Arial" w:cs="Arial"/>
        </w:rPr>
        <w:t xml:space="preserve">Some integrin antagonists and some systemic immunosuppressive agents have been associated with progressive multifocal leukoencephalopathy (PML), which is a rare and often fatal opportunistic infection </w:t>
      </w:r>
      <w:r w:rsidR="005E71AE" w:rsidRPr="00D06D76">
        <w:rPr>
          <w:rFonts w:ascii="Arial" w:hAnsi="Arial" w:cs="Arial"/>
        </w:rPr>
        <w:t xml:space="preserve">of the central nervous system (CNS) </w:t>
      </w:r>
      <w:r w:rsidRPr="00E05168">
        <w:rPr>
          <w:rFonts w:ascii="Arial" w:eastAsia="Times New Roman" w:hAnsi="Arial" w:cs="Arial"/>
        </w:rPr>
        <w:t xml:space="preserve">caused by the John </w:t>
      </w:r>
      <w:r w:rsidRPr="00A97E9E">
        <w:rPr>
          <w:rFonts w:ascii="Arial" w:eastAsia="Times New Roman" w:hAnsi="Arial" w:cs="Arial"/>
        </w:rPr>
        <w:t>Cunningham (JC) virus. Vedolizumab has no known systemic immunosuppressive activity</w:t>
      </w:r>
      <w:r w:rsidR="00B529DE" w:rsidRPr="00A97E9E">
        <w:rPr>
          <w:rFonts w:ascii="Arial" w:eastAsia="Times New Roman" w:hAnsi="Arial" w:cs="Arial"/>
        </w:rPr>
        <w:t>.</w:t>
      </w:r>
    </w:p>
    <w:p w:rsidR="00C96BFC" w:rsidRPr="002C479D" w:rsidRDefault="003A0957" w:rsidP="003A0957">
      <w:pPr>
        <w:spacing w:after="240" w:line="240" w:lineRule="auto"/>
        <w:jc w:val="both"/>
        <w:rPr>
          <w:rFonts w:ascii="Arial" w:hAnsi="Arial" w:cs="Arial"/>
        </w:rPr>
      </w:pPr>
      <w:r w:rsidRPr="00A97E9E">
        <w:rPr>
          <w:rFonts w:ascii="Arial" w:hAnsi="Arial" w:cs="Arial"/>
          <w:szCs w:val="24"/>
        </w:rPr>
        <w:t xml:space="preserve">In Entyvio clinical trials, patients were </w:t>
      </w:r>
      <w:r w:rsidR="00A97E9E" w:rsidRPr="00A97E9E">
        <w:rPr>
          <w:rFonts w:ascii="Arial" w:hAnsi="Arial" w:cs="Arial"/>
          <w:szCs w:val="24"/>
        </w:rPr>
        <w:t>screened</w:t>
      </w:r>
      <w:r w:rsidRPr="00A97E9E">
        <w:rPr>
          <w:rFonts w:ascii="Arial" w:hAnsi="Arial" w:cs="Arial"/>
          <w:szCs w:val="24"/>
        </w:rPr>
        <w:t xml:space="preserve"> for PML prior to enrolment and </w:t>
      </w:r>
      <w:r w:rsidR="00A97E9E" w:rsidRPr="00A97E9E">
        <w:rPr>
          <w:rFonts w:ascii="Arial" w:hAnsi="Arial" w:cs="Arial"/>
          <w:szCs w:val="24"/>
        </w:rPr>
        <w:t xml:space="preserve">actively monitored </w:t>
      </w:r>
      <w:r w:rsidRPr="00A97E9E">
        <w:rPr>
          <w:rFonts w:ascii="Arial" w:hAnsi="Arial" w:cs="Arial"/>
          <w:szCs w:val="24"/>
        </w:rPr>
        <w:t>during participation, with evaluations of any new, unexplained</w:t>
      </w:r>
      <w:r w:rsidRPr="005739B7">
        <w:rPr>
          <w:rFonts w:ascii="Arial" w:hAnsi="Arial" w:cs="Arial"/>
          <w:szCs w:val="24"/>
        </w:rPr>
        <w:t xml:space="preserve"> neurological symptoms as necessary. </w:t>
      </w:r>
      <w:r w:rsidR="00A10CF7" w:rsidRPr="00A10CF7">
        <w:rPr>
          <w:rFonts w:ascii="Arial" w:eastAsia="Times New Roman" w:hAnsi="Arial" w:cs="Arial"/>
        </w:rPr>
        <w:t>While no cases of PML were identified among patients with at least 24 months of exposure, a risk of PML cannot be ruled out.</w:t>
      </w:r>
    </w:p>
    <w:p w:rsidR="00F75D34" w:rsidRDefault="003A0957" w:rsidP="00370FE9">
      <w:pPr>
        <w:spacing w:after="240" w:line="240" w:lineRule="auto"/>
        <w:jc w:val="both"/>
        <w:rPr>
          <w:rFonts w:ascii="Arial" w:eastAsia="Times New Roman" w:hAnsi="Arial" w:cs="Arial"/>
        </w:rPr>
      </w:pPr>
      <w:r w:rsidRPr="00370FE9">
        <w:rPr>
          <w:rFonts w:ascii="Arial" w:eastAsia="Times New Roman" w:hAnsi="Arial" w:cs="Arial"/>
        </w:rPr>
        <w:t xml:space="preserve">Patients should be monitored for any new onset, or worsening, of neurological signs and symptoms. Typical signs and symptoms associated with PML are diverse, progress over days to weeks, and include progressive weakness on one side of the body or clumsiness of limbs, disturbance of vision, and changes in thinking, memory, and orientation leading to confusion and personality changes. </w:t>
      </w:r>
      <w:r w:rsidR="00C23C5A" w:rsidRPr="00C23C5A">
        <w:rPr>
          <w:rFonts w:ascii="Arial" w:eastAsia="Times New Roman" w:hAnsi="Arial" w:cs="Arial"/>
        </w:rPr>
        <w:t xml:space="preserve"> </w:t>
      </w:r>
    </w:p>
    <w:p w:rsidR="00F75D34" w:rsidRDefault="00C23C5A" w:rsidP="00370FE9">
      <w:pPr>
        <w:spacing w:after="240" w:line="240" w:lineRule="auto"/>
        <w:jc w:val="both"/>
        <w:rPr>
          <w:rFonts w:ascii="Arial" w:eastAsia="Times New Roman" w:hAnsi="Arial" w:cs="Arial"/>
        </w:rPr>
      </w:pPr>
      <w:r w:rsidRPr="00C23C5A">
        <w:rPr>
          <w:rFonts w:ascii="Arial" w:eastAsia="Times New Roman" w:hAnsi="Arial" w:cs="Arial"/>
        </w:rPr>
        <w:t>Patients should be</w:t>
      </w:r>
      <w:r>
        <w:rPr>
          <w:rFonts w:ascii="Arial" w:eastAsia="Times New Roman" w:hAnsi="Arial" w:cs="Arial"/>
        </w:rPr>
        <w:t xml:space="preserve"> </w:t>
      </w:r>
      <w:r w:rsidRPr="00C23C5A">
        <w:rPr>
          <w:rFonts w:ascii="Arial" w:eastAsia="Times New Roman" w:hAnsi="Arial" w:cs="Arial"/>
        </w:rPr>
        <w:t>advised of this potential risk</w:t>
      </w:r>
      <w:r w:rsidR="00C96BFC">
        <w:rPr>
          <w:rFonts w:ascii="Arial" w:eastAsia="Times New Roman" w:hAnsi="Arial" w:cs="Arial"/>
        </w:rPr>
        <w:t xml:space="preserve"> for PML</w:t>
      </w:r>
      <w:r w:rsidRPr="00C23C5A">
        <w:rPr>
          <w:rFonts w:ascii="Arial" w:eastAsia="Times New Roman" w:hAnsi="Arial" w:cs="Arial"/>
        </w:rPr>
        <w:t xml:space="preserve"> and that they should carry a Patient Alert Card at all times. The Alert Card reminds patients that they must contact their doctor if they have unusual or prolonged new neurological symptoms or if they have severe or prolonged symptoms of infection.</w:t>
      </w:r>
      <w:r w:rsidR="00097A23">
        <w:rPr>
          <w:rFonts w:ascii="Arial" w:eastAsia="Times New Roman" w:hAnsi="Arial" w:cs="Arial"/>
        </w:rPr>
        <w:t xml:space="preserve"> </w:t>
      </w:r>
      <w:r w:rsidRPr="00C23C5A">
        <w:rPr>
          <w:rFonts w:ascii="Arial" w:eastAsia="Times New Roman" w:hAnsi="Arial" w:cs="Arial"/>
        </w:rPr>
        <w:t>Healthcare professionals should monitor patients on vedolizumab for any new signs or symptoms that may be suggestive of serious infection including PML. Vedolizumab dosing should be withheld immediately at the first signs or symptoms suggestive of PML</w:t>
      </w:r>
      <w:r w:rsidR="003A0957">
        <w:rPr>
          <w:rFonts w:ascii="Arial" w:eastAsia="Times New Roman" w:hAnsi="Arial" w:cs="Arial"/>
        </w:rPr>
        <w:t xml:space="preserve">, </w:t>
      </w:r>
      <w:r w:rsidR="003A0957" w:rsidRPr="00370FE9">
        <w:rPr>
          <w:rFonts w:ascii="Arial" w:eastAsia="Times New Roman" w:hAnsi="Arial" w:cs="Arial"/>
        </w:rPr>
        <w:t>and patients should be referred to a neurologist</w:t>
      </w:r>
      <w:r w:rsidRPr="00C23C5A">
        <w:rPr>
          <w:rFonts w:ascii="Arial" w:eastAsia="Times New Roman" w:hAnsi="Arial" w:cs="Arial"/>
        </w:rPr>
        <w:t>.</w:t>
      </w:r>
      <w:r>
        <w:rPr>
          <w:rFonts w:ascii="Arial" w:eastAsia="Times New Roman" w:hAnsi="Arial" w:cs="Arial"/>
        </w:rPr>
        <w:t xml:space="preserve"> </w:t>
      </w:r>
    </w:p>
    <w:p w:rsidR="00E05168" w:rsidRPr="00E05168" w:rsidRDefault="00E05168" w:rsidP="00C867EF">
      <w:pPr>
        <w:spacing w:after="240" w:line="240" w:lineRule="auto"/>
        <w:jc w:val="both"/>
        <w:rPr>
          <w:rFonts w:ascii="Arial" w:eastAsia="Times New Roman" w:hAnsi="Arial" w:cs="Arial"/>
          <w:b/>
        </w:rPr>
      </w:pPr>
      <w:r w:rsidRPr="00E05168">
        <w:rPr>
          <w:rFonts w:ascii="Arial" w:eastAsia="Times New Roman" w:hAnsi="Arial" w:cs="Arial"/>
          <w:b/>
        </w:rPr>
        <w:t xml:space="preserve">Prior and concurrent </w:t>
      </w:r>
      <w:r w:rsidR="0002752E">
        <w:rPr>
          <w:rFonts w:ascii="Arial" w:eastAsia="Times New Roman" w:hAnsi="Arial" w:cs="Arial"/>
          <w:b/>
        </w:rPr>
        <w:t>use of biological products</w:t>
      </w:r>
    </w:p>
    <w:p w:rsidR="00E05168" w:rsidRPr="00E05168" w:rsidRDefault="00E05168" w:rsidP="00E05168">
      <w:pPr>
        <w:spacing w:after="240" w:line="240" w:lineRule="auto"/>
        <w:jc w:val="both"/>
        <w:rPr>
          <w:rFonts w:ascii="Arial" w:eastAsia="Times New Roman" w:hAnsi="Arial" w:cs="Arial"/>
        </w:rPr>
      </w:pPr>
      <w:r w:rsidRPr="00E05168">
        <w:rPr>
          <w:rFonts w:ascii="Arial" w:eastAsia="Times New Roman" w:hAnsi="Arial" w:cs="Arial"/>
        </w:rPr>
        <w:t xml:space="preserve">No vedolizumab clinical trial data are available for patients previously treated with natalizumab or rituximab. Caution should be exercised when considering the use of vedolizumab in these patients. </w:t>
      </w:r>
    </w:p>
    <w:p w:rsidR="00E05168" w:rsidRPr="00E05168" w:rsidRDefault="00E05168" w:rsidP="00E05168">
      <w:pPr>
        <w:spacing w:after="240" w:line="240" w:lineRule="auto"/>
        <w:jc w:val="both"/>
        <w:rPr>
          <w:rFonts w:ascii="Arial" w:eastAsia="Times New Roman" w:hAnsi="Arial" w:cs="Arial"/>
        </w:rPr>
      </w:pPr>
      <w:r w:rsidRPr="00E05168">
        <w:rPr>
          <w:rFonts w:ascii="Arial" w:eastAsia="Times New Roman" w:hAnsi="Arial" w:cs="Arial"/>
        </w:rPr>
        <w:t xml:space="preserve">Patients previously exposed to natalizumab should normally wait a minimum of 12 weeks </w:t>
      </w:r>
      <w:r w:rsidR="00E64034">
        <w:rPr>
          <w:rFonts w:ascii="Arial" w:eastAsia="Times New Roman" w:hAnsi="Arial" w:cs="Arial"/>
        </w:rPr>
        <w:t>after the last dose of natalizumab</w:t>
      </w:r>
      <w:r w:rsidR="00E64034" w:rsidRPr="00E05168">
        <w:rPr>
          <w:rFonts w:ascii="Arial" w:eastAsia="Times New Roman" w:hAnsi="Arial" w:cs="Arial"/>
        </w:rPr>
        <w:t xml:space="preserve"> </w:t>
      </w:r>
      <w:r w:rsidRPr="00E05168">
        <w:rPr>
          <w:rFonts w:ascii="Arial" w:eastAsia="Times New Roman" w:hAnsi="Arial" w:cs="Arial"/>
        </w:rPr>
        <w:t xml:space="preserve">prior to initiating therapy with </w:t>
      </w:r>
      <w:r w:rsidR="00F8274A">
        <w:rPr>
          <w:rFonts w:ascii="Arial" w:eastAsia="Times New Roman" w:hAnsi="Arial" w:cs="Arial"/>
        </w:rPr>
        <w:t>ENTYVIO</w:t>
      </w:r>
      <w:r w:rsidRPr="00E05168">
        <w:rPr>
          <w:rFonts w:ascii="Arial" w:eastAsia="Times New Roman" w:hAnsi="Arial" w:cs="Arial"/>
        </w:rPr>
        <w:t>, unless otherwise indicated by the patient’s clinical condition.</w:t>
      </w:r>
    </w:p>
    <w:p w:rsidR="00E05168" w:rsidRPr="00E05168" w:rsidRDefault="00CE3C00" w:rsidP="00E05168">
      <w:pPr>
        <w:spacing w:after="240" w:line="240" w:lineRule="auto"/>
        <w:jc w:val="both"/>
        <w:rPr>
          <w:rFonts w:ascii="Arial" w:eastAsia="Times New Roman" w:hAnsi="Arial" w:cs="Arial"/>
        </w:rPr>
      </w:pPr>
      <w:r>
        <w:rPr>
          <w:rFonts w:ascii="Arial" w:eastAsia="Times New Roman" w:hAnsi="Arial" w:cs="Arial"/>
        </w:rPr>
        <w:t>There are n</w:t>
      </w:r>
      <w:r w:rsidRPr="00E05168">
        <w:rPr>
          <w:rFonts w:ascii="Arial" w:eastAsia="Times New Roman" w:hAnsi="Arial" w:cs="Arial"/>
        </w:rPr>
        <w:t xml:space="preserve">o </w:t>
      </w:r>
      <w:r w:rsidR="00E05168" w:rsidRPr="00E05168">
        <w:rPr>
          <w:rFonts w:ascii="Arial" w:eastAsia="Times New Roman" w:hAnsi="Arial" w:cs="Arial"/>
        </w:rPr>
        <w:t xml:space="preserve">clinical trial data for concomitant use of vedolizumab with biologic immunosuppressants. Therefore, the use of </w:t>
      </w:r>
      <w:r w:rsidR="00F8274A">
        <w:rPr>
          <w:rFonts w:ascii="Arial" w:eastAsia="Times New Roman" w:hAnsi="Arial" w:cs="Arial"/>
        </w:rPr>
        <w:t>ENTYVIO</w:t>
      </w:r>
      <w:r w:rsidR="00CF209C" w:rsidRPr="00C92913">
        <w:rPr>
          <w:rFonts w:ascii="Arial" w:eastAsia="Times New Roman" w:hAnsi="Arial" w:cs="Arial"/>
        </w:rPr>
        <w:t xml:space="preserve"> </w:t>
      </w:r>
      <w:r w:rsidR="00E05168" w:rsidRPr="00E05168">
        <w:rPr>
          <w:rFonts w:ascii="Arial" w:eastAsia="Times New Roman" w:hAnsi="Arial" w:cs="Arial"/>
        </w:rPr>
        <w:t>in such patients is not recommended.</w:t>
      </w:r>
    </w:p>
    <w:p w:rsidR="00E05168" w:rsidRPr="00E05168" w:rsidRDefault="00E05168" w:rsidP="00E05168">
      <w:pPr>
        <w:spacing w:after="240" w:line="240" w:lineRule="auto"/>
        <w:jc w:val="both"/>
        <w:rPr>
          <w:rFonts w:ascii="Arial" w:eastAsia="Times New Roman" w:hAnsi="Arial" w:cs="Arial"/>
          <w:b/>
        </w:rPr>
      </w:pPr>
      <w:r w:rsidRPr="00E05168">
        <w:rPr>
          <w:rFonts w:ascii="Arial" w:eastAsia="Times New Roman" w:hAnsi="Arial" w:cs="Arial"/>
          <w:b/>
        </w:rPr>
        <w:t>Live and oral vaccines</w:t>
      </w:r>
    </w:p>
    <w:p w:rsidR="00CE3C00" w:rsidRPr="00E05168" w:rsidRDefault="00CE3C00" w:rsidP="00CE3C00">
      <w:pPr>
        <w:spacing w:after="240" w:line="240" w:lineRule="auto"/>
        <w:jc w:val="both"/>
        <w:rPr>
          <w:rFonts w:ascii="Arial" w:eastAsia="Times New Roman" w:hAnsi="Arial" w:cs="Arial"/>
        </w:rPr>
      </w:pPr>
      <w:r w:rsidRPr="00E05168">
        <w:rPr>
          <w:rFonts w:ascii="Arial" w:eastAsia="Times New Roman" w:hAnsi="Arial" w:cs="Arial"/>
        </w:rPr>
        <w:t xml:space="preserve">It is recommended that all patients be brought up to date with all </w:t>
      </w:r>
      <w:r>
        <w:rPr>
          <w:rFonts w:ascii="Arial" w:eastAsia="Times New Roman" w:hAnsi="Arial" w:cs="Arial"/>
        </w:rPr>
        <w:t xml:space="preserve">oral and all live </w:t>
      </w:r>
      <w:r w:rsidRPr="00E05168">
        <w:rPr>
          <w:rFonts w:ascii="Arial" w:eastAsia="Times New Roman" w:hAnsi="Arial" w:cs="Arial"/>
        </w:rPr>
        <w:t xml:space="preserve">immunisations in agreement with current immunisation guidelines prior to initiating </w:t>
      </w:r>
      <w:r>
        <w:rPr>
          <w:rFonts w:ascii="Arial" w:eastAsia="Times New Roman" w:hAnsi="Arial" w:cs="Arial"/>
        </w:rPr>
        <w:t>treatment with ENTYVIO</w:t>
      </w:r>
      <w:r w:rsidRPr="00E05168">
        <w:rPr>
          <w:rFonts w:ascii="Arial" w:eastAsia="Times New Roman" w:hAnsi="Arial" w:cs="Arial"/>
        </w:rPr>
        <w:t xml:space="preserve">. Patients receiving treatment </w:t>
      </w:r>
      <w:r>
        <w:rPr>
          <w:rFonts w:ascii="Arial" w:eastAsia="Times New Roman" w:hAnsi="Arial" w:cs="Arial"/>
        </w:rPr>
        <w:t xml:space="preserve">with vedolizumab </w:t>
      </w:r>
      <w:r w:rsidRPr="00E05168">
        <w:rPr>
          <w:rFonts w:ascii="Arial" w:eastAsia="Times New Roman" w:hAnsi="Arial" w:cs="Arial"/>
        </w:rPr>
        <w:t>may continue to receive non-</w:t>
      </w:r>
      <w:r w:rsidRPr="00E05168">
        <w:rPr>
          <w:rFonts w:ascii="Arial" w:eastAsia="Times New Roman" w:hAnsi="Arial" w:cs="Arial"/>
        </w:rPr>
        <w:lastRenderedPageBreak/>
        <w:t xml:space="preserve">live vaccines. There are no data on the secondary transmission of infection by live vaccines in patients receiving vedolizumab. </w:t>
      </w:r>
      <w:r>
        <w:rPr>
          <w:rFonts w:ascii="Arial" w:eastAsia="Times New Roman" w:hAnsi="Arial" w:cs="Arial"/>
        </w:rPr>
        <w:t>L</w:t>
      </w:r>
      <w:r w:rsidRPr="00E05168">
        <w:rPr>
          <w:rFonts w:ascii="Arial" w:eastAsia="Times New Roman" w:hAnsi="Arial" w:cs="Arial"/>
        </w:rPr>
        <w:t>ive vaccines may be administered concurrently with vedolizumab only if the benefits outweigh the risks.</w:t>
      </w:r>
      <w:r>
        <w:rPr>
          <w:rFonts w:ascii="Arial" w:eastAsia="Times New Roman" w:hAnsi="Arial" w:cs="Arial"/>
        </w:rPr>
        <w:t xml:space="preserve"> </w:t>
      </w:r>
      <w:r w:rsidRPr="00E05168">
        <w:rPr>
          <w:rFonts w:ascii="Arial" w:eastAsia="Times New Roman" w:hAnsi="Arial" w:cs="Arial"/>
        </w:rPr>
        <w:t xml:space="preserve">Administration of the influenza vaccine should be by injection </w:t>
      </w:r>
      <w:r>
        <w:rPr>
          <w:rFonts w:ascii="Arial" w:eastAsia="Times New Roman" w:hAnsi="Arial" w:cs="Arial"/>
        </w:rPr>
        <w:t>according to routine</w:t>
      </w:r>
      <w:r w:rsidRPr="00E05168">
        <w:rPr>
          <w:rFonts w:ascii="Arial" w:eastAsia="Times New Roman" w:hAnsi="Arial" w:cs="Arial"/>
        </w:rPr>
        <w:t xml:space="preserve"> clinical practice. </w:t>
      </w:r>
    </w:p>
    <w:p w:rsidR="00E05168" w:rsidRPr="00E05168" w:rsidDel="00C65E47" w:rsidRDefault="00E05168" w:rsidP="00E05168">
      <w:pPr>
        <w:spacing w:after="240" w:line="240" w:lineRule="auto"/>
        <w:jc w:val="both"/>
        <w:rPr>
          <w:rFonts w:ascii="Arial" w:eastAsia="Times New Roman" w:hAnsi="Arial" w:cs="Arial"/>
        </w:rPr>
      </w:pPr>
      <w:r w:rsidRPr="00E05168" w:rsidDel="00C65E47">
        <w:rPr>
          <w:rFonts w:ascii="Arial" w:eastAsia="Times New Roman" w:hAnsi="Arial" w:cs="Arial"/>
        </w:rPr>
        <w:t>In a placebo</w:t>
      </w:r>
      <w:r w:rsidRPr="00E05168" w:rsidDel="00C65E47">
        <w:rPr>
          <w:rFonts w:ascii="Arial" w:eastAsia="Times New Roman" w:hAnsi="Arial" w:cs="Arial"/>
        </w:rPr>
        <w:noBreakHyphen/>
        <w:t xml:space="preserve">controlled study of </w:t>
      </w:r>
      <w:r w:rsidR="00CE3C00" w:rsidDel="00C65E47">
        <w:rPr>
          <w:rFonts w:ascii="Arial" w:eastAsia="Times New Roman" w:hAnsi="Arial" w:cs="Arial"/>
        </w:rPr>
        <w:t>healthy</w:t>
      </w:r>
      <w:r w:rsidR="00CE3C00" w:rsidRPr="00E05168" w:rsidDel="00C65E47">
        <w:rPr>
          <w:rFonts w:ascii="Arial" w:eastAsia="Times New Roman" w:hAnsi="Arial" w:cs="Arial"/>
        </w:rPr>
        <w:t xml:space="preserve"> </w:t>
      </w:r>
      <w:r w:rsidRPr="00E05168" w:rsidDel="00C65E47">
        <w:rPr>
          <w:rFonts w:ascii="Arial" w:eastAsia="Times New Roman" w:hAnsi="Arial" w:cs="Arial"/>
        </w:rPr>
        <w:t xml:space="preserve">volunteers, a single 750 mg dose of vedolizumab did not lower rates of protective immunity to </w:t>
      </w:r>
      <w:r w:rsidR="00CE3C00" w:rsidDel="00C65E47">
        <w:rPr>
          <w:rFonts w:ascii="Arial" w:eastAsia="Times New Roman" w:hAnsi="Arial" w:cs="Arial"/>
        </w:rPr>
        <w:t>H</w:t>
      </w:r>
      <w:r w:rsidR="00CE3C00" w:rsidRPr="00E05168" w:rsidDel="00C65E47">
        <w:rPr>
          <w:rFonts w:ascii="Arial" w:eastAsia="Times New Roman" w:hAnsi="Arial" w:cs="Arial"/>
        </w:rPr>
        <w:t>epatitis </w:t>
      </w:r>
      <w:r w:rsidRPr="00E05168" w:rsidDel="00C65E47">
        <w:rPr>
          <w:rFonts w:ascii="Arial" w:eastAsia="Times New Roman" w:hAnsi="Arial" w:cs="Arial"/>
        </w:rPr>
        <w:t xml:space="preserve">B virus in volunteers who were vaccinated intramuscularly with three doses of recombinant </w:t>
      </w:r>
      <w:r w:rsidR="00CE3C00" w:rsidDel="00C65E47">
        <w:rPr>
          <w:rFonts w:ascii="Arial" w:eastAsia="Times New Roman" w:hAnsi="Arial" w:cs="Arial"/>
        </w:rPr>
        <w:t>H</w:t>
      </w:r>
      <w:r w:rsidR="00CE3C00" w:rsidRPr="00E05168" w:rsidDel="00C65E47">
        <w:rPr>
          <w:rFonts w:ascii="Arial" w:eastAsia="Times New Roman" w:hAnsi="Arial" w:cs="Arial"/>
        </w:rPr>
        <w:t>epatitis </w:t>
      </w:r>
      <w:r w:rsidRPr="00E05168" w:rsidDel="00C65E47">
        <w:rPr>
          <w:rFonts w:ascii="Arial" w:eastAsia="Times New Roman" w:hAnsi="Arial" w:cs="Arial"/>
        </w:rPr>
        <w:t xml:space="preserve">B surface antigen. </w:t>
      </w:r>
      <w:r w:rsidR="00CE3C00" w:rsidDel="00C65E47">
        <w:rPr>
          <w:rFonts w:ascii="Arial" w:eastAsia="Times New Roman" w:hAnsi="Arial" w:cs="Arial"/>
        </w:rPr>
        <w:t>Patients exposed to vedolizumab</w:t>
      </w:r>
      <w:r w:rsidRPr="00E05168" w:rsidDel="00C65E47">
        <w:rPr>
          <w:rFonts w:ascii="Arial" w:eastAsia="Times New Roman" w:hAnsi="Arial" w:cs="Arial"/>
        </w:rPr>
        <w:t xml:space="preserve"> had lower seroconversion rates after receiving </w:t>
      </w:r>
      <w:r w:rsidR="00CE3C00" w:rsidDel="00C65E47">
        <w:rPr>
          <w:rFonts w:ascii="Arial" w:eastAsia="Times New Roman" w:hAnsi="Arial" w:cs="Arial"/>
        </w:rPr>
        <w:t>two doses of a</w:t>
      </w:r>
      <w:r w:rsidR="00CE3C00" w:rsidRPr="00E05168" w:rsidDel="00C65E47">
        <w:rPr>
          <w:rFonts w:ascii="Arial" w:eastAsia="Times New Roman" w:hAnsi="Arial" w:cs="Arial"/>
        </w:rPr>
        <w:t xml:space="preserve"> </w:t>
      </w:r>
      <w:r w:rsidRPr="00E05168" w:rsidDel="00C65E47">
        <w:rPr>
          <w:rFonts w:ascii="Arial" w:eastAsia="Times New Roman" w:hAnsi="Arial" w:cs="Arial"/>
        </w:rPr>
        <w:t xml:space="preserve">killed, oral cholera vaccine. The impact on other oral and nasal vaccines is unknown. </w:t>
      </w:r>
    </w:p>
    <w:p w:rsidR="00691008" w:rsidRDefault="002D31A3">
      <w:pPr>
        <w:pStyle w:val="NoSpacing"/>
        <w:spacing w:after="240"/>
        <w:jc w:val="both"/>
        <w:rPr>
          <w:rFonts w:ascii="Arial" w:hAnsi="Arial" w:cs="Arial"/>
          <w:b/>
        </w:rPr>
      </w:pPr>
      <w:r w:rsidRPr="002D31A3">
        <w:rPr>
          <w:rFonts w:ascii="Arial" w:hAnsi="Arial" w:cs="Arial"/>
          <w:b/>
        </w:rPr>
        <w:t xml:space="preserve">Effects on </w:t>
      </w:r>
      <w:r w:rsidR="00506327">
        <w:rPr>
          <w:rFonts w:ascii="Arial" w:hAnsi="Arial" w:cs="Arial"/>
          <w:b/>
        </w:rPr>
        <w:t>F</w:t>
      </w:r>
      <w:r w:rsidRPr="002D31A3">
        <w:rPr>
          <w:rFonts w:ascii="Arial" w:hAnsi="Arial" w:cs="Arial"/>
          <w:b/>
        </w:rPr>
        <w:t>ertility</w:t>
      </w:r>
    </w:p>
    <w:p w:rsidR="00B569F0" w:rsidRPr="00B569F0" w:rsidRDefault="00B569F0" w:rsidP="00B569F0">
      <w:pPr>
        <w:spacing w:after="240" w:line="240" w:lineRule="auto"/>
        <w:jc w:val="both"/>
        <w:rPr>
          <w:rFonts w:ascii="Arial" w:eastAsia="Times New Roman" w:hAnsi="Arial" w:cs="Arial"/>
        </w:rPr>
      </w:pPr>
      <w:r w:rsidRPr="00B569F0">
        <w:rPr>
          <w:rFonts w:ascii="Arial" w:eastAsia="Times New Roman" w:hAnsi="Arial" w:cs="Arial"/>
        </w:rPr>
        <w:t>There are no data on the effects of vedolizumab on human fertility. Effects on male and female fertility have not been formally evaluated in animal studies.</w:t>
      </w:r>
    </w:p>
    <w:p w:rsidR="00691008" w:rsidRDefault="002D31A3">
      <w:pPr>
        <w:pStyle w:val="NoSpacing"/>
        <w:spacing w:after="240"/>
        <w:jc w:val="both"/>
        <w:rPr>
          <w:rFonts w:ascii="Arial" w:hAnsi="Arial" w:cs="Arial"/>
          <w:b/>
        </w:rPr>
      </w:pPr>
      <w:r w:rsidRPr="002D31A3">
        <w:rPr>
          <w:rFonts w:ascii="Arial" w:hAnsi="Arial" w:cs="Arial"/>
          <w:b/>
        </w:rPr>
        <w:t xml:space="preserve">Use in </w:t>
      </w:r>
      <w:r w:rsidR="00506327">
        <w:rPr>
          <w:rFonts w:ascii="Arial" w:hAnsi="Arial" w:cs="Arial"/>
          <w:b/>
        </w:rPr>
        <w:t>P</w:t>
      </w:r>
      <w:r w:rsidRPr="002D31A3">
        <w:rPr>
          <w:rFonts w:ascii="Arial" w:hAnsi="Arial" w:cs="Arial"/>
          <w:b/>
        </w:rPr>
        <w:t xml:space="preserve">regnancy </w:t>
      </w:r>
      <w:r w:rsidR="00F9001C" w:rsidRPr="0082427F">
        <w:rPr>
          <w:rFonts w:ascii="Arial" w:hAnsi="Arial" w:cs="Arial"/>
          <w:b/>
        </w:rPr>
        <w:t>(C</w:t>
      </w:r>
      <w:r w:rsidRPr="0082427F">
        <w:rPr>
          <w:rFonts w:ascii="Arial" w:hAnsi="Arial" w:cs="Arial"/>
          <w:b/>
        </w:rPr>
        <w:t xml:space="preserve">ategory </w:t>
      </w:r>
      <w:r w:rsidR="00E73B59" w:rsidRPr="0082427F">
        <w:rPr>
          <w:rFonts w:ascii="Arial" w:hAnsi="Arial" w:cs="Arial"/>
          <w:b/>
        </w:rPr>
        <w:t>B2</w:t>
      </w:r>
      <w:r w:rsidR="00F9001C" w:rsidRPr="0082427F">
        <w:rPr>
          <w:rFonts w:ascii="Arial" w:hAnsi="Arial" w:cs="Arial"/>
          <w:b/>
        </w:rPr>
        <w:t>)</w:t>
      </w:r>
    </w:p>
    <w:p w:rsidR="00AA39BE" w:rsidRPr="00AA39BE" w:rsidRDefault="00B569F0" w:rsidP="00AA39BE">
      <w:pPr>
        <w:spacing w:after="240" w:line="240" w:lineRule="auto"/>
        <w:jc w:val="both"/>
        <w:rPr>
          <w:rFonts w:ascii="Arial" w:eastAsia="Times New Roman" w:hAnsi="Arial" w:cs="Arial"/>
        </w:rPr>
      </w:pPr>
      <w:r w:rsidRPr="00B569F0">
        <w:rPr>
          <w:rFonts w:ascii="Arial" w:eastAsia="Times New Roman" w:hAnsi="Arial" w:cs="Arial"/>
        </w:rPr>
        <w:t>There are limited data f</w:t>
      </w:r>
      <w:r w:rsidR="000F76C1">
        <w:rPr>
          <w:rFonts w:ascii="Arial" w:eastAsia="Times New Roman" w:hAnsi="Arial" w:cs="Arial"/>
        </w:rPr>
        <w:t>or</w:t>
      </w:r>
      <w:r w:rsidRPr="00B569F0">
        <w:rPr>
          <w:rFonts w:ascii="Arial" w:eastAsia="Times New Roman" w:hAnsi="Arial" w:cs="Arial"/>
        </w:rPr>
        <w:t xml:space="preserve"> the use of vedolizumab in pregnant women.</w:t>
      </w:r>
      <w:r w:rsidR="00C00C20">
        <w:rPr>
          <w:rFonts w:ascii="Arial" w:eastAsia="Times New Roman" w:hAnsi="Arial" w:cs="Arial"/>
        </w:rPr>
        <w:t xml:space="preserve"> </w:t>
      </w:r>
      <w:r w:rsidR="00D04083" w:rsidRPr="00D04083">
        <w:rPr>
          <w:rFonts w:ascii="Arial" w:eastAsia="Times New Roman" w:hAnsi="Arial" w:cs="Arial"/>
        </w:rPr>
        <w:t>Placental transfer of vedolizumab has not been investigated, but IgG antibodies are known to cross the placenta.</w:t>
      </w:r>
    </w:p>
    <w:p w:rsidR="00D04083" w:rsidRPr="00D04083" w:rsidRDefault="00AA39BE" w:rsidP="00D04083">
      <w:pPr>
        <w:spacing w:after="240" w:line="240" w:lineRule="auto"/>
        <w:jc w:val="both"/>
        <w:rPr>
          <w:rFonts w:ascii="Arial" w:eastAsia="Times New Roman" w:hAnsi="Arial" w:cs="Arial"/>
        </w:rPr>
      </w:pPr>
      <w:r w:rsidRPr="00C00C20">
        <w:rPr>
          <w:rFonts w:ascii="Arial" w:eastAsia="Times New Roman" w:hAnsi="Arial" w:cs="Arial"/>
        </w:rPr>
        <w:t xml:space="preserve">Administration of vedolizumab </w:t>
      </w:r>
      <w:r w:rsidR="00D04083" w:rsidRPr="00D04083">
        <w:rPr>
          <w:rFonts w:ascii="Arial" w:eastAsia="Times New Roman" w:hAnsi="Arial" w:cs="Arial"/>
        </w:rPr>
        <w:t>at intravenous (infusion) doses of up to 100 mg/kg fortnightly</w:t>
      </w:r>
      <w:r w:rsidR="00D04083">
        <w:rPr>
          <w:rFonts w:ascii="Arial" w:eastAsia="Times New Roman" w:hAnsi="Arial" w:cs="Arial"/>
        </w:rPr>
        <w:t xml:space="preserve"> </w:t>
      </w:r>
      <w:r w:rsidRPr="00C00C20">
        <w:rPr>
          <w:rFonts w:ascii="Arial" w:eastAsia="Times New Roman" w:hAnsi="Arial" w:cs="Arial"/>
        </w:rPr>
        <w:t>to pregnant cynomolgus monkeys during most of gestation resulted in no evidence of</w:t>
      </w:r>
      <w:r w:rsidR="00D04083">
        <w:rPr>
          <w:rFonts w:ascii="Arial" w:eastAsia="Times New Roman" w:hAnsi="Arial" w:cs="Arial"/>
        </w:rPr>
        <w:t xml:space="preserve"> </w:t>
      </w:r>
      <w:r w:rsidR="00D04083" w:rsidRPr="00D04083">
        <w:rPr>
          <w:rFonts w:ascii="Arial" w:eastAsia="Times New Roman" w:hAnsi="Arial" w:cs="Arial"/>
        </w:rPr>
        <w:t>external malformations/variations, and no effects on embryofetal development,</w:t>
      </w:r>
      <w:r w:rsidR="00D04083">
        <w:rPr>
          <w:rFonts w:ascii="Arial" w:eastAsia="Times New Roman" w:hAnsi="Arial" w:cs="Arial"/>
        </w:rPr>
        <w:t xml:space="preserve"> </w:t>
      </w:r>
      <w:r w:rsidRPr="00C00C20">
        <w:rPr>
          <w:rFonts w:ascii="Arial" w:eastAsia="Times New Roman" w:hAnsi="Arial" w:cs="Arial"/>
        </w:rPr>
        <w:t xml:space="preserve">or </w:t>
      </w:r>
      <w:r w:rsidR="00D04083">
        <w:rPr>
          <w:rFonts w:ascii="Arial" w:eastAsia="Times New Roman" w:hAnsi="Arial" w:cs="Arial"/>
        </w:rPr>
        <w:t xml:space="preserve">on </w:t>
      </w:r>
      <w:r w:rsidRPr="00C00C20">
        <w:rPr>
          <w:rFonts w:ascii="Arial" w:eastAsia="Times New Roman" w:hAnsi="Arial" w:cs="Arial"/>
        </w:rPr>
        <w:t>postnatal development in infants up to 6 months of age.</w:t>
      </w:r>
      <w:r w:rsidRPr="00AA39BE">
        <w:rPr>
          <w:rFonts w:ascii="Arial" w:eastAsia="Times New Roman" w:hAnsi="Arial" w:cs="Arial"/>
        </w:rPr>
        <w:t xml:space="preserve"> </w:t>
      </w:r>
      <w:r w:rsidR="00D04083" w:rsidRPr="00D04083">
        <w:rPr>
          <w:rFonts w:ascii="Arial" w:eastAsia="Times New Roman" w:hAnsi="Arial" w:cs="Arial"/>
        </w:rPr>
        <w:t>This dose resulted in a serum AUC that was about 24 fold the AUC expected in patients at the recommended clinical dose.</w:t>
      </w:r>
    </w:p>
    <w:p w:rsidR="00AA39BE" w:rsidRPr="00AA39BE" w:rsidRDefault="00D04083" w:rsidP="00D04083">
      <w:pPr>
        <w:spacing w:after="240" w:line="240" w:lineRule="auto"/>
        <w:jc w:val="both"/>
        <w:rPr>
          <w:rFonts w:ascii="Arial" w:eastAsia="Times New Roman" w:hAnsi="Arial" w:cs="Arial"/>
        </w:rPr>
      </w:pPr>
      <w:r w:rsidRPr="00D04083">
        <w:rPr>
          <w:rFonts w:ascii="Arial" w:eastAsia="Times New Roman" w:hAnsi="Arial" w:cs="Arial"/>
        </w:rPr>
        <w:t>Administration of a single intravenous (infusion) dose of up to 100 mg/kg to pregnant rabbits on gestation day 7 (the beginning of organogenesis) resulted in no evidence of teratogenicity, and no effects on embryofetal development. This dose resulted in a serum AUC that was about 8 fold the AUC expected in patients at the recommended clinical dose.</w:t>
      </w:r>
    </w:p>
    <w:p w:rsidR="008F3ED2" w:rsidRDefault="00F8274A" w:rsidP="008F3ED2">
      <w:pPr>
        <w:spacing w:after="240" w:line="240" w:lineRule="auto"/>
        <w:jc w:val="both"/>
        <w:rPr>
          <w:rFonts w:ascii="Arial" w:eastAsia="Times New Roman" w:hAnsi="Arial" w:cs="Arial"/>
        </w:rPr>
      </w:pPr>
      <w:r>
        <w:rPr>
          <w:rFonts w:ascii="Arial" w:eastAsia="Times New Roman" w:hAnsi="Arial" w:cs="Arial"/>
        </w:rPr>
        <w:t>ENTYVIO</w:t>
      </w:r>
      <w:r w:rsidR="00B569F0" w:rsidRPr="00B569F0">
        <w:rPr>
          <w:rFonts w:ascii="Arial" w:eastAsia="Times New Roman" w:hAnsi="Arial" w:cs="Arial"/>
        </w:rPr>
        <w:t xml:space="preserve"> is to be used during pregnancy only if the benefits </w:t>
      </w:r>
      <w:r w:rsidR="00D04083" w:rsidRPr="00D04083">
        <w:rPr>
          <w:rFonts w:ascii="Arial" w:eastAsia="Times New Roman" w:hAnsi="Arial" w:cs="Arial"/>
        </w:rPr>
        <w:t>to the mother</w:t>
      </w:r>
      <w:r w:rsidR="00D04083">
        <w:rPr>
          <w:rFonts w:ascii="Arial" w:eastAsia="Times New Roman" w:hAnsi="Arial" w:cs="Arial"/>
        </w:rPr>
        <w:t xml:space="preserve"> </w:t>
      </w:r>
      <w:r w:rsidR="00B569F0" w:rsidRPr="00B569F0">
        <w:rPr>
          <w:rFonts w:ascii="Arial" w:eastAsia="Times New Roman" w:hAnsi="Arial" w:cs="Arial"/>
        </w:rPr>
        <w:t xml:space="preserve">clearly outweigh any potential risk to </w:t>
      </w:r>
      <w:r w:rsidR="00D04083">
        <w:rPr>
          <w:rFonts w:ascii="Arial" w:eastAsia="Times New Roman" w:hAnsi="Arial" w:cs="Arial"/>
        </w:rPr>
        <w:t>the</w:t>
      </w:r>
      <w:r w:rsidR="00B569F0" w:rsidRPr="00B569F0">
        <w:rPr>
          <w:rFonts w:ascii="Arial" w:eastAsia="Times New Roman" w:hAnsi="Arial" w:cs="Arial"/>
        </w:rPr>
        <w:t xml:space="preserve"> fetus.</w:t>
      </w:r>
      <w:r w:rsidR="008F3ED2" w:rsidRPr="008F3ED2">
        <w:rPr>
          <w:rFonts w:ascii="Arial" w:eastAsia="Times New Roman" w:hAnsi="Arial" w:cs="Arial"/>
        </w:rPr>
        <w:t xml:space="preserve"> </w:t>
      </w:r>
    </w:p>
    <w:p w:rsidR="008F3ED2" w:rsidRPr="00B569F0" w:rsidRDefault="008F3ED2" w:rsidP="008F3ED2">
      <w:pPr>
        <w:spacing w:after="240" w:line="240" w:lineRule="auto"/>
        <w:jc w:val="both"/>
        <w:rPr>
          <w:rFonts w:ascii="Arial" w:eastAsia="Times New Roman" w:hAnsi="Arial" w:cs="Arial"/>
        </w:rPr>
      </w:pPr>
      <w:r w:rsidRPr="00B569F0">
        <w:rPr>
          <w:rFonts w:ascii="Arial" w:eastAsia="Times New Roman" w:hAnsi="Arial" w:cs="Arial"/>
        </w:rPr>
        <w:t xml:space="preserve">Women of childbearing potential are strongly recommended to use adequate contraception to prevent pregnancy and to continue its use for at least </w:t>
      </w:r>
      <w:r w:rsidR="00C00C20">
        <w:rPr>
          <w:rFonts w:ascii="Arial" w:eastAsia="Times New Roman" w:hAnsi="Arial" w:cs="Arial"/>
        </w:rPr>
        <w:t>18 weeks</w:t>
      </w:r>
      <w:r w:rsidRPr="00B569F0">
        <w:rPr>
          <w:rFonts w:ascii="Arial" w:eastAsia="Times New Roman" w:hAnsi="Arial" w:cs="Arial"/>
        </w:rPr>
        <w:t xml:space="preserve"> after the last treatment with </w:t>
      </w:r>
      <w:r w:rsidR="00F8274A">
        <w:rPr>
          <w:rFonts w:ascii="Arial" w:eastAsia="Times New Roman" w:hAnsi="Arial" w:cs="Arial"/>
        </w:rPr>
        <w:t>ENTYVIO</w:t>
      </w:r>
      <w:r w:rsidRPr="00B569F0">
        <w:rPr>
          <w:rFonts w:ascii="Arial" w:eastAsia="Times New Roman" w:hAnsi="Arial" w:cs="Arial"/>
        </w:rPr>
        <w:t>.</w:t>
      </w:r>
    </w:p>
    <w:p w:rsidR="00691008" w:rsidRDefault="002D31A3">
      <w:pPr>
        <w:pStyle w:val="NoSpacing"/>
        <w:spacing w:after="240"/>
        <w:jc w:val="both"/>
        <w:rPr>
          <w:rFonts w:ascii="Arial" w:hAnsi="Arial" w:cs="Arial"/>
          <w:b/>
        </w:rPr>
      </w:pPr>
      <w:r w:rsidRPr="002D31A3">
        <w:rPr>
          <w:rFonts w:ascii="Arial" w:hAnsi="Arial" w:cs="Arial"/>
          <w:b/>
        </w:rPr>
        <w:t xml:space="preserve">Use in </w:t>
      </w:r>
      <w:r w:rsidR="00506327">
        <w:rPr>
          <w:rFonts w:ascii="Arial" w:hAnsi="Arial" w:cs="Arial"/>
          <w:b/>
        </w:rPr>
        <w:t>L</w:t>
      </w:r>
      <w:r w:rsidRPr="002D31A3">
        <w:rPr>
          <w:rFonts w:ascii="Arial" w:hAnsi="Arial" w:cs="Arial"/>
          <w:b/>
        </w:rPr>
        <w:t>actation</w:t>
      </w:r>
    </w:p>
    <w:p w:rsidR="00B569F0" w:rsidRPr="00B569F0" w:rsidRDefault="00EF6170" w:rsidP="00B569F0">
      <w:pPr>
        <w:spacing w:after="240" w:line="240" w:lineRule="auto"/>
        <w:jc w:val="both"/>
        <w:rPr>
          <w:rFonts w:ascii="Arial" w:eastAsia="Times New Roman" w:hAnsi="Arial" w:cs="Arial"/>
        </w:rPr>
      </w:pPr>
      <w:r>
        <w:rPr>
          <w:rFonts w:ascii="Arial" w:eastAsia="Times New Roman" w:hAnsi="Arial" w:cs="Arial"/>
        </w:rPr>
        <w:t xml:space="preserve">Human immunoglobulins </w:t>
      </w:r>
      <w:r w:rsidR="00D04083" w:rsidRPr="00D04083">
        <w:rPr>
          <w:rFonts w:ascii="Arial" w:eastAsia="Times New Roman" w:hAnsi="Arial" w:cs="Arial"/>
        </w:rPr>
        <w:t>are excreted in breast milk and low levels of vedolizumab have been detected in the milk of cynomolgus monkeys.</w:t>
      </w:r>
      <w:r w:rsidR="00D40A96">
        <w:rPr>
          <w:rFonts w:ascii="Arial" w:eastAsia="Times New Roman" w:hAnsi="Arial" w:cs="Arial"/>
        </w:rPr>
        <w:t xml:space="preserve"> </w:t>
      </w:r>
      <w:r w:rsidR="00B569F0" w:rsidRPr="00B569F0">
        <w:rPr>
          <w:rFonts w:ascii="Arial" w:eastAsia="Times New Roman" w:hAnsi="Arial" w:cs="Arial"/>
        </w:rPr>
        <w:t>A risk to the infant cannot be excluded.</w:t>
      </w:r>
    </w:p>
    <w:p w:rsidR="00B569F0" w:rsidRPr="00B569F0" w:rsidRDefault="00D04083" w:rsidP="00B569F0">
      <w:pPr>
        <w:spacing w:after="240" w:line="240" w:lineRule="auto"/>
        <w:jc w:val="both"/>
        <w:rPr>
          <w:rFonts w:ascii="Arial" w:eastAsia="Times New Roman" w:hAnsi="Arial" w:cs="Arial"/>
        </w:rPr>
      </w:pPr>
      <w:r w:rsidRPr="00D04083">
        <w:rPr>
          <w:rFonts w:ascii="Arial" w:eastAsia="Times New Roman" w:hAnsi="Arial" w:cs="Arial"/>
        </w:rPr>
        <w:t>Therefore</w:t>
      </w:r>
      <w:r w:rsidR="00B569F0" w:rsidRPr="00B569F0">
        <w:rPr>
          <w:rFonts w:ascii="Arial" w:eastAsia="Times New Roman" w:hAnsi="Arial" w:cs="Arial"/>
        </w:rPr>
        <w:t xml:space="preserve">, it is recommended that a decision be made whether to discontinue breastfeeding or to discontinue </w:t>
      </w:r>
      <w:r w:rsidR="00F8274A">
        <w:rPr>
          <w:rFonts w:ascii="Arial" w:eastAsia="Times New Roman" w:hAnsi="Arial" w:cs="Arial"/>
        </w:rPr>
        <w:t>ENTYVIO</w:t>
      </w:r>
      <w:r w:rsidR="00CF209C" w:rsidRPr="00C92913">
        <w:rPr>
          <w:rFonts w:ascii="Arial" w:eastAsia="Times New Roman" w:hAnsi="Arial" w:cs="Arial"/>
        </w:rPr>
        <w:t xml:space="preserve"> </w:t>
      </w:r>
      <w:r w:rsidR="00B569F0" w:rsidRPr="00B569F0">
        <w:rPr>
          <w:rFonts w:ascii="Arial" w:eastAsia="Times New Roman" w:hAnsi="Arial" w:cs="Arial"/>
        </w:rPr>
        <w:t>therapy</w:t>
      </w:r>
      <w:r>
        <w:rPr>
          <w:rFonts w:ascii="Arial" w:eastAsia="Times New Roman" w:hAnsi="Arial" w:cs="Arial"/>
        </w:rPr>
        <w:t>,</w:t>
      </w:r>
      <w:r w:rsidR="00B569F0" w:rsidRPr="00B569F0">
        <w:rPr>
          <w:rFonts w:ascii="Arial" w:eastAsia="Times New Roman" w:hAnsi="Arial" w:cs="Arial"/>
        </w:rPr>
        <w:t xml:space="preserve"> taking into account the benefit of breastfeeding for the child and the benefit of therapy for the woman.</w:t>
      </w:r>
    </w:p>
    <w:p w:rsidR="00691008" w:rsidRDefault="002D31A3">
      <w:pPr>
        <w:pStyle w:val="NoSpacing"/>
        <w:spacing w:after="240"/>
        <w:jc w:val="both"/>
        <w:rPr>
          <w:rFonts w:ascii="Arial" w:hAnsi="Arial" w:cs="Arial"/>
          <w:b/>
        </w:rPr>
      </w:pPr>
      <w:r w:rsidRPr="002D31A3">
        <w:rPr>
          <w:rFonts w:ascii="Arial" w:hAnsi="Arial" w:cs="Arial"/>
          <w:b/>
        </w:rPr>
        <w:t xml:space="preserve">Paediatric </w:t>
      </w:r>
      <w:r w:rsidR="00506327">
        <w:rPr>
          <w:rFonts w:ascii="Arial" w:hAnsi="Arial" w:cs="Arial"/>
          <w:b/>
        </w:rPr>
        <w:t>U</w:t>
      </w:r>
      <w:r w:rsidRPr="002D31A3">
        <w:rPr>
          <w:rFonts w:ascii="Arial" w:hAnsi="Arial" w:cs="Arial"/>
          <w:b/>
        </w:rPr>
        <w:t>se</w:t>
      </w:r>
    </w:p>
    <w:p w:rsidR="00874B05" w:rsidRDefault="00874B05" w:rsidP="00874B05">
      <w:pPr>
        <w:spacing w:after="240" w:line="240" w:lineRule="auto"/>
        <w:jc w:val="both"/>
        <w:rPr>
          <w:rFonts w:ascii="Arial" w:eastAsia="Times New Roman" w:hAnsi="Arial" w:cs="Arial"/>
        </w:rPr>
      </w:pPr>
      <w:r w:rsidRPr="00874B05">
        <w:rPr>
          <w:rFonts w:ascii="Arial" w:eastAsia="Times New Roman" w:hAnsi="Arial" w:cs="Arial"/>
        </w:rPr>
        <w:lastRenderedPageBreak/>
        <w:t>The safety and efficacy of vedolizumab in children aged 0 to 17 years old have not been established.</w:t>
      </w:r>
      <w:r w:rsidR="008C1469">
        <w:rPr>
          <w:rFonts w:ascii="Arial" w:eastAsia="Times New Roman" w:hAnsi="Arial" w:cs="Arial"/>
        </w:rPr>
        <w:t xml:space="preserve"> No data are available.</w:t>
      </w:r>
    </w:p>
    <w:p w:rsidR="00272150" w:rsidRPr="00272150" w:rsidRDefault="00272150" w:rsidP="00272150">
      <w:pPr>
        <w:pStyle w:val="NoSpacing"/>
        <w:spacing w:after="240"/>
        <w:jc w:val="both"/>
        <w:rPr>
          <w:rFonts w:ascii="Arial" w:hAnsi="Arial" w:cs="Arial"/>
          <w:b/>
        </w:rPr>
      </w:pPr>
      <w:r w:rsidRPr="00272150">
        <w:rPr>
          <w:rFonts w:ascii="Arial" w:hAnsi="Arial" w:cs="Arial"/>
          <w:b/>
        </w:rPr>
        <w:t>Elderly patients</w:t>
      </w:r>
    </w:p>
    <w:p w:rsidR="003B1539" w:rsidRPr="00272150" w:rsidRDefault="00272150" w:rsidP="00272150">
      <w:pPr>
        <w:spacing w:after="240" w:line="240" w:lineRule="auto"/>
        <w:jc w:val="both"/>
        <w:rPr>
          <w:rFonts w:ascii="Arial" w:eastAsia="Times New Roman" w:hAnsi="Arial" w:cs="Arial"/>
        </w:rPr>
      </w:pPr>
      <w:r w:rsidRPr="00272150">
        <w:rPr>
          <w:rFonts w:ascii="Arial" w:eastAsia="Times New Roman" w:hAnsi="Arial" w:cs="Arial"/>
        </w:rPr>
        <w:t xml:space="preserve">No dose adjustment is required. Population pharmacokinetic analyses showed no effect of age (see </w:t>
      </w:r>
      <w:r>
        <w:rPr>
          <w:rFonts w:ascii="Arial" w:eastAsia="Times New Roman" w:hAnsi="Arial" w:cs="Arial"/>
        </w:rPr>
        <w:t>Pharmacokinetics</w:t>
      </w:r>
      <w:r w:rsidR="006F3CB0">
        <w:rPr>
          <w:rFonts w:ascii="Arial" w:eastAsia="Times New Roman" w:hAnsi="Arial" w:cs="Arial"/>
        </w:rPr>
        <w:t xml:space="preserve">; </w:t>
      </w:r>
      <w:r w:rsidR="006F3CB0" w:rsidRPr="006F3CB0">
        <w:rPr>
          <w:rFonts w:ascii="Arial" w:eastAsia="Times New Roman" w:hAnsi="Arial" w:cs="Arial"/>
        </w:rPr>
        <w:t>Special Populations</w:t>
      </w:r>
      <w:r w:rsidRPr="00272150">
        <w:rPr>
          <w:rFonts w:ascii="Arial" w:eastAsia="Times New Roman" w:hAnsi="Arial" w:cs="Arial"/>
        </w:rPr>
        <w:t>).</w:t>
      </w:r>
    </w:p>
    <w:p w:rsidR="008C1469" w:rsidRDefault="008C1469" w:rsidP="008C1469">
      <w:pPr>
        <w:pStyle w:val="NoSpacing"/>
        <w:spacing w:after="240"/>
        <w:jc w:val="both"/>
        <w:rPr>
          <w:rFonts w:ascii="Arial" w:hAnsi="Arial" w:cs="Arial"/>
          <w:b/>
        </w:rPr>
      </w:pPr>
      <w:r>
        <w:rPr>
          <w:rFonts w:ascii="Arial" w:hAnsi="Arial" w:cs="Arial"/>
          <w:b/>
        </w:rPr>
        <w:t>Hepatic Impairment</w:t>
      </w:r>
    </w:p>
    <w:p w:rsidR="008C1469" w:rsidRPr="00874B05" w:rsidRDefault="00EA30CA" w:rsidP="008C1469">
      <w:pPr>
        <w:spacing w:after="240" w:line="240" w:lineRule="auto"/>
        <w:jc w:val="both"/>
        <w:rPr>
          <w:rFonts w:ascii="Arial" w:eastAsia="Times New Roman" w:hAnsi="Arial" w:cs="Arial"/>
        </w:rPr>
      </w:pPr>
      <w:r>
        <w:rPr>
          <w:rFonts w:ascii="Arial" w:eastAsia="Times New Roman" w:hAnsi="Arial" w:cs="Arial"/>
        </w:rPr>
        <w:t>ENTYVIO has not been studied in this patient population. No dose recommendation can be made.</w:t>
      </w:r>
    </w:p>
    <w:p w:rsidR="008C1469" w:rsidRDefault="008C1469" w:rsidP="008C1469">
      <w:pPr>
        <w:pStyle w:val="NoSpacing"/>
        <w:spacing w:after="240"/>
        <w:jc w:val="both"/>
        <w:rPr>
          <w:rFonts w:ascii="Arial" w:hAnsi="Arial" w:cs="Arial"/>
          <w:b/>
        </w:rPr>
      </w:pPr>
      <w:r>
        <w:rPr>
          <w:rFonts w:ascii="Arial" w:hAnsi="Arial" w:cs="Arial"/>
          <w:b/>
        </w:rPr>
        <w:t>Renal Impairment</w:t>
      </w:r>
    </w:p>
    <w:p w:rsidR="008C1469" w:rsidRPr="00874B05" w:rsidRDefault="00EA30CA" w:rsidP="00874B05">
      <w:pPr>
        <w:spacing w:after="240" w:line="240" w:lineRule="auto"/>
        <w:jc w:val="both"/>
        <w:rPr>
          <w:rFonts w:ascii="Arial" w:eastAsia="Times New Roman" w:hAnsi="Arial" w:cs="Arial"/>
        </w:rPr>
      </w:pPr>
      <w:r>
        <w:rPr>
          <w:rFonts w:ascii="Arial" w:eastAsia="Times New Roman" w:hAnsi="Arial" w:cs="Arial"/>
        </w:rPr>
        <w:t>ENTYVIO has not been studied in this patient population. No dose recommendation can be made.</w:t>
      </w:r>
    </w:p>
    <w:p w:rsidR="002D7F2C" w:rsidRPr="003D4309" w:rsidRDefault="002D7F2C" w:rsidP="002D7F2C">
      <w:pPr>
        <w:pStyle w:val="NoSpacing"/>
        <w:spacing w:after="240"/>
        <w:jc w:val="both"/>
        <w:rPr>
          <w:rFonts w:ascii="Arial" w:hAnsi="Arial" w:cs="Arial"/>
          <w:b/>
        </w:rPr>
      </w:pPr>
      <w:r w:rsidRPr="003D4309">
        <w:rPr>
          <w:rFonts w:ascii="Arial" w:hAnsi="Arial" w:cs="Arial"/>
          <w:b/>
        </w:rPr>
        <w:t>Genotoxicity</w:t>
      </w:r>
    </w:p>
    <w:p w:rsidR="006B4D85" w:rsidRDefault="00BD1E82">
      <w:pPr>
        <w:spacing w:after="240"/>
        <w:jc w:val="both"/>
        <w:rPr>
          <w:rFonts w:ascii="Arial" w:hAnsi="Arial" w:cs="Arial"/>
          <w:bCs/>
        </w:rPr>
      </w:pPr>
      <w:r>
        <w:rPr>
          <w:rFonts w:ascii="Arial" w:hAnsi="Arial" w:cs="Arial"/>
          <w:bCs/>
        </w:rPr>
        <w:t>G</w:t>
      </w:r>
      <w:r w:rsidR="00E6004A" w:rsidRPr="00E6004A">
        <w:rPr>
          <w:rFonts w:ascii="Arial" w:hAnsi="Arial" w:cs="Arial"/>
          <w:bCs/>
        </w:rPr>
        <w:t xml:space="preserve">enotoxicity </w:t>
      </w:r>
      <w:r>
        <w:rPr>
          <w:rFonts w:ascii="Arial" w:hAnsi="Arial" w:cs="Arial"/>
          <w:bCs/>
        </w:rPr>
        <w:t>studies</w:t>
      </w:r>
      <w:r w:rsidRPr="00E6004A">
        <w:rPr>
          <w:rFonts w:ascii="Arial" w:hAnsi="Arial" w:cs="Arial"/>
          <w:bCs/>
        </w:rPr>
        <w:t xml:space="preserve"> </w:t>
      </w:r>
      <w:r w:rsidR="00E6004A" w:rsidRPr="00E6004A">
        <w:rPr>
          <w:rFonts w:ascii="Arial" w:hAnsi="Arial" w:cs="Arial"/>
          <w:bCs/>
        </w:rPr>
        <w:t xml:space="preserve">have </w:t>
      </w:r>
      <w:r>
        <w:rPr>
          <w:rFonts w:ascii="Arial" w:hAnsi="Arial" w:cs="Arial"/>
          <w:bCs/>
        </w:rPr>
        <w:t xml:space="preserve">not </w:t>
      </w:r>
      <w:r w:rsidR="00E6004A" w:rsidRPr="00E6004A">
        <w:rPr>
          <w:rFonts w:ascii="Arial" w:hAnsi="Arial" w:cs="Arial"/>
          <w:bCs/>
        </w:rPr>
        <w:t xml:space="preserve">been conducted with vedolizumab. </w:t>
      </w:r>
      <w:r w:rsidRPr="00BD1E82">
        <w:rPr>
          <w:rFonts w:ascii="Arial" w:hAnsi="Arial" w:cs="Arial"/>
          <w:bCs/>
        </w:rPr>
        <w:t>As vedolizumab is a monoclonal antibody</w:t>
      </w:r>
      <w:r w:rsidR="00EF6170">
        <w:rPr>
          <w:rFonts w:ascii="Arial" w:hAnsi="Arial" w:cs="Arial"/>
          <w:bCs/>
        </w:rPr>
        <w:t>,</w:t>
      </w:r>
      <w:r w:rsidRPr="00BD1E82">
        <w:rPr>
          <w:rFonts w:ascii="Arial" w:hAnsi="Arial" w:cs="Arial"/>
          <w:bCs/>
        </w:rPr>
        <w:t xml:space="preserve"> it would not be expected to have genotoxic potential.</w:t>
      </w:r>
      <w:r w:rsidR="00E6004A" w:rsidRPr="00E6004A">
        <w:rPr>
          <w:rFonts w:ascii="Arial" w:hAnsi="Arial" w:cs="Arial"/>
          <w:bCs/>
        </w:rPr>
        <w:t xml:space="preserve"> </w:t>
      </w:r>
    </w:p>
    <w:p w:rsidR="00416438" w:rsidRDefault="00416438">
      <w:pPr>
        <w:rPr>
          <w:rFonts w:ascii="Arial" w:hAnsi="Arial" w:cs="Arial"/>
          <w:b/>
        </w:rPr>
      </w:pPr>
      <w:r>
        <w:rPr>
          <w:rFonts w:ascii="Arial" w:hAnsi="Arial" w:cs="Arial"/>
          <w:b/>
        </w:rPr>
        <w:br w:type="page"/>
      </w:r>
    </w:p>
    <w:p w:rsidR="00691008" w:rsidRDefault="00416438">
      <w:pPr>
        <w:spacing w:after="240"/>
        <w:jc w:val="both"/>
        <w:rPr>
          <w:rFonts w:ascii="Arial" w:hAnsi="Arial" w:cs="Arial"/>
          <w:b/>
        </w:rPr>
      </w:pPr>
      <w:r>
        <w:rPr>
          <w:rFonts w:ascii="Arial" w:hAnsi="Arial" w:cs="Arial"/>
          <w:b/>
        </w:rPr>
        <w:t>Carcinogenicity</w:t>
      </w:r>
    </w:p>
    <w:p w:rsidR="00416438" w:rsidRPr="00416438" w:rsidRDefault="002456B8" w:rsidP="00416438">
      <w:pPr>
        <w:spacing w:after="240" w:line="240" w:lineRule="auto"/>
        <w:jc w:val="both"/>
        <w:rPr>
          <w:rFonts w:ascii="Arial" w:eastAsia="Times New Roman" w:hAnsi="Arial" w:cs="Arial"/>
        </w:rPr>
      </w:pPr>
      <w:bookmarkStart w:id="5" w:name="_Toc178066744"/>
      <w:bookmarkStart w:id="6" w:name="_Toc178746284"/>
      <w:bookmarkStart w:id="7" w:name="_Toc179870302"/>
      <w:bookmarkStart w:id="8" w:name="_Toc258742768"/>
      <w:bookmarkStart w:id="9" w:name="_Toc273443148"/>
      <w:r w:rsidRPr="002456B8">
        <w:rPr>
          <w:rFonts w:ascii="Arial" w:eastAsia="Times New Roman" w:hAnsi="Arial" w:cs="Arial"/>
        </w:rPr>
        <w:t>Carcinogenicity</w:t>
      </w:r>
      <w:r w:rsidR="00AA39BE" w:rsidRPr="00AA39BE">
        <w:rPr>
          <w:rFonts w:ascii="Arial" w:eastAsia="Times New Roman" w:hAnsi="Arial" w:cs="Arial"/>
        </w:rPr>
        <w:t xml:space="preserve"> </w:t>
      </w:r>
      <w:bookmarkEnd w:id="5"/>
      <w:bookmarkEnd w:id="6"/>
      <w:bookmarkEnd w:id="7"/>
      <w:bookmarkEnd w:id="8"/>
      <w:bookmarkEnd w:id="9"/>
      <w:r w:rsidR="00AA39BE" w:rsidRPr="00AA39BE">
        <w:rPr>
          <w:rFonts w:ascii="Arial" w:eastAsia="Times New Roman" w:hAnsi="Arial" w:cs="Arial"/>
        </w:rPr>
        <w:t>studies with vedolizumab have not been conducted</w:t>
      </w:r>
      <w:r>
        <w:rPr>
          <w:rFonts w:ascii="Arial" w:eastAsia="Times New Roman" w:hAnsi="Arial" w:cs="Arial"/>
        </w:rPr>
        <w:t xml:space="preserve">. </w:t>
      </w:r>
      <w:r w:rsidRPr="002456B8">
        <w:rPr>
          <w:rFonts w:ascii="Arial" w:eastAsia="Times New Roman" w:hAnsi="Arial" w:cs="Arial"/>
        </w:rPr>
        <w:t>Act-1, the murine homologue predecessor of vedolizumab, at concentrations up to 20 μg/mL, did not stimulate</w:t>
      </w:r>
      <w:r>
        <w:rPr>
          <w:rFonts w:ascii="Arial" w:eastAsia="Times New Roman" w:hAnsi="Arial" w:cs="Arial"/>
        </w:rPr>
        <w:t xml:space="preserve"> </w:t>
      </w:r>
      <w:r w:rsidR="00AA39BE" w:rsidRPr="00AA39BE">
        <w:rPr>
          <w:rFonts w:ascii="Arial" w:eastAsia="Times New Roman" w:hAnsi="Arial" w:cs="Arial"/>
        </w:rPr>
        <w:t xml:space="preserve">the </w:t>
      </w:r>
      <w:r w:rsidRPr="002456B8">
        <w:rPr>
          <w:rFonts w:ascii="Arial" w:eastAsia="Times New Roman" w:hAnsi="Arial" w:cs="Arial"/>
          <w:i/>
        </w:rPr>
        <w:t>in vitro</w:t>
      </w:r>
      <w:r>
        <w:rPr>
          <w:rFonts w:ascii="Arial" w:eastAsia="Times New Roman" w:hAnsi="Arial" w:cs="Arial"/>
        </w:rPr>
        <w:t xml:space="preserve"> </w:t>
      </w:r>
      <w:r w:rsidR="00AA39BE" w:rsidRPr="00AA39BE">
        <w:rPr>
          <w:rFonts w:ascii="Arial" w:eastAsia="Times New Roman" w:hAnsi="Arial" w:cs="Arial"/>
        </w:rPr>
        <w:t xml:space="preserve">proliferative rate of a human </w:t>
      </w:r>
      <w:r w:rsidRPr="002456B8">
        <w:rPr>
          <w:rFonts w:ascii="Arial" w:eastAsia="Times New Roman" w:hAnsi="Arial" w:cs="Arial"/>
        </w:rPr>
        <w:t>B-cell lymphoma</w:t>
      </w:r>
      <w:r w:rsidR="00AA39BE" w:rsidRPr="00AA39BE">
        <w:rPr>
          <w:rFonts w:ascii="Arial" w:eastAsia="Times New Roman" w:hAnsi="Arial" w:cs="Arial"/>
        </w:rPr>
        <w:t xml:space="preserve"> cell line expressing the α</w:t>
      </w:r>
      <w:r w:rsidR="00AA39BE" w:rsidRPr="00BB18D6">
        <w:rPr>
          <w:rFonts w:ascii="Arial" w:eastAsia="Times New Roman" w:hAnsi="Arial" w:cs="Arial"/>
          <w:vertAlign w:val="subscript"/>
        </w:rPr>
        <w:t>4</w:t>
      </w:r>
      <w:r w:rsidR="00AA39BE" w:rsidRPr="00AA39BE">
        <w:rPr>
          <w:rFonts w:ascii="Arial" w:eastAsia="Times New Roman" w:hAnsi="Arial" w:cs="Arial"/>
        </w:rPr>
        <w:t>β</w:t>
      </w:r>
      <w:r w:rsidR="00AA39BE" w:rsidRPr="00BB18D6">
        <w:rPr>
          <w:rFonts w:ascii="Arial" w:eastAsia="Times New Roman" w:hAnsi="Arial" w:cs="Arial"/>
          <w:vertAlign w:val="subscript"/>
        </w:rPr>
        <w:t>7</w:t>
      </w:r>
      <w:r w:rsidR="00AA39BE" w:rsidRPr="00AA39BE">
        <w:rPr>
          <w:rFonts w:ascii="Arial" w:eastAsia="Times New Roman" w:hAnsi="Arial" w:cs="Arial"/>
        </w:rPr>
        <w:t xml:space="preserve"> integrin.</w:t>
      </w:r>
      <w:r>
        <w:rPr>
          <w:rFonts w:ascii="Arial" w:eastAsia="Times New Roman" w:hAnsi="Arial" w:cs="Arial"/>
        </w:rPr>
        <w:t xml:space="preserve"> </w:t>
      </w:r>
      <w:r w:rsidRPr="002456B8">
        <w:rPr>
          <w:rFonts w:ascii="Arial" w:eastAsia="Times New Roman" w:hAnsi="Arial" w:cs="Arial"/>
        </w:rPr>
        <w:t xml:space="preserve">In a tissue cross-reactivity study using human colon adenocarcinoma cryosections, there was no evidence that Act-1 at concentrations </w:t>
      </w:r>
      <w:proofErr w:type="gramStart"/>
      <w:r w:rsidRPr="002456B8">
        <w:rPr>
          <w:rFonts w:ascii="Arial" w:eastAsia="Times New Roman" w:hAnsi="Arial" w:cs="Arial"/>
        </w:rPr>
        <w:t>up to 20 μg/mL</w:t>
      </w:r>
      <w:proofErr w:type="gramEnd"/>
      <w:r w:rsidRPr="002456B8">
        <w:rPr>
          <w:rFonts w:ascii="Arial" w:eastAsia="Times New Roman" w:hAnsi="Arial" w:cs="Arial"/>
        </w:rPr>
        <w:t xml:space="preserve"> bound to the tumour tissue.</w:t>
      </w:r>
    </w:p>
    <w:p w:rsidR="00691008" w:rsidRDefault="002D31A3" w:rsidP="006646C5">
      <w:pPr>
        <w:pStyle w:val="NoSpacing"/>
        <w:spacing w:after="240"/>
        <w:jc w:val="both"/>
        <w:rPr>
          <w:rFonts w:ascii="Arial" w:hAnsi="Arial" w:cs="Arial"/>
          <w:b/>
          <w:caps/>
        </w:rPr>
      </w:pPr>
      <w:r w:rsidRPr="002D31A3">
        <w:rPr>
          <w:rFonts w:ascii="Arial" w:hAnsi="Arial" w:cs="Arial"/>
          <w:b/>
          <w:caps/>
        </w:rPr>
        <w:t>Interactions with other medicines</w:t>
      </w:r>
    </w:p>
    <w:p w:rsidR="00345E48" w:rsidRPr="00345E48" w:rsidRDefault="00C31387" w:rsidP="00345E48">
      <w:pPr>
        <w:spacing w:after="240" w:line="240" w:lineRule="auto"/>
        <w:jc w:val="both"/>
        <w:rPr>
          <w:rFonts w:ascii="Arial" w:eastAsia="Times New Roman" w:hAnsi="Arial" w:cs="Arial"/>
        </w:rPr>
      </w:pPr>
      <w:r w:rsidRPr="00C31387">
        <w:rPr>
          <w:rFonts w:ascii="Arial" w:eastAsia="Times New Roman" w:hAnsi="Arial" w:cs="Arial"/>
        </w:rPr>
        <w:t xml:space="preserve">No </w:t>
      </w:r>
      <w:r w:rsidR="00342A6F">
        <w:rPr>
          <w:rFonts w:ascii="Arial" w:eastAsia="Times New Roman" w:hAnsi="Arial" w:cs="Arial"/>
        </w:rPr>
        <w:t xml:space="preserve">specific </w:t>
      </w:r>
      <w:r w:rsidRPr="00C31387">
        <w:rPr>
          <w:rFonts w:ascii="Arial" w:eastAsia="Times New Roman" w:hAnsi="Arial" w:cs="Arial"/>
        </w:rPr>
        <w:t xml:space="preserve">interaction studies have been performed. </w:t>
      </w:r>
      <w:r w:rsidR="00345E48" w:rsidRPr="00345E48">
        <w:rPr>
          <w:rFonts w:ascii="Arial" w:eastAsia="Times New Roman" w:hAnsi="Arial" w:cs="Arial"/>
        </w:rPr>
        <w:t>Vedolizumab has been studied in adult ulcerative colitis and Crohn’s disease patients with concomitant administration of corticosteroids, immunomodulators</w:t>
      </w:r>
      <w:r>
        <w:rPr>
          <w:rFonts w:ascii="Arial" w:eastAsia="Times New Roman" w:hAnsi="Arial" w:cs="Arial"/>
        </w:rPr>
        <w:t xml:space="preserve"> </w:t>
      </w:r>
      <w:r w:rsidRPr="00C31387">
        <w:rPr>
          <w:rFonts w:ascii="Arial" w:eastAsia="Times New Roman" w:hAnsi="Arial" w:cs="Arial"/>
        </w:rPr>
        <w:t>(azathioprine, 6-mercaptopurine, and methotrexate)</w:t>
      </w:r>
      <w:r w:rsidR="00345E48" w:rsidRPr="00345E48">
        <w:rPr>
          <w:rFonts w:ascii="Arial" w:eastAsia="Times New Roman" w:hAnsi="Arial" w:cs="Arial"/>
        </w:rPr>
        <w:t>, and aminosalicylates. Population pharmacokinetic analyses suggest that co</w:t>
      </w:r>
      <w:r w:rsidR="00345E48" w:rsidRPr="00345E48">
        <w:rPr>
          <w:rFonts w:ascii="Arial" w:eastAsia="Times New Roman" w:hAnsi="Arial" w:cs="Arial"/>
        </w:rPr>
        <w:noBreakHyphen/>
        <w:t xml:space="preserve">administration of </w:t>
      </w:r>
      <w:r>
        <w:rPr>
          <w:rFonts w:ascii="Arial" w:eastAsia="Times New Roman" w:hAnsi="Arial" w:cs="Arial"/>
        </w:rPr>
        <w:t>such</w:t>
      </w:r>
      <w:r w:rsidRPr="00345E48">
        <w:rPr>
          <w:rFonts w:ascii="Arial" w:eastAsia="Times New Roman" w:hAnsi="Arial" w:cs="Arial"/>
        </w:rPr>
        <w:t xml:space="preserve"> </w:t>
      </w:r>
      <w:r w:rsidR="00345E48" w:rsidRPr="00345E48">
        <w:rPr>
          <w:rFonts w:ascii="Arial" w:eastAsia="Times New Roman" w:hAnsi="Arial" w:cs="Arial"/>
        </w:rPr>
        <w:t>agents did not have a clinically meaningful effect on vedolizumab pharmacokinetics. The effect of vedolizumab on the pharmacokinetics of commonly co</w:t>
      </w:r>
      <w:r w:rsidR="00345E48" w:rsidRPr="00345E48">
        <w:rPr>
          <w:rFonts w:ascii="Arial" w:eastAsia="Times New Roman" w:hAnsi="Arial" w:cs="Arial"/>
        </w:rPr>
        <w:noBreakHyphen/>
        <w:t xml:space="preserve">administered </w:t>
      </w:r>
      <w:r>
        <w:rPr>
          <w:rFonts w:ascii="Arial" w:eastAsia="Times New Roman" w:hAnsi="Arial" w:cs="Arial"/>
        </w:rPr>
        <w:t>medicinal compounds</w:t>
      </w:r>
      <w:r w:rsidR="00345E48" w:rsidRPr="00345E48">
        <w:rPr>
          <w:rFonts w:ascii="Arial" w:eastAsia="Times New Roman" w:hAnsi="Arial" w:cs="Arial"/>
        </w:rPr>
        <w:t xml:space="preserve"> has not been studied.</w:t>
      </w:r>
    </w:p>
    <w:p w:rsidR="00345E48" w:rsidRPr="00345E48" w:rsidRDefault="00345E48" w:rsidP="00345E48">
      <w:pPr>
        <w:spacing w:after="240" w:line="240" w:lineRule="auto"/>
        <w:jc w:val="both"/>
        <w:rPr>
          <w:rFonts w:ascii="Arial" w:eastAsia="Times New Roman" w:hAnsi="Arial" w:cs="Arial"/>
          <w:b/>
        </w:rPr>
      </w:pPr>
      <w:r w:rsidRPr="00345E48">
        <w:rPr>
          <w:rFonts w:ascii="Arial" w:eastAsia="Times New Roman" w:hAnsi="Arial" w:cs="Arial"/>
          <w:b/>
        </w:rPr>
        <w:t>Vaccinations</w:t>
      </w:r>
    </w:p>
    <w:p w:rsidR="00345E48" w:rsidRDefault="00345E48" w:rsidP="00345E48">
      <w:pPr>
        <w:spacing w:after="240" w:line="240" w:lineRule="auto"/>
        <w:jc w:val="both"/>
        <w:rPr>
          <w:rFonts w:ascii="Arial" w:eastAsia="Times New Roman" w:hAnsi="Arial" w:cs="Arial"/>
        </w:rPr>
      </w:pPr>
      <w:r w:rsidRPr="00345E48">
        <w:rPr>
          <w:rFonts w:ascii="Arial" w:eastAsia="Times New Roman" w:hAnsi="Arial" w:cs="Arial"/>
        </w:rPr>
        <w:t>Live vaccines</w:t>
      </w:r>
      <w:r w:rsidR="006B4D85">
        <w:rPr>
          <w:rFonts w:ascii="Arial" w:eastAsia="Times New Roman" w:hAnsi="Arial" w:cs="Arial"/>
        </w:rPr>
        <w:t>,</w:t>
      </w:r>
      <w:r w:rsidRPr="00345E48">
        <w:rPr>
          <w:rFonts w:ascii="Arial" w:eastAsia="Times New Roman" w:hAnsi="Arial" w:cs="Arial"/>
        </w:rPr>
        <w:t xml:space="preserve"> </w:t>
      </w:r>
      <w:r w:rsidR="00C31387" w:rsidRPr="00C31387">
        <w:rPr>
          <w:rFonts w:ascii="Arial" w:eastAsia="Times New Roman" w:hAnsi="Arial" w:cs="Arial"/>
        </w:rPr>
        <w:t>in particular live oral vaccines</w:t>
      </w:r>
      <w:r w:rsidR="006B4D85">
        <w:rPr>
          <w:rFonts w:ascii="Arial" w:eastAsia="Times New Roman" w:hAnsi="Arial" w:cs="Arial"/>
        </w:rPr>
        <w:t>,</w:t>
      </w:r>
      <w:r w:rsidR="00C31387" w:rsidRPr="00C31387">
        <w:rPr>
          <w:rFonts w:ascii="Arial" w:eastAsia="Times New Roman" w:hAnsi="Arial" w:cs="Arial"/>
        </w:rPr>
        <w:t xml:space="preserve"> </w:t>
      </w:r>
      <w:r w:rsidRPr="00345E48">
        <w:rPr>
          <w:rFonts w:ascii="Arial" w:eastAsia="Times New Roman" w:hAnsi="Arial" w:cs="Arial"/>
        </w:rPr>
        <w:t xml:space="preserve">should be used with caution concurrently with </w:t>
      </w:r>
      <w:r w:rsidR="00F8274A">
        <w:rPr>
          <w:rFonts w:ascii="Arial" w:eastAsia="Times New Roman" w:hAnsi="Arial" w:cs="Arial"/>
        </w:rPr>
        <w:t>ENTYVIO</w:t>
      </w:r>
      <w:r w:rsidR="00CF209C" w:rsidRPr="00C92913">
        <w:rPr>
          <w:rFonts w:ascii="Arial" w:eastAsia="Times New Roman" w:hAnsi="Arial" w:cs="Arial"/>
        </w:rPr>
        <w:t xml:space="preserve"> </w:t>
      </w:r>
      <w:r w:rsidRPr="00345E48">
        <w:rPr>
          <w:rFonts w:ascii="Arial" w:eastAsia="Times New Roman" w:hAnsi="Arial" w:cs="Arial"/>
        </w:rPr>
        <w:t xml:space="preserve">(see </w:t>
      </w:r>
      <w:r>
        <w:rPr>
          <w:rFonts w:ascii="Arial" w:eastAsia="Times New Roman" w:hAnsi="Arial" w:cs="Arial"/>
        </w:rPr>
        <w:t>PRECAUTIONS</w:t>
      </w:r>
      <w:r w:rsidRPr="00345E48">
        <w:rPr>
          <w:rFonts w:ascii="Arial" w:eastAsia="Times New Roman" w:hAnsi="Arial" w:cs="Arial"/>
        </w:rPr>
        <w:t>).</w:t>
      </w:r>
    </w:p>
    <w:p w:rsidR="00691008" w:rsidRPr="001971BC" w:rsidRDefault="002D31A3">
      <w:pPr>
        <w:pStyle w:val="NoSpacing"/>
        <w:spacing w:after="240"/>
        <w:jc w:val="both"/>
        <w:rPr>
          <w:rFonts w:ascii="Arial" w:hAnsi="Arial" w:cs="Arial"/>
          <w:b/>
        </w:rPr>
      </w:pPr>
      <w:r w:rsidRPr="001971BC">
        <w:rPr>
          <w:rFonts w:ascii="Arial" w:hAnsi="Arial" w:cs="Arial"/>
          <w:b/>
        </w:rPr>
        <w:t>ADVERSE EFFECTS</w:t>
      </w:r>
    </w:p>
    <w:p w:rsidR="00087207" w:rsidRPr="001971BC" w:rsidRDefault="007C217B" w:rsidP="000B2F3C">
      <w:pPr>
        <w:spacing w:after="120"/>
        <w:jc w:val="both"/>
        <w:rPr>
          <w:rFonts w:ascii="Arial" w:hAnsi="Arial" w:cs="Arial"/>
        </w:rPr>
      </w:pPr>
      <w:r w:rsidRPr="001971BC">
        <w:rPr>
          <w:rFonts w:ascii="Arial" w:hAnsi="Arial" w:cs="Arial"/>
        </w:rPr>
        <w:lastRenderedPageBreak/>
        <w:t>Vedolizumab has been studied in three placebo-controlled clinical trials in patients with ulcerative colitis (GEMINI I) or Crohn’s disease (GEMINI II and III).</w:t>
      </w:r>
      <w:r w:rsidRPr="001971BC">
        <w:t xml:space="preserve"> </w:t>
      </w:r>
      <w:r w:rsidR="00B569F0" w:rsidRPr="001971BC">
        <w:rPr>
          <w:rFonts w:ascii="Arial" w:eastAsia="Times New Roman" w:hAnsi="Arial" w:cs="Arial"/>
        </w:rPr>
        <w:t xml:space="preserve">In two controlled </w:t>
      </w:r>
      <w:r w:rsidR="00C81A4B" w:rsidRPr="001971BC">
        <w:rPr>
          <w:rFonts w:ascii="Arial" w:eastAsia="Times New Roman" w:hAnsi="Arial" w:cs="Arial"/>
        </w:rPr>
        <w:t>Phase 3 trials</w:t>
      </w:r>
      <w:r w:rsidR="00B569F0" w:rsidRPr="001971BC">
        <w:rPr>
          <w:rFonts w:ascii="Arial" w:eastAsia="Times New Roman" w:hAnsi="Arial" w:cs="Arial"/>
        </w:rPr>
        <w:t xml:space="preserve"> (GEMINI I and II)</w:t>
      </w:r>
      <w:r w:rsidR="00C81A4B" w:rsidRPr="001971BC">
        <w:rPr>
          <w:rFonts w:ascii="Arial" w:eastAsia="Times New Roman" w:hAnsi="Arial" w:cs="Arial"/>
        </w:rPr>
        <w:t>,</w:t>
      </w:r>
      <w:r w:rsidR="00B569F0" w:rsidRPr="001971BC">
        <w:rPr>
          <w:rFonts w:ascii="Arial" w:eastAsia="Times New Roman" w:hAnsi="Arial" w:cs="Arial"/>
        </w:rPr>
        <w:t xml:space="preserve"> 1,434 patients </w:t>
      </w:r>
      <w:r w:rsidR="00087207" w:rsidRPr="001971BC">
        <w:rPr>
          <w:rFonts w:ascii="Arial" w:eastAsia="Times New Roman" w:hAnsi="Arial" w:cs="Arial"/>
        </w:rPr>
        <w:t xml:space="preserve">received </w:t>
      </w:r>
      <w:r w:rsidR="00B569F0" w:rsidRPr="001971BC">
        <w:rPr>
          <w:rFonts w:ascii="Arial" w:eastAsia="Times New Roman" w:hAnsi="Arial" w:cs="Arial"/>
        </w:rPr>
        <w:t>vedolizumab 300 mg at Week 0, Week 2 and then every eight weeks or every four weeks</w:t>
      </w:r>
      <w:r w:rsidR="00087207" w:rsidRPr="001971BC">
        <w:rPr>
          <w:rFonts w:ascii="Arial" w:eastAsia="Times New Roman" w:hAnsi="Arial" w:cs="Arial"/>
        </w:rPr>
        <w:t>, starting at Week 6,</w:t>
      </w:r>
      <w:r w:rsidR="00B569F0" w:rsidRPr="001971BC">
        <w:rPr>
          <w:rFonts w:ascii="Arial" w:eastAsia="Times New Roman" w:hAnsi="Arial" w:cs="Arial"/>
        </w:rPr>
        <w:t xml:space="preserve"> for up to 52 weeks and 297 patients </w:t>
      </w:r>
      <w:r w:rsidR="00087207" w:rsidRPr="001971BC">
        <w:rPr>
          <w:rFonts w:ascii="Arial" w:eastAsia="Times New Roman" w:hAnsi="Arial" w:cs="Arial"/>
        </w:rPr>
        <w:t xml:space="preserve">received </w:t>
      </w:r>
      <w:r w:rsidR="00B569F0" w:rsidRPr="001971BC">
        <w:rPr>
          <w:rFonts w:ascii="Arial" w:eastAsia="Times New Roman" w:hAnsi="Arial" w:cs="Arial"/>
        </w:rPr>
        <w:t>placebo for up to 52 weeks</w:t>
      </w:r>
      <w:r w:rsidR="00087207" w:rsidRPr="001971BC">
        <w:rPr>
          <w:rFonts w:ascii="Arial" w:eastAsia="Times New Roman" w:hAnsi="Arial" w:cs="Arial"/>
        </w:rPr>
        <w:t>.</w:t>
      </w:r>
      <w:r w:rsidR="00B569F0" w:rsidRPr="001971BC">
        <w:rPr>
          <w:rFonts w:ascii="Arial" w:eastAsia="Times New Roman" w:hAnsi="Arial" w:cs="Arial"/>
        </w:rPr>
        <w:t xml:space="preserve"> </w:t>
      </w:r>
      <w:r w:rsidR="00087207" w:rsidRPr="001971BC">
        <w:rPr>
          <w:rFonts w:ascii="Arial" w:hAnsi="Arial" w:cs="Arial"/>
        </w:rPr>
        <w:t>Of these, 769 patients had ulcerative colitis (GEMINI I) and 962 patients had Crohn’s disease (GEMINI II). Patients were exposed for a mean duration of 259 days (GEMINI I) and 247 days (GEMINI II).</w:t>
      </w:r>
    </w:p>
    <w:p w:rsidR="000012A3" w:rsidRDefault="00087207" w:rsidP="000B2F3C">
      <w:pPr>
        <w:spacing w:after="120"/>
        <w:jc w:val="both"/>
        <w:rPr>
          <w:rFonts w:ascii="Arial" w:hAnsi="Arial" w:cs="Arial"/>
        </w:rPr>
      </w:pPr>
      <w:r w:rsidRPr="001971BC">
        <w:rPr>
          <w:rFonts w:ascii="Arial" w:eastAsia="Times New Roman" w:hAnsi="Arial" w:cs="Arial"/>
        </w:rPr>
        <w:t>A</w:t>
      </w:r>
      <w:r w:rsidR="00B569F0" w:rsidRPr="001971BC">
        <w:rPr>
          <w:rFonts w:ascii="Arial" w:eastAsia="Times New Roman" w:hAnsi="Arial" w:cs="Arial"/>
        </w:rPr>
        <w:t xml:space="preserve">dverse events were reported in 84% of </w:t>
      </w:r>
      <w:r w:rsidRPr="001971BC">
        <w:rPr>
          <w:rFonts w:ascii="Arial" w:eastAsia="Times New Roman" w:hAnsi="Arial" w:cs="Arial"/>
        </w:rPr>
        <w:t xml:space="preserve">patients treated with </w:t>
      </w:r>
      <w:r w:rsidR="00B569F0" w:rsidRPr="001971BC">
        <w:rPr>
          <w:rFonts w:ascii="Arial" w:eastAsia="Times New Roman" w:hAnsi="Arial" w:cs="Arial"/>
        </w:rPr>
        <w:t xml:space="preserve">vedolizumab and 78% of </w:t>
      </w:r>
      <w:r w:rsidRPr="001971BC">
        <w:rPr>
          <w:rFonts w:ascii="Arial" w:eastAsia="Times New Roman" w:hAnsi="Arial" w:cs="Arial"/>
        </w:rPr>
        <w:t xml:space="preserve">patients treated with </w:t>
      </w:r>
      <w:r w:rsidR="00B569F0" w:rsidRPr="001971BC">
        <w:rPr>
          <w:rFonts w:ascii="Arial" w:eastAsia="Times New Roman" w:hAnsi="Arial" w:cs="Arial"/>
        </w:rPr>
        <w:t>placebo</w:t>
      </w:r>
      <w:r w:rsidR="001429B2" w:rsidRPr="001971BC">
        <w:rPr>
          <w:rFonts w:ascii="Arial" w:eastAsia="Times New Roman" w:hAnsi="Arial" w:cs="Arial"/>
        </w:rPr>
        <w:t xml:space="preserve"> </w:t>
      </w:r>
      <w:r w:rsidR="001429B2" w:rsidRPr="001971BC">
        <w:rPr>
          <w:rFonts w:ascii="Arial" w:hAnsi="Arial" w:cs="Arial"/>
        </w:rPr>
        <w:t>(GEMINI I 80% and 77%; GEMINI II 87% and 80%, respectively)</w:t>
      </w:r>
      <w:r w:rsidR="00B569F0" w:rsidRPr="001971BC">
        <w:rPr>
          <w:rFonts w:ascii="Arial" w:eastAsia="Times New Roman" w:hAnsi="Arial" w:cs="Arial"/>
        </w:rPr>
        <w:t xml:space="preserve">. Over 52 weeks, 19% of patients </w:t>
      </w:r>
      <w:r w:rsidRPr="001971BC">
        <w:rPr>
          <w:rFonts w:ascii="Arial" w:eastAsia="Times New Roman" w:hAnsi="Arial" w:cs="Arial"/>
        </w:rPr>
        <w:t xml:space="preserve">treated with vedolizumab </w:t>
      </w:r>
      <w:r w:rsidR="00B569F0" w:rsidRPr="001971BC">
        <w:rPr>
          <w:rFonts w:ascii="Arial" w:eastAsia="Times New Roman" w:hAnsi="Arial" w:cs="Arial"/>
        </w:rPr>
        <w:t xml:space="preserve">experienced serious adverse events compared to 13% of </w:t>
      </w:r>
      <w:r w:rsidRPr="001971BC">
        <w:rPr>
          <w:rFonts w:ascii="Arial" w:eastAsia="Times New Roman" w:hAnsi="Arial" w:cs="Arial"/>
        </w:rPr>
        <w:t xml:space="preserve">patients treated with placebo </w:t>
      </w:r>
      <w:r w:rsidRPr="001971BC">
        <w:rPr>
          <w:rFonts w:ascii="Arial" w:hAnsi="Arial" w:cs="Arial"/>
        </w:rPr>
        <w:t>(GEMINI I 12% and 11%; GEMINI II 24% and 16%, respectively)</w:t>
      </w:r>
      <w:r w:rsidR="00B569F0" w:rsidRPr="001971BC">
        <w:rPr>
          <w:rFonts w:ascii="Arial" w:eastAsia="Times New Roman" w:hAnsi="Arial" w:cs="Arial"/>
        </w:rPr>
        <w:t>. Similar rates of adverse events were seen in the every</w:t>
      </w:r>
      <w:r w:rsidRPr="001971BC">
        <w:rPr>
          <w:rFonts w:ascii="Arial" w:eastAsia="Times New Roman" w:hAnsi="Arial" w:cs="Arial"/>
        </w:rPr>
        <w:t>-eight-</w:t>
      </w:r>
      <w:r w:rsidR="00B569F0" w:rsidRPr="001971BC">
        <w:rPr>
          <w:rFonts w:ascii="Arial" w:eastAsia="Times New Roman" w:hAnsi="Arial" w:cs="Arial"/>
        </w:rPr>
        <w:t xml:space="preserve">week and </w:t>
      </w:r>
      <w:r w:rsidRPr="001971BC">
        <w:rPr>
          <w:rFonts w:ascii="Arial" w:eastAsia="Times New Roman" w:hAnsi="Arial" w:cs="Arial"/>
        </w:rPr>
        <w:t>every-four-</w:t>
      </w:r>
      <w:r w:rsidR="00B569F0" w:rsidRPr="001971BC">
        <w:rPr>
          <w:rFonts w:ascii="Arial" w:eastAsia="Times New Roman" w:hAnsi="Arial" w:cs="Arial"/>
        </w:rPr>
        <w:t xml:space="preserve">week dosing groups in the Phase 3 clinical trials. The proportion of patients who discontinued treatment due to adverse events was 9% for patients </w:t>
      </w:r>
      <w:r w:rsidRPr="001971BC">
        <w:rPr>
          <w:rFonts w:ascii="Arial" w:eastAsia="Times New Roman" w:hAnsi="Arial" w:cs="Arial"/>
        </w:rPr>
        <w:t xml:space="preserve">treated with vedolizumab </w:t>
      </w:r>
      <w:r w:rsidR="00B569F0" w:rsidRPr="001971BC">
        <w:rPr>
          <w:rFonts w:ascii="Arial" w:eastAsia="Times New Roman" w:hAnsi="Arial" w:cs="Arial"/>
        </w:rPr>
        <w:t>and 10% for patients</w:t>
      </w:r>
      <w:r w:rsidRPr="001971BC">
        <w:rPr>
          <w:rFonts w:ascii="Arial" w:eastAsia="Times New Roman" w:hAnsi="Arial" w:cs="Arial"/>
        </w:rPr>
        <w:t xml:space="preserve"> treated with placebo</w:t>
      </w:r>
      <w:r w:rsidR="00B569F0" w:rsidRPr="001971BC">
        <w:rPr>
          <w:rFonts w:ascii="Arial" w:eastAsia="Times New Roman" w:hAnsi="Arial" w:cs="Arial"/>
        </w:rPr>
        <w:t>.</w:t>
      </w:r>
      <w:r w:rsidR="00D4671B" w:rsidRPr="001971BC">
        <w:rPr>
          <w:rFonts w:ascii="Arial" w:eastAsia="Times New Roman" w:hAnsi="Arial" w:cs="Arial"/>
        </w:rPr>
        <w:t xml:space="preserve"> </w:t>
      </w:r>
      <w:r w:rsidR="00D4671B" w:rsidRPr="001971BC">
        <w:rPr>
          <w:rFonts w:ascii="Arial" w:hAnsi="Arial" w:cs="Arial"/>
        </w:rPr>
        <w:t>In the combined studies of GEMINI I and II the adverse reactions that occurred in &gt;5% were nausea, nasopharyngitis, upper respiratory tract infection, arthralgia, pyrexia, fatigue, headache, cough. Infusion-related reactions were reported in 4% of patients receiving vedolizumab.</w:t>
      </w:r>
      <w:r w:rsidR="000012A3">
        <w:rPr>
          <w:rFonts w:ascii="Arial" w:hAnsi="Arial" w:cs="Arial"/>
        </w:rPr>
        <w:t xml:space="preserve"> </w:t>
      </w:r>
    </w:p>
    <w:p w:rsidR="0039756B" w:rsidRPr="00416438" w:rsidRDefault="00383079" w:rsidP="00416438">
      <w:pPr>
        <w:spacing w:after="120"/>
        <w:jc w:val="both"/>
        <w:rPr>
          <w:rFonts w:ascii="Arial" w:eastAsia="Times New Roman" w:hAnsi="Arial" w:cs="Arial"/>
        </w:rPr>
      </w:pPr>
      <w:r w:rsidRPr="00383079">
        <w:rPr>
          <w:rFonts w:ascii="Arial" w:hAnsi="Arial" w:cs="Arial"/>
        </w:rPr>
        <w:t>In the shorter (10-week) placebo controlled induction trial, GEMINI III, the types of adverse reactions reported were similar but occurred at lower frequency than the longer 52 week trials.  A further 279 patients were treated with vedolizumab at Week 0 and Week 2 and then with placebo for up to 52 weeks. Of these patients, 84% experienced adverse events and 15% expe</w:t>
      </w:r>
      <w:r w:rsidR="00416438">
        <w:rPr>
          <w:rFonts w:ascii="Arial" w:hAnsi="Arial" w:cs="Arial"/>
        </w:rPr>
        <w:t>rienced serious adverse events.</w:t>
      </w:r>
      <w:r w:rsidR="0039756B">
        <w:rPr>
          <w:rFonts w:ascii="Arial" w:eastAsia="Times New Roman" w:hAnsi="Arial" w:cs="Arial"/>
          <w:u w:val="single"/>
        </w:rPr>
        <w:br w:type="page"/>
      </w:r>
    </w:p>
    <w:p w:rsidR="00B569F0" w:rsidRDefault="00B569F0" w:rsidP="00B569F0">
      <w:pPr>
        <w:spacing w:after="240" w:line="240" w:lineRule="auto"/>
        <w:jc w:val="both"/>
        <w:rPr>
          <w:rFonts w:ascii="Arial" w:eastAsia="Times New Roman" w:hAnsi="Arial" w:cs="Arial"/>
          <w:u w:val="single"/>
        </w:rPr>
      </w:pPr>
      <w:r w:rsidRPr="00B569F0">
        <w:rPr>
          <w:rFonts w:ascii="Arial" w:eastAsia="Times New Roman" w:hAnsi="Arial" w:cs="Arial"/>
          <w:u w:val="single"/>
        </w:rPr>
        <w:lastRenderedPageBreak/>
        <w:t xml:space="preserve">Tabulated list of </w:t>
      </w:r>
      <w:r w:rsidR="003328ED">
        <w:rPr>
          <w:rFonts w:ascii="Arial" w:eastAsia="Times New Roman" w:hAnsi="Arial" w:cs="Arial"/>
          <w:u w:val="single"/>
        </w:rPr>
        <w:t>A</w:t>
      </w:r>
      <w:r w:rsidRPr="00B569F0">
        <w:rPr>
          <w:rFonts w:ascii="Arial" w:eastAsia="Times New Roman" w:hAnsi="Arial" w:cs="Arial"/>
          <w:u w:val="single"/>
        </w:rPr>
        <w:t xml:space="preserve">dverse </w:t>
      </w:r>
      <w:r w:rsidR="007F0450">
        <w:rPr>
          <w:rFonts w:ascii="Arial" w:eastAsia="Times New Roman" w:hAnsi="Arial" w:cs="Arial"/>
          <w:u w:val="single"/>
        </w:rPr>
        <w:t>Events</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3"/>
        <w:gridCol w:w="2160"/>
        <w:gridCol w:w="2160"/>
      </w:tblGrid>
      <w:tr w:rsidR="00732DF9" w:rsidRPr="00E0374A" w:rsidTr="003F362F">
        <w:trPr>
          <w:jc w:val="center"/>
        </w:trPr>
        <w:tc>
          <w:tcPr>
            <w:tcW w:w="8613" w:type="dxa"/>
            <w:gridSpan w:val="3"/>
            <w:tcBorders>
              <w:top w:val="nil"/>
              <w:left w:val="nil"/>
              <w:right w:val="nil"/>
            </w:tcBorders>
            <w:shd w:val="clear" w:color="auto" w:fill="auto"/>
            <w:vAlign w:val="center"/>
          </w:tcPr>
          <w:p w:rsidR="00732DF9" w:rsidRPr="00E0374A" w:rsidRDefault="00732DF9" w:rsidP="00A5451F">
            <w:pPr>
              <w:keepNext/>
              <w:keepLines/>
              <w:tabs>
                <w:tab w:val="left" w:pos="993"/>
              </w:tabs>
              <w:spacing w:before="40" w:after="40"/>
              <w:rPr>
                <w:rStyle w:val="DeltaViewInsertion"/>
                <w:rFonts w:ascii="Arial" w:hAnsi="Arial" w:cs="Arial"/>
                <w:b/>
                <w:bCs/>
                <w:color w:val="auto"/>
                <w:sz w:val="20"/>
                <w:szCs w:val="20"/>
              </w:rPr>
            </w:pPr>
            <w:bookmarkStart w:id="10" w:name="_DV_C451"/>
            <w:r>
              <w:rPr>
                <w:rFonts w:ascii="Arial" w:eastAsia="Calibri" w:hAnsi="Arial" w:cs="Arial"/>
                <w:b/>
                <w:sz w:val="20"/>
                <w:szCs w:val="20"/>
                <w:lang w:eastAsia="ja-JP"/>
              </w:rPr>
              <w:t>Table 5</w:t>
            </w:r>
            <w:r w:rsidRPr="00732DF9">
              <w:rPr>
                <w:rFonts w:ascii="Arial" w:eastAsia="Calibri" w:hAnsi="Arial" w:cs="Arial"/>
                <w:b/>
                <w:sz w:val="20"/>
                <w:szCs w:val="20"/>
                <w:lang w:eastAsia="ja-JP"/>
              </w:rPr>
              <w:t xml:space="preserve"> </w:t>
            </w:r>
            <w:r>
              <w:rPr>
                <w:rFonts w:ascii="Arial" w:eastAsia="Calibri" w:hAnsi="Arial" w:cs="Arial"/>
                <w:b/>
                <w:sz w:val="20"/>
                <w:szCs w:val="20"/>
                <w:lang w:eastAsia="ja-JP"/>
              </w:rPr>
              <w:tab/>
            </w:r>
            <w:r w:rsidRPr="00732DF9">
              <w:rPr>
                <w:rFonts w:ascii="Arial" w:eastAsia="Calibri" w:hAnsi="Arial" w:cs="Arial"/>
                <w:b/>
                <w:sz w:val="20"/>
                <w:szCs w:val="20"/>
                <w:lang w:eastAsia="ja-JP"/>
              </w:rPr>
              <w:t xml:space="preserve">Adverse </w:t>
            </w:r>
            <w:r w:rsidR="007F0450">
              <w:rPr>
                <w:rFonts w:ascii="Arial" w:eastAsia="Calibri" w:hAnsi="Arial" w:cs="Arial"/>
                <w:b/>
                <w:sz w:val="20"/>
                <w:szCs w:val="20"/>
                <w:lang w:eastAsia="ja-JP"/>
              </w:rPr>
              <w:t>Events</w:t>
            </w:r>
            <w:r w:rsidRPr="00732DF9">
              <w:rPr>
                <w:rFonts w:ascii="Arial" w:eastAsia="Calibri" w:hAnsi="Arial" w:cs="Arial"/>
                <w:b/>
                <w:sz w:val="20"/>
                <w:szCs w:val="20"/>
                <w:lang w:eastAsia="ja-JP"/>
              </w:rPr>
              <w:t xml:space="preserve"> in ≥3% </w:t>
            </w:r>
            <w:bookmarkEnd w:id="10"/>
            <w:r w:rsidR="007F0450" w:rsidRPr="007F0450">
              <w:rPr>
                <w:rFonts w:ascii="Arial" w:eastAsia="Calibri" w:hAnsi="Arial" w:cs="Arial"/>
                <w:b/>
                <w:sz w:val="20"/>
                <w:szCs w:val="20"/>
                <w:lang w:eastAsia="ja-JP"/>
              </w:rPr>
              <w:t xml:space="preserve">of </w:t>
            </w:r>
            <w:r w:rsidR="00A5451F">
              <w:rPr>
                <w:rFonts w:ascii="Arial" w:eastAsia="Calibri" w:hAnsi="Arial" w:cs="Arial"/>
                <w:b/>
                <w:sz w:val="20"/>
                <w:szCs w:val="20"/>
                <w:lang w:eastAsia="ja-JP"/>
              </w:rPr>
              <w:t xml:space="preserve">ENTYVIO treated </w:t>
            </w:r>
            <w:r w:rsidR="007F0450" w:rsidRPr="007F0450">
              <w:rPr>
                <w:rFonts w:ascii="Arial" w:eastAsia="Calibri" w:hAnsi="Arial" w:cs="Arial"/>
                <w:b/>
                <w:sz w:val="20"/>
                <w:szCs w:val="20"/>
                <w:lang w:eastAsia="ja-JP"/>
              </w:rPr>
              <w:t xml:space="preserve">Patients </w:t>
            </w:r>
            <w:r w:rsidR="00A5451F" w:rsidRPr="00A5451F">
              <w:rPr>
                <w:rFonts w:ascii="Arial" w:eastAsia="Calibri" w:hAnsi="Arial" w:cs="Arial"/>
                <w:b/>
                <w:sz w:val="20"/>
                <w:szCs w:val="20"/>
                <w:lang w:eastAsia="ja-JP"/>
              </w:rPr>
              <w:t xml:space="preserve">and ≥1% Higher than in Placebo </w:t>
            </w:r>
            <w:r w:rsidR="00A5451F">
              <w:rPr>
                <w:rFonts w:ascii="Arial" w:eastAsia="Calibri" w:hAnsi="Arial" w:cs="Arial"/>
                <w:b/>
                <w:sz w:val="20"/>
                <w:szCs w:val="20"/>
                <w:lang w:eastAsia="ja-JP"/>
              </w:rPr>
              <w:tab/>
            </w:r>
            <w:r w:rsidR="00A5451F" w:rsidRPr="00A5451F">
              <w:rPr>
                <w:rFonts w:ascii="Arial" w:eastAsia="Calibri" w:hAnsi="Arial" w:cs="Arial"/>
                <w:b/>
                <w:sz w:val="20"/>
                <w:szCs w:val="20"/>
                <w:lang w:eastAsia="ja-JP"/>
              </w:rPr>
              <w:t>[</w:t>
            </w:r>
            <w:r w:rsidR="007F0450" w:rsidRPr="007F0450">
              <w:rPr>
                <w:rFonts w:ascii="Arial" w:eastAsia="Calibri" w:hAnsi="Arial" w:cs="Arial"/>
                <w:b/>
                <w:sz w:val="20"/>
                <w:szCs w:val="20"/>
                <w:lang w:eastAsia="ja-JP"/>
              </w:rPr>
              <w:t>UC and CD Combined Induction/Maintenance Safety Population</w:t>
            </w:r>
            <w:r w:rsidR="007F0450">
              <w:rPr>
                <w:rFonts w:ascii="Arial" w:eastAsia="Calibri" w:hAnsi="Arial" w:cs="Arial"/>
                <w:b/>
                <w:sz w:val="20"/>
                <w:szCs w:val="20"/>
                <w:lang w:eastAsia="ja-JP"/>
              </w:rPr>
              <w:t xml:space="preserve"> </w:t>
            </w:r>
            <w:r w:rsidR="007F0450" w:rsidRPr="007F0450">
              <w:rPr>
                <w:rFonts w:ascii="Arial" w:eastAsia="Calibri" w:hAnsi="Arial" w:cs="Arial"/>
                <w:b/>
                <w:sz w:val="20"/>
                <w:szCs w:val="20"/>
                <w:lang w:eastAsia="ja-JP"/>
              </w:rPr>
              <w:t>(</w:t>
            </w:r>
            <w:r w:rsidR="007F0450">
              <w:rPr>
                <w:rFonts w:ascii="Arial" w:eastAsia="Calibri" w:hAnsi="Arial" w:cs="Arial"/>
                <w:b/>
                <w:sz w:val="20"/>
                <w:szCs w:val="20"/>
                <w:lang w:eastAsia="ja-JP"/>
              </w:rPr>
              <w:t>GEMINI I</w:t>
            </w:r>
            <w:r w:rsidR="007F0450" w:rsidRPr="007F0450">
              <w:rPr>
                <w:rFonts w:ascii="Arial" w:eastAsia="Calibri" w:hAnsi="Arial" w:cs="Arial"/>
                <w:b/>
                <w:sz w:val="20"/>
                <w:szCs w:val="20"/>
                <w:lang w:eastAsia="ja-JP"/>
              </w:rPr>
              <w:t xml:space="preserve"> and </w:t>
            </w:r>
            <w:r w:rsidR="007F0450">
              <w:rPr>
                <w:rFonts w:ascii="Arial" w:eastAsia="Calibri" w:hAnsi="Arial" w:cs="Arial"/>
                <w:b/>
                <w:sz w:val="20"/>
                <w:szCs w:val="20"/>
                <w:lang w:eastAsia="ja-JP"/>
              </w:rPr>
              <w:t>II</w:t>
            </w:r>
            <w:r w:rsidR="007F0450" w:rsidRPr="007F0450">
              <w:rPr>
                <w:rFonts w:ascii="Arial" w:eastAsia="Calibri" w:hAnsi="Arial" w:cs="Arial"/>
                <w:b/>
                <w:sz w:val="20"/>
                <w:szCs w:val="20"/>
                <w:lang w:eastAsia="ja-JP"/>
              </w:rPr>
              <w:t>)</w:t>
            </w:r>
            <w:r w:rsidR="00A5451F">
              <w:rPr>
                <w:rFonts w:ascii="Arial" w:eastAsia="Calibri" w:hAnsi="Arial" w:cs="Arial"/>
                <w:b/>
                <w:sz w:val="20"/>
                <w:szCs w:val="20"/>
                <w:lang w:eastAsia="ja-JP"/>
              </w:rPr>
              <w:t>]</w:t>
            </w:r>
          </w:p>
        </w:tc>
      </w:tr>
      <w:tr w:rsidR="00E0374A" w:rsidRPr="00E0374A" w:rsidTr="003F362F">
        <w:trPr>
          <w:jc w:val="center"/>
        </w:trPr>
        <w:tc>
          <w:tcPr>
            <w:tcW w:w="4293" w:type="dxa"/>
            <w:tcBorders>
              <w:right w:val="nil"/>
            </w:tcBorders>
            <w:shd w:val="clear" w:color="auto" w:fill="auto"/>
            <w:vAlign w:val="center"/>
          </w:tcPr>
          <w:p w:rsidR="00E0374A" w:rsidRPr="00E0374A" w:rsidRDefault="00E0374A" w:rsidP="00E0374A">
            <w:pPr>
              <w:spacing w:before="40" w:after="40"/>
              <w:ind w:left="274"/>
              <w:rPr>
                <w:rFonts w:ascii="Arial" w:hAnsi="Arial" w:cs="Arial"/>
                <w:b/>
                <w:bCs/>
                <w:sz w:val="20"/>
                <w:szCs w:val="20"/>
              </w:rPr>
            </w:pPr>
            <w:bookmarkStart w:id="11" w:name="_DV_C453"/>
            <w:r w:rsidRPr="00E0374A">
              <w:rPr>
                <w:rStyle w:val="DeltaViewInsertion"/>
                <w:rFonts w:ascii="Arial" w:hAnsi="Arial" w:cs="Arial"/>
                <w:b/>
                <w:bCs/>
                <w:color w:val="auto"/>
                <w:sz w:val="20"/>
                <w:szCs w:val="20"/>
              </w:rPr>
              <w:t>Adverse Reaction</w:t>
            </w:r>
            <w:bookmarkEnd w:id="11"/>
          </w:p>
        </w:tc>
        <w:tc>
          <w:tcPr>
            <w:tcW w:w="2160" w:type="dxa"/>
            <w:tcBorders>
              <w:right w:val="nil"/>
            </w:tcBorders>
            <w:vAlign w:val="bottom"/>
          </w:tcPr>
          <w:p w:rsidR="00E0374A" w:rsidRPr="00E0374A" w:rsidRDefault="00E0374A" w:rsidP="001712CE">
            <w:pPr>
              <w:keepNext/>
              <w:keepLines/>
              <w:spacing w:before="40" w:after="40"/>
              <w:jc w:val="center"/>
              <w:rPr>
                <w:rStyle w:val="DeltaViewInsertion"/>
                <w:rFonts w:ascii="Arial" w:hAnsi="Arial" w:cs="Arial"/>
                <w:b/>
                <w:bCs/>
                <w:color w:val="auto"/>
                <w:sz w:val="20"/>
                <w:szCs w:val="20"/>
              </w:rPr>
            </w:pPr>
            <w:bookmarkStart w:id="12" w:name="_DV_C457"/>
            <w:r w:rsidRPr="00E0374A">
              <w:rPr>
                <w:rStyle w:val="DeltaViewInsertion"/>
                <w:rFonts w:ascii="Arial" w:hAnsi="Arial" w:cs="Arial"/>
                <w:b/>
                <w:bCs/>
                <w:color w:val="auto"/>
                <w:sz w:val="20"/>
                <w:szCs w:val="20"/>
              </w:rPr>
              <w:t>Placebo</w:t>
            </w:r>
            <w:r w:rsidR="001712CE" w:rsidRPr="00E0374A">
              <w:rPr>
                <w:rStyle w:val="DeltaViewInsertion"/>
                <w:rFonts w:ascii="Arial" w:hAnsi="Arial" w:cs="Arial"/>
                <w:color w:val="auto"/>
                <w:sz w:val="20"/>
                <w:szCs w:val="20"/>
                <w:vertAlign w:val="superscript"/>
              </w:rPr>
              <w:t>†</w:t>
            </w:r>
            <w:r w:rsidRPr="00E0374A">
              <w:rPr>
                <w:rStyle w:val="DeltaViewInsertion"/>
                <w:rFonts w:ascii="Arial" w:hAnsi="Arial" w:cs="Arial"/>
                <w:b/>
                <w:bCs/>
                <w:color w:val="auto"/>
                <w:sz w:val="20"/>
                <w:szCs w:val="20"/>
              </w:rPr>
              <w:br/>
            </w:r>
            <w:r w:rsidRPr="00E0374A">
              <w:rPr>
                <w:rStyle w:val="DeltaViewInsertion"/>
                <w:rFonts w:ascii="Arial" w:hAnsi="Arial" w:cs="Arial"/>
                <w:color w:val="auto"/>
                <w:sz w:val="20"/>
                <w:szCs w:val="20"/>
              </w:rPr>
              <w:t>(N</w:t>
            </w:r>
            <w:bookmarkStart w:id="13" w:name="_DV_C458"/>
            <w:bookmarkEnd w:id="12"/>
            <w:r w:rsidRPr="00E0374A">
              <w:rPr>
                <w:rStyle w:val="DeltaViewInsertion"/>
                <w:rFonts w:ascii="Arial" w:hAnsi="Arial" w:cs="Arial"/>
                <w:color w:val="auto"/>
                <w:sz w:val="20"/>
                <w:szCs w:val="20"/>
              </w:rPr>
              <w:sym w:font="Symbol" w:char="F03D"/>
            </w:r>
            <w:bookmarkStart w:id="14" w:name="_DV_C459"/>
            <w:bookmarkEnd w:id="13"/>
            <w:r w:rsidRPr="00E0374A">
              <w:rPr>
                <w:rStyle w:val="DeltaViewInsertion"/>
                <w:rFonts w:ascii="Arial" w:hAnsi="Arial" w:cs="Arial"/>
                <w:color w:val="auto"/>
                <w:sz w:val="20"/>
                <w:szCs w:val="20"/>
              </w:rPr>
              <w:t>297)</w:t>
            </w:r>
            <w:bookmarkEnd w:id="14"/>
          </w:p>
        </w:tc>
        <w:tc>
          <w:tcPr>
            <w:tcW w:w="2160" w:type="dxa"/>
            <w:tcBorders>
              <w:left w:val="nil"/>
              <w:right w:val="single" w:sz="4" w:space="0" w:color="000000"/>
            </w:tcBorders>
            <w:shd w:val="clear" w:color="auto" w:fill="auto"/>
            <w:vAlign w:val="bottom"/>
          </w:tcPr>
          <w:p w:rsidR="00E0374A" w:rsidRPr="00E0374A" w:rsidRDefault="00E0374A" w:rsidP="001712CE">
            <w:pPr>
              <w:keepNext/>
              <w:keepLines/>
              <w:spacing w:before="40" w:after="40"/>
              <w:jc w:val="center"/>
              <w:rPr>
                <w:rFonts w:ascii="Arial" w:hAnsi="Arial" w:cs="Arial"/>
                <w:sz w:val="20"/>
                <w:szCs w:val="20"/>
              </w:rPr>
            </w:pPr>
            <w:r w:rsidRPr="00E0374A">
              <w:rPr>
                <w:rStyle w:val="DeltaViewInsertion"/>
                <w:rFonts w:ascii="Arial" w:hAnsi="Arial" w:cs="Arial"/>
                <w:b/>
                <w:bCs/>
                <w:color w:val="auto"/>
                <w:sz w:val="20"/>
                <w:szCs w:val="20"/>
              </w:rPr>
              <w:t>ENTYVIO</w:t>
            </w:r>
            <w:r w:rsidR="001712CE" w:rsidRPr="00E0374A">
              <w:rPr>
                <w:rStyle w:val="DeltaViewInsertion"/>
                <w:rFonts w:ascii="Arial" w:hAnsi="Arial" w:cs="Arial"/>
                <w:color w:val="auto"/>
                <w:sz w:val="20"/>
                <w:szCs w:val="20"/>
                <w:vertAlign w:val="superscript"/>
              </w:rPr>
              <w:t>‡</w:t>
            </w:r>
            <w:r w:rsidRPr="00E0374A">
              <w:rPr>
                <w:rStyle w:val="DeltaViewInsertion"/>
                <w:rFonts w:ascii="Arial" w:hAnsi="Arial" w:cs="Arial"/>
                <w:b/>
                <w:bCs/>
                <w:color w:val="auto"/>
                <w:sz w:val="20"/>
                <w:szCs w:val="20"/>
              </w:rPr>
              <w:br/>
            </w:r>
            <w:r w:rsidRPr="00E0374A">
              <w:rPr>
                <w:rStyle w:val="DeltaViewInsertion"/>
                <w:rFonts w:ascii="Arial" w:hAnsi="Arial" w:cs="Arial"/>
                <w:color w:val="auto"/>
                <w:sz w:val="20"/>
                <w:szCs w:val="20"/>
              </w:rPr>
              <w:t>(N</w:t>
            </w:r>
            <w:r w:rsidRPr="00E0374A">
              <w:rPr>
                <w:rStyle w:val="DeltaViewInsertion"/>
                <w:rFonts w:ascii="Arial" w:hAnsi="Arial" w:cs="Arial"/>
                <w:color w:val="auto"/>
                <w:sz w:val="20"/>
                <w:szCs w:val="20"/>
              </w:rPr>
              <w:sym w:font="Symbol" w:char="F03D"/>
            </w:r>
            <w:bookmarkStart w:id="15" w:name="_DV_C456"/>
            <w:r w:rsidRPr="00E0374A">
              <w:rPr>
                <w:rStyle w:val="DeltaViewInsertion"/>
                <w:rFonts w:ascii="Arial" w:hAnsi="Arial" w:cs="Arial"/>
                <w:color w:val="auto"/>
                <w:sz w:val="20"/>
                <w:szCs w:val="20"/>
              </w:rPr>
              <w:t>1434)</w:t>
            </w:r>
            <w:bookmarkEnd w:id="15"/>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16" w:name="_DV_C460"/>
            <w:r w:rsidRPr="00E0374A">
              <w:rPr>
                <w:rStyle w:val="DeltaViewInsertion"/>
                <w:rFonts w:ascii="Arial" w:hAnsi="Arial" w:cs="Arial"/>
                <w:color w:val="auto"/>
                <w:sz w:val="20"/>
                <w:szCs w:val="20"/>
              </w:rPr>
              <w:t>Nasopharyngitis</w:t>
            </w:r>
            <w:bookmarkEnd w:id="16"/>
          </w:p>
        </w:tc>
        <w:tc>
          <w:tcPr>
            <w:tcW w:w="2160" w:type="dxa"/>
            <w:tcBorders>
              <w:top w:val="nil"/>
              <w:bottom w:val="nil"/>
              <w:right w:val="nil"/>
            </w:tcBorders>
          </w:tcPr>
          <w:p w:rsidR="00E0374A" w:rsidRPr="00E0374A" w:rsidRDefault="00C072FB" w:rsidP="00DE01A4">
            <w:pPr>
              <w:spacing w:before="40" w:after="40"/>
              <w:jc w:val="center"/>
              <w:rPr>
                <w:rStyle w:val="DeltaViewInsertion"/>
                <w:rFonts w:ascii="Arial" w:hAnsi="Arial" w:cs="Arial"/>
                <w:color w:val="auto"/>
                <w:sz w:val="20"/>
                <w:szCs w:val="20"/>
              </w:rPr>
            </w:pPr>
            <w:r>
              <w:rPr>
                <w:rStyle w:val="DeltaViewInsertion"/>
                <w:rFonts w:ascii="Arial" w:hAnsi="Arial" w:cs="Arial"/>
                <w:color w:val="auto"/>
                <w:sz w:val="20"/>
                <w:szCs w:val="20"/>
              </w:rPr>
              <w:t>21 (</w:t>
            </w:r>
            <w:r w:rsidR="00E0374A" w:rsidRPr="00E0374A">
              <w:rPr>
                <w:rStyle w:val="DeltaViewInsertion"/>
                <w:rFonts w:ascii="Arial" w:hAnsi="Arial" w:cs="Arial"/>
                <w:color w:val="auto"/>
                <w:sz w:val="20"/>
                <w:szCs w:val="20"/>
              </w:rPr>
              <w:t>7%</w:t>
            </w:r>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C072FB" w:rsidP="00DE01A4">
            <w:pPr>
              <w:spacing w:before="40" w:after="40"/>
              <w:jc w:val="center"/>
              <w:rPr>
                <w:rFonts w:ascii="Arial" w:hAnsi="Arial" w:cs="Arial"/>
                <w:sz w:val="20"/>
                <w:szCs w:val="20"/>
              </w:rPr>
            </w:pPr>
            <w:bookmarkStart w:id="17" w:name="_DV_C461"/>
            <w:r>
              <w:rPr>
                <w:rStyle w:val="DeltaViewInsertion"/>
                <w:rFonts w:ascii="Arial" w:hAnsi="Arial" w:cs="Arial"/>
                <w:color w:val="auto"/>
                <w:sz w:val="20"/>
                <w:szCs w:val="20"/>
              </w:rPr>
              <w:t>180 (</w:t>
            </w:r>
            <w:r w:rsidR="00E0374A" w:rsidRPr="00E0374A">
              <w:rPr>
                <w:rStyle w:val="DeltaViewInsertion"/>
                <w:rFonts w:ascii="Arial" w:hAnsi="Arial" w:cs="Arial"/>
                <w:color w:val="auto"/>
                <w:sz w:val="20"/>
                <w:szCs w:val="20"/>
              </w:rPr>
              <w:t>13%</w:t>
            </w:r>
            <w:bookmarkEnd w:id="17"/>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r w:rsidRPr="00E0374A">
              <w:rPr>
                <w:rStyle w:val="DeltaViewInsertion"/>
                <w:rFonts w:ascii="Arial" w:hAnsi="Arial" w:cs="Arial"/>
                <w:color w:val="auto"/>
                <w:sz w:val="20"/>
                <w:szCs w:val="20"/>
              </w:rPr>
              <w:t>Headache</w:t>
            </w:r>
          </w:p>
        </w:tc>
        <w:tc>
          <w:tcPr>
            <w:tcW w:w="2160" w:type="dxa"/>
            <w:tcBorders>
              <w:top w:val="nil"/>
              <w:bottom w:val="nil"/>
              <w:right w:val="nil"/>
            </w:tcBorders>
          </w:tcPr>
          <w:p w:rsidR="00E0374A" w:rsidRPr="00E0374A" w:rsidRDefault="00C072FB" w:rsidP="00DE01A4">
            <w:pPr>
              <w:spacing w:before="40" w:after="40"/>
              <w:jc w:val="center"/>
              <w:rPr>
                <w:rStyle w:val="DeltaViewInsertion"/>
                <w:rFonts w:ascii="Arial" w:hAnsi="Arial" w:cs="Arial"/>
                <w:color w:val="auto"/>
                <w:sz w:val="20"/>
                <w:szCs w:val="20"/>
              </w:rPr>
            </w:pPr>
            <w:bookmarkStart w:id="18" w:name="_DV_C465"/>
            <w:r>
              <w:rPr>
                <w:rStyle w:val="DeltaViewInsertion"/>
                <w:rFonts w:ascii="Arial" w:hAnsi="Arial" w:cs="Arial"/>
                <w:color w:val="auto"/>
                <w:sz w:val="20"/>
                <w:szCs w:val="20"/>
              </w:rPr>
              <w:t>32 (</w:t>
            </w:r>
            <w:r w:rsidR="00E0374A" w:rsidRPr="00E0374A">
              <w:rPr>
                <w:rStyle w:val="DeltaViewInsertion"/>
                <w:rFonts w:ascii="Arial" w:hAnsi="Arial" w:cs="Arial"/>
                <w:color w:val="auto"/>
                <w:sz w:val="20"/>
                <w:szCs w:val="20"/>
              </w:rPr>
              <w:t>11%</w:t>
            </w:r>
            <w:bookmarkEnd w:id="18"/>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C072FB" w:rsidP="00DE01A4">
            <w:pPr>
              <w:spacing w:before="40" w:after="40"/>
              <w:jc w:val="center"/>
              <w:rPr>
                <w:rFonts w:ascii="Arial" w:hAnsi="Arial" w:cs="Arial"/>
                <w:sz w:val="20"/>
                <w:szCs w:val="20"/>
              </w:rPr>
            </w:pPr>
            <w:bookmarkStart w:id="19" w:name="_DV_C464"/>
            <w:r>
              <w:rPr>
                <w:rStyle w:val="DeltaViewInsertion"/>
                <w:rFonts w:ascii="Arial" w:hAnsi="Arial" w:cs="Arial"/>
                <w:color w:val="auto"/>
                <w:sz w:val="20"/>
                <w:szCs w:val="20"/>
              </w:rPr>
              <w:t>177 (</w:t>
            </w:r>
            <w:r w:rsidR="00E0374A" w:rsidRPr="00E0374A">
              <w:rPr>
                <w:rStyle w:val="DeltaViewInsertion"/>
                <w:rFonts w:ascii="Arial" w:hAnsi="Arial" w:cs="Arial"/>
                <w:color w:val="auto"/>
                <w:sz w:val="20"/>
                <w:szCs w:val="20"/>
              </w:rPr>
              <w:t>12%</w:t>
            </w:r>
            <w:bookmarkEnd w:id="19"/>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20" w:name="_DV_C466"/>
            <w:r w:rsidRPr="00E0374A">
              <w:rPr>
                <w:rStyle w:val="DeltaViewInsertion"/>
                <w:rFonts w:ascii="Arial" w:hAnsi="Arial" w:cs="Arial"/>
                <w:color w:val="auto"/>
                <w:sz w:val="20"/>
                <w:szCs w:val="20"/>
              </w:rPr>
              <w:t>Arthralgia</w:t>
            </w:r>
            <w:bookmarkEnd w:id="20"/>
          </w:p>
        </w:tc>
        <w:tc>
          <w:tcPr>
            <w:tcW w:w="2160" w:type="dxa"/>
            <w:tcBorders>
              <w:top w:val="nil"/>
              <w:bottom w:val="nil"/>
              <w:right w:val="nil"/>
            </w:tcBorders>
          </w:tcPr>
          <w:p w:rsidR="00E0374A" w:rsidRPr="00E0374A" w:rsidRDefault="00412FDA" w:rsidP="00DE01A4">
            <w:pPr>
              <w:spacing w:before="40" w:after="40"/>
              <w:jc w:val="center"/>
              <w:rPr>
                <w:rStyle w:val="DeltaViewInsertion"/>
                <w:rFonts w:ascii="Arial" w:hAnsi="Arial" w:cs="Arial"/>
                <w:color w:val="auto"/>
                <w:sz w:val="20"/>
                <w:szCs w:val="20"/>
              </w:rPr>
            </w:pPr>
            <w:bookmarkStart w:id="21" w:name="_DV_C468"/>
            <w:r>
              <w:rPr>
                <w:rStyle w:val="DeltaViewInsertion"/>
                <w:rFonts w:ascii="Arial" w:hAnsi="Arial" w:cs="Arial"/>
                <w:color w:val="auto"/>
                <w:sz w:val="20"/>
                <w:szCs w:val="20"/>
              </w:rPr>
              <w:t>29 (</w:t>
            </w:r>
            <w:r w:rsidR="00E0374A" w:rsidRPr="00E0374A">
              <w:rPr>
                <w:rStyle w:val="DeltaViewInsertion"/>
                <w:rFonts w:ascii="Arial" w:hAnsi="Arial" w:cs="Arial"/>
                <w:color w:val="auto"/>
                <w:sz w:val="20"/>
                <w:szCs w:val="20"/>
              </w:rPr>
              <w:t>10%</w:t>
            </w:r>
            <w:bookmarkEnd w:id="21"/>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412FDA" w:rsidP="00DE01A4">
            <w:pPr>
              <w:spacing w:before="40" w:after="40"/>
              <w:jc w:val="center"/>
              <w:rPr>
                <w:rFonts w:ascii="Arial" w:hAnsi="Arial" w:cs="Arial"/>
                <w:sz w:val="20"/>
                <w:szCs w:val="20"/>
              </w:rPr>
            </w:pPr>
            <w:bookmarkStart w:id="22" w:name="_DV_C467"/>
            <w:r>
              <w:rPr>
                <w:rStyle w:val="DeltaViewInsertion"/>
                <w:rFonts w:ascii="Arial" w:hAnsi="Arial" w:cs="Arial"/>
                <w:color w:val="auto"/>
                <w:sz w:val="20"/>
                <w:szCs w:val="20"/>
              </w:rPr>
              <w:t>166 (</w:t>
            </w:r>
            <w:r w:rsidR="00E0374A" w:rsidRPr="00E0374A">
              <w:rPr>
                <w:rStyle w:val="DeltaViewInsertion"/>
                <w:rFonts w:ascii="Arial" w:hAnsi="Arial" w:cs="Arial"/>
                <w:color w:val="auto"/>
                <w:sz w:val="20"/>
                <w:szCs w:val="20"/>
              </w:rPr>
              <w:t>12%</w:t>
            </w:r>
            <w:bookmarkEnd w:id="22"/>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23" w:name="_DV_C469"/>
            <w:r w:rsidRPr="00E0374A">
              <w:rPr>
                <w:rStyle w:val="DeltaViewInsertion"/>
                <w:rFonts w:ascii="Arial" w:hAnsi="Arial" w:cs="Arial"/>
                <w:color w:val="auto"/>
                <w:sz w:val="20"/>
                <w:szCs w:val="20"/>
              </w:rPr>
              <w:t>Nausea</w:t>
            </w:r>
            <w:bookmarkEnd w:id="23"/>
          </w:p>
        </w:tc>
        <w:tc>
          <w:tcPr>
            <w:tcW w:w="2160" w:type="dxa"/>
            <w:tcBorders>
              <w:top w:val="nil"/>
              <w:bottom w:val="nil"/>
              <w:right w:val="nil"/>
            </w:tcBorders>
          </w:tcPr>
          <w:p w:rsidR="00E0374A" w:rsidRPr="00E0374A" w:rsidRDefault="00412FDA" w:rsidP="00DE01A4">
            <w:pPr>
              <w:spacing w:before="40" w:after="40"/>
              <w:jc w:val="center"/>
              <w:rPr>
                <w:rStyle w:val="DeltaViewInsertion"/>
                <w:rFonts w:ascii="Arial" w:hAnsi="Arial" w:cs="Arial"/>
                <w:color w:val="auto"/>
                <w:sz w:val="20"/>
                <w:szCs w:val="20"/>
              </w:rPr>
            </w:pPr>
            <w:bookmarkStart w:id="24" w:name="_DV_C471"/>
            <w:r>
              <w:rPr>
                <w:rStyle w:val="DeltaViewInsertion"/>
                <w:rFonts w:ascii="Arial" w:hAnsi="Arial" w:cs="Arial"/>
                <w:color w:val="auto"/>
                <w:sz w:val="20"/>
                <w:szCs w:val="20"/>
              </w:rPr>
              <w:t>23 (</w:t>
            </w:r>
            <w:r w:rsidR="00E0374A" w:rsidRPr="00E0374A">
              <w:rPr>
                <w:rStyle w:val="DeltaViewInsertion"/>
                <w:rFonts w:ascii="Arial" w:hAnsi="Arial" w:cs="Arial"/>
                <w:color w:val="auto"/>
                <w:sz w:val="20"/>
                <w:szCs w:val="20"/>
              </w:rPr>
              <w:t>8%</w:t>
            </w:r>
            <w:bookmarkEnd w:id="24"/>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B8064F" w:rsidP="00DE01A4">
            <w:pPr>
              <w:spacing w:before="40" w:after="40"/>
              <w:jc w:val="center"/>
              <w:rPr>
                <w:rFonts w:ascii="Arial" w:hAnsi="Arial" w:cs="Arial"/>
                <w:sz w:val="20"/>
                <w:szCs w:val="20"/>
              </w:rPr>
            </w:pPr>
            <w:bookmarkStart w:id="25" w:name="_DV_C470"/>
            <w:r>
              <w:rPr>
                <w:rStyle w:val="DeltaViewInsertion"/>
                <w:rFonts w:ascii="Arial" w:hAnsi="Arial" w:cs="Arial"/>
                <w:color w:val="auto"/>
                <w:sz w:val="20"/>
                <w:szCs w:val="20"/>
              </w:rPr>
              <w:t>128 (</w:t>
            </w:r>
            <w:r w:rsidR="00E0374A" w:rsidRPr="00E0374A">
              <w:rPr>
                <w:rStyle w:val="DeltaViewInsertion"/>
                <w:rFonts w:ascii="Arial" w:hAnsi="Arial" w:cs="Arial"/>
                <w:color w:val="auto"/>
                <w:sz w:val="20"/>
                <w:szCs w:val="20"/>
              </w:rPr>
              <w:t>9%</w:t>
            </w:r>
            <w:bookmarkEnd w:id="25"/>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26" w:name="_DV_C472"/>
            <w:r w:rsidRPr="00E0374A">
              <w:rPr>
                <w:rStyle w:val="DeltaViewInsertion"/>
                <w:rFonts w:ascii="Arial" w:hAnsi="Arial" w:cs="Arial"/>
                <w:color w:val="auto"/>
                <w:sz w:val="20"/>
                <w:szCs w:val="20"/>
              </w:rPr>
              <w:t>Pyrexia</w:t>
            </w:r>
            <w:bookmarkEnd w:id="26"/>
          </w:p>
        </w:tc>
        <w:tc>
          <w:tcPr>
            <w:tcW w:w="2160" w:type="dxa"/>
            <w:tcBorders>
              <w:top w:val="nil"/>
              <w:bottom w:val="nil"/>
              <w:right w:val="nil"/>
            </w:tcBorders>
          </w:tcPr>
          <w:p w:rsidR="00E0374A" w:rsidRPr="00E0374A" w:rsidRDefault="00B8064F" w:rsidP="00DE01A4">
            <w:pPr>
              <w:spacing w:before="40" w:after="40"/>
              <w:jc w:val="center"/>
              <w:rPr>
                <w:rStyle w:val="DeltaViewInsertion"/>
                <w:rFonts w:ascii="Arial" w:hAnsi="Arial" w:cs="Arial"/>
                <w:color w:val="auto"/>
                <w:sz w:val="20"/>
                <w:szCs w:val="20"/>
              </w:rPr>
            </w:pPr>
            <w:bookmarkStart w:id="27" w:name="_DV_C474"/>
            <w:r>
              <w:rPr>
                <w:rStyle w:val="DeltaViewInsertion"/>
                <w:rFonts w:ascii="Arial" w:hAnsi="Arial" w:cs="Arial"/>
                <w:color w:val="auto"/>
                <w:sz w:val="20"/>
                <w:szCs w:val="20"/>
              </w:rPr>
              <w:t>22 (</w:t>
            </w:r>
            <w:r w:rsidR="00E0374A" w:rsidRPr="00E0374A">
              <w:rPr>
                <w:rStyle w:val="DeltaViewInsertion"/>
                <w:rFonts w:ascii="Arial" w:hAnsi="Arial" w:cs="Arial"/>
                <w:color w:val="auto"/>
                <w:sz w:val="20"/>
                <w:szCs w:val="20"/>
              </w:rPr>
              <w:t>7%</w:t>
            </w:r>
            <w:bookmarkEnd w:id="27"/>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B8064F" w:rsidP="00DE01A4">
            <w:pPr>
              <w:spacing w:before="40" w:after="40"/>
              <w:jc w:val="center"/>
              <w:rPr>
                <w:rFonts w:ascii="Arial" w:hAnsi="Arial" w:cs="Arial"/>
                <w:sz w:val="20"/>
                <w:szCs w:val="20"/>
              </w:rPr>
            </w:pPr>
            <w:bookmarkStart w:id="28" w:name="_DV_C473"/>
            <w:r>
              <w:rPr>
                <w:rStyle w:val="DeltaViewInsertion"/>
                <w:rFonts w:ascii="Arial" w:hAnsi="Arial" w:cs="Arial"/>
                <w:color w:val="auto"/>
                <w:sz w:val="20"/>
                <w:szCs w:val="20"/>
              </w:rPr>
              <w:t>127 (</w:t>
            </w:r>
            <w:r w:rsidR="00E0374A" w:rsidRPr="00E0374A">
              <w:rPr>
                <w:rStyle w:val="DeltaViewInsertion"/>
                <w:rFonts w:ascii="Arial" w:hAnsi="Arial" w:cs="Arial"/>
                <w:color w:val="auto"/>
                <w:sz w:val="20"/>
                <w:szCs w:val="20"/>
              </w:rPr>
              <w:t>9%</w:t>
            </w:r>
            <w:bookmarkEnd w:id="28"/>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29" w:name="_DV_C475"/>
            <w:r w:rsidRPr="00E0374A">
              <w:rPr>
                <w:rStyle w:val="DeltaViewInsertion"/>
                <w:rFonts w:ascii="Arial" w:hAnsi="Arial" w:cs="Arial"/>
                <w:color w:val="auto"/>
                <w:sz w:val="20"/>
                <w:szCs w:val="20"/>
              </w:rPr>
              <w:t xml:space="preserve">Upper respiratory tract infection </w:t>
            </w:r>
            <w:bookmarkEnd w:id="29"/>
          </w:p>
        </w:tc>
        <w:tc>
          <w:tcPr>
            <w:tcW w:w="2160" w:type="dxa"/>
            <w:tcBorders>
              <w:top w:val="nil"/>
              <w:bottom w:val="nil"/>
              <w:right w:val="nil"/>
            </w:tcBorders>
          </w:tcPr>
          <w:p w:rsidR="00E0374A" w:rsidRPr="00E0374A" w:rsidRDefault="00C92044" w:rsidP="00DE01A4">
            <w:pPr>
              <w:spacing w:before="40" w:after="40"/>
              <w:jc w:val="center"/>
              <w:rPr>
                <w:rStyle w:val="DeltaViewInsertion"/>
                <w:rFonts w:ascii="Arial" w:hAnsi="Arial" w:cs="Arial"/>
                <w:color w:val="auto"/>
                <w:sz w:val="20"/>
                <w:szCs w:val="20"/>
              </w:rPr>
            </w:pPr>
            <w:bookmarkStart w:id="30" w:name="_DV_C477"/>
            <w:r>
              <w:rPr>
                <w:rStyle w:val="DeltaViewInsertion"/>
                <w:rFonts w:ascii="Arial" w:hAnsi="Arial" w:cs="Arial"/>
                <w:color w:val="auto"/>
                <w:sz w:val="20"/>
                <w:szCs w:val="20"/>
              </w:rPr>
              <w:t>19 (</w:t>
            </w:r>
            <w:r w:rsidR="00E0374A" w:rsidRPr="00E0374A">
              <w:rPr>
                <w:rStyle w:val="DeltaViewInsertion"/>
                <w:rFonts w:ascii="Arial" w:hAnsi="Arial" w:cs="Arial"/>
                <w:color w:val="auto"/>
                <w:sz w:val="20"/>
                <w:szCs w:val="20"/>
              </w:rPr>
              <w:t>6%</w:t>
            </w:r>
            <w:bookmarkEnd w:id="30"/>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C92044" w:rsidP="00DE01A4">
            <w:pPr>
              <w:spacing w:before="40" w:after="40"/>
              <w:jc w:val="center"/>
              <w:rPr>
                <w:rFonts w:ascii="Arial" w:hAnsi="Arial" w:cs="Arial"/>
                <w:sz w:val="20"/>
                <w:szCs w:val="20"/>
              </w:rPr>
            </w:pPr>
            <w:bookmarkStart w:id="31" w:name="_DV_C476"/>
            <w:r>
              <w:rPr>
                <w:rStyle w:val="DeltaViewInsertion"/>
                <w:rFonts w:ascii="Arial" w:hAnsi="Arial" w:cs="Arial"/>
                <w:color w:val="auto"/>
                <w:sz w:val="20"/>
                <w:szCs w:val="20"/>
              </w:rPr>
              <w:t>106 (</w:t>
            </w:r>
            <w:r w:rsidR="00E0374A" w:rsidRPr="00E0374A">
              <w:rPr>
                <w:rStyle w:val="DeltaViewInsertion"/>
                <w:rFonts w:ascii="Arial" w:hAnsi="Arial" w:cs="Arial"/>
                <w:color w:val="auto"/>
                <w:sz w:val="20"/>
                <w:szCs w:val="20"/>
              </w:rPr>
              <w:t>7%</w:t>
            </w:r>
            <w:bookmarkEnd w:id="31"/>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32" w:name="_DV_C478"/>
            <w:r w:rsidRPr="00E0374A">
              <w:rPr>
                <w:rStyle w:val="DeltaViewInsertion"/>
                <w:rFonts w:ascii="Arial" w:hAnsi="Arial" w:cs="Arial"/>
                <w:color w:val="auto"/>
                <w:sz w:val="20"/>
                <w:szCs w:val="20"/>
              </w:rPr>
              <w:t>Fatigue</w:t>
            </w:r>
            <w:bookmarkEnd w:id="32"/>
          </w:p>
        </w:tc>
        <w:tc>
          <w:tcPr>
            <w:tcW w:w="2160" w:type="dxa"/>
            <w:tcBorders>
              <w:top w:val="nil"/>
              <w:bottom w:val="nil"/>
              <w:right w:val="nil"/>
            </w:tcBorders>
          </w:tcPr>
          <w:p w:rsidR="00E0374A" w:rsidRPr="00E0374A" w:rsidRDefault="00611FD6" w:rsidP="00DE01A4">
            <w:pPr>
              <w:spacing w:before="40" w:after="40"/>
              <w:jc w:val="center"/>
              <w:rPr>
                <w:rStyle w:val="DeltaViewInsertion"/>
                <w:rFonts w:ascii="Arial" w:hAnsi="Arial" w:cs="Arial"/>
                <w:color w:val="auto"/>
                <w:sz w:val="20"/>
                <w:szCs w:val="20"/>
              </w:rPr>
            </w:pPr>
            <w:bookmarkStart w:id="33" w:name="_DV_C480"/>
            <w:r>
              <w:rPr>
                <w:rStyle w:val="DeltaViewInsertion"/>
                <w:rFonts w:ascii="Arial" w:hAnsi="Arial" w:cs="Arial"/>
                <w:color w:val="auto"/>
                <w:sz w:val="20"/>
                <w:szCs w:val="20"/>
              </w:rPr>
              <w:t>10 (</w:t>
            </w:r>
            <w:r w:rsidR="00E0374A" w:rsidRPr="00E0374A">
              <w:rPr>
                <w:rStyle w:val="DeltaViewInsertion"/>
                <w:rFonts w:ascii="Arial" w:hAnsi="Arial" w:cs="Arial"/>
                <w:color w:val="auto"/>
                <w:sz w:val="20"/>
                <w:szCs w:val="20"/>
              </w:rPr>
              <w:t>3%</w:t>
            </w:r>
            <w:bookmarkEnd w:id="33"/>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611FD6" w:rsidP="00DE01A4">
            <w:pPr>
              <w:spacing w:before="40" w:after="40"/>
              <w:jc w:val="center"/>
              <w:rPr>
                <w:rFonts w:ascii="Arial" w:hAnsi="Arial" w:cs="Arial"/>
                <w:sz w:val="20"/>
                <w:szCs w:val="20"/>
              </w:rPr>
            </w:pPr>
            <w:bookmarkStart w:id="34" w:name="_DV_C479"/>
            <w:r>
              <w:rPr>
                <w:rStyle w:val="DeltaViewInsertion"/>
                <w:rFonts w:ascii="Arial" w:hAnsi="Arial" w:cs="Arial"/>
                <w:color w:val="auto"/>
                <w:sz w:val="20"/>
                <w:szCs w:val="20"/>
              </w:rPr>
              <w:t>86 (</w:t>
            </w:r>
            <w:r w:rsidR="00E0374A" w:rsidRPr="00E0374A">
              <w:rPr>
                <w:rStyle w:val="DeltaViewInsertion"/>
                <w:rFonts w:ascii="Arial" w:hAnsi="Arial" w:cs="Arial"/>
                <w:color w:val="auto"/>
                <w:sz w:val="20"/>
                <w:szCs w:val="20"/>
              </w:rPr>
              <w:t>6%</w:t>
            </w:r>
            <w:bookmarkEnd w:id="34"/>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35" w:name="_DV_C481"/>
            <w:r w:rsidRPr="00E0374A">
              <w:rPr>
                <w:rStyle w:val="DeltaViewInsertion"/>
                <w:rFonts w:ascii="Arial" w:hAnsi="Arial" w:cs="Arial"/>
                <w:color w:val="auto"/>
                <w:sz w:val="20"/>
                <w:szCs w:val="20"/>
              </w:rPr>
              <w:t>Cough</w:t>
            </w:r>
            <w:bookmarkEnd w:id="35"/>
          </w:p>
        </w:tc>
        <w:tc>
          <w:tcPr>
            <w:tcW w:w="2160" w:type="dxa"/>
            <w:tcBorders>
              <w:top w:val="nil"/>
              <w:bottom w:val="nil"/>
              <w:right w:val="nil"/>
            </w:tcBorders>
          </w:tcPr>
          <w:p w:rsidR="00E0374A" w:rsidRPr="00E0374A" w:rsidRDefault="00611FD6" w:rsidP="00DE01A4">
            <w:pPr>
              <w:spacing w:before="40" w:after="40"/>
              <w:jc w:val="center"/>
              <w:rPr>
                <w:rStyle w:val="DeltaViewInsertion"/>
                <w:rFonts w:ascii="Arial" w:hAnsi="Arial" w:cs="Arial"/>
                <w:color w:val="auto"/>
                <w:sz w:val="20"/>
                <w:szCs w:val="20"/>
              </w:rPr>
            </w:pPr>
            <w:bookmarkStart w:id="36" w:name="_DV_C483"/>
            <w:r>
              <w:rPr>
                <w:rStyle w:val="DeltaViewInsertion"/>
                <w:rFonts w:ascii="Arial" w:hAnsi="Arial" w:cs="Arial"/>
                <w:color w:val="auto"/>
                <w:sz w:val="20"/>
                <w:szCs w:val="20"/>
              </w:rPr>
              <w:t>10 (</w:t>
            </w:r>
            <w:r w:rsidR="00E0374A" w:rsidRPr="00E0374A">
              <w:rPr>
                <w:rStyle w:val="DeltaViewInsertion"/>
                <w:rFonts w:ascii="Arial" w:hAnsi="Arial" w:cs="Arial"/>
                <w:color w:val="auto"/>
                <w:sz w:val="20"/>
                <w:szCs w:val="20"/>
              </w:rPr>
              <w:t>3%</w:t>
            </w:r>
            <w:bookmarkEnd w:id="36"/>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611FD6" w:rsidP="00DE01A4">
            <w:pPr>
              <w:spacing w:before="40" w:after="40"/>
              <w:jc w:val="center"/>
              <w:rPr>
                <w:rFonts w:ascii="Arial" w:hAnsi="Arial" w:cs="Arial"/>
                <w:sz w:val="20"/>
                <w:szCs w:val="20"/>
              </w:rPr>
            </w:pPr>
            <w:bookmarkStart w:id="37" w:name="_DV_C482"/>
            <w:r>
              <w:rPr>
                <w:rStyle w:val="DeltaViewInsertion"/>
                <w:rFonts w:ascii="Arial" w:hAnsi="Arial" w:cs="Arial"/>
                <w:color w:val="auto"/>
                <w:sz w:val="20"/>
                <w:szCs w:val="20"/>
              </w:rPr>
              <w:t>70 (</w:t>
            </w:r>
            <w:r w:rsidR="00E0374A" w:rsidRPr="00E0374A">
              <w:rPr>
                <w:rStyle w:val="DeltaViewInsertion"/>
                <w:rFonts w:ascii="Arial" w:hAnsi="Arial" w:cs="Arial"/>
                <w:color w:val="auto"/>
                <w:sz w:val="20"/>
                <w:szCs w:val="20"/>
              </w:rPr>
              <w:t>5%</w:t>
            </w:r>
            <w:bookmarkEnd w:id="37"/>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38" w:name="_DV_C484"/>
            <w:r w:rsidRPr="00E0374A">
              <w:rPr>
                <w:rStyle w:val="DeltaViewInsertion"/>
                <w:rFonts w:ascii="Arial" w:hAnsi="Arial" w:cs="Arial"/>
                <w:color w:val="auto"/>
                <w:sz w:val="20"/>
                <w:szCs w:val="20"/>
              </w:rPr>
              <w:t>Bronchitis</w:t>
            </w:r>
            <w:bookmarkEnd w:id="38"/>
          </w:p>
        </w:tc>
        <w:tc>
          <w:tcPr>
            <w:tcW w:w="2160" w:type="dxa"/>
            <w:tcBorders>
              <w:top w:val="nil"/>
              <w:bottom w:val="nil"/>
              <w:right w:val="nil"/>
            </w:tcBorders>
          </w:tcPr>
          <w:p w:rsidR="00E0374A" w:rsidRPr="00E0374A" w:rsidRDefault="00611FD6" w:rsidP="00DE01A4">
            <w:pPr>
              <w:spacing w:before="40" w:after="40"/>
              <w:jc w:val="center"/>
              <w:rPr>
                <w:rStyle w:val="DeltaViewInsertion"/>
                <w:rFonts w:ascii="Arial" w:hAnsi="Arial" w:cs="Arial"/>
                <w:color w:val="auto"/>
                <w:sz w:val="20"/>
                <w:szCs w:val="20"/>
              </w:rPr>
            </w:pPr>
            <w:bookmarkStart w:id="39" w:name="_DV_C486"/>
            <w:r>
              <w:rPr>
                <w:rStyle w:val="DeltaViewInsertion"/>
                <w:rFonts w:ascii="Arial" w:hAnsi="Arial" w:cs="Arial"/>
                <w:color w:val="auto"/>
                <w:sz w:val="20"/>
                <w:szCs w:val="20"/>
              </w:rPr>
              <w:t>10 (</w:t>
            </w:r>
            <w:r w:rsidR="00E0374A" w:rsidRPr="00E0374A">
              <w:rPr>
                <w:rStyle w:val="DeltaViewInsertion"/>
                <w:rFonts w:ascii="Arial" w:hAnsi="Arial" w:cs="Arial"/>
                <w:color w:val="auto"/>
                <w:sz w:val="20"/>
                <w:szCs w:val="20"/>
              </w:rPr>
              <w:t>3%</w:t>
            </w:r>
            <w:bookmarkEnd w:id="39"/>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611FD6" w:rsidP="00DE01A4">
            <w:pPr>
              <w:spacing w:before="40" w:after="40"/>
              <w:jc w:val="center"/>
              <w:rPr>
                <w:rFonts w:ascii="Arial" w:hAnsi="Arial" w:cs="Arial"/>
                <w:sz w:val="20"/>
                <w:szCs w:val="20"/>
              </w:rPr>
            </w:pPr>
            <w:bookmarkStart w:id="40" w:name="_DV_C485"/>
            <w:r>
              <w:rPr>
                <w:rStyle w:val="DeltaViewInsertion"/>
                <w:rFonts w:ascii="Arial" w:hAnsi="Arial" w:cs="Arial"/>
                <w:color w:val="auto"/>
                <w:sz w:val="20"/>
                <w:szCs w:val="20"/>
              </w:rPr>
              <w:t>57 (</w:t>
            </w:r>
            <w:r w:rsidR="00E0374A" w:rsidRPr="00E0374A">
              <w:rPr>
                <w:rStyle w:val="DeltaViewInsertion"/>
                <w:rFonts w:ascii="Arial" w:hAnsi="Arial" w:cs="Arial"/>
                <w:color w:val="auto"/>
                <w:sz w:val="20"/>
                <w:szCs w:val="20"/>
              </w:rPr>
              <w:t>4%</w:t>
            </w:r>
            <w:bookmarkEnd w:id="40"/>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41" w:name="_DV_C487"/>
            <w:r w:rsidRPr="00E0374A">
              <w:rPr>
                <w:rStyle w:val="DeltaViewInsertion"/>
                <w:rFonts w:ascii="Arial" w:hAnsi="Arial" w:cs="Arial"/>
                <w:color w:val="auto"/>
                <w:sz w:val="20"/>
                <w:szCs w:val="20"/>
              </w:rPr>
              <w:t>Influenza</w:t>
            </w:r>
            <w:bookmarkEnd w:id="41"/>
          </w:p>
        </w:tc>
        <w:tc>
          <w:tcPr>
            <w:tcW w:w="2160" w:type="dxa"/>
            <w:tcBorders>
              <w:top w:val="nil"/>
              <w:bottom w:val="nil"/>
              <w:right w:val="nil"/>
            </w:tcBorders>
          </w:tcPr>
          <w:p w:rsidR="00E0374A" w:rsidRPr="00E0374A" w:rsidRDefault="00AE3072" w:rsidP="00DE01A4">
            <w:pPr>
              <w:spacing w:before="40" w:after="40"/>
              <w:jc w:val="center"/>
              <w:rPr>
                <w:rStyle w:val="DeltaViewInsertion"/>
                <w:rFonts w:ascii="Arial" w:hAnsi="Arial" w:cs="Arial"/>
                <w:color w:val="auto"/>
                <w:sz w:val="20"/>
                <w:szCs w:val="20"/>
              </w:rPr>
            </w:pPr>
            <w:bookmarkStart w:id="42" w:name="_DV_C489"/>
            <w:r>
              <w:rPr>
                <w:rStyle w:val="DeltaViewInsertion"/>
                <w:rFonts w:ascii="Arial" w:hAnsi="Arial" w:cs="Arial"/>
                <w:color w:val="auto"/>
                <w:sz w:val="20"/>
                <w:szCs w:val="20"/>
              </w:rPr>
              <w:t>5 (</w:t>
            </w:r>
            <w:r w:rsidR="00E0374A" w:rsidRPr="00E0374A">
              <w:rPr>
                <w:rStyle w:val="DeltaViewInsertion"/>
                <w:rFonts w:ascii="Arial" w:hAnsi="Arial" w:cs="Arial"/>
                <w:color w:val="auto"/>
                <w:sz w:val="20"/>
                <w:szCs w:val="20"/>
              </w:rPr>
              <w:t>2%</w:t>
            </w:r>
            <w:bookmarkEnd w:id="42"/>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AE3072" w:rsidP="00DE01A4">
            <w:pPr>
              <w:spacing w:before="40" w:after="40"/>
              <w:jc w:val="center"/>
              <w:rPr>
                <w:rFonts w:ascii="Arial" w:hAnsi="Arial" w:cs="Arial"/>
                <w:sz w:val="20"/>
                <w:szCs w:val="20"/>
              </w:rPr>
            </w:pPr>
            <w:bookmarkStart w:id="43" w:name="_DV_C488"/>
            <w:r>
              <w:rPr>
                <w:rStyle w:val="DeltaViewInsertion"/>
                <w:rFonts w:ascii="Arial" w:hAnsi="Arial" w:cs="Arial"/>
                <w:color w:val="auto"/>
                <w:sz w:val="20"/>
                <w:szCs w:val="20"/>
              </w:rPr>
              <w:t>51 (</w:t>
            </w:r>
            <w:r w:rsidR="00E0374A" w:rsidRPr="00E0374A">
              <w:rPr>
                <w:rStyle w:val="DeltaViewInsertion"/>
                <w:rFonts w:ascii="Arial" w:hAnsi="Arial" w:cs="Arial"/>
                <w:color w:val="auto"/>
                <w:sz w:val="20"/>
                <w:szCs w:val="20"/>
              </w:rPr>
              <w:t>4%</w:t>
            </w:r>
            <w:bookmarkEnd w:id="43"/>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44" w:name="_DV_C490"/>
            <w:r w:rsidRPr="00E0374A">
              <w:rPr>
                <w:rStyle w:val="DeltaViewInsertion"/>
                <w:rFonts w:ascii="Arial" w:hAnsi="Arial" w:cs="Arial"/>
                <w:color w:val="auto"/>
                <w:sz w:val="20"/>
                <w:szCs w:val="20"/>
              </w:rPr>
              <w:t>Back pain</w:t>
            </w:r>
            <w:bookmarkEnd w:id="44"/>
          </w:p>
        </w:tc>
        <w:tc>
          <w:tcPr>
            <w:tcW w:w="2160" w:type="dxa"/>
            <w:tcBorders>
              <w:top w:val="nil"/>
              <w:bottom w:val="nil"/>
              <w:right w:val="nil"/>
            </w:tcBorders>
          </w:tcPr>
          <w:p w:rsidR="00E0374A" w:rsidRPr="00E0374A" w:rsidRDefault="00AE3072" w:rsidP="00DE01A4">
            <w:pPr>
              <w:spacing w:before="40" w:after="40"/>
              <w:jc w:val="center"/>
              <w:rPr>
                <w:rStyle w:val="DeltaViewInsertion"/>
                <w:rFonts w:ascii="Arial" w:hAnsi="Arial" w:cs="Arial"/>
                <w:color w:val="auto"/>
                <w:sz w:val="20"/>
                <w:szCs w:val="20"/>
              </w:rPr>
            </w:pPr>
            <w:bookmarkStart w:id="45" w:name="_DV_C492"/>
            <w:r>
              <w:rPr>
                <w:rStyle w:val="DeltaViewInsertion"/>
                <w:rFonts w:ascii="Arial" w:hAnsi="Arial" w:cs="Arial"/>
                <w:color w:val="auto"/>
                <w:sz w:val="20"/>
                <w:szCs w:val="20"/>
              </w:rPr>
              <w:t>10 (</w:t>
            </w:r>
            <w:r w:rsidR="00E0374A" w:rsidRPr="00E0374A">
              <w:rPr>
                <w:rStyle w:val="DeltaViewInsertion"/>
                <w:rFonts w:ascii="Arial" w:hAnsi="Arial" w:cs="Arial"/>
                <w:color w:val="auto"/>
                <w:sz w:val="20"/>
                <w:szCs w:val="20"/>
              </w:rPr>
              <w:t>3%</w:t>
            </w:r>
            <w:bookmarkEnd w:id="45"/>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AE3072" w:rsidP="00DE01A4">
            <w:pPr>
              <w:spacing w:before="40" w:after="40"/>
              <w:jc w:val="center"/>
              <w:rPr>
                <w:rFonts w:ascii="Arial" w:hAnsi="Arial" w:cs="Arial"/>
                <w:sz w:val="20"/>
                <w:szCs w:val="20"/>
              </w:rPr>
            </w:pPr>
            <w:bookmarkStart w:id="46" w:name="_DV_C491"/>
            <w:r>
              <w:rPr>
                <w:rStyle w:val="DeltaViewInsertion"/>
                <w:rFonts w:ascii="Arial" w:hAnsi="Arial" w:cs="Arial"/>
                <w:color w:val="auto"/>
                <w:sz w:val="20"/>
                <w:szCs w:val="20"/>
              </w:rPr>
              <w:t>62 (</w:t>
            </w:r>
            <w:r w:rsidR="00E0374A" w:rsidRPr="00E0374A">
              <w:rPr>
                <w:rStyle w:val="DeltaViewInsertion"/>
                <w:rFonts w:ascii="Arial" w:hAnsi="Arial" w:cs="Arial"/>
                <w:color w:val="auto"/>
                <w:sz w:val="20"/>
                <w:szCs w:val="20"/>
              </w:rPr>
              <w:t>4%</w:t>
            </w:r>
            <w:bookmarkEnd w:id="46"/>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47" w:name="_DV_C493"/>
            <w:r w:rsidRPr="00E0374A">
              <w:rPr>
                <w:rStyle w:val="DeltaViewInsertion"/>
                <w:rFonts w:ascii="Arial" w:hAnsi="Arial" w:cs="Arial"/>
                <w:color w:val="auto"/>
                <w:sz w:val="20"/>
                <w:szCs w:val="20"/>
              </w:rPr>
              <w:t>Rash</w:t>
            </w:r>
            <w:bookmarkEnd w:id="47"/>
          </w:p>
        </w:tc>
        <w:tc>
          <w:tcPr>
            <w:tcW w:w="2160" w:type="dxa"/>
            <w:tcBorders>
              <w:top w:val="nil"/>
              <w:bottom w:val="nil"/>
              <w:right w:val="nil"/>
            </w:tcBorders>
          </w:tcPr>
          <w:p w:rsidR="00E0374A" w:rsidRPr="00E0374A" w:rsidRDefault="00AE3072" w:rsidP="00DE01A4">
            <w:pPr>
              <w:spacing w:before="40" w:after="40"/>
              <w:jc w:val="center"/>
              <w:rPr>
                <w:rStyle w:val="DeltaViewInsertion"/>
                <w:rFonts w:ascii="Arial" w:hAnsi="Arial" w:cs="Arial"/>
                <w:color w:val="auto"/>
                <w:sz w:val="20"/>
                <w:szCs w:val="20"/>
              </w:rPr>
            </w:pPr>
            <w:bookmarkStart w:id="48" w:name="_DV_C495"/>
            <w:r>
              <w:rPr>
                <w:rStyle w:val="DeltaViewInsertion"/>
                <w:rFonts w:ascii="Arial" w:hAnsi="Arial" w:cs="Arial"/>
                <w:color w:val="auto"/>
                <w:sz w:val="20"/>
                <w:szCs w:val="20"/>
              </w:rPr>
              <w:t>6 (</w:t>
            </w:r>
            <w:r w:rsidR="00E0374A" w:rsidRPr="00E0374A">
              <w:rPr>
                <w:rStyle w:val="DeltaViewInsertion"/>
                <w:rFonts w:ascii="Arial" w:hAnsi="Arial" w:cs="Arial"/>
                <w:color w:val="auto"/>
                <w:sz w:val="20"/>
                <w:szCs w:val="20"/>
              </w:rPr>
              <w:t>2%</w:t>
            </w:r>
            <w:bookmarkEnd w:id="48"/>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AE3072" w:rsidP="00DE01A4">
            <w:pPr>
              <w:spacing w:before="40" w:after="40"/>
              <w:jc w:val="center"/>
              <w:rPr>
                <w:rFonts w:ascii="Arial" w:hAnsi="Arial" w:cs="Arial"/>
                <w:sz w:val="20"/>
                <w:szCs w:val="20"/>
              </w:rPr>
            </w:pPr>
            <w:bookmarkStart w:id="49" w:name="_DV_C494"/>
            <w:r>
              <w:rPr>
                <w:rStyle w:val="DeltaViewInsertion"/>
                <w:rFonts w:ascii="Arial" w:hAnsi="Arial" w:cs="Arial"/>
                <w:color w:val="auto"/>
                <w:sz w:val="20"/>
                <w:szCs w:val="20"/>
              </w:rPr>
              <w:t>42 (</w:t>
            </w:r>
            <w:r w:rsidR="00E0374A" w:rsidRPr="00E0374A">
              <w:rPr>
                <w:rStyle w:val="DeltaViewInsertion"/>
                <w:rFonts w:ascii="Arial" w:hAnsi="Arial" w:cs="Arial"/>
                <w:color w:val="auto"/>
                <w:sz w:val="20"/>
                <w:szCs w:val="20"/>
              </w:rPr>
              <w:t>3%</w:t>
            </w:r>
            <w:bookmarkEnd w:id="49"/>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50" w:name="_DV_C496"/>
            <w:r w:rsidRPr="00E0374A">
              <w:rPr>
                <w:rStyle w:val="DeltaViewInsertion"/>
                <w:rFonts w:ascii="Arial" w:hAnsi="Arial" w:cs="Arial"/>
                <w:color w:val="auto"/>
                <w:sz w:val="20"/>
                <w:szCs w:val="20"/>
              </w:rPr>
              <w:t>Pruritus</w:t>
            </w:r>
            <w:bookmarkEnd w:id="50"/>
          </w:p>
        </w:tc>
        <w:tc>
          <w:tcPr>
            <w:tcW w:w="2160" w:type="dxa"/>
            <w:tcBorders>
              <w:top w:val="nil"/>
              <w:bottom w:val="nil"/>
              <w:right w:val="nil"/>
            </w:tcBorders>
          </w:tcPr>
          <w:p w:rsidR="00E0374A" w:rsidRPr="00E0374A" w:rsidRDefault="00AE3072" w:rsidP="00DE01A4">
            <w:pPr>
              <w:spacing w:before="40" w:after="40"/>
              <w:jc w:val="center"/>
              <w:rPr>
                <w:rStyle w:val="DeltaViewInsertion"/>
                <w:rFonts w:ascii="Arial" w:hAnsi="Arial" w:cs="Arial"/>
                <w:color w:val="auto"/>
                <w:sz w:val="20"/>
                <w:szCs w:val="20"/>
              </w:rPr>
            </w:pPr>
            <w:bookmarkStart w:id="51" w:name="_DV_C498"/>
            <w:r>
              <w:rPr>
                <w:rStyle w:val="DeltaViewInsertion"/>
                <w:rFonts w:ascii="Arial" w:hAnsi="Arial" w:cs="Arial"/>
                <w:color w:val="auto"/>
                <w:sz w:val="20"/>
                <w:szCs w:val="20"/>
              </w:rPr>
              <w:t>4 (</w:t>
            </w:r>
            <w:r w:rsidR="00E0374A" w:rsidRPr="00E0374A">
              <w:rPr>
                <w:rStyle w:val="DeltaViewInsertion"/>
                <w:rFonts w:ascii="Arial" w:hAnsi="Arial" w:cs="Arial"/>
                <w:color w:val="auto"/>
                <w:sz w:val="20"/>
                <w:szCs w:val="20"/>
              </w:rPr>
              <w:t>1%</w:t>
            </w:r>
            <w:bookmarkEnd w:id="51"/>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AE3072" w:rsidP="00DE01A4">
            <w:pPr>
              <w:spacing w:before="40" w:after="40"/>
              <w:jc w:val="center"/>
              <w:rPr>
                <w:rFonts w:ascii="Arial" w:hAnsi="Arial" w:cs="Arial"/>
                <w:sz w:val="20"/>
                <w:szCs w:val="20"/>
              </w:rPr>
            </w:pPr>
            <w:bookmarkStart w:id="52" w:name="_DV_C497"/>
            <w:r>
              <w:rPr>
                <w:rStyle w:val="DeltaViewInsertion"/>
                <w:rFonts w:ascii="Arial" w:hAnsi="Arial" w:cs="Arial"/>
                <w:color w:val="auto"/>
                <w:sz w:val="20"/>
                <w:szCs w:val="20"/>
              </w:rPr>
              <w:t>39 (</w:t>
            </w:r>
            <w:r w:rsidR="00E0374A" w:rsidRPr="00E0374A">
              <w:rPr>
                <w:rStyle w:val="DeltaViewInsertion"/>
                <w:rFonts w:ascii="Arial" w:hAnsi="Arial" w:cs="Arial"/>
                <w:color w:val="auto"/>
                <w:sz w:val="20"/>
                <w:szCs w:val="20"/>
              </w:rPr>
              <w:t>3%</w:t>
            </w:r>
            <w:bookmarkEnd w:id="52"/>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53" w:name="_DV_C499"/>
            <w:r w:rsidRPr="00E0374A">
              <w:rPr>
                <w:rStyle w:val="DeltaViewInsertion"/>
                <w:rFonts w:ascii="Arial" w:hAnsi="Arial" w:cs="Arial"/>
                <w:color w:val="auto"/>
                <w:sz w:val="20"/>
                <w:szCs w:val="20"/>
              </w:rPr>
              <w:t>Sinusitis</w:t>
            </w:r>
            <w:bookmarkEnd w:id="53"/>
          </w:p>
        </w:tc>
        <w:tc>
          <w:tcPr>
            <w:tcW w:w="2160" w:type="dxa"/>
            <w:tcBorders>
              <w:top w:val="nil"/>
              <w:bottom w:val="nil"/>
              <w:right w:val="nil"/>
            </w:tcBorders>
          </w:tcPr>
          <w:p w:rsidR="00E0374A" w:rsidRPr="00E0374A" w:rsidRDefault="00AE3072" w:rsidP="00DE01A4">
            <w:pPr>
              <w:spacing w:before="40" w:after="40"/>
              <w:jc w:val="center"/>
              <w:rPr>
                <w:rStyle w:val="DeltaViewInsertion"/>
                <w:rFonts w:ascii="Arial" w:hAnsi="Arial" w:cs="Arial"/>
                <w:color w:val="auto"/>
                <w:sz w:val="20"/>
                <w:szCs w:val="20"/>
              </w:rPr>
            </w:pPr>
            <w:bookmarkStart w:id="54" w:name="_DV_C501"/>
            <w:r>
              <w:rPr>
                <w:rStyle w:val="DeltaViewInsertion"/>
                <w:rFonts w:ascii="Arial" w:hAnsi="Arial" w:cs="Arial"/>
                <w:color w:val="auto"/>
                <w:sz w:val="20"/>
                <w:szCs w:val="20"/>
              </w:rPr>
              <w:t>3 (</w:t>
            </w:r>
            <w:r w:rsidR="00E0374A" w:rsidRPr="00E0374A">
              <w:rPr>
                <w:rStyle w:val="DeltaViewInsertion"/>
                <w:rFonts w:ascii="Arial" w:hAnsi="Arial" w:cs="Arial"/>
                <w:color w:val="auto"/>
                <w:sz w:val="20"/>
                <w:szCs w:val="20"/>
              </w:rPr>
              <w:t>1%</w:t>
            </w:r>
            <w:bookmarkEnd w:id="54"/>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AE3072" w:rsidP="00DE01A4">
            <w:pPr>
              <w:spacing w:before="40" w:after="40"/>
              <w:jc w:val="center"/>
              <w:rPr>
                <w:rFonts w:ascii="Arial" w:hAnsi="Arial" w:cs="Arial"/>
                <w:sz w:val="20"/>
                <w:szCs w:val="20"/>
              </w:rPr>
            </w:pPr>
            <w:bookmarkStart w:id="55" w:name="_DV_C500"/>
            <w:r>
              <w:rPr>
                <w:rStyle w:val="DeltaViewInsertion"/>
                <w:rFonts w:ascii="Arial" w:hAnsi="Arial" w:cs="Arial"/>
                <w:color w:val="auto"/>
                <w:sz w:val="20"/>
                <w:szCs w:val="20"/>
              </w:rPr>
              <w:t>44 (</w:t>
            </w:r>
            <w:r w:rsidR="00E0374A" w:rsidRPr="00E0374A">
              <w:rPr>
                <w:rStyle w:val="DeltaViewInsertion"/>
                <w:rFonts w:ascii="Arial" w:hAnsi="Arial" w:cs="Arial"/>
                <w:color w:val="auto"/>
                <w:sz w:val="20"/>
                <w:szCs w:val="20"/>
              </w:rPr>
              <w:t>3%</w:t>
            </w:r>
            <w:bookmarkEnd w:id="55"/>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nil"/>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56" w:name="_DV_C502"/>
            <w:r w:rsidRPr="00E0374A">
              <w:rPr>
                <w:rStyle w:val="DeltaViewInsertion"/>
                <w:rFonts w:ascii="Arial" w:hAnsi="Arial" w:cs="Arial"/>
                <w:color w:val="auto"/>
                <w:sz w:val="20"/>
                <w:szCs w:val="20"/>
              </w:rPr>
              <w:t>Oropharyngeal pain</w:t>
            </w:r>
            <w:bookmarkEnd w:id="56"/>
          </w:p>
        </w:tc>
        <w:tc>
          <w:tcPr>
            <w:tcW w:w="2160" w:type="dxa"/>
            <w:tcBorders>
              <w:top w:val="nil"/>
              <w:bottom w:val="nil"/>
              <w:right w:val="nil"/>
            </w:tcBorders>
          </w:tcPr>
          <w:p w:rsidR="00E0374A" w:rsidRPr="00E0374A" w:rsidRDefault="00344DD7" w:rsidP="00DE01A4">
            <w:pPr>
              <w:spacing w:before="40" w:after="40"/>
              <w:jc w:val="center"/>
              <w:rPr>
                <w:rStyle w:val="DeltaViewInsertion"/>
                <w:rFonts w:ascii="Arial" w:hAnsi="Arial" w:cs="Arial"/>
                <w:color w:val="auto"/>
                <w:sz w:val="20"/>
                <w:szCs w:val="20"/>
              </w:rPr>
            </w:pPr>
            <w:bookmarkStart w:id="57" w:name="_DV_C504"/>
            <w:r>
              <w:rPr>
                <w:rStyle w:val="DeltaViewInsertion"/>
                <w:rFonts w:ascii="Arial" w:hAnsi="Arial" w:cs="Arial"/>
                <w:color w:val="auto"/>
                <w:sz w:val="20"/>
                <w:szCs w:val="20"/>
              </w:rPr>
              <w:t>4 (</w:t>
            </w:r>
            <w:r w:rsidR="00E0374A" w:rsidRPr="00E0374A">
              <w:rPr>
                <w:rStyle w:val="DeltaViewInsertion"/>
                <w:rFonts w:ascii="Arial" w:hAnsi="Arial" w:cs="Arial"/>
                <w:color w:val="auto"/>
                <w:sz w:val="20"/>
                <w:szCs w:val="20"/>
              </w:rPr>
              <w:t>1%</w:t>
            </w:r>
            <w:bookmarkEnd w:id="57"/>
            <w:r>
              <w:rPr>
                <w:rStyle w:val="DeltaViewInsertion"/>
                <w:rFonts w:ascii="Arial" w:hAnsi="Arial" w:cs="Arial"/>
                <w:color w:val="auto"/>
                <w:sz w:val="20"/>
                <w:szCs w:val="20"/>
              </w:rPr>
              <w:t>)</w:t>
            </w:r>
          </w:p>
        </w:tc>
        <w:tc>
          <w:tcPr>
            <w:tcW w:w="2160" w:type="dxa"/>
            <w:tcBorders>
              <w:top w:val="nil"/>
              <w:left w:val="nil"/>
              <w:bottom w:val="nil"/>
              <w:right w:val="single" w:sz="4" w:space="0" w:color="000000"/>
            </w:tcBorders>
            <w:shd w:val="clear" w:color="auto" w:fill="auto"/>
          </w:tcPr>
          <w:p w:rsidR="00E0374A" w:rsidRPr="00E0374A" w:rsidRDefault="00344DD7" w:rsidP="00DE01A4">
            <w:pPr>
              <w:spacing w:before="40" w:after="40"/>
              <w:jc w:val="center"/>
              <w:rPr>
                <w:rFonts w:ascii="Arial" w:hAnsi="Arial" w:cs="Arial"/>
                <w:sz w:val="20"/>
                <w:szCs w:val="20"/>
              </w:rPr>
            </w:pPr>
            <w:bookmarkStart w:id="58" w:name="_DV_C503"/>
            <w:r>
              <w:rPr>
                <w:rStyle w:val="DeltaViewInsertion"/>
                <w:rFonts w:ascii="Arial" w:hAnsi="Arial" w:cs="Arial"/>
                <w:color w:val="auto"/>
                <w:sz w:val="20"/>
                <w:szCs w:val="20"/>
              </w:rPr>
              <w:t>42 (</w:t>
            </w:r>
            <w:r w:rsidR="00E0374A" w:rsidRPr="00E0374A">
              <w:rPr>
                <w:rStyle w:val="DeltaViewInsertion"/>
                <w:rFonts w:ascii="Arial" w:hAnsi="Arial" w:cs="Arial"/>
                <w:color w:val="auto"/>
                <w:sz w:val="20"/>
                <w:szCs w:val="20"/>
              </w:rPr>
              <w:t>3%</w:t>
            </w:r>
            <w:bookmarkEnd w:id="58"/>
            <w:r>
              <w:rPr>
                <w:rStyle w:val="DeltaViewInsertion"/>
                <w:rFonts w:ascii="Arial" w:hAnsi="Arial" w:cs="Arial"/>
                <w:color w:val="auto"/>
                <w:sz w:val="20"/>
                <w:szCs w:val="20"/>
              </w:rPr>
              <w:t>)</w:t>
            </w:r>
          </w:p>
        </w:tc>
      </w:tr>
      <w:tr w:rsidR="00E0374A" w:rsidRPr="00E0374A" w:rsidTr="003F362F">
        <w:trPr>
          <w:jc w:val="center"/>
        </w:trPr>
        <w:tc>
          <w:tcPr>
            <w:tcW w:w="4293" w:type="dxa"/>
            <w:tcBorders>
              <w:top w:val="nil"/>
              <w:bottom w:val="single" w:sz="4" w:space="0" w:color="000000"/>
              <w:right w:val="nil"/>
            </w:tcBorders>
            <w:shd w:val="clear" w:color="auto" w:fill="auto"/>
          </w:tcPr>
          <w:p w:rsidR="00E0374A" w:rsidRPr="00E0374A" w:rsidRDefault="00E0374A" w:rsidP="00DE01A4">
            <w:pPr>
              <w:spacing w:before="40" w:after="40"/>
              <w:ind w:left="180"/>
              <w:rPr>
                <w:rFonts w:ascii="Arial" w:hAnsi="Arial" w:cs="Arial"/>
                <w:sz w:val="20"/>
                <w:szCs w:val="20"/>
              </w:rPr>
            </w:pPr>
            <w:bookmarkStart w:id="59" w:name="_DV_C505"/>
            <w:r w:rsidRPr="00E0374A">
              <w:rPr>
                <w:rStyle w:val="DeltaViewInsertion"/>
                <w:rFonts w:ascii="Arial" w:hAnsi="Arial" w:cs="Arial"/>
                <w:color w:val="auto"/>
                <w:sz w:val="20"/>
                <w:szCs w:val="20"/>
              </w:rPr>
              <w:t>Pain in extremities</w:t>
            </w:r>
            <w:bookmarkEnd w:id="59"/>
          </w:p>
        </w:tc>
        <w:tc>
          <w:tcPr>
            <w:tcW w:w="2160" w:type="dxa"/>
            <w:tcBorders>
              <w:top w:val="nil"/>
              <w:bottom w:val="single" w:sz="4" w:space="0" w:color="000000"/>
              <w:right w:val="nil"/>
            </w:tcBorders>
          </w:tcPr>
          <w:p w:rsidR="00E0374A" w:rsidRPr="00E0374A" w:rsidRDefault="00344DD7" w:rsidP="00DE01A4">
            <w:pPr>
              <w:spacing w:before="40" w:after="40"/>
              <w:jc w:val="center"/>
              <w:rPr>
                <w:rStyle w:val="DeltaViewInsertion"/>
                <w:rFonts w:ascii="Arial" w:hAnsi="Arial" w:cs="Arial"/>
                <w:color w:val="auto"/>
                <w:sz w:val="20"/>
                <w:szCs w:val="20"/>
              </w:rPr>
            </w:pPr>
            <w:bookmarkStart w:id="60" w:name="_DV_C507"/>
            <w:r>
              <w:rPr>
                <w:rStyle w:val="DeltaViewInsertion"/>
                <w:rFonts w:ascii="Arial" w:hAnsi="Arial" w:cs="Arial"/>
                <w:color w:val="auto"/>
                <w:sz w:val="20"/>
                <w:szCs w:val="20"/>
              </w:rPr>
              <w:t>4 (</w:t>
            </w:r>
            <w:r w:rsidR="00E0374A" w:rsidRPr="00E0374A">
              <w:rPr>
                <w:rStyle w:val="DeltaViewInsertion"/>
                <w:rFonts w:ascii="Arial" w:hAnsi="Arial" w:cs="Arial"/>
                <w:color w:val="auto"/>
                <w:sz w:val="20"/>
                <w:szCs w:val="20"/>
              </w:rPr>
              <w:t>1%</w:t>
            </w:r>
            <w:bookmarkEnd w:id="60"/>
            <w:r>
              <w:rPr>
                <w:rStyle w:val="DeltaViewInsertion"/>
                <w:rFonts w:ascii="Arial" w:hAnsi="Arial" w:cs="Arial"/>
                <w:color w:val="auto"/>
                <w:sz w:val="20"/>
                <w:szCs w:val="20"/>
              </w:rPr>
              <w:t>)</w:t>
            </w:r>
          </w:p>
        </w:tc>
        <w:tc>
          <w:tcPr>
            <w:tcW w:w="2160" w:type="dxa"/>
            <w:tcBorders>
              <w:top w:val="nil"/>
              <w:left w:val="nil"/>
              <w:bottom w:val="single" w:sz="4" w:space="0" w:color="000000"/>
              <w:right w:val="single" w:sz="4" w:space="0" w:color="000000"/>
            </w:tcBorders>
            <w:shd w:val="clear" w:color="auto" w:fill="auto"/>
          </w:tcPr>
          <w:p w:rsidR="00E0374A" w:rsidRPr="00E0374A" w:rsidRDefault="00344DD7" w:rsidP="00DE01A4">
            <w:pPr>
              <w:spacing w:before="40" w:after="40"/>
              <w:jc w:val="center"/>
              <w:rPr>
                <w:rFonts w:ascii="Arial" w:hAnsi="Arial" w:cs="Arial"/>
                <w:sz w:val="20"/>
                <w:szCs w:val="20"/>
              </w:rPr>
            </w:pPr>
            <w:bookmarkStart w:id="61" w:name="_DV_C506"/>
            <w:r>
              <w:rPr>
                <w:rStyle w:val="DeltaViewInsertion"/>
                <w:rFonts w:ascii="Arial" w:hAnsi="Arial" w:cs="Arial"/>
                <w:color w:val="auto"/>
                <w:sz w:val="20"/>
                <w:szCs w:val="20"/>
              </w:rPr>
              <w:t>38 (</w:t>
            </w:r>
            <w:r w:rsidR="00E0374A" w:rsidRPr="00E0374A">
              <w:rPr>
                <w:rStyle w:val="DeltaViewInsertion"/>
                <w:rFonts w:ascii="Arial" w:hAnsi="Arial" w:cs="Arial"/>
                <w:color w:val="auto"/>
                <w:sz w:val="20"/>
                <w:szCs w:val="20"/>
              </w:rPr>
              <w:t>3%</w:t>
            </w:r>
            <w:bookmarkEnd w:id="61"/>
            <w:r>
              <w:rPr>
                <w:rStyle w:val="DeltaViewInsertion"/>
                <w:rFonts w:ascii="Arial" w:hAnsi="Arial" w:cs="Arial"/>
                <w:color w:val="auto"/>
                <w:sz w:val="20"/>
                <w:szCs w:val="20"/>
              </w:rPr>
              <w:t>)</w:t>
            </w:r>
          </w:p>
        </w:tc>
      </w:tr>
    </w:tbl>
    <w:p w:rsidR="001712CE" w:rsidRPr="006E412F" w:rsidRDefault="001712CE" w:rsidP="001712CE">
      <w:pPr>
        <w:spacing w:after="120"/>
        <w:jc w:val="both"/>
        <w:rPr>
          <w:rFonts w:ascii="Arial" w:hAnsi="Arial" w:cs="Arial"/>
          <w:sz w:val="20"/>
          <w:szCs w:val="20"/>
        </w:rPr>
      </w:pPr>
      <w:bookmarkStart w:id="62" w:name="_DV_C510"/>
      <w:bookmarkStart w:id="63" w:name="_DV_C509"/>
      <w:r w:rsidRPr="006E412F">
        <w:rPr>
          <w:rFonts w:ascii="Arial" w:hAnsi="Arial" w:cs="Arial"/>
          <w:sz w:val="20"/>
          <w:szCs w:val="20"/>
          <w:vertAlign w:val="superscript"/>
        </w:rPr>
        <w:t>†</w:t>
      </w:r>
      <w:r w:rsidRPr="006E412F">
        <w:rPr>
          <w:rFonts w:ascii="Arial" w:hAnsi="Arial" w:cs="Arial"/>
          <w:sz w:val="20"/>
          <w:szCs w:val="20"/>
        </w:rPr>
        <w:t>Patients who received placebo during the entire trial.</w:t>
      </w:r>
      <w:bookmarkEnd w:id="62"/>
    </w:p>
    <w:p w:rsidR="006E412F" w:rsidRPr="006E412F" w:rsidRDefault="001712CE" w:rsidP="006E412F">
      <w:pPr>
        <w:spacing w:after="120"/>
        <w:jc w:val="both"/>
        <w:rPr>
          <w:rFonts w:ascii="Arial" w:hAnsi="Arial" w:cs="Arial"/>
          <w:sz w:val="20"/>
          <w:szCs w:val="20"/>
        </w:rPr>
      </w:pPr>
      <w:r w:rsidRPr="006E412F">
        <w:rPr>
          <w:rFonts w:ascii="Arial" w:hAnsi="Arial" w:cs="Arial"/>
          <w:sz w:val="20"/>
          <w:szCs w:val="20"/>
          <w:vertAlign w:val="superscript"/>
        </w:rPr>
        <w:t>‡</w:t>
      </w:r>
      <w:r w:rsidR="006E412F" w:rsidRPr="006E412F">
        <w:rPr>
          <w:rFonts w:ascii="Arial" w:hAnsi="Arial" w:cs="Arial"/>
          <w:sz w:val="20"/>
          <w:szCs w:val="20"/>
        </w:rPr>
        <w:t>Patients received ENTYVIO at Weeks 0 and 2 and continued to receive ENTYVIO every eight weeks or every four weeks for up to 52 weeks. There was no difference in efficacy between the every eight week and every four week dosing regimens relative to placebo.</w:t>
      </w:r>
      <w:bookmarkEnd w:id="63"/>
    </w:p>
    <w:p w:rsidR="00B569F0" w:rsidRPr="00B569F0" w:rsidRDefault="00B569F0" w:rsidP="00B569F0">
      <w:pPr>
        <w:spacing w:after="240" w:line="240" w:lineRule="auto"/>
        <w:jc w:val="both"/>
        <w:rPr>
          <w:rFonts w:ascii="Arial" w:eastAsia="Times New Roman" w:hAnsi="Arial" w:cs="Arial"/>
          <w:u w:val="single"/>
        </w:rPr>
      </w:pPr>
      <w:r w:rsidRPr="00B569F0">
        <w:rPr>
          <w:rFonts w:ascii="Arial" w:eastAsia="Times New Roman" w:hAnsi="Arial" w:cs="Arial"/>
          <w:u w:val="single"/>
        </w:rPr>
        <w:t>Description of selected adverse reactions</w:t>
      </w:r>
    </w:p>
    <w:p w:rsidR="00B569F0" w:rsidRPr="00B569F0" w:rsidRDefault="00B569F0" w:rsidP="00B569F0">
      <w:pPr>
        <w:spacing w:after="240" w:line="240" w:lineRule="auto"/>
        <w:jc w:val="both"/>
        <w:rPr>
          <w:rFonts w:ascii="Arial" w:eastAsia="Times New Roman" w:hAnsi="Arial" w:cs="Arial"/>
          <w:i/>
        </w:rPr>
      </w:pPr>
      <w:r w:rsidRPr="00B569F0">
        <w:rPr>
          <w:rFonts w:ascii="Arial" w:eastAsia="Times New Roman" w:hAnsi="Arial" w:cs="Arial"/>
          <w:i/>
        </w:rPr>
        <w:t>Infusion-related reactions</w:t>
      </w:r>
    </w:p>
    <w:p w:rsidR="00416438" w:rsidRPr="00416438" w:rsidRDefault="00B569F0" w:rsidP="00416438">
      <w:pPr>
        <w:spacing w:after="240" w:line="240" w:lineRule="auto"/>
        <w:jc w:val="both"/>
        <w:rPr>
          <w:rFonts w:ascii="Arial" w:eastAsia="Times New Roman" w:hAnsi="Arial" w:cs="Arial"/>
        </w:rPr>
      </w:pPr>
      <w:r w:rsidRPr="00B569F0">
        <w:rPr>
          <w:rFonts w:ascii="Arial" w:eastAsia="Times New Roman" w:hAnsi="Arial" w:cs="Arial"/>
        </w:rPr>
        <w:t>In GEMINI I and II controlled studies, 4% of vedolizumab</w:t>
      </w:r>
      <w:r w:rsidRPr="00B569F0">
        <w:rPr>
          <w:rFonts w:ascii="Arial" w:eastAsia="Times New Roman" w:hAnsi="Arial" w:cs="Arial"/>
        </w:rPr>
        <w:noBreakHyphen/>
        <w:t>treated patients and 3% of placebo</w:t>
      </w:r>
      <w:r w:rsidRPr="00B569F0">
        <w:rPr>
          <w:rFonts w:ascii="Arial" w:eastAsia="Times New Roman" w:hAnsi="Arial" w:cs="Arial"/>
        </w:rPr>
        <w:noBreakHyphen/>
        <w:t>treated patients experienced an adverse event defined by the investigator as infusion</w:t>
      </w:r>
      <w:r w:rsidRPr="00B569F0">
        <w:rPr>
          <w:rFonts w:ascii="Arial" w:eastAsia="Times New Roman" w:hAnsi="Arial" w:cs="Arial"/>
        </w:rPr>
        <w:noBreakHyphen/>
        <w:t xml:space="preserve">related reaction (IRR) (see </w:t>
      </w:r>
      <w:r w:rsidR="00FC7B4B">
        <w:rPr>
          <w:rFonts w:ascii="Arial" w:eastAsia="Times New Roman" w:hAnsi="Arial" w:cs="Arial"/>
        </w:rPr>
        <w:t>PRECAUTIONS</w:t>
      </w:r>
      <w:r w:rsidRPr="00B569F0">
        <w:rPr>
          <w:rFonts w:ascii="Arial" w:eastAsia="Times New Roman" w:hAnsi="Arial" w:cs="Arial"/>
        </w:rPr>
        <w:t>). No individual Preferred Term reported as an IRR occurred at a rate above 1%. The most frequently observed events in the vedolizumab</w:t>
      </w:r>
      <w:r w:rsidRPr="00B569F0">
        <w:rPr>
          <w:rFonts w:ascii="Arial" w:eastAsia="Times New Roman" w:hAnsi="Arial" w:cs="Arial"/>
        </w:rPr>
        <w:noBreakHyphen/>
        <w:t>treated patients (by preferred term and reported more than twice) were nausea, headache, pruritus, dizziness, fatigue, infusion</w:t>
      </w:r>
      <w:r w:rsidRPr="00B569F0">
        <w:rPr>
          <w:rFonts w:ascii="Arial" w:eastAsia="Times New Roman" w:hAnsi="Arial" w:cs="Arial"/>
        </w:rPr>
        <w:noBreakHyphen/>
        <w:t xml:space="preserve">related reaction, pyrexia, urticaria and vomiting. The majority of IRRs were mild or moderate in intensity and </w:t>
      </w:r>
      <w:r w:rsidR="00586817">
        <w:rPr>
          <w:rFonts w:ascii="Arial" w:eastAsia="Times New Roman" w:hAnsi="Arial" w:cs="Arial"/>
        </w:rPr>
        <w:t>&lt;1%</w:t>
      </w:r>
      <w:r w:rsidR="00586817" w:rsidRPr="00B569F0">
        <w:rPr>
          <w:rFonts w:ascii="Arial" w:eastAsia="Times New Roman" w:hAnsi="Arial" w:cs="Arial"/>
        </w:rPr>
        <w:t xml:space="preserve"> </w:t>
      </w:r>
      <w:r w:rsidRPr="00B569F0">
        <w:rPr>
          <w:rFonts w:ascii="Arial" w:eastAsia="Times New Roman" w:hAnsi="Arial" w:cs="Arial"/>
        </w:rPr>
        <w:t xml:space="preserve">resulted in discontinuation of study treatment. Observed IRRs generally resolved with no or minimal intervention following the infusion. One serious </w:t>
      </w:r>
      <w:r w:rsidR="00586817">
        <w:rPr>
          <w:rFonts w:ascii="Arial" w:eastAsia="Times New Roman" w:hAnsi="Arial" w:cs="Arial"/>
        </w:rPr>
        <w:t xml:space="preserve">adverse event of </w:t>
      </w:r>
      <w:r w:rsidRPr="00B569F0">
        <w:rPr>
          <w:rFonts w:ascii="Arial" w:eastAsia="Times New Roman" w:hAnsi="Arial" w:cs="Arial"/>
        </w:rPr>
        <w:t xml:space="preserve">IRR was reported by a Crohn’s disease patient during the second infusion (symptoms reported were dyspnoea, </w:t>
      </w:r>
      <w:r w:rsidRPr="00B569F0">
        <w:rPr>
          <w:rFonts w:ascii="Arial" w:eastAsia="Times New Roman" w:hAnsi="Arial" w:cs="Arial"/>
        </w:rPr>
        <w:lastRenderedPageBreak/>
        <w:t>bronchospasm, urticaria, flushing, rash, and increased blood pressure and heart rate) and was successfully managed with discontinuation of infusion and treatment with antihistamine and intravenous hydrocortisone. In patients who received vedolizumab at Weeks 0 and 2 followed by placebo, no increase in the rate of IRR was seen upon retreatment with vedolizumab after loss of response.</w:t>
      </w:r>
      <w:r w:rsidR="00416438">
        <w:rPr>
          <w:rFonts w:ascii="Arial" w:eastAsia="Times New Roman" w:hAnsi="Arial" w:cs="Arial"/>
          <w:i/>
        </w:rPr>
        <w:br w:type="page"/>
      </w:r>
    </w:p>
    <w:p w:rsidR="00B569F0" w:rsidRPr="00B569F0" w:rsidRDefault="00B569F0" w:rsidP="00B569F0">
      <w:pPr>
        <w:spacing w:after="240" w:line="240" w:lineRule="auto"/>
        <w:jc w:val="both"/>
        <w:rPr>
          <w:rFonts w:ascii="Arial" w:eastAsia="Times New Roman" w:hAnsi="Arial" w:cs="Arial"/>
          <w:i/>
        </w:rPr>
      </w:pPr>
      <w:r w:rsidRPr="00B569F0">
        <w:rPr>
          <w:rFonts w:ascii="Arial" w:eastAsia="Times New Roman" w:hAnsi="Arial" w:cs="Arial"/>
          <w:i/>
        </w:rPr>
        <w:t>Infections</w:t>
      </w:r>
    </w:p>
    <w:p w:rsidR="00B569F0" w:rsidRPr="00B569F0" w:rsidRDefault="00B569F0" w:rsidP="00B569F0">
      <w:pPr>
        <w:spacing w:after="240" w:line="240" w:lineRule="auto"/>
        <w:jc w:val="both"/>
        <w:rPr>
          <w:rFonts w:ascii="Arial" w:eastAsia="Times New Roman" w:hAnsi="Arial" w:cs="Arial"/>
        </w:rPr>
      </w:pPr>
      <w:r w:rsidRPr="00B569F0">
        <w:rPr>
          <w:rFonts w:ascii="Arial" w:eastAsia="Times New Roman" w:hAnsi="Arial" w:cs="Arial"/>
        </w:rPr>
        <w:t>In GEMINI I and II controlled studies, the rate of infections was 0.85 per patient</w:t>
      </w:r>
      <w:r w:rsidRPr="00B569F0">
        <w:rPr>
          <w:rFonts w:ascii="Arial" w:eastAsia="Times New Roman" w:hAnsi="Arial" w:cs="Arial"/>
        </w:rPr>
        <w:noBreakHyphen/>
        <w:t>year in the vedolizumab</w:t>
      </w:r>
      <w:r w:rsidRPr="00B569F0">
        <w:rPr>
          <w:rFonts w:ascii="Arial" w:eastAsia="Times New Roman" w:hAnsi="Arial" w:cs="Arial"/>
        </w:rPr>
        <w:noBreakHyphen/>
        <w:t>treated patients and 0.70 per patient</w:t>
      </w:r>
      <w:r w:rsidRPr="00B569F0">
        <w:rPr>
          <w:rFonts w:ascii="Arial" w:eastAsia="Times New Roman" w:hAnsi="Arial" w:cs="Arial"/>
        </w:rPr>
        <w:noBreakHyphen/>
        <w:t>year in the placebo</w:t>
      </w:r>
      <w:r w:rsidRPr="00B569F0">
        <w:rPr>
          <w:rFonts w:ascii="Arial" w:eastAsia="Times New Roman" w:hAnsi="Arial" w:cs="Arial"/>
        </w:rPr>
        <w:noBreakHyphen/>
        <w:t>treated patients. The infections consisted primarily of nasopharyngitis, upper respiratory tract infection, sinusitis, and urinary tract infections. Most patients continued on vedolizumab after the infection resolved.</w:t>
      </w:r>
    </w:p>
    <w:p w:rsidR="00B569F0" w:rsidRPr="00B569F0" w:rsidRDefault="00B569F0" w:rsidP="00B569F0">
      <w:pPr>
        <w:spacing w:after="240" w:line="240" w:lineRule="auto"/>
        <w:jc w:val="both"/>
        <w:rPr>
          <w:rFonts w:ascii="Arial" w:eastAsia="Times New Roman" w:hAnsi="Arial" w:cs="Arial"/>
        </w:rPr>
      </w:pPr>
      <w:bookmarkStart w:id="64" w:name="_DV_C280"/>
      <w:r w:rsidRPr="00B569F0">
        <w:rPr>
          <w:rFonts w:ascii="Arial" w:eastAsia="Times New Roman" w:hAnsi="Arial" w:cs="Arial"/>
        </w:rPr>
        <w:t>In GEMINI I and II controlled studies, the rate of serious infections was 0.07 per patient year in vedolizumab</w:t>
      </w:r>
      <w:r w:rsidRPr="00B569F0">
        <w:rPr>
          <w:rFonts w:ascii="Arial" w:eastAsia="Times New Roman" w:hAnsi="Arial" w:cs="Arial"/>
        </w:rPr>
        <w:noBreakHyphen/>
        <w:t>treated patients and 0.06 per patient year in placebo</w:t>
      </w:r>
      <w:r w:rsidRPr="00B569F0">
        <w:rPr>
          <w:rFonts w:ascii="Arial" w:eastAsia="Times New Roman" w:hAnsi="Arial" w:cs="Arial"/>
        </w:rPr>
        <w:noBreakHyphen/>
        <w:t>treated patients.</w:t>
      </w:r>
      <w:bookmarkEnd w:id="64"/>
      <w:r w:rsidRPr="00B569F0">
        <w:rPr>
          <w:rFonts w:ascii="Arial" w:eastAsia="Times New Roman" w:hAnsi="Arial" w:cs="Arial"/>
        </w:rPr>
        <w:t xml:space="preserve"> Over time, there was no significant increase in the rate of serious infections.</w:t>
      </w:r>
    </w:p>
    <w:p w:rsidR="00490B2F" w:rsidRDefault="00B569F0" w:rsidP="00B569F0">
      <w:pPr>
        <w:spacing w:after="240" w:line="240" w:lineRule="auto"/>
        <w:jc w:val="both"/>
        <w:rPr>
          <w:rFonts w:ascii="Arial" w:eastAsia="Times New Roman" w:hAnsi="Arial" w:cs="Arial"/>
        </w:rPr>
      </w:pPr>
      <w:bookmarkStart w:id="65" w:name="_DV_C281"/>
      <w:r w:rsidRPr="00B569F0">
        <w:rPr>
          <w:rFonts w:ascii="Arial" w:eastAsia="Times New Roman" w:hAnsi="Arial" w:cs="Arial"/>
        </w:rPr>
        <w:t>In controlled and open</w:t>
      </w:r>
      <w:r w:rsidRPr="00B569F0">
        <w:rPr>
          <w:rFonts w:ascii="Arial" w:eastAsia="Times New Roman" w:hAnsi="Arial" w:cs="Arial"/>
        </w:rPr>
        <w:noBreakHyphen/>
        <w:t>label studies in adults with vedolizumab, serious infections have been reported, which include tuberculosis, sepsis (some fatal), salmonella sepsis, listeria meningitis, and cytomegaloviral colitis</w:t>
      </w:r>
      <w:bookmarkEnd w:id="65"/>
      <w:r w:rsidRPr="00B569F0">
        <w:rPr>
          <w:rFonts w:ascii="Arial" w:eastAsia="Times New Roman" w:hAnsi="Arial" w:cs="Arial"/>
        </w:rPr>
        <w:t>.</w:t>
      </w:r>
      <w:r w:rsidR="00087207">
        <w:rPr>
          <w:rFonts w:ascii="Arial" w:eastAsia="Times New Roman" w:hAnsi="Arial" w:cs="Arial"/>
        </w:rPr>
        <w:t xml:space="preserve">  </w:t>
      </w:r>
    </w:p>
    <w:p w:rsidR="004F3763" w:rsidRPr="004F3763" w:rsidRDefault="004F3763" w:rsidP="004F3763">
      <w:pPr>
        <w:spacing w:after="240" w:line="240" w:lineRule="auto"/>
        <w:jc w:val="both"/>
        <w:rPr>
          <w:rFonts w:ascii="Arial" w:eastAsia="Times New Roman" w:hAnsi="Arial" w:cs="Arial"/>
          <w:i/>
        </w:rPr>
      </w:pPr>
      <w:r w:rsidRPr="004F3763">
        <w:rPr>
          <w:rFonts w:ascii="Arial" w:eastAsia="Times New Roman" w:hAnsi="Arial" w:cs="Arial"/>
          <w:i/>
        </w:rPr>
        <w:t>Liver Injury</w:t>
      </w:r>
    </w:p>
    <w:p w:rsidR="004F3763" w:rsidRPr="004F3763" w:rsidRDefault="004F3763" w:rsidP="004F3763">
      <w:pPr>
        <w:spacing w:after="240" w:line="240" w:lineRule="auto"/>
        <w:jc w:val="both"/>
        <w:rPr>
          <w:rFonts w:ascii="Arial" w:eastAsia="Times New Roman" w:hAnsi="Arial" w:cs="Arial"/>
        </w:rPr>
      </w:pPr>
      <w:r w:rsidRPr="004F3763">
        <w:rPr>
          <w:rFonts w:ascii="Arial" w:eastAsia="Times New Roman" w:hAnsi="Arial" w:cs="Arial"/>
        </w:rPr>
        <w:t>There have been reports of elevations of transaminase and/or bilirubin in patients receiving</w:t>
      </w:r>
      <w:r>
        <w:rPr>
          <w:rFonts w:ascii="Arial" w:eastAsia="Times New Roman" w:hAnsi="Arial" w:cs="Arial"/>
        </w:rPr>
        <w:t xml:space="preserve"> </w:t>
      </w:r>
      <w:r w:rsidR="006215A5">
        <w:rPr>
          <w:rFonts w:ascii="Arial" w:eastAsia="Times New Roman" w:hAnsi="Arial" w:cs="Arial"/>
        </w:rPr>
        <w:t>vedolizumab</w:t>
      </w:r>
      <w:r w:rsidRPr="004F3763">
        <w:rPr>
          <w:rFonts w:ascii="Arial" w:eastAsia="Times New Roman" w:hAnsi="Arial" w:cs="Arial"/>
        </w:rPr>
        <w:t xml:space="preserve">. In </w:t>
      </w:r>
      <w:r w:rsidR="00590BD7">
        <w:rPr>
          <w:rFonts w:ascii="Arial" w:eastAsia="Times New Roman" w:hAnsi="Arial" w:cs="Arial"/>
        </w:rPr>
        <w:t>th</w:t>
      </w:r>
      <w:r w:rsidR="00590BD7" w:rsidRPr="00590BD7">
        <w:rPr>
          <w:rFonts w:ascii="Arial" w:eastAsia="Times New Roman" w:hAnsi="Arial" w:cs="Arial"/>
        </w:rPr>
        <w:t xml:space="preserve">e </w:t>
      </w:r>
      <w:r w:rsidR="00F03523">
        <w:rPr>
          <w:rFonts w:ascii="Arial" w:eastAsia="Times New Roman" w:hAnsi="Arial" w:cs="Arial"/>
        </w:rPr>
        <w:t>GEMINI</w:t>
      </w:r>
      <w:r w:rsidR="00590BD7" w:rsidRPr="00590BD7">
        <w:rPr>
          <w:rFonts w:ascii="Arial" w:eastAsia="Times New Roman" w:hAnsi="Arial" w:cs="Arial"/>
        </w:rPr>
        <w:t xml:space="preserve"> I</w:t>
      </w:r>
      <w:r w:rsidR="00590BD7">
        <w:rPr>
          <w:rFonts w:ascii="Arial" w:eastAsia="Times New Roman" w:hAnsi="Arial" w:cs="Arial"/>
        </w:rPr>
        <w:t xml:space="preserve"> (UC), </w:t>
      </w:r>
      <w:r w:rsidR="00F03523">
        <w:rPr>
          <w:rFonts w:ascii="Arial" w:eastAsia="Times New Roman" w:hAnsi="Arial" w:cs="Arial"/>
        </w:rPr>
        <w:t>GEMINI</w:t>
      </w:r>
      <w:r w:rsidR="00F03523" w:rsidRPr="00590BD7">
        <w:rPr>
          <w:rFonts w:ascii="Arial" w:eastAsia="Times New Roman" w:hAnsi="Arial" w:cs="Arial"/>
        </w:rPr>
        <w:t xml:space="preserve"> </w:t>
      </w:r>
      <w:r w:rsidR="00590BD7">
        <w:rPr>
          <w:rFonts w:ascii="Arial" w:eastAsia="Times New Roman" w:hAnsi="Arial" w:cs="Arial"/>
        </w:rPr>
        <w:t xml:space="preserve">II (CD) and </w:t>
      </w:r>
      <w:r w:rsidR="00F03523">
        <w:rPr>
          <w:rFonts w:ascii="Arial" w:eastAsia="Times New Roman" w:hAnsi="Arial" w:cs="Arial"/>
        </w:rPr>
        <w:t>GEMINI</w:t>
      </w:r>
      <w:r w:rsidR="00F03523" w:rsidRPr="00590BD7">
        <w:rPr>
          <w:rFonts w:ascii="Arial" w:eastAsia="Times New Roman" w:hAnsi="Arial" w:cs="Arial"/>
        </w:rPr>
        <w:t xml:space="preserve"> </w:t>
      </w:r>
      <w:r w:rsidR="00590BD7">
        <w:rPr>
          <w:rFonts w:ascii="Arial" w:eastAsia="Times New Roman" w:hAnsi="Arial" w:cs="Arial"/>
        </w:rPr>
        <w:t>III (CD) trials</w:t>
      </w:r>
      <w:r w:rsidRPr="004F3763">
        <w:rPr>
          <w:rFonts w:ascii="Arial" w:eastAsia="Times New Roman" w:hAnsi="Arial" w:cs="Arial"/>
        </w:rPr>
        <w:t>,</w:t>
      </w:r>
      <w:r>
        <w:rPr>
          <w:rFonts w:ascii="Arial" w:eastAsia="Times New Roman" w:hAnsi="Arial" w:cs="Arial"/>
        </w:rPr>
        <w:t xml:space="preserve"> </w:t>
      </w:r>
      <w:r w:rsidRPr="004F3763">
        <w:rPr>
          <w:rFonts w:ascii="Arial" w:eastAsia="Times New Roman" w:hAnsi="Arial" w:cs="Arial"/>
        </w:rPr>
        <w:t>three patients reported serious adverse reactions of hepatitis, manifested as elevated</w:t>
      </w:r>
      <w:r>
        <w:rPr>
          <w:rFonts w:ascii="Arial" w:eastAsia="Times New Roman" w:hAnsi="Arial" w:cs="Arial"/>
        </w:rPr>
        <w:t xml:space="preserve"> </w:t>
      </w:r>
      <w:r w:rsidRPr="004F3763">
        <w:rPr>
          <w:rFonts w:ascii="Arial" w:eastAsia="Times New Roman" w:hAnsi="Arial" w:cs="Arial"/>
        </w:rPr>
        <w:t>transaminases with or without elevated bilirubin and symptoms consistent with hepatitis (e.g.,</w:t>
      </w:r>
      <w:r>
        <w:rPr>
          <w:rFonts w:ascii="Arial" w:eastAsia="Times New Roman" w:hAnsi="Arial" w:cs="Arial"/>
        </w:rPr>
        <w:t xml:space="preserve"> </w:t>
      </w:r>
      <w:r w:rsidRPr="004F3763">
        <w:rPr>
          <w:rFonts w:ascii="Arial" w:eastAsia="Times New Roman" w:hAnsi="Arial" w:cs="Arial"/>
        </w:rPr>
        <w:t>malaise, nausea, vomiting, abdominal pain, anorexia). These adverse reactions occurred</w:t>
      </w:r>
      <w:r>
        <w:rPr>
          <w:rFonts w:ascii="Arial" w:eastAsia="Times New Roman" w:hAnsi="Arial" w:cs="Arial"/>
        </w:rPr>
        <w:t xml:space="preserve"> </w:t>
      </w:r>
      <w:r w:rsidRPr="004F3763">
        <w:rPr>
          <w:rFonts w:ascii="Arial" w:eastAsia="Times New Roman" w:hAnsi="Arial" w:cs="Arial"/>
        </w:rPr>
        <w:t xml:space="preserve">following two to five </w:t>
      </w:r>
      <w:r w:rsidR="006215A5">
        <w:rPr>
          <w:rFonts w:ascii="Arial" w:eastAsia="Times New Roman" w:hAnsi="Arial" w:cs="Arial"/>
        </w:rPr>
        <w:t xml:space="preserve">vedolizumab </w:t>
      </w:r>
      <w:r w:rsidRPr="004F3763">
        <w:rPr>
          <w:rFonts w:ascii="Arial" w:eastAsia="Times New Roman" w:hAnsi="Arial" w:cs="Arial"/>
        </w:rPr>
        <w:t>doses; however, based on case report information it is unclear if</w:t>
      </w:r>
      <w:r>
        <w:rPr>
          <w:rFonts w:ascii="Arial" w:eastAsia="Times New Roman" w:hAnsi="Arial" w:cs="Arial"/>
        </w:rPr>
        <w:t xml:space="preserve"> </w:t>
      </w:r>
      <w:r w:rsidRPr="004F3763">
        <w:rPr>
          <w:rFonts w:ascii="Arial" w:eastAsia="Times New Roman" w:hAnsi="Arial" w:cs="Arial"/>
        </w:rPr>
        <w:t>the reactions indicated drug-induced or autoimmune etiology. All patients recovered following</w:t>
      </w:r>
      <w:r>
        <w:rPr>
          <w:rFonts w:ascii="Arial" w:eastAsia="Times New Roman" w:hAnsi="Arial" w:cs="Arial"/>
        </w:rPr>
        <w:t xml:space="preserve"> </w:t>
      </w:r>
      <w:r w:rsidRPr="004F3763">
        <w:rPr>
          <w:rFonts w:ascii="Arial" w:eastAsia="Times New Roman" w:hAnsi="Arial" w:cs="Arial"/>
        </w:rPr>
        <w:t>discontinuation of therapy with some requiring corticosteroid treatment. In controlled trials, the</w:t>
      </w:r>
      <w:r>
        <w:rPr>
          <w:rFonts w:ascii="Arial" w:eastAsia="Times New Roman" w:hAnsi="Arial" w:cs="Arial"/>
        </w:rPr>
        <w:t xml:space="preserve"> </w:t>
      </w:r>
      <w:r w:rsidRPr="004F3763">
        <w:rPr>
          <w:rFonts w:ascii="Arial" w:eastAsia="Times New Roman" w:hAnsi="Arial" w:cs="Arial"/>
        </w:rPr>
        <w:t xml:space="preserve">incidence of ALT and AST elevations ≥3 x ULN was &lt;2% in patients treated with </w:t>
      </w:r>
      <w:r w:rsidR="006215A5">
        <w:rPr>
          <w:rFonts w:ascii="Arial" w:eastAsia="Times New Roman" w:hAnsi="Arial" w:cs="Arial"/>
        </w:rPr>
        <w:t>vedolizumab</w:t>
      </w:r>
      <w:r>
        <w:rPr>
          <w:rFonts w:ascii="Arial" w:eastAsia="Times New Roman" w:hAnsi="Arial" w:cs="Arial"/>
        </w:rPr>
        <w:t xml:space="preserve"> </w:t>
      </w:r>
      <w:r w:rsidRPr="004F3763">
        <w:rPr>
          <w:rFonts w:ascii="Arial" w:eastAsia="Times New Roman" w:hAnsi="Arial" w:cs="Arial"/>
        </w:rPr>
        <w:t>and in patients treated with placebo. In the open-label trial, one additional case of serious</w:t>
      </w:r>
      <w:r>
        <w:rPr>
          <w:rFonts w:ascii="Arial" w:eastAsia="Times New Roman" w:hAnsi="Arial" w:cs="Arial"/>
        </w:rPr>
        <w:t xml:space="preserve"> </w:t>
      </w:r>
      <w:r w:rsidRPr="004F3763">
        <w:rPr>
          <w:rFonts w:ascii="Arial" w:eastAsia="Times New Roman" w:hAnsi="Arial" w:cs="Arial"/>
        </w:rPr>
        <w:t>hepatitis was observed.</w:t>
      </w:r>
    </w:p>
    <w:p w:rsidR="004E6664" w:rsidRPr="00B569F0" w:rsidRDefault="004E6664" w:rsidP="004E6664">
      <w:pPr>
        <w:spacing w:after="240" w:line="240" w:lineRule="auto"/>
        <w:jc w:val="both"/>
        <w:rPr>
          <w:rFonts w:ascii="Arial" w:eastAsia="Times New Roman" w:hAnsi="Arial" w:cs="Arial"/>
          <w:i/>
        </w:rPr>
      </w:pPr>
      <w:r w:rsidRPr="00B569F0">
        <w:rPr>
          <w:rFonts w:ascii="Arial" w:eastAsia="Times New Roman" w:hAnsi="Arial" w:cs="Arial"/>
          <w:i/>
        </w:rPr>
        <w:t>Malignancy</w:t>
      </w:r>
    </w:p>
    <w:p w:rsidR="00711877" w:rsidRDefault="004E6664" w:rsidP="00B569F0">
      <w:pPr>
        <w:spacing w:after="240" w:line="240" w:lineRule="auto"/>
        <w:jc w:val="both"/>
        <w:rPr>
          <w:rFonts w:ascii="Arial" w:eastAsia="Times New Roman" w:hAnsi="Arial" w:cs="Arial"/>
        </w:rPr>
      </w:pPr>
      <w:r w:rsidRPr="00B569F0">
        <w:rPr>
          <w:rFonts w:ascii="Arial" w:eastAsia="Times New Roman" w:hAnsi="Arial" w:cs="Arial"/>
        </w:rPr>
        <w:t>Overall, results from the clinical program to date do not suggest an increased risk for malignancy with vedolizumab treatment; however, the number of malignancies was small and long-term exposure was limited. Long</w:t>
      </w:r>
      <w:r w:rsidRPr="00B569F0">
        <w:rPr>
          <w:rFonts w:ascii="Arial" w:eastAsia="Times New Roman" w:hAnsi="Arial" w:cs="Arial"/>
        </w:rPr>
        <w:noBreakHyphen/>
        <w:t>term safety evaluations are ongoing.</w:t>
      </w:r>
    </w:p>
    <w:p w:rsidR="00B569F0" w:rsidRPr="00B569F0" w:rsidRDefault="00B569F0" w:rsidP="00B569F0">
      <w:pPr>
        <w:spacing w:after="240" w:line="240" w:lineRule="auto"/>
        <w:jc w:val="both"/>
        <w:rPr>
          <w:rFonts w:ascii="Arial" w:eastAsia="Times New Roman" w:hAnsi="Arial" w:cs="Arial"/>
          <w:i/>
        </w:rPr>
      </w:pPr>
      <w:r w:rsidRPr="00B569F0">
        <w:rPr>
          <w:rFonts w:ascii="Arial" w:eastAsia="Times New Roman" w:hAnsi="Arial" w:cs="Arial"/>
          <w:i/>
        </w:rPr>
        <w:t>Immunogenicity</w:t>
      </w:r>
    </w:p>
    <w:p w:rsidR="00B569F0" w:rsidRPr="00B569F0" w:rsidRDefault="00B569F0" w:rsidP="00B569F0">
      <w:pPr>
        <w:spacing w:after="240" w:line="240" w:lineRule="auto"/>
        <w:jc w:val="both"/>
        <w:rPr>
          <w:rFonts w:ascii="Arial" w:eastAsia="Times New Roman" w:hAnsi="Arial" w:cs="Arial"/>
        </w:rPr>
      </w:pPr>
      <w:r w:rsidRPr="00B569F0">
        <w:rPr>
          <w:rFonts w:ascii="Arial" w:eastAsia="Times New Roman" w:hAnsi="Arial" w:cs="Arial"/>
        </w:rPr>
        <w:t>In GEMINI I and II controlled studies, vedolizumab showed an immunogenicity rate of 4% (56 of 1434 patients who received continuous treatment with vedolizumab were anti</w:t>
      </w:r>
      <w:r w:rsidRPr="00B569F0">
        <w:rPr>
          <w:rFonts w:ascii="Arial" w:eastAsia="Times New Roman" w:hAnsi="Arial" w:cs="Arial"/>
        </w:rPr>
        <w:noBreakHyphen/>
        <w:t>vedolizumab antibody</w:t>
      </w:r>
      <w:r w:rsidRPr="00B569F0">
        <w:rPr>
          <w:rFonts w:ascii="Arial" w:eastAsia="Times New Roman" w:hAnsi="Arial" w:cs="Arial"/>
        </w:rPr>
        <w:noBreakHyphen/>
        <w:t>positive at any time during treatment). Nine out of 56 patients were persistently positive (anti</w:t>
      </w:r>
      <w:r w:rsidRPr="00B569F0">
        <w:rPr>
          <w:rFonts w:ascii="Arial" w:eastAsia="Times New Roman" w:hAnsi="Arial" w:cs="Arial"/>
        </w:rPr>
        <w:noBreakHyphen/>
        <w:t>vedolizumab antibody</w:t>
      </w:r>
      <w:r w:rsidRPr="00B569F0">
        <w:rPr>
          <w:rFonts w:ascii="Arial" w:eastAsia="Times New Roman" w:hAnsi="Arial" w:cs="Arial"/>
        </w:rPr>
        <w:noBreakHyphen/>
        <w:t>positive at two or more study visits) and 33 patients developed neutralizing anti</w:t>
      </w:r>
      <w:r w:rsidRPr="00B569F0">
        <w:rPr>
          <w:rFonts w:ascii="Arial" w:eastAsia="Times New Roman" w:hAnsi="Arial" w:cs="Arial"/>
        </w:rPr>
        <w:noBreakHyphen/>
        <w:t>vedolizumab antibodies.</w:t>
      </w:r>
    </w:p>
    <w:p w:rsidR="00B569F0" w:rsidRPr="00B569F0" w:rsidRDefault="00B569F0" w:rsidP="00B569F0">
      <w:pPr>
        <w:spacing w:after="240" w:line="240" w:lineRule="auto"/>
        <w:jc w:val="both"/>
        <w:rPr>
          <w:rFonts w:ascii="Arial" w:eastAsia="Times New Roman" w:hAnsi="Arial" w:cs="Arial"/>
        </w:rPr>
      </w:pPr>
      <w:r w:rsidRPr="00B569F0">
        <w:rPr>
          <w:rFonts w:ascii="Arial" w:eastAsia="Times New Roman" w:hAnsi="Arial" w:cs="Arial"/>
        </w:rPr>
        <w:lastRenderedPageBreak/>
        <w:t>The frequency of anti</w:t>
      </w:r>
      <w:r w:rsidRPr="00B569F0">
        <w:rPr>
          <w:rFonts w:ascii="Arial" w:eastAsia="Times New Roman" w:hAnsi="Arial" w:cs="Arial"/>
        </w:rPr>
        <w:noBreakHyphen/>
        <w:t>vedolizumab antibody detected in patients after the last dose of study drug (16 weeks which is approximately five half</w:t>
      </w:r>
      <w:r w:rsidRPr="00B569F0">
        <w:rPr>
          <w:rFonts w:ascii="Arial" w:eastAsia="Times New Roman" w:hAnsi="Arial" w:cs="Arial"/>
        </w:rPr>
        <w:noBreakHyphen/>
        <w:t>lives after last dose) in GEMINI I and II was approximately 10%.</w:t>
      </w:r>
    </w:p>
    <w:p w:rsidR="00B569F0" w:rsidRPr="00B569F0" w:rsidRDefault="00B569F0" w:rsidP="00B569F0">
      <w:pPr>
        <w:spacing w:after="240" w:line="240" w:lineRule="auto"/>
        <w:jc w:val="both"/>
        <w:rPr>
          <w:rFonts w:ascii="Arial" w:eastAsia="Times New Roman" w:hAnsi="Arial" w:cs="Arial"/>
        </w:rPr>
      </w:pPr>
      <w:r w:rsidRPr="00B569F0">
        <w:rPr>
          <w:rFonts w:ascii="Arial" w:eastAsia="Times New Roman" w:hAnsi="Arial" w:cs="Arial"/>
        </w:rPr>
        <w:t>In GEMINI I and II controlled studies, 5% (3 of 61) of the patients who had an adverse event assessed by the investigator as an IRR were persistently anti</w:t>
      </w:r>
      <w:r w:rsidRPr="00B569F0">
        <w:rPr>
          <w:rFonts w:ascii="Arial" w:eastAsia="Times New Roman" w:hAnsi="Arial" w:cs="Arial"/>
        </w:rPr>
        <w:noBreakHyphen/>
        <w:t>vedolizumab antibody</w:t>
      </w:r>
      <w:r w:rsidRPr="00B569F0">
        <w:rPr>
          <w:rFonts w:ascii="Arial" w:eastAsia="Times New Roman" w:hAnsi="Arial" w:cs="Arial"/>
        </w:rPr>
        <w:noBreakHyphen/>
        <w:t>positive.</w:t>
      </w:r>
    </w:p>
    <w:p w:rsidR="00416438" w:rsidRPr="00416438" w:rsidRDefault="00B569F0" w:rsidP="00416438">
      <w:pPr>
        <w:spacing w:after="240" w:line="240" w:lineRule="auto"/>
        <w:jc w:val="both"/>
        <w:rPr>
          <w:rFonts w:ascii="Arial" w:eastAsia="Times New Roman" w:hAnsi="Arial" w:cs="Arial"/>
        </w:rPr>
      </w:pPr>
      <w:r w:rsidRPr="00B569F0">
        <w:rPr>
          <w:rFonts w:ascii="Arial" w:eastAsia="Times New Roman" w:hAnsi="Arial" w:cs="Arial"/>
        </w:rPr>
        <w:t>Overall, there was no apparent correlation of anti</w:t>
      </w:r>
      <w:r w:rsidRPr="00B569F0">
        <w:rPr>
          <w:rFonts w:ascii="Arial" w:eastAsia="Times New Roman" w:hAnsi="Arial" w:cs="Arial"/>
        </w:rPr>
        <w:noBreakHyphen/>
        <w:t>vedolizumab antibody development to clinical response or adverse events. However, the number of patients that developed anti</w:t>
      </w:r>
      <w:r w:rsidRPr="00B569F0">
        <w:rPr>
          <w:rFonts w:ascii="Arial" w:eastAsia="Times New Roman" w:hAnsi="Arial" w:cs="Arial"/>
        </w:rPr>
        <w:noBreakHyphen/>
        <w:t xml:space="preserve">vedolizumab antibodies was too limited to make a definitive assessment. </w:t>
      </w:r>
    </w:p>
    <w:p w:rsidR="00691008" w:rsidRDefault="002D31A3">
      <w:pPr>
        <w:pStyle w:val="NoSpacing"/>
        <w:spacing w:after="240"/>
        <w:jc w:val="both"/>
        <w:rPr>
          <w:rFonts w:ascii="Arial" w:hAnsi="Arial" w:cs="Arial"/>
          <w:b/>
        </w:rPr>
      </w:pPr>
      <w:r w:rsidRPr="002D31A3">
        <w:rPr>
          <w:rFonts w:ascii="Arial" w:hAnsi="Arial" w:cs="Arial"/>
          <w:b/>
        </w:rPr>
        <w:t>DOSAGE AND ADMINISTRATION</w:t>
      </w:r>
    </w:p>
    <w:p w:rsidR="00A02BF4" w:rsidRPr="00405F89" w:rsidRDefault="00F8274A" w:rsidP="00A02BF4">
      <w:pPr>
        <w:spacing w:after="240" w:line="240" w:lineRule="auto"/>
        <w:jc w:val="both"/>
        <w:rPr>
          <w:rFonts w:ascii="Arial" w:eastAsia="Times New Roman" w:hAnsi="Arial" w:cs="Arial"/>
        </w:rPr>
      </w:pPr>
      <w:r>
        <w:rPr>
          <w:rFonts w:ascii="Arial" w:eastAsia="Times New Roman" w:hAnsi="Arial" w:cs="Arial"/>
        </w:rPr>
        <w:t>ENTYVIO</w:t>
      </w:r>
      <w:r w:rsidR="00A02BF4" w:rsidRPr="00405F89">
        <w:rPr>
          <w:rFonts w:ascii="Arial" w:eastAsia="Times New Roman" w:hAnsi="Arial" w:cs="Arial"/>
        </w:rPr>
        <w:t xml:space="preserve"> treatment should be initiated and supervised by specialist healthcare professionals experienced in the diagnosis and treatment of ulcerative colitis or Crohn’s diseas</w:t>
      </w:r>
      <w:r w:rsidR="00A02BF4" w:rsidRPr="00526897">
        <w:rPr>
          <w:rFonts w:ascii="Arial" w:eastAsia="Times New Roman" w:hAnsi="Arial" w:cs="Arial"/>
        </w:rPr>
        <w:t>e.</w:t>
      </w:r>
    </w:p>
    <w:p w:rsidR="00A02BF4" w:rsidRPr="00A02BF4" w:rsidRDefault="00A02BF4" w:rsidP="00A02BF4">
      <w:pPr>
        <w:spacing w:after="240" w:line="240" w:lineRule="auto"/>
        <w:jc w:val="both"/>
        <w:rPr>
          <w:rFonts w:ascii="Arial" w:eastAsia="Times New Roman" w:hAnsi="Arial" w:cs="Arial"/>
          <w:b/>
        </w:rPr>
      </w:pPr>
      <w:r w:rsidRPr="00A02BF4">
        <w:rPr>
          <w:rFonts w:ascii="Arial" w:eastAsia="Times New Roman" w:hAnsi="Arial" w:cs="Arial"/>
          <w:b/>
        </w:rPr>
        <w:t>Adults (≥18 years)</w:t>
      </w:r>
    </w:p>
    <w:p w:rsidR="00A02BF4" w:rsidRPr="00405F89" w:rsidRDefault="00A02BF4" w:rsidP="00A02BF4">
      <w:pPr>
        <w:spacing w:after="240" w:line="240" w:lineRule="auto"/>
        <w:jc w:val="both"/>
        <w:rPr>
          <w:rFonts w:ascii="Arial" w:eastAsia="Times New Roman" w:hAnsi="Arial" w:cs="Arial"/>
        </w:rPr>
      </w:pPr>
      <w:r w:rsidRPr="00405F89">
        <w:rPr>
          <w:rFonts w:ascii="Arial" w:eastAsia="Times New Roman" w:hAnsi="Arial" w:cs="Arial"/>
        </w:rPr>
        <w:t xml:space="preserve">The recommended dose regimen of </w:t>
      </w:r>
      <w:r w:rsidR="00F8274A">
        <w:rPr>
          <w:rFonts w:ascii="Arial" w:eastAsia="Times New Roman" w:hAnsi="Arial" w:cs="Arial"/>
        </w:rPr>
        <w:t>ENTYVIO</w:t>
      </w:r>
      <w:r w:rsidRPr="00405F89">
        <w:rPr>
          <w:rFonts w:ascii="Arial" w:eastAsia="Times New Roman" w:hAnsi="Arial" w:cs="Arial"/>
        </w:rPr>
        <w:t xml:space="preserve"> is 300 mg administered by intravenous infusion at zero, two and six weeks and then every eight weeks thereafter. The treatment schedule is the same for ulcerative colitis and Crohn’s disease.</w:t>
      </w:r>
    </w:p>
    <w:p w:rsidR="00D53965" w:rsidRDefault="00030B8A" w:rsidP="00030B8A">
      <w:pPr>
        <w:spacing w:after="240" w:line="240" w:lineRule="auto"/>
        <w:jc w:val="both"/>
        <w:rPr>
          <w:rFonts w:ascii="Arial" w:eastAsia="Times New Roman" w:hAnsi="Arial" w:cs="Arial"/>
        </w:rPr>
      </w:pPr>
      <w:bookmarkStart w:id="66" w:name="_Toc178066716"/>
      <w:r w:rsidRPr="00030B8A">
        <w:rPr>
          <w:rFonts w:ascii="Arial" w:eastAsia="Times New Roman" w:hAnsi="Arial" w:cs="Arial"/>
        </w:rPr>
        <w:t>Patients should be reviewed within 6 to 8 weeks of c</w:t>
      </w:r>
      <w:r>
        <w:rPr>
          <w:rFonts w:ascii="Arial" w:eastAsia="Times New Roman" w:hAnsi="Arial" w:cs="Arial"/>
        </w:rPr>
        <w:t>ompleting the induction regimen</w:t>
      </w:r>
      <w:r w:rsidR="009176EF">
        <w:rPr>
          <w:rFonts w:ascii="Arial" w:eastAsia="Times New Roman" w:hAnsi="Arial" w:cs="Arial"/>
        </w:rPr>
        <w:t>, corresponding to 12-14 weeks after initiation of induction treatment</w:t>
      </w:r>
      <w:r w:rsidRPr="00030B8A">
        <w:rPr>
          <w:rFonts w:ascii="Arial" w:eastAsia="Times New Roman" w:hAnsi="Arial" w:cs="Arial"/>
        </w:rPr>
        <w:t xml:space="preserve">. Continued treatment is not recommended for patients who have not shown a clinical response </w:t>
      </w:r>
      <w:r w:rsidR="00D04AB7">
        <w:rPr>
          <w:rFonts w:ascii="Arial" w:eastAsia="Times New Roman" w:hAnsi="Arial" w:cs="Arial"/>
        </w:rPr>
        <w:t>by Week 14</w:t>
      </w:r>
      <w:r w:rsidR="00757653">
        <w:rPr>
          <w:rFonts w:ascii="Arial" w:eastAsia="Times New Roman" w:hAnsi="Arial" w:cs="Arial"/>
        </w:rPr>
        <w:t>.</w:t>
      </w:r>
      <w:r w:rsidR="00041E5C">
        <w:rPr>
          <w:rFonts w:ascii="Arial" w:eastAsia="Times New Roman" w:hAnsi="Arial" w:cs="Arial"/>
          <w:vanish/>
        </w:rPr>
        <w:t xml:space="preserve"> </w:t>
      </w:r>
    </w:p>
    <w:p w:rsidR="00D53965" w:rsidRPr="00D53965" w:rsidRDefault="00D04AB7" w:rsidP="00D53965">
      <w:pPr>
        <w:spacing w:after="240" w:line="240" w:lineRule="auto"/>
        <w:jc w:val="both"/>
        <w:rPr>
          <w:rFonts w:ascii="Arial" w:eastAsia="Times New Roman" w:hAnsi="Arial" w:cs="Arial"/>
        </w:rPr>
      </w:pPr>
      <w:r>
        <w:rPr>
          <w:rFonts w:ascii="Arial" w:eastAsia="Times New Roman" w:hAnsi="Arial" w:cs="Arial"/>
        </w:rPr>
        <w:t xml:space="preserve">In the </w:t>
      </w:r>
      <w:r w:rsidR="006D32EC">
        <w:rPr>
          <w:rFonts w:ascii="Arial" w:eastAsia="Times New Roman" w:hAnsi="Arial" w:cs="Arial"/>
        </w:rPr>
        <w:t>UC</w:t>
      </w:r>
      <w:r>
        <w:rPr>
          <w:rFonts w:ascii="Arial" w:eastAsia="Times New Roman" w:hAnsi="Arial" w:cs="Arial"/>
        </w:rPr>
        <w:t xml:space="preserve"> study, </w:t>
      </w:r>
      <w:r w:rsidR="00030B8A" w:rsidRPr="00030B8A">
        <w:rPr>
          <w:rFonts w:ascii="Arial" w:eastAsia="Times New Roman" w:hAnsi="Arial" w:cs="Arial"/>
        </w:rPr>
        <w:t xml:space="preserve">clinical response </w:t>
      </w:r>
      <w:r>
        <w:rPr>
          <w:rFonts w:ascii="Arial" w:eastAsia="Times New Roman" w:hAnsi="Arial" w:cs="Arial"/>
        </w:rPr>
        <w:t xml:space="preserve">was </w:t>
      </w:r>
      <w:r w:rsidR="008A2CC6">
        <w:rPr>
          <w:rFonts w:ascii="Arial" w:eastAsia="Times New Roman" w:hAnsi="Arial" w:cs="Arial"/>
        </w:rPr>
        <w:t>evaluated</w:t>
      </w:r>
      <w:r>
        <w:rPr>
          <w:rFonts w:ascii="Arial" w:eastAsia="Times New Roman" w:hAnsi="Arial" w:cs="Arial"/>
        </w:rPr>
        <w:t xml:space="preserve"> </w:t>
      </w:r>
      <w:r w:rsidR="008A2CC6">
        <w:rPr>
          <w:rFonts w:ascii="Arial" w:eastAsia="Times New Roman" w:hAnsi="Arial" w:cs="Arial"/>
        </w:rPr>
        <w:t>by</w:t>
      </w:r>
      <w:r>
        <w:rPr>
          <w:rFonts w:ascii="Arial" w:eastAsia="Times New Roman" w:hAnsi="Arial" w:cs="Arial"/>
        </w:rPr>
        <w:t xml:space="preserve"> </w:t>
      </w:r>
      <w:r w:rsidR="00517E24">
        <w:rPr>
          <w:rFonts w:ascii="Arial" w:eastAsia="Times New Roman" w:hAnsi="Arial" w:cs="Arial"/>
        </w:rPr>
        <w:t xml:space="preserve">either </w:t>
      </w:r>
      <w:r w:rsidR="00030B8A" w:rsidRPr="00030B8A">
        <w:rPr>
          <w:rFonts w:ascii="Arial" w:eastAsia="Times New Roman" w:hAnsi="Arial" w:cs="Arial"/>
        </w:rPr>
        <w:t xml:space="preserve">complete </w:t>
      </w:r>
      <w:r w:rsidR="00D53965">
        <w:rPr>
          <w:rFonts w:ascii="Arial" w:eastAsia="Times New Roman" w:hAnsi="Arial" w:cs="Arial"/>
        </w:rPr>
        <w:t xml:space="preserve">or partial </w:t>
      </w:r>
      <w:r w:rsidR="00030B8A" w:rsidRPr="00030B8A">
        <w:rPr>
          <w:rFonts w:ascii="Arial" w:eastAsia="Times New Roman" w:hAnsi="Arial" w:cs="Arial"/>
        </w:rPr>
        <w:t>Mayo score</w:t>
      </w:r>
      <w:r w:rsidR="00D53965">
        <w:rPr>
          <w:rFonts w:ascii="Arial" w:eastAsia="Times New Roman" w:hAnsi="Arial" w:cs="Arial"/>
        </w:rPr>
        <w:t xml:space="preserve">. Clinical response </w:t>
      </w:r>
      <w:r w:rsidR="00C03D55">
        <w:rPr>
          <w:rFonts w:ascii="Arial" w:eastAsia="Times New Roman" w:hAnsi="Arial" w:cs="Arial"/>
        </w:rPr>
        <w:t>was</w:t>
      </w:r>
      <w:r w:rsidR="00D53965">
        <w:rPr>
          <w:rFonts w:ascii="Arial" w:eastAsia="Times New Roman" w:hAnsi="Arial" w:cs="Arial"/>
        </w:rPr>
        <w:t xml:space="preserve"> defined as a reduction in complete Mayo score of </w:t>
      </w:r>
      <w:r w:rsidR="00030B8A" w:rsidRPr="00030B8A">
        <w:rPr>
          <w:rFonts w:ascii="Arial" w:eastAsia="Times New Roman" w:hAnsi="Arial" w:cs="Arial"/>
        </w:rPr>
        <w:t>≥3 points and ≥30% from baseline with an accompanying decrease in rectal bleeding subscore of ≥1 point or absolute rectal bleeding subscore of ≤1 point</w:t>
      </w:r>
      <w:r w:rsidR="00D53965">
        <w:rPr>
          <w:rFonts w:ascii="Arial" w:eastAsia="Times New Roman" w:hAnsi="Arial" w:cs="Arial"/>
        </w:rPr>
        <w:t xml:space="preserve"> or as a</w:t>
      </w:r>
      <w:r w:rsidR="00D53965" w:rsidRPr="00D53965">
        <w:rPr>
          <w:rFonts w:ascii="Arial" w:eastAsia="Times New Roman" w:hAnsi="Arial" w:cs="Arial"/>
        </w:rPr>
        <w:t xml:space="preserve"> reduction in partial Mayo score of </w:t>
      </w:r>
      <w:r w:rsidR="00D53965" w:rsidRPr="00030B8A">
        <w:rPr>
          <w:rFonts w:ascii="Arial" w:eastAsia="Times New Roman" w:hAnsi="Arial" w:cs="Arial"/>
        </w:rPr>
        <w:t>≥</w:t>
      </w:r>
      <w:r w:rsidR="00D53965" w:rsidRPr="00D53965">
        <w:rPr>
          <w:rFonts w:ascii="Arial" w:eastAsia="Times New Roman" w:hAnsi="Arial" w:cs="Arial"/>
        </w:rPr>
        <w:t xml:space="preserve">2 points and </w:t>
      </w:r>
      <w:r w:rsidR="00D53965" w:rsidRPr="00030B8A">
        <w:rPr>
          <w:rFonts w:ascii="Arial" w:eastAsia="Times New Roman" w:hAnsi="Arial" w:cs="Arial"/>
        </w:rPr>
        <w:t>≥</w:t>
      </w:r>
      <w:r w:rsidR="00D53965" w:rsidRPr="00D53965">
        <w:rPr>
          <w:rFonts w:ascii="Arial" w:eastAsia="Times New Roman" w:hAnsi="Arial" w:cs="Arial"/>
        </w:rPr>
        <w:t>25% from baseline</w:t>
      </w:r>
      <w:r w:rsidR="00D53965">
        <w:rPr>
          <w:rFonts w:ascii="Arial" w:eastAsia="Times New Roman" w:hAnsi="Arial" w:cs="Arial"/>
        </w:rPr>
        <w:t xml:space="preserve"> </w:t>
      </w:r>
      <w:r w:rsidR="00D53965" w:rsidRPr="00D53965">
        <w:rPr>
          <w:rFonts w:ascii="Arial" w:eastAsia="Times New Roman" w:hAnsi="Arial" w:cs="Arial"/>
        </w:rPr>
        <w:t xml:space="preserve">with an accompanying decrease in rectal bleeding subscore of </w:t>
      </w:r>
      <w:r w:rsidR="00D53965" w:rsidRPr="00030B8A">
        <w:rPr>
          <w:rFonts w:ascii="Arial" w:eastAsia="Times New Roman" w:hAnsi="Arial" w:cs="Arial"/>
        </w:rPr>
        <w:t>≥</w:t>
      </w:r>
      <w:r w:rsidR="00D53965" w:rsidRPr="00D53965">
        <w:rPr>
          <w:rFonts w:ascii="Arial" w:eastAsia="Times New Roman" w:hAnsi="Arial" w:cs="Arial"/>
        </w:rPr>
        <w:t>1 point</w:t>
      </w:r>
      <w:r w:rsidR="00D53965">
        <w:rPr>
          <w:rFonts w:ascii="Arial" w:eastAsia="Times New Roman" w:hAnsi="Arial" w:cs="Arial"/>
        </w:rPr>
        <w:t xml:space="preserve"> </w:t>
      </w:r>
      <w:r w:rsidR="00D53965" w:rsidRPr="00D53965">
        <w:rPr>
          <w:rFonts w:ascii="Arial" w:eastAsia="Times New Roman" w:hAnsi="Arial" w:cs="Arial"/>
        </w:rPr>
        <w:t xml:space="preserve">or absolute rectal bleeding subscore of </w:t>
      </w:r>
      <w:r w:rsidR="00D53965">
        <w:rPr>
          <w:rFonts w:ascii="Arial" w:eastAsia="Times New Roman" w:hAnsi="Arial" w:cs="Arial"/>
        </w:rPr>
        <w:t>≤</w:t>
      </w:r>
      <w:r w:rsidR="00D53965" w:rsidRPr="00D53965">
        <w:rPr>
          <w:rFonts w:ascii="Arial" w:eastAsia="Times New Roman" w:hAnsi="Arial" w:cs="Arial"/>
        </w:rPr>
        <w:t>1 point.</w:t>
      </w:r>
    </w:p>
    <w:p w:rsidR="00A02BF4" w:rsidRPr="00405F89" w:rsidRDefault="00D04AB7" w:rsidP="00030B8A">
      <w:pPr>
        <w:spacing w:after="240" w:line="240" w:lineRule="auto"/>
        <w:jc w:val="both"/>
        <w:rPr>
          <w:rFonts w:ascii="Arial" w:eastAsia="Times New Roman" w:hAnsi="Arial" w:cs="Arial"/>
        </w:rPr>
      </w:pPr>
      <w:r>
        <w:rPr>
          <w:rFonts w:ascii="Arial" w:eastAsia="Times New Roman" w:hAnsi="Arial" w:cs="Arial"/>
        </w:rPr>
        <w:t xml:space="preserve">In the </w:t>
      </w:r>
      <w:r w:rsidR="006D32EC">
        <w:rPr>
          <w:rFonts w:ascii="Arial" w:eastAsia="Times New Roman" w:hAnsi="Arial" w:cs="Arial"/>
        </w:rPr>
        <w:t>CD</w:t>
      </w:r>
      <w:r>
        <w:rPr>
          <w:rFonts w:ascii="Arial" w:eastAsia="Times New Roman" w:hAnsi="Arial" w:cs="Arial"/>
        </w:rPr>
        <w:t xml:space="preserve"> studies, </w:t>
      </w:r>
      <w:r w:rsidR="00030B8A" w:rsidRPr="00030B8A">
        <w:rPr>
          <w:rFonts w:ascii="Arial" w:eastAsia="Times New Roman" w:hAnsi="Arial" w:cs="Arial"/>
        </w:rPr>
        <w:t xml:space="preserve">clinical response </w:t>
      </w:r>
      <w:r>
        <w:rPr>
          <w:rFonts w:ascii="Arial" w:eastAsia="Times New Roman" w:hAnsi="Arial" w:cs="Arial"/>
        </w:rPr>
        <w:t>was</w:t>
      </w:r>
      <w:r w:rsidR="00030B8A" w:rsidRPr="00030B8A">
        <w:rPr>
          <w:rFonts w:ascii="Arial" w:eastAsia="Times New Roman" w:hAnsi="Arial" w:cs="Arial"/>
        </w:rPr>
        <w:t xml:space="preserve"> defined as ≥70-point decrease in CDAI score from baseline.</w:t>
      </w:r>
    </w:p>
    <w:p w:rsidR="00A02BF4" w:rsidRDefault="00A02BF4" w:rsidP="00A02BF4">
      <w:pPr>
        <w:spacing w:after="240" w:line="240" w:lineRule="auto"/>
        <w:jc w:val="both"/>
        <w:rPr>
          <w:rFonts w:ascii="Arial" w:eastAsia="Times New Roman" w:hAnsi="Arial" w:cs="Arial"/>
        </w:rPr>
      </w:pPr>
      <w:r w:rsidRPr="00405F89">
        <w:rPr>
          <w:rFonts w:ascii="Arial" w:eastAsia="Times New Roman" w:hAnsi="Arial" w:cs="Arial"/>
        </w:rPr>
        <w:t xml:space="preserve">During treatment with </w:t>
      </w:r>
      <w:r w:rsidR="00F8274A">
        <w:rPr>
          <w:rFonts w:ascii="Arial" w:eastAsia="Times New Roman" w:hAnsi="Arial" w:cs="Arial"/>
        </w:rPr>
        <w:t>ENTYVIO</w:t>
      </w:r>
      <w:r w:rsidRPr="00405F89">
        <w:rPr>
          <w:rFonts w:ascii="Arial" w:eastAsia="Times New Roman" w:hAnsi="Arial" w:cs="Arial"/>
        </w:rPr>
        <w:t>, corticosteroids may be reduced and/or discontinued in accordance with standard of care.</w:t>
      </w:r>
    </w:p>
    <w:bookmarkEnd w:id="66"/>
    <w:p w:rsidR="00A02BF4" w:rsidRPr="00405F89" w:rsidRDefault="00A02BF4" w:rsidP="00A02BF4">
      <w:pPr>
        <w:spacing w:after="240" w:line="240" w:lineRule="auto"/>
        <w:jc w:val="both"/>
        <w:rPr>
          <w:rFonts w:ascii="Arial" w:eastAsia="Times New Roman" w:hAnsi="Arial" w:cs="Arial"/>
          <w:b/>
        </w:rPr>
      </w:pPr>
      <w:r w:rsidRPr="00405F89">
        <w:rPr>
          <w:rFonts w:ascii="Arial" w:eastAsia="Times New Roman" w:hAnsi="Arial" w:cs="Arial"/>
          <w:b/>
        </w:rPr>
        <w:t>Method of administration</w:t>
      </w:r>
    </w:p>
    <w:p w:rsidR="00CF209C" w:rsidRPr="00940377" w:rsidRDefault="00F8274A" w:rsidP="00CF209C">
      <w:pPr>
        <w:spacing w:after="240" w:line="240" w:lineRule="auto"/>
        <w:jc w:val="both"/>
        <w:rPr>
          <w:rFonts w:ascii="Arial" w:eastAsia="Times New Roman" w:hAnsi="Arial" w:cs="Arial"/>
          <w:u w:val="single"/>
        </w:rPr>
      </w:pPr>
      <w:r>
        <w:rPr>
          <w:rFonts w:ascii="Arial" w:eastAsia="Times New Roman" w:hAnsi="Arial" w:cs="Arial"/>
        </w:rPr>
        <w:t>ENTYVIO</w:t>
      </w:r>
      <w:r w:rsidR="00A02BF4" w:rsidRPr="00405F89">
        <w:rPr>
          <w:rFonts w:ascii="Arial" w:eastAsia="Times New Roman" w:hAnsi="Arial" w:cs="Arial"/>
        </w:rPr>
        <w:t xml:space="preserve"> is to be reconstituted and further diluted prio</w:t>
      </w:r>
      <w:r w:rsidR="001924CF">
        <w:rPr>
          <w:rFonts w:ascii="Arial" w:eastAsia="Times New Roman" w:hAnsi="Arial" w:cs="Arial"/>
        </w:rPr>
        <w:t>r to intravenous administration</w:t>
      </w:r>
      <w:r w:rsidR="008E0EF1">
        <w:rPr>
          <w:rFonts w:ascii="Arial" w:eastAsia="Times New Roman" w:hAnsi="Arial" w:cs="Arial"/>
        </w:rPr>
        <w:t xml:space="preserve"> (please see instructions below)</w:t>
      </w:r>
      <w:r w:rsidR="00CF209C">
        <w:rPr>
          <w:rFonts w:ascii="Arial" w:eastAsia="Times New Roman" w:hAnsi="Arial" w:cs="Arial"/>
        </w:rPr>
        <w:t>.</w:t>
      </w:r>
    </w:p>
    <w:p w:rsidR="00A02BF4" w:rsidRDefault="00F8274A" w:rsidP="00A02BF4">
      <w:pPr>
        <w:spacing w:after="240" w:line="240" w:lineRule="auto"/>
        <w:jc w:val="both"/>
        <w:rPr>
          <w:rFonts w:ascii="Arial" w:eastAsia="Times New Roman" w:hAnsi="Arial" w:cs="Arial"/>
        </w:rPr>
      </w:pPr>
      <w:r>
        <w:rPr>
          <w:rFonts w:ascii="Arial" w:eastAsia="Times New Roman" w:hAnsi="Arial" w:cs="Arial"/>
        </w:rPr>
        <w:t>ENTYVIO</w:t>
      </w:r>
      <w:r w:rsidR="00A02BF4" w:rsidRPr="00405F89">
        <w:rPr>
          <w:rFonts w:ascii="Arial" w:eastAsia="Times New Roman" w:hAnsi="Arial" w:cs="Arial"/>
        </w:rPr>
        <w:t xml:space="preserve"> is administered as an intravenous infusion over 30 minutes. All patients should be observed during each infusion</w:t>
      </w:r>
      <w:r w:rsidR="004E6664">
        <w:rPr>
          <w:rFonts w:ascii="Arial" w:eastAsia="Times New Roman" w:hAnsi="Arial" w:cs="Arial"/>
        </w:rPr>
        <w:t xml:space="preserve"> and for an appropriate time after administration of ENTYVIO.  ENTYVIO should be administered by a healthcare professional prepared to manage anaphylaxis. Appropriate medical support measures should be available for immediate use</w:t>
      </w:r>
      <w:r w:rsidR="00A02BF4" w:rsidRPr="00405F89">
        <w:rPr>
          <w:rFonts w:ascii="Arial" w:eastAsia="Times New Roman" w:hAnsi="Arial" w:cs="Arial"/>
        </w:rPr>
        <w:t xml:space="preserve">. </w:t>
      </w:r>
    </w:p>
    <w:p w:rsidR="009944B8" w:rsidRDefault="009944B8" w:rsidP="009944B8">
      <w:pPr>
        <w:spacing w:after="240" w:line="240" w:lineRule="auto"/>
        <w:jc w:val="both"/>
        <w:rPr>
          <w:rFonts w:ascii="Arial" w:eastAsia="Times New Roman" w:hAnsi="Arial" w:cs="Arial"/>
        </w:rPr>
      </w:pPr>
      <w:r w:rsidRPr="009944B8">
        <w:rPr>
          <w:rFonts w:ascii="Arial" w:eastAsia="Times New Roman" w:hAnsi="Arial" w:cs="Arial"/>
        </w:rPr>
        <w:lastRenderedPageBreak/>
        <w:t>In the absence of compatibility studies, this medicinal product must not be mixed with other medicinal products.</w:t>
      </w:r>
    </w:p>
    <w:p w:rsidR="00940377" w:rsidRPr="00CF209C" w:rsidRDefault="00940377" w:rsidP="00940377">
      <w:pPr>
        <w:spacing w:after="240" w:line="240" w:lineRule="auto"/>
        <w:jc w:val="both"/>
        <w:rPr>
          <w:rFonts w:ascii="Arial" w:eastAsia="Times New Roman" w:hAnsi="Arial" w:cs="Arial"/>
          <w:b/>
        </w:rPr>
      </w:pPr>
      <w:r w:rsidRPr="00CF209C">
        <w:rPr>
          <w:rFonts w:ascii="Arial" w:eastAsia="Times New Roman" w:hAnsi="Arial" w:cs="Arial"/>
          <w:b/>
        </w:rPr>
        <w:t>Instructions for reconstitution and infusion</w:t>
      </w:r>
    </w:p>
    <w:p w:rsidR="00940377" w:rsidRPr="00940377" w:rsidRDefault="00F8274A" w:rsidP="00940377">
      <w:pPr>
        <w:spacing w:after="240" w:line="240" w:lineRule="auto"/>
        <w:jc w:val="both"/>
        <w:rPr>
          <w:rFonts w:ascii="Arial" w:eastAsia="Times New Roman" w:hAnsi="Arial" w:cs="Arial"/>
        </w:rPr>
      </w:pPr>
      <w:r>
        <w:rPr>
          <w:rFonts w:ascii="Arial" w:eastAsia="Times New Roman" w:hAnsi="Arial" w:cs="Arial"/>
        </w:rPr>
        <w:t>ENTYVIO</w:t>
      </w:r>
      <w:r w:rsidR="00CF209C" w:rsidRPr="00C92913">
        <w:rPr>
          <w:rFonts w:ascii="Arial" w:eastAsia="Times New Roman" w:hAnsi="Arial" w:cs="Arial"/>
        </w:rPr>
        <w:t xml:space="preserve"> </w:t>
      </w:r>
      <w:r w:rsidR="00940377" w:rsidRPr="00940377">
        <w:rPr>
          <w:rFonts w:ascii="Arial" w:eastAsia="Times New Roman" w:hAnsi="Arial" w:cs="Arial"/>
        </w:rPr>
        <w:t xml:space="preserve">does not contain preservatives. </w:t>
      </w:r>
      <w:r>
        <w:rPr>
          <w:rFonts w:ascii="Arial" w:eastAsia="Times New Roman" w:hAnsi="Arial" w:cs="Arial"/>
        </w:rPr>
        <w:t>ENTYVIO</w:t>
      </w:r>
      <w:r w:rsidR="00CF209C" w:rsidRPr="00C92913">
        <w:rPr>
          <w:rFonts w:ascii="Arial" w:eastAsia="Times New Roman" w:hAnsi="Arial" w:cs="Arial"/>
        </w:rPr>
        <w:t xml:space="preserve"> </w:t>
      </w:r>
      <w:r w:rsidR="00940377" w:rsidRPr="00940377">
        <w:rPr>
          <w:rFonts w:ascii="Arial" w:eastAsia="Times New Roman" w:hAnsi="Arial" w:cs="Arial"/>
        </w:rPr>
        <w:t>should be at room temperature when reconstituted.</w:t>
      </w:r>
    </w:p>
    <w:p w:rsidR="00940377" w:rsidRPr="00940377" w:rsidRDefault="00940377" w:rsidP="00940377">
      <w:pPr>
        <w:pStyle w:val="ListParagraph"/>
        <w:numPr>
          <w:ilvl w:val="0"/>
          <w:numId w:val="8"/>
        </w:numPr>
        <w:spacing w:after="240" w:line="240" w:lineRule="auto"/>
        <w:ind w:left="426" w:hanging="426"/>
        <w:jc w:val="both"/>
        <w:rPr>
          <w:rFonts w:ascii="Arial" w:eastAsia="Times New Roman" w:hAnsi="Arial" w:cs="Arial"/>
        </w:rPr>
      </w:pPr>
      <w:r w:rsidRPr="00940377">
        <w:rPr>
          <w:rFonts w:ascii="Arial" w:eastAsia="Times New Roman" w:hAnsi="Arial" w:cs="Arial"/>
        </w:rPr>
        <w:t xml:space="preserve">Use aseptic technique when preparing </w:t>
      </w:r>
      <w:r w:rsidR="00F8274A">
        <w:rPr>
          <w:rFonts w:ascii="Arial" w:eastAsia="Times New Roman" w:hAnsi="Arial" w:cs="Arial"/>
        </w:rPr>
        <w:t>ENTYVIO</w:t>
      </w:r>
      <w:r w:rsidR="00CF209C" w:rsidRPr="00C92913">
        <w:rPr>
          <w:rFonts w:ascii="Arial" w:eastAsia="Times New Roman" w:hAnsi="Arial" w:cs="Arial"/>
        </w:rPr>
        <w:t xml:space="preserve"> </w:t>
      </w:r>
      <w:r w:rsidRPr="00940377">
        <w:rPr>
          <w:rFonts w:ascii="Arial" w:eastAsia="Times New Roman" w:hAnsi="Arial" w:cs="Arial"/>
        </w:rPr>
        <w:t>solution for intravenous infusion. Remove flip</w:t>
      </w:r>
      <w:r w:rsidRPr="00940377">
        <w:rPr>
          <w:rFonts w:ascii="Arial" w:eastAsia="Times New Roman" w:hAnsi="Arial" w:cs="Arial"/>
        </w:rPr>
        <w:noBreakHyphen/>
        <w:t>off cap from the vial and wipe with alcohol swab. Reconstitute vedolizumab with 4.8 m</w:t>
      </w:r>
      <w:r w:rsidR="00817375">
        <w:rPr>
          <w:rFonts w:ascii="Arial" w:eastAsia="Times New Roman" w:hAnsi="Arial" w:cs="Arial"/>
        </w:rPr>
        <w:t>L</w:t>
      </w:r>
      <w:r w:rsidRPr="00940377">
        <w:rPr>
          <w:rFonts w:ascii="Arial" w:eastAsia="Times New Roman" w:hAnsi="Arial" w:cs="Arial"/>
        </w:rPr>
        <w:t xml:space="preserve"> of sterile water for injection, using a syringe with a 21</w:t>
      </w:r>
      <w:r w:rsidRPr="00940377">
        <w:rPr>
          <w:rFonts w:ascii="Arial" w:eastAsia="Times New Roman" w:hAnsi="Arial" w:cs="Arial"/>
        </w:rPr>
        <w:noBreakHyphen/>
        <w:t>25 gauge needle.</w:t>
      </w:r>
    </w:p>
    <w:p w:rsidR="00940377" w:rsidRPr="00940377" w:rsidRDefault="00940377" w:rsidP="00940377">
      <w:pPr>
        <w:pStyle w:val="ListParagraph"/>
        <w:numPr>
          <w:ilvl w:val="0"/>
          <w:numId w:val="8"/>
        </w:numPr>
        <w:spacing w:after="240" w:line="240" w:lineRule="auto"/>
        <w:ind w:left="426" w:hanging="426"/>
        <w:jc w:val="both"/>
        <w:rPr>
          <w:rFonts w:ascii="Arial" w:eastAsia="Times New Roman" w:hAnsi="Arial" w:cs="Arial"/>
        </w:rPr>
      </w:pPr>
      <w:r w:rsidRPr="00940377">
        <w:rPr>
          <w:rFonts w:ascii="Arial" w:eastAsia="Times New Roman" w:hAnsi="Arial" w:cs="Arial"/>
        </w:rPr>
        <w:t>Insert needle into the vial through the centre of the stopper and direct the stream of liquid to the wall of the vial to avoid excessive foaming.</w:t>
      </w:r>
    </w:p>
    <w:p w:rsidR="00940377" w:rsidRPr="00940377" w:rsidRDefault="00940377" w:rsidP="00940377">
      <w:pPr>
        <w:pStyle w:val="ListParagraph"/>
        <w:numPr>
          <w:ilvl w:val="0"/>
          <w:numId w:val="8"/>
        </w:numPr>
        <w:spacing w:after="240" w:line="240" w:lineRule="auto"/>
        <w:ind w:left="426" w:hanging="426"/>
        <w:jc w:val="both"/>
        <w:rPr>
          <w:rFonts w:ascii="Arial" w:eastAsia="Times New Roman" w:hAnsi="Arial" w:cs="Arial"/>
        </w:rPr>
      </w:pPr>
      <w:r w:rsidRPr="00940377">
        <w:rPr>
          <w:rFonts w:ascii="Arial" w:eastAsia="Times New Roman" w:hAnsi="Arial" w:cs="Arial"/>
        </w:rPr>
        <w:t>Gently swirl the vial for at least 15 seconds. Do not vigorously shake or invert.</w:t>
      </w:r>
    </w:p>
    <w:p w:rsidR="00940377" w:rsidRPr="00940377" w:rsidRDefault="00940377" w:rsidP="00940377">
      <w:pPr>
        <w:pStyle w:val="ListParagraph"/>
        <w:numPr>
          <w:ilvl w:val="0"/>
          <w:numId w:val="8"/>
        </w:numPr>
        <w:spacing w:after="240" w:line="240" w:lineRule="auto"/>
        <w:ind w:left="426" w:hanging="426"/>
        <w:jc w:val="both"/>
        <w:rPr>
          <w:rFonts w:ascii="Arial" w:eastAsia="Times New Roman" w:hAnsi="Arial" w:cs="Arial"/>
        </w:rPr>
      </w:pPr>
      <w:r w:rsidRPr="00940377">
        <w:rPr>
          <w:rFonts w:ascii="Arial" w:eastAsia="Times New Roman" w:hAnsi="Arial" w:cs="Arial"/>
        </w:rPr>
        <w:t>Let the vial sit for up to 20 minutes to allow for reconstitution and for any foam to settle; the vial can be swirled and inspected for dissolution during this time. If not fully dissolved after 20 minutes, allow another 10 minutes for dissolution.</w:t>
      </w:r>
    </w:p>
    <w:p w:rsidR="00940377" w:rsidRPr="00940377" w:rsidRDefault="00940377" w:rsidP="00940377">
      <w:pPr>
        <w:pStyle w:val="ListParagraph"/>
        <w:numPr>
          <w:ilvl w:val="0"/>
          <w:numId w:val="8"/>
        </w:numPr>
        <w:spacing w:after="240" w:line="240" w:lineRule="auto"/>
        <w:ind w:left="426" w:hanging="426"/>
        <w:jc w:val="both"/>
        <w:rPr>
          <w:rFonts w:ascii="Arial" w:eastAsia="Times New Roman" w:hAnsi="Arial" w:cs="Arial"/>
        </w:rPr>
      </w:pPr>
      <w:r w:rsidRPr="00940377">
        <w:rPr>
          <w:rFonts w:ascii="Arial" w:eastAsia="Times New Roman" w:hAnsi="Arial" w:cs="Arial"/>
        </w:rPr>
        <w:t>Inspect the reconstituted solution visually for particulate matter and discoloration prior to administration. Solution should be clear or opalescent, colourless to light yellow and free of visible particulates. Reconstituted solution with uncharacteristic colour or containing particulates must not be administered.</w:t>
      </w:r>
    </w:p>
    <w:p w:rsidR="00940377" w:rsidRPr="00940377" w:rsidRDefault="00940377" w:rsidP="00940377">
      <w:pPr>
        <w:pStyle w:val="ListParagraph"/>
        <w:numPr>
          <w:ilvl w:val="0"/>
          <w:numId w:val="8"/>
        </w:numPr>
        <w:spacing w:after="240" w:line="240" w:lineRule="auto"/>
        <w:ind w:left="426" w:hanging="426"/>
        <w:jc w:val="both"/>
        <w:rPr>
          <w:rFonts w:ascii="Arial" w:eastAsia="Times New Roman" w:hAnsi="Arial" w:cs="Arial"/>
        </w:rPr>
      </w:pPr>
      <w:r w:rsidRPr="00940377">
        <w:rPr>
          <w:rFonts w:ascii="Arial" w:eastAsia="Times New Roman" w:hAnsi="Arial" w:cs="Arial"/>
        </w:rPr>
        <w:t>Prior to withdrawing reconstituted solution from vial, gently invert vial 3 times.</w:t>
      </w:r>
    </w:p>
    <w:p w:rsidR="00940377" w:rsidRPr="00940377" w:rsidRDefault="00940377" w:rsidP="00940377">
      <w:pPr>
        <w:pStyle w:val="ListParagraph"/>
        <w:numPr>
          <w:ilvl w:val="0"/>
          <w:numId w:val="8"/>
        </w:numPr>
        <w:spacing w:after="240" w:line="240" w:lineRule="auto"/>
        <w:ind w:left="426" w:hanging="426"/>
        <w:jc w:val="both"/>
        <w:rPr>
          <w:rFonts w:ascii="Arial" w:eastAsia="Times New Roman" w:hAnsi="Arial" w:cs="Arial"/>
        </w:rPr>
      </w:pPr>
      <w:r w:rsidRPr="00940377">
        <w:rPr>
          <w:rFonts w:ascii="Arial" w:eastAsia="Times New Roman" w:hAnsi="Arial" w:cs="Arial"/>
        </w:rPr>
        <w:t>Withdraw 5 m</w:t>
      </w:r>
      <w:r w:rsidR="00817375">
        <w:rPr>
          <w:rFonts w:ascii="Arial" w:eastAsia="Times New Roman" w:hAnsi="Arial" w:cs="Arial"/>
        </w:rPr>
        <w:t>L</w:t>
      </w:r>
      <w:r w:rsidRPr="00940377">
        <w:rPr>
          <w:rFonts w:ascii="Arial" w:eastAsia="Times New Roman" w:hAnsi="Arial" w:cs="Arial"/>
        </w:rPr>
        <w:t xml:space="preserve"> (300 mg) of reconstituted </w:t>
      </w:r>
      <w:r w:rsidR="00F8274A">
        <w:rPr>
          <w:rFonts w:ascii="Arial" w:eastAsia="Times New Roman" w:hAnsi="Arial" w:cs="Arial"/>
        </w:rPr>
        <w:t>ENTYVIO</w:t>
      </w:r>
      <w:r w:rsidR="00CF209C" w:rsidRPr="00C92913">
        <w:rPr>
          <w:rFonts w:ascii="Arial" w:eastAsia="Times New Roman" w:hAnsi="Arial" w:cs="Arial"/>
        </w:rPr>
        <w:t xml:space="preserve"> </w:t>
      </w:r>
      <w:r w:rsidRPr="00940377">
        <w:rPr>
          <w:rFonts w:ascii="Arial" w:eastAsia="Times New Roman" w:hAnsi="Arial" w:cs="Arial"/>
        </w:rPr>
        <w:t>using a syringe with a 21</w:t>
      </w:r>
      <w:r w:rsidRPr="00940377">
        <w:rPr>
          <w:rFonts w:ascii="Arial" w:eastAsia="Times New Roman" w:hAnsi="Arial" w:cs="Arial"/>
        </w:rPr>
        <w:noBreakHyphen/>
        <w:t>25 gauge needle.</w:t>
      </w:r>
    </w:p>
    <w:p w:rsidR="00940377" w:rsidRPr="00940377" w:rsidRDefault="00940377" w:rsidP="00940377">
      <w:pPr>
        <w:pStyle w:val="ListParagraph"/>
        <w:numPr>
          <w:ilvl w:val="0"/>
          <w:numId w:val="8"/>
        </w:numPr>
        <w:spacing w:after="240" w:line="240" w:lineRule="auto"/>
        <w:ind w:left="426" w:hanging="426"/>
        <w:jc w:val="both"/>
        <w:rPr>
          <w:rFonts w:ascii="Arial" w:eastAsia="Times New Roman" w:hAnsi="Arial" w:cs="Arial"/>
        </w:rPr>
      </w:pPr>
      <w:r w:rsidRPr="00940377">
        <w:rPr>
          <w:rFonts w:ascii="Arial" w:eastAsia="Times New Roman" w:hAnsi="Arial" w:cs="Arial"/>
        </w:rPr>
        <w:t>Add the 5 m</w:t>
      </w:r>
      <w:r w:rsidR="00817375">
        <w:rPr>
          <w:rFonts w:ascii="Arial" w:eastAsia="Times New Roman" w:hAnsi="Arial" w:cs="Arial"/>
        </w:rPr>
        <w:t>L</w:t>
      </w:r>
      <w:r w:rsidRPr="00940377">
        <w:rPr>
          <w:rFonts w:ascii="Arial" w:eastAsia="Times New Roman" w:hAnsi="Arial" w:cs="Arial"/>
        </w:rPr>
        <w:t xml:space="preserve"> (300 mg) of reconstituted </w:t>
      </w:r>
      <w:r w:rsidR="00F8274A">
        <w:rPr>
          <w:rFonts w:ascii="Arial" w:eastAsia="Times New Roman" w:hAnsi="Arial" w:cs="Arial"/>
        </w:rPr>
        <w:t>ENTYVIO</w:t>
      </w:r>
      <w:r w:rsidR="00CF209C" w:rsidRPr="00C92913">
        <w:rPr>
          <w:rFonts w:ascii="Arial" w:eastAsia="Times New Roman" w:hAnsi="Arial" w:cs="Arial"/>
        </w:rPr>
        <w:t xml:space="preserve"> </w:t>
      </w:r>
      <w:r w:rsidRPr="00940377">
        <w:rPr>
          <w:rFonts w:ascii="Arial" w:eastAsia="Times New Roman" w:hAnsi="Arial" w:cs="Arial"/>
        </w:rPr>
        <w:t>to 250 m</w:t>
      </w:r>
      <w:r w:rsidR="00817375">
        <w:rPr>
          <w:rFonts w:ascii="Arial" w:eastAsia="Times New Roman" w:hAnsi="Arial" w:cs="Arial"/>
        </w:rPr>
        <w:t>L</w:t>
      </w:r>
      <w:r w:rsidRPr="00940377">
        <w:rPr>
          <w:rFonts w:ascii="Arial" w:eastAsia="Times New Roman" w:hAnsi="Arial" w:cs="Arial"/>
        </w:rPr>
        <w:t xml:space="preserve"> of sterile 0.9% sodium chloride solution, and gently mix the infusion bag (5 m</w:t>
      </w:r>
      <w:r w:rsidR="00817375">
        <w:rPr>
          <w:rFonts w:ascii="Arial" w:eastAsia="Times New Roman" w:hAnsi="Arial" w:cs="Arial"/>
        </w:rPr>
        <w:t>L</w:t>
      </w:r>
      <w:r w:rsidRPr="00940377">
        <w:rPr>
          <w:rFonts w:ascii="Arial" w:eastAsia="Times New Roman" w:hAnsi="Arial" w:cs="Arial"/>
        </w:rPr>
        <w:t xml:space="preserve"> of 0.</w:t>
      </w:r>
      <w:r w:rsidR="00817375">
        <w:rPr>
          <w:rFonts w:ascii="Arial" w:eastAsia="Times New Roman" w:hAnsi="Arial" w:cs="Arial"/>
        </w:rPr>
        <w:t>9% sodium chloride solution do</w:t>
      </w:r>
      <w:r w:rsidRPr="00940377">
        <w:rPr>
          <w:rFonts w:ascii="Arial" w:eastAsia="Times New Roman" w:hAnsi="Arial" w:cs="Arial"/>
        </w:rPr>
        <w:t xml:space="preserve"> not have to be withdrawn from the infusion bag prior to adding </w:t>
      </w:r>
      <w:r w:rsidR="00F8274A">
        <w:rPr>
          <w:rFonts w:ascii="Arial" w:eastAsia="Times New Roman" w:hAnsi="Arial" w:cs="Arial"/>
        </w:rPr>
        <w:t>ENTYVIO</w:t>
      </w:r>
      <w:r w:rsidRPr="00940377">
        <w:rPr>
          <w:rFonts w:ascii="Arial" w:eastAsia="Times New Roman" w:hAnsi="Arial" w:cs="Arial"/>
        </w:rPr>
        <w:t xml:space="preserve">). Do not add other medicinal products to the prepared infusion solution or intravenous infusion set. Administer the infusion solution over a period of not less than the infusion time recommended (see </w:t>
      </w:r>
      <w:r w:rsidR="00FC7B4B">
        <w:rPr>
          <w:rFonts w:ascii="Arial" w:eastAsia="Times New Roman" w:hAnsi="Arial" w:cs="Arial"/>
        </w:rPr>
        <w:t>DOSAGE AND ADMINISTRATION</w:t>
      </w:r>
      <w:r w:rsidRPr="00940377">
        <w:rPr>
          <w:rFonts w:ascii="Arial" w:eastAsia="Times New Roman" w:hAnsi="Arial" w:cs="Arial"/>
        </w:rPr>
        <w:t>).</w:t>
      </w:r>
    </w:p>
    <w:p w:rsidR="00940377" w:rsidRPr="00940377" w:rsidRDefault="00940377" w:rsidP="00940377">
      <w:pPr>
        <w:spacing w:after="240" w:line="240" w:lineRule="auto"/>
        <w:jc w:val="both"/>
        <w:rPr>
          <w:rFonts w:ascii="Arial" w:eastAsia="Times New Roman" w:hAnsi="Arial" w:cs="Arial"/>
        </w:rPr>
      </w:pPr>
      <w:r w:rsidRPr="00940377">
        <w:rPr>
          <w:rFonts w:ascii="Arial" w:eastAsia="Times New Roman" w:hAnsi="Arial" w:cs="Arial"/>
        </w:rPr>
        <w:t xml:space="preserve">Once reconstituted, the infusion solution should be used as </w:t>
      </w:r>
      <w:r w:rsidR="00A75EF3" w:rsidRPr="00A75EF3">
        <w:rPr>
          <w:rFonts w:ascii="Arial" w:eastAsia="Times New Roman" w:hAnsi="Arial" w:cs="Arial"/>
        </w:rPr>
        <w:t>soon as practicable after preparation</w:t>
      </w:r>
      <w:r w:rsidRPr="00940377">
        <w:rPr>
          <w:rFonts w:ascii="Arial" w:eastAsia="Times New Roman" w:hAnsi="Arial" w:cs="Arial"/>
        </w:rPr>
        <w:t xml:space="preserve">. However, if necessary, the infusion solution may be stored for up to 24 hours: this 24 hour hold may include up to </w:t>
      </w:r>
      <w:r w:rsidR="00A75EF3">
        <w:rPr>
          <w:rFonts w:ascii="Arial" w:eastAsia="Times New Roman" w:hAnsi="Arial" w:cs="Arial"/>
        </w:rPr>
        <w:t>6</w:t>
      </w:r>
      <w:r w:rsidR="00A75EF3" w:rsidRPr="00940377">
        <w:rPr>
          <w:rFonts w:ascii="Arial" w:eastAsia="Times New Roman" w:hAnsi="Arial" w:cs="Arial"/>
        </w:rPr>
        <w:t> </w:t>
      </w:r>
      <w:r w:rsidRPr="00940377">
        <w:rPr>
          <w:rFonts w:ascii="Arial" w:eastAsia="Times New Roman" w:hAnsi="Arial" w:cs="Arial"/>
        </w:rPr>
        <w:t>hours at 20</w:t>
      </w:r>
      <w:r w:rsidRPr="00940377">
        <w:rPr>
          <w:rFonts w:ascii="Arial" w:eastAsia="Times New Roman" w:hAnsi="Arial" w:cs="Arial"/>
        </w:rPr>
        <w:noBreakHyphen/>
        <w:t>25°C; any additional hold time must be at 2</w:t>
      </w:r>
      <w:r w:rsidRPr="00940377">
        <w:rPr>
          <w:rFonts w:ascii="Arial" w:eastAsia="Times New Roman" w:hAnsi="Arial" w:cs="Arial"/>
        </w:rPr>
        <w:noBreakHyphen/>
        <w:t>8°C. Do not freeze. Do not store any unused portion of the infusion solution for reuse.</w:t>
      </w:r>
    </w:p>
    <w:p w:rsidR="00940377" w:rsidRPr="00940377" w:rsidRDefault="00503A25" w:rsidP="00940377">
      <w:pPr>
        <w:spacing w:after="240" w:line="240" w:lineRule="auto"/>
        <w:jc w:val="both"/>
        <w:rPr>
          <w:rFonts w:ascii="Arial" w:eastAsia="Times New Roman" w:hAnsi="Arial" w:cs="Arial"/>
        </w:rPr>
      </w:pPr>
      <w:r w:rsidRPr="00503A25">
        <w:rPr>
          <w:rFonts w:ascii="Arial" w:eastAsia="Times New Roman" w:hAnsi="Arial" w:cs="Arial"/>
        </w:rPr>
        <w:t>Product is for single use in one patient only. Discard any residue.</w:t>
      </w:r>
      <w:r>
        <w:rPr>
          <w:rFonts w:ascii="Arial" w:eastAsia="Times New Roman" w:hAnsi="Arial" w:cs="Arial"/>
        </w:rPr>
        <w:t xml:space="preserve"> </w:t>
      </w:r>
      <w:r w:rsidR="00940377" w:rsidRPr="00940377">
        <w:rPr>
          <w:rFonts w:ascii="Arial" w:eastAsia="Times New Roman" w:hAnsi="Arial" w:cs="Arial"/>
        </w:rPr>
        <w:t>Any unused medicinal product or waste material should be disposed of in accordance with local requirements.</w:t>
      </w:r>
    </w:p>
    <w:p w:rsidR="00691008" w:rsidRDefault="002D31A3">
      <w:pPr>
        <w:pStyle w:val="NoSpacing"/>
        <w:spacing w:after="240"/>
        <w:jc w:val="both"/>
        <w:rPr>
          <w:rFonts w:ascii="Arial" w:hAnsi="Arial" w:cs="Arial"/>
          <w:b/>
        </w:rPr>
      </w:pPr>
      <w:r w:rsidRPr="002D31A3">
        <w:rPr>
          <w:rFonts w:ascii="Arial" w:hAnsi="Arial" w:cs="Arial"/>
          <w:b/>
        </w:rPr>
        <w:t>OVERDOSAGE</w:t>
      </w:r>
    </w:p>
    <w:p w:rsidR="00B569F0" w:rsidRPr="00B569F0" w:rsidRDefault="00B569F0" w:rsidP="00B569F0">
      <w:pPr>
        <w:spacing w:after="240" w:line="240" w:lineRule="auto"/>
        <w:jc w:val="both"/>
        <w:rPr>
          <w:rFonts w:ascii="Arial" w:eastAsia="Times New Roman" w:hAnsi="Arial" w:cs="Arial"/>
        </w:rPr>
      </w:pPr>
      <w:r w:rsidRPr="00B569F0">
        <w:rPr>
          <w:rFonts w:ascii="Arial" w:eastAsia="Times New Roman" w:hAnsi="Arial" w:cs="Arial"/>
        </w:rPr>
        <w:t>No dose</w:t>
      </w:r>
      <w:r w:rsidRPr="00B569F0">
        <w:rPr>
          <w:rFonts w:ascii="Arial" w:eastAsia="Times New Roman" w:hAnsi="Arial" w:cs="Arial"/>
        </w:rPr>
        <w:noBreakHyphen/>
        <w:t xml:space="preserve">limiting toxicity was seen in clinical trials. Doses up to 10 mg/kg (approximately 2.5 times the recommended dose) have been administered in clinical trials. </w:t>
      </w:r>
    </w:p>
    <w:p w:rsidR="006C404A" w:rsidRDefault="006C404A" w:rsidP="006C404A">
      <w:pPr>
        <w:pStyle w:val="NoSpacing"/>
        <w:spacing w:after="240"/>
        <w:jc w:val="both"/>
        <w:rPr>
          <w:rFonts w:ascii="Arial" w:hAnsi="Arial" w:cs="Arial"/>
        </w:rPr>
      </w:pPr>
      <w:r w:rsidRPr="006C404A">
        <w:rPr>
          <w:rFonts w:ascii="Arial" w:hAnsi="Arial" w:cs="Arial"/>
        </w:rPr>
        <w:t>For information on the management of overdose, contact the Poison Information Centre on 131126 (Australia).</w:t>
      </w:r>
    </w:p>
    <w:p w:rsidR="00691008" w:rsidRDefault="002D31A3">
      <w:pPr>
        <w:pStyle w:val="NoSpacing"/>
        <w:spacing w:after="240"/>
        <w:jc w:val="both"/>
        <w:rPr>
          <w:rFonts w:ascii="Arial" w:hAnsi="Arial" w:cs="Arial"/>
          <w:b/>
        </w:rPr>
      </w:pPr>
      <w:r w:rsidRPr="002D31A3">
        <w:rPr>
          <w:rFonts w:ascii="Arial" w:hAnsi="Arial" w:cs="Arial"/>
          <w:b/>
        </w:rPr>
        <w:t>PRESENTATION AND STORAGE CONDITIONS</w:t>
      </w:r>
    </w:p>
    <w:p w:rsidR="00BD2963" w:rsidRPr="00940377" w:rsidRDefault="00F8274A" w:rsidP="00940377">
      <w:pPr>
        <w:spacing w:after="240" w:line="240" w:lineRule="auto"/>
        <w:jc w:val="both"/>
        <w:rPr>
          <w:rFonts w:ascii="Arial" w:eastAsia="Times New Roman" w:hAnsi="Arial" w:cs="Arial"/>
        </w:rPr>
      </w:pPr>
      <w:r>
        <w:rPr>
          <w:rFonts w:ascii="Arial" w:eastAsia="Times New Roman" w:hAnsi="Arial" w:cs="Arial"/>
        </w:rPr>
        <w:lastRenderedPageBreak/>
        <w:t>ENTYVIO</w:t>
      </w:r>
      <w:r w:rsidR="00A02BF4" w:rsidRPr="00C92913">
        <w:rPr>
          <w:rFonts w:ascii="Arial" w:eastAsia="Times New Roman" w:hAnsi="Arial" w:cs="Arial"/>
        </w:rPr>
        <w:t xml:space="preserve"> </w:t>
      </w:r>
      <w:r w:rsidR="008E4C41">
        <w:rPr>
          <w:rFonts w:ascii="Arial" w:eastAsia="Times New Roman" w:hAnsi="Arial" w:cs="Arial"/>
        </w:rPr>
        <w:t xml:space="preserve">Powder for Injection </w:t>
      </w:r>
      <w:r w:rsidR="00A02BF4" w:rsidRPr="00C92913">
        <w:rPr>
          <w:rFonts w:ascii="Arial" w:eastAsia="Times New Roman" w:hAnsi="Arial" w:cs="Arial"/>
        </w:rPr>
        <w:t xml:space="preserve">is supplied as a sterile, white to off-white lyophilized </w:t>
      </w:r>
      <w:r w:rsidR="00C92913" w:rsidRPr="00C92913">
        <w:rPr>
          <w:rFonts w:ascii="Arial" w:eastAsia="Times New Roman" w:hAnsi="Arial" w:cs="Arial"/>
        </w:rPr>
        <w:t xml:space="preserve">cake or </w:t>
      </w:r>
      <w:r w:rsidR="00A02BF4" w:rsidRPr="00C92913">
        <w:rPr>
          <w:rFonts w:ascii="Arial" w:eastAsia="Times New Roman" w:hAnsi="Arial" w:cs="Arial"/>
        </w:rPr>
        <w:t>powder</w:t>
      </w:r>
      <w:r w:rsidR="00940377">
        <w:rPr>
          <w:rFonts w:ascii="Arial" w:eastAsia="Times New Roman" w:hAnsi="Arial" w:cs="Arial"/>
        </w:rPr>
        <w:t xml:space="preserve"> in a single-use </w:t>
      </w:r>
      <w:r w:rsidR="00940377" w:rsidRPr="00940377">
        <w:rPr>
          <w:rFonts w:ascii="Arial" w:eastAsia="Times New Roman" w:hAnsi="Arial" w:cs="Arial"/>
        </w:rPr>
        <w:t>vial</w:t>
      </w:r>
      <w:r w:rsidR="00A02BF4" w:rsidRPr="00C92913">
        <w:rPr>
          <w:rFonts w:ascii="Arial" w:eastAsia="Times New Roman" w:hAnsi="Arial" w:cs="Arial"/>
        </w:rPr>
        <w:t>. Each</w:t>
      </w:r>
      <w:r w:rsidR="00A02BF4" w:rsidRPr="00A309FC">
        <w:rPr>
          <w:rFonts w:ascii="Arial" w:eastAsia="Times New Roman" w:hAnsi="Arial" w:cs="Arial"/>
        </w:rPr>
        <w:t xml:space="preserve"> single-use vial contains 300 mg of vedolizumab.</w:t>
      </w:r>
      <w:r w:rsidR="008E4C41">
        <w:rPr>
          <w:rFonts w:ascii="Arial" w:eastAsia="Times New Roman" w:hAnsi="Arial" w:cs="Arial"/>
        </w:rPr>
        <w:t xml:space="preserve"> Each pack of ENTYVIO contains 1 </w:t>
      </w:r>
      <w:r w:rsidR="00F77275">
        <w:rPr>
          <w:rFonts w:ascii="Arial" w:eastAsia="Times New Roman" w:hAnsi="Arial" w:cs="Arial"/>
        </w:rPr>
        <w:t xml:space="preserve">glass </w:t>
      </w:r>
      <w:r w:rsidR="008E4C41">
        <w:rPr>
          <w:rFonts w:ascii="Arial" w:eastAsia="Times New Roman" w:hAnsi="Arial" w:cs="Arial"/>
        </w:rPr>
        <w:t>vial.</w:t>
      </w:r>
    </w:p>
    <w:p w:rsidR="00A02BF4" w:rsidRDefault="00A02BF4" w:rsidP="00A02BF4">
      <w:pPr>
        <w:spacing w:after="240" w:line="240" w:lineRule="auto"/>
        <w:jc w:val="both"/>
        <w:rPr>
          <w:rFonts w:ascii="Arial" w:eastAsia="Times New Roman" w:hAnsi="Arial" w:cs="Arial"/>
        </w:rPr>
      </w:pPr>
      <w:r w:rsidRPr="00D85D3E">
        <w:rPr>
          <w:rFonts w:ascii="Arial" w:eastAsia="Times New Roman" w:hAnsi="Arial" w:cs="Arial"/>
        </w:rPr>
        <w:t>Store at 2</w:t>
      </w:r>
      <w:r w:rsidRPr="00D85D3E">
        <w:rPr>
          <w:rFonts w:ascii="Arial" w:eastAsia="Times New Roman" w:hAnsi="Arial" w:cs="Arial"/>
          <w:vertAlign w:val="superscript"/>
        </w:rPr>
        <w:t>o</w:t>
      </w:r>
      <w:r w:rsidRPr="00D85D3E">
        <w:rPr>
          <w:rFonts w:ascii="Arial" w:eastAsia="Times New Roman" w:hAnsi="Arial" w:cs="Arial"/>
        </w:rPr>
        <w:t>C to 8</w:t>
      </w:r>
      <w:r w:rsidRPr="00D85D3E">
        <w:rPr>
          <w:rFonts w:ascii="Arial" w:eastAsia="Times New Roman" w:hAnsi="Arial" w:cs="Arial"/>
          <w:vertAlign w:val="superscript"/>
        </w:rPr>
        <w:t>o</w:t>
      </w:r>
      <w:r w:rsidRPr="00D85D3E">
        <w:rPr>
          <w:rFonts w:ascii="Arial" w:eastAsia="Times New Roman" w:hAnsi="Arial" w:cs="Arial"/>
        </w:rPr>
        <w:t>C</w:t>
      </w:r>
      <w:r w:rsidR="008E4C41">
        <w:rPr>
          <w:rFonts w:ascii="Arial" w:eastAsia="Times New Roman" w:hAnsi="Arial" w:cs="Arial"/>
        </w:rPr>
        <w:t xml:space="preserve"> (Refrigerate. Do not freeze).P</w:t>
      </w:r>
      <w:r w:rsidRPr="00D85D3E">
        <w:rPr>
          <w:rFonts w:ascii="Arial" w:eastAsia="Times New Roman" w:hAnsi="Arial" w:cs="Arial"/>
        </w:rPr>
        <w:t>rotect from light.</w:t>
      </w:r>
    </w:p>
    <w:p w:rsidR="00A02BF4" w:rsidRPr="00FE43D8" w:rsidRDefault="00A75EF3" w:rsidP="00A02BF4">
      <w:pPr>
        <w:spacing w:after="240" w:line="240" w:lineRule="auto"/>
        <w:jc w:val="both"/>
        <w:rPr>
          <w:rFonts w:ascii="Arial" w:eastAsia="Times New Roman" w:hAnsi="Arial" w:cs="Arial"/>
        </w:rPr>
      </w:pPr>
      <w:r w:rsidRPr="00A75EF3">
        <w:rPr>
          <w:rFonts w:ascii="Arial" w:eastAsia="Times New Roman" w:hAnsi="Arial" w:cs="Arial"/>
        </w:rPr>
        <w:t>To reduce microbiological hazard, use product as soon as practicable after preparation. If storage is necessary, hold at 2°C -8°C for not more than 24 hours. The maximum hold time of 24 hours for prepared infusion solution may include up to 6 hours at 20</w:t>
      </w:r>
      <w:r w:rsidRPr="00A75EF3">
        <w:rPr>
          <w:rFonts w:ascii="MS Gothic" w:eastAsia="MS Gothic" w:hAnsi="MS Gothic" w:cs="MS Gothic" w:hint="eastAsia"/>
        </w:rPr>
        <w:t>‑</w:t>
      </w:r>
      <w:r w:rsidRPr="00A75EF3">
        <w:rPr>
          <w:rFonts w:ascii="Arial" w:eastAsia="Times New Roman" w:hAnsi="Arial" w:cs="Arial"/>
        </w:rPr>
        <w:t>25°C with any remaining storage time kept within 2°C -8°C. Do not freeze. Do not store any unused portion of the infusion solution for reuse.</w:t>
      </w:r>
      <w:r w:rsidR="00A02BF4" w:rsidRPr="00FE43D8">
        <w:rPr>
          <w:rFonts w:ascii="Arial" w:eastAsia="Times New Roman" w:hAnsi="Arial" w:cs="Arial"/>
        </w:rPr>
        <w:t xml:space="preserve"> </w:t>
      </w:r>
    </w:p>
    <w:p w:rsidR="00691008" w:rsidRDefault="002D31A3">
      <w:pPr>
        <w:pStyle w:val="NoSpacing"/>
        <w:spacing w:after="240"/>
        <w:jc w:val="both"/>
        <w:rPr>
          <w:rFonts w:ascii="Arial" w:hAnsi="Arial" w:cs="Arial"/>
          <w:b/>
        </w:rPr>
      </w:pPr>
      <w:r w:rsidRPr="002D31A3">
        <w:rPr>
          <w:rFonts w:ascii="Arial" w:hAnsi="Arial" w:cs="Arial"/>
          <w:b/>
        </w:rPr>
        <w:t>NAME AND ADDRESS OF THE SPONSOR</w:t>
      </w:r>
    </w:p>
    <w:p w:rsidR="00A02BF4" w:rsidRDefault="00A02BF4" w:rsidP="00A02BF4">
      <w:pPr>
        <w:spacing w:after="0" w:line="240" w:lineRule="auto"/>
        <w:jc w:val="both"/>
        <w:rPr>
          <w:rFonts w:ascii="Arial" w:eastAsia="Times New Roman" w:hAnsi="Arial" w:cs="Arial"/>
        </w:rPr>
      </w:pPr>
      <w:r>
        <w:rPr>
          <w:rFonts w:ascii="Arial" w:eastAsia="Times New Roman" w:hAnsi="Arial" w:cs="Arial"/>
        </w:rPr>
        <w:t xml:space="preserve">Takeda Pharmaceuticals Australia </w:t>
      </w:r>
      <w:r w:rsidRPr="001B57F7">
        <w:rPr>
          <w:rFonts w:ascii="Arial" w:eastAsia="Times New Roman" w:hAnsi="Arial" w:cs="Arial"/>
        </w:rPr>
        <w:t>Pty Ltd</w:t>
      </w:r>
      <w:r w:rsidRPr="00A525A2" w:rsidDel="006A4E62">
        <w:rPr>
          <w:rFonts w:ascii="Arial" w:eastAsia="Times New Roman" w:hAnsi="Arial" w:cs="Arial"/>
        </w:rPr>
        <w:t xml:space="preserve"> </w:t>
      </w:r>
    </w:p>
    <w:p w:rsidR="00A02BF4" w:rsidRPr="00A525A2" w:rsidRDefault="00A02BF4" w:rsidP="00A02BF4">
      <w:pPr>
        <w:spacing w:after="0" w:line="240" w:lineRule="auto"/>
        <w:jc w:val="both"/>
        <w:rPr>
          <w:rFonts w:ascii="Arial" w:eastAsia="Times New Roman" w:hAnsi="Arial" w:cs="Arial"/>
        </w:rPr>
      </w:pPr>
      <w:r w:rsidRPr="00A525A2">
        <w:rPr>
          <w:rFonts w:ascii="Arial" w:eastAsia="Times New Roman" w:hAnsi="Arial" w:cs="Arial"/>
        </w:rPr>
        <w:t xml:space="preserve">2-4 </w:t>
      </w:r>
      <w:proofErr w:type="spellStart"/>
      <w:r w:rsidRPr="00A525A2">
        <w:rPr>
          <w:rFonts w:ascii="Arial" w:eastAsia="Times New Roman" w:hAnsi="Arial" w:cs="Arial"/>
        </w:rPr>
        <w:t>Lyonpark</w:t>
      </w:r>
      <w:proofErr w:type="spellEnd"/>
      <w:r w:rsidRPr="00A525A2">
        <w:rPr>
          <w:rFonts w:ascii="Arial" w:eastAsia="Times New Roman" w:hAnsi="Arial" w:cs="Arial"/>
        </w:rPr>
        <w:t xml:space="preserve"> Road</w:t>
      </w:r>
    </w:p>
    <w:p w:rsidR="00A02BF4" w:rsidRPr="00A525A2" w:rsidRDefault="00A02BF4" w:rsidP="00A02BF4">
      <w:pPr>
        <w:spacing w:after="240" w:line="240" w:lineRule="auto"/>
        <w:jc w:val="both"/>
        <w:rPr>
          <w:rFonts w:ascii="Arial" w:eastAsia="Times New Roman" w:hAnsi="Arial" w:cs="Arial"/>
        </w:rPr>
      </w:pPr>
      <w:r>
        <w:rPr>
          <w:rFonts w:ascii="Arial" w:eastAsia="Times New Roman" w:hAnsi="Arial" w:cs="Arial"/>
        </w:rPr>
        <w:t>Macquarie Park</w:t>
      </w:r>
      <w:r w:rsidRPr="001B57F7">
        <w:rPr>
          <w:rFonts w:ascii="Arial" w:eastAsia="Times New Roman" w:hAnsi="Arial" w:cs="Arial"/>
        </w:rPr>
        <w:t xml:space="preserve"> </w:t>
      </w:r>
      <w:r w:rsidRPr="00A525A2">
        <w:rPr>
          <w:rFonts w:ascii="Arial" w:eastAsia="Times New Roman" w:hAnsi="Arial" w:cs="Arial"/>
        </w:rPr>
        <w:t>NSW 2113</w:t>
      </w:r>
    </w:p>
    <w:p w:rsidR="00416438" w:rsidRDefault="00416438">
      <w:pPr>
        <w:rPr>
          <w:rFonts w:ascii="Arial" w:hAnsi="Arial" w:cs="Arial"/>
          <w:b/>
        </w:rPr>
      </w:pPr>
      <w:r>
        <w:rPr>
          <w:rFonts w:ascii="Arial" w:hAnsi="Arial" w:cs="Arial"/>
          <w:b/>
        </w:rPr>
        <w:br w:type="page"/>
      </w:r>
    </w:p>
    <w:p w:rsidR="00691008" w:rsidRDefault="002D31A3">
      <w:pPr>
        <w:spacing w:after="240" w:line="240" w:lineRule="auto"/>
        <w:jc w:val="both"/>
        <w:rPr>
          <w:rFonts w:ascii="Arial" w:hAnsi="Arial" w:cs="Arial"/>
          <w:b/>
        </w:rPr>
      </w:pPr>
      <w:r w:rsidRPr="002D31A3">
        <w:rPr>
          <w:rFonts w:ascii="Arial" w:hAnsi="Arial" w:cs="Arial"/>
          <w:b/>
        </w:rPr>
        <w:t>POISON SCHEDULE OF THE MEDICINE</w:t>
      </w:r>
    </w:p>
    <w:p w:rsidR="00A02BF4" w:rsidRPr="00FB3CBE" w:rsidRDefault="00A02BF4" w:rsidP="00A02BF4">
      <w:pPr>
        <w:spacing w:after="240" w:line="240" w:lineRule="auto"/>
        <w:jc w:val="both"/>
        <w:rPr>
          <w:rFonts w:ascii="Arial" w:eastAsia="Times New Roman" w:hAnsi="Arial" w:cs="Arial"/>
        </w:rPr>
      </w:pPr>
      <w:r w:rsidRPr="0011097F">
        <w:rPr>
          <w:rFonts w:ascii="Arial" w:eastAsia="Times New Roman" w:hAnsi="Arial" w:cs="Arial"/>
        </w:rPr>
        <w:t>Prescription Only Medicine</w:t>
      </w:r>
      <w:r>
        <w:rPr>
          <w:rFonts w:ascii="Arial" w:eastAsia="Times New Roman" w:hAnsi="Arial" w:cs="Arial"/>
        </w:rPr>
        <w:t xml:space="preserve"> (Schedule 4)</w:t>
      </w:r>
    </w:p>
    <w:p w:rsidR="00691008" w:rsidRDefault="002D31A3">
      <w:pPr>
        <w:pStyle w:val="NoSpacing"/>
        <w:spacing w:after="240"/>
        <w:jc w:val="both"/>
        <w:rPr>
          <w:rFonts w:ascii="Arial" w:hAnsi="Arial" w:cs="Arial"/>
          <w:b/>
        </w:rPr>
      </w:pPr>
      <w:r w:rsidRPr="002D31A3">
        <w:rPr>
          <w:rFonts w:ascii="Arial" w:hAnsi="Arial" w:cs="Arial"/>
          <w:b/>
        </w:rPr>
        <w:t>DATE OF FIRST INCLUSION IN THE AUSTRALIAN REGISTER OF THERAPEUTIC GOODS (the ARTG)</w:t>
      </w:r>
    </w:p>
    <w:p w:rsidR="00503A25" w:rsidRPr="008B7920" w:rsidRDefault="00B913C3" w:rsidP="003122AF">
      <w:pPr>
        <w:spacing w:after="240" w:line="240" w:lineRule="auto"/>
        <w:jc w:val="both"/>
        <w:rPr>
          <w:rFonts w:ascii="Arial" w:eastAsia="Times New Roman" w:hAnsi="Arial" w:cs="Arial"/>
          <w:i/>
        </w:rPr>
      </w:pPr>
      <w:r>
        <w:rPr>
          <w:rFonts w:ascii="Arial" w:eastAsia="Times New Roman" w:hAnsi="Arial" w:cs="Arial"/>
        </w:rPr>
        <w:t>27 June 2014</w:t>
      </w:r>
    </w:p>
    <w:sectPr w:rsidR="00503A25" w:rsidRPr="008B7920" w:rsidSect="00416438">
      <w:headerReference w:type="default" r:id="rId11"/>
      <w:footerReference w:type="default" r:id="rId12"/>
      <w:pgSz w:w="11906" w:h="16838"/>
      <w:pgMar w:top="1985" w:right="1440" w:bottom="1135" w:left="1440" w:header="708" w:footer="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6EF" w:rsidRDefault="009176EF" w:rsidP="00A20F6E">
      <w:pPr>
        <w:spacing w:after="0" w:line="240" w:lineRule="auto"/>
      </w:pPr>
      <w:r>
        <w:separator/>
      </w:r>
    </w:p>
  </w:endnote>
  <w:endnote w:type="continuationSeparator" w:id="0">
    <w:p w:rsidR="009176EF" w:rsidRDefault="009176EF" w:rsidP="00A2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74275"/>
      <w:docPartObj>
        <w:docPartGallery w:val="Page Numbers (Bottom of Page)"/>
        <w:docPartUnique/>
      </w:docPartObj>
    </w:sdtPr>
    <w:sdtEndPr/>
    <w:sdtContent>
      <w:p w:rsidR="009176EF" w:rsidRPr="00D138F5" w:rsidRDefault="009176EF">
        <w:pPr>
          <w:pStyle w:val="Footer"/>
          <w:jc w:val="right"/>
          <w:rPr>
            <w:i/>
          </w:rPr>
        </w:pPr>
      </w:p>
      <w:tbl>
        <w:tblPr>
          <w:tblW w:w="0" w:type="auto"/>
          <w:tblBorders>
            <w:top w:val="single" w:sz="4" w:space="0" w:color="auto"/>
          </w:tblBorders>
          <w:tblLook w:val="0000" w:firstRow="0" w:lastRow="0" w:firstColumn="0" w:lastColumn="0" w:noHBand="0" w:noVBand="0"/>
        </w:tblPr>
        <w:tblGrid>
          <w:gridCol w:w="3111"/>
          <w:gridCol w:w="3075"/>
          <w:gridCol w:w="3056"/>
        </w:tblGrid>
        <w:tr w:rsidR="009176EF" w:rsidRPr="00375386" w:rsidTr="002D7F2C">
          <w:tc>
            <w:tcPr>
              <w:tcW w:w="3382" w:type="dxa"/>
            </w:tcPr>
            <w:p w:rsidR="009176EF" w:rsidRPr="00375386" w:rsidRDefault="009176EF" w:rsidP="00AB6915">
              <w:pPr>
                <w:pStyle w:val="Footer"/>
                <w:tabs>
                  <w:tab w:val="right" w:pos="-1843"/>
                  <w:tab w:val="center" w:pos="4962"/>
                  <w:tab w:val="right" w:pos="9923"/>
                  <w:tab w:val="right" w:pos="10632"/>
                </w:tabs>
                <w:rPr>
                  <w:rStyle w:val="PageNumber"/>
                  <w:rFonts w:ascii="Arial" w:hAnsi="Arial" w:cs="Arial"/>
                  <w:bCs/>
                  <w:i/>
                  <w:iCs/>
                  <w:sz w:val="18"/>
                  <w:szCs w:val="18"/>
                </w:rPr>
              </w:pPr>
              <w:r w:rsidRPr="00375386">
                <w:rPr>
                  <w:rFonts w:ascii="Arial" w:hAnsi="Arial" w:cs="Arial"/>
                  <w:bCs/>
                  <w:i/>
                  <w:iCs/>
                  <w:sz w:val="18"/>
                  <w:szCs w:val="18"/>
                </w:rPr>
                <w:t>ENTYVIO</w:t>
              </w:r>
              <w:r w:rsidRPr="00375386">
                <w:rPr>
                  <w:rFonts w:ascii="Arial" w:hAnsi="Arial" w:cs="Arial"/>
                  <w:bCs/>
                  <w:i/>
                  <w:iCs/>
                  <w:sz w:val="18"/>
                  <w:szCs w:val="18"/>
                  <w:vertAlign w:val="superscript"/>
                </w:rPr>
                <w:t>®</w:t>
              </w:r>
              <w:r w:rsidRPr="00375386">
                <w:rPr>
                  <w:rFonts w:ascii="Arial" w:hAnsi="Arial" w:cs="Arial"/>
                  <w:bCs/>
                  <w:i/>
                  <w:iCs/>
                  <w:sz w:val="18"/>
                  <w:szCs w:val="18"/>
                </w:rPr>
                <w:t xml:space="preserve"> PI </w:t>
              </w:r>
              <w:r w:rsidR="00DB137B">
                <w:rPr>
                  <w:rFonts w:ascii="Arial" w:hAnsi="Arial" w:cs="Arial"/>
                  <w:bCs/>
                  <w:i/>
                  <w:iCs/>
                  <w:sz w:val="18"/>
                  <w:szCs w:val="18"/>
                </w:rPr>
                <w:t xml:space="preserve"> </w:t>
              </w:r>
              <w:r>
                <w:rPr>
                  <w:rFonts w:ascii="Arial" w:hAnsi="Arial" w:cs="Arial"/>
                  <w:bCs/>
                  <w:i/>
                  <w:iCs/>
                  <w:vanish/>
                  <w:sz w:val="18"/>
                  <w:szCs w:val="18"/>
                </w:rPr>
                <w:t>draft</w:t>
              </w:r>
            </w:p>
          </w:tc>
          <w:tc>
            <w:tcPr>
              <w:tcW w:w="3382" w:type="dxa"/>
            </w:tcPr>
            <w:p w:rsidR="009176EF" w:rsidRPr="00375386" w:rsidRDefault="009176EF" w:rsidP="00AB6915">
              <w:pPr>
                <w:pStyle w:val="Footer"/>
                <w:tabs>
                  <w:tab w:val="right" w:pos="-1843"/>
                  <w:tab w:val="center" w:pos="4962"/>
                  <w:tab w:val="right" w:pos="9923"/>
                  <w:tab w:val="right" w:pos="10632"/>
                </w:tabs>
                <w:jc w:val="center"/>
                <w:rPr>
                  <w:rStyle w:val="PageNumber"/>
                  <w:rFonts w:ascii="Arial" w:hAnsi="Arial" w:cs="Arial"/>
                  <w:bCs/>
                  <w:i/>
                  <w:iCs/>
                  <w:sz w:val="18"/>
                  <w:szCs w:val="18"/>
                </w:rPr>
              </w:pPr>
              <w:r w:rsidRPr="00375386">
                <w:rPr>
                  <w:rStyle w:val="PageNumber"/>
                  <w:rFonts w:ascii="Arial" w:hAnsi="Arial" w:cs="Arial"/>
                  <w:bCs/>
                  <w:i/>
                  <w:iCs/>
                  <w:sz w:val="18"/>
                  <w:szCs w:val="18"/>
                </w:rPr>
                <w:t xml:space="preserve">version </w:t>
              </w:r>
              <w:r w:rsidR="00AB6915">
                <w:rPr>
                  <w:rStyle w:val="PageNumber"/>
                  <w:rFonts w:ascii="Arial" w:hAnsi="Arial" w:cs="Arial"/>
                  <w:bCs/>
                  <w:i/>
                  <w:iCs/>
                  <w:sz w:val="18"/>
                  <w:szCs w:val="18"/>
                </w:rPr>
                <w:t>1.0</w:t>
              </w:r>
            </w:p>
          </w:tc>
          <w:tc>
            <w:tcPr>
              <w:tcW w:w="3382" w:type="dxa"/>
            </w:tcPr>
            <w:p w:rsidR="009176EF" w:rsidRPr="00375386" w:rsidRDefault="009176EF" w:rsidP="002D7F2C">
              <w:pPr>
                <w:pStyle w:val="Footer"/>
                <w:tabs>
                  <w:tab w:val="right" w:pos="-1843"/>
                  <w:tab w:val="center" w:pos="4962"/>
                  <w:tab w:val="right" w:pos="9923"/>
                  <w:tab w:val="right" w:pos="10632"/>
                </w:tabs>
                <w:jc w:val="right"/>
                <w:rPr>
                  <w:rStyle w:val="PageNumber"/>
                  <w:rFonts w:ascii="Arial" w:hAnsi="Arial" w:cs="Arial"/>
                  <w:bCs/>
                  <w:i/>
                  <w:iCs/>
                  <w:sz w:val="18"/>
                  <w:szCs w:val="18"/>
                </w:rPr>
              </w:pPr>
              <w:r w:rsidRPr="00375386">
                <w:rPr>
                  <w:rFonts w:ascii="Arial" w:hAnsi="Arial" w:cs="Arial"/>
                  <w:bCs/>
                  <w:i/>
                  <w:iCs/>
                  <w:sz w:val="18"/>
                  <w:szCs w:val="18"/>
                </w:rPr>
                <w:t xml:space="preserve">Page </w:t>
              </w:r>
              <w:r w:rsidR="0051470C" w:rsidRPr="00375386">
                <w:rPr>
                  <w:rStyle w:val="PageNumber"/>
                  <w:rFonts w:ascii="Arial" w:hAnsi="Arial" w:cs="Arial"/>
                  <w:i/>
                  <w:iCs/>
                  <w:sz w:val="18"/>
                  <w:szCs w:val="18"/>
                </w:rPr>
                <w:fldChar w:fldCharType="begin"/>
              </w:r>
              <w:r w:rsidRPr="00375386">
                <w:rPr>
                  <w:rStyle w:val="PageNumber"/>
                  <w:rFonts w:ascii="Arial" w:hAnsi="Arial" w:cs="Arial"/>
                  <w:i/>
                  <w:iCs/>
                  <w:sz w:val="18"/>
                  <w:szCs w:val="18"/>
                </w:rPr>
                <w:instrText xml:space="preserve"> PAGE </w:instrText>
              </w:r>
              <w:r w:rsidR="0051470C" w:rsidRPr="00375386">
                <w:rPr>
                  <w:rStyle w:val="PageNumber"/>
                  <w:rFonts w:ascii="Arial" w:hAnsi="Arial" w:cs="Arial"/>
                  <w:i/>
                  <w:iCs/>
                  <w:sz w:val="18"/>
                  <w:szCs w:val="18"/>
                </w:rPr>
                <w:fldChar w:fldCharType="separate"/>
              </w:r>
              <w:r w:rsidR="00416438">
                <w:rPr>
                  <w:rStyle w:val="PageNumber"/>
                  <w:rFonts w:ascii="Arial" w:hAnsi="Arial" w:cs="Arial"/>
                  <w:i/>
                  <w:iCs/>
                  <w:noProof/>
                  <w:sz w:val="18"/>
                  <w:szCs w:val="18"/>
                </w:rPr>
                <w:t>16</w:t>
              </w:r>
              <w:r w:rsidR="0051470C" w:rsidRPr="00375386">
                <w:rPr>
                  <w:rStyle w:val="PageNumber"/>
                  <w:rFonts w:ascii="Arial" w:hAnsi="Arial" w:cs="Arial"/>
                  <w:i/>
                  <w:iCs/>
                  <w:sz w:val="18"/>
                  <w:szCs w:val="18"/>
                </w:rPr>
                <w:fldChar w:fldCharType="end"/>
              </w:r>
              <w:r w:rsidRPr="00375386">
                <w:rPr>
                  <w:rFonts w:ascii="Arial" w:hAnsi="Arial" w:cs="Arial"/>
                  <w:bCs/>
                  <w:i/>
                  <w:iCs/>
                  <w:sz w:val="18"/>
                  <w:szCs w:val="18"/>
                </w:rPr>
                <w:t xml:space="preserve"> </w:t>
              </w:r>
            </w:p>
          </w:tc>
        </w:tr>
      </w:tbl>
      <w:p w:rsidR="009176EF" w:rsidRDefault="00416438" w:rsidP="00503A25">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6EF" w:rsidRDefault="009176EF" w:rsidP="00A20F6E">
      <w:pPr>
        <w:spacing w:after="0" w:line="240" w:lineRule="auto"/>
      </w:pPr>
      <w:r>
        <w:separator/>
      </w:r>
    </w:p>
  </w:footnote>
  <w:footnote w:type="continuationSeparator" w:id="0">
    <w:p w:rsidR="009176EF" w:rsidRDefault="009176EF" w:rsidP="00A20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16438" w:rsidRPr="00416438" w:rsidTr="00D71D57">
      <w:tc>
        <w:tcPr>
          <w:tcW w:w="8720" w:type="dxa"/>
          <w:shd w:val="clear" w:color="auto" w:fill="E4F2E0"/>
        </w:tcPr>
        <w:p w:rsidR="00416438" w:rsidRPr="00416438" w:rsidRDefault="00416438" w:rsidP="00D71D57">
          <w:pPr>
            <w:spacing w:before="40" w:after="40"/>
            <w:rPr>
              <w:rFonts w:ascii="Cambria" w:hAnsi="Cambria"/>
              <w:b/>
              <w:sz w:val="20"/>
              <w:szCs w:val="20"/>
            </w:rPr>
          </w:pPr>
          <w:r w:rsidRPr="00416438">
            <w:rPr>
              <w:rFonts w:ascii="Cambria" w:hAnsi="Cambria"/>
              <w:b/>
              <w:sz w:val="20"/>
              <w:szCs w:val="20"/>
            </w:rPr>
            <w:t xml:space="preserve">Attachment 1: Product information for </w:t>
          </w:r>
          <w:proofErr w:type="spellStart"/>
          <w:r w:rsidRPr="00416438">
            <w:rPr>
              <w:rFonts w:ascii="Cambria" w:hAnsi="Cambria"/>
              <w:b/>
              <w:sz w:val="20"/>
              <w:szCs w:val="20"/>
            </w:rPr>
            <w:t>AusPAR</w:t>
          </w:r>
          <w:proofErr w:type="spellEnd"/>
          <w:r w:rsidRPr="00416438">
            <w:rPr>
              <w:rFonts w:ascii="Cambria" w:hAnsi="Cambria"/>
              <w:b/>
              <w:sz w:val="20"/>
              <w:szCs w:val="20"/>
            </w:rPr>
            <w:t xml:space="preserve"> </w:t>
          </w:r>
          <w:proofErr w:type="spellStart"/>
          <w:r w:rsidRPr="00416438">
            <w:rPr>
              <w:rFonts w:ascii="Cambria" w:hAnsi="Cambria"/>
              <w:b/>
              <w:sz w:val="20"/>
              <w:szCs w:val="20"/>
            </w:rPr>
            <w:t>Entyvio</w:t>
          </w:r>
          <w:proofErr w:type="spellEnd"/>
          <w:r w:rsidRPr="00416438">
            <w:rPr>
              <w:rFonts w:ascii="Cambria" w:hAnsi="Cambria"/>
              <w:b/>
              <w:sz w:val="20"/>
              <w:szCs w:val="20"/>
            </w:rPr>
            <w:t>/</w:t>
          </w:r>
          <w:proofErr w:type="spellStart"/>
          <w:r w:rsidRPr="00416438">
            <w:rPr>
              <w:rFonts w:ascii="Cambria" w:hAnsi="Cambria"/>
              <w:b/>
              <w:sz w:val="20"/>
              <w:szCs w:val="20"/>
            </w:rPr>
            <w:t>Kynteles</w:t>
          </w:r>
          <w:proofErr w:type="spellEnd"/>
          <w:r w:rsidRPr="00416438">
            <w:rPr>
              <w:rFonts w:ascii="Cambria" w:hAnsi="Cambria"/>
              <w:b/>
              <w:sz w:val="20"/>
              <w:szCs w:val="20"/>
            </w:rPr>
            <w:t xml:space="preserve"> </w:t>
          </w:r>
          <w:proofErr w:type="spellStart"/>
          <w:r w:rsidRPr="00416438">
            <w:rPr>
              <w:rFonts w:ascii="Cambria" w:hAnsi="Cambria"/>
              <w:b/>
              <w:sz w:val="20"/>
              <w:szCs w:val="20"/>
            </w:rPr>
            <w:t>Vedolizumab</w:t>
          </w:r>
          <w:proofErr w:type="spellEnd"/>
          <w:r w:rsidRPr="00416438">
            <w:rPr>
              <w:rFonts w:ascii="Cambria" w:hAnsi="Cambria"/>
              <w:b/>
              <w:sz w:val="20"/>
              <w:szCs w:val="20"/>
            </w:rPr>
            <w:t xml:space="preserve"> (</w:t>
          </w:r>
          <w:proofErr w:type="spellStart"/>
          <w:r w:rsidRPr="00416438">
            <w:rPr>
              <w:rFonts w:ascii="Cambria" w:hAnsi="Cambria"/>
              <w:b/>
              <w:sz w:val="20"/>
              <w:szCs w:val="20"/>
            </w:rPr>
            <w:t>rch</w:t>
          </w:r>
          <w:proofErr w:type="spellEnd"/>
          <w:r w:rsidRPr="00416438">
            <w:rPr>
              <w:rFonts w:ascii="Cambria" w:hAnsi="Cambria"/>
              <w:b/>
              <w:sz w:val="20"/>
              <w:szCs w:val="20"/>
            </w:rPr>
            <w:t xml:space="preserve">) Takeda Pharmaceuticals Australia Pty Ltd PM-2013-01102-1-1 Date of Finalisation: 17 November 2014. This Product Information was approved at the time this </w:t>
          </w:r>
          <w:proofErr w:type="spellStart"/>
          <w:r w:rsidRPr="00416438">
            <w:rPr>
              <w:rFonts w:ascii="Cambria" w:hAnsi="Cambria"/>
              <w:b/>
              <w:sz w:val="20"/>
              <w:szCs w:val="20"/>
            </w:rPr>
            <w:t>AusPAR</w:t>
          </w:r>
          <w:proofErr w:type="spellEnd"/>
          <w:r w:rsidRPr="00416438">
            <w:rPr>
              <w:rFonts w:ascii="Cambria" w:hAnsi="Cambria"/>
              <w:b/>
              <w:sz w:val="20"/>
              <w:szCs w:val="20"/>
            </w:rPr>
            <w:t xml:space="preserve"> was published.</w:t>
          </w:r>
        </w:p>
      </w:tc>
    </w:tr>
  </w:tbl>
  <w:p w:rsidR="00416438" w:rsidRDefault="00416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6C0F"/>
    <w:multiLevelType w:val="hybridMultilevel"/>
    <w:tmpl w:val="1DE2E338"/>
    <w:lvl w:ilvl="0" w:tplc="0C090001">
      <w:start w:val="1"/>
      <w:numFmt w:val="bullet"/>
      <w:lvlText w:val=""/>
      <w:lvlJc w:val="left"/>
      <w:pPr>
        <w:ind w:left="720" w:hanging="360"/>
      </w:pPr>
      <w:rPr>
        <w:rFonts w:ascii="Symbol" w:hAnsi="Symbol" w:hint="default"/>
      </w:rPr>
    </w:lvl>
    <w:lvl w:ilvl="1" w:tplc="8C2625E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3B6008"/>
    <w:multiLevelType w:val="hybridMultilevel"/>
    <w:tmpl w:val="C944D18A"/>
    <w:lvl w:ilvl="0" w:tplc="75E89FE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94D1889"/>
    <w:multiLevelType w:val="hybridMultilevel"/>
    <w:tmpl w:val="76E23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ABE7001"/>
    <w:multiLevelType w:val="hybridMultilevel"/>
    <w:tmpl w:val="46EC5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5930019"/>
    <w:multiLevelType w:val="hybridMultilevel"/>
    <w:tmpl w:val="F26CC1B4"/>
    <w:lvl w:ilvl="0" w:tplc="0C09000F">
      <w:start w:val="1"/>
      <w:numFmt w:val="decimal"/>
      <w:lvlText w:val="%1."/>
      <w:lvlJc w:val="left"/>
      <w:pPr>
        <w:ind w:left="720" w:hanging="360"/>
      </w:pPr>
      <w:rPr>
        <w:rFonts w:hint="default"/>
      </w:rPr>
    </w:lvl>
    <w:lvl w:ilvl="1" w:tplc="8C2625E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5CC0E1C"/>
    <w:multiLevelType w:val="hybridMultilevel"/>
    <w:tmpl w:val="EFFE670C"/>
    <w:lvl w:ilvl="0" w:tplc="53681DEC">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D1267"/>
    <w:multiLevelType w:val="hybridMultilevel"/>
    <w:tmpl w:val="39D86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4DD7C8E"/>
    <w:multiLevelType w:val="hybridMultilevel"/>
    <w:tmpl w:val="40C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9E6244"/>
    <w:multiLevelType w:val="hybridMultilevel"/>
    <w:tmpl w:val="A50C4440"/>
    <w:lvl w:ilvl="0" w:tplc="B254F0AC">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2DD55FC"/>
    <w:multiLevelType w:val="multilevel"/>
    <w:tmpl w:val="D22E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303E6A"/>
    <w:multiLevelType w:val="hybridMultilevel"/>
    <w:tmpl w:val="76E23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C4117AE"/>
    <w:multiLevelType w:val="hybridMultilevel"/>
    <w:tmpl w:val="648839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6"/>
  </w:num>
  <w:num w:numId="5">
    <w:abstractNumId w:val="4"/>
  </w:num>
  <w:num w:numId="6">
    <w:abstractNumId w:val="5"/>
  </w:num>
  <w:num w:numId="7">
    <w:abstractNumId w:val="3"/>
  </w:num>
  <w:num w:numId="8">
    <w:abstractNumId w:val="11"/>
  </w:num>
  <w:num w:numId="9">
    <w:abstractNumId w:val="1"/>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revisionView w:markup="0"/>
  <w:doNotTrackFormatting/>
  <w:defaultTabStop w:val="720"/>
  <w:hyphenationZone w:val="425"/>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53"/>
    <w:rsid w:val="000012A3"/>
    <w:rsid w:val="000052D3"/>
    <w:rsid w:val="000066BE"/>
    <w:rsid w:val="0000676C"/>
    <w:rsid w:val="000123D1"/>
    <w:rsid w:val="00012683"/>
    <w:rsid w:val="00012DA7"/>
    <w:rsid w:val="000154F2"/>
    <w:rsid w:val="00024C76"/>
    <w:rsid w:val="0002661E"/>
    <w:rsid w:val="0002752E"/>
    <w:rsid w:val="00030B8A"/>
    <w:rsid w:val="00033286"/>
    <w:rsid w:val="0003432E"/>
    <w:rsid w:val="00034A2B"/>
    <w:rsid w:val="00037F74"/>
    <w:rsid w:val="00040987"/>
    <w:rsid w:val="00041852"/>
    <w:rsid w:val="00041E5C"/>
    <w:rsid w:val="00062F38"/>
    <w:rsid w:val="0006480E"/>
    <w:rsid w:val="00065E7F"/>
    <w:rsid w:val="000663CC"/>
    <w:rsid w:val="00067BB8"/>
    <w:rsid w:val="00067D4F"/>
    <w:rsid w:val="00071ACC"/>
    <w:rsid w:val="00073EBB"/>
    <w:rsid w:val="00075ED4"/>
    <w:rsid w:val="0008021D"/>
    <w:rsid w:val="00081F58"/>
    <w:rsid w:val="00085439"/>
    <w:rsid w:val="00087207"/>
    <w:rsid w:val="00090733"/>
    <w:rsid w:val="000966B0"/>
    <w:rsid w:val="00096927"/>
    <w:rsid w:val="00097A23"/>
    <w:rsid w:val="000A1C4D"/>
    <w:rsid w:val="000A1D15"/>
    <w:rsid w:val="000A64D1"/>
    <w:rsid w:val="000A73C4"/>
    <w:rsid w:val="000A7B2A"/>
    <w:rsid w:val="000B2464"/>
    <w:rsid w:val="000B2F0A"/>
    <w:rsid w:val="000B2F3C"/>
    <w:rsid w:val="000B3652"/>
    <w:rsid w:val="000C0112"/>
    <w:rsid w:val="000C0554"/>
    <w:rsid w:val="000C13D1"/>
    <w:rsid w:val="000C34D0"/>
    <w:rsid w:val="000C7415"/>
    <w:rsid w:val="000C7BE2"/>
    <w:rsid w:val="000D2DE8"/>
    <w:rsid w:val="000D3769"/>
    <w:rsid w:val="000E0E30"/>
    <w:rsid w:val="000E5727"/>
    <w:rsid w:val="000E6A2C"/>
    <w:rsid w:val="000F11C8"/>
    <w:rsid w:val="000F1882"/>
    <w:rsid w:val="000F58C0"/>
    <w:rsid w:val="000F76C1"/>
    <w:rsid w:val="00101367"/>
    <w:rsid w:val="00105307"/>
    <w:rsid w:val="001058D2"/>
    <w:rsid w:val="0010653D"/>
    <w:rsid w:val="00106F41"/>
    <w:rsid w:val="00107FDA"/>
    <w:rsid w:val="00110D77"/>
    <w:rsid w:val="0012110F"/>
    <w:rsid w:val="001226ED"/>
    <w:rsid w:val="0012660C"/>
    <w:rsid w:val="00127472"/>
    <w:rsid w:val="00127A15"/>
    <w:rsid w:val="0013356B"/>
    <w:rsid w:val="001371D3"/>
    <w:rsid w:val="00137DAD"/>
    <w:rsid w:val="00137EA2"/>
    <w:rsid w:val="0014113D"/>
    <w:rsid w:val="001429B2"/>
    <w:rsid w:val="00143EC0"/>
    <w:rsid w:val="0014665D"/>
    <w:rsid w:val="00147525"/>
    <w:rsid w:val="00151C3C"/>
    <w:rsid w:val="001553DD"/>
    <w:rsid w:val="00156E43"/>
    <w:rsid w:val="00157687"/>
    <w:rsid w:val="00160FD4"/>
    <w:rsid w:val="00162771"/>
    <w:rsid w:val="00162DB6"/>
    <w:rsid w:val="0016489D"/>
    <w:rsid w:val="00166568"/>
    <w:rsid w:val="001712CE"/>
    <w:rsid w:val="00172428"/>
    <w:rsid w:val="00176746"/>
    <w:rsid w:val="0018329B"/>
    <w:rsid w:val="0018401D"/>
    <w:rsid w:val="001924CF"/>
    <w:rsid w:val="0019269C"/>
    <w:rsid w:val="001929B7"/>
    <w:rsid w:val="00193A63"/>
    <w:rsid w:val="00194F98"/>
    <w:rsid w:val="00196847"/>
    <w:rsid w:val="001971BC"/>
    <w:rsid w:val="00197AC9"/>
    <w:rsid w:val="001A4DE9"/>
    <w:rsid w:val="001A4F42"/>
    <w:rsid w:val="001A5016"/>
    <w:rsid w:val="001B208A"/>
    <w:rsid w:val="001B7304"/>
    <w:rsid w:val="001C3765"/>
    <w:rsid w:val="001C61E1"/>
    <w:rsid w:val="001D24BE"/>
    <w:rsid w:val="001D2A5F"/>
    <w:rsid w:val="001D37C9"/>
    <w:rsid w:val="001E0340"/>
    <w:rsid w:val="001E4505"/>
    <w:rsid w:val="001F025A"/>
    <w:rsid w:val="001F0E7D"/>
    <w:rsid w:val="001F1EB4"/>
    <w:rsid w:val="001F1FAB"/>
    <w:rsid w:val="001F2FEC"/>
    <w:rsid w:val="001F4327"/>
    <w:rsid w:val="001F5E97"/>
    <w:rsid w:val="001F7198"/>
    <w:rsid w:val="002019A9"/>
    <w:rsid w:val="00205B6A"/>
    <w:rsid w:val="00207089"/>
    <w:rsid w:val="00216F6E"/>
    <w:rsid w:val="002215BD"/>
    <w:rsid w:val="00221B35"/>
    <w:rsid w:val="00222700"/>
    <w:rsid w:val="00223942"/>
    <w:rsid w:val="00224DB7"/>
    <w:rsid w:val="00225323"/>
    <w:rsid w:val="00225CBC"/>
    <w:rsid w:val="00230696"/>
    <w:rsid w:val="00232996"/>
    <w:rsid w:val="00233771"/>
    <w:rsid w:val="00237618"/>
    <w:rsid w:val="00237C26"/>
    <w:rsid w:val="002456B8"/>
    <w:rsid w:val="00245861"/>
    <w:rsid w:val="002458EC"/>
    <w:rsid w:val="002478A2"/>
    <w:rsid w:val="00251B31"/>
    <w:rsid w:val="002551A8"/>
    <w:rsid w:val="00256E33"/>
    <w:rsid w:val="0025778C"/>
    <w:rsid w:val="0026282E"/>
    <w:rsid w:val="00264B70"/>
    <w:rsid w:val="00267272"/>
    <w:rsid w:val="00272150"/>
    <w:rsid w:val="00273F4E"/>
    <w:rsid w:val="00274D20"/>
    <w:rsid w:val="00280146"/>
    <w:rsid w:val="00282570"/>
    <w:rsid w:val="00282C80"/>
    <w:rsid w:val="002833DA"/>
    <w:rsid w:val="00286EB7"/>
    <w:rsid w:val="00287C3C"/>
    <w:rsid w:val="00290572"/>
    <w:rsid w:val="00294689"/>
    <w:rsid w:val="002953E2"/>
    <w:rsid w:val="0029592A"/>
    <w:rsid w:val="002A12A6"/>
    <w:rsid w:val="002A3CB1"/>
    <w:rsid w:val="002A720B"/>
    <w:rsid w:val="002A746F"/>
    <w:rsid w:val="002B296F"/>
    <w:rsid w:val="002B3E48"/>
    <w:rsid w:val="002B729F"/>
    <w:rsid w:val="002C6669"/>
    <w:rsid w:val="002D1025"/>
    <w:rsid w:val="002D10F8"/>
    <w:rsid w:val="002D2BA6"/>
    <w:rsid w:val="002D31A3"/>
    <w:rsid w:val="002D62FB"/>
    <w:rsid w:val="002D7716"/>
    <w:rsid w:val="002D7E74"/>
    <w:rsid w:val="002D7F2C"/>
    <w:rsid w:val="002E004E"/>
    <w:rsid w:val="002E0484"/>
    <w:rsid w:val="002E0AE4"/>
    <w:rsid w:val="002E1734"/>
    <w:rsid w:val="002E450D"/>
    <w:rsid w:val="002E4BC3"/>
    <w:rsid w:val="002F0915"/>
    <w:rsid w:val="002F09ED"/>
    <w:rsid w:val="002F0D7B"/>
    <w:rsid w:val="002F0E26"/>
    <w:rsid w:val="002F3742"/>
    <w:rsid w:val="002F4A1F"/>
    <w:rsid w:val="002F4B3F"/>
    <w:rsid w:val="002F70B3"/>
    <w:rsid w:val="00305445"/>
    <w:rsid w:val="00307765"/>
    <w:rsid w:val="003122AF"/>
    <w:rsid w:val="00321B76"/>
    <w:rsid w:val="00322787"/>
    <w:rsid w:val="00326485"/>
    <w:rsid w:val="00330F27"/>
    <w:rsid w:val="00330F6A"/>
    <w:rsid w:val="0033170F"/>
    <w:rsid w:val="003328ED"/>
    <w:rsid w:val="00341ADE"/>
    <w:rsid w:val="00342A6F"/>
    <w:rsid w:val="00344676"/>
    <w:rsid w:val="00344C0D"/>
    <w:rsid w:val="00344DD7"/>
    <w:rsid w:val="00345E48"/>
    <w:rsid w:val="0035430F"/>
    <w:rsid w:val="003554F5"/>
    <w:rsid w:val="00355C9E"/>
    <w:rsid w:val="00356370"/>
    <w:rsid w:val="0036105C"/>
    <w:rsid w:val="00370FE9"/>
    <w:rsid w:val="00371079"/>
    <w:rsid w:val="00371CBD"/>
    <w:rsid w:val="00372824"/>
    <w:rsid w:val="0037304A"/>
    <w:rsid w:val="00373DAC"/>
    <w:rsid w:val="00375386"/>
    <w:rsid w:val="0038051D"/>
    <w:rsid w:val="0038102C"/>
    <w:rsid w:val="003829C0"/>
    <w:rsid w:val="00383079"/>
    <w:rsid w:val="00383505"/>
    <w:rsid w:val="00387DA3"/>
    <w:rsid w:val="003946B8"/>
    <w:rsid w:val="00395E46"/>
    <w:rsid w:val="00396951"/>
    <w:rsid w:val="0039756B"/>
    <w:rsid w:val="003A0957"/>
    <w:rsid w:val="003A178B"/>
    <w:rsid w:val="003A2592"/>
    <w:rsid w:val="003A47E0"/>
    <w:rsid w:val="003A736D"/>
    <w:rsid w:val="003B1539"/>
    <w:rsid w:val="003B16BB"/>
    <w:rsid w:val="003B1CF7"/>
    <w:rsid w:val="003B2A3C"/>
    <w:rsid w:val="003B6E28"/>
    <w:rsid w:val="003B791B"/>
    <w:rsid w:val="003C070D"/>
    <w:rsid w:val="003C0786"/>
    <w:rsid w:val="003C0FAB"/>
    <w:rsid w:val="003C1B83"/>
    <w:rsid w:val="003C7722"/>
    <w:rsid w:val="003D19F4"/>
    <w:rsid w:val="003D2F30"/>
    <w:rsid w:val="003D4309"/>
    <w:rsid w:val="003E487B"/>
    <w:rsid w:val="003E54FF"/>
    <w:rsid w:val="003F362F"/>
    <w:rsid w:val="003F46A5"/>
    <w:rsid w:val="003F4C3E"/>
    <w:rsid w:val="003F6600"/>
    <w:rsid w:val="00401E44"/>
    <w:rsid w:val="0040215A"/>
    <w:rsid w:val="00404049"/>
    <w:rsid w:val="00407D82"/>
    <w:rsid w:val="00412FDA"/>
    <w:rsid w:val="0041531D"/>
    <w:rsid w:val="00416438"/>
    <w:rsid w:val="00423554"/>
    <w:rsid w:val="00424A38"/>
    <w:rsid w:val="00427126"/>
    <w:rsid w:val="00427193"/>
    <w:rsid w:val="00430B31"/>
    <w:rsid w:val="00430D38"/>
    <w:rsid w:val="00432C66"/>
    <w:rsid w:val="00436F42"/>
    <w:rsid w:val="004410F0"/>
    <w:rsid w:val="00441694"/>
    <w:rsid w:val="00441EAC"/>
    <w:rsid w:val="0044568A"/>
    <w:rsid w:val="00445E54"/>
    <w:rsid w:val="00457FB3"/>
    <w:rsid w:val="0046270B"/>
    <w:rsid w:val="0046463A"/>
    <w:rsid w:val="0047113B"/>
    <w:rsid w:val="00473281"/>
    <w:rsid w:val="00473306"/>
    <w:rsid w:val="00473FE2"/>
    <w:rsid w:val="00474EFC"/>
    <w:rsid w:val="00483B39"/>
    <w:rsid w:val="00483DDA"/>
    <w:rsid w:val="00487A9F"/>
    <w:rsid w:val="004900BF"/>
    <w:rsid w:val="00490B2F"/>
    <w:rsid w:val="0049436A"/>
    <w:rsid w:val="004A2D96"/>
    <w:rsid w:val="004A3CFF"/>
    <w:rsid w:val="004A47AA"/>
    <w:rsid w:val="004A794A"/>
    <w:rsid w:val="004B07C9"/>
    <w:rsid w:val="004B6B12"/>
    <w:rsid w:val="004C028C"/>
    <w:rsid w:val="004C1A0A"/>
    <w:rsid w:val="004C699A"/>
    <w:rsid w:val="004C6C35"/>
    <w:rsid w:val="004D0939"/>
    <w:rsid w:val="004D28A8"/>
    <w:rsid w:val="004D3273"/>
    <w:rsid w:val="004D6E55"/>
    <w:rsid w:val="004D70D2"/>
    <w:rsid w:val="004E3D05"/>
    <w:rsid w:val="004E3EBE"/>
    <w:rsid w:val="004E502C"/>
    <w:rsid w:val="004E6664"/>
    <w:rsid w:val="004F3763"/>
    <w:rsid w:val="004F38C0"/>
    <w:rsid w:val="004F5082"/>
    <w:rsid w:val="00503A25"/>
    <w:rsid w:val="00504B5D"/>
    <w:rsid w:val="005053B9"/>
    <w:rsid w:val="00506327"/>
    <w:rsid w:val="005077EC"/>
    <w:rsid w:val="0051007D"/>
    <w:rsid w:val="0051224E"/>
    <w:rsid w:val="0051470C"/>
    <w:rsid w:val="00516C71"/>
    <w:rsid w:val="00517E24"/>
    <w:rsid w:val="00520DC9"/>
    <w:rsid w:val="005213F2"/>
    <w:rsid w:val="00523118"/>
    <w:rsid w:val="00526897"/>
    <w:rsid w:val="00533354"/>
    <w:rsid w:val="00535E7A"/>
    <w:rsid w:val="0054229B"/>
    <w:rsid w:val="00550974"/>
    <w:rsid w:val="00550CFF"/>
    <w:rsid w:val="00551158"/>
    <w:rsid w:val="00552E15"/>
    <w:rsid w:val="00553362"/>
    <w:rsid w:val="005567A6"/>
    <w:rsid w:val="00567D51"/>
    <w:rsid w:val="005707D7"/>
    <w:rsid w:val="00571BE9"/>
    <w:rsid w:val="00576768"/>
    <w:rsid w:val="00577E7E"/>
    <w:rsid w:val="0058650A"/>
    <w:rsid w:val="00586817"/>
    <w:rsid w:val="00587758"/>
    <w:rsid w:val="005901F5"/>
    <w:rsid w:val="00590BD7"/>
    <w:rsid w:val="00590F00"/>
    <w:rsid w:val="00591BAD"/>
    <w:rsid w:val="00594838"/>
    <w:rsid w:val="005A0E21"/>
    <w:rsid w:val="005A1D94"/>
    <w:rsid w:val="005A3868"/>
    <w:rsid w:val="005A68DB"/>
    <w:rsid w:val="005B0E92"/>
    <w:rsid w:val="005B2729"/>
    <w:rsid w:val="005B2EE3"/>
    <w:rsid w:val="005B38BB"/>
    <w:rsid w:val="005B5F6C"/>
    <w:rsid w:val="005B72ED"/>
    <w:rsid w:val="005C1A50"/>
    <w:rsid w:val="005C1A76"/>
    <w:rsid w:val="005C2CB8"/>
    <w:rsid w:val="005C43CD"/>
    <w:rsid w:val="005C54B8"/>
    <w:rsid w:val="005D364B"/>
    <w:rsid w:val="005D52EE"/>
    <w:rsid w:val="005D5D63"/>
    <w:rsid w:val="005E0467"/>
    <w:rsid w:val="005E1AF1"/>
    <w:rsid w:val="005E71AE"/>
    <w:rsid w:val="005F65A6"/>
    <w:rsid w:val="005F7925"/>
    <w:rsid w:val="005F7C07"/>
    <w:rsid w:val="00602017"/>
    <w:rsid w:val="0060517F"/>
    <w:rsid w:val="00605B67"/>
    <w:rsid w:val="00606956"/>
    <w:rsid w:val="00611FD6"/>
    <w:rsid w:val="006215A5"/>
    <w:rsid w:val="0062559A"/>
    <w:rsid w:val="00630BC7"/>
    <w:rsid w:val="006322A6"/>
    <w:rsid w:val="006329A9"/>
    <w:rsid w:val="00632F80"/>
    <w:rsid w:val="00633103"/>
    <w:rsid w:val="006334BF"/>
    <w:rsid w:val="00633C20"/>
    <w:rsid w:val="00634D75"/>
    <w:rsid w:val="0064072D"/>
    <w:rsid w:val="00640ABD"/>
    <w:rsid w:val="00641113"/>
    <w:rsid w:val="00643D49"/>
    <w:rsid w:val="00644110"/>
    <w:rsid w:val="00647E5C"/>
    <w:rsid w:val="0065079D"/>
    <w:rsid w:val="00650D77"/>
    <w:rsid w:val="00655F79"/>
    <w:rsid w:val="00657D7E"/>
    <w:rsid w:val="006646C5"/>
    <w:rsid w:val="00664E33"/>
    <w:rsid w:val="00666630"/>
    <w:rsid w:val="0066692A"/>
    <w:rsid w:val="00666ADD"/>
    <w:rsid w:val="00667FF5"/>
    <w:rsid w:val="00670C55"/>
    <w:rsid w:val="00672E0C"/>
    <w:rsid w:val="0067798C"/>
    <w:rsid w:val="00677CCF"/>
    <w:rsid w:val="00680513"/>
    <w:rsid w:val="006806B0"/>
    <w:rsid w:val="00691008"/>
    <w:rsid w:val="00693822"/>
    <w:rsid w:val="00693F49"/>
    <w:rsid w:val="00696696"/>
    <w:rsid w:val="006A026A"/>
    <w:rsid w:val="006A4D19"/>
    <w:rsid w:val="006B25BA"/>
    <w:rsid w:val="006B2A11"/>
    <w:rsid w:val="006B4D85"/>
    <w:rsid w:val="006C404A"/>
    <w:rsid w:val="006C473A"/>
    <w:rsid w:val="006C4CBC"/>
    <w:rsid w:val="006C5C0F"/>
    <w:rsid w:val="006C5CA0"/>
    <w:rsid w:val="006D1BE0"/>
    <w:rsid w:val="006D263C"/>
    <w:rsid w:val="006D2C0D"/>
    <w:rsid w:val="006D32EC"/>
    <w:rsid w:val="006D3CB5"/>
    <w:rsid w:val="006D4A67"/>
    <w:rsid w:val="006D6361"/>
    <w:rsid w:val="006D6C8F"/>
    <w:rsid w:val="006D76E4"/>
    <w:rsid w:val="006E118F"/>
    <w:rsid w:val="006E2A3E"/>
    <w:rsid w:val="006E412F"/>
    <w:rsid w:val="006F3CB0"/>
    <w:rsid w:val="006F3CD5"/>
    <w:rsid w:val="006F501B"/>
    <w:rsid w:val="0070038D"/>
    <w:rsid w:val="0070297E"/>
    <w:rsid w:val="007069BD"/>
    <w:rsid w:val="0071081A"/>
    <w:rsid w:val="00710837"/>
    <w:rsid w:val="00710D78"/>
    <w:rsid w:val="00711877"/>
    <w:rsid w:val="00712A18"/>
    <w:rsid w:val="00712F19"/>
    <w:rsid w:val="007201F1"/>
    <w:rsid w:val="007204D7"/>
    <w:rsid w:val="0072185D"/>
    <w:rsid w:val="00722C4F"/>
    <w:rsid w:val="00723254"/>
    <w:rsid w:val="00724BBB"/>
    <w:rsid w:val="00727C62"/>
    <w:rsid w:val="00732635"/>
    <w:rsid w:val="00732744"/>
    <w:rsid w:val="00732DF9"/>
    <w:rsid w:val="00734D01"/>
    <w:rsid w:val="007350F3"/>
    <w:rsid w:val="00735D7B"/>
    <w:rsid w:val="0074004E"/>
    <w:rsid w:val="007420B5"/>
    <w:rsid w:val="007504C1"/>
    <w:rsid w:val="00750AF7"/>
    <w:rsid w:val="00751347"/>
    <w:rsid w:val="00751662"/>
    <w:rsid w:val="00751F4B"/>
    <w:rsid w:val="0075217B"/>
    <w:rsid w:val="007561EC"/>
    <w:rsid w:val="00757653"/>
    <w:rsid w:val="007601FE"/>
    <w:rsid w:val="00760DDC"/>
    <w:rsid w:val="00762A5F"/>
    <w:rsid w:val="00762CA4"/>
    <w:rsid w:val="007725FF"/>
    <w:rsid w:val="00777A02"/>
    <w:rsid w:val="007816ED"/>
    <w:rsid w:val="00784076"/>
    <w:rsid w:val="00784E4B"/>
    <w:rsid w:val="0078514B"/>
    <w:rsid w:val="0079277B"/>
    <w:rsid w:val="0079417F"/>
    <w:rsid w:val="007958FE"/>
    <w:rsid w:val="00797CAC"/>
    <w:rsid w:val="007A0F5B"/>
    <w:rsid w:val="007A2B9F"/>
    <w:rsid w:val="007A3BF6"/>
    <w:rsid w:val="007A591B"/>
    <w:rsid w:val="007A77BD"/>
    <w:rsid w:val="007B2D64"/>
    <w:rsid w:val="007B3E84"/>
    <w:rsid w:val="007B6EEF"/>
    <w:rsid w:val="007C216C"/>
    <w:rsid w:val="007C217B"/>
    <w:rsid w:val="007C3F45"/>
    <w:rsid w:val="007C52E0"/>
    <w:rsid w:val="007C782B"/>
    <w:rsid w:val="007D0838"/>
    <w:rsid w:val="007D14E9"/>
    <w:rsid w:val="007D30A4"/>
    <w:rsid w:val="007D466B"/>
    <w:rsid w:val="007D66F0"/>
    <w:rsid w:val="007D6BB9"/>
    <w:rsid w:val="007E1482"/>
    <w:rsid w:val="007E3519"/>
    <w:rsid w:val="007E4C28"/>
    <w:rsid w:val="007F034A"/>
    <w:rsid w:val="007F0450"/>
    <w:rsid w:val="007F1D11"/>
    <w:rsid w:val="007F204F"/>
    <w:rsid w:val="007F3DF5"/>
    <w:rsid w:val="007F6870"/>
    <w:rsid w:val="00800299"/>
    <w:rsid w:val="00800606"/>
    <w:rsid w:val="00800C80"/>
    <w:rsid w:val="00805CA2"/>
    <w:rsid w:val="00807996"/>
    <w:rsid w:val="00810232"/>
    <w:rsid w:val="008114AC"/>
    <w:rsid w:val="008126AC"/>
    <w:rsid w:val="00812ABD"/>
    <w:rsid w:val="00813040"/>
    <w:rsid w:val="00813E6D"/>
    <w:rsid w:val="00813F5B"/>
    <w:rsid w:val="00814401"/>
    <w:rsid w:val="00814D21"/>
    <w:rsid w:val="00815720"/>
    <w:rsid w:val="00815D19"/>
    <w:rsid w:val="00815E80"/>
    <w:rsid w:val="00816B6A"/>
    <w:rsid w:val="00817375"/>
    <w:rsid w:val="00821CD5"/>
    <w:rsid w:val="00822250"/>
    <w:rsid w:val="00822897"/>
    <w:rsid w:val="00823847"/>
    <w:rsid w:val="0082427F"/>
    <w:rsid w:val="00826822"/>
    <w:rsid w:val="00827D4C"/>
    <w:rsid w:val="0083021B"/>
    <w:rsid w:val="00832ED9"/>
    <w:rsid w:val="00834FC9"/>
    <w:rsid w:val="00840110"/>
    <w:rsid w:val="00842E7E"/>
    <w:rsid w:val="00844709"/>
    <w:rsid w:val="00847451"/>
    <w:rsid w:val="00851CE1"/>
    <w:rsid w:val="008524D5"/>
    <w:rsid w:val="00853097"/>
    <w:rsid w:val="0085433C"/>
    <w:rsid w:val="0085460D"/>
    <w:rsid w:val="008565EB"/>
    <w:rsid w:val="008571A2"/>
    <w:rsid w:val="00861A39"/>
    <w:rsid w:val="008626D5"/>
    <w:rsid w:val="008650CC"/>
    <w:rsid w:val="00865500"/>
    <w:rsid w:val="00865986"/>
    <w:rsid w:val="00865C69"/>
    <w:rsid w:val="00866E8F"/>
    <w:rsid w:val="00870631"/>
    <w:rsid w:val="00871240"/>
    <w:rsid w:val="008721EF"/>
    <w:rsid w:val="00872D31"/>
    <w:rsid w:val="00874725"/>
    <w:rsid w:val="00874B05"/>
    <w:rsid w:val="008765CC"/>
    <w:rsid w:val="008775EC"/>
    <w:rsid w:val="008802A0"/>
    <w:rsid w:val="008829AE"/>
    <w:rsid w:val="0088391B"/>
    <w:rsid w:val="00893411"/>
    <w:rsid w:val="00893B4E"/>
    <w:rsid w:val="00897986"/>
    <w:rsid w:val="008A2CC6"/>
    <w:rsid w:val="008A367B"/>
    <w:rsid w:val="008A531D"/>
    <w:rsid w:val="008A6A48"/>
    <w:rsid w:val="008B0766"/>
    <w:rsid w:val="008B3743"/>
    <w:rsid w:val="008B4490"/>
    <w:rsid w:val="008B4DEB"/>
    <w:rsid w:val="008B77E3"/>
    <w:rsid w:val="008B7920"/>
    <w:rsid w:val="008C010D"/>
    <w:rsid w:val="008C0ACC"/>
    <w:rsid w:val="008C1469"/>
    <w:rsid w:val="008C1656"/>
    <w:rsid w:val="008C195F"/>
    <w:rsid w:val="008C4405"/>
    <w:rsid w:val="008C6992"/>
    <w:rsid w:val="008C7120"/>
    <w:rsid w:val="008D053E"/>
    <w:rsid w:val="008D0917"/>
    <w:rsid w:val="008D1516"/>
    <w:rsid w:val="008D202C"/>
    <w:rsid w:val="008D60CA"/>
    <w:rsid w:val="008D6F02"/>
    <w:rsid w:val="008D726F"/>
    <w:rsid w:val="008E0EF1"/>
    <w:rsid w:val="008E1B0F"/>
    <w:rsid w:val="008E1C29"/>
    <w:rsid w:val="008E22D8"/>
    <w:rsid w:val="008E3E92"/>
    <w:rsid w:val="008E4C41"/>
    <w:rsid w:val="008E4E7A"/>
    <w:rsid w:val="008E5409"/>
    <w:rsid w:val="008E5A7F"/>
    <w:rsid w:val="008E63A9"/>
    <w:rsid w:val="008F1135"/>
    <w:rsid w:val="008F3ED2"/>
    <w:rsid w:val="008F52F8"/>
    <w:rsid w:val="008F5F1B"/>
    <w:rsid w:val="00902484"/>
    <w:rsid w:val="00903824"/>
    <w:rsid w:val="009049B6"/>
    <w:rsid w:val="00904AA3"/>
    <w:rsid w:val="00906FFA"/>
    <w:rsid w:val="00910319"/>
    <w:rsid w:val="00911F14"/>
    <w:rsid w:val="00912CDF"/>
    <w:rsid w:val="009130E9"/>
    <w:rsid w:val="009135A9"/>
    <w:rsid w:val="0091407F"/>
    <w:rsid w:val="009176EF"/>
    <w:rsid w:val="00917B6A"/>
    <w:rsid w:val="00922E68"/>
    <w:rsid w:val="00926084"/>
    <w:rsid w:val="00932F5A"/>
    <w:rsid w:val="0093302F"/>
    <w:rsid w:val="0094002D"/>
    <w:rsid w:val="00940377"/>
    <w:rsid w:val="009429B5"/>
    <w:rsid w:val="0094351B"/>
    <w:rsid w:val="00943F5E"/>
    <w:rsid w:val="00944BA0"/>
    <w:rsid w:val="00950F37"/>
    <w:rsid w:val="00952140"/>
    <w:rsid w:val="00953B47"/>
    <w:rsid w:val="009550E4"/>
    <w:rsid w:val="0095746F"/>
    <w:rsid w:val="00957536"/>
    <w:rsid w:val="00961E75"/>
    <w:rsid w:val="0096502A"/>
    <w:rsid w:val="0096776A"/>
    <w:rsid w:val="00973F5B"/>
    <w:rsid w:val="00975B9B"/>
    <w:rsid w:val="00980B0D"/>
    <w:rsid w:val="00980D61"/>
    <w:rsid w:val="00983C8A"/>
    <w:rsid w:val="009844FA"/>
    <w:rsid w:val="009848EA"/>
    <w:rsid w:val="009864C2"/>
    <w:rsid w:val="009877AC"/>
    <w:rsid w:val="00987F39"/>
    <w:rsid w:val="00991C56"/>
    <w:rsid w:val="0099438C"/>
    <w:rsid w:val="009944B8"/>
    <w:rsid w:val="009946CC"/>
    <w:rsid w:val="009A0191"/>
    <w:rsid w:val="009A104D"/>
    <w:rsid w:val="009A3C19"/>
    <w:rsid w:val="009B3F39"/>
    <w:rsid w:val="009C18A4"/>
    <w:rsid w:val="009C36C0"/>
    <w:rsid w:val="009C41EA"/>
    <w:rsid w:val="009C4BAA"/>
    <w:rsid w:val="009C6320"/>
    <w:rsid w:val="009C7E4A"/>
    <w:rsid w:val="009D0D14"/>
    <w:rsid w:val="009D28BF"/>
    <w:rsid w:val="009D49F7"/>
    <w:rsid w:val="009E1D9C"/>
    <w:rsid w:val="009E4F43"/>
    <w:rsid w:val="009F1252"/>
    <w:rsid w:val="009F5B0F"/>
    <w:rsid w:val="009F72C7"/>
    <w:rsid w:val="00A005E7"/>
    <w:rsid w:val="00A02BF4"/>
    <w:rsid w:val="00A038BD"/>
    <w:rsid w:val="00A04411"/>
    <w:rsid w:val="00A05029"/>
    <w:rsid w:val="00A10CF7"/>
    <w:rsid w:val="00A11348"/>
    <w:rsid w:val="00A117DC"/>
    <w:rsid w:val="00A11824"/>
    <w:rsid w:val="00A15297"/>
    <w:rsid w:val="00A1545B"/>
    <w:rsid w:val="00A20F6E"/>
    <w:rsid w:val="00A24667"/>
    <w:rsid w:val="00A24872"/>
    <w:rsid w:val="00A35D20"/>
    <w:rsid w:val="00A40C3F"/>
    <w:rsid w:val="00A4314A"/>
    <w:rsid w:val="00A438AB"/>
    <w:rsid w:val="00A46313"/>
    <w:rsid w:val="00A52C3A"/>
    <w:rsid w:val="00A5451F"/>
    <w:rsid w:val="00A56752"/>
    <w:rsid w:val="00A56AC1"/>
    <w:rsid w:val="00A6018A"/>
    <w:rsid w:val="00A66F7B"/>
    <w:rsid w:val="00A7171B"/>
    <w:rsid w:val="00A72776"/>
    <w:rsid w:val="00A73F01"/>
    <w:rsid w:val="00A74839"/>
    <w:rsid w:val="00A75EF3"/>
    <w:rsid w:val="00A81FF6"/>
    <w:rsid w:val="00A826F7"/>
    <w:rsid w:val="00A82C6A"/>
    <w:rsid w:val="00A84219"/>
    <w:rsid w:val="00A90175"/>
    <w:rsid w:val="00A92185"/>
    <w:rsid w:val="00A959A3"/>
    <w:rsid w:val="00A97E9E"/>
    <w:rsid w:val="00AA1F82"/>
    <w:rsid w:val="00AA3191"/>
    <w:rsid w:val="00AA39BE"/>
    <w:rsid w:val="00AA3FE7"/>
    <w:rsid w:val="00AA6EB4"/>
    <w:rsid w:val="00AB5A53"/>
    <w:rsid w:val="00AB6915"/>
    <w:rsid w:val="00AB744A"/>
    <w:rsid w:val="00AC10E2"/>
    <w:rsid w:val="00AC1807"/>
    <w:rsid w:val="00AC24D7"/>
    <w:rsid w:val="00AC29E6"/>
    <w:rsid w:val="00AC593A"/>
    <w:rsid w:val="00AC7643"/>
    <w:rsid w:val="00AD11CF"/>
    <w:rsid w:val="00AD1426"/>
    <w:rsid w:val="00AD211E"/>
    <w:rsid w:val="00AD52E5"/>
    <w:rsid w:val="00AD6B54"/>
    <w:rsid w:val="00AE2365"/>
    <w:rsid w:val="00AE3072"/>
    <w:rsid w:val="00AE46A6"/>
    <w:rsid w:val="00AE52EB"/>
    <w:rsid w:val="00AE7C05"/>
    <w:rsid w:val="00AF017E"/>
    <w:rsid w:val="00AF4547"/>
    <w:rsid w:val="00AF5249"/>
    <w:rsid w:val="00AF653F"/>
    <w:rsid w:val="00AF735E"/>
    <w:rsid w:val="00B000A5"/>
    <w:rsid w:val="00B0150F"/>
    <w:rsid w:val="00B0409D"/>
    <w:rsid w:val="00B04A8C"/>
    <w:rsid w:val="00B0676F"/>
    <w:rsid w:val="00B0775C"/>
    <w:rsid w:val="00B11B0F"/>
    <w:rsid w:val="00B12E4E"/>
    <w:rsid w:val="00B13DE4"/>
    <w:rsid w:val="00B15AFB"/>
    <w:rsid w:val="00B17F38"/>
    <w:rsid w:val="00B20B3E"/>
    <w:rsid w:val="00B2388D"/>
    <w:rsid w:val="00B23D0B"/>
    <w:rsid w:val="00B243F8"/>
    <w:rsid w:val="00B247D9"/>
    <w:rsid w:val="00B252D3"/>
    <w:rsid w:val="00B27744"/>
    <w:rsid w:val="00B316CF"/>
    <w:rsid w:val="00B33C66"/>
    <w:rsid w:val="00B348DF"/>
    <w:rsid w:val="00B442F9"/>
    <w:rsid w:val="00B463A4"/>
    <w:rsid w:val="00B5103E"/>
    <w:rsid w:val="00B529DE"/>
    <w:rsid w:val="00B54C27"/>
    <w:rsid w:val="00B563DE"/>
    <w:rsid w:val="00B569F0"/>
    <w:rsid w:val="00B609FE"/>
    <w:rsid w:val="00B61695"/>
    <w:rsid w:val="00B639AF"/>
    <w:rsid w:val="00B65720"/>
    <w:rsid w:val="00B71431"/>
    <w:rsid w:val="00B7170E"/>
    <w:rsid w:val="00B72932"/>
    <w:rsid w:val="00B77D1A"/>
    <w:rsid w:val="00B8064F"/>
    <w:rsid w:val="00B8421A"/>
    <w:rsid w:val="00B84300"/>
    <w:rsid w:val="00B84C8D"/>
    <w:rsid w:val="00B866B0"/>
    <w:rsid w:val="00B8709F"/>
    <w:rsid w:val="00B912F3"/>
    <w:rsid w:val="00B913C3"/>
    <w:rsid w:val="00B91ACF"/>
    <w:rsid w:val="00B93162"/>
    <w:rsid w:val="00B9342A"/>
    <w:rsid w:val="00B95525"/>
    <w:rsid w:val="00B9769C"/>
    <w:rsid w:val="00BB0040"/>
    <w:rsid w:val="00BB18D6"/>
    <w:rsid w:val="00BB565A"/>
    <w:rsid w:val="00BB610D"/>
    <w:rsid w:val="00BC1E8E"/>
    <w:rsid w:val="00BC4327"/>
    <w:rsid w:val="00BC6F04"/>
    <w:rsid w:val="00BC70BF"/>
    <w:rsid w:val="00BD1CBC"/>
    <w:rsid w:val="00BD1E82"/>
    <w:rsid w:val="00BD2963"/>
    <w:rsid w:val="00BD2B47"/>
    <w:rsid w:val="00BD42D2"/>
    <w:rsid w:val="00BD5180"/>
    <w:rsid w:val="00BD7D16"/>
    <w:rsid w:val="00BE2CF7"/>
    <w:rsid w:val="00BE633C"/>
    <w:rsid w:val="00BF2370"/>
    <w:rsid w:val="00BF3536"/>
    <w:rsid w:val="00BF3575"/>
    <w:rsid w:val="00BF584D"/>
    <w:rsid w:val="00C00C20"/>
    <w:rsid w:val="00C01EEA"/>
    <w:rsid w:val="00C03D55"/>
    <w:rsid w:val="00C072FB"/>
    <w:rsid w:val="00C13B02"/>
    <w:rsid w:val="00C16612"/>
    <w:rsid w:val="00C16A3F"/>
    <w:rsid w:val="00C20783"/>
    <w:rsid w:val="00C22021"/>
    <w:rsid w:val="00C23C5A"/>
    <w:rsid w:val="00C24D82"/>
    <w:rsid w:val="00C259AF"/>
    <w:rsid w:val="00C27198"/>
    <w:rsid w:val="00C31387"/>
    <w:rsid w:val="00C4052B"/>
    <w:rsid w:val="00C41512"/>
    <w:rsid w:val="00C47578"/>
    <w:rsid w:val="00C515B2"/>
    <w:rsid w:val="00C52E2A"/>
    <w:rsid w:val="00C6010E"/>
    <w:rsid w:val="00C61645"/>
    <w:rsid w:val="00C62C09"/>
    <w:rsid w:val="00C64875"/>
    <w:rsid w:val="00C6564A"/>
    <w:rsid w:val="00C65E47"/>
    <w:rsid w:val="00C669A0"/>
    <w:rsid w:val="00C73778"/>
    <w:rsid w:val="00C74631"/>
    <w:rsid w:val="00C74646"/>
    <w:rsid w:val="00C81A4B"/>
    <w:rsid w:val="00C81E31"/>
    <w:rsid w:val="00C847CC"/>
    <w:rsid w:val="00C8595E"/>
    <w:rsid w:val="00C867EF"/>
    <w:rsid w:val="00C90457"/>
    <w:rsid w:val="00C908B7"/>
    <w:rsid w:val="00C912EC"/>
    <w:rsid w:val="00C92044"/>
    <w:rsid w:val="00C92913"/>
    <w:rsid w:val="00C94A5B"/>
    <w:rsid w:val="00C96BFC"/>
    <w:rsid w:val="00CA0200"/>
    <w:rsid w:val="00CA03F1"/>
    <w:rsid w:val="00CA180B"/>
    <w:rsid w:val="00CA1849"/>
    <w:rsid w:val="00CA28BE"/>
    <w:rsid w:val="00CA2CCD"/>
    <w:rsid w:val="00CA2D8A"/>
    <w:rsid w:val="00CA2D96"/>
    <w:rsid w:val="00CA6D6D"/>
    <w:rsid w:val="00CB3757"/>
    <w:rsid w:val="00CB49D2"/>
    <w:rsid w:val="00CB5B4A"/>
    <w:rsid w:val="00CB71FA"/>
    <w:rsid w:val="00CB7236"/>
    <w:rsid w:val="00CC32C4"/>
    <w:rsid w:val="00CC3338"/>
    <w:rsid w:val="00CC4BCD"/>
    <w:rsid w:val="00CC655A"/>
    <w:rsid w:val="00CD1C90"/>
    <w:rsid w:val="00CD220D"/>
    <w:rsid w:val="00CD6E4B"/>
    <w:rsid w:val="00CD6F6D"/>
    <w:rsid w:val="00CE3C00"/>
    <w:rsid w:val="00CE417E"/>
    <w:rsid w:val="00CE6309"/>
    <w:rsid w:val="00CF10B2"/>
    <w:rsid w:val="00CF1BEA"/>
    <w:rsid w:val="00CF209C"/>
    <w:rsid w:val="00CF2540"/>
    <w:rsid w:val="00CF49D0"/>
    <w:rsid w:val="00CF527C"/>
    <w:rsid w:val="00CF662A"/>
    <w:rsid w:val="00D0270C"/>
    <w:rsid w:val="00D03BBB"/>
    <w:rsid w:val="00D04083"/>
    <w:rsid w:val="00D041C0"/>
    <w:rsid w:val="00D04AB7"/>
    <w:rsid w:val="00D052D6"/>
    <w:rsid w:val="00D0538E"/>
    <w:rsid w:val="00D06AF2"/>
    <w:rsid w:val="00D138F5"/>
    <w:rsid w:val="00D15004"/>
    <w:rsid w:val="00D15D8F"/>
    <w:rsid w:val="00D1654F"/>
    <w:rsid w:val="00D217E5"/>
    <w:rsid w:val="00D218C8"/>
    <w:rsid w:val="00D22A07"/>
    <w:rsid w:val="00D23BD6"/>
    <w:rsid w:val="00D24DDD"/>
    <w:rsid w:val="00D24E0D"/>
    <w:rsid w:val="00D2505D"/>
    <w:rsid w:val="00D27EA1"/>
    <w:rsid w:val="00D30000"/>
    <w:rsid w:val="00D340E0"/>
    <w:rsid w:val="00D35464"/>
    <w:rsid w:val="00D3721B"/>
    <w:rsid w:val="00D40A96"/>
    <w:rsid w:val="00D40AC5"/>
    <w:rsid w:val="00D40DE8"/>
    <w:rsid w:val="00D42871"/>
    <w:rsid w:val="00D42D9D"/>
    <w:rsid w:val="00D42F5B"/>
    <w:rsid w:val="00D436A1"/>
    <w:rsid w:val="00D4671B"/>
    <w:rsid w:val="00D46F62"/>
    <w:rsid w:val="00D47772"/>
    <w:rsid w:val="00D51668"/>
    <w:rsid w:val="00D53919"/>
    <w:rsid w:val="00D53965"/>
    <w:rsid w:val="00D53A9C"/>
    <w:rsid w:val="00D542A5"/>
    <w:rsid w:val="00D54FE9"/>
    <w:rsid w:val="00D559FE"/>
    <w:rsid w:val="00D60A21"/>
    <w:rsid w:val="00D62CF4"/>
    <w:rsid w:val="00D63397"/>
    <w:rsid w:val="00D6632C"/>
    <w:rsid w:val="00D66BE4"/>
    <w:rsid w:val="00D66EFB"/>
    <w:rsid w:val="00D67393"/>
    <w:rsid w:val="00D736AF"/>
    <w:rsid w:val="00D77376"/>
    <w:rsid w:val="00D77901"/>
    <w:rsid w:val="00D81754"/>
    <w:rsid w:val="00D817C6"/>
    <w:rsid w:val="00D8659A"/>
    <w:rsid w:val="00D86A59"/>
    <w:rsid w:val="00D87B3F"/>
    <w:rsid w:val="00D9082E"/>
    <w:rsid w:val="00D915F3"/>
    <w:rsid w:val="00D94DAC"/>
    <w:rsid w:val="00D958CD"/>
    <w:rsid w:val="00D95C80"/>
    <w:rsid w:val="00DA111B"/>
    <w:rsid w:val="00DA1660"/>
    <w:rsid w:val="00DA277C"/>
    <w:rsid w:val="00DB02A8"/>
    <w:rsid w:val="00DB0949"/>
    <w:rsid w:val="00DB137B"/>
    <w:rsid w:val="00DB5600"/>
    <w:rsid w:val="00DB6548"/>
    <w:rsid w:val="00DB7AC0"/>
    <w:rsid w:val="00DC1C23"/>
    <w:rsid w:val="00DC325F"/>
    <w:rsid w:val="00DC6902"/>
    <w:rsid w:val="00DD0602"/>
    <w:rsid w:val="00DD37D9"/>
    <w:rsid w:val="00DD625A"/>
    <w:rsid w:val="00DE01A4"/>
    <w:rsid w:val="00DE3143"/>
    <w:rsid w:val="00DE3458"/>
    <w:rsid w:val="00DE3EEE"/>
    <w:rsid w:val="00DE68CA"/>
    <w:rsid w:val="00DE73B0"/>
    <w:rsid w:val="00DE797F"/>
    <w:rsid w:val="00DF0869"/>
    <w:rsid w:val="00DF0F01"/>
    <w:rsid w:val="00DF47B1"/>
    <w:rsid w:val="00E0374A"/>
    <w:rsid w:val="00E04A30"/>
    <w:rsid w:val="00E05168"/>
    <w:rsid w:val="00E05A72"/>
    <w:rsid w:val="00E05D44"/>
    <w:rsid w:val="00E06BCE"/>
    <w:rsid w:val="00E11CB6"/>
    <w:rsid w:val="00E14940"/>
    <w:rsid w:val="00E14970"/>
    <w:rsid w:val="00E20AE4"/>
    <w:rsid w:val="00E21E41"/>
    <w:rsid w:val="00E24A26"/>
    <w:rsid w:val="00E25561"/>
    <w:rsid w:val="00E26070"/>
    <w:rsid w:val="00E261B9"/>
    <w:rsid w:val="00E31524"/>
    <w:rsid w:val="00E340B5"/>
    <w:rsid w:val="00E347C1"/>
    <w:rsid w:val="00E376A8"/>
    <w:rsid w:val="00E37A81"/>
    <w:rsid w:val="00E40072"/>
    <w:rsid w:val="00E40524"/>
    <w:rsid w:val="00E41BF4"/>
    <w:rsid w:val="00E428B2"/>
    <w:rsid w:val="00E428B5"/>
    <w:rsid w:val="00E44C31"/>
    <w:rsid w:val="00E463B2"/>
    <w:rsid w:val="00E46E54"/>
    <w:rsid w:val="00E510A9"/>
    <w:rsid w:val="00E51BD3"/>
    <w:rsid w:val="00E5385C"/>
    <w:rsid w:val="00E573DB"/>
    <w:rsid w:val="00E575C2"/>
    <w:rsid w:val="00E6004A"/>
    <w:rsid w:val="00E64034"/>
    <w:rsid w:val="00E66D4E"/>
    <w:rsid w:val="00E7058E"/>
    <w:rsid w:val="00E73B59"/>
    <w:rsid w:val="00E743D8"/>
    <w:rsid w:val="00E7590B"/>
    <w:rsid w:val="00E82D0D"/>
    <w:rsid w:val="00E93E44"/>
    <w:rsid w:val="00E978ED"/>
    <w:rsid w:val="00E9793C"/>
    <w:rsid w:val="00EA005E"/>
    <w:rsid w:val="00EA284C"/>
    <w:rsid w:val="00EA30CA"/>
    <w:rsid w:val="00EA4DB8"/>
    <w:rsid w:val="00EA5745"/>
    <w:rsid w:val="00EA65A9"/>
    <w:rsid w:val="00EA700E"/>
    <w:rsid w:val="00EB3E53"/>
    <w:rsid w:val="00EB46AF"/>
    <w:rsid w:val="00EB7163"/>
    <w:rsid w:val="00EC10CF"/>
    <w:rsid w:val="00EC2FAA"/>
    <w:rsid w:val="00EC39DA"/>
    <w:rsid w:val="00EC5014"/>
    <w:rsid w:val="00EC5964"/>
    <w:rsid w:val="00EC6A5C"/>
    <w:rsid w:val="00ED2DB8"/>
    <w:rsid w:val="00ED428B"/>
    <w:rsid w:val="00ED462A"/>
    <w:rsid w:val="00ED63F6"/>
    <w:rsid w:val="00ED67EE"/>
    <w:rsid w:val="00EE2ABC"/>
    <w:rsid w:val="00EE5CD7"/>
    <w:rsid w:val="00EF150A"/>
    <w:rsid w:val="00EF6170"/>
    <w:rsid w:val="00EF6343"/>
    <w:rsid w:val="00EF7FE7"/>
    <w:rsid w:val="00F00898"/>
    <w:rsid w:val="00F02032"/>
    <w:rsid w:val="00F03523"/>
    <w:rsid w:val="00F04E8C"/>
    <w:rsid w:val="00F12F64"/>
    <w:rsid w:val="00F14602"/>
    <w:rsid w:val="00F1668C"/>
    <w:rsid w:val="00F24912"/>
    <w:rsid w:val="00F400A8"/>
    <w:rsid w:val="00F42942"/>
    <w:rsid w:val="00F43448"/>
    <w:rsid w:val="00F440CA"/>
    <w:rsid w:val="00F4729C"/>
    <w:rsid w:val="00F47FC3"/>
    <w:rsid w:val="00F523C8"/>
    <w:rsid w:val="00F5285C"/>
    <w:rsid w:val="00F57720"/>
    <w:rsid w:val="00F57DF1"/>
    <w:rsid w:val="00F60AE5"/>
    <w:rsid w:val="00F642FF"/>
    <w:rsid w:val="00F75D34"/>
    <w:rsid w:val="00F77275"/>
    <w:rsid w:val="00F8166D"/>
    <w:rsid w:val="00F8274A"/>
    <w:rsid w:val="00F833EB"/>
    <w:rsid w:val="00F83DEE"/>
    <w:rsid w:val="00F841A2"/>
    <w:rsid w:val="00F84EEA"/>
    <w:rsid w:val="00F9001C"/>
    <w:rsid w:val="00F923BD"/>
    <w:rsid w:val="00F979AE"/>
    <w:rsid w:val="00FA2252"/>
    <w:rsid w:val="00FA3345"/>
    <w:rsid w:val="00FA5E1A"/>
    <w:rsid w:val="00FA747B"/>
    <w:rsid w:val="00FB1CE1"/>
    <w:rsid w:val="00FB2774"/>
    <w:rsid w:val="00FB3D65"/>
    <w:rsid w:val="00FB66F9"/>
    <w:rsid w:val="00FC0853"/>
    <w:rsid w:val="00FC0F99"/>
    <w:rsid w:val="00FC1354"/>
    <w:rsid w:val="00FC1E31"/>
    <w:rsid w:val="00FC6662"/>
    <w:rsid w:val="00FC7642"/>
    <w:rsid w:val="00FC7B4B"/>
    <w:rsid w:val="00FD16B0"/>
    <w:rsid w:val="00FD1966"/>
    <w:rsid w:val="00FD1AE3"/>
    <w:rsid w:val="00FD4496"/>
    <w:rsid w:val="00FD79E3"/>
    <w:rsid w:val="00FE0776"/>
    <w:rsid w:val="00FE0D62"/>
    <w:rsid w:val="00FE2A76"/>
    <w:rsid w:val="00FE3D7C"/>
    <w:rsid w:val="00FE4AE9"/>
    <w:rsid w:val="00FE4FEA"/>
    <w:rsid w:val="00FE6EE8"/>
    <w:rsid w:val="00FF1117"/>
    <w:rsid w:val="00FF2B70"/>
    <w:rsid w:val="00FF39BD"/>
    <w:rsid w:val="00FF4015"/>
    <w:rsid w:val="00FF516E"/>
    <w:rsid w:val="00FF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D4309"/>
    <w:pPr>
      <w:keepNext/>
      <w:spacing w:before="240" w:after="60" w:line="240" w:lineRule="auto"/>
      <w:jc w:val="both"/>
      <w:outlineLvl w:val="0"/>
    </w:pPr>
    <w:rPr>
      <w:rFonts w:ascii="Arial" w:eastAsia="Times New Roman" w:hAnsi="Arial" w:cs="Times New Roman"/>
      <w:b/>
      <w:caps/>
      <w:sz w:val="24"/>
      <w:szCs w:val="20"/>
    </w:rPr>
  </w:style>
  <w:style w:type="paragraph" w:styleId="Heading3">
    <w:name w:val="heading 3"/>
    <w:basedOn w:val="Normal"/>
    <w:next w:val="Normal"/>
    <w:link w:val="Heading3Char"/>
    <w:uiPriority w:val="9"/>
    <w:semiHidden/>
    <w:unhideWhenUsed/>
    <w:qFormat/>
    <w:rsid w:val="00287C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1F1"/>
    <w:pPr>
      <w:spacing w:after="0" w:line="240" w:lineRule="auto"/>
    </w:pPr>
  </w:style>
  <w:style w:type="character" w:styleId="CommentReference">
    <w:name w:val="annotation reference"/>
    <w:basedOn w:val="DefaultParagraphFont"/>
    <w:unhideWhenUsed/>
    <w:rsid w:val="007201F1"/>
    <w:rPr>
      <w:sz w:val="16"/>
      <w:szCs w:val="16"/>
    </w:rPr>
  </w:style>
  <w:style w:type="paragraph" w:styleId="CommentText">
    <w:name w:val="annotation text"/>
    <w:basedOn w:val="Normal"/>
    <w:link w:val="CommentTextChar"/>
    <w:unhideWhenUsed/>
    <w:rsid w:val="007201F1"/>
    <w:pPr>
      <w:spacing w:line="240" w:lineRule="auto"/>
    </w:pPr>
    <w:rPr>
      <w:sz w:val="20"/>
      <w:szCs w:val="20"/>
    </w:rPr>
  </w:style>
  <w:style w:type="character" w:customStyle="1" w:styleId="CommentTextChar">
    <w:name w:val="Comment Text Char"/>
    <w:basedOn w:val="DefaultParagraphFont"/>
    <w:link w:val="CommentText"/>
    <w:rsid w:val="007201F1"/>
    <w:rPr>
      <w:sz w:val="20"/>
      <w:szCs w:val="20"/>
    </w:rPr>
  </w:style>
  <w:style w:type="table" w:styleId="TableGrid">
    <w:name w:val="Table Grid"/>
    <w:basedOn w:val="TableNormal"/>
    <w:uiPriority w:val="59"/>
    <w:rsid w:val="007201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0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1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C028C"/>
    <w:rPr>
      <w:b/>
      <w:bCs/>
    </w:rPr>
  </w:style>
  <w:style w:type="character" w:customStyle="1" w:styleId="CommentSubjectChar">
    <w:name w:val="Comment Subject Char"/>
    <w:basedOn w:val="CommentTextChar"/>
    <w:link w:val="CommentSubject"/>
    <w:uiPriority w:val="99"/>
    <w:semiHidden/>
    <w:rsid w:val="004C028C"/>
    <w:rPr>
      <w:b/>
      <w:bCs/>
      <w:sz w:val="20"/>
      <w:szCs w:val="20"/>
    </w:rPr>
  </w:style>
  <w:style w:type="paragraph" w:styleId="Revision">
    <w:name w:val="Revision"/>
    <w:hidden/>
    <w:uiPriority w:val="99"/>
    <w:semiHidden/>
    <w:rsid w:val="000123D1"/>
    <w:pPr>
      <w:spacing w:after="0" w:line="240" w:lineRule="auto"/>
    </w:pPr>
  </w:style>
  <w:style w:type="paragraph" w:styleId="Header">
    <w:name w:val="header"/>
    <w:basedOn w:val="Normal"/>
    <w:link w:val="HeaderChar"/>
    <w:uiPriority w:val="99"/>
    <w:unhideWhenUsed/>
    <w:rsid w:val="00A20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F6E"/>
  </w:style>
  <w:style w:type="paragraph" w:styleId="Footer">
    <w:name w:val="footer"/>
    <w:basedOn w:val="Normal"/>
    <w:link w:val="FooterChar"/>
    <w:unhideWhenUsed/>
    <w:rsid w:val="00A20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F6E"/>
  </w:style>
  <w:style w:type="paragraph" w:styleId="Title">
    <w:name w:val="Title"/>
    <w:basedOn w:val="Normal"/>
    <w:link w:val="TitleChar"/>
    <w:qFormat/>
    <w:rsid w:val="003D4309"/>
    <w:pPr>
      <w:spacing w:before="240" w:after="60" w:line="240" w:lineRule="auto"/>
      <w:jc w:val="center"/>
      <w:outlineLvl w:val="0"/>
    </w:pPr>
    <w:rPr>
      <w:rFonts w:ascii="Arial" w:eastAsia="Times New Roman" w:hAnsi="Arial" w:cs="Arial"/>
      <w:b/>
      <w:bCs/>
      <w:caps/>
      <w:kern w:val="28"/>
      <w:sz w:val="28"/>
      <w:szCs w:val="32"/>
    </w:rPr>
  </w:style>
  <w:style w:type="character" w:customStyle="1" w:styleId="TitleChar">
    <w:name w:val="Title Char"/>
    <w:basedOn w:val="DefaultParagraphFont"/>
    <w:link w:val="Title"/>
    <w:rsid w:val="003D4309"/>
    <w:rPr>
      <w:rFonts w:ascii="Arial" w:eastAsia="Times New Roman" w:hAnsi="Arial" w:cs="Arial"/>
      <w:b/>
      <w:bCs/>
      <w:caps/>
      <w:kern w:val="28"/>
      <w:sz w:val="28"/>
      <w:szCs w:val="32"/>
      <w:lang w:val="en-AU"/>
    </w:rPr>
  </w:style>
  <w:style w:type="character" w:customStyle="1" w:styleId="Heading1Char">
    <w:name w:val="Heading 1 Char"/>
    <w:basedOn w:val="DefaultParagraphFont"/>
    <w:link w:val="Heading1"/>
    <w:rsid w:val="003D4309"/>
    <w:rPr>
      <w:rFonts w:ascii="Arial" w:eastAsia="Times New Roman" w:hAnsi="Arial" w:cs="Times New Roman"/>
      <w:b/>
      <w:caps/>
      <w:sz w:val="24"/>
      <w:szCs w:val="20"/>
      <w:lang w:val="en-AU"/>
    </w:rPr>
  </w:style>
  <w:style w:type="character" w:styleId="PageNumber">
    <w:name w:val="page number"/>
    <w:basedOn w:val="DefaultParagraphFont"/>
    <w:rsid w:val="002D7F2C"/>
  </w:style>
  <w:style w:type="paragraph" w:customStyle="1" w:styleId="Default">
    <w:name w:val="Default"/>
    <w:rsid w:val="00677CC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77CCF"/>
    <w:pPr>
      <w:ind w:left="720"/>
      <w:contextualSpacing/>
    </w:pPr>
  </w:style>
  <w:style w:type="character" w:customStyle="1" w:styleId="DeltaViewInsertion">
    <w:name w:val="DeltaView Insertion"/>
    <w:uiPriority w:val="99"/>
    <w:rsid w:val="00A02BF4"/>
    <w:rPr>
      <w:color w:val="0000FF"/>
    </w:rPr>
  </w:style>
  <w:style w:type="paragraph" w:styleId="BodyText">
    <w:name w:val="Body Text"/>
    <w:basedOn w:val="Normal"/>
    <w:link w:val="BodyTextChar"/>
    <w:rsid w:val="00E05168"/>
    <w:pPr>
      <w:spacing w:after="0" w:line="240" w:lineRule="auto"/>
    </w:pPr>
    <w:rPr>
      <w:rFonts w:ascii="Times New Roman" w:eastAsia="Times New Roman" w:hAnsi="Times New Roman" w:cs="Times New Roman"/>
      <w:i/>
      <w:color w:val="008000"/>
      <w:szCs w:val="20"/>
    </w:rPr>
  </w:style>
  <w:style w:type="character" w:customStyle="1" w:styleId="BodyTextChar">
    <w:name w:val="Body Text Char"/>
    <w:basedOn w:val="DefaultParagraphFont"/>
    <w:link w:val="BodyText"/>
    <w:rsid w:val="00E05168"/>
    <w:rPr>
      <w:rFonts w:ascii="Times New Roman" w:eastAsia="Times New Roman" w:hAnsi="Times New Roman" w:cs="Times New Roman"/>
      <w:i/>
      <w:color w:val="008000"/>
      <w:szCs w:val="20"/>
    </w:rPr>
  </w:style>
  <w:style w:type="paragraph" w:customStyle="1" w:styleId="Level3-UnnumberedHeading">
    <w:name w:val="Level 3 - Unnumbered Heading"/>
    <w:basedOn w:val="Normal"/>
    <w:rsid w:val="00E05168"/>
    <w:pPr>
      <w:widowControl w:val="0"/>
      <w:spacing w:before="120" w:after="240" w:line="240" w:lineRule="auto"/>
    </w:pPr>
    <w:rPr>
      <w:rFonts w:ascii="Times New Roman" w:eastAsia="Calibri" w:hAnsi="Times New Roman" w:cs="Times New Roman"/>
      <w:sz w:val="24"/>
      <w:szCs w:val="24"/>
      <w:u w:val="single"/>
      <w:lang w:val="en-US" w:eastAsia="ja-JP"/>
    </w:rPr>
  </w:style>
  <w:style w:type="paragraph" w:styleId="NormalWeb">
    <w:name w:val="Normal (Web)"/>
    <w:basedOn w:val="Normal"/>
    <w:uiPriority w:val="99"/>
    <w:unhideWhenUsed/>
    <w:rsid w:val="00B569F0"/>
    <w:pPr>
      <w:spacing w:before="100" w:beforeAutospacing="1" w:after="60" w:line="240" w:lineRule="auto"/>
    </w:pPr>
    <w:rPr>
      <w:rFonts w:ascii="Times New Roman" w:eastAsia="Times New Roman" w:hAnsi="Times New Roman" w:cs="Times New Roman"/>
      <w:color w:val="000000"/>
      <w:sz w:val="24"/>
      <w:szCs w:val="24"/>
      <w:lang w:val="en-US"/>
    </w:rPr>
  </w:style>
  <w:style w:type="paragraph" w:customStyle="1" w:styleId="InstTxtParaLev">
    <w:name w:val="Inst Txt Para Lev"/>
    <w:basedOn w:val="Normal"/>
    <w:uiPriority w:val="99"/>
    <w:rsid w:val="00B569F0"/>
    <w:pPr>
      <w:spacing w:before="120" w:after="0" w:line="240" w:lineRule="auto"/>
    </w:pPr>
    <w:rPr>
      <w:rFonts w:ascii="Times New Roman" w:eastAsia="Times New Roman" w:hAnsi="Times New Roman" w:cs="Times New Roman"/>
      <w:i/>
      <w:color w:val="008000"/>
      <w:sz w:val="24"/>
      <w:szCs w:val="20"/>
      <w:lang w:val="en-US"/>
    </w:rPr>
  </w:style>
  <w:style w:type="paragraph" w:styleId="Caption">
    <w:name w:val="caption"/>
    <w:basedOn w:val="Normal"/>
    <w:next w:val="Normal"/>
    <w:link w:val="CaptionChar"/>
    <w:qFormat/>
    <w:rsid w:val="003B16BB"/>
    <w:pPr>
      <w:keepNext/>
      <w:widowControl w:val="0"/>
      <w:spacing w:before="120" w:after="240" w:line="240" w:lineRule="auto"/>
      <w:ind w:left="1440" w:hanging="1440"/>
    </w:pPr>
    <w:rPr>
      <w:rFonts w:ascii="Times New Roman Bold" w:eastAsia="Calibri" w:hAnsi="Times New Roman Bold" w:cs="Times New Roman"/>
      <w:b/>
      <w:bCs/>
      <w:sz w:val="24"/>
      <w:szCs w:val="24"/>
      <w:lang w:eastAsia="ja-JP"/>
    </w:rPr>
  </w:style>
  <w:style w:type="paragraph" w:customStyle="1" w:styleId="BodyText0">
    <w:name w:val="BodyText"/>
    <w:basedOn w:val="Normal"/>
    <w:link w:val="BodyTextChar0"/>
    <w:rsid w:val="003B16BB"/>
    <w:pPr>
      <w:spacing w:before="120" w:after="240" w:line="312" w:lineRule="auto"/>
    </w:pPr>
    <w:rPr>
      <w:rFonts w:ascii="Times New Roman" w:eastAsia="Times New Roman" w:hAnsi="Times New Roman" w:cs="Times New Roman"/>
      <w:snapToGrid w:val="0"/>
      <w:sz w:val="24"/>
      <w:szCs w:val="20"/>
      <w:lang w:eastAsia="ja-JP"/>
    </w:rPr>
  </w:style>
  <w:style w:type="character" w:customStyle="1" w:styleId="BodyTextChar0">
    <w:name w:val="BodyText Char"/>
    <w:link w:val="BodyText0"/>
    <w:rsid w:val="003B16BB"/>
    <w:rPr>
      <w:rFonts w:ascii="Times New Roman" w:eastAsia="Times New Roman" w:hAnsi="Times New Roman" w:cs="Times New Roman"/>
      <w:snapToGrid w:val="0"/>
      <w:sz w:val="24"/>
      <w:szCs w:val="20"/>
      <w:lang w:eastAsia="ja-JP"/>
    </w:rPr>
  </w:style>
  <w:style w:type="character" w:customStyle="1" w:styleId="CaptionChar">
    <w:name w:val="Caption Char"/>
    <w:link w:val="Caption"/>
    <w:rsid w:val="003B16BB"/>
    <w:rPr>
      <w:rFonts w:ascii="Times New Roman Bold" w:eastAsia="Calibri" w:hAnsi="Times New Roman Bold" w:cs="Times New Roman"/>
      <w:b/>
      <w:bCs/>
      <w:sz w:val="24"/>
      <w:szCs w:val="24"/>
      <w:lang w:eastAsia="ja-JP"/>
    </w:rPr>
  </w:style>
  <w:style w:type="paragraph" w:customStyle="1" w:styleId="EUtablebody-9centered">
    <w:name w:val="EU table body-9 centered"/>
    <w:basedOn w:val="Normal"/>
    <w:qFormat/>
    <w:rsid w:val="003B16BB"/>
    <w:pPr>
      <w:spacing w:before="40" w:after="40" w:line="240" w:lineRule="auto"/>
      <w:jc w:val="center"/>
    </w:pPr>
    <w:rPr>
      <w:rFonts w:ascii="Verdana" w:eastAsia="Times New Roman" w:hAnsi="Verdana" w:cs="Times New Roman"/>
      <w:sz w:val="18"/>
      <w:szCs w:val="24"/>
      <w:lang w:val="en-US"/>
    </w:rPr>
  </w:style>
  <w:style w:type="paragraph" w:customStyle="1" w:styleId="table-body-9">
    <w:name w:val="table-body-9"/>
    <w:basedOn w:val="Normal"/>
    <w:qFormat/>
    <w:rsid w:val="003B16BB"/>
    <w:pPr>
      <w:spacing w:before="40" w:after="40" w:line="240" w:lineRule="auto"/>
    </w:pPr>
    <w:rPr>
      <w:rFonts w:ascii="Times New Roman" w:eastAsia="Times New Roman" w:hAnsi="Times New Roman" w:cs="Times New Roman"/>
      <w:sz w:val="18"/>
      <w:szCs w:val="24"/>
      <w:lang w:val="en-US"/>
    </w:rPr>
  </w:style>
  <w:style w:type="paragraph" w:customStyle="1" w:styleId="table-heading-9">
    <w:name w:val="table-heading-9"/>
    <w:basedOn w:val="Normal"/>
    <w:qFormat/>
    <w:rsid w:val="003B16BB"/>
    <w:pPr>
      <w:keepNext/>
      <w:widowControl w:val="0"/>
      <w:spacing w:before="40" w:after="40" w:line="240" w:lineRule="auto"/>
    </w:pPr>
    <w:rPr>
      <w:rFonts w:ascii="Times New Roman" w:eastAsia="Times New Roman" w:hAnsi="Times New Roman" w:cs="Times New Roman"/>
      <w:b/>
      <w:sz w:val="18"/>
      <w:szCs w:val="24"/>
      <w:lang w:val="en-US"/>
    </w:rPr>
  </w:style>
  <w:style w:type="paragraph" w:customStyle="1" w:styleId="table-heading-9centered">
    <w:name w:val="table-heading-9 centered"/>
    <w:basedOn w:val="table-heading-9"/>
    <w:qFormat/>
    <w:rsid w:val="003B16BB"/>
    <w:pPr>
      <w:jc w:val="center"/>
    </w:pPr>
  </w:style>
  <w:style w:type="paragraph" w:customStyle="1" w:styleId="BodyText2">
    <w:name w:val="BodyText2"/>
    <w:basedOn w:val="Normal"/>
    <w:link w:val="BodyText2Char"/>
    <w:rsid w:val="00AA39BE"/>
    <w:pPr>
      <w:spacing w:before="4" w:after="0" w:line="240" w:lineRule="auto"/>
      <w:ind w:firstLine="317"/>
    </w:pPr>
    <w:rPr>
      <w:rFonts w:ascii="Helvetica" w:eastAsia="Times New Roman" w:hAnsi="Helvetica" w:cs="Times New Roman"/>
      <w:sz w:val="16"/>
      <w:szCs w:val="24"/>
      <w:lang w:val="en-US"/>
    </w:rPr>
  </w:style>
  <w:style w:type="character" w:customStyle="1" w:styleId="BodyText2Char">
    <w:name w:val="BodyText2 Char"/>
    <w:basedOn w:val="DefaultParagraphFont"/>
    <w:link w:val="BodyText2"/>
    <w:rsid w:val="00AA39BE"/>
    <w:rPr>
      <w:rFonts w:ascii="Helvetica" w:eastAsia="Times New Roman" w:hAnsi="Helvetica" w:cs="Times New Roman"/>
      <w:sz w:val="16"/>
      <w:szCs w:val="24"/>
      <w:lang w:val="en-US"/>
    </w:rPr>
  </w:style>
  <w:style w:type="character" w:customStyle="1" w:styleId="Heading3Char">
    <w:name w:val="Heading 3 Char"/>
    <w:basedOn w:val="DefaultParagraphFont"/>
    <w:link w:val="Heading3"/>
    <w:uiPriority w:val="9"/>
    <w:semiHidden/>
    <w:rsid w:val="00287C3C"/>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326485"/>
    <w:pPr>
      <w:tabs>
        <w:tab w:val="left" w:pos="142"/>
      </w:tabs>
      <w:suppressAutoHyphens/>
      <w:spacing w:after="0" w:line="240" w:lineRule="auto"/>
      <w:ind w:left="142" w:hanging="142"/>
      <w:jc w:val="both"/>
    </w:pPr>
    <w:rPr>
      <w:rFonts w:ascii="Times New Roman" w:eastAsia="Times New Roman" w:hAnsi="Times New Roman" w:cs="Times New Roman"/>
      <w:sz w:val="18"/>
      <w:szCs w:val="20"/>
      <w:lang w:val="en-US"/>
    </w:rPr>
  </w:style>
  <w:style w:type="character" w:customStyle="1" w:styleId="FootnoteTextChar">
    <w:name w:val="Footnote Text Char"/>
    <w:basedOn w:val="DefaultParagraphFont"/>
    <w:link w:val="FootnoteText"/>
    <w:rsid w:val="00326485"/>
    <w:rPr>
      <w:rFonts w:ascii="Times New Roman" w:eastAsia="Times New Roman" w:hAnsi="Times New Roman" w:cs="Times New Roman"/>
      <w:sz w:val="18"/>
      <w:szCs w:val="20"/>
      <w:lang w:val="en-US"/>
    </w:rPr>
  </w:style>
  <w:style w:type="paragraph" w:customStyle="1" w:styleId="AventisLetterheadG">
    <w:name w:val="Aventis Letterhead G"/>
    <w:basedOn w:val="Normal"/>
    <w:rsid w:val="00326485"/>
    <w:pPr>
      <w:spacing w:after="0" w:line="220" w:lineRule="exact"/>
    </w:pPr>
    <w:rPr>
      <w:rFonts w:ascii="Times New Roman" w:eastAsia="Times New Roman"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D4309"/>
    <w:pPr>
      <w:keepNext/>
      <w:spacing w:before="240" w:after="60" w:line="240" w:lineRule="auto"/>
      <w:jc w:val="both"/>
      <w:outlineLvl w:val="0"/>
    </w:pPr>
    <w:rPr>
      <w:rFonts w:ascii="Arial" w:eastAsia="Times New Roman" w:hAnsi="Arial" w:cs="Times New Roman"/>
      <w:b/>
      <w:caps/>
      <w:sz w:val="24"/>
      <w:szCs w:val="20"/>
    </w:rPr>
  </w:style>
  <w:style w:type="paragraph" w:styleId="Heading3">
    <w:name w:val="heading 3"/>
    <w:basedOn w:val="Normal"/>
    <w:next w:val="Normal"/>
    <w:link w:val="Heading3Char"/>
    <w:uiPriority w:val="9"/>
    <w:semiHidden/>
    <w:unhideWhenUsed/>
    <w:qFormat/>
    <w:rsid w:val="00287C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1F1"/>
    <w:pPr>
      <w:spacing w:after="0" w:line="240" w:lineRule="auto"/>
    </w:pPr>
  </w:style>
  <w:style w:type="character" w:styleId="CommentReference">
    <w:name w:val="annotation reference"/>
    <w:basedOn w:val="DefaultParagraphFont"/>
    <w:unhideWhenUsed/>
    <w:rsid w:val="007201F1"/>
    <w:rPr>
      <w:sz w:val="16"/>
      <w:szCs w:val="16"/>
    </w:rPr>
  </w:style>
  <w:style w:type="paragraph" w:styleId="CommentText">
    <w:name w:val="annotation text"/>
    <w:basedOn w:val="Normal"/>
    <w:link w:val="CommentTextChar"/>
    <w:unhideWhenUsed/>
    <w:rsid w:val="007201F1"/>
    <w:pPr>
      <w:spacing w:line="240" w:lineRule="auto"/>
    </w:pPr>
    <w:rPr>
      <w:sz w:val="20"/>
      <w:szCs w:val="20"/>
    </w:rPr>
  </w:style>
  <w:style w:type="character" w:customStyle="1" w:styleId="CommentTextChar">
    <w:name w:val="Comment Text Char"/>
    <w:basedOn w:val="DefaultParagraphFont"/>
    <w:link w:val="CommentText"/>
    <w:rsid w:val="007201F1"/>
    <w:rPr>
      <w:sz w:val="20"/>
      <w:szCs w:val="20"/>
    </w:rPr>
  </w:style>
  <w:style w:type="table" w:styleId="TableGrid">
    <w:name w:val="Table Grid"/>
    <w:basedOn w:val="TableNormal"/>
    <w:uiPriority w:val="59"/>
    <w:rsid w:val="007201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0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1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C028C"/>
    <w:rPr>
      <w:b/>
      <w:bCs/>
    </w:rPr>
  </w:style>
  <w:style w:type="character" w:customStyle="1" w:styleId="CommentSubjectChar">
    <w:name w:val="Comment Subject Char"/>
    <w:basedOn w:val="CommentTextChar"/>
    <w:link w:val="CommentSubject"/>
    <w:uiPriority w:val="99"/>
    <w:semiHidden/>
    <w:rsid w:val="004C028C"/>
    <w:rPr>
      <w:b/>
      <w:bCs/>
      <w:sz w:val="20"/>
      <w:szCs w:val="20"/>
    </w:rPr>
  </w:style>
  <w:style w:type="paragraph" w:styleId="Revision">
    <w:name w:val="Revision"/>
    <w:hidden/>
    <w:uiPriority w:val="99"/>
    <w:semiHidden/>
    <w:rsid w:val="000123D1"/>
    <w:pPr>
      <w:spacing w:after="0" w:line="240" w:lineRule="auto"/>
    </w:pPr>
  </w:style>
  <w:style w:type="paragraph" w:styleId="Header">
    <w:name w:val="header"/>
    <w:basedOn w:val="Normal"/>
    <w:link w:val="HeaderChar"/>
    <w:uiPriority w:val="99"/>
    <w:unhideWhenUsed/>
    <w:rsid w:val="00A20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F6E"/>
  </w:style>
  <w:style w:type="paragraph" w:styleId="Footer">
    <w:name w:val="footer"/>
    <w:basedOn w:val="Normal"/>
    <w:link w:val="FooterChar"/>
    <w:unhideWhenUsed/>
    <w:rsid w:val="00A20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F6E"/>
  </w:style>
  <w:style w:type="paragraph" w:styleId="Title">
    <w:name w:val="Title"/>
    <w:basedOn w:val="Normal"/>
    <w:link w:val="TitleChar"/>
    <w:qFormat/>
    <w:rsid w:val="003D4309"/>
    <w:pPr>
      <w:spacing w:before="240" w:after="60" w:line="240" w:lineRule="auto"/>
      <w:jc w:val="center"/>
      <w:outlineLvl w:val="0"/>
    </w:pPr>
    <w:rPr>
      <w:rFonts w:ascii="Arial" w:eastAsia="Times New Roman" w:hAnsi="Arial" w:cs="Arial"/>
      <w:b/>
      <w:bCs/>
      <w:caps/>
      <w:kern w:val="28"/>
      <w:sz w:val="28"/>
      <w:szCs w:val="32"/>
    </w:rPr>
  </w:style>
  <w:style w:type="character" w:customStyle="1" w:styleId="TitleChar">
    <w:name w:val="Title Char"/>
    <w:basedOn w:val="DefaultParagraphFont"/>
    <w:link w:val="Title"/>
    <w:rsid w:val="003D4309"/>
    <w:rPr>
      <w:rFonts w:ascii="Arial" w:eastAsia="Times New Roman" w:hAnsi="Arial" w:cs="Arial"/>
      <w:b/>
      <w:bCs/>
      <w:caps/>
      <w:kern w:val="28"/>
      <w:sz w:val="28"/>
      <w:szCs w:val="32"/>
      <w:lang w:val="en-AU"/>
    </w:rPr>
  </w:style>
  <w:style w:type="character" w:customStyle="1" w:styleId="Heading1Char">
    <w:name w:val="Heading 1 Char"/>
    <w:basedOn w:val="DefaultParagraphFont"/>
    <w:link w:val="Heading1"/>
    <w:rsid w:val="003D4309"/>
    <w:rPr>
      <w:rFonts w:ascii="Arial" w:eastAsia="Times New Roman" w:hAnsi="Arial" w:cs="Times New Roman"/>
      <w:b/>
      <w:caps/>
      <w:sz w:val="24"/>
      <w:szCs w:val="20"/>
      <w:lang w:val="en-AU"/>
    </w:rPr>
  </w:style>
  <w:style w:type="character" w:styleId="PageNumber">
    <w:name w:val="page number"/>
    <w:basedOn w:val="DefaultParagraphFont"/>
    <w:rsid w:val="002D7F2C"/>
  </w:style>
  <w:style w:type="paragraph" w:customStyle="1" w:styleId="Default">
    <w:name w:val="Default"/>
    <w:rsid w:val="00677CC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77CCF"/>
    <w:pPr>
      <w:ind w:left="720"/>
      <w:contextualSpacing/>
    </w:pPr>
  </w:style>
  <w:style w:type="character" w:customStyle="1" w:styleId="DeltaViewInsertion">
    <w:name w:val="DeltaView Insertion"/>
    <w:uiPriority w:val="99"/>
    <w:rsid w:val="00A02BF4"/>
    <w:rPr>
      <w:color w:val="0000FF"/>
    </w:rPr>
  </w:style>
  <w:style w:type="paragraph" w:styleId="BodyText">
    <w:name w:val="Body Text"/>
    <w:basedOn w:val="Normal"/>
    <w:link w:val="BodyTextChar"/>
    <w:rsid w:val="00E05168"/>
    <w:pPr>
      <w:spacing w:after="0" w:line="240" w:lineRule="auto"/>
    </w:pPr>
    <w:rPr>
      <w:rFonts w:ascii="Times New Roman" w:eastAsia="Times New Roman" w:hAnsi="Times New Roman" w:cs="Times New Roman"/>
      <w:i/>
      <w:color w:val="008000"/>
      <w:szCs w:val="20"/>
    </w:rPr>
  </w:style>
  <w:style w:type="character" w:customStyle="1" w:styleId="BodyTextChar">
    <w:name w:val="Body Text Char"/>
    <w:basedOn w:val="DefaultParagraphFont"/>
    <w:link w:val="BodyText"/>
    <w:rsid w:val="00E05168"/>
    <w:rPr>
      <w:rFonts w:ascii="Times New Roman" w:eastAsia="Times New Roman" w:hAnsi="Times New Roman" w:cs="Times New Roman"/>
      <w:i/>
      <w:color w:val="008000"/>
      <w:szCs w:val="20"/>
    </w:rPr>
  </w:style>
  <w:style w:type="paragraph" w:customStyle="1" w:styleId="Level3-UnnumberedHeading">
    <w:name w:val="Level 3 - Unnumbered Heading"/>
    <w:basedOn w:val="Normal"/>
    <w:rsid w:val="00E05168"/>
    <w:pPr>
      <w:widowControl w:val="0"/>
      <w:spacing w:before="120" w:after="240" w:line="240" w:lineRule="auto"/>
    </w:pPr>
    <w:rPr>
      <w:rFonts w:ascii="Times New Roman" w:eastAsia="Calibri" w:hAnsi="Times New Roman" w:cs="Times New Roman"/>
      <w:sz w:val="24"/>
      <w:szCs w:val="24"/>
      <w:u w:val="single"/>
      <w:lang w:val="en-US" w:eastAsia="ja-JP"/>
    </w:rPr>
  </w:style>
  <w:style w:type="paragraph" w:styleId="NormalWeb">
    <w:name w:val="Normal (Web)"/>
    <w:basedOn w:val="Normal"/>
    <w:uiPriority w:val="99"/>
    <w:unhideWhenUsed/>
    <w:rsid w:val="00B569F0"/>
    <w:pPr>
      <w:spacing w:before="100" w:beforeAutospacing="1" w:after="60" w:line="240" w:lineRule="auto"/>
    </w:pPr>
    <w:rPr>
      <w:rFonts w:ascii="Times New Roman" w:eastAsia="Times New Roman" w:hAnsi="Times New Roman" w:cs="Times New Roman"/>
      <w:color w:val="000000"/>
      <w:sz w:val="24"/>
      <w:szCs w:val="24"/>
      <w:lang w:val="en-US"/>
    </w:rPr>
  </w:style>
  <w:style w:type="paragraph" w:customStyle="1" w:styleId="InstTxtParaLev">
    <w:name w:val="Inst Txt Para Lev"/>
    <w:basedOn w:val="Normal"/>
    <w:uiPriority w:val="99"/>
    <w:rsid w:val="00B569F0"/>
    <w:pPr>
      <w:spacing w:before="120" w:after="0" w:line="240" w:lineRule="auto"/>
    </w:pPr>
    <w:rPr>
      <w:rFonts w:ascii="Times New Roman" w:eastAsia="Times New Roman" w:hAnsi="Times New Roman" w:cs="Times New Roman"/>
      <w:i/>
      <w:color w:val="008000"/>
      <w:sz w:val="24"/>
      <w:szCs w:val="20"/>
      <w:lang w:val="en-US"/>
    </w:rPr>
  </w:style>
  <w:style w:type="paragraph" w:styleId="Caption">
    <w:name w:val="caption"/>
    <w:basedOn w:val="Normal"/>
    <w:next w:val="Normal"/>
    <w:link w:val="CaptionChar"/>
    <w:qFormat/>
    <w:rsid w:val="003B16BB"/>
    <w:pPr>
      <w:keepNext/>
      <w:widowControl w:val="0"/>
      <w:spacing w:before="120" w:after="240" w:line="240" w:lineRule="auto"/>
      <w:ind w:left="1440" w:hanging="1440"/>
    </w:pPr>
    <w:rPr>
      <w:rFonts w:ascii="Times New Roman Bold" w:eastAsia="Calibri" w:hAnsi="Times New Roman Bold" w:cs="Times New Roman"/>
      <w:b/>
      <w:bCs/>
      <w:sz w:val="24"/>
      <w:szCs w:val="24"/>
      <w:lang w:eastAsia="ja-JP"/>
    </w:rPr>
  </w:style>
  <w:style w:type="paragraph" w:customStyle="1" w:styleId="BodyText0">
    <w:name w:val="BodyText"/>
    <w:basedOn w:val="Normal"/>
    <w:link w:val="BodyTextChar0"/>
    <w:rsid w:val="003B16BB"/>
    <w:pPr>
      <w:spacing w:before="120" w:after="240" w:line="312" w:lineRule="auto"/>
    </w:pPr>
    <w:rPr>
      <w:rFonts w:ascii="Times New Roman" w:eastAsia="Times New Roman" w:hAnsi="Times New Roman" w:cs="Times New Roman"/>
      <w:snapToGrid w:val="0"/>
      <w:sz w:val="24"/>
      <w:szCs w:val="20"/>
      <w:lang w:eastAsia="ja-JP"/>
    </w:rPr>
  </w:style>
  <w:style w:type="character" w:customStyle="1" w:styleId="BodyTextChar0">
    <w:name w:val="BodyText Char"/>
    <w:link w:val="BodyText0"/>
    <w:rsid w:val="003B16BB"/>
    <w:rPr>
      <w:rFonts w:ascii="Times New Roman" w:eastAsia="Times New Roman" w:hAnsi="Times New Roman" w:cs="Times New Roman"/>
      <w:snapToGrid w:val="0"/>
      <w:sz w:val="24"/>
      <w:szCs w:val="20"/>
      <w:lang w:eastAsia="ja-JP"/>
    </w:rPr>
  </w:style>
  <w:style w:type="character" w:customStyle="1" w:styleId="CaptionChar">
    <w:name w:val="Caption Char"/>
    <w:link w:val="Caption"/>
    <w:rsid w:val="003B16BB"/>
    <w:rPr>
      <w:rFonts w:ascii="Times New Roman Bold" w:eastAsia="Calibri" w:hAnsi="Times New Roman Bold" w:cs="Times New Roman"/>
      <w:b/>
      <w:bCs/>
      <w:sz w:val="24"/>
      <w:szCs w:val="24"/>
      <w:lang w:eastAsia="ja-JP"/>
    </w:rPr>
  </w:style>
  <w:style w:type="paragraph" w:customStyle="1" w:styleId="EUtablebody-9centered">
    <w:name w:val="EU table body-9 centered"/>
    <w:basedOn w:val="Normal"/>
    <w:qFormat/>
    <w:rsid w:val="003B16BB"/>
    <w:pPr>
      <w:spacing w:before="40" w:after="40" w:line="240" w:lineRule="auto"/>
      <w:jc w:val="center"/>
    </w:pPr>
    <w:rPr>
      <w:rFonts w:ascii="Verdana" w:eastAsia="Times New Roman" w:hAnsi="Verdana" w:cs="Times New Roman"/>
      <w:sz w:val="18"/>
      <w:szCs w:val="24"/>
      <w:lang w:val="en-US"/>
    </w:rPr>
  </w:style>
  <w:style w:type="paragraph" w:customStyle="1" w:styleId="table-body-9">
    <w:name w:val="table-body-9"/>
    <w:basedOn w:val="Normal"/>
    <w:qFormat/>
    <w:rsid w:val="003B16BB"/>
    <w:pPr>
      <w:spacing w:before="40" w:after="40" w:line="240" w:lineRule="auto"/>
    </w:pPr>
    <w:rPr>
      <w:rFonts w:ascii="Times New Roman" w:eastAsia="Times New Roman" w:hAnsi="Times New Roman" w:cs="Times New Roman"/>
      <w:sz w:val="18"/>
      <w:szCs w:val="24"/>
      <w:lang w:val="en-US"/>
    </w:rPr>
  </w:style>
  <w:style w:type="paragraph" w:customStyle="1" w:styleId="table-heading-9">
    <w:name w:val="table-heading-9"/>
    <w:basedOn w:val="Normal"/>
    <w:qFormat/>
    <w:rsid w:val="003B16BB"/>
    <w:pPr>
      <w:keepNext/>
      <w:widowControl w:val="0"/>
      <w:spacing w:before="40" w:after="40" w:line="240" w:lineRule="auto"/>
    </w:pPr>
    <w:rPr>
      <w:rFonts w:ascii="Times New Roman" w:eastAsia="Times New Roman" w:hAnsi="Times New Roman" w:cs="Times New Roman"/>
      <w:b/>
      <w:sz w:val="18"/>
      <w:szCs w:val="24"/>
      <w:lang w:val="en-US"/>
    </w:rPr>
  </w:style>
  <w:style w:type="paragraph" w:customStyle="1" w:styleId="table-heading-9centered">
    <w:name w:val="table-heading-9 centered"/>
    <w:basedOn w:val="table-heading-9"/>
    <w:qFormat/>
    <w:rsid w:val="003B16BB"/>
    <w:pPr>
      <w:jc w:val="center"/>
    </w:pPr>
  </w:style>
  <w:style w:type="paragraph" w:customStyle="1" w:styleId="BodyText2">
    <w:name w:val="BodyText2"/>
    <w:basedOn w:val="Normal"/>
    <w:link w:val="BodyText2Char"/>
    <w:rsid w:val="00AA39BE"/>
    <w:pPr>
      <w:spacing w:before="4" w:after="0" w:line="240" w:lineRule="auto"/>
      <w:ind w:firstLine="317"/>
    </w:pPr>
    <w:rPr>
      <w:rFonts w:ascii="Helvetica" w:eastAsia="Times New Roman" w:hAnsi="Helvetica" w:cs="Times New Roman"/>
      <w:sz w:val="16"/>
      <w:szCs w:val="24"/>
      <w:lang w:val="en-US"/>
    </w:rPr>
  </w:style>
  <w:style w:type="character" w:customStyle="1" w:styleId="BodyText2Char">
    <w:name w:val="BodyText2 Char"/>
    <w:basedOn w:val="DefaultParagraphFont"/>
    <w:link w:val="BodyText2"/>
    <w:rsid w:val="00AA39BE"/>
    <w:rPr>
      <w:rFonts w:ascii="Helvetica" w:eastAsia="Times New Roman" w:hAnsi="Helvetica" w:cs="Times New Roman"/>
      <w:sz w:val="16"/>
      <w:szCs w:val="24"/>
      <w:lang w:val="en-US"/>
    </w:rPr>
  </w:style>
  <w:style w:type="character" w:customStyle="1" w:styleId="Heading3Char">
    <w:name w:val="Heading 3 Char"/>
    <w:basedOn w:val="DefaultParagraphFont"/>
    <w:link w:val="Heading3"/>
    <w:uiPriority w:val="9"/>
    <w:semiHidden/>
    <w:rsid w:val="00287C3C"/>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326485"/>
    <w:pPr>
      <w:tabs>
        <w:tab w:val="left" w:pos="142"/>
      </w:tabs>
      <w:suppressAutoHyphens/>
      <w:spacing w:after="0" w:line="240" w:lineRule="auto"/>
      <w:ind w:left="142" w:hanging="142"/>
      <w:jc w:val="both"/>
    </w:pPr>
    <w:rPr>
      <w:rFonts w:ascii="Times New Roman" w:eastAsia="Times New Roman" w:hAnsi="Times New Roman" w:cs="Times New Roman"/>
      <w:sz w:val="18"/>
      <w:szCs w:val="20"/>
      <w:lang w:val="en-US"/>
    </w:rPr>
  </w:style>
  <w:style w:type="character" w:customStyle="1" w:styleId="FootnoteTextChar">
    <w:name w:val="Footnote Text Char"/>
    <w:basedOn w:val="DefaultParagraphFont"/>
    <w:link w:val="FootnoteText"/>
    <w:rsid w:val="00326485"/>
    <w:rPr>
      <w:rFonts w:ascii="Times New Roman" w:eastAsia="Times New Roman" w:hAnsi="Times New Roman" w:cs="Times New Roman"/>
      <w:sz w:val="18"/>
      <w:szCs w:val="20"/>
      <w:lang w:val="en-US"/>
    </w:rPr>
  </w:style>
  <w:style w:type="paragraph" w:customStyle="1" w:styleId="AventisLetterheadG">
    <w:name w:val="Aventis Letterhead G"/>
    <w:basedOn w:val="Normal"/>
    <w:rsid w:val="00326485"/>
    <w:pPr>
      <w:spacing w:after="0" w:line="220" w:lineRule="exact"/>
    </w:pPr>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2169">
      <w:bodyDiv w:val="1"/>
      <w:marLeft w:val="0"/>
      <w:marRight w:val="0"/>
      <w:marTop w:val="0"/>
      <w:marBottom w:val="0"/>
      <w:divBdr>
        <w:top w:val="none" w:sz="0" w:space="0" w:color="auto"/>
        <w:left w:val="none" w:sz="0" w:space="0" w:color="auto"/>
        <w:bottom w:val="none" w:sz="0" w:space="0" w:color="auto"/>
        <w:right w:val="none" w:sz="0" w:space="0" w:color="auto"/>
      </w:divBdr>
    </w:div>
    <w:div w:id="191891130">
      <w:bodyDiv w:val="1"/>
      <w:marLeft w:val="0"/>
      <w:marRight w:val="0"/>
      <w:marTop w:val="0"/>
      <w:marBottom w:val="0"/>
      <w:divBdr>
        <w:top w:val="none" w:sz="0" w:space="0" w:color="auto"/>
        <w:left w:val="none" w:sz="0" w:space="0" w:color="auto"/>
        <w:bottom w:val="none" w:sz="0" w:space="0" w:color="auto"/>
        <w:right w:val="none" w:sz="0" w:space="0" w:color="auto"/>
      </w:divBdr>
    </w:div>
    <w:div w:id="741102463">
      <w:bodyDiv w:val="1"/>
      <w:marLeft w:val="0"/>
      <w:marRight w:val="0"/>
      <w:marTop w:val="0"/>
      <w:marBottom w:val="0"/>
      <w:divBdr>
        <w:top w:val="none" w:sz="0" w:space="0" w:color="auto"/>
        <w:left w:val="none" w:sz="0" w:space="0" w:color="auto"/>
        <w:bottom w:val="none" w:sz="0" w:space="0" w:color="auto"/>
        <w:right w:val="none" w:sz="0" w:space="0" w:color="auto"/>
      </w:divBdr>
    </w:div>
    <w:div w:id="961106922">
      <w:bodyDiv w:val="1"/>
      <w:marLeft w:val="0"/>
      <w:marRight w:val="0"/>
      <w:marTop w:val="0"/>
      <w:marBottom w:val="0"/>
      <w:divBdr>
        <w:top w:val="none" w:sz="0" w:space="0" w:color="auto"/>
        <w:left w:val="none" w:sz="0" w:space="0" w:color="auto"/>
        <w:bottom w:val="none" w:sz="0" w:space="0" w:color="auto"/>
        <w:right w:val="none" w:sz="0" w:space="0" w:color="auto"/>
      </w:divBdr>
    </w:div>
    <w:div w:id="1423604507">
      <w:bodyDiv w:val="1"/>
      <w:marLeft w:val="0"/>
      <w:marRight w:val="0"/>
      <w:marTop w:val="0"/>
      <w:marBottom w:val="0"/>
      <w:divBdr>
        <w:top w:val="none" w:sz="0" w:space="0" w:color="auto"/>
        <w:left w:val="none" w:sz="0" w:space="0" w:color="auto"/>
        <w:bottom w:val="none" w:sz="0" w:space="0" w:color="auto"/>
        <w:right w:val="none" w:sz="0" w:space="0" w:color="auto"/>
      </w:divBdr>
      <w:divsChild>
        <w:div w:id="740181633">
          <w:marLeft w:val="0"/>
          <w:marRight w:val="0"/>
          <w:marTop w:val="0"/>
          <w:marBottom w:val="0"/>
          <w:divBdr>
            <w:top w:val="none" w:sz="0" w:space="0" w:color="auto"/>
            <w:left w:val="none" w:sz="0" w:space="0" w:color="auto"/>
            <w:bottom w:val="none" w:sz="0" w:space="0" w:color="auto"/>
            <w:right w:val="none" w:sz="0" w:space="0" w:color="auto"/>
          </w:divBdr>
          <w:divsChild>
            <w:div w:id="914049697">
              <w:marLeft w:val="0"/>
              <w:marRight w:val="0"/>
              <w:marTop w:val="0"/>
              <w:marBottom w:val="0"/>
              <w:divBdr>
                <w:top w:val="none" w:sz="0" w:space="0" w:color="auto"/>
                <w:left w:val="none" w:sz="0" w:space="0" w:color="auto"/>
                <w:bottom w:val="none" w:sz="0" w:space="0" w:color="auto"/>
                <w:right w:val="none" w:sz="0" w:space="0" w:color="auto"/>
              </w:divBdr>
              <w:divsChild>
                <w:div w:id="1931811319">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 w:id="1894122895">
      <w:bodyDiv w:val="1"/>
      <w:marLeft w:val="0"/>
      <w:marRight w:val="0"/>
      <w:marTop w:val="0"/>
      <w:marBottom w:val="0"/>
      <w:divBdr>
        <w:top w:val="none" w:sz="0" w:space="0" w:color="auto"/>
        <w:left w:val="none" w:sz="0" w:space="0" w:color="auto"/>
        <w:bottom w:val="none" w:sz="0" w:space="0" w:color="auto"/>
        <w:right w:val="none" w:sz="0" w:space="0" w:color="auto"/>
      </w:divBdr>
      <w:divsChild>
        <w:div w:id="2056536021">
          <w:marLeft w:val="0"/>
          <w:marRight w:val="0"/>
          <w:marTop w:val="0"/>
          <w:marBottom w:val="0"/>
          <w:divBdr>
            <w:top w:val="none" w:sz="0" w:space="0" w:color="auto"/>
            <w:left w:val="none" w:sz="0" w:space="0" w:color="auto"/>
            <w:bottom w:val="none" w:sz="0" w:space="0" w:color="auto"/>
            <w:right w:val="none" w:sz="0" w:space="0" w:color="auto"/>
          </w:divBdr>
          <w:divsChild>
            <w:div w:id="1533229754">
              <w:marLeft w:val="0"/>
              <w:marRight w:val="0"/>
              <w:marTop w:val="0"/>
              <w:marBottom w:val="0"/>
              <w:divBdr>
                <w:top w:val="none" w:sz="0" w:space="0" w:color="auto"/>
                <w:left w:val="none" w:sz="0" w:space="0" w:color="auto"/>
                <w:bottom w:val="none" w:sz="0" w:space="0" w:color="auto"/>
                <w:right w:val="none" w:sz="0" w:space="0" w:color="auto"/>
              </w:divBdr>
              <w:divsChild>
                <w:div w:id="1183471614">
                  <w:marLeft w:val="0"/>
                  <w:marRight w:val="0"/>
                  <w:marTop w:val="0"/>
                  <w:marBottom w:val="0"/>
                  <w:divBdr>
                    <w:top w:val="none" w:sz="0" w:space="0" w:color="auto"/>
                    <w:left w:val="none" w:sz="0" w:space="0" w:color="auto"/>
                    <w:bottom w:val="none" w:sz="0" w:space="0" w:color="auto"/>
                    <w:right w:val="none" w:sz="0" w:space="0" w:color="auto"/>
                  </w:divBdr>
                  <w:divsChild>
                    <w:div w:id="1235123968">
                      <w:marLeft w:val="0"/>
                      <w:marRight w:val="0"/>
                      <w:marTop w:val="0"/>
                      <w:marBottom w:val="0"/>
                      <w:divBdr>
                        <w:top w:val="none" w:sz="0" w:space="0" w:color="auto"/>
                        <w:left w:val="none" w:sz="0" w:space="0" w:color="auto"/>
                        <w:bottom w:val="none" w:sz="0" w:space="0" w:color="auto"/>
                        <w:right w:val="none" w:sz="0" w:space="0" w:color="auto"/>
                      </w:divBdr>
                      <w:divsChild>
                        <w:div w:id="20024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51FBC-445F-43DE-81FD-E22DB5354742}">
  <ds:schemaRefs>
    <ds:schemaRef ds:uri="http://schemas.openxmlformats.org/officeDocument/2006/bibliography"/>
  </ds:schemaRefs>
</ds:datastoreItem>
</file>

<file path=customXml/itemProps2.xml><?xml version="1.0" encoding="utf-8"?>
<ds:datastoreItem xmlns:ds="http://schemas.openxmlformats.org/officeDocument/2006/customXml" ds:itemID="{4C1482F9-AE6E-4AA9-9E76-0D0AC90D4BF4}">
  <ds:schemaRefs>
    <ds:schemaRef ds:uri="http://schemas.openxmlformats.org/officeDocument/2006/bibliography"/>
  </ds:schemaRefs>
</ds:datastoreItem>
</file>

<file path=customXml/itemProps3.xml><?xml version="1.0" encoding="utf-8"?>
<ds:datastoreItem xmlns:ds="http://schemas.openxmlformats.org/officeDocument/2006/customXml" ds:itemID="{BD341245-6E5F-43C0-95C3-64A7DA31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6260</Words>
  <Characters>35685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AusPAR Attachment 1: Product Information for Entyvio/Kynteles</vt:lpstr>
    </vt:vector>
  </TitlesOfParts>
  <Company>Takeda Pharmaceuticals Australia Pty Ltd</Company>
  <LinksUpToDate>false</LinksUpToDate>
  <CharactersWithSpaces>41862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Entyvio/Kynteles</dc:title>
  <dc:subject>prescription medicine regulation</dc:subject>
  <dc:creator>Takeda Pharmaceuticals Australia Pty Ltd</dc:creator>
  <cp:keywords>product information, medicine, assessment, regulation, australia, vedolizumab, entyvio, kynteles, takeda</cp:keywords>
  <cp:lastModifiedBy>Searson, Lisa</cp:lastModifiedBy>
  <cp:revision>2</cp:revision>
  <cp:lastPrinted>2014-06-18T02:27:00Z</cp:lastPrinted>
  <dcterms:created xsi:type="dcterms:W3CDTF">2014-12-10T03:42:00Z</dcterms:created>
  <dcterms:modified xsi:type="dcterms:W3CDTF">2014-12-10T03:42:00Z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oFAAC41Wbh9etaUOJ8PXqmaND4nCsSvugXlOt5ob/H6otP3Pz3hWRVEWDKTjlgoQXAzqLN+QmVXFhd7Q
ZTmVzyqec8M1Dq6Hg91lAUWg0ZxtSMeAcvdHyYrI4JGk0uexNyjJdDQkaAJMuUFe6jt/SHQqJPvb
RBjH8PXPryTz08ZBoCPhxx1N6V3T/rY+g1cztmE9FZNJWItz/Y/94g4W0pw02b2M9nuQxq/k3+iP
dVP8D/vs1mNXKZnC8</vt:lpwstr>
  </property>
  <property fmtid="{D5CDD505-2E9C-101B-9397-08002B2CF9AE}" pid="3" name="MAIL_MSG_ID2">
    <vt:lpwstr>9BgP+FafsFhyGeqShgOO4VOjb7SSRaJ3l07mdRzZOqH1t74BtuXn+1pwfvS
nx4VB9+h3K58Sd5/hcQhQaOUEy1KNmKvP4av4Px0GpQTFa//</vt:lpwstr>
  </property>
  <property fmtid="{D5CDD505-2E9C-101B-9397-08002B2CF9AE}" pid="4" name="RESPONSE_SENDER_NAME">
    <vt:lpwstr>4AAA9mrMv1QjWAuV8RRhsxasNiya9FqbPzLK29YCUHa1ze/gRBVxpD8qNA==</vt:lpwstr>
  </property>
  <property fmtid="{D5CDD505-2E9C-101B-9397-08002B2CF9AE}" pid="5" name="EMAIL_OWNER_ADDRESS">
    <vt:lpwstr>ABAAv4tRYjpfjUv5j0mrFUg2gJ0wOPZ/VJyqjlvQo/YtAnzZBBI/HGVIq3ztO5Rd80Lp</vt:lpwstr>
  </property>
</Properties>
</file>