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404E6C" w:rsidP="00404E6C">
            <w:pPr>
              <w:rPr>
                <w:rFonts w:ascii="Arial" w:hAnsi="Arial" w:cs="Arial"/>
                <w:b/>
                <w:color w:val="002C47"/>
                <w:sz w:val="36"/>
                <w:szCs w:val="36"/>
              </w:rPr>
            </w:pPr>
            <w:r>
              <w:rPr>
                <w:rFonts w:ascii="Arial" w:hAnsi="Arial" w:cs="Arial"/>
                <w:b/>
                <w:color w:val="002C47"/>
                <w:sz w:val="36"/>
                <w:szCs w:val="36"/>
              </w:rPr>
              <w:t>Novem</w:t>
            </w:r>
            <w:r w:rsidR="00C5264C">
              <w:rPr>
                <w:rFonts w:ascii="Arial" w:hAnsi="Arial" w:cs="Arial"/>
                <w:b/>
                <w:color w:val="002C47"/>
                <w:sz w:val="36"/>
                <w:szCs w:val="36"/>
              </w:rPr>
              <w:t>ber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w:t>
            </w:r>
            <w:r w:rsidR="00C5264C">
              <w:rPr>
                <w:color w:val="FFFFFF" w:themeColor="background1"/>
              </w:rPr>
              <w:t xml:space="preserve">n Public Assessment Report for </w:t>
            </w:r>
            <w:proofErr w:type="spellStart"/>
            <w:r w:rsidR="00C5264C">
              <w:rPr>
                <w:color w:val="FFFFFF" w:themeColor="background1"/>
              </w:rPr>
              <w:t>V</w:t>
            </w:r>
            <w:r w:rsidR="00C5264C" w:rsidRPr="00C5264C">
              <w:rPr>
                <w:color w:val="FFFFFF" w:themeColor="background1"/>
              </w:rPr>
              <w:t>edolizumab</w:t>
            </w:r>
            <w:proofErr w:type="spellEnd"/>
            <w:r w:rsidR="00C5264C" w:rsidRPr="00C5264C">
              <w:rPr>
                <w:color w:val="FFFFFF" w:themeColor="background1"/>
              </w:rPr>
              <w:t xml:space="preserve"> (</w:t>
            </w:r>
            <w:proofErr w:type="spellStart"/>
            <w:r w:rsidR="00C5264C" w:rsidRPr="00C5264C">
              <w:rPr>
                <w:color w:val="FFFFFF" w:themeColor="background1"/>
              </w:rPr>
              <w:t>rch</w:t>
            </w:r>
            <w:proofErr w:type="spellEnd"/>
            <w:r w:rsidR="00C5264C" w:rsidRPr="00C5264C">
              <w:rPr>
                <w:color w:val="FFFFFF" w:themeColor="background1"/>
              </w:rPr>
              <w:t>)</w:t>
            </w:r>
          </w:p>
        </w:tc>
      </w:tr>
      <w:tr w:rsidR="0032583B" w:rsidRPr="00B64760" w:rsidTr="0032583B">
        <w:tc>
          <w:tcPr>
            <w:tcW w:w="9079" w:type="dxa"/>
          </w:tcPr>
          <w:p w:rsidR="0032583B" w:rsidRPr="008E7846" w:rsidRDefault="0032583B" w:rsidP="00C5264C">
            <w:pPr>
              <w:pStyle w:val="Subtitle"/>
              <w:rPr>
                <w:color w:val="FFFFFF" w:themeColor="background1"/>
              </w:rPr>
            </w:pPr>
            <w:r w:rsidRPr="008E7846">
              <w:rPr>
                <w:color w:val="FFFFFF" w:themeColor="background1"/>
              </w:rPr>
              <w:t>Proprietary Product Name</w:t>
            </w:r>
            <w:r w:rsidR="00C5264C">
              <w:rPr>
                <w:color w:val="FFFFFF" w:themeColor="background1"/>
              </w:rPr>
              <w:t xml:space="preserve">s: </w:t>
            </w:r>
            <w:proofErr w:type="spellStart"/>
            <w:r w:rsidR="00C5264C">
              <w:rPr>
                <w:color w:val="FFFFFF" w:themeColor="background1"/>
              </w:rPr>
              <w:t>Entyvio</w:t>
            </w:r>
            <w:proofErr w:type="spellEnd"/>
            <w:r w:rsidR="00C5264C">
              <w:rPr>
                <w:color w:val="FFFFFF" w:themeColor="background1"/>
              </w:rPr>
              <w:t>/</w:t>
            </w:r>
            <w:proofErr w:type="spellStart"/>
            <w:r w:rsidR="00C5264C">
              <w:rPr>
                <w:color w:val="FFFFFF" w:themeColor="background1"/>
              </w:rPr>
              <w:t>Kynteles</w:t>
            </w:r>
            <w:proofErr w:type="spellEnd"/>
          </w:p>
        </w:tc>
      </w:tr>
      <w:tr w:rsidR="0032583B" w:rsidRPr="00B64760" w:rsidTr="0032583B">
        <w:trPr>
          <w:trHeight w:val="486"/>
        </w:trPr>
        <w:tc>
          <w:tcPr>
            <w:tcW w:w="9079" w:type="dxa"/>
          </w:tcPr>
          <w:p w:rsidR="0032583B" w:rsidRPr="008E7846" w:rsidRDefault="00C5264C" w:rsidP="0032583B">
            <w:pPr>
              <w:pStyle w:val="Subtitle"/>
              <w:rPr>
                <w:color w:val="FFFFFF" w:themeColor="background1"/>
              </w:rPr>
            </w:pPr>
            <w:r>
              <w:rPr>
                <w:color w:val="FFFFFF" w:themeColor="background1"/>
              </w:rPr>
              <w:t xml:space="preserve">Sponsor: </w:t>
            </w:r>
            <w:r w:rsidRPr="00C5264C">
              <w:rPr>
                <w:color w:val="FFFFFF" w:themeColor="background1"/>
              </w:rPr>
              <w:t>Takeda Pharmaceuticals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727078">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727078">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727078">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727078">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727078">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727078">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727078">
      <w:pPr>
        <w:pStyle w:val="ListBullet"/>
        <w:numPr>
          <w:ilvl w:val="0"/>
          <w:numId w:val="1"/>
        </w:numPr>
        <w:ind w:left="357" w:hanging="357"/>
      </w:pPr>
      <w:r>
        <w:t>AusPARs are prepared and published by the TGA.</w:t>
      </w:r>
    </w:p>
    <w:p w:rsidR="008E7846" w:rsidRDefault="008E7846" w:rsidP="00727078">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727078">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727078">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7195D">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D1744F" w:rsidRDefault="00CC42CD">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05974760" w:history="1">
            <w:r w:rsidR="00D1744F" w:rsidRPr="00CF41D1">
              <w:rPr>
                <w:rStyle w:val="Hyperlink"/>
                <w:noProof/>
              </w:rPr>
              <w:t>List of abbreviations used commonly in this AusPAR</w:t>
            </w:r>
            <w:r w:rsidR="00D1744F">
              <w:rPr>
                <w:noProof/>
                <w:webHidden/>
              </w:rPr>
              <w:tab/>
            </w:r>
            <w:r w:rsidR="00D1744F">
              <w:rPr>
                <w:noProof/>
                <w:webHidden/>
              </w:rPr>
              <w:fldChar w:fldCharType="begin"/>
            </w:r>
            <w:r w:rsidR="00D1744F">
              <w:rPr>
                <w:noProof/>
                <w:webHidden/>
              </w:rPr>
              <w:instrText xml:space="preserve"> PAGEREF _Toc405974760 \h </w:instrText>
            </w:r>
            <w:r w:rsidR="00D1744F">
              <w:rPr>
                <w:noProof/>
                <w:webHidden/>
              </w:rPr>
            </w:r>
            <w:r w:rsidR="00D1744F">
              <w:rPr>
                <w:noProof/>
                <w:webHidden/>
              </w:rPr>
              <w:fldChar w:fldCharType="separate"/>
            </w:r>
            <w:r w:rsidR="00D1744F">
              <w:rPr>
                <w:noProof/>
                <w:webHidden/>
              </w:rPr>
              <w:t>5</w:t>
            </w:r>
            <w:r w:rsidR="00D1744F">
              <w:rPr>
                <w:noProof/>
                <w:webHidden/>
              </w:rPr>
              <w:fldChar w:fldCharType="end"/>
            </w:r>
          </w:hyperlink>
        </w:p>
        <w:p w:rsidR="00D1744F" w:rsidRDefault="00D1744F">
          <w:pPr>
            <w:pStyle w:val="TOC2"/>
            <w:rPr>
              <w:rFonts w:asciiTheme="minorHAnsi" w:eastAsiaTheme="minorEastAsia" w:hAnsiTheme="minorHAnsi" w:cstheme="minorBidi"/>
              <w:b w:val="0"/>
              <w:noProof/>
              <w:sz w:val="22"/>
              <w:lang w:eastAsia="en-AU"/>
            </w:rPr>
          </w:pPr>
          <w:hyperlink w:anchor="_Toc405974761" w:history="1">
            <w:r w:rsidRPr="00CF41D1">
              <w:rPr>
                <w:rStyle w:val="Hyperlink"/>
                <w:noProof/>
              </w:rPr>
              <w:t>I. Introduction to product submission</w:t>
            </w:r>
            <w:r>
              <w:rPr>
                <w:noProof/>
                <w:webHidden/>
              </w:rPr>
              <w:tab/>
            </w:r>
            <w:r>
              <w:rPr>
                <w:noProof/>
                <w:webHidden/>
              </w:rPr>
              <w:fldChar w:fldCharType="begin"/>
            </w:r>
            <w:r>
              <w:rPr>
                <w:noProof/>
                <w:webHidden/>
              </w:rPr>
              <w:instrText xml:space="preserve"> PAGEREF _Toc405974761 \h </w:instrText>
            </w:r>
            <w:r>
              <w:rPr>
                <w:noProof/>
                <w:webHidden/>
              </w:rPr>
            </w:r>
            <w:r>
              <w:rPr>
                <w:noProof/>
                <w:webHidden/>
              </w:rPr>
              <w:fldChar w:fldCharType="separate"/>
            </w:r>
            <w:r>
              <w:rPr>
                <w:noProof/>
                <w:webHidden/>
              </w:rPr>
              <w:t>8</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2" w:history="1">
            <w:r w:rsidRPr="00CF41D1">
              <w:rPr>
                <w:rStyle w:val="Hyperlink"/>
                <w:noProof/>
              </w:rPr>
              <w:t>Submission</w:t>
            </w:r>
            <w:r w:rsidRPr="00CF41D1">
              <w:rPr>
                <w:rStyle w:val="Hyperlink"/>
                <w:noProof/>
                <w:lang w:eastAsia="en-AU"/>
              </w:rPr>
              <w:t xml:space="preserve"> details</w:t>
            </w:r>
            <w:r>
              <w:rPr>
                <w:noProof/>
                <w:webHidden/>
              </w:rPr>
              <w:tab/>
            </w:r>
            <w:r>
              <w:rPr>
                <w:noProof/>
                <w:webHidden/>
              </w:rPr>
              <w:fldChar w:fldCharType="begin"/>
            </w:r>
            <w:r>
              <w:rPr>
                <w:noProof/>
                <w:webHidden/>
              </w:rPr>
              <w:instrText xml:space="preserve"> PAGEREF _Toc405974762 \h </w:instrText>
            </w:r>
            <w:r>
              <w:rPr>
                <w:noProof/>
                <w:webHidden/>
              </w:rPr>
            </w:r>
            <w:r>
              <w:rPr>
                <w:noProof/>
                <w:webHidden/>
              </w:rPr>
              <w:fldChar w:fldCharType="separate"/>
            </w:r>
            <w:r>
              <w:rPr>
                <w:noProof/>
                <w:webHidden/>
              </w:rPr>
              <w:t>8</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3" w:history="1">
            <w:r w:rsidRPr="00CF41D1">
              <w:rPr>
                <w:rStyle w:val="Hyperlink"/>
                <w:noProof/>
              </w:rPr>
              <w:t>Product background</w:t>
            </w:r>
            <w:r>
              <w:rPr>
                <w:noProof/>
                <w:webHidden/>
              </w:rPr>
              <w:tab/>
            </w:r>
            <w:r>
              <w:rPr>
                <w:noProof/>
                <w:webHidden/>
              </w:rPr>
              <w:fldChar w:fldCharType="begin"/>
            </w:r>
            <w:r>
              <w:rPr>
                <w:noProof/>
                <w:webHidden/>
              </w:rPr>
              <w:instrText xml:space="preserve"> PAGEREF _Toc405974763 \h </w:instrText>
            </w:r>
            <w:r>
              <w:rPr>
                <w:noProof/>
                <w:webHidden/>
              </w:rPr>
            </w:r>
            <w:r>
              <w:rPr>
                <w:noProof/>
                <w:webHidden/>
              </w:rPr>
              <w:fldChar w:fldCharType="separate"/>
            </w:r>
            <w:r>
              <w:rPr>
                <w:noProof/>
                <w:webHidden/>
              </w:rPr>
              <w:t>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4" w:history="1">
            <w:r w:rsidRPr="00CF41D1">
              <w:rPr>
                <w:rStyle w:val="Hyperlink"/>
                <w:noProof/>
              </w:rPr>
              <w:t>Regulatory status</w:t>
            </w:r>
            <w:r>
              <w:rPr>
                <w:noProof/>
                <w:webHidden/>
              </w:rPr>
              <w:tab/>
            </w:r>
            <w:r>
              <w:rPr>
                <w:noProof/>
                <w:webHidden/>
              </w:rPr>
              <w:fldChar w:fldCharType="begin"/>
            </w:r>
            <w:r>
              <w:rPr>
                <w:noProof/>
                <w:webHidden/>
              </w:rPr>
              <w:instrText xml:space="preserve"> PAGEREF _Toc405974764 \h </w:instrText>
            </w:r>
            <w:r>
              <w:rPr>
                <w:noProof/>
                <w:webHidden/>
              </w:rPr>
            </w:r>
            <w:r>
              <w:rPr>
                <w:noProof/>
                <w:webHidden/>
              </w:rPr>
              <w:fldChar w:fldCharType="separate"/>
            </w:r>
            <w:r>
              <w:rPr>
                <w:noProof/>
                <w:webHidden/>
              </w:rPr>
              <w:t>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5" w:history="1">
            <w:r w:rsidRPr="00CF41D1">
              <w:rPr>
                <w:rStyle w:val="Hyperlink"/>
                <w:noProof/>
              </w:rPr>
              <w:t>Product Information</w:t>
            </w:r>
            <w:r>
              <w:rPr>
                <w:noProof/>
                <w:webHidden/>
              </w:rPr>
              <w:tab/>
            </w:r>
            <w:r>
              <w:rPr>
                <w:noProof/>
                <w:webHidden/>
              </w:rPr>
              <w:fldChar w:fldCharType="begin"/>
            </w:r>
            <w:r>
              <w:rPr>
                <w:noProof/>
                <w:webHidden/>
              </w:rPr>
              <w:instrText xml:space="preserve"> PAGEREF _Toc405974765 \h </w:instrText>
            </w:r>
            <w:r>
              <w:rPr>
                <w:noProof/>
                <w:webHidden/>
              </w:rPr>
            </w:r>
            <w:r>
              <w:rPr>
                <w:noProof/>
                <w:webHidden/>
              </w:rPr>
              <w:fldChar w:fldCharType="separate"/>
            </w:r>
            <w:r>
              <w:rPr>
                <w:noProof/>
                <w:webHidden/>
              </w:rPr>
              <w:t>9</w:t>
            </w:r>
            <w:r>
              <w:rPr>
                <w:noProof/>
                <w:webHidden/>
              </w:rPr>
              <w:fldChar w:fldCharType="end"/>
            </w:r>
          </w:hyperlink>
        </w:p>
        <w:p w:rsidR="00D1744F" w:rsidRDefault="00D1744F">
          <w:pPr>
            <w:pStyle w:val="TOC2"/>
            <w:rPr>
              <w:rFonts w:asciiTheme="minorHAnsi" w:eastAsiaTheme="minorEastAsia" w:hAnsiTheme="minorHAnsi" w:cstheme="minorBidi"/>
              <w:b w:val="0"/>
              <w:noProof/>
              <w:sz w:val="22"/>
              <w:lang w:eastAsia="en-AU"/>
            </w:rPr>
          </w:pPr>
          <w:hyperlink w:anchor="_Toc405974766" w:history="1">
            <w:r w:rsidRPr="00CF41D1">
              <w:rPr>
                <w:rStyle w:val="Hyperlink"/>
                <w:noProof/>
              </w:rPr>
              <w:t>II. Quality findings</w:t>
            </w:r>
            <w:r>
              <w:rPr>
                <w:noProof/>
                <w:webHidden/>
              </w:rPr>
              <w:tab/>
            </w:r>
            <w:r>
              <w:rPr>
                <w:noProof/>
                <w:webHidden/>
              </w:rPr>
              <w:fldChar w:fldCharType="begin"/>
            </w:r>
            <w:r>
              <w:rPr>
                <w:noProof/>
                <w:webHidden/>
              </w:rPr>
              <w:instrText xml:space="preserve"> PAGEREF _Toc405974766 \h </w:instrText>
            </w:r>
            <w:r>
              <w:rPr>
                <w:noProof/>
                <w:webHidden/>
              </w:rPr>
            </w:r>
            <w:r>
              <w:rPr>
                <w:noProof/>
                <w:webHidden/>
              </w:rPr>
              <w:fldChar w:fldCharType="separate"/>
            </w:r>
            <w:r>
              <w:rPr>
                <w:noProof/>
                <w:webHidden/>
              </w:rPr>
              <w:t>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7" w:history="1">
            <w:r w:rsidRPr="00CF41D1">
              <w:rPr>
                <w:rStyle w:val="Hyperlink"/>
                <w:noProof/>
              </w:rPr>
              <w:t>Introduction</w:t>
            </w:r>
            <w:r>
              <w:rPr>
                <w:noProof/>
                <w:webHidden/>
              </w:rPr>
              <w:tab/>
            </w:r>
            <w:r>
              <w:rPr>
                <w:noProof/>
                <w:webHidden/>
              </w:rPr>
              <w:fldChar w:fldCharType="begin"/>
            </w:r>
            <w:r>
              <w:rPr>
                <w:noProof/>
                <w:webHidden/>
              </w:rPr>
              <w:instrText xml:space="preserve"> PAGEREF _Toc405974767 \h </w:instrText>
            </w:r>
            <w:r>
              <w:rPr>
                <w:noProof/>
                <w:webHidden/>
              </w:rPr>
            </w:r>
            <w:r>
              <w:rPr>
                <w:noProof/>
                <w:webHidden/>
              </w:rPr>
              <w:fldChar w:fldCharType="separate"/>
            </w:r>
            <w:r>
              <w:rPr>
                <w:noProof/>
                <w:webHidden/>
              </w:rPr>
              <w:t>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8" w:history="1">
            <w:r w:rsidRPr="00CF41D1">
              <w:rPr>
                <w:rStyle w:val="Hyperlink"/>
                <w:noProof/>
              </w:rPr>
              <w:t>Drug substance (active ingredient)</w:t>
            </w:r>
            <w:r>
              <w:rPr>
                <w:noProof/>
                <w:webHidden/>
              </w:rPr>
              <w:tab/>
            </w:r>
            <w:r>
              <w:rPr>
                <w:noProof/>
                <w:webHidden/>
              </w:rPr>
              <w:fldChar w:fldCharType="begin"/>
            </w:r>
            <w:r>
              <w:rPr>
                <w:noProof/>
                <w:webHidden/>
              </w:rPr>
              <w:instrText xml:space="preserve"> PAGEREF _Toc405974768 \h </w:instrText>
            </w:r>
            <w:r>
              <w:rPr>
                <w:noProof/>
                <w:webHidden/>
              </w:rPr>
            </w:r>
            <w:r>
              <w:rPr>
                <w:noProof/>
                <w:webHidden/>
              </w:rPr>
              <w:fldChar w:fldCharType="separate"/>
            </w:r>
            <w:r>
              <w:rPr>
                <w:noProof/>
                <w:webHidden/>
              </w:rPr>
              <w:t>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69" w:history="1">
            <w:r w:rsidRPr="00CF41D1">
              <w:rPr>
                <w:rStyle w:val="Hyperlink"/>
                <w:noProof/>
              </w:rPr>
              <w:t>Drug product</w:t>
            </w:r>
            <w:r>
              <w:rPr>
                <w:noProof/>
                <w:webHidden/>
              </w:rPr>
              <w:tab/>
            </w:r>
            <w:r>
              <w:rPr>
                <w:noProof/>
                <w:webHidden/>
              </w:rPr>
              <w:fldChar w:fldCharType="begin"/>
            </w:r>
            <w:r>
              <w:rPr>
                <w:noProof/>
                <w:webHidden/>
              </w:rPr>
              <w:instrText xml:space="preserve"> PAGEREF _Toc405974769 \h </w:instrText>
            </w:r>
            <w:r>
              <w:rPr>
                <w:noProof/>
                <w:webHidden/>
              </w:rPr>
            </w:r>
            <w:r>
              <w:rPr>
                <w:noProof/>
                <w:webHidden/>
              </w:rPr>
              <w:fldChar w:fldCharType="separate"/>
            </w:r>
            <w:r>
              <w:rPr>
                <w:noProof/>
                <w:webHidden/>
              </w:rPr>
              <w:t>10</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0" w:history="1">
            <w:r w:rsidRPr="00CF41D1">
              <w:rPr>
                <w:rStyle w:val="Hyperlink"/>
                <w:noProof/>
              </w:rPr>
              <w:t>Biopharmaceutics</w:t>
            </w:r>
            <w:r>
              <w:rPr>
                <w:noProof/>
                <w:webHidden/>
              </w:rPr>
              <w:tab/>
            </w:r>
            <w:r>
              <w:rPr>
                <w:noProof/>
                <w:webHidden/>
              </w:rPr>
              <w:fldChar w:fldCharType="begin"/>
            </w:r>
            <w:r>
              <w:rPr>
                <w:noProof/>
                <w:webHidden/>
              </w:rPr>
              <w:instrText xml:space="preserve"> PAGEREF _Toc405974770 \h </w:instrText>
            </w:r>
            <w:r>
              <w:rPr>
                <w:noProof/>
                <w:webHidden/>
              </w:rPr>
            </w:r>
            <w:r>
              <w:rPr>
                <w:noProof/>
                <w:webHidden/>
              </w:rPr>
              <w:fldChar w:fldCharType="separate"/>
            </w:r>
            <w:r>
              <w:rPr>
                <w:noProof/>
                <w:webHidden/>
              </w:rPr>
              <w:t>10</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1" w:history="1">
            <w:r w:rsidRPr="00CF41D1">
              <w:rPr>
                <w:rStyle w:val="Hyperlink"/>
                <w:noProof/>
              </w:rPr>
              <w:t>Quality summary and conclusions</w:t>
            </w:r>
            <w:r>
              <w:rPr>
                <w:noProof/>
                <w:webHidden/>
              </w:rPr>
              <w:tab/>
            </w:r>
            <w:r>
              <w:rPr>
                <w:noProof/>
                <w:webHidden/>
              </w:rPr>
              <w:fldChar w:fldCharType="begin"/>
            </w:r>
            <w:r>
              <w:rPr>
                <w:noProof/>
                <w:webHidden/>
              </w:rPr>
              <w:instrText xml:space="preserve"> PAGEREF _Toc405974771 \h </w:instrText>
            </w:r>
            <w:r>
              <w:rPr>
                <w:noProof/>
                <w:webHidden/>
              </w:rPr>
            </w:r>
            <w:r>
              <w:rPr>
                <w:noProof/>
                <w:webHidden/>
              </w:rPr>
              <w:fldChar w:fldCharType="separate"/>
            </w:r>
            <w:r>
              <w:rPr>
                <w:noProof/>
                <w:webHidden/>
              </w:rPr>
              <w:t>10</w:t>
            </w:r>
            <w:r>
              <w:rPr>
                <w:noProof/>
                <w:webHidden/>
              </w:rPr>
              <w:fldChar w:fldCharType="end"/>
            </w:r>
          </w:hyperlink>
        </w:p>
        <w:p w:rsidR="00D1744F" w:rsidRDefault="00D1744F">
          <w:pPr>
            <w:pStyle w:val="TOC2"/>
            <w:rPr>
              <w:rFonts w:asciiTheme="minorHAnsi" w:eastAsiaTheme="minorEastAsia" w:hAnsiTheme="minorHAnsi" w:cstheme="minorBidi"/>
              <w:b w:val="0"/>
              <w:noProof/>
              <w:sz w:val="22"/>
              <w:lang w:eastAsia="en-AU"/>
            </w:rPr>
          </w:pPr>
          <w:hyperlink w:anchor="_Toc405974772" w:history="1">
            <w:r w:rsidRPr="00CF41D1">
              <w:rPr>
                <w:rStyle w:val="Hyperlink"/>
                <w:noProof/>
              </w:rPr>
              <w:t>III. Nonclinical findings</w:t>
            </w:r>
            <w:r>
              <w:rPr>
                <w:noProof/>
                <w:webHidden/>
              </w:rPr>
              <w:tab/>
            </w:r>
            <w:r>
              <w:rPr>
                <w:noProof/>
                <w:webHidden/>
              </w:rPr>
              <w:fldChar w:fldCharType="begin"/>
            </w:r>
            <w:r>
              <w:rPr>
                <w:noProof/>
                <w:webHidden/>
              </w:rPr>
              <w:instrText xml:space="preserve"> PAGEREF _Toc405974772 \h </w:instrText>
            </w:r>
            <w:r>
              <w:rPr>
                <w:noProof/>
                <w:webHidden/>
              </w:rPr>
            </w:r>
            <w:r>
              <w:rPr>
                <w:noProof/>
                <w:webHidden/>
              </w:rPr>
              <w:fldChar w:fldCharType="separate"/>
            </w:r>
            <w:r>
              <w:rPr>
                <w:noProof/>
                <w:webHidden/>
              </w:rPr>
              <w:t>11</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3" w:history="1">
            <w:r w:rsidRPr="00CF41D1">
              <w:rPr>
                <w:rStyle w:val="Hyperlink"/>
                <w:noProof/>
              </w:rPr>
              <w:t>Introduction</w:t>
            </w:r>
            <w:r>
              <w:rPr>
                <w:noProof/>
                <w:webHidden/>
              </w:rPr>
              <w:tab/>
            </w:r>
            <w:r>
              <w:rPr>
                <w:noProof/>
                <w:webHidden/>
              </w:rPr>
              <w:fldChar w:fldCharType="begin"/>
            </w:r>
            <w:r>
              <w:rPr>
                <w:noProof/>
                <w:webHidden/>
              </w:rPr>
              <w:instrText xml:space="preserve"> PAGEREF _Toc405974773 \h </w:instrText>
            </w:r>
            <w:r>
              <w:rPr>
                <w:noProof/>
                <w:webHidden/>
              </w:rPr>
            </w:r>
            <w:r>
              <w:rPr>
                <w:noProof/>
                <w:webHidden/>
              </w:rPr>
              <w:fldChar w:fldCharType="separate"/>
            </w:r>
            <w:r>
              <w:rPr>
                <w:noProof/>
                <w:webHidden/>
              </w:rPr>
              <w:t>11</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4" w:history="1">
            <w:r w:rsidRPr="00CF41D1">
              <w:rPr>
                <w:rStyle w:val="Hyperlink"/>
                <w:noProof/>
              </w:rPr>
              <w:t>Pharmacology</w:t>
            </w:r>
            <w:r>
              <w:rPr>
                <w:noProof/>
                <w:webHidden/>
              </w:rPr>
              <w:tab/>
            </w:r>
            <w:r>
              <w:rPr>
                <w:noProof/>
                <w:webHidden/>
              </w:rPr>
              <w:fldChar w:fldCharType="begin"/>
            </w:r>
            <w:r>
              <w:rPr>
                <w:noProof/>
                <w:webHidden/>
              </w:rPr>
              <w:instrText xml:space="preserve"> PAGEREF _Toc405974774 \h </w:instrText>
            </w:r>
            <w:r>
              <w:rPr>
                <w:noProof/>
                <w:webHidden/>
              </w:rPr>
            </w:r>
            <w:r>
              <w:rPr>
                <w:noProof/>
                <w:webHidden/>
              </w:rPr>
              <w:fldChar w:fldCharType="separate"/>
            </w:r>
            <w:r>
              <w:rPr>
                <w:noProof/>
                <w:webHidden/>
              </w:rPr>
              <w:t>11</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5" w:history="1">
            <w:r w:rsidRPr="00CF41D1">
              <w:rPr>
                <w:rStyle w:val="Hyperlink"/>
                <w:noProof/>
              </w:rPr>
              <w:t>Pharmacokinetics</w:t>
            </w:r>
            <w:r>
              <w:rPr>
                <w:noProof/>
                <w:webHidden/>
              </w:rPr>
              <w:tab/>
            </w:r>
            <w:r>
              <w:rPr>
                <w:noProof/>
                <w:webHidden/>
              </w:rPr>
              <w:fldChar w:fldCharType="begin"/>
            </w:r>
            <w:r>
              <w:rPr>
                <w:noProof/>
                <w:webHidden/>
              </w:rPr>
              <w:instrText xml:space="preserve"> PAGEREF _Toc405974775 \h </w:instrText>
            </w:r>
            <w:r>
              <w:rPr>
                <w:noProof/>
                <w:webHidden/>
              </w:rPr>
            </w:r>
            <w:r>
              <w:rPr>
                <w:noProof/>
                <w:webHidden/>
              </w:rPr>
              <w:fldChar w:fldCharType="separate"/>
            </w:r>
            <w:r>
              <w:rPr>
                <w:noProof/>
                <w:webHidden/>
              </w:rPr>
              <w:t>16</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6" w:history="1">
            <w:r w:rsidRPr="00CF41D1">
              <w:rPr>
                <w:rStyle w:val="Hyperlink"/>
                <w:noProof/>
              </w:rPr>
              <w:t>Toxicology</w:t>
            </w:r>
            <w:r>
              <w:rPr>
                <w:noProof/>
                <w:webHidden/>
              </w:rPr>
              <w:tab/>
            </w:r>
            <w:r>
              <w:rPr>
                <w:noProof/>
                <w:webHidden/>
              </w:rPr>
              <w:fldChar w:fldCharType="begin"/>
            </w:r>
            <w:r>
              <w:rPr>
                <w:noProof/>
                <w:webHidden/>
              </w:rPr>
              <w:instrText xml:space="preserve"> PAGEREF _Toc405974776 \h </w:instrText>
            </w:r>
            <w:r>
              <w:rPr>
                <w:noProof/>
                <w:webHidden/>
              </w:rPr>
            </w:r>
            <w:r>
              <w:rPr>
                <w:noProof/>
                <w:webHidden/>
              </w:rPr>
              <w:fldChar w:fldCharType="separate"/>
            </w:r>
            <w:r>
              <w:rPr>
                <w:noProof/>
                <w:webHidden/>
              </w:rPr>
              <w:t>17</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7" w:history="1">
            <w:r w:rsidRPr="00CF41D1">
              <w:rPr>
                <w:rStyle w:val="Hyperlink"/>
                <w:noProof/>
              </w:rPr>
              <w:t>Nonclinical summary and conclusions</w:t>
            </w:r>
            <w:r>
              <w:rPr>
                <w:noProof/>
                <w:webHidden/>
              </w:rPr>
              <w:tab/>
            </w:r>
            <w:r>
              <w:rPr>
                <w:noProof/>
                <w:webHidden/>
              </w:rPr>
              <w:fldChar w:fldCharType="begin"/>
            </w:r>
            <w:r>
              <w:rPr>
                <w:noProof/>
                <w:webHidden/>
              </w:rPr>
              <w:instrText xml:space="preserve"> PAGEREF _Toc405974777 \h </w:instrText>
            </w:r>
            <w:r>
              <w:rPr>
                <w:noProof/>
                <w:webHidden/>
              </w:rPr>
            </w:r>
            <w:r>
              <w:rPr>
                <w:noProof/>
                <w:webHidden/>
              </w:rPr>
              <w:fldChar w:fldCharType="separate"/>
            </w:r>
            <w:r>
              <w:rPr>
                <w:noProof/>
                <w:webHidden/>
              </w:rPr>
              <w:t>24</w:t>
            </w:r>
            <w:r>
              <w:rPr>
                <w:noProof/>
                <w:webHidden/>
              </w:rPr>
              <w:fldChar w:fldCharType="end"/>
            </w:r>
          </w:hyperlink>
        </w:p>
        <w:p w:rsidR="00D1744F" w:rsidRDefault="00D1744F">
          <w:pPr>
            <w:pStyle w:val="TOC2"/>
            <w:rPr>
              <w:rFonts w:asciiTheme="minorHAnsi" w:eastAsiaTheme="minorEastAsia" w:hAnsiTheme="minorHAnsi" w:cstheme="minorBidi"/>
              <w:b w:val="0"/>
              <w:noProof/>
              <w:sz w:val="22"/>
              <w:lang w:eastAsia="en-AU"/>
            </w:rPr>
          </w:pPr>
          <w:hyperlink w:anchor="_Toc405974778" w:history="1">
            <w:r w:rsidRPr="00CF41D1">
              <w:rPr>
                <w:rStyle w:val="Hyperlink"/>
                <w:noProof/>
              </w:rPr>
              <w:t>IV. Clinical findings</w:t>
            </w:r>
            <w:r>
              <w:rPr>
                <w:noProof/>
                <w:webHidden/>
              </w:rPr>
              <w:tab/>
            </w:r>
            <w:r>
              <w:rPr>
                <w:noProof/>
                <w:webHidden/>
              </w:rPr>
              <w:fldChar w:fldCharType="begin"/>
            </w:r>
            <w:r>
              <w:rPr>
                <w:noProof/>
                <w:webHidden/>
              </w:rPr>
              <w:instrText xml:space="preserve"> PAGEREF _Toc405974778 \h </w:instrText>
            </w:r>
            <w:r>
              <w:rPr>
                <w:noProof/>
                <w:webHidden/>
              </w:rPr>
            </w:r>
            <w:r>
              <w:rPr>
                <w:noProof/>
                <w:webHidden/>
              </w:rPr>
              <w:fldChar w:fldCharType="separate"/>
            </w:r>
            <w:r>
              <w:rPr>
                <w:noProof/>
                <w:webHidden/>
              </w:rPr>
              <w:t>26</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79" w:history="1">
            <w:r w:rsidRPr="00CF41D1">
              <w:rPr>
                <w:rStyle w:val="Hyperlink"/>
                <w:noProof/>
              </w:rPr>
              <w:t>Introduction</w:t>
            </w:r>
            <w:r>
              <w:rPr>
                <w:noProof/>
                <w:webHidden/>
              </w:rPr>
              <w:tab/>
            </w:r>
            <w:r>
              <w:rPr>
                <w:noProof/>
                <w:webHidden/>
              </w:rPr>
              <w:fldChar w:fldCharType="begin"/>
            </w:r>
            <w:r>
              <w:rPr>
                <w:noProof/>
                <w:webHidden/>
              </w:rPr>
              <w:instrText xml:space="preserve"> PAGEREF _Toc405974779 \h </w:instrText>
            </w:r>
            <w:r>
              <w:rPr>
                <w:noProof/>
                <w:webHidden/>
              </w:rPr>
            </w:r>
            <w:r>
              <w:rPr>
                <w:noProof/>
                <w:webHidden/>
              </w:rPr>
              <w:fldChar w:fldCharType="separate"/>
            </w:r>
            <w:r>
              <w:rPr>
                <w:noProof/>
                <w:webHidden/>
              </w:rPr>
              <w:t>26</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0" w:history="1">
            <w:r w:rsidRPr="00CF41D1">
              <w:rPr>
                <w:rStyle w:val="Hyperlink"/>
                <w:noProof/>
              </w:rPr>
              <w:t>Pharmacokinetics</w:t>
            </w:r>
            <w:r>
              <w:rPr>
                <w:noProof/>
                <w:webHidden/>
              </w:rPr>
              <w:tab/>
            </w:r>
            <w:r>
              <w:rPr>
                <w:noProof/>
                <w:webHidden/>
              </w:rPr>
              <w:fldChar w:fldCharType="begin"/>
            </w:r>
            <w:r>
              <w:rPr>
                <w:noProof/>
                <w:webHidden/>
              </w:rPr>
              <w:instrText xml:space="preserve"> PAGEREF _Toc405974780 \h </w:instrText>
            </w:r>
            <w:r>
              <w:rPr>
                <w:noProof/>
                <w:webHidden/>
              </w:rPr>
            </w:r>
            <w:r>
              <w:rPr>
                <w:noProof/>
                <w:webHidden/>
              </w:rPr>
              <w:fldChar w:fldCharType="separate"/>
            </w:r>
            <w:r>
              <w:rPr>
                <w:noProof/>
                <w:webHidden/>
              </w:rPr>
              <w:t>27</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1" w:history="1">
            <w:r w:rsidRPr="00CF41D1">
              <w:rPr>
                <w:rStyle w:val="Hyperlink"/>
                <w:noProof/>
              </w:rPr>
              <w:t>Pharmacodynamics</w:t>
            </w:r>
            <w:r>
              <w:rPr>
                <w:noProof/>
                <w:webHidden/>
              </w:rPr>
              <w:tab/>
            </w:r>
            <w:r>
              <w:rPr>
                <w:noProof/>
                <w:webHidden/>
              </w:rPr>
              <w:fldChar w:fldCharType="begin"/>
            </w:r>
            <w:r>
              <w:rPr>
                <w:noProof/>
                <w:webHidden/>
              </w:rPr>
              <w:instrText xml:space="preserve"> PAGEREF _Toc405974781 \h </w:instrText>
            </w:r>
            <w:r>
              <w:rPr>
                <w:noProof/>
                <w:webHidden/>
              </w:rPr>
            </w:r>
            <w:r>
              <w:rPr>
                <w:noProof/>
                <w:webHidden/>
              </w:rPr>
              <w:fldChar w:fldCharType="separate"/>
            </w:r>
            <w:r>
              <w:rPr>
                <w:noProof/>
                <w:webHidden/>
              </w:rPr>
              <w:t>29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2" w:history="1">
            <w:r w:rsidRPr="00CF41D1">
              <w:rPr>
                <w:rStyle w:val="Hyperlink"/>
                <w:noProof/>
              </w:rPr>
              <w:t>Dosage selection for the pivotal studies</w:t>
            </w:r>
            <w:r>
              <w:rPr>
                <w:noProof/>
                <w:webHidden/>
              </w:rPr>
              <w:tab/>
            </w:r>
            <w:r>
              <w:rPr>
                <w:noProof/>
                <w:webHidden/>
              </w:rPr>
              <w:fldChar w:fldCharType="begin"/>
            </w:r>
            <w:r>
              <w:rPr>
                <w:noProof/>
                <w:webHidden/>
              </w:rPr>
              <w:instrText xml:space="preserve"> PAGEREF _Toc405974782 \h </w:instrText>
            </w:r>
            <w:r>
              <w:rPr>
                <w:noProof/>
                <w:webHidden/>
              </w:rPr>
            </w:r>
            <w:r>
              <w:rPr>
                <w:noProof/>
                <w:webHidden/>
              </w:rPr>
              <w:fldChar w:fldCharType="separate"/>
            </w:r>
            <w:r>
              <w:rPr>
                <w:noProof/>
                <w:webHidden/>
              </w:rPr>
              <w:t>30</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3" w:history="1">
            <w:r w:rsidRPr="00CF41D1">
              <w:rPr>
                <w:rStyle w:val="Hyperlink"/>
                <w:noProof/>
              </w:rPr>
              <w:t>Efficacy</w:t>
            </w:r>
            <w:r>
              <w:rPr>
                <w:noProof/>
                <w:webHidden/>
              </w:rPr>
              <w:tab/>
            </w:r>
            <w:r>
              <w:rPr>
                <w:noProof/>
                <w:webHidden/>
              </w:rPr>
              <w:fldChar w:fldCharType="begin"/>
            </w:r>
            <w:r>
              <w:rPr>
                <w:noProof/>
                <w:webHidden/>
              </w:rPr>
              <w:instrText xml:space="preserve"> PAGEREF _Toc405974783 \h </w:instrText>
            </w:r>
            <w:r>
              <w:rPr>
                <w:noProof/>
                <w:webHidden/>
              </w:rPr>
            </w:r>
            <w:r>
              <w:rPr>
                <w:noProof/>
                <w:webHidden/>
              </w:rPr>
              <w:fldChar w:fldCharType="separate"/>
            </w:r>
            <w:r>
              <w:rPr>
                <w:noProof/>
                <w:webHidden/>
              </w:rPr>
              <w:t>30</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4" w:history="1">
            <w:r w:rsidRPr="00CF41D1">
              <w:rPr>
                <w:rStyle w:val="Hyperlink"/>
                <w:noProof/>
              </w:rPr>
              <w:t>Safety</w:t>
            </w:r>
            <w:r>
              <w:rPr>
                <w:noProof/>
                <w:webHidden/>
              </w:rPr>
              <w:tab/>
            </w:r>
            <w:r>
              <w:rPr>
                <w:noProof/>
                <w:webHidden/>
              </w:rPr>
              <w:fldChar w:fldCharType="begin"/>
            </w:r>
            <w:r>
              <w:rPr>
                <w:noProof/>
                <w:webHidden/>
              </w:rPr>
              <w:instrText xml:space="preserve"> PAGEREF _Toc405974784 \h </w:instrText>
            </w:r>
            <w:r>
              <w:rPr>
                <w:noProof/>
                <w:webHidden/>
              </w:rPr>
            </w:r>
            <w:r>
              <w:rPr>
                <w:noProof/>
                <w:webHidden/>
              </w:rPr>
              <w:fldChar w:fldCharType="separate"/>
            </w:r>
            <w:r>
              <w:rPr>
                <w:noProof/>
                <w:webHidden/>
              </w:rPr>
              <w:t>34</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5" w:history="1">
            <w:r w:rsidRPr="00CF41D1">
              <w:rPr>
                <w:rStyle w:val="Hyperlink"/>
                <w:noProof/>
              </w:rPr>
              <w:t>First round benefit-risk assessment</w:t>
            </w:r>
            <w:r>
              <w:rPr>
                <w:noProof/>
                <w:webHidden/>
              </w:rPr>
              <w:tab/>
            </w:r>
            <w:r>
              <w:rPr>
                <w:noProof/>
                <w:webHidden/>
              </w:rPr>
              <w:fldChar w:fldCharType="begin"/>
            </w:r>
            <w:r>
              <w:rPr>
                <w:noProof/>
                <w:webHidden/>
              </w:rPr>
              <w:instrText xml:space="preserve"> PAGEREF _Toc405974785 \h </w:instrText>
            </w:r>
            <w:r>
              <w:rPr>
                <w:noProof/>
                <w:webHidden/>
              </w:rPr>
            </w:r>
            <w:r>
              <w:rPr>
                <w:noProof/>
                <w:webHidden/>
              </w:rPr>
              <w:fldChar w:fldCharType="separate"/>
            </w:r>
            <w:r>
              <w:rPr>
                <w:noProof/>
                <w:webHidden/>
              </w:rPr>
              <w:t>39</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6" w:history="1">
            <w:r w:rsidRPr="00CF41D1">
              <w:rPr>
                <w:rStyle w:val="Hyperlink"/>
                <w:noProof/>
              </w:rPr>
              <w:t>First round recommendation regarding authorisation</w:t>
            </w:r>
            <w:r>
              <w:rPr>
                <w:noProof/>
                <w:webHidden/>
              </w:rPr>
              <w:tab/>
            </w:r>
            <w:r>
              <w:rPr>
                <w:noProof/>
                <w:webHidden/>
              </w:rPr>
              <w:fldChar w:fldCharType="begin"/>
            </w:r>
            <w:r>
              <w:rPr>
                <w:noProof/>
                <w:webHidden/>
              </w:rPr>
              <w:instrText xml:space="preserve"> PAGEREF _Toc405974786 \h </w:instrText>
            </w:r>
            <w:r>
              <w:rPr>
                <w:noProof/>
                <w:webHidden/>
              </w:rPr>
            </w:r>
            <w:r>
              <w:rPr>
                <w:noProof/>
                <w:webHidden/>
              </w:rPr>
              <w:fldChar w:fldCharType="separate"/>
            </w:r>
            <w:r>
              <w:rPr>
                <w:noProof/>
                <w:webHidden/>
              </w:rPr>
              <w:t>42</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7" w:history="1">
            <w:r w:rsidRPr="00CF41D1">
              <w:rPr>
                <w:rStyle w:val="Hyperlink"/>
                <w:noProof/>
              </w:rPr>
              <w:t>Clinical questions</w:t>
            </w:r>
            <w:r>
              <w:rPr>
                <w:noProof/>
                <w:webHidden/>
              </w:rPr>
              <w:tab/>
            </w:r>
            <w:r>
              <w:rPr>
                <w:noProof/>
                <w:webHidden/>
              </w:rPr>
              <w:fldChar w:fldCharType="begin"/>
            </w:r>
            <w:r>
              <w:rPr>
                <w:noProof/>
                <w:webHidden/>
              </w:rPr>
              <w:instrText xml:space="preserve"> PAGEREF _Toc405974787 \h </w:instrText>
            </w:r>
            <w:r>
              <w:rPr>
                <w:noProof/>
                <w:webHidden/>
              </w:rPr>
            </w:r>
            <w:r>
              <w:rPr>
                <w:noProof/>
                <w:webHidden/>
              </w:rPr>
              <w:fldChar w:fldCharType="separate"/>
            </w:r>
            <w:r>
              <w:rPr>
                <w:noProof/>
                <w:webHidden/>
              </w:rPr>
              <w:t>43</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8" w:history="1">
            <w:r w:rsidRPr="00CF41D1">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_Toc405974788 \h </w:instrText>
            </w:r>
            <w:r>
              <w:rPr>
                <w:noProof/>
                <w:webHidden/>
              </w:rPr>
            </w:r>
            <w:r>
              <w:rPr>
                <w:noProof/>
                <w:webHidden/>
              </w:rPr>
              <w:fldChar w:fldCharType="separate"/>
            </w:r>
            <w:r>
              <w:rPr>
                <w:noProof/>
                <w:webHidden/>
              </w:rPr>
              <w:t>43</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89" w:history="1">
            <w:r w:rsidRPr="00CF41D1">
              <w:rPr>
                <w:rStyle w:val="Hyperlink"/>
                <w:noProof/>
              </w:rPr>
              <w:t>Second round benefit-risk assessment</w:t>
            </w:r>
            <w:r>
              <w:rPr>
                <w:noProof/>
                <w:webHidden/>
              </w:rPr>
              <w:tab/>
            </w:r>
            <w:r>
              <w:rPr>
                <w:noProof/>
                <w:webHidden/>
              </w:rPr>
              <w:fldChar w:fldCharType="begin"/>
            </w:r>
            <w:r>
              <w:rPr>
                <w:noProof/>
                <w:webHidden/>
              </w:rPr>
              <w:instrText xml:space="preserve"> PAGEREF _Toc405974789 \h </w:instrText>
            </w:r>
            <w:r>
              <w:rPr>
                <w:noProof/>
                <w:webHidden/>
              </w:rPr>
            </w:r>
            <w:r>
              <w:rPr>
                <w:noProof/>
                <w:webHidden/>
              </w:rPr>
              <w:fldChar w:fldCharType="separate"/>
            </w:r>
            <w:r>
              <w:rPr>
                <w:noProof/>
                <w:webHidden/>
              </w:rPr>
              <w:t>48</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0" w:history="1">
            <w:r w:rsidRPr="00CF41D1">
              <w:rPr>
                <w:rStyle w:val="Hyperlink"/>
                <w:noProof/>
              </w:rPr>
              <w:t>Second round recommendation regarding authorisation</w:t>
            </w:r>
            <w:r>
              <w:rPr>
                <w:noProof/>
                <w:webHidden/>
              </w:rPr>
              <w:tab/>
            </w:r>
            <w:r>
              <w:rPr>
                <w:noProof/>
                <w:webHidden/>
              </w:rPr>
              <w:fldChar w:fldCharType="begin"/>
            </w:r>
            <w:r>
              <w:rPr>
                <w:noProof/>
                <w:webHidden/>
              </w:rPr>
              <w:instrText xml:space="preserve"> PAGEREF _Toc405974790 \h </w:instrText>
            </w:r>
            <w:r>
              <w:rPr>
                <w:noProof/>
                <w:webHidden/>
              </w:rPr>
            </w:r>
            <w:r>
              <w:rPr>
                <w:noProof/>
                <w:webHidden/>
              </w:rPr>
              <w:fldChar w:fldCharType="separate"/>
            </w:r>
            <w:r>
              <w:rPr>
                <w:noProof/>
                <w:webHidden/>
              </w:rPr>
              <w:t>49</w:t>
            </w:r>
            <w:r>
              <w:rPr>
                <w:noProof/>
                <w:webHidden/>
              </w:rPr>
              <w:fldChar w:fldCharType="end"/>
            </w:r>
          </w:hyperlink>
        </w:p>
        <w:p w:rsidR="00D1744F" w:rsidRDefault="00D1744F">
          <w:pPr>
            <w:pStyle w:val="TOC2"/>
            <w:rPr>
              <w:rFonts w:asciiTheme="minorHAnsi" w:eastAsiaTheme="minorEastAsia" w:hAnsiTheme="minorHAnsi" w:cstheme="minorBidi"/>
              <w:b w:val="0"/>
              <w:noProof/>
              <w:sz w:val="22"/>
              <w:lang w:eastAsia="en-AU"/>
            </w:rPr>
          </w:pPr>
          <w:hyperlink w:anchor="_Toc405974791" w:history="1">
            <w:r w:rsidRPr="00CF41D1">
              <w:rPr>
                <w:rStyle w:val="Hyperlink"/>
                <w:noProof/>
              </w:rPr>
              <w:t>V. Pharmacovigilance findings</w:t>
            </w:r>
            <w:r>
              <w:rPr>
                <w:noProof/>
                <w:webHidden/>
              </w:rPr>
              <w:tab/>
            </w:r>
            <w:r>
              <w:rPr>
                <w:noProof/>
                <w:webHidden/>
              </w:rPr>
              <w:fldChar w:fldCharType="begin"/>
            </w:r>
            <w:r>
              <w:rPr>
                <w:noProof/>
                <w:webHidden/>
              </w:rPr>
              <w:instrText xml:space="preserve"> PAGEREF _Toc405974791 \h </w:instrText>
            </w:r>
            <w:r>
              <w:rPr>
                <w:noProof/>
                <w:webHidden/>
              </w:rPr>
            </w:r>
            <w:r>
              <w:rPr>
                <w:noProof/>
                <w:webHidden/>
              </w:rPr>
              <w:fldChar w:fldCharType="separate"/>
            </w:r>
            <w:r>
              <w:rPr>
                <w:noProof/>
                <w:webHidden/>
              </w:rPr>
              <w:t>50</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2" w:history="1">
            <w:r w:rsidRPr="00CF41D1">
              <w:rPr>
                <w:rStyle w:val="Hyperlink"/>
                <w:noProof/>
                <w:lang w:eastAsia="en-AU"/>
              </w:rPr>
              <w:t xml:space="preserve">Risk </w:t>
            </w:r>
            <w:r w:rsidRPr="00CF41D1">
              <w:rPr>
                <w:rStyle w:val="Hyperlink"/>
                <w:noProof/>
              </w:rPr>
              <w:t>management</w:t>
            </w:r>
            <w:r w:rsidRPr="00CF41D1">
              <w:rPr>
                <w:rStyle w:val="Hyperlink"/>
                <w:noProof/>
                <w:lang w:eastAsia="en-AU"/>
              </w:rPr>
              <w:t xml:space="preserve"> plan</w:t>
            </w:r>
            <w:r>
              <w:rPr>
                <w:noProof/>
                <w:webHidden/>
              </w:rPr>
              <w:tab/>
            </w:r>
            <w:r>
              <w:rPr>
                <w:noProof/>
                <w:webHidden/>
              </w:rPr>
              <w:fldChar w:fldCharType="begin"/>
            </w:r>
            <w:r>
              <w:rPr>
                <w:noProof/>
                <w:webHidden/>
              </w:rPr>
              <w:instrText xml:space="preserve"> PAGEREF _Toc405974792 \h </w:instrText>
            </w:r>
            <w:r>
              <w:rPr>
                <w:noProof/>
                <w:webHidden/>
              </w:rPr>
            </w:r>
            <w:r>
              <w:rPr>
                <w:noProof/>
                <w:webHidden/>
              </w:rPr>
              <w:fldChar w:fldCharType="separate"/>
            </w:r>
            <w:r>
              <w:rPr>
                <w:noProof/>
                <w:webHidden/>
              </w:rPr>
              <w:t>50</w:t>
            </w:r>
            <w:r>
              <w:rPr>
                <w:noProof/>
                <w:webHidden/>
              </w:rPr>
              <w:fldChar w:fldCharType="end"/>
            </w:r>
          </w:hyperlink>
        </w:p>
        <w:p w:rsidR="00D1744F" w:rsidRDefault="00D1744F">
          <w:pPr>
            <w:pStyle w:val="TOC2"/>
            <w:rPr>
              <w:rFonts w:asciiTheme="minorHAnsi" w:eastAsiaTheme="minorEastAsia" w:hAnsiTheme="minorHAnsi" w:cstheme="minorBidi"/>
              <w:b w:val="0"/>
              <w:noProof/>
              <w:sz w:val="22"/>
              <w:lang w:eastAsia="en-AU"/>
            </w:rPr>
          </w:pPr>
          <w:hyperlink w:anchor="_Toc405974793" w:history="1">
            <w:r w:rsidRPr="00CF41D1">
              <w:rPr>
                <w:rStyle w:val="Hyperlink"/>
                <w:noProof/>
              </w:rPr>
              <w:t>VI. Overall conclusion and risk/benefit assessment</w:t>
            </w:r>
            <w:r>
              <w:rPr>
                <w:noProof/>
                <w:webHidden/>
              </w:rPr>
              <w:tab/>
            </w:r>
            <w:r>
              <w:rPr>
                <w:noProof/>
                <w:webHidden/>
              </w:rPr>
              <w:fldChar w:fldCharType="begin"/>
            </w:r>
            <w:r>
              <w:rPr>
                <w:noProof/>
                <w:webHidden/>
              </w:rPr>
              <w:instrText xml:space="preserve"> PAGEREF _Toc405974793 \h </w:instrText>
            </w:r>
            <w:r>
              <w:rPr>
                <w:noProof/>
                <w:webHidden/>
              </w:rPr>
            </w:r>
            <w:r>
              <w:rPr>
                <w:noProof/>
                <w:webHidden/>
              </w:rPr>
              <w:fldChar w:fldCharType="separate"/>
            </w:r>
            <w:r>
              <w:rPr>
                <w:noProof/>
                <w:webHidden/>
              </w:rPr>
              <w:t>56</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4" w:history="1">
            <w:r w:rsidRPr="00CF41D1">
              <w:rPr>
                <w:rStyle w:val="Hyperlink"/>
                <w:noProof/>
              </w:rPr>
              <w:t>Background</w:t>
            </w:r>
            <w:r>
              <w:rPr>
                <w:noProof/>
                <w:webHidden/>
              </w:rPr>
              <w:tab/>
            </w:r>
            <w:r>
              <w:rPr>
                <w:noProof/>
                <w:webHidden/>
              </w:rPr>
              <w:fldChar w:fldCharType="begin"/>
            </w:r>
            <w:r>
              <w:rPr>
                <w:noProof/>
                <w:webHidden/>
              </w:rPr>
              <w:instrText xml:space="preserve"> PAGEREF _Toc405974794 \h </w:instrText>
            </w:r>
            <w:r>
              <w:rPr>
                <w:noProof/>
                <w:webHidden/>
              </w:rPr>
            </w:r>
            <w:r>
              <w:rPr>
                <w:noProof/>
                <w:webHidden/>
              </w:rPr>
              <w:fldChar w:fldCharType="separate"/>
            </w:r>
            <w:r>
              <w:rPr>
                <w:noProof/>
                <w:webHidden/>
              </w:rPr>
              <w:t>56</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5" w:history="1">
            <w:r w:rsidRPr="00CF41D1">
              <w:rPr>
                <w:rStyle w:val="Hyperlink"/>
                <w:noProof/>
              </w:rPr>
              <w:t>Quality</w:t>
            </w:r>
            <w:r>
              <w:rPr>
                <w:noProof/>
                <w:webHidden/>
              </w:rPr>
              <w:tab/>
            </w:r>
            <w:r>
              <w:rPr>
                <w:noProof/>
                <w:webHidden/>
              </w:rPr>
              <w:fldChar w:fldCharType="begin"/>
            </w:r>
            <w:r>
              <w:rPr>
                <w:noProof/>
                <w:webHidden/>
              </w:rPr>
              <w:instrText xml:space="preserve"> PAGEREF _Toc405974795 \h </w:instrText>
            </w:r>
            <w:r>
              <w:rPr>
                <w:noProof/>
                <w:webHidden/>
              </w:rPr>
            </w:r>
            <w:r>
              <w:rPr>
                <w:noProof/>
                <w:webHidden/>
              </w:rPr>
              <w:fldChar w:fldCharType="separate"/>
            </w:r>
            <w:r>
              <w:rPr>
                <w:noProof/>
                <w:webHidden/>
              </w:rPr>
              <w:t>56</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6" w:history="1">
            <w:r w:rsidRPr="00CF41D1">
              <w:rPr>
                <w:rStyle w:val="Hyperlink"/>
                <w:noProof/>
              </w:rPr>
              <w:t>Nonclinical</w:t>
            </w:r>
            <w:r>
              <w:rPr>
                <w:noProof/>
                <w:webHidden/>
              </w:rPr>
              <w:tab/>
            </w:r>
            <w:r>
              <w:rPr>
                <w:noProof/>
                <w:webHidden/>
              </w:rPr>
              <w:fldChar w:fldCharType="begin"/>
            </w:r>
            <w:r>
              <w:rPr>
                <w:noProof/>
                <w:webHidden/>
              </w:rPr>
              <w:instrText xml:space="preserve"> PAGEREF _Toc405974796 \h </w:instrText>
            </w:r>
            <w:r>
              <w:rPr>
                <w:noProof/>
                <w:webHidden/>
              </w:rPr>
            </w:r>
            <w:r>
              <w:rPr>
                <w:noProof/>
                <w:webHidden/>
              </w:rPr>
              <w:fldChar w:fldCharType="separate"/>
            </w:r>
            <w:r>
              <w:rPr>
                <w:noProof/>
                <w:webHidden/>
              </w:rPr>
              <w:t>57</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7" w:history="1">
            <w:r w:rsidRPr="00CF41D1">
              <w:rPr>
                <w:rStyle w:val="Hyperlink"/>
                <w:noProof/>
              </w:rPr>
              <w:t>Clinical</w:t>
            </w:r>
            <w:r>
              <w:rPr>
                <w:noProof/>
                <w:webHidden/>
              </w:rPr>
              <w:tab/>
            </w:r>
            <w:r>
              <w:rPr>
                <w:noProof/>
                <w:webHidden/>
              </w:rPr>
              <w:fldChar w:fldCharType="begin"/>
            </w:r>
            <w:r>
              <w:rPr>
                <w:noProof/>
                <w:webHidden/>
              </w:rPr>
              <w:instrText xml:space="preserve"> PAGEREF _Toc405974797 \h </w:instrText>
            </w:r>
            <w:r>
              <w:rPr>
                <w:noProof/>
                <w:webHidden/>
              </w:rPr>
            </w:r>
            <w:r>
              <w:rPr>
                <w:noProof/>
                <w:webHidden/>
              </w:rPr>
              <w:fldChar w:fldCharType="separate"/>
            </w:r>
            <w:r>
              <w:rPr>
                <w:noProof/>
                <w:webHidden/>
              </w:rPr>
              <w:t>57</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8" w:history="1">
            <w:r w:rsidRPr="00CF41D1">
              <w:rPr>
                <w:rStyle w:val="Hyperlink"/>
                <w:noProof/>
                <w:lang w:eastAsia="en-AU"/>
              </w:rPr>
              <w:t xml:space="preserve">Risk </w:t>
            </w:r>
            <w:r w:rsidRPr="00CF41D1">
              <w:rPr>
                <w:rStyle w:val="Hyperlink"/>
                <w:noProof/>
              </w:rPr>
              <w:t>management</w:t>
            </w:r>
            <w:r w:rsidRPr="00CF41D1">
              <w:rPr>
                <w:rStyle w:val="Hyperlink"/>
                <w:noProof/>
                <w:lang w:eastAsia="en-AU"/>
              </w:rPr>
              <w:t xml:space="preserve"> plan</w:t>
            </w:r>
            <w:r>
              <w:rPr>
                <w:noProof/>
                <w:webHidden/>
              </w:rPr>
              <w:tab/>
            </w:r>
            <w:r>
              <w:rPr>
                <w:noProof/>
                <w:webHidden/>
              </w:rPr>
              <w:fldChar w:fldCharType="begin"/>
            </w:r>
            <w:r>
              <w:rPr>
                <w:noProof/>
                <w:webHidden/>
              </w:rPr>
              <w:instrText xml:space="preserve"> PAGEREF _Toc405974798 \h </w:instrText>
            </w:r>
            <w:r>
              <w:rPr>
                <w:noProof/>
                <w:webHidden/>
              </w:rPr>
            </w:r>
            <w:r>
              <w:rPr>
                <w:noProof/>
                <w:webHidden/>
              </w:rPr>
              <w:fldChar w:fldCharType="separate"/>
            </w:r>
            <w:r>
              <w:rPr>
                <w:noProof/>
                <w:webHidden/>
              </w:rPr>
              <w:t>65</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799" w:history="1">
            <w:r w:rsidRPr="00CF41D1">
              <w:rPr>
                <w:rStyle w:val="Hyperlink"/>
                <w:noProof/>
              </w:rPr>
              <w:t>Risk-benefit analysis</w:t>
            </w:r>
            <w:r>
              <w:rPr>
                <w:noProof/>
                <w:webHidden/>
              </w:rPr>
              <w:tab/>
            </w:r>
            <w:r>
              <w:rPr>
                <w:noProof/>
                <w:webHidden/>
              </w:rPr>
              <w:fldChar w:fldCharType="begin"/>
            </w:r>
            <w:r>
              <w:rPr>
                <w:noProof/>
                <w:webHidden/>
              </w:rPr>
              <w:instrText xml:space="preserve"> PAGEREF _Toc405974799 \h </w:instrText>
            </w:r>
            <w:r>
              <w:rPr>
                <w:noProof/>
                <w:webHidden/>
              </w:rPr>
            </w:r>
            <w:r>
              <w:rPr>
                <w:noProof/>
                <w:webHidden/>
              </w:rPr>
              <w:fldChar w:fldCharType="separate"/>
            </w:r>
            <w:r>
              <w:rPr>
                <w:noProof/>
                <w:webHidden/>
              </w:rPr>
              <w:t>65</w:t>
            </w:r>
            <w:r>
              <w:rPr>
                <w:noProof/>
                <w:webHidden/>
              </w:rPr>
              <w:fldChar w:fldCharType="end"/>
            </w:r>
          </w:hyperlink>
        </w:p>
        <w:p w:rsidR="00D1744F" w:rsidRDefault="00D1744F">
          <w:pPr>
            <w:pStyle w:val="TOC3"/>
            <w:rPr>
              <w:rFonts w:asciiTheme="minorHAnsi" w:eastAsiaTheme="minorEastAsia" w:hAnsiTheme="minorHAnsi" w:cstheme="minorBidi"/>
              <w:noProof/>
              <w:lang w:eastAsia="en-AU"/>
            </w:rPr>
          </w:pPr>
          <w:hyperlink w:anchor="_Toc405974800" w:history="1">
            <w:r w:rsidRPr="00CF41D1">
              <w:rPr>
                <w:rStyle w:val="Hyperlink"/>
                <w:noProof/>
              </w:rPr>
              <w:t>Outcome</w:t>
            </w:r>
            <w:r>
              <w:rPr>
                <w:noProof/>
                <w:webHidden/>
              </w:rPr>
              <w:tab/>
            </w:r>
            <w:r>
              <w:rPr>
                <w:noProof/>
                <w:webHidden/>
              </w:rPr>
              <w:fldChar w:fldCharType="begin"/>
            </w:r>
            <w:r>
              <w:rPr>
                <w:noProof/>
                <w:webHidden/>
              </w:rPr>
              <w:instrText xml:space="preserve"> PAGEREF _Toc405974800 \h </w:instrText>
            </w:r>
            <w:r>
              <w:rPr>
                <w:noProof/>
                <w:webHidden/>
              </w:rPr>
            </w:r>
            <w:r>
              <w:rPr>
                <w:noProof/>
                <w:webHidden/>
              </w:rPr>
              <w:fldChar w:fldCharType="separate"/>
            </w:r>
            <w:r>
              <w:rPr>
                <w:noProof/>
                <w:webHidden/>
              </w:rPr>
              <w:t>71</w:t>
            </w:r>
            <w:r>
              <w:rPr>
                <w:noProof/>
                <w:webHidden/>
              </w:rPr>
              <w:fldChar w:fldCharType="end"/>
            </w:r>
          </w:hyperlink>
        </w:p>
        <w:p w:rsidR="00D1744F" w:rsidRDefault="00D1744F">
          <w:pPr>
            <w:pStyle w:val="TOC2"/>
            <w:tabs>
              <w:tab w:val="left" w:pos="2448"/>
            </w:tabs>
            <w:rPr>
              <w:rFonts w:asciiTheme="minorHAnsi" w:eastAsiaTheme="minorEastAsia" w:hAnsiTheme="minorHAnsi" w:cstheme="minorBidi"/>
              <w:b w:val="0"/>
              <w:noProof/>
              <w:sz w:val="22"/>
              <w:lang w:eastAsia="en-AU"/>
            </w:rPr>
          </w:pPr>
          <w:hyperlink w:anchor="_Toc405974801" w:history="1">
            <w:r w:rsidRPr="00CF41D1">
              <w:rPr>
                <w:rStyle w:val="Hyperlink"/>
                <w:noProof/>
              </w:rPr>
              <w:t>Attachment 1.</w:t>
            </w:r>
            <w:r>
              <w:rPr>
                <w:rFonts w:asciiTheme="minorHAnsi" w:eastAsiaTheme="minorEastAsia" w:hAnsiTheme="minorHAnsi" w:cstheme="minorBidi"/>
                <w:b w:val="0"/>
                <w:noProof/>
                <w:sz w:val="22"/>
                <w:lang w:eastAsia="en-AU"/>
              </w:rPr>
              <w:tab/>
            </w:r>
            <w:r w:rsidRPr="00CF41D1">
              <w:rPr>
                <w:rStyle w:val="Hyperlink"/>
                <w:noProof/>
              </w:rPr>
              <w:t>Product Information</w:t>
            </w:r>
            <w:r>
              <w:rPr>
                <w:noProof/>
                <w:webHidden/>
              </w:rPr>
              <w:tab/>
            </w:r>
            <w:r>
              <w:rPr>
                <w:noProof/>
                <w:webHidden/>
              </w:rPr>
              <w:fldChar w:fldCharType="begin"/>
            </w:r>
            <w:r>
              <w:rPr>
                <w:noProof/>
                <w:webHidden/>
              </w:rPr>
              <w:instrText xml:space="preserve"> PAGEREF _Toc405974801 \h </w:instrText>
            </w:r>
            <w:r>
              <w:rPr>
                <w:noProof/>
                <w:webHidden/>
              </w:rPr>
            </w:r>
            <w:r>
              <w:rPr>
                <w:noProof/>
                <w:webHidden/>
              </w:rPr>
              <w:fldChar w:fldCharType="separate"/>
            </w:r>
            <w:r>
              <w:rPr>
                <w:noProof/>
                <w:webHidden/>
              </w:rPr>
              <w:t>71</w:t>
            </w:r>
            <w:r>
              <w:rPr>
                <w:noProof/>
                <w:webHidden/>
              </w:rPr>
              <w:fldChar w:fldCharType="end"/>
            </w:r>
          </w:hyperlink>
        </w:p>
        <w:p w:rsidR="00D1744F" w:rsidRDefault="00D1744F">
          <w:pPr>
            <w:pStyle w:val="TOC2"/>
            <w:tabs>
              <w:tab w:val="left" w:pos="2448"/>
            </w:tabs>
            <w:rPr>
              <w:rFonts w:asciiTheme="minorHAnsi" w:eastAsiaTheme="minorEastAsia" w:hAnsiTheme="minorHAnsi" w:cstheme="minorBidi"/>
              <w:b w:val="0"/>
              <w:noProof/>
              <w:sz w:val="22"/>
              <w:lang w:eastAsia="en-AU"/>
            </w:rPr>
          </w:pPr>
          <w:hyperlink w:anchor="_Toc405974802" w:history="1">
            <w:r w:rsidRPr="00CF41D1">
              <w:rPr>
                <w:rStyle w:val="Hyperlink"/>
                <w:noProof/>
              </w:rPr>
              <w:t>Attachment 2.</w:t>
            </w:r>
            <w:r>
              <w:rPr>
                <w:rFonts w:asciiTheme="minorHAnsi" w:eastAsiaTheme="minorEastAsia" w:hAnsiTheme="minorHAnsi" w:cstheme="minorBidi"/>
                <w:b w:val="0"/>
                <w:noProof/>
                <w:sz w:val="22"/>
                <w:lang w:eastAsia="en-AU"/>
              </w:rPr>
              <w:tab/>
            </w:r>
            <w:r w:rsidRPr="00CF41D1">
              <w:rPr>
                <w:rStyle w:val="Hyperlink"/>
                <w:noProof/>
              </w:rPr>
              <w:t>Extract from the Clinical Evaluation Report</w:t>
            </w:r>
            <w:r>
              <w:rPr>
                <w:noProof/>
                <w:webHidden/>
              </w:rPr>
              <w:tab/>
            </w:r>
            <w:r>
              <w:rPr>
                <w:noProof/>
                <w:webHidden/>
              </w:rPr>
              <w:fldChar w:fldCharType="begin"/>
            </w:r>
            <w:r>
              <w:rPr>
                <w:noProof/>
                <w:webHidden/>
              </w:rPr>
              <w:instrText xml:space="preserve"> PAGEREF _Toc405974802 \h </w:instrText>
            </w:r>
            <w:r>
              <w:rPr>
                <w:noProof/>
                <w:webHidden/>
              </w:rPr>
            </w:r>
            <w:r>
              <w:rPr>
                <w:noProof/>
                <w:webHidden/>
              </w:rPr>
              <w:fldChar w:fldCharType="separate"/>
            </w:r>
            <w:r>
              <w:rPr>
                <w:noProof/>
                <w:webHidden/>
              </w:rPr>
              <w:t>71</w:t>
            </w:r>
            <w:r>
              <w:rPr>
                <w:noProof/>
                <w:webHidden/>
              </w:rPr>
              <w:fldChar w:fldCharType="end"/>
            </w:r>
          </w:hyperlink>
        </w:p>
        <w:p w:rsidR="003A7F6C" w:rsidRPr="00B811C6" w:rsidRDefault="00CC42CD" w:rsidP="00B811C6">
          <w:pPr>
            <w:pStyle w:val="TOC2"/>
          </w:pPr>
          <w:r>
            <w:fldChar w:fldCharType="end"/>
          </w:r>
        </w:p>
      </w:sdtContent>
    </w:sdt>
    <w:bookmarkStart w:id="2" w:name="_Toc314842482" w:displacedByCustomXml="prev"/>
    <w:p w:rsidR="00607DD1" w:rsidRDefault="003F0465" w:rsidP="00C6045E">
      <w:r>
        <w:br w:type="page"/>
      </w:r>
    </w:p>
    <w:p w:rsidR="00607DD1" w:rsidRDefault="00607DD1" w:rsidP="00607DD1">
      <w:pPr>
        <w:pStyle w:val="Heading2"/>
      </w:pPr>
      <w:bookmarkStart w:id="3" w:name="_Toc399406690"/>
      <w:bookmarkStart w:id="4" w:name="_Toc405974760"/>
      <w:r>
        <w:lastRenderedPageBreak/>
        <w:t>List of abbreviations</w:t>
      </w:r>
      <w:bookmarkEnd w:id="3"/>
      <w:r>
        <w:t xml:space="preserve"> used commonly in this AusPAR</w:t>
      </w:r>
      <w:bookmarkEnd w:id="4"/>
    </w:p>
    <w:tbl>
      <w:tblPr>
        <w:tblStyle w:val="TableTGAblue"/>
        <w:tblW w:w="0" w:type="auto"/>
        <w:tblLook w:val="04A0" w:firstRow="1" w:lastRow="0" w:firstColumn="1" w:lastColumn="0" w:noHBand="0" w:noVBand="1"/>
      </w:tblPr>
      <w:tblGrid>
        <w:gridCol w:w="2367"/>
        <w:gridCol w:w="6353"/>
      </w:tblGrid>
      <w:tr w:rsidR="00607DD1" w:rsidRPr="0063562F" w:rsidTr="00C6045E">
        <w:trPr>
          <w:cnfStyle w:val="100000000000" w:firstRow="1" w:lastRow="0" w:firstColumn="0" w:lastColumn="0" w:oddVBand="0" w:evenVBand="0" w:oddHBand="0" w:evenHBand="0" w:firstRowFirstColumn="0" w:firstRowLastColumn="0" w:lastRowFirstColumn="0" w:lastRowLastColumn="0"/>
        </w:trPr>
        <w:tc>
          <w:tcPr>
            <w:tcW w:w="2367" w:type="dxa"/>
          </w:tcPr>
          <w:p w:rsidR="00607DD1" w:rsidRPr="0063562F" w:rsidRDefault="00607DD1" w:rsidP="00C6045E">
            <w:r w:rsidRPr="0063562F">
              <w:t>Abbreviation</w:t>
            </w:r>
          </w:p>
        </w:tc>
        <w:tc>
          <w:tcPr>
            <w:tcW w:w="6353" w:type="dxa"/>
          </w:tcPr>
          <w:p w:rsidR="00607DD1" w:rsidRPr="0063562F" w:rsidRDefault="00607DD1" w:rsidP="00C6045E">
            <w:r w:rsidRPr="0063562F">
              <w:t>Meaning</w:t>
            </w:r>
          </w:p>
        </w:tc>
      </w:tr>
      <w:tr w:rsidR="0033738A" w:rsidRPr="0063562F" w:rsidTr="00C6045E">
        <w:tc>
          <w:tcPr>
            <w:tcW w:w="2367" w:type="dxa"/>
          </w:tcPr>
          <w:p w:rsidR="0033738A" w:rsidRPr="0063562F" w:rsidRDefault="0033738A" w:rsidP="00C6045E">
            <w:r>
              <w:t>ACPM</w:t>
            </w:r>
          </w:p>
        </w:tc>
        <w:tc>
          <w:tcPr>
            <w:tcW w:w="6353" w:type="dxa"/>
          </w:tcPr>
          <w:p w:rsidR="0033738A" w:rsidRDefault="0033738A" w:rsidP="00C6045E">
            <w:r>
              <w:t>Advisory Committee on Prescription Medicines</w:t>
            </w:r>
          </w:p>
        </w:tc>
      </w:tr>
      <w:tr w:rsidR="00607DD1" w:rsidRPr="0063562F" w:rsidTr="00C6045E">
        <w:tc>
          <w:tcPr>
            <w:tcW w:w="2367" w:type="dxa"/>
          </w:tcPr>
          <w:p w:rsidR="00607DD1" w:rsidRPr="0063562F" w:rsidRDefault="00607DD1" w:rsidP="00C6045E">
            <w:r w:rsidRPr="0063562F">
              <w:t>ADR</w:t>
            </w:r>
          </w:p>
        </w:tc>
        <w:tc>
          <w:tcPr>
            <w:tcW w:w="6353" w:type="dxa"/>
          </w:tcPr>
          <w:p w:rsidR="00607DD1" w:rsidRPr="0063562F" w:rsidRDefault="001A149A" w:rsidP="00C6045E">
            <w:r>
              <w:t>A</w:t>
            </w:r>
            <w:r w:rsidR="00607DD1" w:rsidRPr="0063562F">
              <w:t>dverse drug reaction</w:t>
            </w:r>
          </w:p>
        </w:tc>
      </w:tr>
      <w:tr w:rsidR="00607DD1" w:rsidRPr="0063562F" w:rsidTr="00C6045E">
        <w:tc>
          <w:tcPr>
            <w:tcW w:w="2367" w:type="dxa"/>
          </w:tcPr>
          <w:p w:rsidR="00607DD1" w:rsidRPr="0063562F" w:rsidRDefault="00607DD1" w:rsidP="00C6045E">
            <w:r w:rsidRPr="0063562F">
              <w:t>AE</w:t>
            </w:r>
          </w:p>
        </w:tc>
        <w:tc>
          <w:tcPr>
            <w:tcW w:w="6353" w:type="dxa"/>
          </w:tcPr>
          <w:p w:rsidR="00607DD1" w:rsidRPr="0063562F" w:rsidRDefault="001A149A" w:rsidP="00C6045E">
            <w:r>
              <w:t>A</w:t>
            </w:r>
            <w:r w:rsidR="00607DD1" w:rsidRPr="0063562F">
              <w:t>dverse event</w:t>
            </w:r>
          </w:p>
        </w:tc>
      </w:tr>
      <w:tr w:rsidR="00607DD1" w:rsidRPr="0063562F" w:rsidTr="00C6045E">
        <w:tc>
          <w:tcPr>
            <w:tcW w:w="2367" w:type="dxa"/>
          </w:tcPr>
          <w:p w:rsidR="00607DD1" w:rsidRPr="0063562F" w:rsidRDefault="00607DD1" w:rsidP="00C6045E">
            <w:r w:rsidRPr="0063562F">
              <w:t>AST</w:t>
            </w:r>
          </w:p>
        </w:tc>
        <w:tc>
          <w:tcPr>
            <w:tcW w:w="6353" w:type="dxa"/>
          </w:tcPr>
          <w:p w:rsidR="00607DD1" w:rsidRPr="0063562F" w:rsidRDefault="001A149A" w:rsidP="00C6045E">
            <w:r>
              <w:t>A</w:t>
            </w:r>
            <w:r w:rsidR="00607DD1" w:rsidRPr="0063562F">
              <w:t>spartate aminotransferase</w:t>
            </w:r>
          </w:p>
        </w:tc>
      </w:tr>
      <w:tr w:rsidR="00607DD1" w:rsidRPr="0063562F" w:rsidTr="00C6045E">
        <w:tc>
          <w:tcPr>
            <w:tcW w:w="2367" w:type="dxa"/>
          </w:tcPr>
          <w:p w:rsidR="00607DD1" w:rsidRPr="0063562F" w:rsidRDefault="00607DD1" w:rsidP="00C6045E">
            <w:r w:rsidRPr="0063562F">
              <w:t>AUC</w:t>
            </w:r>
          </w:p>
        </w:tc>
        <w:tc>
          <w:tcPr>
            <w:tcW w:w="6353" w:type="dxa"/>
          </w:tcPr>
          <w:p w:rsidR="00607DD1" w:rsidRPr="0063562F" w:rsidRDefault="001A149A" w:rsidP="00C6045E">
            <w:r>
              <w:t>A</w:t>
            </w:r>
            <w:r w:rsidR="00607DD1" w:rsidRPr="0063562F">
              <w:t xml:space="preserve">rea under the </w:t>
            </w:r>
            <w:r w:rsidR="00C21180">
              <w:t xml:space="preserve">concentration-time </w:t>
            </w:r>
            <w:r w:rsidR="00607DD1" w:rsidRPr="0063562F">
              <w:t>curve</w:t>
            </w:r>
          </w:p>
        </w:tc>
      </w:tr>
      <w:tr w:rsidR="00607DD1" w:rsidRPr="0063562F" w:rsidTr="00C6045E">
        <w:tc>
          <w:tcPr>
            <w:tcW w:w="2367" w:type="dxa"/>
          </w:tcPr>
          <w:p w:rsidR="00607DD1" w:rsidRPr="0063562F" w:rsidRDefault="00607DD1" w:rsidP="00C6045E">
            <w:r w:rsidRPr="0063562F">
              <w:t xml:space="preserve">CD </w:t>
            </w:r>
          </w:p>
        </w:tc>
        <w:tc>
          <w:tcPr>
            <w:tcW w:w="6353" w:type="dxa"/>
          </w:tcPr>
          <w:p w:rsidR="00607DD1" w:rsidRPr="0063562F" w:rsidRDefault="00607DD1" w:rsidP="00C6045E">
            <w:r w:rsidRPr="0063562F">
              <w:t>Crohn’s disease</w:t>
            </w:r>
          </w:p>
        </w:tc>
      </w:tr>
      <w:tr w:rsidR="00607DD1" w:rsidRPr="0063562F" w:rsidTr="00C6045E">
        <w:tc>
          <w:tcPr>
            <w:tcW w:w="2367" w:type="dxa"/>
          </w:tcPr>
          <w:p w:rsidR="00607DD1" w:rsidRPr="0063562F" w:rsidRDefault="00607DD1" w:rsidP="00C6045E">
            <w:r w:rsidRPr="0063562F">
              <w:t>CDAI</w:t>
            </w:r>
          </w:p>
        </w:tc>
        <w:tc>
          <w:tcPr>
            <w:tcW w:w="6353" w:type="dxa"/>
          </w:tcPr>
          <w:p w:rsidR="00607DD1" w:rsidRDefault="00607DD1" w:rsidP="00C6045E">
            <w:r w:rsidRPr="0063562F">
              <w:t>Crohn’s Disease Activity Index</w:t>
            </w:r>
          </w:p>
          <w:p w:rsidR="009D0257" w:rsidRPr="009D0257" w:rsidRDefault="00482E4E" w:rsidP="00C6045E">
            <w:pPr>
              <w:rPr>
                <w:sz w:val="20"/>
                <w:szCs w:val="20"/>
              </w:rPr>
            </w:pPr>
            <w:r>
              <w:rPr>
                <w:sz w:val="20"/>
                <w:szCs w:val="20"/>
              </w:rPr>
              <w:t>A</w:t>
            </w:r>
            <w:r w:rsidR="009D0257" w:rsidRPr="009D0257">
              <w:rPr>
                <w:sz w:val="20"/>
                <w:szCs w:val="20"/>
              </w:rPr>
              <w:t xml:space="preserve"> tool used to quantify the symptoms and thereby gauge the progress or lack of progress for people with Crohn’s disease</w:t>
            </w:r>
          </w:p>
        </w:tc>
      </w:tr>
      <w:tr w:rsidR="0033738A" w:rsidRPr="0063562F" w:rsidTr="00C6045E">
        <w:tc>
          <w:tcPr>
            <w:tcW w:w="2367" w:type="dxa"/>
          </w:tcPr>
          <w:p w:rsidR="0033738A" w:rsidRPr="0063562F" w:rsidRDefault="0033738A" w:rsidP="00C6045E">
            <w:r>
              <w:t>CER</w:t>
            </w:r>
          </w:p>
        </w:tc>
        <w:tc>
          <w:tcPr>
            <w:tcW w:w="6353" w:type="dxa"/>
          </w:tcPr>
          <w:p w:rsidR="0033738A" w:rsidRPr="0063562F" w:rsidRDefault="0033738A" w:rsidP="00C6045E">
            <w:r>
              <w:t>Clinical evaluation report</w:t>
            </w:r>
          </w:p>
        </w:tc>
      </w:tr>
      <w:tr w:rsidR="00607DD1" w:rsidRPr="0063562F" w:rsidTr="00C6045E">
        <w:tc>
          <w:tcPr>
            <w:tcW w:w="2367" w:type="dxa"/>
          </w:tcPr>
          <w:p w:rsidR="00607DD1" w:rsidRPr="0063562F" w:rsidRDefault="00607DD1" w:rsidP="00C6045E">
            <w:r w:rsidRPr="0063562F">
              <w:t>CHMP</w:t>
            </w:r>
          </w:p>
        </w:tc>
        <w:tc>
          <w:tcPr>
            <w:tcW w:w="6353" w:type="dxa"/>
          </w:tcPr>
          <w:p w:rsidR="00607DD1" w:rsidRPr="0063562F" w:rsidRDefault="00607DD1" w:rsidP="00C6045E">
            <w:r w:rsidRPr="0063562F">
              <w:t>Committee for Medicinal Products for Human Use</w:t>
            </w:r>
          </w:p>
        </w:tc>
      </w:tr>
      <w:tr w:rsidR="00607DD1" w:rsidRPr="0063562F" w:rsidTr="00C6045E">
        <w:tc>
          <w:tcPr>
            <w:tcW w:w="2367" w:type="dxa"/>
          </w:tcPr>
          <w:p w:rsidR="00607DD1" w:rsidRPr="0063562F" w:rsidRDefault="00607DD1" w:rsidP="00C6045E">
            <w:r w:rsidRPr="0063562F">
              <w:t>CHO</w:t>
            </w:r>
          </w:p>
        </w:tc>
        <w:tc>
          <w:tcPr>
            <w:tcW w:w="6353" w:type="dxa"/>
          </w:tcPr>
          <w:p w:rsidR="00607DD1" w:rsidRPr="0063562F" w:rsidRDefault="00607DD1" w:rsidP="00C6045E">
            <w:r w:rsidRPr="0063562F">
              <w:t>Chinese hamster ovary</w:t>
            </w:r>
          </w:p>
        </w:tc>
      </w:tr>
      <w:tr w:rsidR="00607DD1" w:rsidRPr="0063562F" w:rsidTr="00C6045E">
        <w:tc>
          <w:tcPr>
            <w:tcW w:w="2367" w:type="dxa"/>
          </w:tcPr>
          <w:p w:rsidR="00607DD1" w:rsidRPr="0063562F" w:rsidRDefault="00607DD1" w:rsidP="00C6045E">
            <w:r w:rsidRPr="0063562F">
              <w:t>CI</w:t>
            </w:r>
          </w:p>
        </w:tc>
        <w:tc>
          <w:tcPr>
            <w:tcW w:w="6353" w:type="dxa"/>
          </w:tcPr>
          <w:p w:rsidR="00607DD1" w:rsidRPr="0063562F" w:rsidRDefault="001A149A" w:rsidP="00C6045E">
            <w:r>
              <w:t>C</w:t>
            </w:r>
            <w:r w:rsidR="00607DD1" w:rsidRPr="0063562F">
              <w:t>onfidence interval</w:t>
            </w:r>
          </w:p>
        </w:tc>
      </w:tr>
      <w:tr w:rsidR="00607DD1" w:rsidRPr="0063562F" w:rsidTr="00C6045E">
        <w:tc>
          <w:tcPr>
            <w:tcW w:w="2367" w:type="dxa"/>
          </w:tcPr>
          <w:p w:rsidR="00607DD1" w:rsidRPr="0063562F" w:rsidRDefault="00607DD1" w:rsidP="00C6045E">
            <w:r w:rsidRPr="0063562F">
              <w:t>CL</w:t>
            </w:r>
          </w:p>
        </w:tc>
        <w:tc>
          <w:tcPr>
            <w:tcW w:w="6353" w:type="dxa"/>
          </w:tcPr>
          <w:p w:rsidR="00607DD1" w:rsidRPr="0063562F" w:rsidRDefault="001A149A" w:rsidP="00C6045E">
            <w:r>
              <w:t>C</w:t>
            </w:r>
            <w:r w:rsidR="00607DD1" w:rsidRPr="0063562F">
              <w:t>learance</w:t>
            </w:r>
          </w:p>
        </w:tc>
      </w:tr>
      <w:tr w:rsidR="00607DD1" w:rsidRPr="0063562F" w:rsidTr="00C6045E">
        <w:tc>
          <w:tcPr>
            <w:tcW w:w="2367" w:type="dxa"/>
          </w:tcPr>
          <w:p w:rsidR="00607DD1" w:rsidRPr="0063562F" w:rsidRDefault="00607DD1" w:rsidP="00C6045E">
            <w:r w:rsidRPr="0063562F">
              <w:t>C</w:t>
            </w:r>
            <w:r w:rsidRPr="00C21180">
              <w:rPr>
                <w:vertAlign w:val="subscript"/>
              </w:rPr>
              <w:t>max</w:t>
            </w:r>
          </w:p>
        </w:tc>
        <w:tc>
          <w:tcPr>
            <w:tcW w:w="6353" w:type="dxa"/>
          </w:tcPr>
          <w:p w:rsidR="00607DD1" w:rsidRPr="0063562F" w:rsidRDefault="001A149A" w:rsidP="00C6045E">
            <w:r>
              <w:t>M</w:t>
            </w:r>
            <w:r w:rsidR="00607DD1" w:rsidRPr="0063562F">
              <w:t>aximum plasma concentration</w:t>
            </w:r>
          </w:p>
        </w:tc>
      </w:tr>
      <w:tr w:rsidR="00607DD1" w:rsidRPr="0063562F" w:rsidTr="00C6045E">
        <w:tc>
          <w:tcPr>
            <w:tcW w:w="2367" w:type="dxa"/>
          </w:tcPr>
          <w:p w:rsidR="00607DD1" w:rsidRPr="0063562F" w:rsidRDefault="00607DD1" w:rsidP="00C6045E">
            <w:r w:rsidRPr="0063562F">
              <w:t>CNS</w:t>
            </w:r>
          </w:p>
        </w:tc>
        <w:tc>
          <w:tcPr>
            <w:tcW w:w="6353" w:type="dxa"/>
          </w:tcPr>
          <w:p w:rsidR="00607DD1" w:rsidRPr="0063562F" w:rsidRDefault="001A149A" w:rsidP="00C6045E">
            <w:r>
              <w:t>C</w:t>
            </w:r>
            <w:r w:rsidR="00607DD1" w:rsidRPr="0063562F">
              <w:t>entral nervous system</w:t>
            </w:r>
          </w:p>
        </w:tc>
      </w:tr>
      <w:tr w:rsidR="00326357" w:rsidRPr="0063562F" w:rsidTr="00C6045E">
        <w:tc>
          <w:tcPr>
            <w:tcW w:w="2367" w:type="dxa"/>
          </w:tcPr>
          <w:p w:rsidR="00326357" w:rsidRPr="0063562F" w:rsidRDefault="00326357" w:rsidP="00C6045E">
            <w:r>
              <w:t>CSF</w:t>
            </w:r>
          </w:p>
        </w:tc>
        <w:tc>
          <w:tcPr>
            <w:tcW w:w="6353" w:type="dxa"/>
          </w:tcPr>
          <w:p w:rsidR="00326357" w:rsidRDefault="00326357" w:rsidP="00C6045E">
            <w:r>
              <w:t xml:space="preserve">Cerebrospinal </w:t>
            </w:r>
            <w:r w:rsidRPr="00326357">
              <w:t>fluid</w:t>
            </w:r>
          </w:p>
        </w:tc>
      </w:tr>
      <w:tr w:rsidR="00607DD1" w:rsidRPr="0063562F" w:rsidTr="00C6045E">
        <w:tc>
          <w:tcPr>
            <w:tcW w:w="2367" w:type="dxa"/>
          </w:tcPr>
          <w:p w:rsidR="00607DD1" w:rsidRPr="0063562F" w:rsidRDefault="00607DD1" w:rsidP="00C6045E">
            <w:r w:rsidRPr="0063562F">
              <w:t>CSR</w:t>
            </w:r>
          </w:p>
        </w:tc>
        <w:tc>
          <w:tcPr>
            <w:tcW w:w="6353" w:type="dxa"/>
          </w:tcPr>
          <w:p w:rsidR="00607DD1" w:rsidRPr="0063562F" w:rsidRDefault="001A149A" w:rsidP="00C6045E">
            <w:r>
              <w:t>C</w:t>
            </w:r>
            <w:r w:rsidR="00607DD1" w:rsidRPr="0063562F">
              <w:t>linical study report</w:t>
            </w:r>
          </w:p>
        </w:tc>
      </w:tr>
      <w:tr w:rsidR="00607DD1" w:rsidRPr="0063562F" w:rsidTr="00C6045E">
        <w:tc>
          <w:tcPr>
            <w:tcW w:w="2367" w:type="dxa"/>
          </w:tcPr>
          <w:p w:rsidR="00607DD1" w:rsidRPr="0063562F" w:rsidRDefault="00607DD1" w:rsidP="00C6045E">
            <w:r w:rsidRPr="0063562F">
              <w:t>CV</w:t>
            </w:r>
          </w:p>
        </w:tc>
        <w:tc>
          <w:tcPr>
            <w:tcW w:w="6353" w:type="dxa"/>
          </w:tcPr>
          <w:p w:rsidR="00607DD1" w:rsidRPr="0063562F" w:rsidRDefault="001A149A" w:rsidP="00C6045E">
            <w:r>
              <w:t>C</w:t>
            </w:r>
            <w:r w:rsidR="00607DD1" w:rsidRPr="0063562F">
              <w:t>oefficient of variability</w:t>
            </w:r>
          </w:p>
        </w:tc>
      </w:tr>
      <w:tr w:rsidR="00607DD1" w:rsidRPr="0063562F" w:rsidTr="00C6045E">
        <w:tc>
          <w:tcPr>
            <w:tcW w:w="2367" w:type="dxa"/>
          </w:tcPr>
          <w:p w:rsidR="00607DD1" w:rsidRPr="0063562F" w:rsidRDefault="00607DD1" w:rsidP="00C6045E">
            <w:r w:rsidRPr="0063562F">
              <w:t>EMA</w:t>
            </w:r>
          </w:p>
        </w:tc>
        <w:tc>
          <w:tcPr>
            <w:tcW w:w="6353" w:type="dxa"/>
          </w:tcPr>
          <w:p w:rsidR="00607DD1" w:rsidRPr="0063562F" w:rsidRDefault="00607DD1" w:rsidP="00C6045E">
            <w:r w:rsidRPr="0063562F">
              <w:t>European Medicines Agency</w:t>
            </w:r>
          </w:p>
        </w:tc>
      </w:tr>
      <w:tr w:rsidR="00607DD1" w:rsidRPr="0063562F" w:rsidTr="00C6045E">
        <w:tc>
          <w:tcPr>
            <w:tcW w:w="2367" w:type="dxa"/>
          </w:tcPr>
          <w:p w:rsidR="00607DD1" w:rsidRPr="0063562F" w:rsidRDefault="00607DD1" w:rsidP="00C6045E">
            <w:r w:rsidRPr="0063562F">
              <w:t>EU</w:t>
            </w:r>
          </w:p>
        </w:tc>
        <w:tc>
          <w:tcPr>
            <w:tcW w:w="6353" w:type="dxa"/>
          </w:tcPr>
          <w:p w:rsidR="00607DD1" w:rsidRPr="0063562F" w:rsidRDefault="00607DD1" w:rsidP="00C6045E">
            <w:r w:rsidRPr="0063562F">
              <w:t>European Union</w:t>
            </w:r>
          </w:p>
        </w:tc>
      </w:tr>
      <w:tr w:rsidR="0033738A" w:rsidRPr="0063562F" w:rsidTr="00C6045E">
        <w:tc>
          <w:tcPr>
            <w:tcW w:w="2367" w:type="dxa"/>
          </w:tcPr>
          <w:p w:rsidR="0033738A" w:rsidRPr="0063562F" w:rsidRDefault="0033738A" w:rsidP="00C6045E">
            <w:r>
              <w:t>GI</w:t>
            </w:r>
          </w:p>
        </w:tc>
        <w:tc>
          <w:tcPr>
            <w:tcW w:w="6353" w:type="dxa"/>
          </w:tcPr>
          <w:p w:rsidR="0033738A" w:rsidRPr="0063562F" w:rsidRDefault="0033738A" w:rsidP="00C6045E">
            <w:r w:rsidRPr="0033738A">
              <w:t>Gastrointestinal</w:t>
            </w:r>
            <w:r>
              <w:t xml:space="preserve"> </w:t>
            </w:r>
          </w:p>
        </w:tc>
      </w:tr>
      <w:tr w:rsidR="00FF2204" w:rsidRPr="0063562F" w:rsidTr="00C6045E">
        <w:tc>
          <w:tcPr>
            <w:tcW w:w="2367" w:type="dxa"/>
          </w:tcPr>
          <w:p w:rsidR="00FF2204" w:rsidRPr="0063562F" w:rsidRDefault="00051091" w:rsidP="00C6045E">
            <w:r>
              <w:t>h</w:t>
            </w:r>
          </w:p>
        </w:tc>
        <w:tc>
          <w:tcPr>
            <w:tcW w:w="6353" w:type="dxa"/>
          </w:tcPr>
          <w:p w:rsidR="00FF2204" w:rsidRPr="0063562F" w:rsidRDefault="00051091" w:rsidP="00C6045E">
            <w:r>
              <w:t>h</w:t>
            </w:r>
            <w:r w:rsidR="00FF2204">
              <w:t>our/s</w:t>
            </w:r>
          </w:p>
        </w:tc>
      </w:tr>
      <w:tr w:rsidR="00607DD1" w:rsidRPr="0063562F" w:rsidTr="00C6045E">
        <w:tc>
          <w:tcPr>
            <w:tcW w:w="2367" w:type="dxa"/>
          </w:tcPr>
          <w:p w:rsidR="00607DD1" w:rsidRPr="0063562F" w:rsidRDefault="00607DD1" w:rsidP="00C6045E">
            <w:r w:rsidRPr="0063562F">
              <w:t>HAHA</w:t>
            </w:r>
          </w:p>
        </w:tc>
        <w:tc>
          <w:tcPr>
            <w:tcW w:w="6353" w:type="dxa"/>
          </w:tcPr>
          <w:p w:rsidR="00607DD1" w:rsidRPr="0063562F" w:rsidRDefault="001A149A" w:rsidP="00C6045E">
            <w:r w:rsidRPr="0063562F">
              <w:t>H</w:t>
            </w:r>
            <w:r w:rsidR="00607DD1" w:rsidRPr="0063562F">
              <w:t>uman anti-human antibodies</w:t>
            </w:r>
          </w:p>
        </w:tc>
      </w:tr>
      <w:tr w:rsidR="00607DD1" w:rsidRPr="0063562F" w:rsidTr="00C6045E">
        <w:tc>
          <w:tcPr>
            <w:tcW w:w="2367" w:type="dxa"/>
          </w:tcPr>
          <w:p w:rsidR="00607DD1" w:rsidRPr="0063562F" w:rsidRDefault="00607DD1" w:rsidP="00C6045E">
            <w:r w:rsidRPr="0063562F">
              <w:t>HBI</w:t>
            </w:r>
          </w:p>
        </w:tc>
        <w:tc>
          <w:tcPr>
            <w:tcW w:w="6353" w:type="dxa"/>
          </w:tcPr>
          <w:p w:rsidR="00607DD1" w:rsidRDefault="00607DD1" w:rsidP="00C6045E">
            <w:r w:rsidRPr="0063562F">
              <w:t>Harvey-Bradshaw Index</w:t>
            </w:r>
          </w:p>
          <w:p w:rsidR="00482E4E" w:rsidRPr="00482E4E" w:rsidRDefault="00482E4E" w:rsidP="00C6045E">
            <w:pPr>
              <w:rPr>
                <w:sz w:val="20"/>
                <w:szCs w:val="20"/>
              </w:rPr>
            </w:pPr>
            <w:r w:rsidRPr="00482E4E">
              <w:rPr>
                <w:sz w:val="20"/>
                <w:szCs w:val="20"/>
              </w:rPr>
              <w:t>Provides an index of Crohn’s disease activity</w:t>
            </w:r>
          </w:p>
        </w:tc>
      </w:tr>
      <w:tr w:rsidR="00607DD1" w:rsidRPr="0063562F" w:rsidTr="00C6045E">
        <w:tc>
          <w:tcPr>
            <w:tcW w:w="2367" w:type="dxa"/>
          </w:tcPr>
          <w:p w:rsidR="00607DD1" w:rsidRPr="0063562F" w:rsidRDefault="00607DD1" w:rsidP="00C6045E">
            <w:r w:rsidRPr="0063562F">
              <w:lastRenderedPageBreak/>
              <w:t>HIRD</w:t>
            </w:r>
            <w:r w:rsidRPr="00051091">
              <w:rPr>
                <w:vertAlign w:val="superscript"/>
              </w:rPr>
              <w:t>SM</w:t>
            </w:r>
          </w:p>
        </w:tc>
        <w:tc>
          <w:tcPr>
            <w:tcW w:w="6353" w:type="dxa"/>
          </w:tcPr>
          <w:p w:rsidR="00607DD1" w:rsidRPr="0063562F" w:rsidRDefault="00607DD1" w:rsidP="00C6045E">
            <w:proofErr w:type="spellStart"/>
            <w:r w:rsidRPr="0063562F">
              <w:t>HealthCore</w:t>
            </w:r>
            <w:proofErr w:type="spellEnd"/>
            <w:r w:rsidRPr="0063562F">
              <w:t xml:space="preserve"> Integrated Research Database</w:t>
            </w:r>
          </w:p>
        </w:tc>
      </w:tr>
      <w:tr w:rsidR="00607DD1" w:rsidRPr="0063562F" w:rsidTr="00C6045E">
        <w:tc>
          <w:tcPr>
            <w:tcW w:w="2367" w:type="dxa"/>
          </w:tcPr>
          <w:p w:rsidR="00607DD1" w:rsidRPr="0063562F" w:rsidRDefault="00607DD1" w:rsidP="00C6045E">
            <w:r w:rsidRPr="0063562F">
              <w:t>IBD</w:t>
            </w:r>
          </w:p>
        </w:tc>
        <w:tc>
          <w:tcPr>
            <w:tcW w:w="6353" w:type="dxa"/>
          </w:tcPr>
          <w:p w:rsidR="00607DD1" w:rsidRPr="0063562F" w:rsidRDefault="001A149A" w:rsidP="00C6045E">
            <w:r>
              <w:t>I</w:t>
            </w:r>
            <w:r w:rsidR="00607DD1" w:rsidRPr="0063562F">
              <w:t>nflammatory bowel disease</w:t>
            </w:r>
          </w:p>
        </w:tc>
      </w:tr>
      <w:tr w:rsidR="000A33C3" w:rsidRPr="0063562F" w:rsidTr="00C6045E">
        <w:tc>
          <w:tcPr>
            <w:tcW w:w="2367" w:type="dxa"/>
          </w:tcPr>
          <w:p w:rsidR="000A33C3" w:rsidRPr="0063562F" w:rsidRDefault="000A33C3" w:rsidP="00C6045E">
            <w:r>
              <w:t>IC</w:t>
            </w:r>
            <w:r w:rsidRPr="005C563A">
              <w:rPr>
                <w:vertAlign w:val="subscript"/>
              </w:rPr>
              <w:t>50</w:t>
            </w:r>
          </w:p>
        </w:tc>
        <w:tc>
          <w:tcPr>
            <w:tcW w:w="6353" w:type="dxa"/>
          </w:tcPr>
          <w:p w:rsidR="000A33C3" w:rsidRDefault="000A33C3" w:rsidP="00C6045E">
            <w:r w:rsidRPr="005C563A">
              <w:t>Half</w:t>
            </w:r>
            <w:r>
              <w:t xml:space="preserve"> </w:t>
            </w:r>
            <w:r w:rsidRPr="005C563A">
              <w:t>maximal inhibitory concentration</w:t>
            </w:r>
          </w:p>
        </w:tc>
      </w:tr>
      <w:tr w:rsidR="000A33C3" w:rsidRPr="0063562F" w:rsidTr="00C6045E">
        <w:tc>
          <w:tcPr>
            <w:tcW w:w="2367" w:type="dxa"/>
          </w:tcPr>
          <w:p w:rsidR="000A33C3" w:rsidRPr="0063562F" w:rsidRDefault="000A33C3" w:rsidP="00C6045E">
            <w:r>
              <w:t>ICH</w:t>
            </w:r>
          </w:p>
        </w:tc>
        <w:tc>
          <w:tcPr>
            <w:tcW w:w="6353" w:type="dxa"/>
          </w:tcPr>
          <w:p w:rsidR="000A33C3" w:rsidRDefault="000A33C3" w:rsidP="00C6045E">
            <w:r w:rsidRPr="000A33C3">
              <w:rPr>
                <w:lang w:val="en"/>
              </w:rPr>
              <w:t xml:space="preserve">International Conference on </w:t>
            </w:r>
            <w:proofErr w:type="spellStart"/>
            <w:r w:rsidRPr="000A33C3">
              <w:rPr>
                <w:lang w:val="en"/>
              </w:rPr>
              <w:t>Harmonisation</w:t>
            </w:r>
            <w:proofErr w:type="spellEnd"/>
            <w:r w:rsidRPr="000A33C3">
              <w:rPr>
                <w:lang w:val="en"/>
              </w:rPr>
              <w:t xml:space="preserve"> of Technical Requirements for Registration of Pharmaceuticals for Human Use </w:t>
            </w:r>
          </w:p>
        </w:tc>
      </w:tr>
      <w:tr w:rsidR="000A33C3" w:rsidRPr="0063562F" w:rsidTr="00C6045E">
        <w:tc>
          <w:tcPr>
            <w:tcW w:w="2367" w:type="dxa"/>
          </w:tcPr>
          <w:p w:rsidR="000A33C3" w:rsidRPr="0063562F" w:rsidRDefault="000A33C3" w:rsidP="00C6045E">
            <w:r w:rsidRPr="0063562F">
              <w:t>IgG</w:t>
            </w:r>
            <w:r w:rsidRPr="00C21180">
              <w:rPr>
                <w:vertAlign w:val="subscript"/>
              </w:rPr>
              <w:t>1</w:t>
            </w:r>
          </w:p>
        </w:tc>
        <w:tc>
          <w:tcPr>
            <w:tcW w:w="6353" w:type="dxa"/>
          </w:tcPr>
          <w:p w:rsidR="000A33C3" w:rsidRPr="0063562F" w:rsidRDefault="000A33C3" w:rsidP="00C6045E">
            <w:r>
              <w:t>I</w:t>
            </w:r>
            <w:r w:rsidRPr="0063562F">
              <w:t>mmunoglobulin G</w:t>
            </w:r>
            <w:r w:rsidRPr="00C21180">
              <w:rPr>
                <w:vertAlign w:val="subscript"/>
              </w:rPr>
              <w:t>1</w:t>
            </w:r>
          </w:p>
        </w:tc>
      </w:tr>
      <w:tr w:rsidR="000A33C3" w:rsidRPr="0063562F" w:rsidTr="00C6045E">
        <w:tc>
          <w:tcPr>
            <w:tcW w:w="2367" w:type="dxa"/>
          </w:tcPr>
          <w:p w:rsidR="000A33C3" w:rsidRPr="0063562F" w:rsidRDefault="000A33C3" w:rsidP="00C6045E">
            <w:r w:rsidRPr="0063562F">
              <w:t>ITT</w:t>
            </w:r>
          </w:p>
        </w:tc>
        <w:tc>
          <w:tcPr>
            <w:tcW w:w="6353" w:type="dxa"/>
          </w:tcPr>
          <w:p w:rsidR="000A33C3" w:rsidRPr="0063562F" w:rsidRDefault="000A33C3" w:rsidP="00C6045E">
            <w:r>
              <w:t>I</w:t>
            </w:r>
            <w:r w:rsidRPr="0063562F">
              <w:t>ntent-to-treat</w:t>
            </w:r>
          </w:p>
        </w:tc>
      </w:tr>
      <w:tr w:rsidR="000A33C3" w:rsidRPr="0063562F" w:rsidTr="00C6045E">
        <w:tc>
          <w:tcPr>
            <w:tcW w:w="2367" w:type="dxa"/>
          </w:tcPr>
          <w:p w:rsidR="000A33C3" w:rsidRPr="0063562F" w:rsidRDefault="000A33C3" w:rsidP="00C6045E">
            <w:r w:rsidRPr="0063562F">
              <w:t>IV</w:t>
            </w:r>
          </w:p>
        </w:tc>
        <w:tc>
          <w:tcPr>
            <w:tcW w:w="6353" w:type="dxa"/>
          </w:tcPr>
          <w:p w:rsidR="000A33C3" w:rsidRPr="0063562F" w:rsidRDefault="000A33C3" w:rsidP="00C6045E">
            <w:r w:rsidRPr="0063562F">
              <w:t>Intravenous</w:t>
            </w:r>
            <w:r>
              <w:t>/</w:t>
            </w:r>
            <w:proofErr w:type="spellStart"/>
            <w:r>
              <w:t>ly</w:t>
            </w:r>
            <w:proofErr w:type="spellEnd"/>
          </w:p>
        </w:tc>
      </w:tr>
      <w:tr w:rsidR="000A33C3" w:rsidRPr="0063562F" w:rsidTr="00C6045E">
        <w:tc>
          <w:tcPr>
            <w:tcW w:w="2367" w:type="dxa"/>
          </w:tcPr>
          <w:p w:rsidR="000A33C3" w:rsidRPr="0063562F" w:rsidRDefault="000A33C3" w:rsidP="00C6045E">
            <w:r>
              <w:t>JCV</w:t>
            </w:r>
          </w:p>
        </w:tc>
        <w:tc>
          <w:tcPr>
            <w:tcW w:w="6353" w:type="dxa"/>
          </w:tcPr>
          <w:p w:rsidR="000A33C3" w:rsidRPr="0063562F" w:rsidRDefault="000A33C3" w:rsidP="00C6045E">
            <w:r w:rsidRPr="00F537E7">
              <w:t xml:space="preserve">John Cunningham virus </w:t>
            </w:r>
          </w:p>
        </w:tc>
      </w:tr>
      <w:tr w:rsidR="000A33C3" w:rsidRPr="0063562F" w:rsidTr="00C6045E">
        <w:tc>
          <w:tcPr>
            <w:tcW w:w="2367" w:type="dxa"/>
          </w:tcPr>
          <w:p w:rsidR="000A33C3" w:rsidRPr="0063562F" w:rsidRDefault="000A33C3" w:rsidP="00C6045E">
            <w:r w:rsidRPr="0063562F">
              <w:t>LDP-02</w:t>
            </w:r>
          </w:p>
        </w:tc>
        <w:tc>
          <w:tcPr>
            <w:tcW w:w="6353" w:type="dxa"/>
          </w:tcPr>
          <w:p w:rsidR="000A33C3" w:rsidRPr="0063562F" w:rsidRDefault="000A33C3" w:rsidP="00C6045E">
            <w:r w:rsidRPr="0063562F">
              <w:t>Millennium's humanized monoclonal antihuman α4β7 integrin antibody, also known as MLN0002 (Process A) and MLN02</w:t>
            </w:r>
          </w:p>
        </w:tc>
      </w:tr>
      <w:tr w:rsidR="000A33C3" w:rsidRPr="0063562F" w:rsidTr="00C6045E">
        <w:tc>
          <w:tcPr>
            <w:tcW w:w="2367" w:type="dxa"/>
          </w:tcPr>
          <w:p w:rsidR="000A33C3" w:rsidRPr="0063562F" w:rsidRDefault="000A33C3" w:rsidP="00C6045E">
            <w:r w:rsidRPr="0063562F">
              <w:t>MAdCAM-1</w:t>
            </w:r>
          </w:p>
        </w:tc>
        <w:tc>
          <w:tcPr>
            <w:tcW w:w="6353" w:type="dxa"/>
          </w:tcPr>
          <w:p w:rsidR="000A33C3" w:rsidRPr="0063562F" w:rsidRDefault="000A33C3" w:rsidP="00C6045E">
            <w:r>
              <w:t>M</w:t>
            </w:r>
            <w:r w:rsidRPr="0063562F">
              <w:t xml:space="preserve">ucosal </w:t>
            </w:r>
            <w:proofErr w:type="spellStart"/>
            <w:r w:rsidRPr="0063562F">
              <w:t>addressin</w:t>
            </w:r>
            <w:proofErr w:type="spellEnd"/>
            <w:r w:rsidRPr="0063562F">
              <w:t xml:space="preserve"> cell adhesion molecule-1</w:t>
            </w:r>
          </w:p>
        </w:tc>
      </w:tr>
      <w:tr w:rsidR="000A33C3" w:rsidRPr="0063562F" w:rsidTr="00C6045E">
        <w:tc>
          <w:tcPr>
            <w:tcW w:w="2367" w:type="dxa"/>
          </w:tcPr>
          <w:p w:rsidR="000A33C3" w:rsidRPr="0063562F" w:rsidRDefault="000A33C3" w:rsidP="00C6045E">
            <w:r>
              <w:t>min</w:t>
            </w:r>
          </w:p>
        </w:tc>
        <w:tc>
          <w:tcPr>
            <w:tcW w:w="6353" w:type="dxa"/>
          </w:tcPr>
          <w:p w:rsidR="000A33C3" w:rsidRPr="0063562F" w:rsidRDefault="000A33C3" w:rsidP="00C6045E">
            <w:r>
              <w:t>minute/s</w:t>
            </w:r>
          </w:p>
        </w:tc>
      </w:tr>
      <w:tr w:rsidR="000A33C3" w:rsidRPr="0063562F" w:rsidTr="00C6045E">
        <w:tc>
          <w:tcPr>
            <w:tcW w:w="2367" w:type="dxa"/>
          </w:tcPr>
          <w:p w:rsidR="000A33C3" w:rsidRPr="0063562F" w:rsidRDefault="000A33C3" w:rsidP="00C6045E">
            <w:r w:rsidRPr="0063562F">
              <w:t>MLN0002</w:t>
            </w:r>
          </w:p>
        </w:tc>
        <w:tc>
          <w:tcPr>
            <w:tcW w:w="6353" w:type="dxa"/>
          </w:tcPr>
          <w:p w:rsidR="000A33C3" w:rsidRPr="0063562F" w:rsidRDefault="000A33C3" w:rsidP="00C6045E">
            <w:r>
              <w:t>V</w:t>
            </w:r>
            <w:r w:rsidRPr="0063562F">
              <w:t>edolizumab, Millennium's humanized monoclonal antihuman α</w:t>
            </w:r>
            <w:r w:rsidRPr="0033738A">
              <w:rPr>
                <w:vertAlign w:val="subscript"/>
              </w:rPr>
              <w:t>4</w:t>
            </w:r>
            <w:r w:rsidRPr="0063562F">
              <w:t>β</w:t>
            </w:r>
            <w:r w:rsidRPr="0033738A">
              <w:rPr>
                <w:vertAlign w:val="subscript"/>
              </w:rPr>
              <w:t>7</w:t>
            </w:r>
            <w:r w:rsidRPr="0063562F">
              <w:t xml:space="preserve"> integrin antibody, formerly LDP-02 and MLN02</w:t>
            </w:r>
          </w:p>
        </w:tc>
      </w:tr>
      <w:tr w:rsidR="000A33C3" w:rsidRPr="0063562F" w:rsidTr="00C6045E">
        <w:tc>
          <w:tcPr>
            <w:tcW w:w="2367" w:type="dxa"/>
          </w:tcPr>
          <w:p w:rsidR="000A33C3" w:rsidRPr="0063562F" w:rsidRDefault="000A33C3" w:rsidP="00C6045E">
            <w:r>
              <w:t>NNT</w:t>
            </w:r>
          </w:p>
        </w:tc>
        <w:tc>
          <w:tcPr>
            <w:tcW w:w="6353" w:type="dxa"/>
          </w:tcPr>
          <w:p w:rsidR="000A33C3" w:rsidRPr="0063562F" w:rsidRDefault="000A33C3" w:rsidP="00C6045E">
            <w:r>
              <w:t xml:space="preserve">Number needed </w:t>
            </w:r>
            <w:r w:rsidRPr="00C66868">
              <w:t>to</w:t>
            </w:r>
            <w:r>
              <w:t xml:space="preserve"> </w:t>
            </w:r>
            <w:r w:rsidRPr="00C66868">
              <w:t>treat</w:t>
            </w:r>
          </w:p>
        </w:tc>
      </w:tr>
      <w:tr w:rsidR="000A33C3" w:rsidRPr="0063562F" w:rsidTr="00C6045E">
        <w:tc>
          <w:tcPr>
            <w:tcW w:w="2367" w:type="dxa"/>
          </w:tcPr>
          <w:p w:rsidR="000A33C3" w:rsidRPr="0063562F" w:rsidRDefault="000A33C3" w:rsidP="00C6045E">
            <w:r w:rsidRPr="0063562F">
              <w:t>PD</w:t>
            </w:r>
          </w:p>
        </w:tc>
        <w:tc>
          <w:tcPr>
            <w:tcW w:w="6353" w:type="dxa"/>
          </w:tcPr>
          <w:p w:rsidR="000A33C3" w:rsidRPr="0063562F" w:rsidRDefault="000A33C3" w:rsidP="00C6045E">
            <w:r w:rsidRPr="0063562F">
              <w:t>Pharmacodynamics</w:t>
            </w:r>
            <w:r>
              <w:t xml:space="preserve"> </w:t>
            </w:r>
          </w:p>
        </w:tc>
      </w:tr>
      <w:tr w:rsidR="000A33C3" w:rsidRPr="0063562F" w:rsidTr="00C6045E">
        <w:tc>
          <w:tcPr>
            <w:tcW w:w="2367" w:type="dxa"/>
          </w:tcPr>
          <w:p w:rsidR="000A33C3" w:rsidRPr="0063562F" w:rsidRDefault="000A33C3" w:rsidP="00C6045E">
            <w:r>
              <w:t>PI</w:t>
            </w:r>
          </w:p>
        </w:tc>
        <w:tc>
          <w:tcPr>
            <w:tcW w:w="6353" w:type="dxa"/>
          </w:tcPr>
          <w:p w:rsidR="000A33C3" w:rsidRPr="0063562F" w:rsidRDefault="000A33C3" w:rsidP="00C6045E">
            <w:r>
              <w:t>Product Information</w:t>
            </w:r>
          </w:p>
        </w:tc>
      </w:tr>
      <w:tr w:rsidR="000A33C3" w:rsidRPr="0063562F" w:rsidTr="00C6045E">
        <w:tc>
          <w:tcPr>
            <w:tcW w:w="2367" w:type="dxa"/>
          </w:tcPr>
          <w:p w:rsidR="000A33C3" w:rsidRPr="0063562F" w:rsidRDefault="000A33C3" w:rsidP="00C6045E">
            <w:r w:rsidRPr="0063562F">
              <w:t>PK</w:t>
            </w:r>
          </w:p>
        </w:tc>
        <w:tc>
          <w:tcPr>
            <w:tcW w:w="6353" w:type="dxa"/>
          </w:tcPr>
          <w:p w:rsidR="000A33C3" w:rsidRPr="0063562F" w:rsidRDefault="000A33C3" w:rsidP="00C6045E">
            <w:r>
              <w:t>P</w:t>
            </w:r>
            <w:r w:rsidRPr="0063562F">
              <w:t>harmacokinetic</w:t>
            </w:r>
            <w:r>
              <w:t>/</w:t>
            </w:r>
            <w:r w:rsidRPr="0063562F">
              <w:t>s</w:t>
            </w:r>
          </w:p>
        </w:tc>
      </w:tr>
      <w:tr w:rsidR="000A33C3" w:rsidRPr="0063562F" w:rsidTr="00C6045E">
        <w:tc>
          <w:tcPr>
            <w:tcW w:w="2367" w:type="dxa"/>
          </w:tcPr>
          <w:p w:rsidR="000A33C3" w:rsidRPr="0063562F" w:rsidRDefault="000A33C3" w:rsidP="00C6045E">
            <w:r w:rsidRPr="0063562F">
              <w:t>PML</w:t>
            </w:r>
          </w:p>
        </w:tc>
        <w:tc>
          <w:tcPr>
            <w:tcW w:w="6353" w:type="dxa"/>
          </w:tcPr>
          <w:p w:rsidR="000A33C3" w:rsidRPr="0063562F" w:rsidRDefault="000A33C3" w:rsidP="00C6045E">
            <w:r>
              <w:t>P</w:t>
            </w:r>
            <w:r w:rsidRPr="0063562F">
              <w:t xml:space="preserve">rogressive multifocal </w:t>
            </w:r>
            <w:proofErr w:type="spellStart"/>
            <w:r w:rsidRPr="0063562F">
              <w:t>leukoencephalopathy</w:t>
            </w:r>
            <w:proofErr w:type="spellEnd"/>
          </w:p>
        </w:tc>
      </w:tr>
      <w:tr w:rsidR="000A33C3" w:rsidRPr="0063562F" w:rsidTr="00C6045E">
        <w:tc>
          <w:tcPr>
            <w:tcW w:w="2367" w:type="dxa"/>
          </w:tcPr>
          <w:p w:rsidR="000A33C3" w:rsidRPr="0063562F" w:rsidRDefault="000A33C3" w:rsidP="00C6045E">
            <w:r w:rsidRPr="0063562F">
              <w:t>PT</w:t>
            </w:r>
          </w:p>
        </w:tc>
        <w:tc>
          <w:tcPr>
            <w:tcW w:w="6353" w:type="dxa"/>
          </w:tcPr>
          <w:p w:rsidR="000A33C3" w:rsidRPr="0063562F" w:rsidRDefault="000A33C3" w:rsidP="00C6045E">
            <w:r>
              <w:t>P</w:t>
            </w:r>
            <w:r w:rsidRPr="0063562F">
              <w:t>referred term</w:t>
            </w:r>
          </w:p>
        </w:tc>
      </w:tr>
      <w:tr w:rsidR="000A33C3" w:rsidRPr="0063562F" w:rsidTr="00C6045E">
        <w:tc>
          <w:tcPr>
            <w:tcW w:w="2367" w:type="dxa"/>
          </w:tcPr>
          <w:p w:rsidR="000A33C3" w:rsidRPr="0063562F" w:rsidRDefault="000A33C3" w:rsidP="00C6045E">
            <w:r w:rsidRPr="0063562F">
              <w:t>PV</w:t>
            </w:r>
          </w:p>
        </w:tc>
        <w:tc>
          <w:tcPr>
            <w:tcW w:w="6353" w:type="dxa"/>
          </w:tcPr>
          <w:p w:rsidR="000A33C3" w:rsidRPr="0063562F" w:rsidRDefault="000A33C3" w:rsidP="00C6045E">
            <w:r w:rsidRPr="0063562F">
              <w:t>Pharmacovigilance plan</w:t>
            </w:r>
          </w:p>
        </w:tc>
      </w:tr>
      <w:tr w:rsidR="000A33C3" w:rsidRPr="0063562F" w:rsidTr="00C6045E">
        <w:tc>
          <w:tcPr>
            <w:tcW w:w="2367" w:type="dxa"/>
          </w:tcPr>
          <w:p w:rsidR="000A33C3" w:rsidRPr="0063562F" w:rsidRDefault="000A33C3" w:rsidP="00C6045E">
            <w:r>
              <w:t>RR</w:t>
            </w:r>
          </w:p>
        </w:tc>
        <w:tc>
          <w:tcPr>
            <w:tcW w:w="6353" w:type="dxa"/>
          </w:tcPr>
          <w:p w:rsidR="000A33C3" w:rsidRPr="0063562F" w:rsidRDefault="000A33C3" w:rsidP="00C6045E">
            <w:r>
              <w:t>Relative risk</w:t>
            </w:r>
          </w:p>
        </w:tc>
      </w:tr>
      <w:tr w:rsidR="000A33C3" w:rsidRPr="0063562F" w:rsidTr="00C6045E">
        <w:tc>
          <w:tcPr>
            <w:tcW w:w="2367" w:type="dxa"/>
          </w:tcPr>
          <w:p w:rsidR="000A33C3" w:rsidRDefault="000A33C3" w:rsidP="00C6045E">
            <w:r>
              <w:t>RMP</w:t>
            </w:r>
          </w:p>
        </w:tc>
        <w:tc>
          <w:tcPr>
            <w:tcW w:w="6353" w:type="dxa"/>
          </w:tcPr>
          <w:p w:rsidR="000A33C3" w:rsidRDefault="000A33C3" w:rsidP="00C6045E">
            <w:r>
              <w:t>Risk Management Plan</w:t>
            </w:r>
          </w:p>
        </w:tc>
      </w:tr>
      <w:tr w:rsidR="000A33C3" w:rsidRPr="0063562F" w:rsidTr="00C6045E">
        <w:tc>
          <w:tcPr>
            <w:tcW w:w="2367" w:type="dxa"/>
          </w:tcPr>
          <w:p w:rsidR="000A33C3" w:rsidRPr="0063562F" w:rsidRDefault="000A33C3" w:rsidP="00C6045E">
            <w:r>
              <w:t>SE</w:t>
            </w:r>
          </w:p>
        </w:tc>
        <w:tc>
          <w:tcPr>
            <w:tcW w:w="6353" w:type="dxa"/>
          </w:tcPr>
          <w:p w:rsidR="000A33C3" w:rsidRPr="0063562F" w:rsidRDefault="000A33C3" w:rsidP="00C6045E">
            <w:r>
              <w:t>Standard error (of the mean)</w:t>
            </w:r>
          </w:p>
        </w:tc>
      </w:tr>
      <w:tr w:rsidR="000A33C3" w:rsidRPr="0063562F" w:rsidTr="00C6045E">
        <w:tc>
          <w:tcPr>
            <w:tcW w:w="2367" w:type="dxa"/>
          </w:tcPr>
          <w:p w:rsidR="000A33C3" w:rsidRPr="0063562F" w:rsidRDefault="000A33C3" w:rsidP="00C6045E">
            <w:r w:rsidRPr="0063562F">
              <w:t>SAE</w:t>
            </w:r>
          </w:p>
        </w:tc>
        <w:tc>
          <w:tcPr>
            <w:tcW w:w="6353" w:type="dxa"/>
          </w:tcPr>
          <w:p w:rsidR="000A33C3" w:rsidRPr="0063562F" w:rsidRDefault="000A33C3" w:rsidP="00C6045E">
            <w:r w:rsidRPr="0063562F">
              <w:t>serious adverse event</w:t>
            </w:r>
          </w:p>
        </w:tc>
      </w:tr>
      <w:tr w:rsidR="000A33C3" w:rsidRPr="0063562F" w:rsidTr="00C6045E">
        <w:tc>
          <w:tcPr>
            <w:tcW w:w="2367" w:type="dxa"/>
          </w:tcPr>
          <w:p w:rsidR="000A33C3" w:rsidRPr="0063562F" w:rsidRDefault="000A33C3" w:rsidP="00C6045E">
            <w:r w:rsidRPr="0063562F">
              <w:lastRenderedPageBreak/>
              <w:t>t½</w:t>
            </w:r>
          </w:p>
        </w:tc>
        <w:tc>
          <w:tcPr>
            <w:tcW w:w="6353" w:type="dxa"/>
          </w:tcPr>
          <w:p w:rsidR="000A33C3" w:rsidRPr="0063562F" w:rsidRDefault="000A33C3" w:rsidP="00C6045E">
            <w:r w:rsidRPr="0063562F">
              <w:t>half-life</w:t>
            </w:r>
          </w:p>
        </w:tc>
      </w:tr>
      <w:tr w:rsidR="000A33C3" w:rsidRPr="0063562F" w:rsidTr="00C6045E">
        <w:tc>
          <w:tcPr>
            <w:tcW w:w="2367" w:type="dxa"/>
          </w:tcPr>
          <w:p w:rsidR="000A33C3" w:rsidRPr="0063562F" w:rsidRDefault="000A33C3" w:rsidP="00C6045E">
            <w:r>
              <w:t>T</w:t>
            </w:r>
            <w:r w:rsidRPr="001A149A">
              <w:rPr>
                <w:vertAlign w:val="subscript"/>
              </w:rPr>
              <w:t>max</w:t>
            </w:r>
          </w:p>
        </w:tc>
        <w:tc>
          <w:tcPr>
            <w:tcW w:w="6353" w:type="dxa"/>
          </w:tcPr>
          <w:p w:rsidR="000A33C3" w:rsidRPr="0063562F" w:rsidRDefault="000A33C3" w:rsidP="00C6045E">
            <w:r>
              <w:t>Time to achieve maximal effect</w:t>
            </w:r>
          </w:p>
        </w:tc>
      </w:tr>
      <w:tr w:rsidR="000A33C3" w:rsidRPr="0063562F" w:rsidTr="00C6045E">
        <w:tc>
          <w:tcPr>
            <w:tcW w:w="2367" w:type="dxa"/>
          </w:tcPr>
          <w:p w:rsidR="000A33C3" w:rsidRPr="0063562F" w:rsidRDefault="000A33C3" w:rsidP="00C6045E">
            <w:r w:rsidRPr="0063562F">
              <w:t>TB</w:t>
            </w:r>
          </w:p>
        </w:tc>
        <w:tc>
          <w:tcPr>
            <w:tcW w:w="6353" w:type="dxa"/>
          </w:tcPr>
          <w:p w:rsidR="000A33C3" w:rsidRPr="0063562F" w:rsidRDefault="000A33C3" w:rsidP="00C6045E">
            <w:r>
              <w:t>T</w:t>
            </w:r>
            <w:r w:rsidRPr="0063562F">
              <w:t>uberculosis</w:t>
            </w:r>
          </w:p>
        </w:tc>
      </w:tr>
      <w:tr w:rsidR="000A33C3" w:rsidRPr="0063562F" w:rsidTr="00C6045E">
        <w:tc>
          <w:tcPr>
            <w:tcW w:w="2367" w:type="dxa"/>
          </w:tcPr>
          <w:p w:rsidR="000A33C3" w:rsidRPr="0063562F" w:rsidRDefault="000A33C3" w:rsidP="00C6045E">
            <w:r w:rsidRPr="0063562F">
              <w:t>TEAE</w:t>
            </w:r>
          </w:p>
        </w:tc>
        <w:tc>
          <w:tcPr>
            <w:tcW w:w="6353" w:type="dxa"/>
          </w:tcPr>
          <w:p w:rsidR="000A33C3" w:rsidRPr="0063562F" w:rsidRDefault="000A33C3" w:rsidP="00C6045E">
            <w:r w:rsidRPr="0063562F">
              <w:t>Treatment</w:t>
            </w:r>
            <w:r>
              <w:t xml:space="preserve"> </w:t>
            </w:r>
            <w:r w:rsidRPr="0063562F">
              <w:t>emergent adverse event</w:t>
            </w:r>
          </w:p>
        </w:tc>
      </w:tr>
      <w:tr w:rsidR="000A33C3" w:rsidRPr="0063562F" w:rsidTr="00C6045E">
        <w:tc>
          <w:tcPr>
            <w:tcW w:w="2367" w:type="dxa"/>
          </w:tcPr>
          <w:p w:rsidR="000A33C3" w:rsidRPr="0063562F" w:rsidRDefault="000A33C3" w:rsidP="00C6045E">
            <w:r w:rsidRPr="0063562F">
              <w:t>TNFα</w:t>
            </w:r>
          </w:p>
        </w:tc>
        <w:tc>
          <w:tcPr>
            <w:tcW w:w="6353" w:type="dxa"/>
          </w:tcPr>
          <w:p w:rsidR="000A33C3" w:rsidRPr="0063562F" w:rsidRDefault="000A33C3" w:rsidP="00C6045E">
            <w:r w:rsidRPr="0063562F">
              <w:t>Tumor</w:t>
            </w:r>
            <w:r>
              <w:t xml:space="preserve"> </w:t>
            </w:r>
            <w:r w:rsidRPr="0063562F">
              <w:t>necrosis factor-alpha</w:t>
            </w:r>
          </w:p>
        </w:tc>
      </w:tr>
      <w:tr w:rsidR="000A33C3" w:rsidRPr="0063562F" w:rsidTr="00C6045E">
        <w:tc>
          <w:tcPr>
            <w:tcW w:w="2367" w:type="dxa"/>
          </w:tcPr>
          <w:p w:rsidR="000A33C3" w:rsidRPr="0063562F" w:rsidRDefault="000A33C3" w:rsidP="00C6045E">
            <w:r w:rsidRPr="0063562F">
              <w:t>UC</w:t>
            </w:r>
          </w:p>
        </w:tc>
        <w:tc>
          <w:tcPr>
            <w:tcW w:w="6353" w:type="dxa"/>
          </w:tcPr>
          <w:p w:rsidR="000A33C3" w:rsidRPr="0063562F" w:rsidRDefault="000A33C3" w:rsidP="00C6045E">
            <w:r w:rsidRPr="0063562F">
              <w:t>Ulcerative</w:t>
            </w:r>
            <w:r>
              <w:t xml:space="preserve"> </w:t>
            </w:r>
            <w:r w:rsidRPr="0063562F">
              <w:t>colitis</w:t>
            </w:r>
          </w:p>
        </w:tc>
      </w:tr>
      <w:tr w:rsidR="000A33C3" w:rsidRPr="0063562F" w:rsidTr="00C6045E">
        <w:tc>
          <w:tcPr>
            <w:tcW w:w="2367" w:type="dxa"/>
          </w:tcPr>
          <w:p w:rsidR="000A33C3" w:rsidRPr="0063562F" w:rsidRDefault="000A33C3" w:rsidP="00C6045E">
            <w:r w:rsidRPr="0063562F">
              <w:t>ULN</w:t>
            </w:r>
          </w:p>
        </w:tc>
        <w:tc>
          <w:tcPr>
            <w:tcW w:w="6353" w:type="dxa"/>
          </w:tcPr>
          <w:p w:rsidR="000A33C3" w:rsidRPr="0063562F" w:rsidRDefault="000A33C3" w:rsidP="00C6045E">
            <w:r w:rsidRPr="0063562F">
              <w:t>Upper</w:t>
            </w:r>
            <w:r>
              <w:t xml:space="preserve"> </w:t>
            </w:r>
            <w:r w:rsidRPr="0063562F">
              <w:t>limit of normal</w:t>
            </w:r>
          </w:p>
        </w:tc>
      </w:tr>
      <w:tr w:rsidR="000A33C3" w:rsidRPr="0063562F" w:rsidTr="00C6045E">
        <w:tc>
          <w:tcPr>
            <w:tcW w:w="2367" w:type="dxa"/>
          </w:tcPr>
          <w:p w:rsidR="000A33C3" w:rsidRPr="0063562F" w:rsidRDefault="000A33C3" w:rsidP="00C6045E">
            <w:r w:rsidRPr="0063562F">
              <w:t>VCAM-1</w:t>
            </w:r>
          </w:p>
        </w:tc>
        <w:tc>
          <w:tcPr>
            <w:tcW w:w="6353" w:type="dxa"/>
          </w:tcPr>
          <w:p w:rsidR="000A33C3" w:rsidRPr="0063562F" w:rsidRDefault="000A33C3" w:rsidP="00C6045E">
            <w:r w:rsidRPr="0063562F">
              <w:t>Vascular</w:t>
            </w:r>
            <w:r>
              <w:t xml:space="preserve"> </w:t>
            </w:r>
            <w:r w:rsidRPr="0063562F">
              <w:t>cell adhesion molecule-1</w:t>
            </w:r>
          </w:p>
        </w:tc>
      </w:tr>
      <w:tr w:rsidR="000A33C3" w:rsidRPr="0063562F" w:rsidTr="00C6045E">
        <w:tc>
          <w:tcPr>
            <w:tcW w:w="2367" w:type="dxa"/>
          </w:tcPr>
          <w:p w:rsidR="000A33C3" w:rsidRPr="0063562F" w:rsidRDefault="000A33C3" w:rsidP="00C6045E">
            <w:r w:rsidRPr="0063562F">
              <w:t>WBC</w:t>
            </w:r>
          </w:p>
        </w:tc>
        <w:tc>
          <w:tcPr>
            <w:tcW w:w="6353" w:type="dxa"/>
          </w:tcPr>
          <w:p w:rsidR="000A33C3" w:rsidRPr="0063562F" w:rsidRDefault="000A33C3" w:rsidP="00C6045E">
            <w:r w:rsidRPr="0063562F">
              <w:t>White</w:t>
            </w:r>
            <w:r>
              <w:t xml:space="preserve"> </w:t>
            </w:r>
            <w:r w:rsidRPr="0063562F">
              <w:t>blood cell</w:t>
            </w:r>
          </w:p>
        </w:tc>
      </w:tr>
    </w:tbl>
    <w:p w:rsidR="00607DD1" w:rsidRDefault="00607DD1" w:rsidP="00C6045E">
      <w:r>
        <w:br w:type="page"/>
      </w:r>
      <w:bookmarkStart w:id="5" w:name="_GoBack"/>
      <w:bookmarkEnd w:id="5"/>
    </w:p>
    <w:p w:rsidR="008E7846" w:rsidRDefault="00F53C07" w:rsidP="00C6045E">
      <w:pPr>
        <w:pStyle w:val="Heading2"/>
      </w:pPr>
      <w:bookmarkStart w:id="6" w:name="_Toc405974761"/>
      <w:r>
        <w:lastRenderedPageBreak/>
        <w:t>I.</w:t>
      </w:r>
      <w:r w:rsidR="008E7846">
        <w:t xml:space="preserve"> </w:t>
      </w:r>
      <w:r w:rsidR="008E7846" w:rsidRPr="00C6045E">
        <w:t>Introduction</w:t>
      </w:r>
      <w:r w:rsidR="008E7846">
        <w:t xml:space="preserve"> to product submission</w:t>
      </w:r>
      <w:bookmarkEnd w:id="0"/>
      <w:bookmarkEnd w:id="2"/>
      <w:bookmarkEnd w:id="6"/>
    </w:p>
    <w:p w:rsidR="008E7846" w:rsidRDefault="008E7846" w:rsidP="00C6045E">
      <w:pPr>
        <w:pStyle w:val="Heading3"/>
        <w:rPr>
          <w:lang w:eastAsia="en-AU"/>
        </w:rPr>
      </w:pPr>
      <w:bookmarkStart w:id="7" w:name="_Toc247691502"/>
      <w:bookmarkStart w:id="8" w:name="_Toc314842483"/>
      <w:bookmarkStart w:id="9" w:name="_Toc405974762"/>
      <w:r w:rsidRPr="00C6045E">
        <w:t>Submission</w:t>
      </w:r>
      <w:r>
        <w:rPr>
          <w:lang w:eastAsia="en-AU"/>
        </w:rPr>
        <w:t xml:space="preserve"> details</w:t>
      </w:r>
      <w:bookmarkEnd w:id="7"/>
      <w:bookmarkEnd w:id="8"/>
      <w:bookmarkEnd w:id="9"/>
    </w:p>
    <w:tbl>
      <w:tblPr>
        <w:tblW w:w="9497" w:type="dxa"/>
        <w:tblInd w:w="108" w:type="dxa"/>
        <w:tblLook w:val="01E0" w:firstRow="1" w:lastRow="1" w:firstColumn="1" w:lastColumn="1" w:noHBand="0" w:noVBand="0"/>
      </w:tblPr>
      <w:tblGrid>
        <w:gridCol w:w="2907"/>
        <w:gridCol w:w="6590"/>
      </w:tblGrid>
      <w:tr w:rsidR="008E7846" w:rsidRPr="003D1E62" w:rsidTr="0089635C">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tcPr>
          <w:p w:rsidR="008E7846" w:rsidRPr="003D1E62" w:rsidRDefault="008E7846" w:rsidP="000B212B">
            <w:r w:rsidRPr="003D1E62">
              <w:t xml:space="preserve">New </w:t>
            </w:r>
            <w:r w:rsidR="000B212B">
              <w:t>biological</w:t>
            </w:r>
            <w:r w:rsidRPr="003D1E62">
              <w:t xml:space="preserve"> </w:t>
            </w:r>
            <w:r w:rsidR="001B5C90">
              <w:t>e</w:t>
            </w:r>
            <w:r w:rsidRPr="003D1E62">
              <w:t xml:space="preserve">ntity </w:t>
            </w:r>
          </w:p>
        </w:tc>
      </w:tr>
      <w:tr w:rsidR="008E7846" w:rsidRPr="003D1E62" w:rsidTr="0089635C">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C5264C">
            <w:r w:rsidRPr="003D1E62">
              <w:t xml:space="preserve">Approved </w:t>
            </w:r>
          </w:p>
        </w:tc>
      </w:tr>
      <w:tr w:rsidR="008E7846" w:rsidRPr="003D1E62" w:rsidTr="0089635C">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tcPr>
          <w:p w:rsidR="008E7846" w:rsidRPr="003D1E62" w:rsidRDefault="00C5264C" w:rsidP="00C5264C">
            <w:r>
              <w:t xml:space="preserve">26 June 2014 </w:t>
            </w:r>
          </w:p>
        </w:tc>
      </w:tr>
    </w:tbl>
    <w:p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rsidTr="00BF1190">
        <w:tc>
          <w:tcPr>
            <w:tcW w:w="2907" w:type="dxa"/>
          </w:tcPr>
          <w:p w:rsidR="008E7846" w:rsidRPr="005E23C8" w:rsidRDefault="00C5264C" w:rsidP="00C5264C">
            <w:pPr>
              <w:rPr>
                <w:i/>
              </w:rPr>
            </w:pPr>
            <w:r>
              <w:rPr>
                <w:i/>
              </w:rPr>
              <w:t>Active ingredient</w:t>
            </w:r>
            <w:r w:rsidR="001B5C90" w:rsidRPr="005E23C8">
              <w:rPr>
                <w:i/>
              </w:rPr>
              <w:t>:</w:t>
            </w:r>
          </w:p>
        </w:tc>
        <w:tc>
          <w:tcPr>
            <w:tcW w:w="6307" w:type="dxa"/>
          </w:tcPr>
          <w:p w:rsidR="008E7846" w:rsidRPr="00487162" w:rsidRDefault="00C5264C" w:rsidP="00C5264C">
            <w:proofErr w:type="spellStart"/>
            <w:r>
              <w:t>V</w:t>
            </w:r>
            <w:r w:rsidRPr="00C5264C">
              <w:t>edolizumab</w:t>
            </w:r>
            <w:proofErr w:type="spellEnd"/>
            <w:r w:rsidRPr="00C5264C">
              <w:t xml:space="preserve"> </w:t>
            </w:r>
            <w:r>
              <w:t>(</w:t>
            </w:r>
            <w:proofErr w:type="spellStart"/>
            <w:r>
              <w:t>rch</w:t>
            </w:r>
            <w:proofErr w:type="spellEnd"/>
            <w:r w:rsidR="00987330">
              <w:rPr>
                <w:rStyle w:val="FootnoteReference"/>
              </w:rPr>
              <w:footnoteReference w:id="1"/>
            </w:r>
            <w:r>
              <w:t>)</w:t>
            </w:r>
          </w:p>
        </w:tc>
      </w:tr>
      <w:tr w:rsidR="008E7846" w:rsidRPr="00487162" w:rsidTr="00BF1190">
        <w:tc>
          <w:tcPr>
            <w:tcW w:w="2907" w:type="dxa"/>
          </w:tcPr>
          <w:p w:rsidR="008E7846" w:rsidRPr="005E23C8" w:rsidRDefault="008E7846" w:rsidP="00C5264C">
            <w:pPr>
              <w:rPr>
                <w:i/>
              </w:rPr>
            </w:pPr>
            <w:r w:rsidRPr="005E23C8">
              <w:rPr>
                <w:i/>
              </w:rPr>
              <w:t>Product</w:t>
            </w:r>
            <w:r w:rsidR="00C5264C">
              <w:rPr>
                <w:i/>
              </w:rPr>
              <w:t xml:space="preserve"> name</w:t>
            </w:r>
            <w:r w:rsidR="001B5C90" w:rsidRPr="005E23C8">
              <w:rPr>
                <w:i/>
              </w:rPr>
              <w:t>s:</w:t>
            </w:r>
          </w:p>
        </w:tc>
        <w:tc>
          <w:tcPr>
            <w:tcW w:w="6307" w:type="dxa"/>
          </w:tcPr>
          <w:p w:rsidR="008E7846" w:rsidRPr="00487162" w:rsidRDefault="006A26B0" w:rsidP="00C5264C">
            <w:proofErr w:type="spellStart"/>
            <w:r>
              <w:t>Entyvio</w:t>
            </w:r>
            <w:proofErr w:type="spellEnd"/>
            <w:r>
              <w:t>/</w:t>
            </w:r>
            <w:proofErr w:type="spellStart"/>
            <w:r w:rsidR="00C5264C" w:rsidRPr="00C5264C">
              <w:t>Kynteles</w:t>
            </w:r>
            <w:proofErr w:type="spellEnd"/>
            <w:r w:rsidR="00C5264C" w:rsidRPr="00C5264C">
              <w:t xml:space="preserve"> </w:t>
            </w:r>
          </w:p>
        </w:tc>
      </w:tr>
      <w:tr w:rsidR="008E7846" w:rsidRPr="00487162" w:rsidTr="00BF1190">
        <w:tc>
          <w:tcPr>
            <w:tcW w:w="2907" w:type="dxa"/>
          </w:tcPr>
          <w:p w:rsidR="008E7846" w:rsidRPr="005E23C8" w:rsidRDefault="008E7846" w:rsidP="001B5C90">
            <w:pPr>
              <w:rPr>
                <w:i/>
              </w:rPr>
            </w:pPr>
            <w:r w:rsidRPr="005E23C8">
              <w:rPr>
                <w:i/>
              </w:rPr>
              <w:t xml:space="preserve">Sponsor’s </w:t>
            </w:r>
            <w:r w:rsidR="001B5C90" w:rsidRPr="005E23C8">
              <w:rPr>
                <w:i/>
              </w:rPr>
              <w:t>n</w:t>
            </w:r>
            <w:r w:rsidRPr="005E23C8">
              <w:rPr>
                <w:i/>
              </w:rPr>
              <w:t xml:space="preserve">ame and </w:t>
            </w:r>
            <w:r w:rsidR="001B5C90" w:rsidRPr="005E23C8">
              <w:rPr>
                <w:i/>
              </w:rPr>
              <w:t>a</w:t>
            </w:r>
            <w:r w:rsidRPr="005E23C8">
              <w:rPr>
                <w:i/>
              </w:rPr>
              <w:t>ddress:</w:t>
            </w:r>
          </w:p>
        </w:tc>
        <w:tc>
          <w:tcPr>
            <w:tcW w:w="6307" w:type="dxa"/>
          </w:tcPr>
          <w:p w:rsidR="008E7846" w:rsidRPr="00487162" w:rsidRDefault="00C5264C" w:rsidP="00E45619">
            <w:r w:rsidRPr="00C5264C">
              <w:t>Takeda Pharmaceuticals Australia Pty Ltd</w:t>
            </w:r>
            <w:r w:rsidR="006F7BE1">
              <w:br/>
            </w:r>
            <w:r w:rsidR="006F7BE1" w:rsidRPr="006F7BE1">
              <w:t>2-4 Lyon park Road</w:t>
            </w:r>
            <w:r w:rsidR="006F7BE1" w:rsidRPr="006F7BE1">
              <w:br/>
              <w:t>Macquarie Park  NSW  2113</w:t>
            </w:r>
          </w:p>
        </w:tc>
      </w:tr>
      <w:tr w:rsidR="008E7846" w:rsidRPr="00487162" w:rsidTr="00BF1190">
        <w:tc>
          <w:tcPr>
            <w:tcW w:w="2907" w:type="dxa"/>
          </w:tcPr>
          <w:p w:rsidR="008E7846" w:rsidRPr="005E23C8" w:rsidRDefault="00C5264C" w:rsidP="00C5264C">
            <w:pPr>
              <w:rPr>
                <w:i/>
              </w:rPr>
            </w:pPr>
            <w:r>
              <w:rPr>
                <w:i/>
              </w:rPr>
              <w:t>Dose form</w:t>
            </w:r>
            <w:r w:rsidR="001B5C90" w:rsidRPr="005E23C8">
              <w:rPr>
                <w:i/>
              </w:rPr>
              <w:t>:</w:t>
            </w:r>
          </w:p>
        </w:tc>
        <w:tc>
          <w:tcPr>
            <w:tcW w:w="6307" w:type="dxa"/>
          </w:tcPr>
          <w:p w:rsidR="008E7846" w:rsidRPr="00487162" w:rsidRDefault="00C5264C" w:rsidP="00E45619">
            <w:r>
              <w:t>Powder for injection</w:t>
            </w:r>
          </w:p>
        </w:tc>
      </w:tr>
      <w:tr w:rsidR="008E7846" w:rsidRPr="00487162" w:rsidTr="00BF1190">
        <w:tc>
          <w:tcPr>
            <w:tcW w:w="2907" w:type="dxa"/>
          </w:tcPr>
          <w:p w:rsidR="008E7846" w:rsidRPr="005E23C8" w:rsidRDefault="00C5264C" w:rsidP="00C5264C">
            <w:pPr>
              <w:rPr>
                <w:i/>
              </w:rPr>
            </w:pPr>
            <w:r>
              <w:rPr>
                <w:i/>
              </w:rPr>
              <w:t>Strength</w:t>
            </w:r>
            <w:r w:rsidR="008E7846" w:rsidRPr="005E23C8">
              <w:rPr>
                <w:i/>
              </w:rPr>
              <w:t xml:space="preserve">: </w:t>
            </w:r>
          </w:p>
        </w:tc>
        <w:tc>
          <w:tcPr>
            <w:tcW w:w="6307" w:type="dxa"/>
          </w:tcPr>
          <w:p w:rsidR="008E7846" w:rsidRPr="00487162" w:rsidRDefault="00C5264C" w:rsidP="00E45619">
            <w:r>
              <w:t>300 mg</w:t>
            </w:r>
          </w:p>
        </w:tc>
      </w:tr>
      <w:tr w:rsidR="008E7846" w:rsidRPr="00487162" w:rsidTr="00BF1190">
        <w:tc>
          <w:tcPr>
            <w:tcW w:w="2907" w:type="dxa"/>
          </w:tcPr>
          <w:p w:rsidR="008E7846" w:rsidRPr="005E23C8" w:rsidRDefault="00C5264C" w:rsidP="00E45619">
            <w:pPr>
              <w:rPr>
                <w:i/>
              </w:rPr>
            </w:pPr>
            <w:r>
              <w:rPr>
                <w:i/>
              </w:rPr>
              <w:t>Container</w:t>
            </w:r>
            <w:r w:rsidR="008E7846" w:rsidRPr="005E23C8">
              <w:rPr>
                <w:i/>
              </w:rPr>
              <w:t>:</w:t>
            </w:r>
          </w:p>
        </w:tc>
        <w:tc>
          <w:tcPr>
            <w:tcW w:w="6307" w:type="dxa"/>
          </w:tcPr>
          <w:p w:rsidR="008E7846" w:rsidRPr="00487162" w:rsidRDefault="00C5264C" w:rsidP="00E45619">
            <w:r>
              <w:t>Vial</w:t>
            </w:r>
          </w:p>
        </w:tc>
      </w:tr>
      <w:tr w:rsidR="008E7846" w:rsidRPr="00487162" w:rsidTr="00BF1190">
        <w:tc>
          <w:tcPr>
            <w:tcW w:w="2907" w:type="dxa"/>
          </w:tcPr>
          <w:p w:rsidR="008E7846" w:rsidRPr="005E23C8" w:rsidRDefault="00F73E80" w:rsidP="00F73E80">
            <w:pPr>
              <w:rPr>
                <w:i/>
              </w:rPr>
            </w:pPr>
            <w:r>
              <w:rPr>
                <w:i/>
              </w:rPr>
              <w:t>Pack size</w:t>
            </w:r>
            <w:r w:rsidR="008E7846" w:rsidRPr="005E23C8">
              <w:rPr>
                <w:i/>
              </w:rPr>
              <w:t>:</w:t>
            </w:r>
          </w:p>
        </w:tc>
        <w:tc>
          <w:tcPr>
            <w:tcW w:w="6307" w:type="dxa"/>
          </w:tcPr>
          <w:p w:rsidR="008E7846" w:rsidRPr="00487162" w:rsidRDefault="00F73E80" w:rsidP="00E45619">
            <w:r>
              <w:t>1</w:t>
            </w:r>
          </w:p>
        </w:tc>
      </w:tr>
      <w:tr w:rsidR="008E7846" w:rsidRPr="00487162" w:rsidTr="00BF1190">
        <w:tc>
          <w:tcPr>
            <w:tcW w:w="2907" w:type="dxa"/>
          </w:tcPr>
          <w:p w:rsidR="008E7846" w:rsidRPr="005E23C8" w:rsidRDefault="008E7846" w:rsidP="001B5C90">
            <w:pPr>
              <w:rPr>
                <w:i/>
              </w:rPr>
            </w:pPr>
            <w:r w:rsidRPr="005E23C8">
              <w:rPr>
                <w:i/>
              </w:rPr>
              <w:t xml:space="preserve">Approved </w:t>
            </w:r>
            <w:r w:rsidR="001B5C90" w:rsidRPr="005E23C8">
              <w:rPr>
                <w:i/>
              </w:rPr>
              <w:t>t</w:t>
            </w:r>
            <w:r w:rsidRPr="005E23C8">
              <w:rPr>
                <w:i/>
              </w:rPr>
              <w:t>herapeutic use:</w:t>
            </w:r>
          </w:p>
        </w:tc>
        <w:tc>
          <w:tcPr>
            <w:tcW w:w="6307" w:type="dxa"/>
          </w:tcPr>
          <w:p w:rsidR="00F73E80" w:rsidRPr="0033738A" w:rsidRDefault="00F73E80" w:rsidP="00F73E80">
            <w:pPr>
              <w:rPr>
                <w:i/>
              </w:rPr>
            </w:pPr>
            <w:r w:rsidRPr="0033738A">
              <w:rPr>
                <w:i/>
              </w:rPr>
              <w:t xml:space="preserve">Treatment of adult patients with moderate to severe ulcerative colitis who have had an inadequate response with, lost response to, or are intolerant to either conventional therapy or a tumour necrosis factor-alpha (TNFα) antagonist. </w:t>
            </w:r>
          </w:p>
          <w:p w:rsidR="008E7846" w:rsidRPr="00487162" w:rsidRDefault="00F73E80" w:rsidP="00F73E80">
            <w:pPr>
              <w:rPr>
                <w:rFonts w:eastAsia="MS Mincho"/>
                <w:lang w:eastAsia="ja-JP"/>
              </w:rPr>
            </w:pPr>
            <w:r w:rsidRPr="0033738A">
              <w:rPr>
                <w:i/>
              </w:rPr>
              <w:t>Treatment of adult patients with moderate to severe Crohn’s disease who have had an inadequate response with, lost response to, or are intolerant to either conventional therapy or a tumour necrosis factor-alpha (TNFα) antagonist.</w:t>
            </w:r>
          </w:p>
        </w:tc>
      </w:tr>
      <w:tr w:rsidR="008E7846" w:rsidRPr="00487162" w:rsidTr="00BF1190">
        <w:tc>
          <w:tcPr>
            <w:tcW w:w="2907" w:type="dxa"/>
          </w:tcPr>
          <w:p w:rsidR="008E7846" w:rsidRPr="005E23C8" w:rsidRDefault="00F73E80" w:rsidP="00E45619">
            <w:pPr>
              <w:rPr>
                <w:i/>
              </w:rPr>
            </w:pPr>
            <w:r>
              <w:rPr>
                <w:i/>
              </w:rPr>
              <w:t>Route</w:t>
            </w:r>
            <w:r w:rsidR="008E7846" w:rsidRPr="005E23C8">
              <w:rPr>
                <w:i/>
              </w:rPr>
              <w:t xml:space="preserve"> of administration:</w:t>
            </w:r>
          </w:p>
        </w:tc>
        <w:tc>
          <w:tcPr>
            <w:tcW w:w="6307" w:type="dxa"/>
          </w:tcPr>
          <w:p w:rsidR="008E7846" w:rsidRPr="00487162" w:rsidRDefault="00F73E80" w:rsidP="00E45619">
            <w:r>
              <w:t>Intravenous infusion</w:t>
            </w:r>
          </w:p>
        </w:tc>
      </w:tr>
      <w:tr w:rsidR="008E7846" w:rsidRPr="00487162" w:rsidTr="00BF1190">
        <w:tc>
          <w:tcPr>
            <w:tcW w:w="2907" w:type="dxa"/>
          </w:tcPr>
          <w:p w:rsidR="008E7846" w:rsidRPr="005E23C8" w:rsidRDefault="008E7846" w:rsidP="00E45619">
            <w:pPr>
              <w:rPr>
                <w:i/>
              </w:rPr>
            </w:pPr>
            <w:r w:rsidRPr="005E23C8">
              <w:rPr>
                <w:i/>
              </w:rPr>
              <w:t>Dosage</w:t>
            </w:r>
            <w:r w:rsidR="00F73E80">
              <w:rPr>
                <w:i/>
              </w:rPr>
              <w:t xml:space="preserve"> (abbreviated)</w:t>
            </w:r>
            <w:r w:rsidRPr="005E23C8">
              <w:rPr>
                <w:i/>
              </w:rPr>
              <w:t>:</w:t>
            </w:r>
          </w:p>
        </w:tc>
        <w:tc>
          <w:tcPr>
            <w:tcW w:w="6307" w:type="dxa"/>
          </w:tcPr>
          <w:p w:rsidR="008E7846" w:rsidRPr="00487162" w:rsidRDefault="00F73E80" w:rsidP="00F73E80">
            <w:r>
              <w:t>Adults (</w:t>
            </w:r>
            <w:r w:rsidR="00F23382">
              <w:t>≥</w:t>
            </w:r>
            <w:r>
              <w:t xml:space="preserve"> 18 years): 300 m</w:t>
            </w:r>
            <w:r w:rsidRPr="00F73E80">
              <w:t>g at zero, two and six weeks and then every eight weeks thereafter</w:t>
            </w:r>
            <w:r>
              <w:t xml:space="preserve"> (see approved Product Information at Attachment 1 for full </w:t>
            </w:r>
            <w:r w:rsidRPr="00F73E80">
              <w:rPr>
                <w:i/>
              </w:rPr>
              <w:t>Dosage and administration</w:t>
            </w:r>
            <w:r>
              <w:t>)</w:t>
            </w:r>
          </w:p>
        </w:tc>
      </w:tr>
      <w:tr w:rsidR="008E7846" w:rsidRPr="00487162" w:rsidTr="00BF1190">
        <w:tc>
          <w:tcPr>
            <w:tcW w:w="2907" w:type="dxa"/>
          </w:tcPr>
          <w:p w:rsidR="008E7846" w:rsidRPr="005E23C8" w:rsidRDefault="008E7846" w:rsidP="00F73E80">
            <w:pPr>
              <w:rPr>
                <w:i/>
              </w:rPr>
            </w:pPr>
            <w:r w:rsidRPr="005E23C8">
              <w:rPr>
                <w:i/>
              </w:rPr>
              <w:t xml:space="preserve">ARTG </w:t>
            </w:r>
            <w:r w:rsidR="001B5C90" w:rsidRPr="005E23C8">
              <w:rPr>
                <w:i/>
              </w:rPr>
              <w:t>n</w:t>
            </w:r>
            <w:r w:rsidR="00F73E80">
              <w:rPr>
                <w:i/>
              </w:rPr>
              <w:t>umber</w:t>
            </w:r>
            <w:r w:rsidRPr="005E23C8">
              <w:rPr>
                <w:i/>
              </w:rPr>
              <w:t>s</w:t>
            </w:r>
            <w:r w:rsidR="001B5C90" w:rsidRPr="005E23C8">
              <w:rPr>
                <w:i/>
              </w:rPr>
              <w:t>:</w:t>
            </w:r>
          </w:p>
        </w:tc>
        <w:tc>
          <w:tcPr>
            <w:tcW w:w="6307" w:type="dxa"/>
          </w:tcPr>
          <w:p w:rsidR="008E7846" w:rsidRPr="00487162" w:rsidRDefault="00F73E80" w:rsidP="00F73E80">
            <w:r w:rsidRPr="00F73E80">
              <w:t>210048</w:t>
            </w:r>
            <w:r>
              <w:t>, 210042</w:t>
            </w:r>
          </w:p>
        </w:tc>
      </w:tr>
    </w:tbl>
    <w:p w:rsidR="004C67AA" w:rsidRDefault="004C67AA" w:rsidP="00C6045E">
      <w:pPr>
        <w:rPr>
          <w:rFonts w:ascii="Arial" w:eastAsia="Times New Roman" w:hAnsi="Arial"/>
          <w:szCs w:val="21"/>
        </w:rPr>
      </w:pPr>
      <w:bookmarkStart w:id="10" w:name="_Toc384807741"/>
      <w:bookmarkEnd w:id="1"/>
      <w:r>
        <w:br w:type="page"/>
      </w:r>
    </w:p>
    <w:p w:rsidR="004C67AA" w:rsidRDefault="004C67AA" w:rsidP="004C67AA">
      <w:pPr>
        <w:pStyle w:val="Heading3"/>
      </w:pPr>
      <w:bookmarkStart w:id="11" w:name="_Toc405974763"/>
      <w:r>
        <w:lastRenderedPageBreak/>
        <w:t>Product background</w:t>
      </w:r>
      <w:bookmarkEnd w:id="10"/>
      <w:bookmarkEnd w:id="11"/>
    </w:p>
    <w:p w:rsidR="00EA0683" w:rsidRPr="00242888" w:rsidRDefault="00EA0683" w:rsidP="00C6045E">
      <w:r w:rsidRPr="00242888">
        <w:t>Vedolizumab is a recombinant, humanised</w:t>
      </w:r>
      <w:r w:rsidR="00242888" w:rsidRPr="00242888">
        <w:t>,</w:t>
      </w:r>
      <w:r w:rsidRPr="00242888">
        <w:t xml:space="preserve"> immunoglobulin G type 1 (IgG</w:t>
      </w:r>
      <w:r w:rsidRPr="00242888">
        <w:rPr>
          <w:vertAlign w:val="subscript"/>
        </w:rPr>
        <w:t>1</w:t>
      </w:r>
      <w:r w:rsidRPr="00242888">
        <w:t>) monoclonal antibody target</w:t>
      </w:r>
      <w:r w:rsidR="00242888">
        <w:t>ing</w:t>
      </w:r>
      <w:r w:rsidRPr="00242888">
        <w:t xml:space="preserve"> </w:t>
      </w:r>
      <w:r w:rsidR="00242888">
        <w:t xml:space="preserve">the </w:t>
      </w:r>
      <w:r w:rsidRPr="00242888">
        <w:t>human lymphocyte integrin α</w:t>
      </w:r>
      <w:r w:rsidRPr="00242888">
        <w:rPr>
          <w:vertAlign w:val="subscript"/>
        </w:rPr>
        <w:t>4</w:t>
      </w:r>
      <w:r w:rsidRPr="00242888">
        <w:t>β</w:t>
      </w:r>
      <w:r w:rsidRPr="00242888">
        <w:rPr>
          <w:vertAlign w:val="subscript"/>
        </w:rPr>
        <w:t>7</w:t>
      </w:r>
      <w:r w:rsidRPr="00242888">
        <w:t>. The α</w:t>
      </w:r>
      <w:r w:rsidRPr="00242888">
        <w:rPr>
          <w:vertAlign w:val="subscript"/>
        </w:rPr>
        <w:t>4</w:t>
      </w:r>
      <w:r w:rsidRPr="00242888">
        <w:t>β</w:t>
      </w:r>
      <w:r w:rsidRPr="00242888">
        <w:rPr>
          <w:vertAlign w:val="subscript"/>
        </w:rPr>
        <w:t>7</w:t>
      </w:r>
      <w:r w:rsidRPr="00242888">
        <w:t xml:space="preserve"> integrin mediates lymphocyte trafficking to gastrointestinal (GI) mucosa and gut-associated lymphoid tissue </w:t>
      </w:r>
      <w:r w:rsidR="00242888" w:rsidRPr="00242888">
        <w:t>(GALT) and is thought to have a role in increasing inflammation seen in ulcerati</w:t>
      </w:r>
      <w:r w:rsidR="00C6045E">
        <w:t xml:space="preserve">ve colitis and </w:t>
      </w:r>
      <w:proofErr w:type="spellStart"/>
      <w:r w:rsidR="00C6045E">
        <w:t>Crohn’s</w:t>
      </w:r>
      <w:proofErr w:type="spellEnd"/>
      <w:r w:rsidR="00C6045E">
        <w:t xml:space="preserve"> disease.</w:t>
      </w:r>
    </w:p>
    <w:p w:rsidR="006A26B0" w:rsidRPr="00242888" w:rsidRDefault="004C67AA" w:rsidP="00C6045E">
      <w:r w:rsidRPr="00242888">
        <w:t xml:space="preserve">This AusPAR describes the application by </w:t>
      </w:r>
      <w:r w:rsidR="006A26B0" w:rsidRPr="00242888">
        <w:t>Takeda Pharmaceuticals Australia Pty Ltd (</w:t>
      </w:r>
      <w:r w:rsidRPr="00242888">
        <w:t>the sponsor</w:t>
      </w:r>
      <w:r w:rsidR="006A26B0" w:rsidRPr="00242888">
        <w:t>)</w:t>
      </w:r>
      <w:r w:rsidRPr="00242888">
        <w:t xml:space="preserve"> to register </w:t>
      </w:r>
      <w:proofErr w:type="spellStart"/>
      <w:r w:rsidR="006A26B0" w:rsidRPr="00242888">
        <w:t>Entyvio</w:t>
      </w:r>
      <w:proofErr w:type="spellEnd"/>
      <w:r w:rsidR="006A26B0" w:rsidRPr="00242888">
        <w:t>/</w:t>
      </w:r>
      <w:proofErr w:type="spellStart"/>
      <w:r w:rsidR="006A26B0" w:rsidRPr="00242888">
        <w:t>Kynteles</w:t>
      </w:r>
      <w:proofErr w:type="spellEnd"/>
      <w:r w:rsidR="006A26B0" w:rsidRPr="00242888">
        <w:t xml:space="preserve">, containing </w:t>
      </w:r>
      <w:proofErr w:type="spellStart"/>
      <w:r w:rsidR="006A26B0" w:rsidRPr="00242888">
        <w:t>vedolizumab</w:t>
      </w:r>
      <w:proofErr w:type="spellEnd"/>
      <w:r w:rsidR="006A26B0" w:rsidRPr="00242888">
        <w:t xml:space="preserve"> (</w:t>
      </w:r>
      <w:proofErr w:type="spellStart"/>
      <w:r w:rsidR="006A26B0" w:rsidRPr="00242888">
        <w:t>rch</w:t>
      </w:r>
      <w:proofErr w:type="spellEnd"/>
      <w:r w:rsidR="006A26B0" w:rsidRPr="00242888">
        <w:t xml:space="preserve">) 300 mg powder for IV infusion, </w:t>
      </w:r>
      <w:r w:rsidRPr="00242888">
        <w:t>for the following indication</w:t>
      </w:r>
      <w:r w:rsidR="006A26B0" w:rsidRPr="00242888">
        <w:t>:</w:t>
      </w:r>
    </w:p>
    <w:p w:rsidR="006A26B0" w:rsidRPr="00C6045E" w:rsidRDefault="006A26B0" w:rsidP="00C6045E">
      <w:pPr>
        <w:ind w:left="567"/>
        <w:rPr>
          <w:i/>
        </w:rPr>
      </w:pPr>
      <w:r w:rsidRPr="00C6045E">
        <w:rPr>
          <w:i/>
        </w:rPr>
        <w:t>Treatment of adult patients with moderate to severe ulcerative colitis who have had an inadequate response with, lost response to, or are intolerant to either conventional therapy or a tumour necrosis factor-alpha (TNFα) antagonist.</w:t>
      </w:r>
    </w:p>
    <w:p w:rsidR="004C67AA" w:rsidRPr="00C6045E" w:rsidRDefault="006A26B0" w:rsidP="00C6045E">
      <w:pPr>
        <w:ind w:left="567"/>
        <w:rPr>
          <w:i/>
        </w:rPr>
      </w:pPr>
      <w:r w:rsidRPr="00C6045E">
        <w:rPr>
          <w:i/>
        </w:rPr>
        <w:t>Treatment of adult patients with moderate to severe Crohn’s disease who have had an inadequate response with, lost response to, or are intolerant to either conventional therapy or a tumour necrosis factor-alpha (TNFα) antagonist.</w:t>
      </w:r>
    </w:p>
    <w:p w:rsidR="004C67AA" w:rsidRPr="003F31A2" w:rsidRDefault="004C67AA" w:rsidP="00C6045E">
      <w:pPr>
        <w:pStyle w:val="Heading3"/>
      </w:pPr>
      <w:bookmarkStart w:id="12" w:name="_Toc314842485"/>
      <w:bookmarkStart w:id="13" w:name="_Toc384807742"/>
      <w:bookmarkStart w:id="14" w:name="_Toc247691504"/>
      <w:bookmarkStart w:id="15" w:name="_Toc405974764"/>
      <w:r w:rsidRPr="00C6045E">
        <w:t>Regulatory</w:t>
      </w:r>
      <w:r>
        <w:t xml:space="preserve"> status</w:t>
      </w:r>
      <w:bookmarkEnd w:id="12"/>
      <w:bookmarkEnd w:id="13"/>
      <w:bookmarkEnd w:id="14"/>
      <w:bookmarkEnd w:id="15"/>
    </w:p>
    <w:p w:rsidR="004C67AA" w:rsidRPr="00EC0075" w:rsidRDefault="004C67AA" w:rsidP="00EC0075">
      <w:bookmarkStart w:id="16" w:name="_Toc247691505"/>
      <w:bookmarkStart w:id="17" w:name="_Toc314842486"/>
      <w:r w:rsidRPr="00EC0075">
        <w:t>The product received initial registration on the Australian Register of Therapeutic Goods (ARTG) on</w:t>
      </w:r>
      <w:r w:rsidR="00F73E80" w:rsidRPr="00EC0075">
        <w:t xml:space="preserve"> 27 June 2014.</w:t>
      </w:r>
    </w:p>
    <w:p w:rsidR="004C67AA" w:rsidRPr="00EC0075" w:rsidRDefault="004C67AA" w:rsidP="00C6045E">
      <w:r w:rsidRPr="00EC0075">
        <w:t xml:space="preserve">At the time the TGA considered this application, a similar application </w:t>
      </w:r>
      <w:r w:rsidR="00D1618F" w:rsidRPr="00EC0075">
        <w:t xml:space="preserve">was under review in the European Union (EU), the USA, Canada, and Switzerland. On 20 March 2014 the EU Committee for Medicinal Products for Human Use (CHMP) </w:t>
      </w:r>
      <w:r w:rsidR="00EC0075" w:rsidRPr="00EC0075">
        <w:t xml:space="preserve">issued a positive </w:t>
      </w:r>
      <w:r w:rsidR="00D1618F" w:rsidRPr="00EC0075">
        <w:t xml:space="preserve">opinion, recommending the </w:t>
      </w:r>
      <w:r w:rsidR="00EC0075" w:rsidRPr="00EC0075">
        <w:t>granting of a marketing authorisation in Europe</w:t>
      </w:r>
      <w:r w:rsidR="00D1618F" w:rsidRPr="00EC0075">
        <w:t>.</w:t>
      </w:r>
    </w:p>
    <w:p w:rsidR="004C67AA" w:rsidRDefault="004C67AA" w:rsidP="00C6045E">
      <w:pPr>
        <w:pStyle w:val="Heading3"/>
      </w:pPr>
      <w:bookmarkStart w:id="18" w:name="_Toc384807743"/>
      <w:bookmarkStart w:id="19" w:name="_Toc405974765"/>
      <w:r>
        <w:t xml:space="preserve">Product </w:t>
      </w:r>
      <w:r w:rsidRPr="00C6045E">
        <w:t>Information</w:t>
      </w:r>
      <w:bookmarkEnd w:id="16"/>
      <w:bookmarkEnd w:id="17"/>
      <w:bookmarkEnd w:id="18"/>
      <w:bookmarkEnd w:id="19"/>
    </w:p>
    <w:p w:rsidR="004C67AA" w:rsidRDefault="004C67AA" w:rsidP="00C6045E">
      <w:pPr>
        <w:rPr>
          <w:b/>
          <w:bCs/>
        </w:rPr>
      </w:pPr>
      <w:bookmarkStart w:id="20" w:name="_Toc247691506"/>
      <w:bookmarkStart w:id="21" w:name="_Toc314842487"/>
      <w:r w:rsidRPr="00940A89">
        <w:t>The approved Product Information (PI) current at the time this AusPAR was prepared can be found as Attachment 1. For the most recent Product Information please refer to the TGA website at &lt;</w:t>
      </w:r>
      <w:hyperlink r:id="rId14" w:history="1">
        <w:r w:rsidRPr="00940A89">
          <w:rPr>
            <w:rStyle w:val="Hyperlink"/>
          </w:rPr>
          <w:t>http://www.tga.gov.au/hp/information-medicines-pi.htm</w:t>
        </w:r>
      </w:hyperlink>
      <w:r w:rsidRPr="00940A89">
        <w:t>&gt;.</w:t>
      </w:r>
    </w:p>
    <w:p w:rsidR="004C67AA" w:rsidRPr="003602A9" w:rsidRDefault="004C67AA" w:rsidP="004C67AA">
      <w:pPr>
        <w:pStyle w:val="Heading2"/>
        <w:ind w:left="-11"/>
      </w:pPr>
      <w:bookmarkStart w:id="22" w:name="_Toc384807744"/>
      <w:bookmarkStart w:id="23" w:name="_Toc405974766"/>
      <w:r>
        <w:t>II. Quality findings</w:t>
      </w:r>
      <w:bookmarkEnd w:id="20"/>
      <w:bookmarkEnd w:id="21"/>
      <w:bookmarkEnd w:id="22"/>
      <w:bookmarkEnd w:id="23"/>
    </w:p>
    <w:p w:rsidR="004C67AA" w:rsidRDefault="004C67AA" w:rsidP="00C6045E">
      <w:pPr>
        <w:pStyle w:val="Heading3"/>
        <w:rPr>
          <w:b w:val="0"/>
          <w:bCs w:val="0"/>
        </w:rPr>
      </w:pPr>
      <w:bookmarkStart w:id="24" w:name="_Toc384807745"/>
      <w:bookmarkStart w:id="25" w:name="_Toc247691507"/>
      <w:bookmarkStart w:id="26" w:name="_Toc314842488"/>
      <w:bookmarkStart w:id="27" w:name="_Toc405974767"/>
      <w:r w:rsidRPr="00C6045E">
        <w:t>Introduction</w:t>
      </w:r>
      <w:bookmarkEnd w:id="24"/>
      <w:bookmarkEnd w:id="27"/>
    </w:p>
    <w:p w:rsidR="00173B7C" w:rsidRPr="00173B7C" w:rsidRDefault="00173B7C" w:rsidP="00C6045E">
      <w:bookmarkStart w:id="28" w:name="_Toc384807746"/>
      <w:r w:rsidRPr="00173B7C">
        <w:t xml:space="preserve">The </w:t>
      </w:r>
      <w:proofErr w:type="spellStart"/>
      <w:r w:rsidRPr="00173B7C">
        <w:t>vedolizumab</w:t>
      </w:r>
      <w:proofErr w:type="spellEnd"/>
      <w:r w:rsidRPr="00173B7C">
        <w:t xml:space="preserve"> monoclonal antibody </w:t>
      </w:r>
      <w:r>
        <w:t>is a humanis</w:t>
      </w:r>
      <w:r w:rsidRPr="00173B7C">
        <w:t>ed version of the murine monoclonal</w:t>
      </w:r>
      <w:r>
        <w:t xml:space="preserve"> </w:t>
      </w:r>
      <w:r w:rsidRPr="00173B7C">
        <w:t>antibody Act-1 targeting human α</w:t>
      </w:r>
      <w:r w:rsidRPr="00173B7C">
        <w:rPr>
          <w:vertAlign w:val="subscript"/>
        </w:rPr>
        <w:t>4</w:t>
      </w:r>
      <w:r w:rsidRPr="00173B7C">
        <w:t>β</w:t>
      </w:r>
      <w:r w:rsidRPr="00173B7C">
        <w:rPr>
          <w:vertAlign w:val="subscript"/>
        </w:rPr>
        <w:t>7</w:t>
      </w:r>
      <w:r>
        <w:t xml:space="preserve"> integrin. The humanis</w:t>
      </w:r>
      <w:r w:rsidRPr="00173B7C">
        <w:t>ed antibody combines the antigen recognition regions of Act-1 with human immunoglobulin frameworks and constant regions of a human IgG</w:t>
      </w:r>
      <w:r w:rsidRPr="00173B7C">
        <w:rPr>
          <w:vertAlign w:val="subscript"/>
        </w:rPr>
        <w:t>1</w:t>
      </w:r>
      <w:r w:rsidRPr="00173B7C">
        <w:t xml:space="preserve"> antibody. It is composed of two identical light chains of the kappa subclass and two identical heavy chains linked together by two </w:t>
      </w:r>
      <w:proofErr w:type="spellStart"/>
      <w:r w:rsidRPr="00173B7C">
        <w:t>disulfide</w:t>
      </w:r>
      <w:proofErr w:type="spellEnd"/>
      <w:r w:rsidRPr="00173B7C">
        <w:t xml:space="preserve"> bridges to form a Y-shaped molecule that is typical of IgG</w:t>
      </w:r>
      <w:r w:rsidRPr="00C21180">
        <w:rPr>
          <w:vertAlign w:val="subscript"/>
        </w:rPr>
        <w:t>1</w:t>
      </w:r>
      <w:r>
        <w:t xml:space="preserve"> </w:t>
      </w:r>
      <w:r w:rsidRPr="00173B7C">
        <w:t>immunoglobulins</w:t>
      </w:r>
      <w:r w:rsidR="00EB1626">
        <w:t>.</w:t>
      </w:r>
    </w:p>
    <w:p w:rsidR="004C67AA" w:rsidRDefault="004C67AA" w:rsidP="00C6045E">
      <w:pPr>
        <w:pStyle w:val="Heading3"/>
      </w:pPr>
      <w:bookmarkStart w:id="29" w:name="_Toc405974768"/>
      <w:r w:rsidRPr="008751DC">
        <w:t xml:space="preserve">Drug </w:t>
      </w:r>
      <w:r w:rsidRPr="00C6045E">
        <w:t>substance</w:t>
      </w:r>
      <w:r>
        <w:t xml:space="preserve"> (active ingredient)</w:t>
      </w:r>
      <w:bookmarkEnd w:id="25"/>
      <w:bookmarkEnd w:id="26"/>
      <w:bookmarkEnd w:id="28"/>
      <w:bookmarkEnd w:id="29"/>
    </w:p>
    <w:p w:rsidR="00173B7C" w:rsidRPr="00173B7C" w:rsidRDefault="00173B7C" w:rsidP="00C6045E">
      <w:pPr>
        <w:pStyle w:val="Heading4"/>
      </w:pPr>
      <w:r w:rsidRPr="00C6045E">
        <w:t>Manufacture</w:t>
      </w:r>
    </w:p>
    <w:p w:rsidR="00173B7C" w:rsidRPr="00173B7C" w:rsidRDefault="00173B7C" w:rsidP="00C6045E">
      <w:r w:rsidRPr="00173B7C">
        <w:t xml:space="preserve">The manufacturing process uses recombinant </w:t>
      </w:r>
      <w:r w:rsidR="001C7C64">
        <w:t>Chinese hamster ovary (</w:t>
      </w:r>
      <w:r w:rsidRPr="00173B7C">
        <w:t>CHO</w:t>
      </w:r>
      <w:r w:rsidR="001C7C64">
        <w:t>)</w:t>
      </w:r>
      <w:r w:rsidRPr="00173B7C">
        <w:t xml:space="preserve"> cells that secrete the antibody into the culture medium. The substance is subsequently purified and </w:t>
      </w:r>
      <w:r w:rsidR="001C7C64">
        <w:t xml:space="preserve">processed to </w:t>
      </w:r>
      <w:r w:rsidRPr="00173B7C">
        <w:t>final filtration</w:t>
      </w:r>
      <w:r w:rsidR="001C7C64">
        <w:t xml:space="preserve"> and </w:t>
      </w:r>
      <w:r w:rsidRPr="00173B7C">
        <w:t>bottling.</w:t>
      </w:r>
    </w:p>
    <w:p w:rsidR="00173B7C" w:rsidRPr="00173B7C" w:rsidRDefault="00173B7C" w:rsidP="00173B7C">
      <w:r w:rsidRPr="00173B7C">
        <w:lastRenderedPageBreak/>
        <w:t>Cell banking processes are satisfactory. All viral/prion safety issues have been addressed, including use of animal-derived excipients, supplements in the fermentation process and in cell banking.</w:t>
      </w:r>
    </w:p>
    <w:p w:rsidR="00173B7C" w:rsidRPr="00173B7C" w:rsidRDefault="001C7C64" w:rsidP="00C6045E">
      <w:r>
        <w:t>Information was provided on t</w:t>
      </w:r>
      <w:r w:rsidR="00173B7C" w:rsidRPr="00173B7C">
        <w:t>he proposed specifications, which control identity, content, potency, purity and other biological and physical properties of the drug substance relevant to the dose form and its intended clinical use.</w:t>
      </w:r>
      <w:r>
        <w:t xml:space="preserve"> </w:t>
      </w:r>
      <w:r w:rsidR="00173B7C" w:rsidRPr="00173B7C">
        <w:t xml:space="preserve">Appropriate validation data have been submitted in </w:t>
      </w:r>
      <w:r w:rsidR="00C6045E">
        <w:t>support of the test procedures.</w:t>
      </w:r>
    </w:p>
    <w:p w:rsidR="00173B7C" w:rsidRPr="00173B7C" w:rsidRDefault="00173B7C" w:rsidP="00C6045E">
      <w:pPr>
        <w:pStyle w:val="Heading4"/>
      </w:pPr>
      <w:r w:rsidRPr="00C6045E">
        <w:t>Stability</w:t>
      </w:r>
    </w:p>
    <w:p w:rsidR="00173B7C" w:rsidRPr="00173B7C" w:rsidRDefault="00173B7C" w:rsidP="00C6045E">
      <w:r w:rsidRPr="00173B7C">
        <w:t xml:space="preserve">Stability data have been generated under real time/stressed conditions to characterise the stability/degradation profile of the substance and to establish a shelf life. The real time data submitted support a shelf life of 48 months when stored at </w:t>
      </w:r>
      <w:r w:rsidR="00F23382">
        <w:t>≤</w:t>
      </w:r>
      <w:r w:rsidRPr="00173B7C">
        <w:t xml:space="preserve"> -60</w:t>
      </w:r>
      <w:r w:rsidR="001C7C64">
        <w:t>°</w:t>
      </w:r>
      <w:r w:rsidRPr="00173B7C">
        <w:t>C.</w:t>
      </w:r>
    </w:p>
    <w:p w:rsidR="004C67AA" w:rsidRDefault="004C67AA" w:rsidP="00C6045E">
      <w:pPr>
        <w:pStyle w:val="Heading3"/>
      </w:pPr>
      <w:bookmarkStart w:id="30" w:name="_Toc247691508"/>
      <w:bookmarkStart w:id="31" w:name="_Toc314842490"/>
      <w:bookmarkStart w:id="32" w:name="_Toc384807747"/>
      <w:bookmarkStart w:id="33" w:name="_Toc405974769"/>
      <w:r w:rsidRPr="008751DC">
        <w:t xml:space="preserve">Drug </w:t>
      </w:r>
      <w:r>
        <w:t>p</w:t>
      </w:r>
      <w:r w:rsidRPr="008751DC">
        <w:t>roduct</w:t>
      </w:r>
      <w:bookmarkEnd w:id="30"/>
      <w:bookmarkEnd w:id="31"/>
      <w:bookmarkEnd w:id="32"/>
      <w:bookmarkEnd w:id="33"/>
    </w:p>
    <w:p w:rsidR="00173B7C" w:rsidRPr="00173B7C" w:rsidRDefault="00173B7C" w:rsidP="00C6045E">
      <w:r w:rsidRPr="00173B7C">
        <w:t xml:space="preserve">When a vial of vedolizumab drug product is reconstituted with 4.8 mL </w:t>
      </w:r>
      <w:r w:rsidR="001C7C64">
        <w:t>water for injection</w:t>
      </w:r>
      <w:r w:rsidRPr="00173B7C">
        <w:t xml:space="preserve">, it contains 331.2 mg antibody in 5.52 mL solution. The reconstituted </w:t>
      </w:r>
      <w:r w:rsidR="001C7C64">
        <w:t xml:space="preserve">drug product </w:t>
      </w:r>
      <w:r w:rsidRPr="00173B7C">
        <w:t xml:space="preserve">is hypertonic. Prior to infusion the reconstituted </w:t>
      </w:r>
      <w:r w:rsidR="001C7C64" w:rsidRPr="001C7C64">
        <w:t xml:space="preserve">drug product </w:t>
      </w:r>
      <w:r w:rsidRPr="00173B7C">
        <w:t>is further diluted</w:t>
      </w:r>
      <w:r w:rsidR="001C7C64">
        <w:t>,</w:t>
      </w:r>
      <w:r w:rsidRPr="00173B7C">
        <w:t xml:space="preserve"> resulting </w:t>
      </w:r>
      <w:r w:rsidR="00435C49">
        <w:t xml:space="preserve">in </w:t>
      </w:r>
      <w:r w:rsidRPr="00173B7C">
        <w:t>an isotonic solution.</w:t>
      </w:r>
    </w:p>
    <w:p w:rsidR="00173B7C" w:rsidRPr="00173B7C" w:rsidRDefault="00173B7C" w:rsidP="00173B7C">
      <w:r w:rsidRPr="00173B7C">
        <w:t>The drug product is filled into 20 mL glass vials. The vials are closed with a rubber stopper with a coating on product contact surfaces. Vials are sealed with a</w:t>
      </w:r>
      <w:r w:rsidR="00407F16">
        <w:t>n</w:t>
      </w:r>
      <w:r w:rsidRPr="00173B7C">
        <w:t xml:space="preserve"> alumin</w:t>
      </w:r>
      <w:r w:rsidR="00EC0075">
        <w:t>i</w:t>
      </w:r>
      <w:r w:rsidRPr="00173B7C">
        <w:t>um seal with a plastic cap. Each pack contains one vial.</w:t>
      </w:r>
    </w:p>
    <w:p w:rsidR="00173B7C" w:rsidRPr="00173B7C" w:rsidRDefault="00173B7C" w:rsidP="00C6045E">
      <w:pPr>
        <w:pStyle w:val="Heading4"/>
      </w:pPr>
      <w:r w:rsidRPr="00C6045E">
        <w:t>Manufacture</w:t>
      </w:r>
    </w:p>
    <w:p w:rsidR="00173B7C" w:rsidRPr="00173B7C" w:rsidRDefault="00173B7C" w:rsidP="00C6045E">
      <w:r w:rsidRPr="00173B7C">
        <w:t>The drug product is sterilised using filtration. The manufacturing process includes sterile filtration, aseptic filling and partial stoppering, lyophilisation, stoppering and sealing of the vials.</w:t>
      </w:r>
    </w:p>
    <w:p w:rsidR="00173B7C" w:rsidRPr="00173B7C" w:rsidRDefault="00173B7C" w:rsidP="001C7C64">
      <w:pPr>
        <w:pStyle w:val="Heading4"/>
      </w:pPr>
      <w:r w:rsidRPr="00173B7C">
        <w:t>Specifications</w:t>
      </w:r>
    </w:p>
    <w:p w:rsidR="00173B7C" w:rsidRPr="00173B7C" w:rsidRDefault="001C7C64" w:rsidP="00C6045E">
      <w:r>
        <w:t xml:space="preserve">Information was provided on the </w:t>
      </w:r>
      <w:r w:rsidR="00173B7C" w:rsidRPr="00173B7C">
        <w:t>proposed specifications, which control identity, potency, purity, dose delivery and other physical, chemical and microbiological properties relevant to the clinical use of the product.</w:t>
      </w:r>
      <w:r>
        <w:t xml:space="preserve"> </w:t>
      </w:r>
      <w:r w:rsidR="00173B7C" w:rsidRPr="00173B7C">
        <w:t xml:space="preserve">Appropriate validation data have been submitted in support of the test procedures. </w:t>
      </w:r>
    </w:p>
    <w:p w:rsidR="00173B7C" w:rsidRPr="00C6045E" w:rsidRDefault="00173B7C" w:rsidP="00C6045E">
      <w:pPr>
        <w:pStyle w:val="Heading4"/>
      </w:pPr>
      <w:r w:rsidRPr="00173B7C">
        <w:t>Stability</w:t>
      </w:r>
    </w:p>
    <w:p w:rsidR="00173B7C" w:rsidRPr="00173B7C" w:rsidRDefault="00173B7C" w:rsidP="00C6045E">
      <w:r w:rsidRPr="00173B7C">
        <w:t>Stability data have been generated under real time/stressed conditions to characterise the sta</w:t>
      </w:r>
      <w:r w:rsidR="001C7C64">
        <w:t xml:space="preserve">bility profile of the product. </w:t>
      </w:r>
      <w:r w:rsidRPr="00173B7C">
        <w:t xml:space="preserve">The </w:t>
      </w:r>
      <w:r w:rsidR="00970A8A">
        <w:t>finally approved storage conditions are described in the PI (see Attachment 1).</w:t>
      </w:r>
    </w:p>
    <w:p w:rsidR="004C67AA" w:rsidRDefault="004C67AA" w:rsidP="00C6045E">
      <w:pPr>
        <w:pStyle w:val="Heading3"/>
      </w:pPr>
      <w:bookmarkStart w:id="34" w:name="_Toc314842491"/>
      <w:bookmarkStart w:id="35" w:name="_Toc384807748"/>
      <w:bookmarkStart w:id="36" w:name="_Toc405974770"/>
      <w:proofErr w:type="spellStart"/>
      <w:r w:rsidRPr="00C6045E">
        <w:t>Biopharmaceutics</w:t>
      </w:r>
      <w:bookmarkEnd w:id="34"/>
      <w:bookmarkEnd w:id="35"/>
      <w:bookmarkEnd w:id="36"/>
      <w:proofErr w:type="spellEnd"/>
    </w:p>
    <w:p w:rsidR="004C67AA" w:rsidRPr="00173B7C" w:rsidRDefault="00173B7C" w:rsidP="00C6045E">
      <w:r w:rsidRPr="00173B7C">
        <w:t xml:space="preserve">Biopharmaceutic data are not required for this product as the product is for intravenous </w:t>
      </w:r>
      <w:r w:rsidR="005038E9">
        <w:t xml:space="preserve">(IV) </w:t>
      </w:r>
      <w:r w:rsidRPr="00173B7C">
        <w:t>infusion.</w:t>
      </w:r>
    </w:p>
    <w:p w:rsidR="004C67AA" w:rsidRPr="008751DC" w:rsidRDefault="004C67AA" w:rsidP="00C6045E">
      <w:pPr>
        <w:pStyle w:val="Heading3"/>
      </w:pPr>
      <w:bookmarkStart w:id="37" w:name="_Toc247691509"/>
      <w:bookmarkStart w:id="38" w:name="_Toc314842493"/>
      <w:bookmarkStart w:id="39" w:name="_Toc384807750"/>
      <w:bookmarkStart w:id="40" w:name="_Toc405974771"/>
      <w:r>
        <w:t xml:space="preserve">Quality </w:t>
      </w:r>
      <w:r w:rsidRPr="00C6045E">
        <w:t>summary</w:t>
      </w:r>
      <w:r>
        <w:t xml:space="preserve"> and conclusions</w:t>
      </w:r>
      <w:bookmarkEnd w:id="37"/>
      <w:bookmarkEnd w:id="38"/>
      <w:bookmarkEnd w:id="39"/>
      <w:bookmarkEnd w:id="40"/>
    </w:p>
    <w:p w:rsidR="00173B7C" w:rsidRPr="00173B7C" w:rsidRDefault="00173B7C" w:rsidP="00C6045E">
      <w:r w:rsidRPr="00173B7C">
        <w:t xml:space="preserve">The administrative, product usage, chemical, pharmaceutical, microbiological data submitted in support of this application have been evaluated in accordance with the </w:t>
      </w:r>
      <w:r w:rsidRPr="00173B7C">
        <w:lastRenderedPageBreak/>
        <w:t xml:space="preserve">Australian legislation, </w:t>
      </w:r>
      <w:proofErr w:type="spellStart"/>
      <w:r w:rsidRPr="00173B7C">
        <w:t>pharmacopoeial</w:t>
      </w:r>
      <w:proofErr w:type="spellEnd"/>
      <w:r w:rsidRPr="00173B7C">
        <w:t xml:space="preserve"> standards and relevant technical guidelines adopted by the TGA.</w:t>
      </w:r>
    </w:p>
    <w:p w:rsidR="00173B7C" w:rsidRPr="00173B7C" w:rsidRDefault="00173B7C" w:rsidP="00C6045E">
      <w:r w:rsidRPr="00173B7C">
        <w:t xml:space="preserve">There are no Module 3 </w:t>
      </w:r>
      <w:r w:rsidR="00970A8A">
        <w:t xml:space="preserve">(quality) </w:t>
      </w:r>
      <w:r w:rsidRPr="00173B7C">
        <w:t>issues outstanding.</w:t>
      </w:r>
    </w:p>
    <w:p w:rsidR="00173B7C" w:rsidRPr="00173B7C" w:rsidRDefault="00173B7C" w:rsidP="00C6045E">
      <w:r w:rsidRPr="00970A8A">
        <w:t xml:space="preserve">The Module 3 </w:t>
      </w:r>
      <w:r w:rsidR="00970A8A">
        <w:t xml:space="preserve">(quality) </w:t>
      </w:r>
      <w:r w:rsidRPr="00970A8A">
        <w:t xml:space="preserve">evaluators recommend that </w:t>
      </w:r>
      <w:proofErr w:type="spellStart"/>
      <w:r w:rsidRPr="00970A8A">
        <w:t>E</w:t>
      </w:r>
      <w:r w:rsidR="00970A8A" w:rsidRPr="00970A8A">
        <w:t>ntyvio</w:t>
      </w:r>
      <w:proofErr w:type="spellEnd"/>
      <w:r w:rsidRPr="00970A8A">
        <w:t xml:space="preserve"> </w:t>
      </w:r>
      <w:proofErr w:type="spellStart"/>
      <w:r w:rsidRPr="00970A8A">
        <w:t>vedolizumab</w:t>
      </w:r>
      <w:proofErr w:type="spellEnd"/>
      <w:r w:rsidRPr="00970A8A">
        <w:t xml:space="preserve"> 300 mg powder for injection vial and </w:t>
      </w:r>
      <w:proofErr w:type="spellStart"/>
      <w:r w:rsidRPr="00970A8A">
        <w:t>K</w:t>
      </w:r>
      <w:r w:rsidR="00970A8A">
        <w:t>ynteles</w:t>
      </w:r>
      <w:proofErr w:type="spellEnd"/>
      <w:r w:rsidR="00970A8A">
        <w:t xml:space="preserve"> </w:t>
      </w:r>
      <w:proofErr w:type="spellStart"/>
      <w:r w:rsidRPr="00970A8A">
        <w:t>vedolizumab</w:t>
      </w:r>
      <w:proofErr w:type="spellEnd"/>
      <w:r w:rsidRPr="00970A8A">
        <w:t xml:space="preserve"> 300 mg powder for injection vial should be approved.</w:t>
      </w:r>
      <w:r w:rsidR="00300110">
        <w:t xml:space="preserve"> </w:t>
      </w:r>
      <w:r w:rsidRPr="00173B7C">
        <w:t>Should the product be approved, conditions of registration</w:t>
      </w:r>
      <w:r w:rsidR="005038E9">
        <w:rPr>
          <w:rStyle w:val="FootnoteReference"/>
        </w:rPr>
        <w:footnoteReference w:id="2"/>
      </w:r>
      <w:r w:rsidRPr="00173B7C">
        <w:t xml:space="preserve"> should be applied</w:t>
      </w:r>
      <w:r w:rsidR="006F06BE">
        <w:t>.</w:t>
      </w:r>
    </w:p>
    <w:p w:rsidR="004C67AA" w:rsidRDefault="004C67AA" w:rsidP="00C6045E">
      <w:pPr>
        <w:pStyle w:val="Heading2"/>
      </w:pPr>
      <w:bookmarkStart w:id="41" w:name="_Toc196046439"/>
      <w:bookmarkStart w:id="42" w:name="_Toc247691510"/>
      <w:bookmarkStart w:id="43" w:name="_Toc314842494"/>
      <w:bookmarkStart w:id="44" w:name="_Toc384807751"/>
      <w:bookmarkStart w:id="45" w:name="_Toc405974772"/>
      <w:r>
        <w:t xml:space="preserve">III. </w:t>
      </w:r>
      <w:r w:rsidRPr="00C6045E">
        <w:t>Nonclinical</w:t>
      </w:r>
      <w:bookmarkEnd w:id="41"/>
      <w:r>
        <w:t xml:space="preserve"> findings</w:t>
      </w:r>
      <w:bookmarkEnd w:id="42"/>
      <w:bookmarkEnd w:id="43"/>
      <w:bookmarkEnd w:id="44"/>
      <w:bookmarkEnd w:id="45"/>
    </w:p>
    <w:p w:rsidR="004C67AA" w:rsidRDefault="004C67AA" w:rsidP="004C67AA">
      <w:pPr>
        <w:pStyle w:val="Heading3"/>
      </w:pPr>
      <w:bookmarkStart w:id="46" w:name="_Toc247691511"/>
      <w:bookmarkStart w:id="47" w:name="_Toc314842495"/>
      <w:bookmarkStart w:id="48" w:name="_Toc384807752"/>
      <w:bookmarkStart w:id="49" w:name="_Toc405974773"/>
      <w:r>
        <w:t>Introduction</w:t>
      </w:r>
      <w:bookmarkEnd w:id="46"/>
      <w:bookmarkEnd w:id="47"/>
      <w:bookmarkEnd w:id="48"/>
      <w:bookmarkEnd w:id="49"/>
    </w:p>
    <w:p w:rsidR="004C67AA" w:rsidRPr="0019628F" w:rsidRDefault="009D19AE" w:rsidP="00C6045E">
      <w:r w:rsidRPr="0019628F">
        <w:t>T</w:t>
      </w:r>
      <w:r w:rsidR="006A26B0" w:rsidRPr="0019628F">
        <w:t xml:space="preserve">he submitted nonclinical dossier was adequate and appropriate for a monoclonal antibody. Studies were generally well conducted and documented. Pivotal toxicity, cross-reactivity and </w:t>
      </w:r>
      <w:proofErr w:type="spellStart"/>
      <w:r w:rsidR="006A26B0" w:rsidRPr="0019628F">
        <w:t>immunotoxicity</w:t>
      </w:r>
      <w:proofErr w:type="spellEnd"/>
      <w:r w:rsidR="006A26B0" w:rsidRPr="0019628F">
        <w:t xml:space="preserve"> studies, and the cardiovascular safety pharmacology study were all compliant</w:t>
      </w:r>
      <w:r w:rsidRPr="0019628F">
        <w:t xml:space="preserve"> with Good Laboratory Practice (GLP) principles</w:t>
      </w:r>
      <w:r w:rsidR="006A26B0" w:rsidRPr="0019628F">
        <w:t>.</w:t>
      </w:r>
    </w:p>
    <w:p w:rsidR="004C67AA" w:rsidRDefault="004C67AA" w:rsidP="004C67AA">
      <w:pPr>
        <w:pStyle w:val="Heading3"/>
      </w:pPr>
      <w:bookmarkStart w:id="50" w:name="_Toc247691512"/>
      <w:bookmarkStart w:id="51" w:name="_Toc314842496"/>
      <w:bookmarkStart w:id="52" w:name="_Toc384807753"/>
      <w:bookmarkStart w:id="53" w:name="_Toc405974774"/>
      <w:r w:rsidRPr="00020030">
        <w:t>Pharmacology</w:t>
      </w:r>
      <w:bookmarkEnd w:id="50"/>
      <w:bookmarkEnd w:id="51"/>
      <w:bookmarkEnd w:id="52"/>
      <w:bookmarkEnd w:id="53"/>
    </w:p>
    <w:p w:rsidR="006A26B0" w:rsidRPr="009D19AE" w:rsidRDefault="006A26B0" w:rsidP="009D19AE">
      <w:pPr>
        <w:pStyle w:val="Heading4"/>
      </w:pPr>
      <w:r w:rsidRPr="009D19AE">
        <w:t>Primary pharmacology</w:t>
      </w:r>
    </w:p>
    <w:p w:rsidR="006A26B0" w:rsidRPr="009D19AE" w:rsidRDefault="006A26B0" w:rsidP="00C6045E">
      <w:r w:rsidRPr="009D19AE">
        <w:t xml:space="preserve">Crohn’s disease </w:t>
      </w:r>
      <w:r w:rsidR="009E5210">
        <w:t xml:space="preserve">(CD) </w:t>
      </w:r>
      <w:r w:rsidRPr="009D19AE">
        <w:t>and ulcerative colitis</w:t>
      </w:r>
      <w:r w:rsidR="009E5210">
        <w:t xml:space="preserve"> (UC)</w:t>
      </w:r>
      <w:r w:rsidRPr="009D19AE">
        <w:t xml:space="preserve">, the main forms of inflammatory bowel disease (IBD), are chronic inflammatory disorders of the intestine and/or colon. Although the aetiology of these diseases has not been fully elucidated, the ability of the affected individual to regulate the movement of T cells into the gut-associated lymphoid tissue (GALT, which includes </w:t>
      </w:r>
      <w:proofErr w:type="spellStart"/>
      <w:r w:rsidRPr="009D19AE">
        <w:t>Peyer’s</w:t>
      </w:r>
      <w:proofErr w:type="spellEnd"/>
      <w:r w:rsidRPr="009D19AE">
        <w:t xml:space="preserve"> patches, lymphocytes in the lamina </w:t>
      </w:r>
      <w:proofErr w:type="spellStart"/>
      <w:r w:rsidRPr="009D19AE">
        <w:t>propria</w:t>
      </w:r>
      <w:proofErr w:type="spellEnd"/>
      <w:r w:rsidRPr="009D19AE">
        <w:t xml:space="preserve"> and intra-epithelial lymphocytes of the intestine), gut-draining mesenteric lymph nodes and gut is increasingly recognised of importance in the induction and perpetuation of chronic intestinal inflammation (</w:t>
      </w:r>
      <w:proofErr w:type="spellStart"/>
      <w:r w:rsidRPr="009D19AE">
        <w:t>Koboziev</w:t>
      </w:r>
      <w:proofErr w:type="spellEnd"/>
      <w:r w:rsidRPr="009D19AE">
        <w:t xml:space="preserve"> et al., 2010</w:t>
      </w:r>
      <w:r w:rsidR="004C52F2">
        <w:rPr>
          <w:rStyle w:val="FootnoteReference"/>
        </w:rPr>
        <w:footnoteReference w:id="3"/>
      </w:r>
      <w:r w:rsidRPr="009D19AE">
        <w:t xml:space="preserve">). To mount a protective immune response to pathogens entering the gut, intravascular naïve T cells must home to the </w:t>
      </w:r>
      <w:r w:rsidR="006929DF">
        <w:t xml:space="preserve">GI </w:t>
      </w:r>
      <w:r w:rsidR="00CA7BD9" w:rsidRPr="00CA7BD9">
        <w:t xml:space="preserve">tract </w:t>
      </w:r>
      <w:r w:rsidR="00CA7BD9">
        <w:t>(</w:t>
      </w:r>
      <w:r w:rsidRPr="009D19AE">
        <w:t>GIT</w:t>
      </w:r>
      <w:r w:rsidR="00CA7BD9">
        <w:t>)</w:t>
      </w:r>
      <w:r w:rsidRPr="009D19AE">
        <w:t xml:space="preserve"> inductive sites (the GALT and gut-draining mesenteric lymph nodes) where they undergo antigen-driven priming/activation, polarisation and expansion to yield effector/memory cells which exit the lymphoid tissue via the efferent lymphatics, enter the systemic circulation, and home to the gut where they help to destroy the invading pathogens (see </w:t>
      </w:r>
      <w:proofErr w:type="spellStart"/>
      <w:r w:rsidRPr="009D19AE">
        <w:t>Koboziev</w:t>
      </w:r>
      <w:proofErr w:type="spellEnd"/>
      <w:r w:rsidRPr="009D19AE">
        <w:t xml:space="preserve"> et al., 2010). Several studies suggest that in the absence of appropriate regulatory mechanisms, this same sequence of events may occur in response to commensal (</w:t>
      </w:r>
      <w:proofErr w:type="spellStart"/>
      <w:r w:rsidRPr="009D19AE">
        <w:t>nonpathogenic</w:t>
      </w:r>
      <w:proofErr w:type="spellEnd"/>
      <w:r w:rsidRPr="009D19AE">
        <w:t xml:space="preserve">) bacteria resulting in enteric antigen-dependent induction of chronic intestinal inflammation. The functioning of the immune system is characterised by regionalisation at multiple levels. Thus, while naïve lymphocytes recirculate primarily through secondary lymphoid organs, after infection, most antigen-specific memory T cells reside in </w:t>
      </w:r>
      <w:proofErr w:type="spellStart"/>
      <w:r w:rsidRPr="009D19AE">
        <w:t>nonlymphoid</w:t>
      </w:r>
      <w:proofErr w:type="spellEnd"/>
      <w:r w:rsidRPr="009D19AE">
        <w:t xml:space="preserve"> tissues and preferentially migrate through tissues in which the antigen was initially encountered such as the gut, skin, </w:t>
      </w:r>
      <w:r w:rsidR="001757CF">
        <w:t>central nervous system (</w:t>
      </w:r>
      <w:r w:rsidRPr="009D19AE">
        <w:t>CNS</w:t>
      </w:r>
      <w:r w:rsidR="001757CF">
        <w:t>)</w:t>
      </w:r>
      <w:r w:rsidRPr="009D19AE">
        <w:t xml:space="preserve"> and lung (Sheridan and </w:t>
      </w:r>
      <w:proofErr w:type="spellStart"/>
      <w:r w:rsidRPr="009D19AE">
        <w:t>Lefranҫois</w:t>
      </w:r>
      <w:proofErr w:type="spellEnd"/>
      <w:r w:rsidRPr="009D19AE">
        <w:t>, 2011</w:t>
      </w:r>
      <w:r w:rsidR="004C52F2">
        <w:rPr>
          <w:rStyle w:val="FootnoteReference"/>
        </w:rPr>
        <w:footnoteReference w:id="4"/>
      </w:r>
      <w:r w:rsidRPr="009D19AE">
        <w:t>).</w:t>
      </w:r>
    </w:p>
    <w:p w:rsidR="006A26B0" w:rsidRPr="0019628F" w:rsidRDefault="006A26B0" w:rsidP="00C6045E">
      <w:proofErr w:type="spellStart"/>
      <w:r w:rsidRPr="0019628F">
        <w:t>Integrins</w:t>
      </w:r>
      <w:proofErr w:type="spellEnd"/>
      <w:r w:rsidRPr="0019628F">
        <w:t xml:space="preserve"> are transmembrane receptors that mediate the attachment between a cell and its surroundings. They also act as cellular sensors and signalling molecules. It is now well established that the recruitment of leukocytes from the blood into virtually every tissue is regulated by sequential engagement of </w:t>
      </w:r>
      <w:proofErr w:type="spellStart"/>
      <w:r w:rsidRPr="0019628F">
        <w:t>integrins</w:t>
      </w:r>
      <w:proofErr w:type="spellEnd"/>
      <w:r w:rsidRPr="0019628F">
        <w:t xml:space="preserve"> and adhesion molecules on leukocytes </w:t>
      </w:r>
      <w:r w:rsidRPr="0019628F">
        <w:lastRenderedPageBreak/>
        <w:t xml:space="preserve">and endothelial cells (see von </w:t>
      </w:r>
      <w:proofErr w:type="spellStart"/>
      <w:r w:rsidRPr="0019628F">
        <w:t>Andrian</w:t>
      </w:r>
      <w:proofErr w:type="spellEnd"/>
      <w:r w:rsidRPr="0019628F">
        <w:t xml:space="preserve"> and </w:t>
      </w:r>
      <w:proofErr w:type="spellStart"/>
      <w:r w:rsidRPr="0019628F">
        <w:t>Engelhardt</w:t>
      </w:r>
      <w:proofErr w:type="spellEnd"/>
      <w:r w:rsidRPr="0019628F">
        <w:t>, 2003</w:t>
      </w:r>
      <w:r w:rsidR="004C52F2">
        <w:rPr>
          <w:rStyle w:val="FootnoteReference"/>
        </w:rPr>
        <w:footnoteReference w:id="5"/>
      </w:r>
      <w:r w:rsidRPr="0019628F">
        <w:t xml:space="preserve">). All </w:t>
      </w:r>
      <w:proofErr w:type="spellStart"/>
      <w:r w:rsidRPr="0019628F">
        <w:t>integrins</w:t>
      </w:r>
      <w:proofErr w:type="spellEnd"/>
      <w:r w:rsidRPr="0019628F">
        <w:t xml:space="preserve"> are composed of </w:t>
      </w:r>
      <w:proofErr w:type="spellStart"/>
      <w:r w:rsidRPr="0019628F">
        <w:t>noncovalently</w:t>
      </w:r>
      <w:proofErr w:type="spellEnd"/>
      <w:r w:rsidRPr="0019628F">
        <w:t xml:space="preserve"> linked α and β chains. The α</w:t>
      </w:r>
      <w:r w:rsidRPr="001757CF">
        <w:rPr>
          <w:vertAlign w:val="subscript"/>
        </w:rPr>
        <w:t>4</w:t>
      </w:r>
      <w:r w:rsidRPr="0019628F">
        <w:t xml:space="preserve"> integrin chain </w:t>
      </w:r>
      <w:proofErr w:type="spellStart"/>
      <w:r w:rsidRPr="0019628F">
        <w:t>dimerises</w:t>
      </w:r>
      <w:proofErr w:type="spellEnd"/>
      <w:r w:rsidRPr="0019628F">
        <w:t xml:space="preserve"> with either the β</w:t>
      </w:r>
      <w:r w:rsidRPr="002E1456">
        <w:rPr>
          <w:vertAlign w:val="subscript"/>
        </w:rPr>
        <w:t>1</w:t>
      </w:r>
      <w:r w:rsidRPr="0019628F">
        <w:t xml:space="preserve"> chain or the β</w:t>
      </w:r>
      <w:r w:rsidRPr="002E1456">
        <w:rPr>
          <w:vertAlign w:val="subscript"/>
        </w:rPr>
        <w:t>7</w:t>
      </w:r>
      <w:r w:rsidRPr="0019628F">
        <w:t xml:space="preserve"> chain, while the β</w:t>
      </w:r>
      <w:r w:rsidRPr="002E1456">
        <w:rPr>
          <w:vertAlign w:val="subscript"/>
        </w:rPr>
        <w:t>7</w:t>
      </w:r>
      <w:r w:rsidRPr="0019628F">
        <w:t xml:space="preserve"> integrin chain </w:t>
      </w:r>
      <w:proofErr w:type="spellStart"/>
      <w:r w:rsidRPr="0019628F">
        <w:t>dimerises</w:t>
      </w:r>
      <w:proofErr w:type="spellEnd"/>
      <w:r w:rsidRPr="0019628F">
        <w:t xml:space="preserve"> with the α</w:t>
      </w:r>
      <w:r w:rsidRPr="002E1456">
        <w:rPr>
          <w:vertAlign w:val="subscript"/>
        </w:rPr>
        <w:t>E</w:t>
      </w:r>
      <w:r w:rsidRPr="0019628F">
        <w:t xml:space="preserve"> chain as well as the α</w:t>
      </w:r>
      <w:r w:rsidRPr="002E1456">
        <w:rPr>
          <w:vertAlign w:val="subscript"/>
        </w:rPr>
        <w:t>4</w:t>
      </w:r>
      <w:r w:rsidR="00C6045E">
        <w:t xml:space="preserve"> chain.</w:t>
      </w:r>
    </w:p>
    <w:p w:rsidR="006A26B0" w:rsidRPr="0019628F" w:rsidRDefault="006A26B0" w:rsidP="00C6045E">
      <w:r w:rsidRPr="0019628F">
        <w:t>The main ligand for α</w:t>
      </w:r>
      <w:r w:rsidRPr="002E1456">
        <w:rPr>
          <w:vertAlign w:val="subscript"/>
        </w:rPr>
        <w:t>4</w:t>
      </w:r>
      <w:r w:rsidRPr="0019628F">
        <w:t>β</w:t>
      </w:r>
      <w:r w:rsidRPr="002E1456">
        <w:rPr>
          <w:vertAlign w:val="subscript"/>
        </w:rPr>
        <w:t>7</w:t>
      </w:r>
      <w:r w:rsidRPr="0019628F">
        <w:t xml:space="preserve"> is mucosal </w:t>
      </w:r>
      <w:proofErr w:type="spellStart"/>
      <w:r w:rsidRPr="0019628F">
        <w:t>addressin</w:t>
      </w:r>
      <w:proofErr w:type="spellEnd"/>
      <w:r w:rsidRPr="0019628F">
        <w:t>-cell adhesion molecule 1 (MAdCAM-1), while that for α</w:t>
      </w:r>
      <w:r w:rsidRPr="001757CF">
        <w:rPr>
          <w:vertAlign w:val="subscript"/>
        </w:rPr>
        <w:t>4</w:t>
      </w:r>
      <w:r w:rsidRPr="0019628F">
        <w:t>β</w:t>
      </w:r>
      <w:r w:rsidRPr="001757CF">
        <w:rPr>
          <w:vertAlign w:val="subscript"/>
        </w:rPr>
        <w:t>1</w:t>
      </w:r>
      <w:r w:rsidRPr="0019628F">
        <w:t xml:space="preserve"> is vascular-cell adhesion molecule 1 (VCAM-1). MAdCAM-1 is expressed selectively on high endothelial </w:t>
      </w:r>
      <w:proofErr w:type="spellStart"/>
      <w:r w:rsidRPr="0019628F">
        <w:t>venules</w:t>
      </w:r>
      <w:proofErr w:type="spellEnd"/>
      <w:r w:rsidRPr="0019628F">
        <w:t xml:space="preserve"> (HEVs) within GALT and on gut lamina </w:t>
      </w:r>
      <w:proofErr w:type="spellStart"/>
      <w:r w:rsidRPr="0019628F">
        <w:t>propria</w:t>
      </w:r>
      <w:proofErr w:type="spellEnd"/>
      <w:r w:rsidRPr="0019628F">
        <w:t xml:space="preserve"> </w:t>
      </w:r>
      <w:proofErr w:type="spellStart"/>
      <w:r w:rsidRPr="0019628F">
        <w:t>venules</w:t>
      </w:r>
      <w:proofErr w:type="spellEnd"/>
      <w:r w:rsidRPr="0019628F">
        <w:t xml:space="preserve"> (</w:t>
      </w:r>
      <w:proofErr w:type="spellStart"/>
      <w:r w:rsidRPr="0019628F">
        <w:t>Erle</w:t>
      </w:r>
      <w:proofErr w:type="spellEnd"/>
      <w:r w:rsidRPr="0019628F">
        <w:t xml:space="preserve"> et al., 1994</w:t>
      </w:r>
      <w:r w:rsidR="004C52F2">
        <w:rPr>
          <w:rStyle w:val="FootnoteReference"/>
        </w:rPr>
        <w:footnoteReference w:id="6"/>
      </w:r>
      <w:r w:rsidRPr="0019628F">
        <w:t>; Berlin et al., 1993</w:t>
      </w:r>
      <w:r w:rsidR="004C52F2">
        <w:rPr>
          <w:rStyle w:val="FootnoteReference"/>
        </w:rPr>
        <w:footnoteReference w:id="7"/>
      </w:r>
      <w:r w:rsidRPr="0019628F">
        <w:t>). Thus, the α</w:t>
      </w:r>
      <w:r w:rsidRPr="001757CF">
        <w:rPr>
          <w:vertAlign w:val="subscript"/>
        </w:rPr>
        <w:t>4</w:t>
      </w:r>
      <w:r w:rsidRPr="0019628F">
        <w:t>β</w:t>
      </w:r>
      <w:r w:rsidRPr="001757CF">
        <w:rPr>
          <w:vertAlign w:val="subscript"/>
        </w:rPr>
        <w:t>7</w:t>
      </w:r>
      <w:r w:rsidRPr="0019628F">
        <w:t>–MAdCAM-1 pathway is important for the homing of naïve lymphocytes, which adhere to MAdCAM-1 in HEVs</w:t>
      </w:r>
      <w:r w:rsidRPr="009D19AE">
        <w:t xml:space="preserve"> </w:t>
      </w:r>
      <w:r w:rsidRPr="0019628F">
        <w:t xml:space="preserve">within GALT and the migration of gut-homing memory cells to the intestinal lamina </w:t>
      </w:r>
      <w:proofErr w:type="spellStart"/>
      <w:r w:rsidRPr="0019628F">
        <w:t>propria</w:t>
      </w:r>
      <w:proofErr w:type="spellEnd"/>
      <w:r w:rsidRPr="0019628F">
        <w:t xml:space="preserve"> (von </w:t>
      </w:r>
      <w:proofErr w:type="spellStart"/>
      <w:r w:rsidRPr="0019628F">
        <w:t>Andrian</w:t>
      </w:r>
      <w:proofErr w:type="spellEnd"/>
      <w:r w:rsidRPr="0019628F">
        <w:t xml:space="preserve"> and </w:t>
      </w:r>
      <w:proofErr w:type="spellStart"/>
      <w:r w:rsidRPr="0019628F">
        <w:t>Engelhardt</w:t>
      </w:r>
      <w:proofErr w:type="spellEnd"/>
      <w:r w:rsidRPr="0019628F">
        <w:t>, 2003). In contrast, the molecular interactions required for lymphocytes to enter the CNS (and some other organs) appear to be mediated mainly by α</w:t>
      </w:r>
      <w:r w:rsidRPr="001757CF">
        <w:rPr>
          <w:vertAlign w:val="subscript"/>
        </w:rPr>
        <w:t>4</w:t>
      </w:r>
      <w:r w:rsidRPr="0019628F">
        <w:t>β</w:t>
      </w:r>
      <w:r w:rsidRPr="001757CF">
        <w:rPr>
          <w:vertAlign w:val="subscript"/>
        </w:rPr>
        <w:t>1</w:t>
      </w:r>
      <w:r w:rsidR="00C6045E">
        <w:t xml:space="preserve"> and VCAM-1.</w:t>
      </w:r>
    </w:p>
    <w:p w:rsidR="006A26B0" w:rsidRPr="0019628F" w:rsidRDefault="006A26B0" w:rsidP="00C6045E">
      <w:r w:rsidRPr="0019628F">
        <w:t>Vedolizumab was shown to bind to human integrin α</w:t>
      </w:r>
      <w:r w:rsidRPr="001757CF">
        <w:rPr>
          <w:vertAlign w:val="subscript"/>
        </w:rPr>
        <w:t>4</w:t>
      </w:r>
      <w:r w:rsidRPr="0019628F">
        <w:t>β</w:t>
      </w:r>
      <w:r w:rsidRPr="001757CF">
        <w:rPr>
          <w:vertAlign w:val="subscript"/>
        </w:rPr>
        <w:t>7</w:t>
      </w:r>
      <w:r w:rsidRPr="0019628F">
        <w:t xml:space="preserve"> but not to </w:t>
      </w:r>
      <w:proofErr w:type="spellStart"/>
      <w:r w:rsidRPr="0019628F">
        <w:t>integrins</w:t>
      </w:r>
      <w:proofErr w:type="spellEnd"/>
      <w:r w:rsidRPr="0019628F">
        <w:t xml:space="preserve"> which share a subunit with α</w:t>
      </w:r>
      <w:r w:rsidRPr="001757CF">
        <w:rPr>
          <w:vertAlign w:val="subscript"/>
        </w:rPr>
        <w:t>4</w:t>
      </w:r>
      <w:r w:rsidRPr="0019628F">
        <w:t>β</w:t>
      </w:r>
      <w:r w:rsidRPr="001757CF">
        <w:rPr>
          <w:vertAlign w:val="subscript"/>
        </w:rPr>
        <w:t>7</w:t>
      </w:r>
      <w:r w:rsidRPr="0019628F">
        <w:t xml:space="preserve"> (α</w:t>
      </w:r>
      <w:r w:rsidRPr="001757CF">
        <w:rPr>
          <w:vertAlign w:val="subscript"/>
        </w:rPr>
        <w:t>4</w:t>
      </w:r>
      <w:r w:rsidRPr="0019628F">
        <w:t>β</w:t>
      </w:r>
      <w:r w:rsidRPr="001757CF">
        <w:rPr>
          <w:vertAlign w:val="subscript"/>
        </w:rPr>
        <w:t>1</w:t>
      </w:r>
      <w:r w:rsidRPr="0019628F">
        <w:t xml:space="preserve"> and α</w:t>
      </w:r>
      <w:r w:rsidRPr="001757CF">
        <w:rPr>
          <w:vertAlign w:val="subscript"/>
        </w:rPr>
        <w:t>E</w:t>
      </w:r>
      <w:r w:rsidRPr="0019628F">
        <w:t>β</w:t>
      </w:r>
      <w:r w:rsidRPr="001757CF">
        <w:rPr>
          <w:vertAlign w:val="subscript"/>
        </w:rPr>
        <w:t>7</w:t>
      </w:r>
      <w:r w:rsidRPr="0019628F">
        <w:t>), since it bound to RPM18866 cells which selectively express α</w:t>
      </w:r>
      <w:r w:rsidRPr="001757CF">
        <w:rPr>
          <w:vertAlign w:val="subscript"/>
        </w:rPr>
        <w:t>4</w:t>
      </w:r>
      <w:r w:rsidRPr="0019628F">
        <w:t>β</w:t>
      </w:r>
      <w:r w:rsidRPr="001757CF">
        <w:rPr>
          <w:vertAlign w:val="subscript"/>
        </w:rPr>
        <w:t>7</w:t>
      </w:r>
      <w:r w:rsidRPr="0019628F">
        <w:t>, and not to RAMOS cells which express α</w:t>
      </w:r>
      <w:r w:rsidRPr="001757CF">
        <w:rPr>
          <w:vertAlign w:val="subscript"/>
        </w:rPr>
        <w:t>4</w:t>
      </w:r>
      <w:r w:rsidRPr="0019628F">
        <w:t>β</w:t>
      </w:r>
      <w:r w:rsidRPr="001757CF">
        <w:rPr>
          <w:vertAlign w:val="subscript"/>
        </w:rPr>
        <w:t>1</w:t>
      </w:r>
      <w:r w:rsidRPr="0019628F">
        <w:t xml:space="preserve"> integrin nor to α</w:t>
      </w:r>
      <w:r w:rsidRPr="001757CF">
        <w:rPr>
          <w:vertAlign w:val="subscript"/>
        </w:rPr>
        <w:t>E</w:t>
      </w:r>
      <w:r w:rsidRPr="0019628F">
        <w:t>β</w:t>
      </w:r>
      <w:r w:rsidRPr="001757CF">
        <w:rPr>
          <w:vertAlign w:val="subscript"/>
        </w:rPr>
        <w:t>7</w:t>
      </w:r>
      <w:r w:rsidRPr="0019628F">
        <w:t>-L1.2 cells which express α</w:t>
      </w:r>
      <w:r w:rsidRPr="001757CF">
        <w:rPr>
          <w:vertAlign w:val="subscript"/>
        </w:rPr>
        <w:t>E</w:t>
      </w:r>
      <w:r w:rsidRPr="0019628F">
        <w:t>β</w:t>
      </w:r>
      <w:r w:rsidRPr="001757CF">
        <w:rPr>
          <w:vertAlign w:val="subscript"/>
        </w:rPr>
        <w:t>7</w:t>
      </w:r>
      <w:r w:rsidRPr="0019628F">
        <w:t xml:space="preserve">. Consistent with this, vedolizumab did not inhibit the binding of RAMOS cells to their target adhesion molecules, VCAM-1 or </w:t>
      </w:r>
      <w:proofErr w:type="spellStart"/>
      <w:r w:rsidRPr="0019628F">
        <w:t>fibronectin</w:t>
      </w:r>
      <w:proofErr w:type="spellEnd"/>
      <w:r w:rsidRPr="0019628F">
        <w:t>.</w:t>
      </w:r>
    </w:p>
    <w:p w:rsidR="006A26B0" w:rsidRPr="0019628F" w:rsidRDefault="006A26B0" w:rsidP="00C6045E">
      <w:r w:rsidRPr="0019628F">
        <w:t>Although MAdCAM-1 is the main ligand for α</w:t>
      </w:r>
      <w:r w:rsidRPr="001757CF">
        <w:rPr>
          <w:vertAlign w:val="subscript"/>
        </w:rPr>
        <w:t>4</w:t>
      </w:r>
      <w:r w:rsidRPr="0019628F">
        <w:t>β</w:t>
      </w:r>
      <w:r w:rsidRPr="001757CF">
        <w:rPr>
          <w:vertAlign w:val="subscript"/>
        </w:rPr>
        <w:t>7</w:t>
      </w:r>
      <w:r w:rsidRPr="0019628F">
        <w:t xml:space="preserve">, VCAM-1 and </w:t>
      </w:r>
      <w:proofErr w:type="spellStart"/>
      <w:r w:rsidRPr="0019628F">
        <w:t>fibronectin</w:t>
      </w:r>
      <w:proofErr w:type="spellEnd"/>
      <w:r w:rsidRPr="0019628F">
        <w:t xml:space="preserve"> are also, although binding to </w:t>
      </w:r>
      <w:proofErr w:type="spellStart"/>
      <w:r w:rsidRPr="0019628F">
        <w:t>fibronectin</w:t>
      </w:r>
      <w:proofErr w:type="spellEnd"/>
      <w:r w:rsidRPr="0019628F">
        <w:t xml:space="preserve"> required activation by Mn</w:t>
      </w:r>
      <w:r w:rsidRPr="001757CF">
        <w:rPr>
          <w:vertAlign w:val="superscript"/>
        </w:rPr>
        <w:t>2+</w:t>
      </w:r>
      <w:r w:rsidR="00435C49">
        <w:t>. While MAdCAM-1 and VCAM</w:t>
      </w:r>
      <w:r w:rsidR="00435C49">
        <w:noBreakHyphen/>
      </w:r>
      <w:r w:rsidRPr="0019628F">
        <w:t xml:space="preserve">1 are found on the vascular lumen and mediate </w:t>
      </w:r>
      <w:proofErr w:type="spellStart"/>
      <w:r w:rsidRPr="0019628F">
        <w:t>diapedesis</w:t>
      </w:r>
      <w:proofErr w:type="spellEnd"/>
      <w:r w:rsidRPr="0019628F">
        <w:t xml:space="preserve">, </w:t>
      </w:r>
      <w:proofErr w:type="spellStart"/>
      <w:r w:rsidRPr="0019628F">
        <w:t>fibronectin</w:t>
      </w:r>
      <w:proofErr w:type="spellEnd"/>
      <w:r w:rsidRPr="0019628F">
        <w:t xml:space="preserve"> is a component of the extracellular matrix and does not mediate </w:t>
      </w:r>
      <w:proofErr w:type="spellStart"/>
      <w:r w:rsidRPr="0019628F">
        <w:t>diapedesis</w:t>
      </w:r>
      <w:proofErr w:type="spellEnd"/>
      <w:r w:rsidRPr="0019628F">
        <w:t xml:space="preserve">. While vedolizumab inhibited binding to MAdCAM-1 and </w:t>
      </w:r>
      <w:proofErr w:type="spellStart"/>
      <w:r w:rsidRPr="0019628F">
        <w:t>fibronectin</w:t>
      </w:r>
      <w:proofErr w:type="spellEnd"/>
      <w:r w:rsidRPr="0019628F">
        <w:t xml:space="preserve"> (the latter only in the presence of Mn</w:t>
      </w:r>
      <w:r w:rsidRPr="001757CF">
        <w:rPr>
          <w:vertAlign w:val="superscript"/>
        </w:rPr>
        <w:t>2+</w:t>
      </w:r>
      <w:r w:rsidR="00C21180">
        <w:t>)</w:t>
      </w:r>
      <w:r w:rsidRPr="0019628F">
        <w:t xml:space="preserve"> it did not inhibit binding to VCAM-1 (using RPM18866 cells). Thus, the effect of </w:t>
      </w:r>
      <w:proofErr w:type="spellStart"/>
      <w:r w:rsidRPr="0019628F">
        <w:t>vedolizumab</w:t>
      </w:r>
      <w:proofErr w:type="spellEnd"/>
      <w:r w:rsidRPr="0019628F">
        <w:t xml:space="preserve"> on </w:t>
      </w:r>
      <w:proofErr w:type="spellStart"/>
      <w:r w:rsidRPr="0019628F">
        <w:t>diapedesis</w:t>
      </w:r>
      <w:proofErr w:type="spellEnd"/>
      <w:r w:rsidRPr="0019628F">
        <w:t xml:space="preserve"> will be restricted to the GIT where MAdCAM-1 is selectively expressed. The effect of vedolizumab on the potential activities of α</w:t>
      </w:r>
      <w:r w:rsidRPr="001757CF">
        <w:rPr>
          <w:vertAlign w:val="subscript"/>
        </w:rPr>
        <w:t>4</w:t>
      </w:r>
      <w:r w:rsidRPr="0019628F">
        <w:t>β</w:t>
      </w:r>
      <w:r w:rsidRPr="001757CF">
        <w:rPr>
          <w:vertAlign w:val="subscript"/>
        </w:rPr>
        <w:t>7</w:t>
      </w:r>
      <w:r w:rsidRPr="0019628F">
        <w:t xml:space="preserve"> outside o</w:t>
      </w:r>
      <w:r w:rsidR="00C6045E">
        <w:t>f the vasculature is not clear.</w:t>
      </w:r>
    </w:p>
    <w:p w:rsidR="006A26B0" w:rsidRPr="0019628F" w:rsidRDefault="006A26B0" w:rsidP="00C6045E">
      <w:r w:rsidRPr="0019628F">
        <w:t>The primary pharmacological target of vedolizumab is subpopulations of human leukocytes bearing the α</w:t>
      </w:r>
      <w:r w:rsidRPr="001757CF">
        <w:rPr>
          <w:vertAlign w:val="subscript"/>
        </w:rPr>
        <w:t>4</w:t>
      </w:r>
      <w:r w:rsidRPr="0019628F">
        <w:t>β</w:t>
      </w:r>
      <w:r w:rsidRPr="001757CF">
        <w:rPr>
          <w:vertAlign w:val="subscript"/>
        </w:rPr>
        <w:t>7</w:t>
      </w:r>
      <w:r w:rsidRPr="0019628F">
        <w:t xml:space="preserve"> integrin. The expression of </w:t>
      </w:r>
      <w:proofErr w:type="spellStart"/>
      <w:r w:rsidRPr="0019628F">
        <w:t>integrins</w:t>
      </w:r>
      <w:proofErr w:type="spellEnd"/>
      <w:r w:rsidRPr="0019628F">
        <w:t xml:space="preserve"> α</w:t>
      </w:r>
      <w:r w:rsidRPr="001757CF">
        <w:rPr>
          <w:vertAlign w:val="subscript"/>
        </w:rPr>
        <w:t>4</w:t>
      </w:r>
      <w:r w:rsidRPr="0019628F">
        <w:t>β</w:t>
      </w:r>
      <w:r w:rsidRPr="001757CF">
        <w:rPr>
          <w:vertAlign w:val="subscript"/>
        </w:rPr>
        <w:t>7</w:t>
      </w:r>
      <w:r w:rsidRPr="0019628F">
        <w:t xml:space="preserve"> and α</w:t>
      </w:r>
      <w:r w:rsidRPr="001757CF">
        <w:rPr>
          <w:vertAlign w:val="subscript"/>
        </w:rPr>
        <w:t>4</w:t>
      </w:r>
      <w:r w:rsidRPr="0019628F">
        <w:t>β</w:t>
      </w:r>
      <w:r w:rsidRPr="001757CF">
        <w:rPr>
          <w:vertAlign w:val="subscript"/>
        </w:rPr>
        <w:t>1</w:t>
      </w:r>
      <w:r w:rsidRPr="0019628F">
        <w:t xml:space="preserve"> in human leukocyte subtypes was investigated to identify the subtypes whose function could potentially be inhibited by vedolizumab compared to antibodies that target α</w:t>
      </w:r>
      <w:r w:rsidRPr="001757CF">
        <w:rPr>
          <w:vertAlign w:val="subscript"/>
        </w:rPr>
        <w:t>4</w:t>
      </w:r>
      <w:r w:rsidRPr="0019628F">
        <w:t>β</w:t>
      </w:r>
      <w:r w:rsidRPr="001757CF">
        <w:rPr>
          <w:vertAlign w:val="subscript"/>
        </w:rPr>
        <w:t>1</w:t>
      </w:r>
      <w:r w:rsidRPr="001757CF">
        <w:t>.</w:t>
      </w:r>
      <w:r w:rsidRPr="0019628F">
        <w:t xml:space="preserve"> The α</w:t>
      </w:r>
      <w:r w:rsidRPr="001757CF">
        <w:rPr>
          <w:vertAlign w:val="subscript"/>
        </w:rPr>
        <w:t>4</w:t>
      </w:r>
      <w:r w:rsidRPr="0019628F">
        <w:t>β</w:t>
      </w:r>
      <w:r w:rsidRPr="001757CF">
        <w:rPr>
          <w:vertAlign w:val="subscript"/>
        </w:rPr>
        <w:t>1</w:t>
      </w:r>
      <w:r w:rsidRPr="0019628F">
        <w:t xml:space="preserve"> integrin is more widely expressed by leukocytes than the α</w:t>
      </w:r>
      <w:r w:rsidRPr="001757CF">
        <w:rPr>
          <w:vertAlign w:val="subscript"/>
        </w:rPr>
        <w:t>4</w:t>
      </w:r>
      <w:r w:rsidRPr="0019628F">
        <w:t>β</w:t>
      </w:r>
      <w:r w:rsidRPr="001757CF">
        <w:rPr>
          <w:vertAlign w:val="subscript"/>
        </w:rPr>
        <w:t>7</w:t>
      </w:r>
      <w:r w:rsidRPr="0019628F">
        <w:t xml:space="preserve"> integrin, and the same was the case for some lymphocyte subsets, as summarised in the following table.</w:t>
      </w:r>
    </w:p>
    <w:p w:rsidR="006A26B0" w:rsidRPr="0019628F" w:rsidRDefault="005038E9" w:rsidP="00C6045E">
      <w:pPr>
        <w:pStyle w:val="TableTitle"/>
      </w:pPr>
      <w:r>
        <w:t>Table 1</w:t>
      </w:r>
      <w:r w:rsidR="00AD00C8">
        <w:t>:</w:t>
      </w:r>
      <w:r w:rsidR="001757CF">
        <w:t xml:space="preserve"> </w:t>
      </w:r>
      <w:r w:rsidR="006A26B0" w:rsidRPr="0019628F">
        <w:t>Percentage of leukocyte subsets expressing α</w:t>
      </w:r>
      <w:r w:rsidR="006A26B0" w:rsidRPr="001757CF">
        <w:rPr>
          <w:vertAlign w:val="subscript"/>
        </w:rPr>
        <w:t>4</w:t>
      </w:r>
      <w:r w:rsidR="006A26B0" w:rsidRPr="0019628F">
        <w:t>β</w:t>
      </w:r>
      <w:r w:rsidR="006A26B0" w:rsidRPr="001757CF">
        <w:rPr>
          <w:vertAlign w:val="subscript"/>
        </w:rPr>
        <w:t>1</w:t>
      </w:r>
      <w:r w:rsidR="006A26B0" w:rsidRPr="0019628F">
        <w:t xml:space="preserve"> and α</w:t>
      </w:r>
      <w:r w:rsidR="006A26B0" w:rsidRPr="001757CF">
        <w:rPr>
          <w:vertAlign w:val="subscript"/>
        </w:rPr>
        <w:t>4</w:t>
      </w:r>
      <w:r w:rsidR="006A26B0" w:rsidRPr="0019628F">
        <w:t>β</w:t>
      </w:r>
      <w:r w:rsidR="006A26B0" w:rsidRPr="001757CF">
        <w:rPr>
          <w:vertAlign w:val="subscript"/>
        </w:rPr>
        <w:t>7</w:t>
      </w:r>
    </w:p>
    <w:tbl>
      <w:tblPr>
        <w:tblStyle w:val="TableTGAblue"/>
        <w:tblW w:w="0" w:type="auto"/>
        <w:tblLook w:val="04A0" w:firstRow="1" w:lastRow="0" w:firstColumn="1" w:lastColumn="0" w:noHBand="0" w:noVBand="1"/>
      </w:tblPr>
      <w:tblGrid>
        <w:gridCol w:w="2349"/>
        <w:gridCol w:w="2457"/>
        <w:gridCol w:w="2457"/>
      </w:tblGrid>
      <w:tr w:rsidR="006A26B0" w:rsidRPr="009D19AE" w:rsidTr="00C6045E">
        <w:trPr>
          <w:cnfStyle w:val="100000000000" w:firstRow="1" w:lastRow="0" w:firstColumn="0" w:lastColumn="0" w:oddVBand="0" w:evenVBand="0" w:oddHBand="0" w:evenHBand="0" w:firstRowFirstColumn="0" w:firstRowLastColumn="0" w:lastRowFirstColumn="0" w:lastRowLastColumn="0"/>
        </w:trPr>
        <w:tc>
          <w:tcPr>
            <w:tcW w:w="2349" w:type="dxa"/>
          </w:tcPr>
          <w:p w:rsidR="006A26B0" w:rsidRPr="001757CF" w:rsidRDefault="006A26B0" w:rsidP="00C6045E">
            <w:r w:rsidRPr="001757CF">
              <w:t>Cell type/subtype</w:t>
            </w:r>
          </w:p>
        </w:tc>
        <w:tc>
          <w:tcPr>
            <w:tcW w:w="2457" w:type="dxa"/>
          </w:tcPr>
          <w:p w:rsidR="006A26B0" w:rsidRPr="001757CF" w:rsidRDefault="006A26B0" w:rsidP="00C6045E">
            <w:r w:rsidRPr="001757CF">
              <w:t>Percentage of cells expressing α</w:t>
            </w:r>
            <w:r w:rsidRPr="001757CF">
              <w:rPr>
                <w:vertAlign w:val="subscript"/>
              </w:rPr>
              <w:t>4</w:t>
            </w:r>
            <w:r w:rsidRPr="001757CF">
              <w:t>β</w:t>
            </w:r>
            <w:r w:rsidRPr="001757CF">
              <w:rPr>
                <w:vertAlign w:val="subscript"/>
              </w:rPr>
              <w:t>1</w:t>
            </w:r>
          </w:p>
        </w:tc>
        <w:tc>
          <w:tcPr>
            <w:tcW w:w="2457" w:type="dxa"/>
          </w:tcPr>
          <w:p w:rsidR="006A26B0" w:rsidRPr="001757CF" w:rsidRDefault="006A26B0" w:rsidP="00C6045E">
            <w:r w:rsidRPr="001757CF">
              <w:t>Percentage of cells expressing α</w:t>
            </w:r>
            <w:r w:rsidRPr="001757CF">
              <w:rPr>
                <w:vertAlign w:val="subscript"/>
              </w:rPr>
              <w:t>4</w:t>
            </w:r>
            <w:r w:rsidRPr="001757CF">
              <w:t>β</w:t>
            </w:r>
            <w:r w:rsidRPr="001757CF">
              <w:rPr>
                <w:vertAlign w:val="subscript"/>
              </w:rPr>
              <w:t>7</w:t>
            </w:r>
          </w:p>
        </w:tc>
      </w:tr>
      <w:tr w:rsidR="006A26B0" w:rsidRPr="009D19AE" w:rsidTr="00C6045E">
        <w:tc>
          <w:tcPr>
            <w:tcW w:w="2349" w:type="dxa"/>
          </w:tcPr>
          <w:p w:rsidR="006A26B0" w:rsidRPr="001757CF" w:rsidRDefault="006A26B0" w:rsidP="00C6045E">
            <w:r w:rsidRPr="001757CF">
              <w:t>Lymphocytes</w:t>
            </w:r>
          </w:p>
        </w:tc>
        <w:tc>
          <w:tcPr>
            <w:tcW w:w="2457" w:type="dxa"/>
          </w:tcPr>
          <w:p w:rsidR="006A26B0" w:rsidRPr="001757CF" w:rsidRDefault="006A26B0" w:rsidP="00C6045E">
            <w:r w:rsidRPr="001757CF">
              <w:t>93</w:t>
            </w:r>
          </w:p>
        </w:tc>
        <w:tc>
          <w:tcPr>
            <w:tcW w:w="2457" w:type="dxa"/>
          </w:tcPr>
          <w:p w:rsidR="006A26B0" w:rsidRPr="001757CF" w:rsidRDefault="006A26B0" w:rsidP="00C6045E">
            <w:r w:rsidRPr="001757CF">
              <w:t>61</w:t>
            </w:r>
          </w:p>
        </w:tc>
      </w:tr>
      <w:tr w:rsidR="006A26B0" w:rsidRPr="009D19AE" w:rsidTr="00C6045E">
        <w:tc>
          <w:tcPr>
            <w:tcW w:w="2349" w:type="dxa"/>
          </w:tcPr>
          <w:p w:rsidR="006A26B0" w:rsidRPr="001757CF" w:rsidRDefault="006A26B0" w:rsidP="00C6045E">
            <w:r w:rsidRPr="001757CF">
              <w:t>Monocytes</w:t>
            </w:r>
          </w:p>
        </w:tc>
        <w:tc>
          <w:tcPr>
            <w:tcW w:w="2457" w:type="dxa"/>
          </w:tcPr>
          <w:p w:rsidR="006A26B0" w:rsidRPr="001757CF" w:rsidRDefault="006A26B0" w:rsidP="00C6045E">
            <w:r w:rsidRPr="001757CF">
              <w:t>99</w:t>
            </w:r>
          </w:p>
        </w:tc>
        <w:tc>
          <w:tcPr>
            <w:tcW w:w="2457" w:type="dxa"/>
          </w:tcPr>
          <w:p w:rsidR="006A26B0" w:rsidRPr="001757CF" w:rsidRDefault="006A26B0" w:rsidP="00C6045E">
            <w:r w:rsidRPr="001757CF">
              <w:t>15</w:t>
            </w:r>
          </w:p>
        </w:tc>
      </w:tr>
      <w:tr w:rsidR="006A26B0" w:rsidRPr="009D19AE" w:rsidTr="00C6045E">
        <w:tc>
          <w:tcPr>
            <w:tcW w:w="2349" w:type="dxa"/>
          </w:tcPr>
          <w:p w:rsidR="006A26B0" w:rsidRPr="001757CF" w:rsidRDefault="006A26B0" w:rsidP="00C6045E">
            <w:r w:rsidRPr="001757CF">
              <w:t>Neutrophils</w:t>
            </w:r>
          </w:p>
        </w:tc>
        <w:tc>
          <w:tcPr>
            <w:tcW w:w="2457" w:type="dxa"/>
          </w:tcPr>
          <w:p w:rsidR="006A26B0" w:rsidRPr="001757CF" w:rsidRDefault="006A26B0" w:rsidP="00C6045E">
            <w:r w:rsidRPr="001757CF">
              <w:t>0</w:t>
            </w:r>
          </w:p>
        </w:tc>
        <w:tc>
          <w:tcPr>
            <w:tcW w:w="2457" w:type="dxa"/>
          </w:tcPr>
          <w:p w:rsidR="006A26B0" w:rsidRPr="001757CF" w:rsidRDefault="006A26B0" w:rsidP="00C6045E">
            <w:r w:rsidRPr="001757CF">
              <w:t>0</w:t>
            </w:r>
          </w:p>
        </w:tc>
      </w:tr>
      <w:tr w:rsidR="006A26B0" w:rsidRPr="009D19AE" w:rsidTr="00C6045E">
        <w:tc>
          <w:tcPr>
            <w:tcW w:w="2349" w:type="dxa"/>
          </w:tcPr>
          <w:p w:rsidR="006A26B0" w:rsidRPr="001757CF" w:rsidRDefault="006A26B0" w:rsidP="00C6045E">
            <w:proofErr w:type="spellStart"/>
            <w:r w:rsidRPr="001757CF">
              <w:t>Eosinophils</w:t>
            </w:r>
            <w:proofErr w:type="spellEnd"/>
          </w:p>
        </w:tc>
        <w:tc>
          <w:tcPr>
            <w:tcW w:w="2457" w:type="dxa"/>
          </w:tcPr>
          <w:p w:rsidR="006A26B0" w:rsidRPr="001757CF" w:rsidRDefault="006A26B0" w:rsidP="00C6045E">
            <w:r w:rsidRPr="001757CF">
              <w:t>100</w:t>
            </w:r>
          </w:p>
        </w:tc>
        <w:tc>
          <w:tcPr>
            <w:tcW w:w="2457" w:type="dxa"/>
          </w:tcPr>
          <w:p w:rsidR="006A26B0" w:rsidRPr="001757CF" w:rsidRDefault="006A26B0" w:rsidP="00C6045E">
            <w:r w:rsidRPr="001757CF">
              <w:t>89</w:t>
            </w:r>
          </w:p>
        </w:tc>
      </w:tr>
      <w:tr w:rsidR="006A26B0" w:rsidRPr="009D19AE" w:rsidTr="00C6045E">
        <w:tc>
          <w:tcPr>
            <w:tcW w:w="2349" w:type="dxa"/>
          </w:tcPr>
          <w:p w:rsidR="006A26B0" w:rsidRPr="001757CF" w:rsidRDefault="006A26B0" w:rsidP="00C6045E">
            <w:r w:rsidRPr="001757CF">
              <w:lastRenderedPageBreak/>
              <w:t>CD56+ NK cells</w:t>
            </w:r>
          </w:p>
        </w:tc>
        <w:tc>
          <w:tcPr>
            <w:tcW w:w="2457" w:type="dxa"/>
          </w:tcPr>
          <w:p w:rsidR="006A26B0" w:rsidRPr="001757CF" w:rsidRDefault="006A26B0" w:rsidP="00C6045E">
            <w:r w:rsidRPr="001757CF">
              <w:t>100</w:t>
            </w:r>
          </w:p>
        </w:tc>
        <w:tc>
          <w:tcPr>
            <w:tcW w:w="2457" w:type="dxa"/>
          </w:tcPr>
          <w:p w:rsidR="006A26B0" w:rsidRPr="001757CF" w:rsidRDefault="006A26B0" w:rsidP="00C6045E">
            <w:r w:rsidRPr="001757CF">
              <w:t>64</w:t>
            </w:r>
          </w:p>
        </w:tc>
      </w:tr>
      <w:tr w:rsidR="006A26B0" w:rsidRPr="009D19AE" w:rsidTr="00C6045E">
        <w:tc>
          <w:tcPr>
            <w:tcW w:w="2349" w:type="dxa"/>
          </w:tcPr>
          <w:p w:rsidR="006A26B0" w:rsidRPr="001757CF" w:rsidRDefault="006A26B0" w:rsidP="00C6045E">
            <w:r w:rsidRPr="001757CF">
              <w:t>CD19+ B cells</w:t>
            </w:r>
          </w:p>
        </w:tc>
        <w:tc>
          <w:tcPr>
            <w:tcW w:w="2457" w:type="dxa"/>
          </w:tcPr>
          <w:p w:rsidR="006A26B0" w:rsidRPr="001757CF" w:rsidRDefault="006A26B0" w:rsidP="00C6045E">
            <w:r w:rsidRPr="001757CF">
              <w:t>100</w:t>
            </w:r>
          </w:p>
        </w:tc>
        <w:tc>
          <w:tcPr>
            <w:tcW w:w="2457" w:type="dxa"/>
          </w:tcPr>
          <w:p w:rsidR="006A26B0" w:rsidRPr="001757CF" w:rsidRDefault="006A26B0" w:rsidP="00C6045E">
            <w:r w:rsidRPr="001757CF">
              <w:t>88</w:t>
            </w:r>
          </w:p>
        </w:tc>
      </w:tr>
      <w:tr w:rsidR="006A26B0" w:rsidRPr="009D19AE" w:rsidTr="00C6045E">
        <w:tc>
          <w:tcPr>
            <w:tcW w:w="2349" w:type="dxa"/>
          </w:tcPr>
          <w:p w:rsidR="006A26B0" w:rsidRPr="001757CF" w:rsidRDefault="006A26B0" w:rsidP="00C6045E">
            <w:r w:rsidRPr="001757CF">
              <w:t>CD4+CD45RO-</w:t>
            </w:r>
          </w:p>
        </w:tc>
        <w:tc>
          <w:tcPr>
            <w:tcW w:w="2457" w:type="dxa"/>
          </w:tcPr>
          <w:p w:rsidR="006A26B0" w:rsidRPr="001757CF" w:rsidRDefault="006A26B0" w:rsidP="00C6045E">
            <w:r w:rsidRPr="001757CF">
              <w:t>91</w:t>
            </w:r>
          </w:p>
        </w:tc>
        <w:tc>
          <w:tcPr>
            <w:tcW w:w="2457" w:type="dxa"/>
          </w:tcPr>
          <w:p w:rsidR="006A26B0" w:rsidRPr="001757CF" w:rsidRDefault="006A26B0" w:rsidP="00C6045E">
            <w:r w:rsidRPr="001757CF">
              <w:t>73</w:t>
            </w:r>
          </w:p>
        </w:tc>
      </w:tr>
      <w:tr w:rsidR="006A26B0" w:rsidRPr="009D19AE" w:rsidTr="00C6045E">
        <w:tc>
          <w:tcPr>
            <w:tcW w:w="2349" w:type="dxa"/>
          </w:tcPr>
          <w:p w:rsidR="006A26B0" w:rsidRPr="001757CF" w:rsidRDefault="006A26B0" w:rsidP="00C6045E">
            <w:r w:rsidRPr="001757CF">
              <w:t>CD8+</w:t>
            </w:r>
          </w:p>
        </w:tc>
        <w:tc>
          <w:tcPr>
            <w:tcW w:w="2457" w:type="dxa"/>
          </w:tcPr>
          <w:p w:rsidR="006A26B0" w:rsidRPr="001757CF" w:rsidRDefault="006A26B0" w:rsidP="00C6045E">
            <w:r w:rsidRPr="001757CF">
              <w:t>99</w:t>
            </w:r>
          </w:p>
        </w:tc>
        <w:tc>
          <w:tcPr>
            <w:tcW w:w="2457" w:type="dxa"/>
          </w:tcPr>
          <w:p w:rsidR="006A26B0" w:rsidRPr="001757CF" w:rsidRDefault="006A26B0" w:rsidP="00C6045E">
            <w:r w:rsidRPr="001757CF">
              <w:t>42</w:t>
            </w:r>
          </w:p>
        </w:tc>
      </w:tr>
      <w:tr w:rsidR="006A26B0" w:rsidRPr="009D19AE" w:rsidTr="00C6045E">
        <w:tc>
          <w:tcPr>
            <w:tcW w:w="2349" w:type="dxa"/>
          </w:tcPr>
          <w:p w:rsidR="006A26B0" w:rsidRPr="001757CF" w:rsidRDefault="006A26B0" w:rsidP="00C6045E">
            <w:r w:rsidRPr="001757CF">
              <w:t>CD48+CD45RO+</w:t>
            </w:r>
          </w:p>
        </w:tc>
        <w:tc>
          <w:tcPr>
            <w:tcW w:w="2457" w:type="dxa"/>
          </w:tcPr>
          <w:p w:rsidR="006A26B0" w:rsidRPr="001757CF" w:rsidRDefault="006A26B0" w:rsidP="00C6045E">
            <w:r w:rsidRPr="001757CF">
              <w:t>79</w:t>
            </w:r>
          </w:p>
        </w:tc>
        <w:tc>
          <w:tcPr>
            <w:tcW w:w="2457" w:type="dxa"/>
          </w:tcPr>
          <w:p w:rsidR="006A26B0" w:rsidRPr="001757CF" w:rsidRDefault="006A26B0" w:rsidP="00C6045E">
            <w:r w:rsidRPr="001757CF">
              <w:t>32</w:t>
            </w:r>
          </w:p>
        </w:tc>
      </w:tr>
      <w:tr w:rsidR="006A26B0" w:rsidRPr="009D19AE" w:rsidTr="00C6045E">
        <w:tc>
          <w:tcPr>
            <w:tcW w:w="2349" w:type="dxa"/>
          </w:tcPr>
          <w:p w:rsidR="006A26B0" w:rsidRPr="001757CF" w:rsidRDefault="006A26B0" w:rsidP="00C6045E">
            <w:r w:rsidRPr="001757CF">
              <w:t>CD4+</w:t>
            </w:r>
          </w:p>
        </w:tc>
        <w:tc>
          <w:tcPr>
            <w:tcW w:w="2457" w:type="dxa"/>
          </w:tcPr>
          <w:p w:rsidR="006A26B0" w:rsidRPr="001757CF" w:rsidRDefault="006A26B0" w:rsidP="00C6045E">
            <w:r w:rsidRPr="001757CF">
              <w:t>90</w:t>
            </w:r>
          </w:p>
        </w:tc>
        <w:tc>
          <w:tcPr>
            <w:tcW w:w="2457" w:type="dxa"/>
          </w:tcPr>
          <w:p w:rsidR="006A26B0" w:rsidRPr="001757CF" w:rsidRDefault="006A26B0" w:rsidP="00C6045E">
            <w:r w:rsidRPr="001757CF">
              <w:t>50</w:t>
            </w:r>
          </w:p>
        </w:tc>
      </w:tr>
    </w:tbl>
    <w:p w:rsidR="006A26B0" w:rsidRPr="001757CF" w:rsidRDefault="006A26B0" w:rsidP="00C6045E">
      <w:r w:rsidRPr="001757CF">
        <w:t>Thus, an inhibitor of α</w:t>
      </w:r>
      <w:r w:rsidRPr="001757CF">
        <w:rPr>
          <w:vertAlign w:val="subscript"/>
        </w:rPr>
        <w:t>4</w:t>
      </w:r>
      <w:r w:rsidRPr="001757CF">
        <w:t>β</w:t>
      </w:r>
      <w:r w:rsidRPr="001757CF">
        <w:rPr>
          <w:vertAlign w:val="subscript"/>
        </w:rPr>
        <w:t>1</w:t>
      </w:r>
      <w:r w:rsidRPr="001757CF">
        <w:t xml:space="preserve"> or a dual inhibitor of α</w:t>
      </w:r>
      <w:r w:rsidRPr="001757CF">
        <w:rPr>
          <w:vertAlign w:val="subscript"/>
        </w:rPr>
        <w:t>4</w:t>
      </w:r>
      <w:r w:rsidRPr="001757CF">
        <w:t>β</w:t>
      </w:r>
      <w:r w:rsidRPr="001757CF">
        <w:rPr>
          <w:vertAlign w:val="subscript"/>
        </w:rPr>
        <w:t>1</w:t>
      </w:r>
      <w:r w:rsidRPr="001757CF">
        <w:t xml:space="preserve"> and α</w:t>
      </w:r>
      <w:r w:rsidRPr="001757CF">
        <w:rPr>
          <w:vertAlign w:val="subscript"/>
        </w:rPr>
        <w:t>4</w:t>
      </w:r>
      <w:r w:rsidRPr="001757CF">
        <w:t>β</w:t>
      </w:r>
      <w:r w:rsidRPr="001757CF">
        <w:rPr>
          <w:vertAlign w:val="subscript"/>
        </w:rPr>
        <w:t>7</w:t>
      </w:r>
      <w:r w:rsidRPr="001757CF">
        <w:t xml:space="preserve"> could potentially inhibit migration of a larger proportion of lymphocytes than a specific inhibitor of α</w:t>
      </w:r>
      <w:r w:rsidRPr="001757CF">
        <w:rPr>
          <w:vertAlign w:val="subscript"/>
        </w:rPr>
        <w:t>4</w:t>
      </w:r>
      <w:r w:rsidRPr="001757CF">
        <w:t>β</w:t>
      </w:r>
      <w:r w:rsidRPr="001757CF">
        <w:rPr>
          <w:vertAlign w:val="subscript"/>
        </w:rPr>
        <w:t>7</w:t>
      </w:r>
      <w:r w:rsidRPr="001757CF">
        <w:t>. While the gut-selectivity achieved by vedolizumab (due to its selective inhibition of the α</w:t>
      </w:r>
      <w:r w:rsidRPr="001757CF">
        <w:rPr>
          <w:vertAlign w:val="subscript"/>
        </w:rPr>
        <w:t>4</w:t>
      </w:r>
      <w:r w:rsidRPr="001757CF">
        <w:t>β</w:t>
      </w:r>
      <w:r w:rsidRPr="001757CF">
        <w:rPr>
          <w:vertAlign w:val="subscript"/>
        </w:rPr>
        <w:t>7</w:t>
      </w:r>
      <w:r w:rsidRPr="001757CF">
        <w:t xml:space="preserve">-MAdCAM-1 pathway) would be expected to be advantageous in reducing risk associated with progressive multifocal </w:t>
      </w:r>
      <w:proofErr w:type="spellStart"/>
      <w:r w:rsidRPr="001757CF">
        <w:t>leucoencephalopathy</w:t>
      </w:r>
      <w:proofErr w:type="spellEnd"/>
      <w:r w:rsidRPr="001757CF">
        <w:t xml:space="preserve"> (PML) (see discussion below), a reduction in efficacy might be expected compared to a dual α</w:t>
      </w:r>
      <w:r w:rsidRPr="000C1A2E">
        <w:rPr>
          <w:vertAlign w:val="subscript"/>
        </w:rPr>
        <w:t>4</w:t>
      </w:r>
      <w:r w:rsidRPr="001757CF">
        <w:t>β</w:t>
      </w:r>
      <w:r w:rsidRPr="000C1A2E">
        <w:rPr>
          <w:vertAlign w:val="subscript"/>
        </w:rPr>
        <w:t>1</w:t>
      </w:r>
      <w:r w:rsidRPr="001757CF">
        <w:t xml:space="preserve"> and α</w:t>
      </w:r>
      <w:r w:rsidRPr="001757CF">
        <w:rPr>
          <w:vertAlign w:val="subscript"/>
        </w:rPr>
        <w:t>4</w:t>
      </w:r>
      <w:r w:rsidRPr="001757CF">
        <w:t>β</w:t>
      </w:r>
      <w:r w:rsidRPr="001757CF">
        <w:rPr>
          <w:vertAlign w:val="subscript"/>
        </w:rPr>
        <w:t>7</w:t>
      </w:r>
      <w:r w:rsidRPr="001757CF">
        <w:t xml:space="preserve"> inhibitor, since it is thought that both α</w:t>
      </w:r>
      <w:r w:rsidRPr="001757CF">
        <w:rPr>
          <w:vertAlign w:val="subscript"/>
        </w:rPr>
        <w:t>4</w:t>
      </w:r>
      <w:r w:rsidRPr="001757CF">
        <w:t>β</w:t>
      </w:r>
      <w:r w:rsidRPr="001757CF">
        <w:rPr>
          <w:vertAlign w:val="subscript"/>
        </w:rPr>
        <w:t>7</w:t>
      </w:r>
      <w:r w:rsidRPr="001757CF">
        <w:t xml:space="preserve"> and α</w:t>
      </w:r>
      <w:r w:rsidRPr="000C1A2E">
        <w:rPr>
          <w:vertAlign w:val="subscript"/>
        </w:rPr>
        <w:t>4</w:t>
      </w:r>
      <w:r w:rsidRPr="001757CF">
        <w:t>β</w:t>
      </w:r>
      <w:r w:rsidRPr="000C1A2E">
        <w:rPr>
          <w:vertAlign w:val="subscript"/>
        </w:rPr>
        <w:t>1</w:t>
      </w:r>
      <w:r w:rsidRPr="001757CF">
        <w:t xml:space="preserve"> are important for T cell migration to the inflamed large bowel in IBD (</w:t>
      </w:r>
      <w:proofErr w:type="spellStart"/>
      <w:r w:rsidRPr="001757CF">
        <w:t>Koboziev</w:t>
      </w:r>
      <w:proofErr w:type="spellEnd"/>
      <w:r w:rsidRPr="001757CF">
        <w:t xml:space="preserve"> et al., 2010).</w:t>
      </w:r>
    </w:p>
    <w:p w:rsidR="006A26B0" w:rsidRPr="001757CF" w:rsidRDefault="000C1A2E" w:rsidP="009E3350">
      <w:r>
        <w:t>C</w:t>
      </w:r>
      <w:r w:rsidRPr="000C1A2E">
        <w:t xml:space="preserve">omplement-dependent cytotoxicity </w:t>
      </w:r>
      <w:r>
        <w:t>(</w:t>
      </w:r>
      <w:r w:rsidR="006A26B0" w:rsidRPr="001757CF">
        <w:t>CDC</w:t>
      </w:r>
      <w:r>
        <w:t>)</w:t>
      </w:r>
      <w:r w:rsidR="006A26B0" w:rsidRPr="001757CF">
        <w:t xml:space="preserve"> and </w:t>
      </w:r>
      <w:r w:rsidRPr="000C1A2E">
        <w:t xml:space="preserve">antibody-dependent cell-mediated cytotoxicity </w:t>
      </w:r>
      <w:r>
        <w:t>(</w:t>
      </w:r>
      <w:r w:rsidR="006A26B0" w:rsidRPr="001757CF">
        <w:t>ADCC</w:t>
      </w:r>
      <w:r>
        <w:t>)</w:t>
      </w:r>
      <w:r w:rsidR="006A26B0" w:rsidRPr="001757CF">
        <w:t xml:space="preserve"> are common Fc-mediated cytotoxic mechanisms for monoclonal antibodies in vivo. However, vedolizumab (at concentrations up to 10 µg/mL) did not mediate CDC or ADCC and therefore target cells were not lysed, nor did vedolizumab (at 400 µg/mL) trigger the release of cytokines (</w:t>
      </w:r>
      <w:r>
        <w:t>interferon gamma (</w:t>
      </w:r>
      <w:proofErr w:type="spellStart"/>
      <w:r>
        <w:t>INF</w:t>
      </w:r>
      <w:r w:rsidR="006A26B0" w:rsidRPr="001757CF">
        <w:t>γ</w:t>
      </w:r>
      <w:proofErr w:type="spellEnd"/>
      <w:r>
        <w:t>)</w:t>
      </w:r>
      <w:r w:rsidR="006A26B0" w:rsidRPr="001757CF">
        <w:t xml:space="preserve">, </w:t>
      </w:r>
      <w:r>
        <w:t>interleukin-</w:t>
      </w:r>
      <w:r w:rsidRPr="000C1A2E">
        <w:t>1β</w:t>
      </w:r>
      <w:r>
        <w:t xml:space="preserve"> (IL</w:t>
      </w:r>
      <w:r>
        <w:noBreakHyphen/>
      </w:r>
      <w:r w:rsidR="006A26B0" w:rsidRPr="001757CF">
        <w:t>1β</w:t>
      </w:r>
      <w:r>
        <w:t>)</w:t>
      </w:r>
      <w:r w:rsidR="006A26B0" w:rsidRPr="001757CF">
        <w:t>, IL-2, IL-4, IL-6, IL-8, IL-12 (p70), IL-17 and TNFα) or directly activate T cells when incubated with human whole blood. The concentration of 400 µg/mL exceeded the C</w:t>
      </w:r>
      <w:r w:rsidR="006A26B0" w:rsidRPr="001A768D">
        <w:rPr>
          <w:vertAlign w:val="subscript"/>
        </w:rPr>
        <w:t>max</w:t>
      </w:r>
      <w:r w:rsidR="006A26B0" w:rsidRPr="001757CF">
        <w:t xml:space="preserve"> (115 µg/mL) as well as trough concentrations (about 33 µg with dosing every 4 weeks after week 6 and about 10.5 µg/mL with dosing every 8 weeks after week 6) observed in patients given the recommended dose of vedolizumab, whereas 10 µg/mL was comparable to trough concentrations with dosing every 8 weeks after wee</w:t>
      </w:r>
      <w:r w:rsidR="009E3350">
        <w:t>k 6.</w:t>
      </w:r>
    </w:p>
    <w:p w:rsidR="006A26B0" w:rsidRPr="004C52F2" w:rsidRDefault="006A26B0" w:rsidP="009E3350">
      <w:r w:rsidRPr="004C52F2">
        <w:t xml:space="preserve">Data revealing internalisation of the </w:t>
      </w:r>
      <w:r w:rsidRPr="001757CF">
        <w:t>α</w:t>
      </w:r>
      <w:r w:rsidRPr="001757CF">
        <w:rPr>
          <w:vertAlign w:val="subscript"/>
        </w:rPr>
        <w:t>4</w:t>
      </w:r>
      <w:r w:rsidRPr="001757CF">
        <w:t>β</w:t>
      </w:r>
      <w:r w:rsidRPr="001757CF">
        <w:rPr>
          <w:vertAlign w:val="subscript"/>
        </w:rPr>
        <w:t>7</w:t>
      </w:r>
      <w:r w:rsidRPr="004C52F2">
        <w:t xml:space="preserve"> integrin/vedolizumab complex on CD4+ memory T lymphocytes targeted by the drug and revealing the restoration of the integrin on these cells after removal of vedolizumab are consistent with the mechanism of action of vedolizumab being via binding to the </w:t>
      </w:r>
      <w:r w:rsidRPr="001757CF">
        <w:t>α</w:t>
      </w:r>
      <w:r w:rsidRPr="001757CF">
        <w:rPr>
          <w:vertAlign w:val="subscript"/>
        </w:rPr>
        <w:t>4</w:t>
      </w:r>
      <w:r w:rsidRPr="001757CF">
        <w:t>β</w:t>
      </w:r>
      <w:r w:rsidRPr="001757CF">
        <w:rPr>
          <w:vertAlign w:val="subscript"/>
        </w:rPr>
        <w:t>7</w:t>
      </w:r>
      <w:r w:rsidRPr="004C52F2">
        <w:t xml:space="preserve"> integrin. These data are also consistent with the observation in nonclinical studies of the reversibility of the pharmacodynamic </w:t>
      </w:r>
      <w:r w:rsidR="00621BA3">
        <w:t xml:space="preserve">(PD) </w:t>
      </w:r>
      <w:r w:rsidRPr="004C52F2">
        <w:t xml:space="preserve">effects of vedolizumab. The reappearance of </w:t>
      </w:r>
      <w:r w:rsidRPr="001757CF">
        <w:t>α</w:t>
      </w:r>
      <w:r w:rsidRPr="001757CF">
        <w:rPr>
          <w:vertAlign w:val="subscript"/>
        </w:rPr>
        <w:t>4</w:t>
      </w:r>
      <w:r w:rsidRPr="001757CF">
        <w:t>β</w:t>
      </w:r>
      <w:r w:rsidRPr="001757CF">
        <w:rPr>
          <w:vertAlign w:val="subscript"/>
        </w:rPr>
        <w:t>7</w:t>
      </w:r>
      <w:r w:rsidRPr="004C52F2">
        <w:t xml:space="preserve"> was considerably inhibited in the presence of </w:t>
      </w:r>
      <w:proofErr w:type="spellStart"/>
      <w:r w:rsidRPr="004C52F2">
        <w:t>monensin</w:t>
      </w:r>
      <w:proofErr w:type="spellEnd"/>
      <w:r w:rsidRPr="004C52F2">
        <w:t xml:space="preserve"> suggesting that it is a result of intracellular processes rather than the reformation of surface complexes from the individual α4 and β7 chains.</w:t>
      </w:r>
    </w:p>
    <w:p w:rsidR="006A26B0" w:rsidRPr="004C52F2" w:rsidRDefault="006A26B0" w:rsidP="009E3350">
      <w:r w:rsidRPr="004C52F2">
        <w:t xml:space="preserve">Mucosal tolerance to environmental and food antigens is important for preventing exaggerated immune reactions that cause chronic inflammation, and suppression of effector T-cell function by </w:t>
      </w:r>
      <w:proofErr w:type="spellStart"/>
      <w:r w:rsidRPr="004C52F2">
        <w:t>Treg</w:t>
      </w:r>
      <w:proofErr w:type="spellEnd"/>
      <w:r w:rsidRPr="004C52F2">
        <w:t xml:space="preserve"> cells appears to be an important mechanism by which this is mediated. Inhibition of the activity of </w:t>
      </w:r>
      <w:proofErr w:type="spellStart"/>
      <w:r w:rsidRPr="004C52F2">
        <w:t>Treg</w:t>
      </w:r>
      <w:proofErr w:type="spellEnd"/>
      <w:r w:rsidRPr="004C52F2">
        <w:t xml:space="preserve"> cells may be a contributory factor in the pathogenesis of IBD (</w:t>
      </w:r>
      <w:proofErr w:type="spellStart"/>
      <w:r w:rsidRPr="004C52F2">
        <w:t>Izcue</w:t>
      </w:r>
      <w:proofErr w:type="spellEnd"/>
      <w:r w:rsidRPr="004C52F2">
        <w:t xml:space="preserve"> et al., 2009</w:t>
      </w:r>
      <w:r w:rsidR="002E1456">
        <w:rPr>
          <w:rStyle w:val="FootnoteReference"/>
        </w:rPr>
        <w:footnoteReference w:id="8"/>
      </w:r>
      <w:r w:rsidRPr="004C52F2">
        <w:t xml:space="preserve">). </w:t>
      </w:r>
      <w:r w:rsidR="0019628F" w:rsidRPr="004C52F2">
        <w:t xml:space="preserve">A study </w:t>
      </w:r>
      <w:r w:rsidRPr="004C52F2">
        <w:t xml:space="preserve">demonstrated that about 9% of the total </w:t>
      </w:r>
      <w:proofErr w:type="spellStart"/>
      <w:r w:rsidRPr="004C52F2">
        <w:t>Treg</w:t>
      </w:r>
      <w:proofErr w:type="spellEnd"/>
      <w:r w:rsidRPr="004C52F2">
        <w:t xml:space="preserve"> cell population in peripheral blood expressed </w:t>
      </w:r>
      <w:r w:rsidRPr="001757CF">
        <w:t>α</w:t>
      </w:r>
      <w:r w:rsidRPr="001757CF">
        <w:rPr>
          <w:vertAlign w:val="subscript"/>
        </w:rPr>
        <w:t>4</w:t>
      </w:r>
      <w:r w:rsidRPr="001757CF">
        <w:t>β</w:t>
      </w:r>
      <w:r w:rsidRPr="001757CF">
        <w:rPr>
          <w:vertAlign w:val="subscript"/>
        </w:rPr>
        <w:t>7</w:t>
      </w:r>
      <w:r w:rsidRPr="004C52F2">
        <w:t xml:space="preserve">. Results of </w:t>
      </w:r>
      <w:r w:rsidR="0019628F" w:rsidRPr="004C52F2">
        <w:t>another s</w:t>
      </w:r>
      <w:r w:rsidRPr="004C52F2">
        <w:t xml:space="preserve">tudy suggested that vedolizumab does not affect the suppressive activity of the total </w:t>
      </w:r>
      <w:proofErr w:type="spellStart"/>
      <w:r w:rsidRPr="004C52F2">
        <w:t>Treg</w:t>
      </w:r>
      <w:proofErr w:type="spellEnd"/>
      <w:r w:rsidRPr="004C52F2">
        <w:t xml:space="preserve"> cell </w:t>
      </w:r>
      <w:r w:rsidRPr="004C52F2">
        <w:lastRenderedPageBreak/>
        <w:t xml:space="preserve">population, nor the gut-homing subset of </w:t>
      </w:r>
      <w:proofErr w:type="spellStart"/>
      <w:r w:rsidRPr="004C52F2">
        <w:t>Treg</w:t>
      </w:r>
      <w:proofErr w:type="spellEnd"/>
      <w:r w:rsidRPr="004C52F2">
        <w:t xml:space="preserve"> cells from peripheral blood, although concentrations tested were low (up to 0.2 µg/mL), well below even trough serum concentrations (with dosing every 8 weeks after week 6) expected clinically.</w:t>
      </w:r>
    </w:p>
    <w:p w:rsidR="006A26B0" w:rsidRPr="004C52F2" w:rsidRDefault="006A26B0" w:rsidP="009E3350">
      <w:r w:rsidRPr="004C52F2">
        <w:t xml:space="preserve">The potential for vedolizumab to inhibit memory T helper 17 cells was investigated. These cells constitute a subpopulation of T helper lymphocytes that produce cytokines that augment inflammation in a number of autoimmune diseases, including IBD. In peripheral blood, vedolizumab bound to a subset (27%) of these cells that expressed </w:t>
      </w:r>
      <w:r w:rsidRPr="001757CF">
        <w:t>α</w:t>
      </w:r>
      <w:r w:rsidRPr="001757CF">
        <w:rPr>
          <w:vertAlign w:val="subscript"/>
        </w:rPr>
        <w:t>4</w:t>
      </w:r>
      <w:r w:rsidRPr="001757CF">
        <w:t>β</w:t>
      </w:r>
      <w:r w:rsidRPr="001757CF">
        <w:rPr>
          <w:vertAlign w:val="subscript"/>
        </w:rPr>
        <w:t>7</w:t>
      </w:r>
      <w:r w:rsidRPr="004C52F2">
        <w:t>. While vedolizumab would be expected to inhibit the homing of these cells to the GIT, there remains a substantial proportion of this cell population that woul</w:t>
      </w:r>
      <w:r w:rsidR="009E3350">
        <w:t xml:space="preserve">d be unaffected by </w:t>
      </w:r>
      <w:proofErr w:type="spellStart"/>
      <w:r w:rsidR="009E3350">
        <w:t>vedolizumab</w:t>
      </w:r>
      <w:proofErr w:type="spellEnd"/>
      <w:r w:rsidR="009E3350">
        <w:t>.</w:t>
      </w:r>
    </w:p>
    <w:p w:rsidR="006A26B0" w:rsidRPr="009D19AE" w:rsidRDefault="006A26B0" w:rsidP="009E3350">
      <w:r w:rsidRPr="009D19AE">
        <w:t>An investigation of the species cross-reactivity of vedolizumab revealed that the drug bound to lymphocytes from rabbits and cynomolgus monkeys (as well as from humans), but not to lymphocytes from mice, rats or guinea</w:t>
      </w:r>
      <w:r w:rsidR="00482E4E">
        <w:t xml:space="preserve"> pigs. Dogs were not tested. Ve</w:t>
      </w:r>
      <w:r w:rsidRPr="009D19AE">
        <w:t xml:space="preserve">dolizumab bound to </w:t>
      </w:r>
      <w:r w:rsidRPr="001757CF">
        <w:t>α</w:t>
      </w:r>
      <w:r w:rsidRPr="001757CF">
        <w:rPr>
          <w:vertAlign w:val="subscript"/>
        </w:rPr>
        <w:t>4</w:t>
      </w:r>
      <w:r w:rsidRPr="001757CF">
        <w:t>β</w:t>
      </w:r>
      <w:r w:rsidRPr="001757CF">
        <w:rPr>
          <w:vertAlign w:val="subscript"/>
        </w:rPr>
        <w:t>7</w:t>
      </w:r>
      <w:r w:rsidRPr="009D19AE">
        <w:t xml:space="preserve"> integrin on human, rabbit and cynomolgus monkey peripheral blood B and CD4+ cells and to human, cynomolgus and rhesus monkey CD4+ memory T cells with </w:t>
      </w:r>
      <w:proofErr w:type="spellStart"/>
      <w:r w:rsidRPr="009D19AE">
        <w:t>subnanomolar</w:t>
      </w:r>
      <w:proofErr w:type="spellEnd"/>
      <w:r w:rsidRPr="009D19AE">
        <w:t xml:space="preserve"> affinity. Thus, </w:t>
      </w:r>
      <w:r w:rsidR="005F463C" w:rsidRPr="005F463C">
        <w:t xml:space="preserve">half maximal inhibitory concentration </w:t>
      </w:r>
      <w:r w:rsidR="005F463C">
        <w:t>(</w:t>
      </w:r>
      <w:r w:rsidRPr="009D19AE">
        <w:t>IC</w:t>
      </w:r>
      <w:r w:rsidRPr="005F463C">
        <w:rPr>
          <w:vertAlign w:val="subscript"/>
        </w:rPr>
        <w:t>50</w:t>
      </w:r>
      <w:r w:rsidR="005F463C">
        <w:t>)</w:t>
      </w:r>
      <w:r w:rsidRPr="009D19AE">
        <w:t xml:space="preserve"> values were well below the serum C</w:t>
      </w:r>
      <w:r w:rsidRPr="001A768D">
        <w:rPr>
          <w:vertAlign w:val="subscript"/>
        </w:rPr>
        <w:t>max</w:t>
      </w:r>
      <w:r w:rsidRPr="009D19AE">
        <w:t xml:space="preserve"> (115 µg/mL) and trough concentrations (10.5-33 µg/mL) expected at the recommended human dose of 300 mg. The trough concentration of about 10 µg/mL was about 30-40 fold the concentration needed for the saturation of binding of vedolizumab to various human whole blood lymphocyte subsets as assessed by saturation binding analysis.</w:t>
      </w:r>
    </w:p>
    <w:p w:rsidR="006A26B0" w:rsidRPr="009D19AE" w:rsidRDefault="006A26B0" w:rsidP="009E3350">
      <w:r w:rsidRPr="009D19AE">
        <w:t>IC</w:t>
      </w:r>
      <w:r w:rsidRPr="001A768D">
        <w:rPr>
          <w:vertAlign w:val="subscript"/>
        </w:rPr>
        <w:t>50</w:t>
      </w:r>
      <w:r w:rsidRPr="009D19AE">
        <w:t xml:space="preserve"> values for B and CD4+ T cells were broadly similar for humans, rabbits and cynomolgus monkeys. IC</w:t>
      </w:r>
      <w:r w:rsidRPr="001A768D">
        <w:rPr>
          <w:vertAlign w:val="subscript"/>
        </w:rPr>
        <w:t>50</w:t>
      </w:r>
      <w:r w:rsidRPr="009D19AE">
        <w:t xml:space="preserve"> values were also broadly similar for B and CD4+ cells in all these species. IC</w:t>
      </w:r>
      <w:r w:rsidRPr="001A768D">
        <w:rPr>
          <w:vertAlign w:val="subscript"/>
        </w:rPr>
        <w:t>50</w:t>
      </w:r>
      <w:r w:rsidRPr="009D19AE">
        <w:t xml:space="preserve"> values of </w:t>
      </w:r>
      <w:r w:rsidR="00CA7BD9">
        <w:t>v</w:t>
      </w:r>
      <w:r w:rsidR="00C21180">
        <w:t>e</w:t>
      </w:r>
      <w:r w:rsidR="00CA7BD9" w:rsidRPr="00CA7BD9">
        <w:t xml:space="preserve">dolizumab </w:t>
      </w:r>
      <w:r w:rsidRPr="00CA7BD9">
        <w:t xml:space="preserve">Process </w:t>
      </w:r>
      <w:proofErr w:type="gramStart"/>
      <w:r w:rsidRPr="00CA7BD9">
        <w:t>A</w:t>
      </w:r>
      <w:proofErr w:type="gramEnd"/>
      <w:r w:rsidRPr="00CA7BD9">
        <w:t xml:space="preserve"> drug substance</w:t>
      </w:r>
      <w:r w:rsidR="00CA7BD9" w:rsidRPr="00CA7BD9">
        <w:t xml:space="preserve"> </w:t>
      </w:r>
      <w:r w:rsidRPr="009D19AE">
        <w:t>for CD8+ cells were similar in cynomolgus monkeys and humans. IC</w:t>
      </w:r>
      <w:r w:rsidRPr="001A768D">
        <w:rPr>
          <w:vertAlign w:val="subscript"/>
        </w:rPr>
        <w:t>50</w:t>
      </w:r>
      <w:r w:rsidRPr="009D19AE">
        <w:t xml:space="preserve"> values for CD4+ memory T cells were also broadly similar for humans and rhesus monkeys. These species similarities further confirm the validity of the animal models. IC</w:t>
      </w:r>
      <w:r w:rsidRPr="001A768D">
        <w:rPr>
          <w:vertAlign w:val="subscript"/>
        </w:rPr>
        <w:t>50</w:t>
      </w:r>
      <w:r w:rsidRPr="009D19AE">
        <w:t xml:space="preserve"> values for human CD4+ memory T cells were approximately an order of magnitude lower than for the other T cell types. Natalizumab showed higher IC</w:t>
      </w:r>
      <w:r w:rsidRPr="001A768D">
        <w:rPr>
          <w:vertAlign w:val="subscript"/>
        </w:rPr>
        <w:t>50</w:t>
      </w:r>
      <w:r w:rsidRPr="009D19AE">
        <w:t xml:space="preserve"> values (lower binding affinity) for CD4+ memory T cells in humans, and cynomolgus and rhesus monkeys than </w:t>
      </w:r>
      <w:proofErr w:type="spellStart"/>
      <w:r w:rsidRPr="009D19AE">
        <w:t>vedoli</w:t>
      </w:r>
      <w:r w:rsidR="009E3350">
        <w:t>zumab</w:t>
      </w:r>
      <w:proofErr w:type="spellEnd"/>
      <w:r w:rsidR="009E3350">
        <w:t>.</w:t>
      </w:r>
    </w:p>
    <w:p w:rsidR="006A26B0" w:rsidRPr="009D19AE" w:rsidRDefault="006A26B0" w:rsidP="009E3350">
      <w:r w:rsidRPr="009D19AE">
        <w:t xml:space="preserve">Although only submitted as a literature reference, and although Act-1 (the original murine monoclonal antibody from which vedolizumab was derived) was tested rather than vedolizumab itself, the study by </w:t>
      </w:r>
      <w:proofErr w:type="spellStart"/>
      <w:r w:rsidRPr="009D19AE">
        <w:t>Hesterberg</w:t>
      </w:r>
      <w:proofErr w:type="spellEnd"/>
      <w:r w:rsidRPr="009D19AE">
        <w:t xml:space="preserve"> et al.</w:t>
      </w:r>
      <w:r w:rsidR="004C52F2">
        <w:t>,</w:t>
      </w:r>
      <w:r w:rsidRPr="009D19AE">
        <w:t xml:space="preserve"> 1996</w:t>
      </w:r>
      <w:r w:rsidR="004C52F2">
        <w:rPr>
          <w:rStyle w:val="FootnoteReference"/>
        </w:rPr>
        <w:footnoteReference w:id="9"/>
      </w:r>
      <w:r w:rsidRPr="009D19AE">
        <w:t xml:space="preserve"> was important in demonstrating efficacy in an animal model. Blocking of </w:t>
      </w:r>
      <w:r w:rsidRPr="001757CF">
        <w:t>α</w:t>
      </w:r>
      <w:r w:rsidRPr="001757CF">
        <w:rPr>
          <w:vertAlign w:val="subscript"/>
        </w:rPr>
        <w:t>4</w:t>
      </w:r>
      <w:r w:rsidRPr="001757CF">
        <w:t>β</w:t>
      </w:r>
      <w:r w:rsidRPr="001757CF">
        <w:rPr>
          <w:vertAlign w:val="subscript"/>
        </w:rPr>
        <w:t>7</w:t>
      </w:r>
      <w:r w:rsidRPr="009D19AE">
        <w:t xml:space="preserve"> integrin by Act-1 improved stool consistency and ameliorated gut inflammatory activity in cotton-top</w:t>
      </w:r>
      <w:r w:rsidR="000C1A2E">
        <w:t xml:space="preserve"> tamarin monkeys with naturally </w:t>
      </w:r>
      <w:r w:rsidRPr="009D19AE">
        <w:t xml:space="preserve">occurring chronic colitis (these monkeys have clinical and microscopic findings similar to those of </w:t>
      </w:r>
      <w:r w:rsidR="009B56AE">
        <w:t>UC</w:t>
      </w:r>
      <w:r w:rsidRPr="009D19AE">
        <w:t xml:space="preserve"> in humans). The density of T cells, B cells, monocytes/macrophages and neutrophils in colonic mucosal biopsies was also consistently reduced by Act-1 treatment. In the absence of pharmacokinetic </w:t>
      </w:r>
      <w:r w:rsidR="00C21180">
        <w:t xml:space="preserve">(PK) </w:t>
      </w:r>
      <w:r w:rsidRPr="009D19AE">
        <w:t>data for the cotton top tamarin monkey, it is difficult to compare the doses used in this study with the human dose. The dose tested in the monkeys was 2 mg/kg which is less than the human d</w:t>
      </w:r>
      <w:r w:rsidR="005038E9">
        <w:t>ose of 4.3 mg/kg (assuming a 70 </w:t>
      </w:r>
      <w:r w:rsidRPr="009D19AE">
        <w:t xml:space="preserve">kg human body weight; interspecies comparisons on </w:t>
      </w:r>
      <w:proofErr w:type="gramStart"/>
      <w:r w:rsidRPr="009D19AE">
        <w:t>a</w:t>
      </w:r>
      <w:proofErr w:type="gramEnd"/>
      <w:r w:rsidRPr="009D19AE">
        <w:t xml:space="preserve"> mg/kg basis are probably more appropriate for this drug than comparisons on a mg/m</w:t>
      </w:r>
      <w:r w:rsidRPr="000C1A2E">
        <w:rPr>
          <w:vertAlign w:val="superscript"/>
        </w:rPr>
        <w:t>2</w:t>
      </w:r>
      <w:r w:rsidRPr="009D19AE">
        <w:t xml:space="preserve"> basis). However, the dosing frequency was much higher in the monkeys than that proposed in humans. Further, after the first IV dose, the </w:t>
      </w:r>
      <w:r w:rsidR="000C1A2E">
        <w:t>intramuscular (</w:t>
      </w:r>
      <w:r w:rsidRPr="009D19AE">
        <w:t>IM</w:t>
      </w:r>
      <w:r w:rsidR="000C1A2E">
        <w:t>)</w:t>
      </w:r>
      <w:r w:rsidRPr="009D19AE">
        <w:t xml:space="preserve"> route was used and no bioavailability dat</w:t>
      </w:r>
      <w:r w:rsidR="009E3350">
        <w:t>a are available for this route.</w:t>
      </w:r>
    </w:p>
    <w:p w:rsidR="006A26B0" w:rsidRPr="009D19AE" w:rsidRDefault="006A26B0" w:rsidP="009E3350">
      <w:proofErr w:type="spellStart"/>
      <w:r w:rsidRPr="009D19AE">
        <w:t>Natalizumab</w:t>
      </w:r>
      <w:proofErr w:type="spellEnd"/>
      <w:r w:rsidRPr="009D19AE">
        <w:t xml:space="preserve"> (</w:t>
      </w:r>
      <w:proofErr w:type="spellStart"/>
      <w:r w:rsidRPr="009D19AE">
        <w:t>T</w:t>
      </w:r>
      <w:r w:rsidR="000C1A2E" w:rsidRPr="009D19AE">
        <w:t>ysabri</w:t>
      </w:r>
      <w:proofErr w:type="spellEnd"/>
      <w:r w:rsidRPr="009D19AE">
        <w:t>) is registered in Australia for the treatment of multiple sclerosis</w:t>
      </w:r>
      <w:r w:rsidR="00530CFF">
        <w:t xml:space="preserve"> (MS)</w:t>
      </w:r>
      <w:r w:rsidRPr="009D19AE">
        <w:t xml:space="preserve">. In the USA, it is additionally approved for the treatment of </w:t>
      </w:r>
      <w:r w:rsidR="009E5210">
        <w:t xml:space="preserve">CD </w:t>
      </w:r>
      <w:r w:rsidRPr="009D19AE">
        <w:t xml:space="preserve">(under a strict risk management program). A major issue associated with natalizumab treatment is an </w:t>
      </w:r>
      <w:r w:rsidRPr="009D19AE">
        <w:lastRenderedPageBreak/>
        <w:t xml:space="preserve">increased risk of PML, an opportunistic infection of the brain that usually leads to death or severe disability, and is caused by the John Cunningham </w:t>
      </w:r>
      <w:r w:rsidR="00F537E7">
        <w:t xml:space="preserve">virus </w:t>
      </w:r>
      <w:r w:rsidRPr="009D19AE">
        <w:t>(JC</w:t>
      </w:r>
      <w:r w:rsidR="00F537E7">
        <w:t>V</w:t>
      </w:r>
      <w:r w:rsidRPr="009D19AE">
        <w:t>). Evidence from the literature suggests that PML associated with natalizumab is due to the inhibition of the α</w:t>
      </w:r>
      <w:r w:rsidRPr="00CA7BD9">
        <w:rPr>
          <w:vertAlign w:val="subscript"/>
        </w:rPr>
        <w:t>4</w:t>
      </w:r>
      <w:r w:rsidRPr="009D19AE">
        <w:t>β</w:t>
      </w:r>
      <w:r w:rsidRPr="00CA7BD9">
        <w:rPr>
          <w:vertAlign w:val="subscript"/>
        </w:rPr>
        <w:t>1</w:t>
      </w:r>
      <w:r w:rsidRPr="009D19AE">
        <w:t xml:space="preserve"> integrin rather than the </w:t>
      </w:r>
      <w:r w:rsidRPr="001757CF">
        <w:t>α</w:t>
      </w:r>
      <w:r w:rsidRPr="001757CF">
        <w:rPr>
          <w:vertAlign w:val="subscript"/>
        </w:rPr>
        <w:t>4</w:t>
      </w:r>
      <w:r w:rsidRPr="001757CF">
        <w:t>β</w:t>
      </w:r>
      <w:r w:rsidRPr="001757CF">
        <w:rPr>
          <w:vertAlign w:val="subscript"/>
        </w:rPr>
        <w:t>7</w:t>
      </w:r>
      <w:r w:rsidRPr="009D19AE">
        <w:t xml:space="preserve"> integrin, with the mechanism believed to be a decrease in immune surveillance of the CNS (Monaco and Major, 2012</w:t>
      </w:r>
      <w:r w:rsidR="004C52F2">
        <w:rPr>
          <w:rStyle w:val="FootnoteReference"/>
        </w:rPr>
        <w:footnoteReference w:id="10"/>
      </w:r>
      <w:r w:rsidRPr="009D19AE">
        <w:t>; Steiner and Berger, 2012</w:t>
      </w:r>
      <w:r w:rsidR="004C52F2">
        <w:rPr>
          <w:rStyle w:val="FootnoteReference"/>
        </w:rPr>
        <w:footnoteReference w:id="11"/>
      </w:r>
      <w:r w:rsidRPr="009D19AE">
        <w:t xml:space="preserve">). It would be expected that vedolizumab would show little or no immune compromise in extra-GIT tissues such as the CNS compared to natalizumab, because of its gut selectivity (see discussion above). </w:t>
      </w:r>
      <w:r w:rsidR="0019628F">
        <w:t>A s</w:t>
      </w:r>
      <w:r w:rsidRPr="009D19AE">
        <w:t xml:space="preserve">tudy was conducted to assess this expectation using a validated rhesus monkey </w:t>
      </w:r>
      <w:r w:rsidR="00CA7BD9">
        <w:t xml:space="preserve">experimental </w:t>
      </w:r>
      <w:r w:rsidR="00CA7BD9" w:rsidRPr="00CA7BD9">
        <w:t xml:space="preserve">autoimmune encephalomyelitis </w:t>
      </w:r>
      <w:r w:rsidR="00CA7BD9">
        <w:t>(</w:t>
      </w:r>
      <w:r w:rsidRPr="009D19AE">
        <w:t>EAE</w:t>
      </w:r>
      <w:r w:rsidR="00CA7BD9">
        <w:t>)</w:t>
      </w:r>
      <w:r w:rsidRPr="009D19AE">
        <w:t xml:space="preserve"> model. In contrast to natalizumab, vedolizumab (30 mg/kg IV once weekly) did not affect inflammation in the CNS in this model, or decrease </w:t>
      </w:r>
      <w:r w:rsidR="00CA7BD9" w:rsidRPr="00CA7BD9">
        <w:t xml:space="preserve">cerebrospinal fluid </w:t>
      </w:r>
      <w:r w:rsidR="00CA7BD9">
        <w:t>(</w:t>
      </w:r>
      <w:r w:rsidRPr="009D19AE">
        <w:t>CSF</w:t>
      </w:r>
      <w:r w:rsidR="00CA7BD9">
        <w:t>)</w:t>
      </w:r>
      <w:r w:rsidRPr="009D19AE">
        <w:t xml:space="preserve"> counts of </w:t>
      </w:r>
      <w:r w:rsidR="00CA7BD9">
        <w:t>white blood cell (</w:t>
      </w:r>
      <w:r w:rsidRPr="009D19AE">
        <w:t>WBC</w:t>
      </w:r>
      <w:r w:rsidR="00CA7BD9">
        <w:t>)</w:t>
      </w:r>
      <w:r w:rsidRPr="009D19AE">
        <w:t xml:space="preserve"> or lymphocyte subsets. The dose used was appropriate (it achieved an exposure ratio of 2.4 in cynomolgus monkeys (see </w:t>
      </w:r>
      <w:r w:rsidR="00326357">
        <w:rPr>
          <w:i/>
        </w:rPr>
        <w:t>Repeat-dose t</w:t>
      </w:r>
      <w:r w:rsidRPr="00CA7BD9">
        <w:rPr>
          <w:i/>
        </w:rPr>
        <w:t>oxicity; Relative exposure</w:t>
      </w:r>
      <w:r w:rsidRPr="009D19AE">
        <w:t>) and would be expected to achieve a similar exposure ratio in rhesus monkeys. The results of this study are therefore consistent with the hypothesis that vedolizumab has a lower propensity to block immune surveillance in the CNS than natalizumab. Consistent with these results, vedolizumab was not found to alter CSF cellular composition (including WBC, lymphocyte or T cell subset counts (or other CSF parameters such as total pro</w:t>
      </w:r>
      <w:r w:rsidR="00264A66">
        <w:t xml:space="preserve">tein concentrations)) in the 26 </w:t>
      </w:r>
      <w:r w:rsidRPr="009D19AE">
        <w:t>week cynomolgus monkey study. Vedolizumab is therefore likely to be associated with a lower risk of PML than natalizumab.</w:t>
      </w:r>
    </w:p>
    <w:p w:rsidR="006A26B0" w:rsidRPr="009D19AE" w:rsidRDefault="006A26B0" w:rsidP="009E3350">
      <w:r w:rsidRPr="009D19AE">
        <w:t xml:space="preserve">During product development, there have been three different products (Process A, B and C product) reflecting differences in manufacture of the drug substance and formulation of the final product. The biological activity of the Process </w:t>
      </w:r>
      <w:proofErr w:type="gramStart"/>
      <w:r w:rsidRPr="009D19AE">
        <w:t>A</w:t>
      </w:r>
      <w:proofErr w:type="gramEnd"/>
      <w:r w:rsidRPr="009D19AE">
        <w:t xml:space="preserve"> drug substance would be expected to be the same as that of the Process B drug substance because there were no differences in the binding regions of the two molecules. This expectation was supported by the demonstration of comparable binding affinities of vedolizumab Process A and Process B (or C) drug substances (and of Act-1) for human B lymphocytes. Further, the </w:t>
      </w:r>
      <w:r w:rsidR="00CA7BD9">
        <w:t xml:space="preserve">sponsor’s </w:t>
      </w:r>
      <w:r w:rsidR="00264A66">
        <w:t>q</w:t>
      </w:r>
      <w:r w:rsidRPr="009D19AE">
        <w:t xml:space="preserve">uality </w:t>
      </w:r>
      <w:r w:rsidR="00264A66">
        <w:t>e</w:t>
      </w:r>
      <w:r w:rsidRPr="009D19AE">
        <w:t xml:space="preserve">xpert </w:t>
      </w:r>
      <w:r w:rsidR="00264A66">
        <w:t>r</w:t>
      </w:r>
      <w:r w:rsidRPr="009D19AE">
        <w:t xml:space="preserve">eport noted that Process A and Process B antibodies showed equivalent potency in inhibiting adhesion of RPMI8866 cells to an immobilised </w:t>
      </w:r>
      <w:proofErr w:type="spellStart"/>
      <w:r w:rsidRPr="009D19AE">
        <w:t>MAdCAM-muFc</w:t>
      </w:r>
      <w:proofErr w:type="spellEnd"/>
      <w:r w:rsidRPr="009D19AE">
        <w:t xml:space="preserve"> chimeric protein and in inhibiting the binding of soluble fluorescently-tagged </w:t>
      </w:r>
      <w:proofErr w:type="spellStart"/>
      <w:r w:rsidRPr="009D19AE">
        <w:t>MAdCAM-muFc</w:t>
      </w:r>
      <w:proofErr w:type="spellEnd"/>
      <w:r w:rsidRPr="009D19AE">
        <w:t xml:space="preserve"> to RPMI8866 cells. The two antibodies also showed similar binding to </w:t>
      </w:r>
      <w:r w:rsidRPr="001757CF">
        <w:t>α</w:t>
      </w:r>
      <w:r w:rsidRPr="001757CF">
        <w:rPr>
          <w:vertAlign w:val="subscript"/>
        </w:rPr>
        <w:t>4</w:t>
      </w:r>
      <w:r w:rsidRPr="001757CF">
        <w:t>β</w:t>
      </w:r>
      <w:r w:rsidRPr="001757CF">
        <w:rPr>
          <w:vertAlign w:val="subscript"/>
        </w:rPr>
        <w:t>7</w:t>
      </w:r>
      <w:r w:rsidRPr="009D19AE">
        <w:t xml:space="preserve">-expressing human T cell line </w:t>
      </w:r>
      <w:proofErr w:type="spellStart"/>
      <w:r w:rsidRPr="009D19AE">
        <w:t>HuT</w:t>
      </w:r>
      <w:proofErr w:type="spellEnd"/>
      <w:r w:rsidRPr="009D19AE">
        <w:t xml:space="preserve"> 78. There were, however, anticipated physicochemical differences between the two antibodies which were consistent with the change in expression cell line and the two amino acids, most notably, differences in glycosylation profiles (a higher level of oligosaccharide complexity with the Process A drug substance), charge profiles (the replacement of an acidic amino acid with a neutral one meant that Process A drug substance eluted earlier on </w:t>
      </w:r>
      <w:proofErr w:type="spellStart"/>
      <w:r w:rsidRPr="009D19AE">
        <w:t>cation</w:t>
      </w:r>
      <w:proofErr w:type="spellEnd"/>
      <w:r w:rsidRPr="009D19AE">
        <w:t xml:space="preserve"> exchange chromatography than Process B drug substance and there was an analogous shift in isoelectric focusing profile), peptid</w:t>
      </w:r>
      <w:r w:rsidR="009E3350">
        <w:t>e maps and molecular masses.</w:t>
      </w:r>
    </w:p>
    <w:p w:rsidR="006A26B0" w:rsidRPr="009D19AE" w:rsidRDefault="006A26B0" w:rsidP="009E3350">
      <w:pPr>
        <w:pStyle w:val="Heading4"/>
      </w:pPr>
      <w:r w:rsidRPr="009D19AE">
        <w:t xml:space="preserve">Secondary pharmacodynamics and safety </w:t>
      </w:r>
      <w:r w:rsidRPr="009E3350">
        <w:t>pharmacology</w:t>
      </w:r>
    </w:p>
    <w:p w:rsidR="006A26B0" w:rsidRPr="009D19AE" w:rsidRDefault="006A26B0" w:rsidP="009E3350">
      <w:r w:rsidRPr="009D19AE">
        <w:t xml:space="preserve">Secondary </w:t>
      </w:r>
      <w:r w:rsidR="00621BA3">
        <w:t xml:space="preserve">PD </w:t>
      </w:r>
      <w:r w:rsidRPr="009D19AE">
        <w:t>studies are not normally required for biotechnology-derived pharmaceuticals and were not conducted on vedolizumab.</w:t>
      </w:r>
    </w:p>
    <w:p w:rsidR="006A26B0" w:rsidRPr="009D19AE" w:rsidRDefault="006A26B0" w:rsidP="009E3350">
      <w:r w:rsidRPr="009D19AE">
        <w:t xml:space="preserve">The only specialised safety pharmacology study conducted was a cardiovascular study in cynomolgus monkeys. Other core safety pharmacology studies (CNS and respiratory) were not conducted. A direct effect of vedolizumab on the CNS would not be expected as </w:t>
      </w:r>
      <w:proofErr w:type="spellStart"/>
      <w:r w:rsidRPr="009D19AE">
        <w:t>IgG</w:t>
      </w:r>
      <w:proofErr w:type="spellEnd"/>
      <w:r w:rsidRPr="009D19AE">
        <w:t xml:space="preserve"> molecules do not normally cross the blood-brain barrier. Observations of clinical signs in </w:t>
      </w:r>
      <w:r w:rsidRPr="009D19AE">
        <w:lastRenderedPageBreak/>
        <w:t>the repeat-dose toxicity studies gave no indication of an effect on the CNS. Respiratory rate (but no other respiratory parameters) were investigated in the two early repeat-dose toxicity studies in cynomolgus monkeys and no effect of vedolizumab wa</w:t>
      </w:r>
      <w:r w:rsidR="00CA7BD9">
        <w:t xml:space="preserve">s seen. Results from the repeat </w:t>
      </w:r>
      <w:r w:rsidRPr="009D19AE">
        <w:t xml:space="preserve">dose studies did not suggest any effect of vedolizumab on other organ systems such as the renal and </w:t>
      </w:r>
      <w:r w:rsidR="00F537E7">
        <w:t xml:space="preserve">GI </w:t>
      </w:r>
      <w:r w:rsidRPr="009D19AE">
        <w:t>(other than associated lymphoid tissue) systems, and it is acceptable that no additional safety pharmacology studies were conducted to investigate effects on other organ systems.</w:t>
      </w:r>
    </w:p>
    <w:p w:rsidR="006A26B0" w:rsidRPr="002E1456" w:rsidRDefault="006A26B0" w:rsidP="009E3350">
      <w:r w:rsidRPr="009D19AE">
        <w:t xml:space="preserve">The cardiovascular safety study in cynomolgus monkeys did not reveal an effect of vedolizumab on </w:t>
      </w:r>
      <w:r w:rsidR="00CA7BD9" w:rsidRPr="00CA7BD9">
        <w:t xml:space="preserve">mean arterial blood pressure </w:t>
      </w:r>
      <w:r w:rsidR="00CA7BD9">
        <w:t>(</w:t>
      </w:r>
      <w:r w:rsidRPr="009D19AE">
        <w:t>MAP</w:t>
      </w:r>
      <w:r w:rsidR="00CA7BD9">
        <w:t>)</w:t>
      </w:r>
      <w:r w:rsidRPr="009D19AE">
        <w:t xml:space="preserve">, </w:t>
      </w:r>
      <w:r w:rsidR="00CA7BD9">
        <w:t>heart rate (</w:t>
      </w:r>
      <w:r w:rsidRPr="009D19AE">
        <w:t>HR</w:t>
      </w:r>
      <w:r w:rsidR="00CA7BD9">
        <w:t>)</w:t>
      </w:r>
      <w:r w:rsidRPr="009D19AE">
        <w:t xml:space="preserve"> or quantitative </w:t>
      </w:r>
      <w:r w:rsidR="00CA7BD9" w:rsidRPr="00CA7BD9">
        <w:t xml:space="preserve">electrocardiograph </w:t>
      </w:r>
      <w:r w:rsidR="00CA7BD9">
        <w:t>(</w:t>
      </w:r>
      <w:r w:rsidRPr="009D19AE">
        <w:t>ECG</w:t>
      </w:r>
      <w:r w:rsidR="00CA7BD9">
        <w:t>)</w:t>
      </w:r>
      <w:r w:rsidRPr="009D19AE">
        <w:t xml:space="preserve"> parameters. Vedolizumab was tested at </w:t>
      </w:r>
      <w:r w:rsidR="00CA7BD9">
        <w:t>doses of up to 100 </w:t>
      </w:r>
      <w:r w:rsidRPr="002E1456">
        <w:t>mg/kg IV, a dose which gave an exposure ratio of 8 on day 1 in t</w:t>
      </w:r>
      <w:r w:rsidR="00CA7BD9">
        <w:t xml:space="preserve">he 26 </w:t>
      </w:r>
      <w:r w:rsidRPr="002E1456">
        <w:t>week cynomolgus monkey toxicity study. ECGs were also investigated (qualitatively) in two repeat-dose toxicity studies in cynomolgus monkeys, the pivotal 26 week study and the 13</w:t>
      </w:r>
      <w:r w:rsidR="00264A66">
        <w:t xml:space="preserve"> </w:t>
      </w:r>
      <w:r w:rsidRPr="002E1456">
        <w:t>week study, again with negative results.</w:t>
      </w:r>
    </w:p>
    <w:p w:rsidR="004C67AA" w:rsidRDefault="004C67AA" w:rsidP="009E3350">
      <w:pPr>
        <w:pStyle w:val="Heading3"/>
      </w:pPr>
      <w:bookmarkStart w:id="54" w:name="_Toc247691513"/>
      <w:bookmarkStart w:id="55" w:name="_Toc314842497"/>
      <w:bookmarkStart w:id="56" w:name="_Toc384807754"/>
      <w:bookmarkStart w:id="57" w:name="_Toc405974775"/>
      <w:r w:rsidRPr="009E3350">
        <w:t>Pharmacokinetics</w:t>
      </w:r>
      <w:bookmarkEnd w:id="54"/>
      <w:bookmarkEnd w:id="55"/>
      <w:bookmarkEnd w:id="56"/>
      <w:bookmarkEnd w:id="57"/>
    </w:p>
    <w:p w:rsidR="006A26B0" w:rsidRPr="002E1456" w:rsidRDefault="006A26B0" w:rsidP="009E3350">
      <w:bookmarkStart w:id="58" w:name="_Toc247691514"/>
      <w:bookmarkStart w:id="59" w:name="_Toc314842498"/>
      <w:r w:rsidRPr="002E1456">
        <w:t>Av</w:t>
      </w:r>
      <w:r w:rsidR="00987330">
        <w:t xml:space="preserve">ailable single dose and </w:t>
      </w:r>
      <w:r w:rsidRPr="002E1456">
        <w:t xml:space="preserve">day 1 data suggested dose proportionality of exposure. While accumulation was observed following administration of vedolizumab at a high dosing frequency, the induction of anti-vedolizumab antibodies after repeated dosing in most animals often had a more profound effect on serum vedolizumab concentrations than accumulation following repeated dosing. There was no evidence, in either rabbits or cynomolgus monkeys, of a sex difference in the </w:t>
      </w:r>
      <w:r w:rsidR="00C21180">
        <w:t>PK</w:t>
      </w:r>
      <w:r w:rsidRPr="002E1456">
        <w:t xml:space="preserve"> of vedolizumab.</w:t>
      </w:r>
    </w:p>
    <w:p w:rsidR="006A26B0" w:rsidRPr="002E1456" w:rsidRDefault="006A26B0" w:rsidP="009E3350">
      <w:r w:rsidRPr="002E1456">
        <w:t xml:space="preserve">Clearance </w:t>
      </w:r>
      <w:r w:rsidR="00CC0B2C">
        <w:t xml:space="preserve">(CL) </w:t>
      </w:r>
      <w:r w:rsidRPr="002E1456">
        <w:t>was slow, about 0.2-0.4 mL/h/kg in c</w:t>
      </w:r>
      <w:r w:rsidR="00987330">
        <w:t>ynomolgus monkeys and about 157 </w:t>
      </w:r>
      <w:r w:rsidRPr="002E1456">
        <w:t>mL/day in humans (0.09 mL/h/kg, assuming 70 kg body weight). Volume of distribution was consistent with blood volume (4.49 L in humans (about 64 mL/kg) and 67.9 -88.3 mL/kg in cynomolgus monkeys). Serum/plas</w:t>
      </w:r>
      <w:r w:rsidR="00987330">
        <w:t>ma half-life was long, about 25 </w:t>
      </w:r>
      <w:r w:rsidRPr="002E1456">
        <w:t>days (600 h) in humans and about 15 days</w:t>
      </w:r>
      <w:r w:rsidR="009E3350">
        <w:t xml:space="preserve"> (350 h) in </w:t>
      </w:r>
      <w:proofErr w:type="spellStart"/>
      <w:r w:rsidR="009E3350">
        <w:t>cynomolgus</w:t>
      </w:r>
      <w:proofErr w:type="spellEnd"/>
      <w:r w:rsidR="009E3350">
        <w:t xml:space="preserve"> monkeys.</w:t>
      </w:r>
    </w:p>
    <w:p w:rsidR="006A26B0" w:rsidRPr="002E1456" w:rsidRDefault="006A26B0" w:rsidP="009E3350">
      <w:r w:rsidRPr="002E1456">
        <w:t xml:space="preserve">Plasma protein binding was not evaluated. This is acceptable as vedolizumab would not be expected to bind to plasma proteins. </w:t>
      </w:r>
      <w:proofErr w:type="spellStart"/>
      <w:r w:rsidRPr="002E1456">
        <w:t>IgG</w:t>
      </w:r>
      <w:proofErr w:type="spellEnd"/>
      <w:r w:rsidRPr="002E1456">
        <w:t xml:space="preserve"> molecules do not cross the blood-brain barrier (</w:t>
      </w:r>
      <w:proofErr w:type="spellStart"/>
      <w:r w:rsidRPr="002E1456">
        <w:t>Triguero</w:t>
      </w:r>
      <w:proofErr w:type="spellEnd"/>
      <w:r w:rsidRPr="002E1456">
        <w:t xml:space="preserve"> et al., 1989</w:t>
      </w:r>
      <w:r w:rsidR="002E1456">
        <w:rPr>
          <w:rStyle w:val="FootnoteReference"/>
        </w:rPr>
        <w:footnoteReference w:id="12"/>
      </w:r>
      <w:r w:rsidRPr="002E1456">
        <w:t xml:space="preserve">). Standard distribution, metabolism and excretion studies were not conducted and are not required for monoclonal antibodies. The pharmacological activity of the drug in the species chosen for toxicity testing is the critical factor in the choice of species as the metabolic pathways for immunoglobulins (proteins) are generally understood and </w:t>
      </w:r>
      <w:r w:rsidR="009E3350">
        <w:t>are consistent between species.</w:t>
      </w:r>
    </w:p>
    <w:p w:rsidR="006A26B0" w:rsidRPr="002E1456" w:rsidRDefault="006A26B0" w:rsidP="009E3350">
      <w:r w:rsidRPr="002E1456">
        <w:t xml:space="preserve">Almost all animals (rabbits and cynomolgus monkeys) dosed with vedolizumab developed antibodies by days 14 or 15. Antibodies were not detected in </w:t>
      </w:r>
      <w:r w:rsidR="00987330">
        <w:t>a single dose s</w:t>
      </w:r>
      <w:r w:rsidRPr="002E1456">
        <w:t xml:space="preserve">tudy but samples were only collected up to day 7 post dosing, with most animals in the studies conducted developing antibodies between about days 8-14. Although all animals developed anti-vedolizumab antibodies, there was considerable inter-animal variability in titres, with some animals developing antibodies of sustained high titre, while others only developing antibodies of very low titre. Results from </w:t>
      </w:r>
      <w:r w:rsidR="00987330">
        <w:t>a s</w:t>
      </w:r>
      <w:r w:rsidRPr="002E1456">
        <w:t>tudy which investigated anti-</w:t>
      </w:r>
      <w:proofErr w:type="spellStart"/>
      <w:r w:rsidRPr="002E1456">
        <w:t>idiotype</w:t>
      </w:r>
      <w:proofErr w:type="spellEnd"/>
      <w:r w:rsidRPr="002E1456">
        <w:t xml:space="preserve"> and anti-</w:t>
      </w:r>
      <w:proofErr w:type="spellStart"/>
      <w:r w:rsidRPr="002E1456">
        <w:t>isotype</w:t>
      </w:r>
      <w:proofErr w:type="spellEnd"/>
      <w:r w:rsidRPr="002E1456">
        <w:t xml:space="preserve"> antibodies separately suggested that the neutralising antibody effect was mediated by anti-</w:t>
      </w:r>
      <w:proofErr w:type="spellStart"/>
      <w:r w:rsidRPr="002E1456">
        <w:t>isotype</w:t>
      </w:r>
      <w:proofErr w:type="spellEnd"/>
      <w:r w:rsidRPr="002E1456">
        <w:t xml:space="preserve"> antibodies.</w:t>
      </w:r>
    </w:p>
    <w:p w:rsidR="006A26B0" w:rsidRPr="002E1456" w:rsidRDefault="006A26B0" w:rsidP="009E3350">
      <w:r w:rsidRPr="002E1456">
        <w:t xml:space="preserve">Parallel with the measurement of serum vedolizumab concentrations, the </w:t>
      </w:r>
      <w:r w:rsidR="00621BA3">
        <w:t xml:space="preserve">PD </w:t>
      </w:r>
      <w:r w:rsidRPr="002E1456">
        <w:t xml:space="preserve">effect was assessed by determining the percentage of CD4+ cells that stained positive for free </w:t>
      </w:r>
      <w:r w:rsidRPr="001757CF">
        <w:t>α</w:t>
      </w:r>
      <w:r w:rsidRPr="001757CF">
        <w:rPr>
          <w:vertAlign w:val="subscript"/>
        </w:rPr>
        <w:t>4</w:t>
      </w:r>
      <w:r w:rsidRPr="001757CF">
        <w:t>β</w:t>
      </w:r>
      <w:r w:rsidRPr="001757CF">
        <w:rPr>
          <w:vertAlign w:val="subscript"/>
        </w:rPr>
        <w:t>7</w:t>
      </w:r>
      <w:r w:rsidRPr="002E1456">
        <w:t xml:space="preserve"> (in the pivotal cynomolgus monkey study, both CD45RA+, CD45RA- and CD20+ cells were assessed for this parameter) and for bound vedolizumab (in the pivotal cynomolgus </w:t>
      </w:r>
      <w:r w:rsidRPr="002E1456">
        <w:lastRenderedPageBreak/>
        <w:t xml:space="preserve">monkey study, both CD45RA+ and CD45RA- cells were assessed for this parameter). These assessments revealed that in the pivotal rabbit and cynomolgus monkey studies, the percentage of cells with free </w:t>
      </w:r>
      <w:r w:rsidRPr="001757CF">
        <w:t>α</w:t>
      </w:r>
      <w:r w:rsidRPr="001757CF">
        <w:rPr>
          <w:vertAlign w:val="subscript"/>
        </w:rPr>
        <w:t>4</w:t>
      </w:r>
      <w:r w:rsidRPr="001757CF">
        <w:t>β</w:t>
      </w:r>
      <w:r w:rsidRPr="001757CF">
        <w:rPr>
          <w:vertAlign w:val="subscript"/>
        </w:rPr>
        <w:t>7</w:t>
      </w:r>
      <w:r w:rsidRPr="002E1456">
        <w:t xml:space="preserve"> dropped rapidly after dosing to very low levels and remained at these levels until many days after the last dose in both rabbits and cynomolgus monkeys with the exception of some increases in some of the LD cynomolgus monkeys that developed high titre antibodies, thus providing evidence of the neutralising capacity of the antibodies. Results for the percentage of cells with bound vedolizumab were more variable than those for the percentage of cells with free </w:t>
      </w:r>
      <w:r w:rsidRPr="001757CF">
        <w:t>α</w:t>
      </w:r>
      <w:r w:rsidRPr="001757CF">
        <w:rPr>
          <w:vertAlign w:val="subscript"/>
        </w:rPr>
        <w:t>4</w:t>
      </w:r>
      <w:r w:rsidRPr="001757CF">
        <w:t>β</w:t>
      </w:r>
      <w:r w:rsidRPr="001757CF">
        <w:rPr>
          <w:vertAlign w:val="subscript"/>
        </w:rPr>
        <w:t>7</w:t>
      </w:r>
      <w:r w:rsidRPr="002E1456">
        <w:t>, but there was a rapid increase following dosing and although values were generally sustained, some decreases from the peak were observed, mainly depending on the production of neutralising antibodies.</w:t>
      </w:r>
    </w:p>
    <w:p w:rsidR="006A26B0" w:rsidRPr="002E1456" w:rsidRDefault="006A26B0" w:rsidP="009E3350">
      <w:pPr>
        <w:pStyle w:val="Heading4"/>
      </w:pPr>
      <w:bookmarkStart w:id="60" w:name="_Toc294861725"/>
      <w:r w:rsidRPr="002E1456">
        <w:t xml:space="preserve">Pharmacokinetic </w:t>
      </w:r>
      <w:r w:rsidRPr="009E3350">
        <w:t>drug</w:t>
      </w:r>
      <w:r w:rsidRPr="002E1456">
        <w:t xml:space="preserve"> interactions</w:t>
      </w:r>
      <w:bookmarkEnd w:id="60"/>
    </w:p>
    <w:p w:rsidR="004C67AA" w:rsidRPr="002E1456" w:rsidRDefault="006A26B0" w:rsidP="009E3350">
      <w:r w:rsidRPr="002E1456">
        <w:t xml:space="preserve">There is a lack of any potential mechanism (for example, via the usual </w:t>
      </w:r>
      <w:r w:rsidR="002E55C1">
        <w:t>cytochrome (</w:t>
      </w:r>
      <w:r w:rsidRPr="002E1456">
        <w:t>CYP</w:t>
      </w:r>
      <w:r w:rsidR="002E55C1">
        <w:t xml:space="preserve">) p450 </w:t>
      </w:r>
      <w:r w:rsidRPr="002E1456">
        <w:t xml:space="preserve">enzyme interactions) for direct interaction of vedolizumab with other </w:t>
      </w:r>
      <w:proofErr w:type="gramStart"/>
      <w:r w:rsidRPr="002E1456">
        <w:t>drugs,</w:t>
      </w:r>
      <w:proofErr w:type="gramEnd"/>
      <w:r w:rsidRPr="002E1456">
        <w:t xml:space="preserve"> therefore it is acceptable that no nonclinical drug interactions studies were conducted.</w:t>
      </w:r>
    </w:p>
    <w:p w:rsidR="004C67AA" w:rsidRDefault="004C67AA" w:rsidP="009E3350">
      <w:pPr>
        <w:pStyle w:val="Heading3"/>
      </w:pPr>
      <w:bookmarkStart w:id="61" w:name="_Toc384807755"/>
      <w:bookmarkStart w:id="62" w:name="_Toc405974776"/>
      <w:r w:rsidRPr="009E3350">
        <w:t>Toxicology</w:t>
      </w:r>
      <w:bookmarkEnd w:id="58"/>
      <w:bookmarkEnd w:id="59"/>
      <w:bookmarkEnd w:id="61"/>
      <w:bookmarkEnd w:id="62"/>
    </w:p>
    <w:p w:rsidR="006A26B0" w:rsidRPr="002E1456" w:rsidRDefault="006A26B0" w:rsidP="009E3350">
      <w:r w:rsidRPr="002E1456">
        <w:t xml:space="preserve">The choice of rabbits and cynomolgus monkeys as species for toxicity studies was appropriate as they are pharmacologically </w:t>
      </w:r>
      <w:r w:rsidR="005038E9">
        <w:t xml:space="preserve">responsive to vedolizumab (see </w:t>
      </w:r>
      <w:r w:rsidRPr="002E55C1">
        <w:rPr>
          <w:i/>
        </w:rPr>
        <w:t>Primary Pharmacology</w:t>
      </w:r>
      <w:r w:rsidRPr="002E1456">
        <w:t xml:space="preserve">). Briefly, vedolizumab bound with similar affinity to human, cynomolgus monkey and rabbit </w:t>
      </w:r>
      <w:r w:rsidRPr="001757CF">
        <w:t>α</w:t>
      </w:r>
      <w:r w:rsidRPr="001757CF">
        <w:rPr>
          <w:vertAlign w:val="subscript"/>
        </w:rPr>
        <w:t>4</w:t>
      </w:r>
      <w:r w:rsidRPr="001757CF">
        <w:t>β</w:t>
      </w:r>
      <w:r w:rsidRPr="001757CF">
        <w:rPr>
          <w:vertAlign w:val="subscript"/>
        </w:rPr>
        <w:t>7</w:t>
      </w:r>
      <w:r w:rsidRPr="002E1456">
        <w:t xml:space="preserve"> </w:t>
      </w:r>
      <w:proofErr w:type="spellStart"/>
      <w:r w:rsidRPr="002E1456">
        <w:t>integrins</w:t>
      </w:r>
      <w:proofErr w:type="spellEnd"/>
      <w:r w:rsidRPr="002E1456">
        <w:t xml:space="preserve"> on various lymphocyte subsets. Further, in tissue cross-reactivity studies, vedolizumab showed similar cross-reactivity in human and cynomolgus monkey tissues. In both species, staining was only observed for mononuclear cells (lymphocytes and monocytes/macrophages) in lymphoid tissues and within the lumen of blood vessels, or as low-grade inflammatory infiltrates in various non-lymphoid tissues. These results are consistent with the known pattern of </w:t>
      </w:r>
      <w:r w:rsidRPr="001757CF">
        <w:t>α</w:t>
      </w:r>
      <w:r w:rsidRPr="001757CF">
        <w:rPr>
          <w:vertAlign w:val="subscript"/>
        </w:rPr>
        <w:t>4</w:t>
      </w:r>
      <w:r w:rsidRPr="001757CF">
        <w:t>β</w:t>
      </w:r>
      <w:r w:rsidRPr="001757CF">
        <w:rPr>
          <w:vertAlign w:val="subscript"/>
        </w:rPr>
        <w:t>7</w:t>
      </w:r>
      <w:r w:rsidRPr="002E1456">
        <w:t xml:space="preserve"> expression on the membrane of mononuclear cells in primates (</w:t>
      </w:r>
      <w:proofErr w:type="spellStart"/>
      <w:r w:rsidRPr="002E1456">
        <w:t>Rott</w:t>
      </w:r>
      <w:proofErr w:type="spellEnd"/>
      <w:r w:rsidRPr="002E1456">
        <w:t xml:space="preserve"> et al., 2000</w:t>
      </w:r>
      <w:r w:rsidR="002E1456">
        <w:rPr>
          <w:rStyle w:val="FootnoteReference"/>
        </w:rPr>
        <w:footnoteReference w:id="13"/>
      </w:r>
      <w:r w:rsidRPr="002E1456">
        <w:t>).</w:t>
      </w:r>
    </w:p>
    <w:p w:rsidR="006A26B0" w:rsidRPr="002E1456" w:rsidRDefault="006A26B0" w:rsidP="002E55C1">
      <w:pPr>
        <w:pStyle w:val="Heading4"/>
      </w:pPr>
      <w:bookmarkStart w:id="63" w:name="_Toc294861727"/>
      <w:r w:rsidRPr="002E1456">
        <w:t>Acute toxicity</w:t>
      </w:r>
      <w:bookmarkEnd w:id="63"/>
    </w:p>
    <w:p w:rsidR="006A26B0" w:rsidRPr="0019628F" w:rsidRDefault="006A26B0" w:rsidP="009E3350">
      <w:r w:rsidRPr="0019628F">
        <w:t>The single dose toxicity study in cynomolgus monkeys a</w:t>
      </w:r>
      <w:r w:rsidR="002E55C1">
        <w:t>t doses of 10 and 100 mg/kg (30 </w:t>
      </w:r>
      <w:r w:rsidRPr="0019628F">
        <w:t>min IV infusion) revealed no adverse effects of vedolizumab (mortality, clinical signs and body weight) over an 85 day observation period and provided sufficient information for the selection of doses in the repeat-dose studies in this species.</w:t>
      </w:r>
    </w:p>
    <w:p w:rsidR="006A26B0" w:rsidRPr="0019628F" w:rsidRDefault="006A26B0" w:rsidP="002E55C1">
      <w:pPr>
        <w:pStyle w:val="Heading4"/>
      </w:pPr>
      <w:bookmarkStart w:id="64" w:name="_Toc294861728"/>
      <w:r w:rsidRPr="0019628F">
        <w:t>Repeat</w:t>
      </w:r>
      <w:r w:rsidR="00326357">
        <w:t xml:space="preserve"> </w:t>
      </w:r>
      <w:r w:rsidRPr="0019628F">
        <w:t>dose toxicity</w:t>
      </w:r>
      <w:bookmarkEnd w:id="64"/>
    </w:p>
    <w:p w:rsidR="006A26B0" w:rsidRPr="0019628F" w:rsidRDefault="006A26B0" w:rsidP="009E3350">
      <w:r w:rsidRPr="0019628F">
        <w:t xml:space="preserve">One repeat-dose toxicity study was conducted in rabbits and 4 in cynomolgus monkeys, with all being GLP compliant and including both sexes. All studies used the IV (clinical) route, although some studies used infusions of varied duration (15 min to 1 h) or injection and other studies used slow (1-10 min) injections. The 2 early studies in cynomolgus monkeys were conducted prior to the single dose toxicity study and used relatively low doses (2.5 mg/kg/dose or up to 10 mg/kg/dose, respectively), relatively high dosing frequencies and Process A vedolizumab (LDP-02). The </w:t>
      </w:r>
      <w:r w:rsidR="002E55C1">
        <w:t xml:space="preserve">two </w:t>
      </w:r>
      <w:r w:rsidRPr="0019628F">
        <w:t xml:space="preserve">pivotal studies were of adequate study design (including endpoints). Animal numbers were adequate, although a higher numbers of rabbits could have been used, and interpretation is always more difficult with the low animal numbers that are typical for studies in monkeys. These studies all included recovery assessment. Although doses were not limited by toxicity, they </w:t>
      </w:r>
      <w:r w:rsidRPr="0019628F">
        <w:lastRenderedPageBreak/>
        <w:t xml:space="preserve">achieved adequate exposure ratios (see </w:t>
      </w:r>
      <w:r w:rsidRPr="002E55C1">
        <w:rPr>
          <w:i/>
        </w:rPr>
        <w:t>Relative Exposure</w:t>
      </w:r>
      <w:r w:rsidRPr="0019628F">
        <w:t xml:space="preserve"> table below). The doses used in cynomolgus monkeys were presumably based on the negative findings at the same doses in the single dose toxicity study. While no preliminary data were available for the rabbit, the same doses were used in this species as in the cynomolgus monkey, and as might be expected for a monoclonal antibody, achieved similar exposure ratios (see </w:t>
      </w:r>
      <w:r w:rsidRPr="002E55C1">
        <w:rPr>
          <w:i/>
        </w:rPr>
        <w:t>Relative Exposure</w:t>
      </w:r>
      <w:r w:rsidR="005038E9">
        <w:t xml:space="preserve"> table below and </w:t>
      </w:r>
      <w:r w:rsidRPr="002E55C1">
        <w:rPr>
          <w:i/>
        </w:rPr>
        <w:t>Reproductive Toxicity</w:t>
      </w:r>
      <w:r w:rsidRPr="0019628F">
        <w:t xml:space="preserve">). Frequency of dosing was every 2 weeks which was an appropriate dosing interval, with trough concentrations at all doses in the pivotal studies being above (generally well above) trough concentrations in humans given the recommended dose. </w:t>
      </w:r>
      <w:proofErr w:type="gramStart"/>
      <w:r w:rsidRPr="0019628F">
        <w:t>A six</w:t>
      </w:r>
      <w:proofErr w:type="gramEnd"/>
      <w:r w:rsidRPr="0019628F">
        <w:t xml:space="preserve"> month study duration (the length of the pivotal monkey study) is normally considered adequate for a biotechnology-derived pharmaceutical for chronic indications. The rabbit study was 12 weeks, but given the length of the pivotal monkey study, and the development of antibodies in many of the rabbits (which would limit the information that could be gained by a longer duration study), this was acceptable.</w:t>
      </w:r>
    </w:p>
    <w:p w:rsidR="006A26B0" w:rsidRPr="0019628F" w:rsidRDefault="006A26B0" w:rsidP="009E3350">
      <w:pPr>
        <w:pStyle w:val="Heading5"/>
      </w:pPr>
      <w:r w:rsidRPr="0019628F">
        <w:t xml:space="preserve">Relative </w:t>
      </w:r>
      <w:r w:rsidRPr="009E3350">
        <w:t>exposure</w:t>
      </w:r>
    </w:p>
    <w:p w:rsidR="006A26B0" w:rsidRPr="0019628F" w:rsidRDefault="006A26B0" w:rsidP="009E3350">
      <w:r w:rsidRPr="0019628F">
        <w:t xml:space="preserve">Exposure ratios have been calculated based on </w:t>
      </w:r>
      <w:proofErr w:type="spellStart"/>
      <w:r w:rsidRPr="0019628F">
        <w:t>animal</w:t>
      </w:r>
      <w:proofErr w:type="gramStart"/>
      <w:r w:rsidRPr="0019628F">
        <w:t>:human</w:t>
      </w:r>
      <w:proofErr w:type="spellEnd"/>
      <w:proofErr w:type="gramEnd"/>
      <w:r w:rsidRPr="0019628F">
        <w:t xml:space="preserve"> serum </w:t>
      </w:r>
      <w:r w:rsidR="002E55C1">
        <w:t xml:space="preserve">are under the concentration-time curve (AUC) </w:t>
      </w:r>
      <w:r w:rsidRPr="0019628F">
        <w:t>values. H</w:t>
      </w:r>
      <w:r w:rsidR="002E55C1">
        <w:t>uman reference values are from c</w:t>
      </w:r>
      <w:r w:rsidRPr="0019628F">
        <w:t xml:space="preserve">linical Study C13009. Exposure ratios achieved were acceptable. </w:t>
      </w:r>
    </w:p>
    <w:p w:rsidR="006A26B0" w:rsidRPr="0019628F" w:rsidRDefault="005038E9" w:rsidP="009E3350">
      <w:pPr>
        <w:pStyle w:val="TableTitle"/>
      </w:pPr>
      <w:r>
        <w:t>Table 2</w:t>
      </w:r>
      <w:r w:rsidR="00AD00C8">
        <w:t>:</w:t>
      </w:r>
      <w:r w:rsidR="002E55C1">
        <w:t xml:space="preserve"> </w:t>
      </w:r>
      <w:r w:rsidR="006A26B0" w:rsidRPr="0019628F">
        <w:t>Relative exposure in repeat-dose toxicity studies</w:t>
      </w:r>
    </w:p>
    <w:tbl>
      <w:tblPr>
        <w:tblStyle w:val="TableTGAblue"/>
        <w:tblW w:w="8505" w:type="dxa"/>
        <w:tblLayout w:type="fixed"/>
        <w:tblLook w:val="01E0" w:firstRow="1" w:lastRow="1" w:firstColumn="1" w:lastColumn="1" w:noHBand="0" w:noVBand="0"/>
      </w:tblPr>
      <w:tblGrid>
        <w:gridCol w:w="1276"/>
        <w:gridCol w:w="1464"/>
        <w:gridCol w:w="1701"/>
        <w:gridCol w:w="1401"/>
        <w:gridCol w:w="1388"/>
        <w:gridCol w:w="1275"/>
      </w:tblGrid>
      <w:tr w:rsidR="0019628F" w:rsidRPr="002E55C1" w:rsidTr="009E3350">
        <w:trPr>
          <w:cnfStyle w:val="100000000000" w:firstRow="1" w:lastRow="0" w:firstColumn="0" w:lastColumn="0" w:oddVBand="0" w:evenVBand="0" w:oddHBand="0" w:evenHBand="0" w:firstRowFirstColumn="0" w:firstRowLastColumn="0" w:lastRowFirstColumn="0" w:lastRowLastColumn="0"/>
        </w:trPr>
        <w:tc>
          <w:tcPr>
            <w:tcW w:w="1276" w:type="dxa"/>
          </w:tcPr>
          <w:p w:rsidR="006A26B0" w:rsidRPr="002E55C1" w:rsidRDefault="006A26B0" w:rsidP="009E3350">
            <w:pPr>
              <w:ind w:left="0" w:right="-74"/>
            </w:pPr>
            <w:r w:rsidRPr="002E55C1">
              <w:t>Species</w:t>
            </w:r>
          </w:p>
        </w:tc>
        <w:tc>
          <w:tcPr>
            <w:tcW w:w="1464" w:type="dxa"/>
          </w:tcPr>
          <w:p w:rsidR="006A26B0" w:rsidRPr="002E55C1" w:rsidRDefault="002E55C1" w:rsidP="009E3350">
            <w:pPr>
              <w:ind w:left="0" w:right="0"/>
            </w:pPr>
            <w:r>
              <w:t>Study</w:t>
            </w:r>
            <w:r w:rsidR="006A26B0" w:rsidRPr="002E55C1">
              <w:t xml:space="preserve"> duration</w:t>
            </w:r>
          </w:p>
          <w:p w:rsidR="006A26B0" w:rsidRPr="002E55C1" w:rsidRDefault="006A26B0" w:rsidP="009E3350">
            <w:pPr>
              <w:ind w:left="0" w:right="0"/>
            </w:pPr>
            <w:r w:rsidRPr="002E55C1">
              <w:t>(sampling day)</w:t>
            </w:r>
          </w:p>
        </w:tc>
        <w:tc>
          <w:tcPr>
            <w:tcW w:w="1701" w:type="dxa"/>
          </w:tcPr>
          <w:p w:rsidR="006A26B0" w:rsidRPr="002E55C1" w:rsidRDefault="006A26B0" w:rsidP="009E3350">
            <w:pPr>
              <w:ind w:left="0" w:right="0"/>
            </w:pPr>
            <w:r w:rsidRPr="002E55C1">
              <w:t>Dose</w:t>
            </w:r>
            <w:r w:rsidRPr="002E55C1">
              <w:br/>
              <w:t>mg/kg/dose</w:t>
            </w:r>
          </w:p>
        </w:tc>
        <w:tc>
          <w:tcPr>
            <w:tcW w:w="1401" w:type="dxa"/>
          </w:tcPr>
          <w:p w:rsidR="006A26B0" w:rsidRPr="002E55C1" w:rsidRDefault="006A26B0" w:rsidP="009E3350">
            <w:pPr>
              <w:ind w:left="0" w:right="0"/>
            </w:pPr>
            <w:r w:rsidRPr="002E55C1">
              <w:t>AUC period</w:t>
            </w:r>
          </w:p>
        </w:tc>
        <w:tc>
          <w:tcPr>
            <w:tcW w:w="1388" w:type="dxa"/>
          </w:tcPr>
          <w:p w:rsidR="006A26B0" w:rsidRPr="002E55C1" w:rsidRDefault="006A26B0" w:rsidP="009E3350">
            <w:pPr>
              <w:ind w:left="0" w:right="0"/>
            </w:pPr>
            <w:r w:rsidRPr="002E55C1">
              <w:t>AUC^</w:t>
            </w:r>
            <w:r w:rsidRPr="002E55C1">
              <w:br/>
              <w:t>(µ</w:t>
            </w:r>
            <w:proofErr w:type="spellStart"/>
            <w:r w:rsidRPr="002E55C1">
              <w:t>g∙h</w:t>
            </w:r>
            <w:proofErr w:type="spellEnd"/>
            <w:r w:rsidRPr="002E55C1">
              <w:t>/mL)</w:t>
            </w:r>
          </w:p>
        </w:tc>
        <w:tc>
          <w:tcPr>
            <w:tcW w:w="1275" w:type="dxa"/>
          </w:tcPr>
          <w:p w:rsidR="006A26B0" w:rsidRPr="002E55C1" w:rsidRDefault="006A26B0" w:rsidP="009E3350">
            <w:pPr>
              <w:ind w:left="0" w:right="0"/>
            </w:pPr>
            <w:r w:rsidRPr="002E55C1">
              <w:t>Exposure ratio#</w:t>
            </w:r>
          </w:p>
        </w:tc>
      </w:tr>
      <w:tr w:rsidR="006A26B0" w:rsidRPr="002E55C1" w:rsidTr="009E3350">
        <w:trPr>
          <w:trHeight w:val="227"/>
        </w:trPr>
        <w:tc>
          <w:tcPr>
            <w:tcW w:w="1276" w:type="dxa"/>
            <w:vMerge w:val="restart"/>
          </w:tcPr>
          <w:p w:rsidR="006A26B0" w:rsidRPr="002E55C1" w:rsidRDefault="009E3350" w:rsidP="009E3350">
            <w:pPr>
              <w:ind w:left="0" w:right="-74"/>
            </w:pPr>
            <w:r>
              <w:t>Rabbit</w:t>
            </w:r>
          </w:p>
        </w:tc>
        <w:tc>
          <w:tcPr>
            <w:tcW w:w="1464" w:type="dxa"/>
            <w:vMerge w:val="restart"/>
          </w:tcPr>
          <w:p w:rsidR="006A26B0" w:rsidRPr="002E55C1" w:rsidRDefault="006A26B0" w:rsidP="009E3350">
            <w:pPr>
              <w:ind w:left="0" w:right="0"/>
            </w:pPr>
            <w:r w:rsidRPr="002E55C1">
              <w:t>12 weeks (day 84)</w:t>
            </w:r>
          </w:p>
        </w:tc>
        <w:tc>
          <w:tcPr>
            <w:tcW w:w="1701" w:type="dxa"/>
          </w:tcPr>
          <w:p w:rsidR="006A26B0" w:rsidRPr="002E55C1" w:rsidRDefault="006A26B0" w:rsidP="009E3350">
            <w:pPr>
              <w:ind w:left="0" w:right="0"/>
            </w:pPr>
            <w:r w:rsidRPr="002E55C1">
              <w:t>30</w:t>
            </w:r>
          </w:p>
        </w:tc>
        <w:tc>
          <w:tcPr>
            <w:tcW w:w="1401" w:type="dxa"/>
            <w:vMerge w:val="restart"/>
            <w:vAlign w:val="center"/>
          </w:tcPr>
          <w:p w:rsidR="006A26B0" w:rsidRPr="002E55C1" w:rsidRDefault="006A26B0" w:rsidP="009E3350">
            <w:pPr>
              <w:ind w:left="0" w:right="0"/>
            </w:pPr>
            <w:r w:rsidRPr="002E55C1">
              <w:t>AUC</w:t>
            </w:r>
            <w:r w:rsidRPr="002E55C1">
              <w:rPr>
                <w:vertAlign w:val="subscript"/>
              </w:rPr>
              <w:t>0–337 h</w:t>
            </w:r>
          </w:p>
        </w:tc>
        <w:tc>
          <w:tcPr>
            <w:tcW w:w="1388" w:type="dxa"/>
          </w:tcPr>
          <w:p w:rsidR="006A26B0" w:rsidRPr="002E55C1" w:rsidRDefault="006A26B0" w:rsidP="009E3350">
            <w:pPr>
              <w:ind w:left="0" w:right="0"/>
            </w:pPr>
            <w:r w:rsidRPr="002E55C1">
              <w:t>81,350</w:t>
            </w:r>
          </w:p>
        </w:tc>
        <w:tc>
          <w:tcPr>
            <w:tcW w:w="1275" w:type="dxa"/>
          </w:tcPr>
          <w:p w:rsidR="006A26B0" w:rsidRPr="002E55C1" w:rsidRDefault="006A26B0" w:rsidP="009E3350">
            <w:pPr>
              <w:ind w:left="0" w:right="0"/>
            </w:pPr>
            <w:r w:rsidRPr="002E55C1">
              <w:t>1.7</w:t>
            </w:r>
          </w:p>
        </w:tc>
      </w:tr>
      <w:tr w:rsidR="006A26B0" w:rsidRPr="002E55C1" w:rsidTr="009E3350">
        <w:trPr>
          <w:trHeight w:val="227"/>
        </w:trPr>
        <w:tc>
          <w:tcPr>
            <w:tcW w:w="1276" w:type="dxa"/>
            <w:vMerge/>
          </w:tcPr>
          <w:p w:rsidR="006A26B0" w:rsidRPr="002E55C1" w:rsidRDefault="006A26B0" w:rsidP="009E3350">
            <w:pPr>
              <w:ind w:left="0" w:right="-74"/>
            </w:pPr>
          </w:p>
        </w:tc>
        <w:tc>
          <w:tcPr>
            <w:tcW w:w="1464" w:type="dxa"/>
            <w:vMerge/>
          </w:tcPr>
          <w:p w:rsidR="006A26B0" w:rsidRPr="002E55C1" w:rsidRDefault="006A26B0" w:rsidP="009E3350">
            <w:pPr>
              <w:ind w:left="0" w:right="0"/>
            </w:pPr>
          </w:p>
        </w:tc>
        <w:tc>
          <w:tcPr>
            <w:tcW w:w="1701" w:type="dxa"/>
          </w:tcPr>
          <w:p w:rsidR="006A26B0" w:rsidRPr="002E55C1" w:rsidRDefault="006A26B0" w:rsidP="009E3350">
            <w:pPr>
              <w:ind w:left="0" w:right="0"/>
            </w:pPr>
            <w:r w:rsidRPr="002E55C1">
              <w:t>100</w:t>
            </w:r>
          </w:p>
        </w:tc>
        <w:tc>
          <w:tcPr>
            <w:tcW w:w="1401" w:type="dxa"/>
            <w:vMerge/>
          </w:tcPr>
          <w:p w:rsidR="006A26B0" w:rsidRPr="002E55C1" w:rsidRDefault="006A26B0" w:rsidP="009E3350">
            <w:pPr>
              <w:ind w:left="0" w:right="0"/>
            </w:pPr>
          </w:p>
        </w:tc>
        <w:tc>
          <w:tcPr>
            <w:tcW w:w="1388" w:type="dxa"/>
          </w:tcPr>
          <w:p w:rsidR="006A26B0" w:rsidRPr="002E55C1" w:rsidRDefault="006A26B0" w:rsidP="009E3350">
            <w:pPr>
              <w:ind w:left="0" w:right="0"/>
            </w:pPr>
            <w:r w:rsidRPr="002E55C1">
              <w:t>1,192,500</w:t>
            </w:r>
          </w:p>
        </w:tc>
        <w:tc>
          <w:tcPr>
            <w:tcW w:w="1275" w:type="dxa"/>
          </w:tcPr>
          <w:p w:rsidR="006A26B0" w:rsidRPr="002E55C1" w:rsidRDefault="006A26B0" w:rsidP="009E3350">
            <w:pPr>
              <w:ind w:left="0" w:right="0"/>
            </w:pPr>
            <w:r w:rsidRPr="002E55C1">
              <w:t>25</w:t>
            </w:r>
          </w:p>
        </w:tc>
      </w:tr>
      <w:tr w:rsidR="006A26B0" w:rsidRPr="002E55C1" w:rsidTr="009E3350">
        <w:trPr>
          <w:trHeight w:val="227"/>
        </w:trPr>
        <w:tc>
          <w:tcPr>
            <w:tcW w:w="1276" w:type="dxa"/>
            <w:vMerge w:val="restart"/>
          </w:tcPr>
          <w:p w:rsidR="006A26B0" w:rsidRPr="002E55C1" w:rsidRDefault="006A26B0" w:rsidP="009E3350">
            <w:pPr>
              <w:ind w:left="0" w:right="-74"/>
            </w:pPr>
            <w:r w:rsidRPr="002E55C1">
              <w:t>Cynomolgus monkey</w:t>
            </w:r>
          </w:p>
        </w:tc>
        <w:tc>
          <w:tcPr>
            <w:tcW w:w="1464" w:type="dxa"/>
            <w:vMerge w:val="restart"/>
          </w:tcPr>
          <w:p w:rsidR="006A26B0" w:rsidRPr="002E55C1" w:rsidRDefault="006A26B0" w:rsidP="009E3350">
            <w:pPr>
              <w:ind w:left="0" w:right="0"/>
            </w:pPr>
            <w:r w:rsidRPr="002E55C1">
              <w:t>26 weeks (day 1)</w:t>
            </w:r>
          </w:p>
        </w:tc>
        <w:tc>
          <w:tcPr>
            <w:tcW w:w="1701" w:type="dxa"/>
          </w:tcPr>
          <w:p w:rsidR="006A26B0" w:rsidRPr="002E55C1" w:rsidRDefault="006A26B0" w:rsidP="009E3350">
            <w:pPr>
              <w:ind w:left="0" w:right="0"/>
            </w:pPr>
            <w:r w:rsidRPr="002E55C1">
              <w:t>10</w:t>
            </w:r>
          </w:p>
        </w:tc>
        <w:tc>
          <w:tcPr>
            <w:tcW w:w="1401" w:type="dxa"/>
            <w:vMerge w:val="restart"/>
            <w:vAlign w:val="center"/>
          </w:tcPr>
          <w:p w:rsidR="006A26B0" w:rsidRPr="002E55C1" w:rsidRDefault="006A26B0" w:rsidP="009E3350">
            <w:pPr>
              <w:ind w:left="0" w:right="0"/>
            </w:pPr>
            <w:r w:rsidRPr="002E55C1">
              <w:t>AUC</w:t>
            </w:r>
            <w:r w:rsidRPr="002E55C1">
              <w:rPr>
                <w:vertAlign w:val="subscript"/>
              </w:rPr>
              <w:t>0–336 h</w:t>
            </w:r>
          </w:p>
        </w:tc>
        <w:tc>
          <w:tcPr>
            <w:tcW w:w="1388" w:type="dxa"/>
          </w:tcPr>
          <w:p w:rsidR="006A26B0" w:rsidRPr="002E55C1" w:rsidRDefault="006A26B0" w:rsidP="009E3350">
            <w:pPr>
              <w:ind w:left="0" w:right="0"/>
            </w:pPr>
            <w:r w:rsidRPr="002E55C1">
              <w:t>38,200</w:t>
            </w:r>
          </w:p>
        </w:tc>
        <w:tc>
          <w:tcPr>
            <w:tcW w:w="1275" w:type="dxa"/>
          </w:tcPr>
          <w:p w:rsidR="006A26B0" w:rsidRPr="002E55C1" w:rsidRDefault="006A26B0" w:rsidP="009E3350">
            <w:pPr>
              <w:ind w:left="0" w:right="0"/>
            </w:pPr>
            <w:r w:rsidRPr="002E55C1">
              <w:t>0.8</w:t>
            </w:r>
          </w:p>
        </w:tc>
      </w:tr>
      <w:tr w:rsidR="006A26B0" w:rsidRPr="002E55C1" w:rsidTr="009E3350">
        <w:trPr>
          <w:trHeight w:val="227"/>
        </w:trPr>
        <w:tc>
          <w:tcPr>
            <w:tcW w:w="1276" w:type="dxa"/>
            <w:vMerge/>
          </w:tcPr>
          <w:p w:rsidR="006A26B0" w:rsidRPr="002E55C1" w:rsidRDefault="006A26B0" w:rsidP="009E3350">
            <w:pPr>
              <w:ind w:left="0" w:right="-74"/>
            </w:pPr>
          </w:p>
        </w:tc>
        <w:tc>
          <w:tcPr>
            <w:tcW w:w="1464" w:type="dxa"/>
            <w:vMerge/>
          </w:tcPr>
          <w:p w:rsidR="006A26B0" w:rsidRPr="002E55C1" w:rsidRDefault="006A26B0" w:rsidP="009E3350">
            <w:pPr>
              <w:ind w:left="0" w:right="0"/>
            </w:pPr>
          </w:p>
        </w:tc>
        <w:tc>
          <w:tcPr>
            <w:tcW w:w="1701" w:type="dxa"/>
          </w:tcPr>
          <w:p w:rsidR="006A26B0" w:rsidRPr="002E55C1" w:rsidRDefault="006A26B0" w:rsidP="009E3350">
            <w:pPr>
              <w:ind w:left="0" w:right="0"/>
            </w:pPr>
            <w:r w:rsidRPr="002E55C1">
              <w:t>30</w:t>
            </w:r>
          </w:p>
        </w:tc>
        <w:tc>
          <w:tcPr>
            <w:tcW w:w="1401" w:type="dxa"/>
            <w:vMerge/>
          </w:tcPr>
          <w:p w:rsidR="006A26B0" w:rsidRPr="002E55C1" w:rsidRDefault="006A26B0" w:rsidP="009E3350">
            <w:pPr>
              <w:ind w:left="0" w:right="0"/>
            </w:pPr>
          </w:p>
        </w:tc>
        <w:tc>
          <w:tcPr>
            <w:tcW w:w="1388" w:type="dxa"/>
          </w:tcPr>
          <w:p w:rsidR="006A26B0" w:rsidRPr="002E55C1" w:rsidRDefault="006A26B0" w:rsidP="009E3350">
            <w:pPr>
              <w:ind w:left="0" w:right="0"/>
            </w:pPr>
            <w:r w:rsidRPr="002E55C1">
              <w:t>113,000</w:t>
            </w:r>
          </w:p>
        </w:tc>
        <w:tc>
          <w:tcPr>
            <w:tcW w:w="1275" w:type="dxa"/>
          </w:tcPr>
          <w:p w:rsidR="006A26B0" w:rsidRPr="002E55C1" w:rsidRDefault="006A26B0" w:rsidP="009E3350">
            <w:pPr>
              <w:ind w:left="0" w:right="0"/>
            </w:pPr>
            <w:r w:rsidRPr="002E55C1">
              <w:t>2.4</w:t>
            </w:r>
          </w:p>
        </w:tc>
      </w:tr>
      <w:tr w:rsidR="006A26B0" w:rsidRPr="002E55C1" w:rsidTr="009E3350">
        <w:trPr>
          <w:trHeight w:val="227"/>
        </w:trPr>
        <w:tc>
          <w:tcPr>
            <w:tcW w:w="1276" w:type="dxa"/>
            <w:vMerge/>
          </w:tcPr>
          <w:p w:rsidR="006A26B0" w:rsidRPr="002E55C1" w:rsidRDefault="006A26B0" w:rsidP="009E3350">
            <w:pPr>
              <w:ind w:left="0" w:right="-74"/>
            </w:pPr>
          </w:p>
        </w:tc>
        <w:tc>
          <w:tcPr>
            <w:tcW w:w="1464" w:type="dxa"/>
            <w:vMerge/>
          </w:tcPr>
          <w:p w:rsidR="006A26B0" w:rsidRPr="002E55C1" w:rsidRDefault="006A26B0" w:rsidP="009E3350">
            <w:pPr>
              <w:ind w:left="0" w:right="0"/>
            </w:pPr>
          </w:p>
        </w:tc>
        <w:tc>
          <w:tcPr>
            <w:tcW w:w="1701" w:type="dxa"/>
          </w:tcPr>
          <w:p w:rsidR="006A26B0" w:rsidRPr="002E55C1" w:rsidRDefault="006A26B0" w:rsidP="009E3350">
            <w:pPr>
              <w:ind w:left="0" w:right="0"/>
            </w:pPr>
            <w:r w:rsidRPr="002E55C1">
              <w:t>100</w:t>
            </w:r>
          </w:p>
        </w:tc>
        <w:tc>
          <w:tcPr>
            <w:tcW w:w="1401" w:type="dxa"/>
            <w:vMerge/>
          </w:tcPr>
          <w:p w:rsidR="006A26B0" w:rsidRPr="002E55C1" w:rsidRDefault="006A26B0" w:rsidP="009E3350">
            <w:pPr>
              <w:ind w:left="0" w:right="0"/>
            </w:pPr>
          </w:p>
        </w:tc>
        <w:tc>
          <w:tcPr>
            <w:tcW w:w="1388" w:type="dxa"/>
          </w:tcPr>
          <w:p w:rsidR="006A26B0" w:rsidRPr="002E55C1" w:rsidRDefault="006A26B0" w:rsidP="009E3350">
            <w:pPr>
              <w:ind w:left="0" w:right="0"/>
            </w:pPr>
            <w:r w:rsidRPr="002E55C1">
              <w:t>376,000</w:t>
            </w:r>
          </w:p>
        </w:tc>
        <w:tc>
          <w:tcPr>
            <w:tcW w:w="1275" w:type="dxa"/>
          </w:tcPr>
          <w:p w:rsidR="006A26B0" w:rsidRPr="002E55C1" w:rsidRDefault="006A26B0" w:rsidP="009E3350">
            <w:pPr>
              <w:ind w:left="0" w:right="0"/>
            </w:pPr>
            <w:r w:rsidRPr="002E55C1">
              <w:t>8</w:t>
            </w:r>
          </w:p>
        </w:tc>
      </w:tr>
      <w:tr w:rsidR="006A26B0" w:rsidRPr="002E55C1" w:rsidTr="009E3350">
        <w:trPr>
          <w:trHeight w:val="227"/>
        </w:trPr>
        <w:tc>
          <w:tcPr>
            <w:tcW w:w="1276" w:type="dxa"/>
          </w:tcPr>
          <w:p w:rsidR="006A26B0" w:rsidRPr="002E55C1" w:rsidRDefault="006A26B0" w:rsidP="009E3350">
            <w:pPr>
              <w:ind w:left="0" w:right="-74"/>
            </w:pPr>
            <w:r w:rsidRPr="002E55C1">
              <w:t>Human</w:t>
            </w:r>
            <w:r w:rsidRPr="002E55C1">
              <w:br/>
              <w:t>(healthy volunteers)</w:t>
            </w:r>
          </w:p>
        </w:tc>
        <w:tc>
          <w:tcPr>
            <w:tcW w:w="1464" w:type="dxa"/>
          </w:tcPr>
          <w:p w:rsidR="006A26B0" w:rsidRPr="002E55C1" w:rsidRDefault="006A26B0" w:rsidP="009E3350">
            <w:pPr>
              <w:ind w:left="0" w:right="0"/>
            </w:pPr>
            <w:r w:rsidRPr="002E55C1">
              <w:t>single dose</w:t>
            </w:r>
          </w:p>
        </w:tc>
        <w:tc>
          <w:tcPr>
            <w:tcW w:w="1701" w:type="dxa"/>
          </w:tcPr>
          <w:p w:rsidR="006A26B0" w:rsidRPr="002E55C1" w:rsidRDefault="006A26B0" w:rsidP="009E3350">
            <w:pPr>
              <w:ind w:left="0" w:right="0"/>
            </w:pPr>
            <w:r w:rsidRPr="002E55C1">
              <w:t>300 mg</w:t>
            </w:r>
          </w:p>
        </w:tc>
        <w:tc>
          <w:tcPr>
            <w:tcW w:w="1401" w:type="dxa"/>
          </w:tcPr>
          <w:p w:rsidR="006A26B0" w:rsidRPr="002E55C1" w:rsidRDefault="006A26B0" w:rsidP="009E3350">
            <w:pPr>
              <w:ind w:left="0" w:right="0"/>
            </w:pPr>
            <w:r w:rsidRPr="002E55C1">
              <w:t>AUC</w:t>
            </w:r>
            <w:r w:rsidRPr="002E55C1">
              <w:rPr>
                <w:vertAlign w:val="subscript"/>
              </w:rPr>
              <w:t>0-t</w:t>
            </w:r>
          </w:p>
        </w:tc>
        <w:tc>
          <w:tcPr>
            <w:tcW w:w="1388" w:type="dxa"/>
          </w:tcPr>
          <w:p w:rsidR="006A26B0" w:rsidRPr="002E55C1" w:rsidRDefault="006A26B0" w:rsidP="009E3350">
            <w:pPr>
              <w:ind w:left="0" w:right="0"/>
            </w:pPr>
            <w:r w:rsidRPr="002E55C1">
              <w:t>47,760*</w:t>
            </w:r>
          </w:p>
        </w:tc>
        <w:tc>
          <w:tcPr>
            <w:tcW w:w="1275" w:type="dxa"/>
          </w:tcPr>
          <w:p w:rsidR="006A26B0" w:rsidRPr="002E55C1" w:rsidRDefault="006A26B0" w:rsidP="009E3350">
            <w:pPr>
              <w:ind w:left="0" w:right="0"/>
            </w:pPr>
            <w:r w:rsidRPr="002E55C1">
              <w:t>–</w:t>
            </w:r>
          </w:p>
        </w:tc>
      </w:tr>
    </w:tbl>
    <w:p w:rsidR="006A26B0" w:rsidRPr="002E55C1" w:rsidRDefault="006A26B0" w:rsidP="009E3350">
      <w:pPr>
        <w:pStyle w:val="TableDescription"/>
      </w:pPr>
      <w:r w:rsidRPr="002E55C1">
        <w:t xml:space="preserve">^ </w:t>
      </w:r>
      <w:proofErr w:type="gramStart"/>
      <w:r w:rsidRPr="002E55C1">
        <w:t>combined</w:t>
      </w:r>
      <w:proofErr w:type="gramEnd"/>
      <w:r w:rsidRPr="002E55C1">
        <w:t xml:space="preserve"> sex</w:t>
      </w:r>
      <w:r w:rsidR="001A768D">
        <w:t xml:space="preserve">es; # = </w:t>
      </w:r>
      <w:proofErr w:type="spellStart"/>
      <w:r w:rsidR="001A768D">
        <w:t>animal:human</w:t>
      </w:r>
      <w:proofErr w:type="spellEnd"/>
      <w:r w:rsidR="001A768D">
        <w:t xml:space="preserve"> plasma AUC; </w:t>
      </w:r>
      <w:r w:rsidRPr="002E55C1">
        <w:t>* 1990</w:t>
      </w:r>
      <w:r w:rsidR="002E55C1">
        <w:t xml:space="preserve"> </w:t>
      </w:r>
      <w:r w:rsidRPr="002E55C1">
        <w:t>x</w:t>
      </w:r>
      <w:r w:rsidR="002E55C1">
        <w:t xml:space="preserve"> </w:t>
      </w:r>
      <w:r w:rsidRPr="002E55C1">
        <w:t>24 to convert from µ</w:t>
      </w:r>
      <w:proofErr w:type="spellStart"/>
      <w:r w:rsidRPr="002E55C1">
        <w:t>g.day</w:t>
      </w:r>
      <w:proofErr w:type="spellEnd"/>
      <w:r w:rsidRPr="002E55C1">
        <w:t>/mL to µ</w:t>
      </w:r>
      <w:proofErr w:type="spellStart"/>
      <w:r w:rsidRPr="002E55C1">
        <w:t>g.h</w:t>
      </w:r>
      <w:proofErr w:type="spellEnd"/>
      <w:r w:rsidRPr="002E55C1">
        <w:t>/mL</w:t>
      </w:r>
    </w:p>
    <w:p w:rsidR="006A26B0" w:rsidRPr="0019628F" w:rsidRDefault="006A26B0" w:rsidP="009E3350">
      <w:r w:rsidRPr="0019628F">
        <w:t xml:space="preserve">AUC values used for the calculation of exposure ratios for the rabbit were for day 84 as these were the only data available. At the HD, one female out of 9 animals (5/sex minus one unscheduled death) had persistent high titre antibodies that resulted in reduced serum vedolizumab concentrations. For cynomolgus monkeys, day 1 AUC values were used because of the variability of the data at the end of the study associated with the impact of anti-vedolizumab antibodies in some of the animals. AUC values for humans were for a single dose, so correspond with the day 1 values for monkeys. In cynomolgus monkeys, day 1 levels were not maintained for the full duration of the study in a number of animals at the </w:t>
      </w:r>
      <w:r w:rsidR="002E55C1">
        <w:t xml:space="preserve">low dose </w:t>
      </w:r>
      <w:r w:rsidRPr="0019628F">
        <w:t xml:space="preserve">and </w:t>
      </w:r>
      <w:r w:rsidR="002E55C1">
        <w:t>mid dose</w:t>
      </w:r>
      <w:r w:rsidRPr="0019628F">
        <w:t xml:space="preserve">, but at the </w:t>
      </w:r>
      <w:r w:rsidR="002E55C1">
        <w:t>high dose</w:t>
      </w:r>
      <w:r w:rsidRPr="0019628F">
        <w:t>, serum concentrations were maintained throughout the study in all animals as no animal developed persistent high titre antibodies, and mean C</w:t>
      </w:r>
      <w:r w:rsidRPr="001A768D">
        <w:rPr>
          <w:vertAlign w:val="subscript"/>
        </w:rPr>
        <w:t>max</w:t>
      </w:r>
      <w:r w:rsidRPr="0019628F">
        <w:t xml:space="preserve"> and AUC values were </w:t>
      </w:r>
      <w:r w:rsidR="002E55C1">
        <w:t xml:space="preserve">about two times </w:t>
      </w:r>
      <w:r w:rsidRPr="0019628F">
        <w:t>higher on day 169 than on day 1.</w:t>
      </w:r>
    </w:p>
    <w:p w:rsidR="006A26B0" w:rsidRPr="0019628F" w:rsidRDefault="006A26B0" w:rsidP="009E3350">
      <w:r w:rsidRPr="0019628F">
        <w:lastRenderedPageBreak/>
        <w:t xml:space="preserve">The exposure ratios are likely to be underestimates because the AUC measurement period in the animal studies (336-337 h) was shorter than that in humans which was to the last time point at which concentrations were measureable, (this value in humans was only slightly lower than the value extrapolated to infinity). </w:t>
      </w:r>
      <w:proofErr w:type="spellStart"/>
      <w:r w:rsidRPr="0019628F">
        <w:t>Toxicokinetic</w:t>
      </w:r>
      <w:proofErr w:type="spellEnd"/>
      <w:r w:rsidRPr="0019628F">
        <w:t xml:space="preserve"> data (</w:t>
      </w:r>
      <w:r w:rsidR="002E55C1">
        <w:t xml:space="preserve">on gestation day </w:t>
      </w:r>
      <w:r w:rsidRPr="0019628F">
        <w:t>132) for the pre-/postnatal study in cynomolgus monkeys illustrate this, as two AUC values were available, AUC</w:t>
      </w:r>
      <w:r w:rsidRPr="002E55C1">
        <w:rPr>
          <w:vertAlign w:val="subscript"/>
        </w:rPr>
        <w:t>0-336 h</w:t>
      </w:r>
      <w:r w:rsidRPr="0019628F">
        <w:t xml:space="preserve"> and AUC</w:t>
      </w:r>
      <w:r w:rsidRPr="002E55C1">
        <w:rPr>
          <w:vertAlign w:val="subscript"/>
        </w:rPr>
        <w:t>0-3480 h</w:t>
      </w:r>
      <w:r w:rsidRPr="0019628F">
        <w:t xml:space="preserve"> (the latter value, a calculation based on sampling to day 277 post coitus). In animals that did not develop high titre antibodies, these two values were 62,200 and 105,000 µ</w:t>
      </w:r>
      <w:proofErr w:type="spellStart"/>
      <w:r w:rsidRPr="0019628F">
        <w:t>g.h</w:t>
      </w:r>
      <w:proofErr w:type="spellEnd"/>
      <w:r w:rsidRPr="0019628F">
        <w:t xml:space="preserve">/mL at the </w:t>
      </w:r>
      <w:r w:rsidR="002E55C1">
        <w:t xml:space="preserve">low dose </w:t>
      </w:r>
      <w:r w:rsidRPr="0019628F">
        <w:t>(10 mg/kg/dose) and 692,000 and 1,140,000 µ</w:t>
      </w:r>
      <w:proofErr w:type="spellStart"/>
      <w:r w:rsidRPr="0019628F">
        <w:t>g.h</w:t>
      </w:r>
      <w:proofErr w:type="spellEnd"/>
      <w:r w:rsidRPr="0019628F">
        <w:t xml:space="preserve">/mL at the </w:t>
      </w:r>
      <w:r w:rsidR="002E55C1">
        <w:t xml:space="preserve">high dose </w:t>
      </w:r>
      <w:r w:rsidRPr="0019628F">
        <w:t xml:space="preserve">(100 mg/kg/dose); the lower value was 59% and 61% of the higher value at the </w:t>
      </w:r>
      <w:r w:rsidR="002E55C1">
        <w:t xml:space="preserve">low dose </w:t>
      </w:r>
      <w:r w:rsidRPr="0019628F">
        <w:t xml:space="preserve">and </w:t>
      </w:r>
      <w:r w:rsidR="002E55C1">
        <w:t>high dose</w:t>
      </w:r>
      <w:r w:rsidR="009E3350">
        <w:t>, respectively.</w:t>
      </w:r>
    </w:p>
    <w:p w:rsidR="006A26B0" w:rsidRPr="0019628F" w:rsidRDefault="006A26B0" w:rsidP="009E3350">
      <w:r w:rsidRPr="0019628F">
        <w:t xml:space="preserve">Data for </w:t>
      </w:r>
      <w:r w:rsidR="002E55C1">
        <w:t>two s</w:t>
      </w:r>
      <w:r w:rsidRPr="0019628F">
        <w:t>tudies have not been included in the above table as AUC values were not calculated in the former and only AUC</w:t>
      </w:r>
      <w:r w:rsidRPr="002E55C1">
        <w:rPr>
          <w:vertAlign w:val="subscript"/>
        </w:rPr>
        <w:t>0-24 h</w:t>
      </w:r>
      <w:r w:rsidRPr="0019628F">
        <w:t xml:space="preserve"> was calculated for the latter. Data for </w:t>
      </w:r>
      <w:r w:rsidR="002E55C1">
        <w:t>a further s</w:t>
      </w:r>
      <w:r w:rsidRPr="0019628F">
        <w:t>tudy have also not been included since the dose levels and dosing regime</w:t>
      </w:r>
      <w:r w:rsidR="00300110">
        <w:t>n</w:t>
      </w:r>
      <w:r w:rsidRPr="0019628F">
        <w:t xml:space="preserve"> were the same as for the pivotal 26</w:t>
      </w:r>
      <w:r w:rsidR="002E55C1">
        <w:t xml:space="preserve"> </w:t>
      </w:r>
      <w:r w:rsidRPr="0019628F">
        <w:t>week study; C</w:t>
      </w:r>
      <w:r w:rsidRPr="001A768D">
        <w:rPr>
          <w:vertAlign w:val="subscript"/>
        </w:rPr>
        <w:t>max</w:t>
      </w:r>
      <w:r w:rsidRPr="0019628F">
        <w:t xml:space="preserve"> values (day 1) for these two studies were comparable at all dose levels, but AUC values were higher </w:t>
      </w:r>
      <w:r w:rsidR="002E55C1">
        <w:t>in one</w:t>
      </w:r>
      <w:r w:rsidRPr="0019628F">
        <w:t xml:space="preserve">, presumably in part reflecting the longer period over which they were calculated (336 h </w:t>
      </w:r>
      <w:r w:rsidR="002E55C1">
        <w:t xml:space="preserve">compared with </w:t>
      </w:r>
      <w:r w:rsidRPr="0019628F">
        <w:t>168 h, with the former being closer to the AUC</w:t>
      </w:r>
      <w:r w:rsidRPr="002E55C1">
        <w:rPr>
          <w:vertAlign w:val="subscript"/>
        </w:rPr>
        <w:t>0-t</w:t>
      </w:r>
      <w:r w:rsidRPr="0019628F">
        <w:t xml:space="preserve"> calculated for humans), although trough values were also higher in </w:t>
      </w:r>
      <w:r w:rsidR="002E55C1">
        <w:t>one s</w:t>
      </w:r>
      <w:r w:rsidRPr="0019628F">
        <w:t>tudy. Exposure ratios based on C</w:t>
      </w:r>
      <w:r w:rsidRPr="001A768D">
        <w:rPr>
          <w:vertAlign w:val="subscript"/>
        </w:rPr>
        <w:t>max</w:t>
      </w:r>
      <w:r w:rsidRPr="0019628F">
        <w:t xml:space="preserve"> values (6 and 83 in rabbits and 2.6, 8 and 24 in cynomolgus monkeys at the ascending doses) were higher than those based on AUC values.</w:t>
      </w:r>
    </w:p>
    <w:p w:rsidR="006A26B0" w:rsidRPr="0019628F" w:rsidRDefault="006A26B0" w:rsidP="009E3350">
      <w:pPr>
        <w:pStyle w:val="Heading5"/>
      </w:pPr>
      <w:r w:rsidRPr="0019628F">
        <w:t>Major toxicities</w:t>
      </w:r>
    </w:p>
    <w:p w:rsidR="006A26B0" w:rsidRPr="0019628F" w:rsidRDefault="006A26B0" w:rsidP="009E3350">
      <w:r w:rsidRPr="0019628F">
        <w:t>There was no indicati</w:t>
      </w:r>
      <w:r w:rsidR="007917E2">
        <w:t xml:space="preserve">on from the repeat </w:t>
      </w:r>
      <w:r w:rsidRPr="0019628F">
        <w:t>dose toxicity studies of any target organ toxicity, with the exception of low level changes in lymphoid tissue. Lymphoid hyperplasia in the spleen was observe</w:t>
      </w:r>
      <w:r w:rsidR="007917E2">
        <w:t xml:space="preserve">d in the rabbit study and the 2 </w:t>
      </w:r>
      <w:r w:rsidRPr="0019628F">
        <w:t>week cynomolgus monkey study. In the monkey study, lymphoid hyperplasia was additionally observed in the stomach, duodenum and mandibular lymph node. These studies used high frequency dosing and there wer</w:t>
      </w:r>
      <w:r w:rsidR="007917E2">
        <w:t xml:space="preserve">e no similar findings in the 13 </w:t>
      </w:r>
      <w:r w:rsidRPr="0019628F">
        <w:t>or 26</w:t>
      </w:r>
      <w:r w:rsidR="007917E2">
        <w:t xml:space="preserve"> </w:t>
      </w:r>
      <w:r w:rsidRPr="0019628F">
        <w:t>week monkey studies. In lymphoid tissue, it is also difficult to distinguish between changes that might be due directly to vedolizumab and changes that might be due to chronic stimulation of the immune system associated wi</w:t>
      </w:r>
      <w:r w:rsidR="009E3350">
        <w:t>th anti-</w:t>
      </w:r>
      <w:proofErr w:type="spellStart"/>
      <w:r w:rsidR="009E3350">
        <w:t>vedolizumab</w:t>
      </w:r>
      <w:proofErr w:type="spellEnd"/>
      <w:r w:rsidR="009E3350">
        <w:t xml:space="preserve"> antibodies.</w:t>
      </w:r>
    </w:p>
    <w:p w:rsidR="006A26B0" w:rsidRPr="0019628F" w:rsidRDefault="006A26B0" w:rsidP="009E3350">
      <w:r w:rsidRPr="0019628F">
        <w:t xml:space="preserve">In rabbits, at the both doses tested, decreased lymphoid follicle size was observed in the </w:t>
      </w:r>
      <w:proofErr w:type="spellStart"/>
      <w:r w:rsidRPr="0019628F">
        <w:t>sacculus</w:t>
      </w:r>
      <w:proofErr w:type="spellEnd"/>
      <w:r w:rsidRPr="0019628F">
        <w:t xml:space="preserve"> </w:t>
      </w:r>
      <w:proofErr w:type="spellStart"/>
      <w:r w:rsidRPr="0019628F">
        <w:t>rotundus</w:t>
      </w:r>
      <w:proofErr w:type="spellEnd"/>
      <w:r w:rsidRPr="0019628F">
        <w:t xml:space="preserve"> (a spherical, thick-walled enlargement at the distal end of the ileum in rabbits which contains lymphoid tissue that functions similarly to other GALT). Minimal to mild lymphoid depletion in </w:t>
      </w:r>
      <w:proofErr w:type="spellStart"/>
      <w:r w:rsidRPr="0019628F">
        <w:t>Peyer’s</w:t>
      </w:r>
      <w:proofErr w:type="spellEnd"/>
      <w:r w:rsidRPr="0019628F">
        <w:t xml:space="preserve"> patches was also observed in 0, 1, 2 and 2 main study males (n=4) in the ascending dose groups in the 26</w:t>
      </w:r>
      <w:r w:rsidR="00264A66">
        <w:t xml:space="preserve"> </w:t>
      </w:r>
      <w:r w:rsidRPr="0019628F">
        <w:t xml:space="preserve">week monkey study and in </w:t>
      </w:r>
      <w:r w:rsidR="007917E2">
        <w:t xml:space="preserve">1 of 2 high dose </w:t>
      </w:r>
      <w:r w:rsidRPr="0019628F">
        <w:t xml:space="preserve">recovery females. These findings are considered to be associated with the primary pharmacological activity of the drug and are consistent with the impaired formation of GALT in mice lacking functional </w:t>
      </w:r>
      <w:r w:rsidRPr="001757CF">
        <w:t>α</w:t>
      </w:r>
      <w:r w:rsidRPr="001757CF">
        <w:rPr>
          <w:vertAlign w:val="subscript"/>
        </w:rPr>
        <w:t>4</w:t>
      </w:r>
      <w:r w:rsidRPr="001757CF">
        <w:t>β</w:t>
      </w:r>
      <w:r w:rsidRPr="001757CF">
        <w:rPr>
          <w:vertAlign w:val="subscript"/>
        </w:rPr>
        <w:t>7</w:t>
      </w:r>
      <w:r w:rsidRPr="0019628F">
        <w:t xml:space="preserve"> and α</w:t>
      </w:r>
      <w:r w:rsidRPr="007917E2">
        <w:rPr>
          <w:vertAlign w:val="subscript"/>
        </w:rPr>
        <w:t>E</w:t>
      </w:r>
      <w:r w:rsidRPr="0019628F">
        <w:t>β</w:t>
      </w:r>
      <w:r w:rsidRPr="007917E2">
        <w:rPr>
          <w:vertAlign w:val="subscript"/>
        </w:rPr>
        <w:t>7</w:t>
      </w:r>
      <w:r w:rsidRPr="0019628F">
        <w:t xml:space="preserve"> </w:t>
      </w:r>
      <w:proofErr w:type="spellStart"/>
      <w:r w:rsidRPr="0019628F">
        <w:t>integrins</w:t>
      </w:r>
      <w:proofErr w:type="spellEnd"/>
      <w:r w:rsidRPr="0019628F">
        <w:t xml:space="preserve"> (β</w:t>
      </w:r>
      <w:r w:rsidRPr="007917E2">
        <w:rPr>
          <w:vertAlign w:val="subscript"/>
        </w:rPr>
        <w:t>7</w:t>
      </w:r>
      <w:r w:rsidRPr="0019628F">
        <w:t>-/-) mice (Wagner et al., 1996</w:t>
      </w:r>
      <w:r w:rsidR="002E1456">
        <w:rPr>
          <w:rStyle w:val="FootnoteReference"/>
        </w:rPr>
        <w:footnoteReference w:id="14"/>
      </w:r>
      <w:r w:rsidR="009E3350">
        <w:t>).</w:t>
      </w:r>
    </w:p>
    <w:p w:rsidR="006A26B0" w:rsidRPr="0019628F" w:rsidRDefault="006A26B0" w:rsidP="009E3350">
      <w:r w:rsidRPr="0019628F">
        <w:t xml:space="preserve">Leukocytes migrating out of the vasculature into the tissues eventually return to the vasculature via the draining lymphatics. When the movement of leukocytes into tissues from the vasculature is blocked by antibodies, but not the movement back into the vasculature, accumulation of leukocytes in blood can be observed, as for example, following the administration of natalizumab. This effect would be expected to be less for vedolizumab since it blocks only </w:t>
      </w:r>
      <w:r w:rsidRPr="001757CF">
        <w:t>α</w:t>
      </w:r>
      <w:r w:rsidRPr="001757CF">
        <w:rPr>
          <w:vertAlign w:val="subscript"/>
        </w:rPr>
        <w:t>4</w:t>
      </w:r>
      <w:r w:rsidRPr="001757CF">
        <w:t>β</w:t>
      </w:r>
      <w:r w:rsidRPr="001757CF">
        <w:rPr>
          <w:vertAlign w:val="subscript"/>
        </w:rPr>
        <w:t>7</w:t>
      </w:r>
      <w:r w:rsidRPr="0019628F">
        <w:t xml:space="preserve"> rather than both </w:t>
      </w:r>
      <w:r w:rsidRPr="001757CF">
        <w:t>α</w:t>
      </w:r>
      <w:r w:rsidRPr="001757CF">
        <w:rPr>
          <w:vertAlign w:val="subscript"/>
        </w:rPr>
        <w:t>4</w:t>
      </w:r>
      <w:r w:rsidRPr="001757CF">
        <w:t>β</w:t>
      </w:r>
      <w:r w:rsidRPr="001757CF">
        <w:rPr>
          <w:vertAlign w:val="subscript"/>
        </w:rPr>
        <w:t>7</w:t>
      </w:r>
      <w:r w:rsidRPr="0019628F">
        <w:t xml:space="preserve"> and α</w:t>
      </w:r>
      <w:r w:rsidRPr="007917E2">
        <w:rPr>
          <w:vertAlign w:val="subscript"/>
        </w:rPr>
        <w:t>4</w:t>
      </w:r>
      <w:r w:rsidRPr="0019628F">
        <w:t>β</w:t>
      </w:r>
      <w:r w:rsidRPr="007917E2">
        <w:rPr>
          <w:vertAlign w:val="subscript"/>
        </w:rPr>
        <w:t>1</w:t>
      </w:r>
      <w:r w:rsidRPr="0019628F">
        <w:t xml:space="preserve">. This was borne out by the general lack of haematological changes in the repeat-dose toxicity studies. Further, in the rhesus monkey EAE model study and in the comparative </w:t>
      </w:r>
      <w:proofErr w:type="spellStart"/>
      <w:r w:rsidRPr="0019628F">
        <w:t>immunotoxicity</w:t>
      </w:r>
      <w:proofErr w:type="spellEnd"/>
      <w:r w:rsidRPr="0019628F">
        <w:t xml:space="preserve"> study, </w:t>
      </w:r>
      <w:proofErr w:type="spellStart"/>
      <w:r w:rsidRPr="0019628F">
        <w:t>vedolizumab</w:t>
      </w:r>
      <w:proofErr w:type="spellEnd"/>
      <w:r w:rsidRPr="0019628F">
        <w:t xml:space="preserve"> at the same dose as </w:t>
      </w:r>
      <w:proofErr w:type="gramStart"/>
      <w:r w:rsidRPr="0019628F">
        <w:t>natalizumab,</w:t>
      </w:r>
      <w:proofErr w:type="gramEnd"/>
      <w:r w:rsidRPr="0019628F">
        <w:t xml:space="preserve"> was without effect on blood leukocyte or lymphocyte numbers. However, in the repeat-dose rabbit toxicity study, although not </w:t>
      </w:r>
      <w:r w:rsidRPr="0019628F">
        <w:lastRenderedPageBreak/>
        <w:t xml:space="preserve">statistically significant, increases in leukocyte and lymphocyte numbers were observed in males at both doses (30 and 100 mg/kg/dose) (lymphocyte numbers were also increased in </w:t>
      </w:r>
      <w:r w:rsidR="007917E2">
        <w:t xml:space="preserve">high dose </w:t>
      </w:r>
      <w:r w:rsidRPr="0019628F">
        <w:t>females).</w:t>
      </w:r>
    </w:p>
    <w:p w:rsidR="006A26B0" w:rsidRPr="0019628F" w:rsidRDefault="006A26B0" w:rsidP="009E3350">
      <w:pPr>
        <w:pStyle w:val="Heading4"/>
      </w:pPr>
      <w:bookmarkStart w:id="65" w:name="_Toc294861729"/>
      <w:proofErr w:type="spellStart"/>
      <w:r w:rsidRPr="009E3350">
        <w:t>Genotoxicity</w:t>
      </w:r>
      <w:bookmarkEnd w:id="65"/>
      <w:proofErr w:type="spellEnd"/>
      <w:r w:rsidRPr="0019628F">
        <w:t xml:space="preserve"> and </w:t>
      </w:r>
      <w:bookmarkStart w:id="66" w:name="_Toc294861730"/>
      <w:r w:rsidRPr="0019628F">
        <w:t>carcinogenicity</w:t>
      </w:r>
      <w:bookmarkEnd w:id="66"/>
    </w:p>
    <w:p w:rsidR="006A26B0" w:rsidRPr="0019628F" w:rsidRDefault="006A26B0" w:rsidP="009E3350">
      <w:r w:rsidRPr="0019628F">
        <w:t>No genotoxicity studies were submitted and this is appropriate as routine genotoxicity studies are generally not applicable to biotechnology-derived pharmaceuticals (</w:t>
      </w:r>
      <w:r w:rsidR="000A33C3" w:rsidRPr="000A33C3">
        <w:rPr>
          <w:lang w:val="en"/>
        </w:rPr>
        <w:t xml:space="preserve">International Conference on </w:t>
      </w:r>
      <w:proofErr w:type="spellStart"/>
      <w:r w:rsidR="000A33C3" w:rsidRPr="000A33C3">
        <w:rPr>
          <w:lang w:val="en"/>
        </w:rPr>
        <w:t>Harmonisation</w:t>
      </w:r>
      <w:proofErr w:type="spellEnd"/>
      <w:r w:rsidR="000A33C3" w:rsidRPr="000A33C3">
        <w:rPr>
          <w:lang w:val="en"/>
        </w:rPr>
        <w:t xml:space="preserve"> of Technical Requirements for Registration of Pharmaceuticals for Human Use (ICH)</w:t>
      </w:r>
      <w:r w:rsidR="000A33C3" w:rsidRPr="000A33C3">
        <w:t xml:space="preserve"> </w:t>
      </w:r>
      <w:r w:rsidRPr="0019628F">
        <w:t xml:space="preserve">Topic </w:t>
      </w:r>
      <w:proofErr w:type="gramStart"/>
      <w:r w:rsidRPr="0019628F">
        <w:t>S6(</w:t>
      </w:r>
      <w:proofErr w:type="gramEnd"/>
      <w:r w:rsidRPr="0019628F">
        <w:t>R1</w:t>
      </w:r>
      <w:r w:rsidR="007917E2">
        <w:rPr>
          <w:rStyle w:val="FootnoteReference"/>
        </w:rPr>
        <w:footnoteReference w:id="15"/>
      </w:r>
      <w:r w:rsidRPr="0019628F">
        <w:t xml:space="preserve">)). Further, a monoclonal antibody would not be expected to interact directly with </w:t>
      </w:r>
      <w:r w:rsidR="00F537E7">
        <w:t>deoxyribonucleic acid (</w:t>
      </w:r>
      <w:r w:rsidRPr="0019628F">
        <w:t>DNA</w:t>
      </w:r>
      <w:r w:rsidR="00F537E7">
        <w:t>)</w:t>
      </w:r>
      <w:r w:rsidR="009E3350">
        <w:t xml:space="preserve"> or other chromosomal material.</w:t>
      </w:r>
    </w:p>
    <w:p w:rsidR="006A26B0" w:rsidRPr="0019628F" w:rsidRDefault="006A26B0" w:rsidP="009E3350">
      <w:r w:rsidRPr="0019628F">
        <w:t>No carcinogenicity studies were submitted and this is acceptable given that vedolizumab was not pharmacologically active in mice or rats, and also elicited a significant antibody response.</w:t>
      </w:r>
    </w:p>
    <w:p w:rsidR="006A26B0" w:rsidRPr="0019628F" w:rsidRDefault="006A26B0" w:rsidP="009E3350">
      <w:r w:rsidRPr="0019628F">
        <w:t xml:space="preserve">The effect of Act-1 on the in vitro growth of a relevant tumour type, a human B cell lymphoma cell line expressing </w:t>
      </w:r>
      <w:r w:rsidRPr="001757CF">
        <w:t>α</w:t>
      </w:r>
      <w:r w:rsidRPr="001757CF">
        <w:rPr>
          <w:vertAlign w:val="subscript"/>
        </w:rPr>
        <w:t>4</w:t>
      </w:r>
      <w:r w:rsidRPr="001757CF">
        <w:t>β</w:t>
      </w:r>
      <w:r w:rsidRPr="001757CF">
        <w:rPr>
          <w:vertAlign w:val="subscript"/>
        </w:rPr>
        <w:t>7</w:t>
      </w:r>
      <w:r w:rsidRPr="0019628F">
        <w:t xml:space="preserve"> was investigated. Grow</w:t>
      </w:r>
      <w:r w:rsidR="009E3350">
        <w:t>th was not stimulated by Act-1.</w:t>
      </w:r>
    </w:p>
    <w:p w:rsidR="006A26B0" w:rsidRPr="0019628F" w:rsidRDefault="006A26B0" w:rsidP="009E3350">
      <w:r w:rsidRPr="0019628F">
        <w:t xml:space="preserve">The cross-reactivity of Act-1 with </w:t>
      </w:r>
      <w:proofErr w:type="spellStart"/>
      <w:r w:rsidRPr="0019628F">
        <w:t>cryosections</w:t>
      </w:r>
      <w:proofErr w:type="spellEnd"/>
      <w:r w:rsidRPr="0019628F">
        <w:t xml:space="preserve"> of 10 human colon adenocarcinomas was also investigated. As this is a malignant tumour and the GIT is the primary pharmacological target organ for vedolizumab, this was an appropriate tumour to investigate. There was no evidence that Act-1 bound to the tumour tissue, as staining was restricted to mononuclear cells which would represent the resident or infiltrating lymphocytes. Although the study was conducted with Act-1, as noted above, Act-1 and vedolizumab showed similar staining patterns in t</w:t>
      </w:r>
      <w:r w:rsidR="009E3350">
        <w:t>issue cross-reactivity studies.</w:t>
      </w:r>
    </w:p>
    <w:p w:rsidR="006A26B0" w:rsidRPr="0019628F" w:rsidRDefault="006A26B0" w:rsidP="009E3350">
      <w:r w:rsidRPr="0019628F">
        <w:t>These two studies thus provided no suggestion of carcinogenic potential for Act-1 (and therefore, vedolizumab).</w:t>
      </w:r>
    </w:p>
    <w:p w:rsidR="006A26B0" w:rsidRPr="0019628F" w:rsidRDefault="006A26B0" w:rsidP="009E3350">
      <w:pPr>
        <w:pStyle w:val="Heading4"/>
      </w:pPr>
      <w:r w:rsidRPr="009E3350">
        <w:t>Reproductive</w:t>
      </w:r>
      <w:r w:rsidRPr="0019628F">
        <w:t xml:space="preserve"> toxicity</w:t>
      </w:r>
    </w:p>
    <w:p w:rsidR="006A26B0" w:rsidRPr="002E1456" w:rsidRDefault="006A26B0" w:rsidP="009E3350">
      <w:r w:rsidRPr="002E1456">
        <w:t>Fertility studies were not conducted, although such studies are relevant to the patient population.</w:t>
      </w:r>
      <w:r w:rsidR="007917E2">
        <w:t xml:space="preserve"> There was no evidence of cross </w:t>
      </w:r>
      <w:r w:rsidRPr="002E1456">
        <w:t>reactivity of vedolizumab with human reproductive tissues and no evidence from the repeat-dose toxicity studies in rabbits or cynomolgus monkeys of an effect of vedolizumab on the reproductive organs of either males or females. Fertility studies are normally conducted in rats or mice, although guinea pigs have sometimes been used (</w:t>
      </w:r>
      <w:r w:rsidR="007917E2">
        <w:t xml:space="preserve">for example, </w:t>
      </w:r>
      <w:r w:rsidRPr="002E1456">
        <w:t>the effects of natalizumab on fertility were stud</w:t>
      </w:r>
      <w:r w:rsidR="007917E2">
        <w:t xml:space="preserve">ied in guinea pigs (see </w:t>
      </w:r>
      <w:proofErr w:type="spellStart"/>
      <w:r w:rsidR="007917E2">
        <w:t>Tysabri</w:t>
      </w:r>
      <w:proofErr w:type="spellEnd"/>
      <w:r w:rsidRPr="002E1456">
        <w:t xml:space="preserve"> P</w:t>
      </w:r>
      <w:r w:rsidR="007917E2">
        <w:t>I</w:t>
      </w:r>
      <w:r w:rsidRPr="002E1456">
        <w:t xml:space="preserve">)). Vedolizumab was not pharmacologically active in any of these species. However, it is disappointing that some additional fertility endpoints (such as reproductive hormones, menstrual cycling and sperm analysis) were not included in the repeat-dose toxicity studies in cynomolgus monkeys. The </w:t>
      </w:r>
      <w:r w:rsidR="007917E2">
        <w:t>sponsor’s n</w:t>
      </w:r>
      <w:r w:rsidRPr="002E1456">
        <w:t xml:space="preserve">onclinical </w:t>
      </w:r>
      <w:r w:rsidR="007917E2">
        <w:t>e</w:t>
      </w:r>
      <w:r w:rsidRPr="002E1456">
        <w:t>xpert noted that normal fertility was observed in β</w:t>
      </w:r>
      <w:r w:rsidRPr="007917E2">
        <w:rPr>
          <w:vertAlign w:val="subscript"/>
        </w:rPr>
        <w:t>7</w:t>
      </w:r>
      <w:r w:rsidRPr="002E1456">
        <w:t xml:space="preserve">-/- mice (Wagner et al., 1996), although the paper itself does not mention any fertility testing or continuation of the line of mice by breeding. In response to a </w:t>
      </w:r>
      <w:r w:rsidR="007917E2">
        <w:t xml:space="preserve">TGA request for further information </w:t>
      </w:r>
      <w:r w:rsidRPr="002E1456">
        <w:t>on this issue, the sponsor indicated that the Wagner paper had been incorrectly cited, but noted other relevant literature about the model: “Litter size and frequency of pregnancy are the same in β</w:t>
      </w:r>
      <w:r w:rsidRPr="00AD00C8">
        <w:rPr>
          <w:vertAlign w:val="subscript"/>
        </w:rPr>
        <w:t>7</w:t>
      </w:r>
      <w:r w:rsidRPr="002E1456">
        <w:t xml:space="preserve"> integrin null females and C57Bl/6 females at the source colony” (</w:t>
      </w:r>
      <w:proofErr w:type="spellStart"/>
      <w:r w:rsidRPr="002E1456">
        <w:t>Croy</w:t>
      </w:r>
      <w:proofErr w:type="spellEnd"/>
      <w:r w:rsidRPr="002E1456">
        <w:t xml:space="preserve"> et al., 1997</w:t>
      </w:r>
      <w:r w:rsidR="002E1456">
        <w:rPr>
          <w:rStyle w:val="FootnoteReference"/>
        </w:rPr>
        <w:footnoteReference w:id="16"/>
      </w:r>
      <w:r w:rsidRPr="002E1456">
        <w:t>)</w:t>
      </w:r>
      <w:r w:rsidR="002E1456" w:rsidRPr="002E1456">
        <w:t>. The sponsor further referred to another mouse strain with a homozygous knock-in mutation of the β</w:t>
      </w:r>
      <w:r w:rsidR="002E1456" w:rsidRPr="00AD00C8">
        <w:rPr>
          <w:vertAlign w:val="subscript"/>
        </w:rPr>
        <w:t>7</w:t>
      </w:r>
      <w:r w:rsidR="002E1456" w:rsidRPr="002E1456">
        <w:t xml:space="preserve"> gene, which increases leukocyte-endothelial stickiness and prevents leukocyte migration out of the vasculature: “These mice were born under normal </w:t>
      </w:r>
      <w:r w:rsidR="002E1456" w:rsidRPr="002E1456">
        <w:lastRenderedPageBreak/>
        <w:t>Mendelian ratios, were fertile, and did not exhibit gross abnormalities” (Park et al., 2007</w:t>
      </w:r>
      <w:r w:rsidR="002E1456">
        <w:rPr>
          <w:rStyle w:val="FootnoteReference"/>
        </w:rPr>
        <w:footnoteReference w:id="17"/>
      </w:r>
      <w:r w:rsidR="002E1456" w:rsidRPr="002E1456">
        <w:t>). This mouse model can be purchased from Jackson Laboratories, Bar Harbor, Maine; the website indicates: “Mice homozygous for this β</w:t>
      </w:r>
      <w:r w:rsidR="002E1456" w:rsidRPr="00AD00C8">
        <w:rPr>
          <w:vertAlign w:val="subscript"/>
        </w:rPr>
        <w:t>7</w:t>
      </w:r>
      <w:r w:rsidR="002E1456" w:rsidRPr="002E1456">
        <w:t xml:space="preserve"> (D146A) targeted mutation are viable and fertile” (Jackson Laboratory Mice Database).</w:t>
      </w:r>
    </w:p>
    <w:p w:rsidR="006A26B0" w:rsidRPr="0019628F" w:rsidRDefault="006A26B0" w:rsidP="009E3350">
      <w:proofErr w:type="spellStart"/>
      <w:r w:rsidRPr="0019628F">
        <w:t>Embryofetal</w:t>
      </w:r>
      <w:proofErr w:type="spellEnd"/>
      <w:r w:rsidRPr="0019628F">
        <w:t xml:space="preserve"> development studies (pilot and main) were conducted in rabbits, an appropriate species. The studies were adequate with respect to study design, including animal numbers, dose levels and parameters measured. The rabbits were given a single dose of vedolizumab on </w:t>
      </w:r>
      <w:r w:rsidR="007917E2">
        <w:t xml:space="preserve">gestation day (GD) </w:t>
      </w:r>
      <w:r w:rsidRPr="0019628F">
        <w:t xml:space="preserve">7. Although dosing with standard low </w:t>
      </w:r>
      <w:r w:rsidR="007917E2">
        <w:t xml:space="preserve">molecular weight </w:t>
      </w:r>
      <w:r w:rsidRPr="0019628F">
        <w:t xml:space="preserve">drugs in </w:t>
      </w:r>
      <w:proofErr w:type="spellStart"/>
      <w:r w:rsidRPr="0019628F">
        <w:t>embryofetal</w:t>
      </w:r>
      <w:proofErr w:type="spellEnd"/>
      <w:r w:rsidRPr="0019628F">
        <w:t xml:space="preserve"> development studies in rabbits is usually over GD6/7 to GD18, the vedolizumab-treated rabbits were exposed to the drug at least over GD7-GD20 as serum vedolizumab concentrations on GD20 were 2.97, 79.0 and 236 µg/mL</w:t>
      </w:r>
      <w:r w:rsidR="00AD00C8">
        <w:t>, respectively,</w:t>
      </w:r>
      <w:r w:rsidRPr="0019628F">
        <w:t xml:space="preserve"> at the ascending doses.</w:t>
      </w:r>
    </w:p>
    <w:p w:rsidR="006A26B0" w:rsidRPr="0019628F" w:rsidRDefault="006A26B0" w:rsidP="009E3350">
      <w:r w:rsidRPr="0019628F">
        <w:t>Some acute mortalities and acute clinical signs w</w:t>
      </w:r>
      <w:r w:rsidR="007917E2">
        <w:t xml:space="preserve">ere observed in the vedolizumab </w:t>
      </w:r>
      <w:r w:rsidRPr="0019628F">
        <w:t xml:space="preserve">treated groups in the pilot study and the types of reactions and the results of an investigative anaphylactic testing phase suggested that these were the result of </w:t>
      </w:r>
      <w:proofErr w:type="spellStart"/>
      <w:r w:rsidRPr="0019628F">
        <w:t>anaphylactoid</w:t>
      </w:r>
      <w:proofErr w:type="spellEnd"/>
      <w:r w:rsidRPr="0019628F">
        <w:t xml:space="preserve"> reactions, possibly associated with the relatively rapid infusion (15 min), as these reactions were not observed in the main study or the repeat-dose toxicity study in rabbits. Vedolizumab did not adversely affect </w:t>
      </w:r>
      <w:proofErr w:type="spellStart"/>
      <w:r w:rsidRPr="0019628F">
        <w:t>embryofetal</w:t>
      </w:r>
      <w:proofErr w:type="spellEnd"/>
      <w:r w:rsidRPr="0019628F">
        <w:t xml:space="preserve"> development in rabbits. There was no clear evidence of a teratogenic effect (external, skel</w:t>
      </w:r>
      <w:r w:rsidR="007917E2">
        <w:t xml:space="preserve">etal and visceral malformations or </w:t>
      </w:r>
      <w:r w:rsidRPr="0019628F">
        <w:t xml:space="preserve">variations), including no effects on early cardiac development, a process known to involve α4 </w:t>
      </w:r>
      <w:proofErr w:type="spellStart"/>
      <w:r w:rsidRPr="0019628F">
        <w:t>integrins</w:t>
      </w:r>
      <w:proofErr w:type="spellEnd"/>
      <w:r w:rsidRPr="0019628F">
        <w:t xml:space="preserve"> (Yang et al., 1995</w:t>
      </w:r>
      <w:r w:rsidR="002E1456">
        <w:rPr>
          <w:rStyle w:val="FootnoteReference"/>
        </w:rPr>
        <w:footnoteReference w:id="18"/>
      </w:r>
      <w:r w:rsidRPr="0019628F">
        <w:t xml:space="preserve">). </w:t>
      </w:r>
      <w:proofErr w:type="spellStart"/>
      <w:r w:rsidRPr="0019628F">
        <w:t>Fetal</w:t>
      </w:r>
      <w:proofErr w:type="spellEnd"/>
      <w:r w:rsidRPr="0019628F">
        <w:t xml:space="preserve"> incidences of mal</w:t>
      </w:r>
      <w:r w:rsidR="00AD00C8">
        <w:t>-</w:t>
      </w:r>
      <w:r w:rsidRPr="0019628F">
        <w:t xml:space="preserve">aligned </w:t>
      </w:r>
      <w:proofErr w:type="spellStart"/>
      <w:r w:rsidRPr="0019628F">
        <w:t>sternebrae</w:t>
      </w:r>
      <w:proofErr w:type="spellEnd"/>
      <w:r w:rsidRPr="0019628F">
        <w:t xml:space="preserve"> were 0, 0, 0.5 and 1.9% in the ascending dose groups in the main study, with the incidence at the </w:t>
      </w:r>
      <w:r w:rsidR="001A768D">
        <w:t xml:space="preserve">high dose </w:t>
      </w:r>
      <w:r w:rsidRPr="0019628F">
        <w:t xml:space="preserve">being outside the historical control range for the laboratory (0-1.1%), but in the absence of any other developmental changes, this finding was probably incidental. The </w:t>
      </w:r>
      <w:r w:rsidR="007917E2" w:rsidRPr="007917E2">
        <w:t xml:space="preserve">no observed adverse effect level </w:t>
      </w:r>
      <w:r w:rsidR="007917E2">
        <w:t>(</w:t>
      </w:r>
      <w:r w:rsidRPr="0019628F">
        <w:t>NOAEL</w:t>
      </w:r>
      <w:r w:rsidR="007917E2">
        <w:t>)</w:t>
      </w:r>
      <w:r w:rsidRPr="0019628F">
        <w:t xml:space="preserve"> was therefore 100 mg/kg IV given on GD7. The exposure ratio </w:t>
      </w:r>
      <w:r w:rsidR="009E3350">
        <w:t>at this dose was 8 (see below).</w:t>
      </w:r>
    </w:p>
    <w:p w:rsidR="006A26B0" w:rsidRPr="0019628F" w:rsidRDefault="006A26B0" w:rsidP="009E3350">
      <w:r w:rsidRPr="0019628F">
        <w:t xml:space="preserve">A pre-/postnatal development study was conducted in cynomolgus monkeys. Dosing was every 2 weeks from GD20-GD132. With standard low </w:t>
      </w:r>
      <w:r w:rsidR="007917E2">
        <w:t xml:space="preserve">molecular weight </w:t>
      </w:r>
      <w:r w:rsidRPr="0019628F">
        <w:t xml:space="preserve">drugs, dosing is generally over the period from implantation until weaning. Thus, if a drug crosses the placenta and is excreted in milk, the embryo/fetus/offspring would normally be exposed to drug throughout pregnancy and lactation. In the current cynomolgus monkey pre-/postnatal study, exposure also began at implantation, and although dosing only continued until GD132 (gestation length is normally approximately 160 days in cynomolgus monkeys), exposure continued until about </w:t>
      </w:r>
      <w:r w:rsidR="00A10EA6">
        <w:t>post natal day (</w:t>
      </w:r>
      <w:r w:rsidRPr="0019628F">
        <w:t>PND</w:t>
      </w:r>
      <w:r w:rsidR="00A10EA6">
        <w:t xml:space="preserve">) </w:t>
      </w:r>
      <w:r w:rsidRPr="0019628F">
        <w:t xml:space="preserve">117 at the </w:t>
      </w:r>
      <w:r w:rsidR="00A10EA6">
        <w:t xml:space="preserve">high dose </w:t>
      </w:r>
      <w:r w:rsidRPr="0019628F">
        <w:t xml:space="preserve">(vedolizumab was still detectable, albeit at a low level, at day 277 post coitus (about PND 117) at the </w:t>
      </w:r>
      <w:r w:rsidR="00A10EA6">
        <w:t>high dose</w:t>
      </w:r>
      <w:r w:rsidRPr="0019628F">
        <w:t xml:space="preserve">). PND0-117 represents about half the lactation period (normally 230-240 days) in cynomolgus monkeys. This study demonstrated a lack of any adverse effect of vedolizumab on either the dams or offspring when the dams were exposed to drug over the period of gestation from implantation to parturition, and at least at the </w:t>
      </w:r>
      <w:r w:rsidR="00A10EA6">
        <w:t>high dose</w:t>
      </w:r>
      <w:r w:rsidRPr="0019628F">
        <w:t>, in early lactation. There was no evidence of teratogenicity, although the number of offspring was limited, and offspring were examined for external malformations/variations only. The NOAEL was 100 mg/kg/dose which achieved an exposure ratio of 24.</w:t>
      </w:r>
    </w:p>
    <w:p w:rsidR="006A26B0" w:rsidRPr="0019628F" w:rsidRDefault="00AD00C8" w:rsidP="009E3350">
      <w:pPr>
        <w:pStyle w:val="TableTitle"/>
      </w:pPr>
      <w:r>
        <w:lastRenderedPageBreak/>
        <w:t>Table 3</w:t>
      </w:r>
      <w:r w:rsidR="00A10EA6">
        <w:t xml:space="preserve">: </w:t>
      </w:r>
      <w:r w:rsidR="006A26B0" w:rsidRPr="0019628F">
        <w:t xml:space="preserve">Relative exposure </w:t>
      </w:r>
      <w:r>
        <w:t>in reproductive toxicity studies</w:t>
      </w:r>
    </w:p>
    <w:tbl>
      <w:tblPr>
        <w:tblStyle w:val="TableTGAblue"/>
        <w:tblW w:w="8647" w:type="dxa"/>
        <w:tblLayout w:type="fixed"/>
        <w:tblLook w:val="01E0" w:firstRow="1" w:lastRow="1" w:firstColumn="1" w:lastColumn="1" w:noHBand="0" w:noVBand="0"/>
      </w:tblPr>
      <w:tblGrid>
        <w:gridCol w:w="1276"/>
        <w:gridCol w:w="1843"/>
        <w:gridCol w:w="1559"/>
        <w:gridCol w:w="1276"/>
        <w:gridCol w:w="1417"/>
        <w:gridCol w:w="1276"/>
      </w:tblGrid>
      <w:tr w:rsidR="006A26B0" w:rsidRPr="00A10EA6" w:rsidTr="009E3350">
        <w:trPr>
          <w:cnfStyle w:val="100000000000" w:firstRow="1" w:lastRow="0" w:firstColumn="0" w:lastColumn="0" w:oddVBand="0" w:evenVBand="0" w:oddHBand="0" w:evenHBand="0" w:firstRowFirstColumn="0" w:firstRowLastColumn="0" w:lastRowFirstColumn="0" w:lastRowLastColumn="0"/>
        </w:trPr>
        <w:tc>
          <w:tcPr>
            <w:tcW w:w="1276" w:type="dxa"/>
          </w:tcPr>
          <w:p w:rsidR="006A26B0" w:rsidRPr="00A10EA6" w:rsidRDefault="006A26B0" w:rsidP="009E3350">
            <w:pPr>
              <w:ind w:left="0" w:right="67"/>
            </w:pPr>
            <w:r w:rsidRPr="00A10EA6">
              <w:t>Species</w:t>
            </w:r>
          </w:p>
        </w:tc>
        <w:tc>
          <w:tcPr>
            <w:tcW w:w="1843" w:type="dxa"/>
          </w:tcPr>
          <w:p w:rsidR="006A26B0" w:rsidRPr="00A10EA6" w:rsidRDefault="006A26B0" w:rsidP="009E3350">
            <w:pPr>
              <w:ind w:left="0" w:right="0"/>
            </w:pPr>
            <w:r w:rsidRPr="00A10EA6">
              <w:t>Study (sampling day)</w:t>
            </w:r>
          </w:p>
        </w:tc>
        <w:tc>
          <w:tcPr>
            <w:tcW w:w="1559" w:type="dxa"/>
          </w:tcPr>
          <w:p w:rsidR="006A26B0" w:rsidRPr="00A10EA6" w:rsidRDefault="006A26B0" w:rsidP="009E3350">
            <w:pPr>
              <w:ind w:left="0" w:right="0"/>
            </w:pPr>
            <w:r w:rsidRPr="00A10EA6">
              <w:t>Dose</w:t>
            </w:r>
            <w:r w:rsidRPr="00A10EA6">
              <w:br/>
              <w:t>mg/kg/dose</w:t>
            </w:r>
          </w:p>
        </w:tc>
        <w:tc>
          <w:tcPr>
            <w:tcW w:w="1276" w:type="dxa"/>
          </w:tcPr>
          <w:p w:rsidR="006A26B0" w:rsidRPr="00A10EA6" w:rsidRDefault="006A26B0" w:rsidP="009E3350">
            <w:pPr>
              <w:ind w:left="0" w:right="0"/>
            </w:pPr>
            <w:r w:rsidRPr="00A10EA6">
              <w:t>AUC period</w:t>
            </w:r>
          </w:p>
        </w:tc>
        <w:tc>
          <w:tcPr>
            <w:tcW w:w="1417" w:type="dxa"/>
          </w:tcPr>
          <w:p w:rsidR="006A26B0" w:rsidRPr="00A10EA6" w:rsidRDefault="006A26B0" w:rsidP="009E3350">
            <w:pPr>
              <w:ind w:left="0" w:right="0"/>
            </w:pPr>
            <w:r w:rsidRPr="00A10EA6">
              <w:t>AUC</w:t>
            </w:r>
            <w:r w:rsidRPr="00A10EA6">
              <w:br/>
              <w:t>(µ</w:t>
            </w:r>
            <w:proofErr w:type="spellStart"/>
            <w:r w:rsidRPr="00A10EA6">
              <w:t>g∙h</w:t>
            </w:r>
            <w:proofErr w:type="spellEnd"/>
            <w:r w:rsidRPr="00A10EA6">
              <w:t>/mL)</w:t>
            </w:r>
          </w:p>
        </w:tc>
        <w:tc>
          <w:tcPr>
            <w:tcW w:w="1276" w:type="dxa"/>
          </w:tcPr>
          <w:p w:rsidR="006A26B0" w:rsidRPr="00A10EA6" w:rsidRDefault="006A26B0" w:rsidP="009E3350">
            <w:pPr>
              <w:ind w:left="0" w:right="0"/>
            </w:pPr>
            <w:r w:rsidRPr="00A10EA6">
              <w:t>Exposure ratio#</w:t>
            </w:r>
          </w:p>
        </w:tc>
      </w:tr>
      <w:tr w:rsidR="006A26B0" w:rsidRPr="00A10EA6" w:rsidTr="009E3350">
        <w:trPr>
          <w:trHeight w:val="227"/>
        </w:trPr>
        <w:tc>
          <w:tcPr>
            <w:tcW w:w="1276" w:type="dxa"/>
            <w:vMerge w:val="restart"/>
          </w:tcPr>
          <w:p w:rsidR="006A26B0" w:rsidRPr="00A10EA6" w:rsidRDefault="009E3350" w:rsidP="009E3350">
            <w:pPr>
              <w:ind w:left="0" w:right="67"/>
            </w:pPr>
            <w:r>
              <w:t>Rabbit</w:t>
            </w:r>
          </w:p>
        </w:tc>
        <w:tc>
          <w:tcPr>
            <w:tcW w:w="1843" w:type="dxa"/>
            <w:vMerge w:val="restart"/>
          </w:tcPr>
          <w:p w:rsidR="006A26B0" w:rsidRPr="00A10EA6" w:rsidRDefault="006A26B0" w:rsidP="009E3350">
            <w:pPr>
              <w:ind w:left="0" w:right="0"/>
            </w:pPr>
            <w:proofErr w:type="spellStart"/>
            <w:r w:rsidRPr="00A10EA6">
              <w:t>Embryofetal</w:t>
            </w:r>
            <w:proofErr w:type="spellEnd"/>
            <w:r w:rsidRPr="00A10EA6">
              <w:t xml:space="preserve"> development (GD7)</w:t>
            </w:r>
          </w:p>
        </w:tc>
        <w:tc>
          <w:tcPr>
            <w:tcW w:w="1559" w:type="dxa"/>
          </w:tcPr>
          <w:p w:rsidR="006A26B0" w:rsidRPr="00A10EA6" w:rsidRDefault="006A26B0" w:rsidP="009E3350">
            <w:pPr>
              <w:ind w:left="0" w:right="0"/>
            </w:pPr>
            <w:r w:rsidRPr="00A10EA6">
              <w:t>10</w:t>
            </w:r>
          </w:p>
        </w:tc>
        <w:tc>
          <w:tcPr>
            <w:tcW w:w="1276" w:type="dxa"/>
            <w:vMerge w:val="restart"/>
            <w:vAlign w:val="center"/>
          </w:tcPr>
          <w:p w:rsidR="006A26B0" w:rsidRPr="00A10EA6" w:rsidRDefault="006A26B0" w:rsidP="009E3350">
            <w:pPr>
              <w:ind w:left="0" w:right="0"/>
            </w:pPr>
            <w:r w:rsidRPr="00A10EA6">
              <w:t>AUC</w:t>
            </w:r>
            <w:r w:rsidRPr="00A10EA6">
              <w:rPr>
                <w:vertAlign w:val="subscript"/>
              </w:rPr>
              <w:t>0–337 h</w:t>
            </w:r>
          </w:p>
        </w:tc>
        <w:tc>
          <w:tcPr>
            <w:tcW w:w="1417" w:type="dxa"/>
          </w:tcPr>
          <w:p w:rsidR="006A26B0" w:rsidRPr="00A10EA6" w:rsidRDefault="006A26B0" w:rsidP="009E3350">
            <w:pPr>
              <w:ind w:left="0" w:right="0"/>
            </w:pPr>
            <w:r w:rsidRPr="00A10EA6">
              <w:t>28,300</w:t>
            </w:r>
          </w:p>
        </w:tc>
        <w:tc>
          <w:tcPr>
            <w:tcW w:w="1276" w:type="dxa"/>
          </w:tcPr>
          <w:p w:rsidR="006A26B0" w:rsidRPr="00A10EA6" w:rsidRDefault="006A26B0" w:rsidP="009E3350">
            <w:pPr>
              <w:ind w:left="0" w:right="0"/>
            </w:pPr>
            <w:r w:rsidRPr="00A10EA6">
              <w:t>0.6</w:t>
            </w:r>
          </w:p>
        </w:tc>
      </w:tr>
      <w:tr w:rsidR="006A26B0" w:rsidRPr="00A10EA6" w:rsidTr="009E3350">
        <w:trPr>
          <w:trHeight w:val="227"/>
        </w:trPr>
        <w:tc>
          <w:tcPr>
            <w:tcW w:w="1276" w:type="dxa"/>
            <w:vMerge/>
          </w:tcPr>
          <w:p w:rsidR="006A26B0" w:rsidRPr="00A10EA6" w:rsidRDefault="006A26B0" w:rsidP="009E3350">
            <w:pPr>
              <w:ind w:left="0" w:right="67"/>
            </w:pPr>
          </w:p>
        </w:tc>
        <w:tc>
          <w:tcPr>
            <w:tcW w:w="1843" w:type="dxa"/>
            <w:vMerge/>
          </w:tcPr>
          <w:p w:rsidR="006A26B0" w:rsidRPr="00A10EA6" w:rsidRDefault="006A26B0" w:rsidP="009E3350">
            <w:pPr>
              <w:ind w:left="0" w:right="0"/>
            </w:pPr>
          </w:p>
        </w:tc>
        <w:tc>
          <w:tcPr>
            <w:tcW w:w="1559" w:type="dxa"/>
          </w:tcPr>
          <w:p w:rsidR="006A26B0" w:rsidRPr="00A10EA6" w:rsidRDefault="006A26B0" w:rsidP="009E3350">
            <w:pPr>
              <w:ind w:left="0" w:right="0"/>
            </w:pPr>
            <w:r w:rsidRPr="00A10EA6">
              <w:t>30</w:t>
            </w:r>
          </w:p>
        </w:tc>
        <w:tc>
          <w:tcPr>
            <w:tcW w:w="1276" w:type="dxa"/>
            <w:vMerge/>
          </w:tcPr>
          <w:p w:rsidR="006A26B0" w:rsidRPr="00A10EA6" w:rsidRDefault="006A26B0" w:rsidP="009E3350">
            <w:pPr>
              <w:ind w:left="0" w:right="0"/>
            </w:pPr>
          </w:p>
        </w:tc>
        <w:tc>
          <w:tcPr>
            <w:tcW w:w="1417" w:type="dxa"/>
          </w:tcPr>
          <w:p w:rsidR="006A26B0" w:rsidRPr="00A10EA6" w:rsidRDefault="006A26B0" w:rsidP="009E3350">
            <w:pPr>
              <w:ind w:left="0" w:right="0"/>
            </w:pPr>
            <w:r w:rsidRPr="00A10EA6">
              <w:t>102,000</w:t>
            </w:r>
          </w:p>
        </w:tc>
        <w:tc>
          <w:tcPr>
            <w:tcW w:w="1276" w:type="dxa"/>
          </w:tcPr>
          <w:p w:rsidR="006A26B0" w:rsidRPr="00A10EA6" w:rsidRDefault="006A26B0" w:rsidP="009E3350">
            <w:pPr>
              <w:ind w:left="0" w:right="0"/>
            </w:pPr>
            <w:r w:rsidRPr="00A10EA6">
              <w:t>2.1</w:t>
            </w:r>
          </w:p>
        </w:tc>
      </w:tr>
      <w:tr w:rsidR="006A26B0" w:rsidRPr="00A10EA6" w:rsidTr="009E3350">
        <w:trPr>
          <w:trHeight w:val="227"/>
        </w:trPr>
        <w:tc>
          <w:tcPr>
            <w:tcW w:w="1276" w:type="dxa"/>
            <w:vMerge/>
          </w:tcPr>
          <w:p w:rsidR="006A26B0" w:rsidRPr="00A10EA6" w:rsidRDefault="006A26B0" w:rsidP="009E3350">
            <w:pPr>
              <w:ind w:left="0" w:right="67"/>
            </w:pPr>
          </w:p>
        </w:tc>
        <w:tc>
          <w:tcPr>
            <w:tcW w:w="1843" w:type="dxa"/>
            <w:vMerge/>
          </w:tcPr>
          <w:p w:rsidR="006A26B0" w:rsidRPr="00A10EA6" w:rsidRDefault="006A26B0" w:rsidP="009E3350">
            <w:pPr>
              <w:ind w:left="0" w:right="0"/>
            </w:pPr>
          </w:p>
        </w:tc>
        <w:tc>
          <w:tcPr>
            <w:tcW w:w="1559" w:type="dxa"/>
          </w:tcPr>
          <w:p w:rsidR="006A26B0" w:rsidRPr="00A10EA6" w:rsidRDefault="006A26B0" w:rsidP="009E3350">
            <w:pPr>
              <w:ind w:left="0" w:right="0"/>
            </w:pPr>
            <w:r w:rsidRPr="00A10EA6">
              <w:t>100</w:t>
            </w:r>
          </w:p>
        </w:tc>
        <w:tc>
          <w:tcPr>
            <w:tcW w:w="1276" w:type="dxa"/>
            <w:vMerge/>
          </w:tcPr>
          <w:p w:rsidR="006A26B0" w:rsidRPr="00A10EA6" w:rsidRDefault="006A26B0" w:rsidP="009E3350">
            <w:pPr>
              <w:ind w:left="0" w:right="0"/>
            </w:pPr>
          </w:p>
        </w:tc>
        <w:tc>
          <w:tcPr>
            <w:tcW w:w="1417" w:type="dxa"/>
          </w:tcPr>
          <w:p w:rsidR="006A26B0" w:rsidRPr="00A10EA6" w:rsidRDefault="006A26B0" w:rsidP="009E3350">
            <w:pPr>
              <w:ind w:left="0" w:right="0"/>
            </w:pPr>
            <w:r w:rsidRPr="00A10EA6">
              <w:t>366,000</w:t>
            </w:r>
          </w:p>
        </w:tc>
        <w:tc>
          <w:tcPr>
            <w:tcW w:w="1276" w:type="dxa"/>
          </w:tcPr>
          <w:p w:rsidR="006A26B0" w:rsidRPr="00A10EA6" w:rsidRDefault="006A26B0" w:rsidP="009E3350">
            <w:pPr>
              <w:ind w:left="0" w:right="0"/>
            </w:pPr>
            <w:r w:rsidRPr="00A10EA6">
              <w:t>8</w:t>
            </w:r>
          </w:p>
        </w:tc>
      </w:tr>
      <w:tr w:rsidR="006A26B0" w:rsidRPr="00A10EA6" w:rsidTr="009E3350">
        <w:trPr>
          <w:trHeight w:val="227"/>
        </w:trPr>
        <w:tc>
          <w:tcPr>
            <w:tcW w:w="1276" w:type="dxa"/>
            <w:vMerge w:val="restart"/>
          </w:tcPr>
          <w:p w:rsidR="006A26B0" w:rsidRPr="00A10EA6" w:rsidRDefault="006A26B0" w:rsidP="009E3350">
            <w:pPr>
              <w:ind w:left="0" w:right="67"/>
            </w:pPr>
            <w:r w:rsidRPr="00A10EA6">
              <w:t>Cynomolgus monkey</w:t>
            </w:r>
          </w:p>
        </w:tc>
        <w:tc>
          <w:tcPr>
            <w:tcW w:w="1843" w:type="dxa"/>
            <w:vMerge w:val="restart"/>
          </w:tcPr>
          <w:p w:rsidR="006A26B0" w:rsidRPr="00A10EA6" w:rsidRDefault="006A26B0" w:rsidP="009E3350">
            <w:pPr>
              <w:ind w:left="0" w:right="0"/>
            </w:pPr>
            <w:r w:rsidRPr="00A10EA6">
              <w:t>Pre-/postnatal development (GD132)</w:t>
            </w:r>
          </w:p>
        </w:tc>
        <w:tc>
          <w:tcPr>
            <w:tcW w:w="1559" w:type="dxa"/>
          </w:tcPr>
          <w:p w:rsidR="006A26B0" w:rsidRPr="00A10EA6" w:rsidRDefault="006A26B0" w:rsidP="009E3350">
            <w:pPr>
              <w:ind w:left="0" w:right="0"/>
            </w:pPr>
            <w:r w:rsidRPr="00A10EA6">
              <w:t>10</w:t>
            </w:r>
          </w:p>
        </w:tc>
        <w:tc>
          <w:tcPr>
            <w:tcW w:w="1276" w:type="dxa"/>
            <w:vMerge w:val="restart"/>
          </w:tcPr>
          <w:p w:rsidR="006A26B0" w:rsidRPr="00A10EA6" w:rsidRDefault="006A26B0" w:rsidP="009E3350">
            <w:pPr>
              <w:ind w:left="0" w:right="0"/>
            </w:pPr>
            <w:r w:rsidRPr="00A10EA6">
              <w:t>AUC</w:t>
            </w:r>
            <w:r w:rsidRPr="00A10EA6">
              <w:rPr>
                <w:vertAlign w:val="subscript"/>
              </w:rPr>
              <w:t>0–3480 h</w:t>
            </w:r>
          </w:p>
        </w:tc>
        <w:tc>
          <w:tcPr>
            <w:tcW w:w="1417" w:type="dxa"/>
          </w:tcPr>
          <w:p w:rsidR="006A26B0" w:rsidRPr="00A10EA6" w:rsidRDefault="006A26B0" w:rsidP="009E3350">
            <w:pPr>
              <w:ind w:left="0" w:right="0"/>
            </w:pPr>
            <w:r w:rsidRPr="00A10EA6">
              <w:t>105,000</w:t>
            </w:r>
          </w:p>
        </w:tc>
        <w:tc>
          <w:tcPr>
            <w:tcW w:w="1276" w:type="dxa"/>
          </w:tcPr>
          <w:p w:rsidR="006A26B0" w:rsidRPr="00A10EA6" w:rsidRDefault="006A26B0" w:rsidP="009E3350">
            <w:pPr>
              <w:ind w:left="0" w:right="0"/>
            </w:pPr>
            <w:r w:rsidRPr="00A10EA6">
              <w:t>2.2</w:t>
            </w:r>
          </w:p>
        </w:tc>
      </w:tr>
      <w:tr w:rsidR="006A26B0" w:rsidRPr="00A10EA6" w:rsidTr="009E3350">
        <w:trPr>
          <w:trHeight w:val="227"/>
        </w:trPr>
        <w:tc>
          <w:tcPr>
            <w:tcW w:w="1276" w:type="dxa"/>
            <w:vMerge/>
          </w:tcPr>
          <w:p w:rsidR="006A26B0" w:rsidRPr="00A10EA6" w:rsidRDefault="006A26B0" w:rsidP="009E3350">
            <w:pPr>
              <w:ind w:left="0" w:right="67"/>
            </w:pPr>
          </w:p>
        </w:tc>
        <w:tc>
          <w:tcPr>
            <w:tcW w:w="1843" w:type="dxa"/>
            <w:vMerge/>
          </w:tcPr>
          <w:p w:rsidR="006A26B0" w:rsidRPr="00A10EA6" w:rsidRDefault="006A26B0" w:rsidP="009E3350">
            <w:pPr>
              <w:ind w:left="0" w:right="0"/>
            </w:pPr>
          </w:p>
        </w:tc>
        <w:tc>
          <w:tcPr>
            <w:tcW w:w="1559" w:type="dxa"/>
          </w:tcPr>
          <w:p w:rsidR="006A26B0" w:rsidRPr="00A10EA6" w:rsidRDefault="006A26B0" w:rsidP="009E3350">
            <w:pPr>
              <w:ind w:left="0" w:right="0"/>
            </w:pPr>
            <w:r w:rsidRPr="00A10EA6">
              <w:t>100</w:t>
            </w:r>
          </w:p>
        </w:tc>
        <w:tc>
          <w:tcPr>
            <w:tcW w:w="1276" w:type="dxa"/>
            <w:vMerge/>
          </w:tcPr>
          <w:p w:rsidR="006A26B0" w:rsidRPr="00A10EA6" w:rsidRDefault="006A26B0" w:rsidP="009E3350">
            <w:pPr>
              <w:ind w:left="0" w:right="0"/>
            </w:pPr>
          </w:p>
        </w:tc>
        <w:tc>
          <w:tcPr>
            <w:tcW w:w="1417" w:type="dxa"/>
          </w:tcPr>
          <w:p w:rsidR="006A26B0" w:rsidRPr="00A10EA6" w:rsidRDefault="006A26B0" w:rsidP="009E3350">
            <w:pPr>
              <w:ind w:left="0" w:right="0"/>
            </w:pPr>
            <w:r w:rsidRPr="00A10EA6">
              <w:t>1,140,000</w:t>
            </w:r>
          </w:p>
        </w:tc>
        <w:tc>
          <w:tcPr>
            <w:tcW w:w="1276" w:type="dxa"/>
          </w:tcPr>
          <w:p w:rsidR="006A26B0" w:rsidRPr="00A10EA6" w:rsidRDefault="006A26B0" w:rsidP="009E3350">
            <w:pPr>
              <w:ind w:left="0" w:right="0"/>
            </w:pPr>
            <w:r w:rsidRPr="00A10EA6">
              <w:t>24</w:t>
            </w:r>
          </w:p>
        </w:tc>
      </w:tr>
      <w:tr w:rsidR="006A26B0" w:rsidRPr="00A10EA6" w:rsidTr="009E3350">
        <w:trPr>
          <w:trHeight w:val="227"/>
        </w:trPr>
        <w:tc>
          <w:tcPr>
            <w:tcW w:w="1276" w:type="dxa"/>
          </w:tcPr>
          <w:p w:rsidR="006A26B0" w:rsidRPr="00A10EA6" w:rsidRDefault="006A26B0" w:rsidP="009E3350">
            <w:pPr>
              <w:ind w:left="0" w:right="-74"/>
            </w:pPr>
            <w:r w:rsidRPr="00A10EA6">
              <w:t>Human</w:t>
            </w:r>
            <w:r w:rsidRPr="00A10EA6">
              <w:br/>
              <w:t>(healthy volunteers)</w:t>
            </w:r>
          </w:p>
        </w:tc>
        <w:tc>
          <w:tcPr>
            <w:tcW w:w="1843" w:type="dxa"/>
          </w:tcPr>
          <w:p w:rsidR="006A26B0" w:rsidRPr="00A10EA6" w:rsidRDefault="006A26B0" w:rsidP="009E3350">
            <w:pPr>
              <w:ind w:left="0" w:right="0"/>
            </w:pPr>
            <w:r w:rsidRPr="00A10EA6">
              <w:t>single dose</w:t>
            </w:r>
          </w:p>
        </w:tc>
        <w:tc>
          <w:tcPr>
            <w:tcW w:w="1559" w:type="dxa"/>
          </w:tcPr>
          <w:p w:rsidR="006A26B0" w:rsidRPr="00A10EA6" w:rsidRDefault="006A26B0" w:rsidP="009E3350">
            <w:pPr>
              <w:ind w:left="0" w:right="0"/>
            </w:pPr>
            <w:r w:rsidRPr="00A10EA6">
              <w:t>300 mg</w:t>
            </w:r>
          </w:p>
        </w:tc>
        <w:tc>
          <w:tcPr>
            <w:tcW w:w="1276" w:type="dxa"/>
          </w:tcPr>
          <w:p w:rsidR="006A26B0" w:rsidRPr="00A10EA6" w:rsidRDefault="006A26B0" w:rsidP="009E3350">
            <w:pPr>
              <w:ind w:left="0" w:right="0"/>
            </w:pPr>
            <w:r w:rsidRPr="00A10EA6">
              <w:t>AUC</w:t>
            </w:r>
            <w:r w:rsidRPr="00A10EA6">
              <w:rPr>
                <w:vertAlign w:val="subscript"/>
              </w:rPr>
              <w:t>0-t</w:t>
            </w:r>
          </w:p>
        </w:tc>
        <w:tc>
          <w:tcPr>
            <w:tcW w:w="1417" w:type="dxa"/>
          </w:tcPr>
          <w:p w:rsidR="006A26B0" w:rsidRPr="00A10EA6" w:rsidRDefault="006A26B0" w:rsidP="009E3350">
            <w:pPr>
              <w:ind w:left="0" w:right="0"/>
            </w:pPr>
            <w:r w:rsidRPr="00A10EA6">
              <w:t>47,760*</w:t>
            </w:r>
          </w:p>
        </w:tc>
        <w:tc>
          <w:tcPr>
            <w:tcW w:w="1276" w:type="dxa"/>
          </w:tcPr>
          <w:p w:rsidR="006A26B0" w:rsidRPr="00A10EA6" w:rsidRDefault="006A26B0" w:rsidP="009E3350">
            <w:pPr>
              <w:ind w:left="0" w:right="0"/>
            </w:pPr>
            <w:r w:rsidRPr="00A10EA6">
              <w:t>–</w:t>
            </w:r>
          </w:p>
        </w:tc>
      </w:tr>
    </w:tbl>
    <w:p w:rsidR="006A26B0" w:rsidRPr="00A10EA6" w:rsidRDefault="00A10EA6" w:rsidP="009E3350">
      <w:pPr>
        <w:pStyle w:val="TableDescription"/>
      </w:pPr>
      <w:r w:rsidRPr="00A10EA6">
        <w:t xml:space="preserve"># = </w:t>
      </w:r>
      <w:proofErr w:type="spellStart"/>
      <w:r w:rsidRPr="00A10EA6">
        <w:t>animal</w:t>
      </w:r>
      <w:proofErr w:type="gramStart"/>
      <w:r w:rsidRPr="00A10EA6">
        <w:t>:human</w:t>
      </w:r>
      <w:proofErr w:type="spellEnd"/>
      <w:proofErr w:type="gramEnd"/>
      <w:r w:rsidRPr="00A10EA6">
        <w:t xml:space="preserve"> plasma AUC</w:t>
      </w:r>
      <w:r w:rsidR="001A768D">
        <w:t>;</w:t>
      </w:r>
      <w:r w:rsidRPr="00A10EA6">
        <w:t xml:space="preserve"> </w:t>
      </w:r>
      <w:r w:rsidR="006A26B0" w:rsidRPr="00A10EA6">
        <w:t>* 1990x24 to convert from µ</w:t>
      </w:r>
      <w:proofErr w:type="spellStart"/>
      <w:r w:rsidR="006A26B0" w:rsidRPr="00A10EA6">
        <w:t>g.day</w:t>
      </w:r>
      <w:proofErr w:type="spellEnd"/>
      <w:r w:rsidR="006A26B0" w:rsidRPr="00A10EA6">
        <w:t>/mL to µ</w:t>
      </w:r>
      <w:proofErr w:type="spellStart"/>
      <w:r w:rsidR="006A26B0" w:rsidRPr="00A10EA6">
        <w:t>g.h</w:t>
      </w:r>
      <w:proofErr w:type="spellEnd"/>
      <w:r w:rsidR="006A26B0" w:rsidRPr="00A10EA6">
        <w:t>/mL</w:t>
      </w:r>
    </w:p>
    <w:p w:rsidR="006A26B0" w:rsidRPr="00A10EA6" w:rsidRDefault="006A26B0" w:rsidP="009E3350">
      <w:r w:rsidRPr="00AD00C8">
        <w:t xml:space="preserve">Exposures in pregnant rabbits were very similar to those in cynomolgus monkeys at the same doses (sexes combined) in the repeat-dose toxicity study (no </w:t>
      </w:r>
      <w:proofErr w:type="spellStart"/>
      <w:r w:rsidRPr="00AD00C8">
        <w:t>toxicokinetic</w:t>
      </w:r>
      <w:proofErr w:type="spellEnd"/>
      <w:r w:rsidRPr="00AD00C8">
        <w:t xml:space="preserve"> data were available on day 1 in rabbits in the 12</w:t>
      </w:r>
      <w:r w:rsidR="00264A66" w:rsidRPr="00AD00C8">
        <w:t xml:space="preserve"> </w:t>
      </w:r>
      <w:r w:rsidRPr="00AD00C8">
        <w:t xml:space="preserve">week repeat-dose toxicity study), consistent with the choice of mg/kg as the basis for interspecies comparisons. Achieved exposure ratios in rabbits were adequate and those achieved in cynomolgus monkeys were high. At the </w:t>
      </w:r>
      <w:r w:rsidR="00A10EA6" w:rsidRPr="00AD00C8">
        <w:t xml:space="preserve">high dose </w:t>
      </w:r>
      <w:r w:rsidRPr="00AD00C8">
        <w:t>in cynomolgus monkeys, although several females developed high titre antibodies,</w:t>
      </w:r>
      <w:r w:rsidRPr="00A10EA6">
        <w:t xml:space="preserve"> serum vedolizumab concentrations were not affected, so all </w:t>
      </w:r>
      <w:r w:rsidR="00A10EA6" w:rsidRPr="00A10EA6">
        <w:t xml:space="preserve">high dose </w:t>
      </w:r>
      <w:r w:rsidRPr="00A10EA6">
        <w:t>animals remained exposed throughout the study.</w:t>
      </w:r>
    </w:p>
    <w:p w:rsidR="006A26B0" w:rsidRPr="00A10EA6" w:rsidRDefault="006A26B0" w:rsidP="009E3350">
      <w:r w:rsidRPr="00A10EA6">
        <w:t xml:space="preserve">Although the specific placental transfer of vedolizumab was not investigated, </w:t>
      </w:r>
      <w:proofErr w:type="spellStart"/>
      <w:r w:rsidRPr="00A10EA6">
        <w:t>IgG</w:t>
      </w:r>
      <w:proofErr w:type="spellEnd"/>
      <w:r w:rsidRPr="00A10EA6">
        <w:t xml:space="preserve"> antibodies are known to cross the placenta. Vedolizumab was detected at low concentrations in the milk of cynomolgus monkeys, but only at the high dose (</w:t>
      </w:r>
      <w:r w:rsidR="00A10EA6">
        <w:t xml:space="preserve">exposure ratio </w:t>
      </w:r>
      <w:r w:rsidRPr="00A10EA6">
        <w:t xml:space="preserve">24, although dosing was not done during the lactation period). Maternal </w:t>
      </w:r>
      <w:proofErr w:type="spellStart"/>
      <w:r w:rsidRPr="00A10EA6">
        <w:t>serum</w:t>
      </w:r>
      <w:proofErr w:type="gramStart"/>
      <w:r w:rsidRPr="00A10EA6">
        <w:t>:milk</w:t>
      </w:r>
      <w:proofErr w:type="spellEnd"/>
      <w:proofErr w:type="gramEnd"/>
      <w:r w:rsidRPr="00A10EA6">
        <w:t xml:space="preserve"> ratios could not be calculated because serum concentrations were not measured on the day of milk collection (PND28). In infants born to the </w:t>
      </w:r>
      <w:r w:rsidR="00A10EA6">
        <w:t xml:space="preserve">high dose </w:t>
      </w:r>
      <w:r w:rsidRPr="00A10EA6">
        <w:t>dams, serum vedolizumab concentrations were generally in the range 10-100 µg/mL on PND28.</w:t>
      </w:r>
    </w:p>
    <w:p w:rsidR="006A26B0" w:rsidRPr="0019628F" w:rsidRDefault="006A26B0" w:rsidP="009E3350">
      <w:pPr>
        <w:pStyle w:val="Heading5"/>
      </w:pPr>
      <w:r w:rsidRPr="0019628F">
        <w:t xml:space="preserve">Pregnancy </w:t>
      </w:r>
      <w:r w:rsidRPr="009E3350">
        <w:t>classification</w:t>
      </w:r>
    </w:p>
    <w:p w:rsidR="006A26B0" w:rsidRPr="0019628F" w:rsidRDefault="006A26B0" w:rsidP="009E3350">
      <w:r w:rsidRPr="0019628F">
        <w:t>The sponsor has proposed pregnancy Category B2</w:t>
      </w:r>
      <w:r w:rsidR="00E70640">
        <w:rPr>
          <w:rStyle w:val="FootnoteReference"/>
        </w:rPr>
        <w:footnoteReference w:id="19"/>
      </w:r>
      <w:r w:rsidRPr="0019628F">
        <w:t>. There were no treatment</w:t>
      </w:r>
      <w:r w:rsidR="00530CFF">
        <w:t xml:space="preserve"> </w:t>
      </w:r>
      <w:r w:rsidRPr="0019628F">
        <w:t xml:space="preserve">related adverse findings in fetuses in the rabbit </w:t>
      </w:r>
      <w:proofErr w:type="spellStart"/>
      <w:r w:rsidRPr="0019628F">
        <w:t>embryofetal</w:t>
      </w:r>
      <w:proofErr w:type="spellEnd"/>
      <w:r w:rsidRPr="0019628F">
        <w:t xml:space="preserve"> development studies or in cynomolgus monkey infants, and the pharmacological effects of vedolizumab (binding to </w:t>
      </w:r>
      <w:r w:rsidRPr="001757CF">
        <w:t>α</w:t>
      </w:r>
      <w:r w:rsidRPr="001757CF">
        <w:rPr>
          <w:vertAlign w:val="subscript"/>
        </w:rPr>
        <w:t>4</w:t>
      </w:r>
      <w:r w:rsidRPr="001757CF">
        <w:t>β</w:t>
      </w:r>
      <w:r w:rsidRPr="001757CF">
        <w:rPr>
          <w:vertAlign w:val="subscript"/>
        </w:rPr>
        <w:t>7</w:t>
      </w:r>
      <w:r w:rsidRPr="0019628F">
        <w:t xml:space="preserve"> sites on relevant leukocytes and a consequent reduction in gut </w:t>
      </w:r>
      <w:proofErr w:type="spellStart"/>
      <w:r w:rsidRPr="0019628F">
        <w:t>immunosurveillance</w:t>
      </w:r>
      <w:proofErr w:type="spellEnd"/>
      <w:r w:rsidRPr="0019628F">
        <w:t>) are unlikely to be detrimental to fetuses. There was also no evidence from the cynomolgus monkey study that this pharmacological effect of the drug caused adverse effects in newborns, which is relevant when considering use in</w:t>
      </w:r>
      <w:r w:rsidR="005C5029">
        <w:t xml:space="preserve"> pregnancy. Given the long half-</w:t>
      </w:r>
      <w:r w:rsidRPr="0019628F">
        <w:t xml:space="preserve">life of vedolizumab (25 days in humans), consideration needs to be given to the newborn when this drug is administered during pregnancy. Although there was no evidence from the monkey study that gestational exposure had an adverse effect on the infants, animal </w:t>
      </w:r>
      <w:r w:rsidRPr="0019628F">
        <w:lastRenderedPageBreak/>
        <w:t>numbers were low and offspring were examined only externally. Consequently, the choice of Category B2 is appropriate.</w:t>
      </w:r>
    </w:p>
    <w:p w:rsidR="006A26B0" w:rsidRPr="0019628F" w:rsidRDefault="006A26B0" w:rsidP="009E3350">
      <w:pPr>
        <w:pStyle w:val="Heading4"/>
      </w:pPr>
      <w:proofErr w:type="spellStart"/>
      <w:r w:rsidRPr="009E3350">
        <w:t>Immunotoxicity</w:t>
      </w:r>
      <w:proofErr w:type="spellEnd"/>
    </w:p>
    <w:p w:rsidR="006A26B0" w:rsidRPr="0019628F" w:rsidRDefault="006A26B0" w:rsidP="009E3350">
      <w:r w:rsidRPr="0019628F">
        <w:t xml:space="preserve">The potential </w:t>
      </w:r>
      <w:proofErr w:type="spellStart"/>
      <w:r w:rsidRPr="0019628F">
        <w:t>immunotoxicity</w:t>
      </w:r>
      <w:proofErr w:type="spellEnd"/>
      <w:r w:rsidRPr="0019628F">
        <w:t xml:space="preserve"> of </w:t>
      </w:r>
      <w:proofErr w:type="spellStart"/>
      <w:r w:rsidRPr="0019628F">
        <w:t>vedolizumab</w:t>
      </w:r>
      <w:proofErr w:type="spellEnd"/>
      <w:r w:rsidRPr="0019628F">
        <w:t xml:space="preserve"> was investigated as part of </w:t>
      </w:r>
      <w:r w:rsidR="00E70640">
        <w:t xml:space="preserve">the </w:t>
      </w:r>
      <w:r w:rsidRPr="0019628F">
        <w:t>13</w:t>
      </w:r>
      <w:r w:rsidR="00E70640">
        <w:t xml:space="preserve"> </w:t>
      </w:r>
      <w:r w:rsidRPr="0019628F">
        <w:t xml:space="preserve">week study in cynomolgus monkeys with fortnightly dosing at up to 100 mg/kg/dose IV and in dedicated </w:t>
      </w:r>
      <w:proofErr w:type="spellStart"/>
      <w:r w:rsidRPr="0019628F">
        <w:t>immunotoxicity</w:t>
      </w:r>
      <w:proofErr w:type="spellEnd"/>
      <w:r w:rsidRPr="0019628F">
        <w:t xml:space="preserve"> studies. In </w:t>
      </w:r>
      <w:r w:rsidR="00E70640">
        <w:t>the 13 week monkey study</w:t>
      </w:r>
      <w:r w:rsidRPr="0019628F">
        <w:t xml:space="preserve">, vedolizumab had no effects on lymphocyte subsets (absolute numbers and relative proportions) or </w:t>
      </w:r>
      <w:r w:rsidR="00E70640">
        <w:t>natural killer (</w:t>
      </w:r>
      <w:r w:rsidRPr="0019628F">
        <w:t>NK</w:t>
      </w:r>
      <w:r w:rsidR="00E70640">
        <w:t>)</w:t>
      </w:r>
      <w:r w:rsidRPr="0019628F">
        <w:t xml:space="preserve"> cell activity, nor did it impair the systemic adaptive immune system, as measured by a T-cell dependent antibody response (TDAR). Lymphocyte subset </w:t>
      </w:r>
      <w:proofErr w:type="spellStart"/>
      <w:r w:rsidRPr="0019628F">
        <w:t>phenotyping</w:t>
      </w:r>
      <w:proofErr w:type="spellEnd"/>
      <w:r w:rsidRPr="0019628F">
        <w:t xml:space="preserve"> was also conducted in </w:t>
      </w:r>
      <w:r w:rsidR="00E70640">
        <w:t xml:space="preserve">another study </w:t>
      </w:r>
      <w:r w:rsidRPr="0019628F">
        <w:t>(earlier 13</w:t>
      </w:r>
      <w:r w:rsidR="00E70640">
        <w:t xml:space="preserve"> </w:t>
      </w:r>
      <w:r w:rsidRPr="0019628F">
        <w:t xml:space="preserve">week study with IV LDP-02 at up to 10 mg/kg/dose) in cynomolgus monkeys, again with negative results. Two dedicated </w:t>
      </w:r>
      <w:proofErr w:type="spellStart"/>
      <w:r w:rsidRPr="0019628F">
        <w:t>immunotoxicity</w:t>
      </w:r>
      <w:proofErr w:type="spellEnd"/>
      <w:r w:rsidRPr="0019628F">
        <w:t xml:space="preserve"> studies were conducted in cynomolgus monkeys, the first involving single doses of natalizumab at 10 and 30 mg/kg IV and the second involving 3 doses of vedolizumab and natalizumab, each at 30 mg/kg IV given at weekly intervals, with only the former study including a positive control compound. In the latter study, the results for vedolizumab were consistent </w:t>
      </w:r>
      <w:r w:rsidR="00E70640">
        <w:t xml:space="preserve">with those from the repeat </w:t>
      </w:r>
      <w:r w:rsidRPr="0019628F">
        <w:t xml:space="preserve">dose study, with no changes in </w:t>
      </w:r>
      <w:proofErr w:type="spellStart"/>
      <w:r w:rsidRPr="0019628F">
        <w:t>immunophenotyping</w:t>
      </w:r>
      <w:proofErr w:type="spellEnd"/>
      <w:r w:rsidRPr="0019628F">
        <w:t xml:space="preserve"> results or TDAR. The 30 mg/kg dose is an appropriate dose (it achieved an exposure ratio of 2.4 on day 1 in the 26</w:t>
      </w:r>
      <w:r w:rsidR="00E70640">
        <w:t xml:space="preserve"> </w:t>
      </w:r>
      <w:r w:rsidRPr="0019628F">
        <w:t>week toxicity study in cynomolgus monkeys). The results for natalizumab were not consistent between the two studies, with an effect on TDAR in the single dose study but not in the multi-dose study. The reason for this is not clear, although there were some small differences in experimental conditions.</w:t>
      </w:r>
    </w:p>
    <w:p w:rsidR="006A26B0" w:rsidRPr="00E70640" w:rsidRDefault="006A26B0" w:rsidP="009E3350">
      <w:r w:rsidRPr="00E70640">
        <w:t>There was no evidence that Act-1 had an immunosuppressive effect based on the results of a study which investigated humoral antibody response and cutaneous delayed-type hypersensitivity (effector stage) in rhesus monkeys immunised with tetanus toxoid.</w:t>
      </w:r>
    </w:p>
    <w:p w:rsidR="006A26B0" w:rsidRPr="00E70640" w:rsidRDefault="006A26B0" w:rsidP="009E3350">
      <w:r w:rsidRPr="00E70640">
        <w:t xml:space="preserve">In summary, relevant endpoints were investigated in a number of studies and the weight of evidence suggests that </w:t>
      </w:r>
      <w:proofErr w:type="spellStart"/>
      <w:r w:rsidRPr="00E70640">
        <w:t>vedolizumab</w:t>
      </w:r>
      <w:proofErr w:type="spellEnd"/>
      <w:r w:rsidRPr="00E70640">
        <w:t xml:space="preserve"> lacks any </w:t>
      </w:r>
      <w:proofErr w:type="spellStart"/>
      <w:r w:rsidRPr="00E70640">
        <w:t>immunotoxic</w:t>
      </w:r>
      <w:proofErr w:type="spellEnd"/>
      <w:r w:rsidRPr="00E70640">
        <w:t xml:space="preserve"> effects.</w:t>
      </w:r>
    </w:p>
    <w:p w:rsidR="006A26B0" w:rsidRPr="00E70640" w:rsidRDefault="006A26B0" w:rsidP="009E3350">
      <w:pPr>
        <w:pStyle w:val="Heading4"/>
      </w:pPr>
      <w:r w:rsidRPr="00E70640">
        <w:t xml:space="preserve">Tissue </w:t>
      </w:r>
      <w:r w:rsidRPr="009E3350">
        <w:t>cross</w:t>
      </w:r>
      <w:r w:rsidRPr="00E70640">
        <w:t>-reactivity</w:t>
      </w:r>
    </w:p>
    <w:p w:rsidR="006A26B0" w:rsidRPr="00E70640" w:rsidRDefault="006A26B0" w:rsidP="009E3350">
      <w:r w:rsidRPr="00E70640">
        <w:t>The results for these studies have been discussed under relevant sections above.</w:t>
      </w:r>
    </w:p>
    <w:p w:rsidR="006A26B0" w:rsidRPr="00E70640" w:rsidRDefault="009E3350" w:rsidP="009E3350">
      <w:pPr>
        <w:pStyle w:val="Heading4"/>
      </w:pPr>
      <w:r>
        <w:t xml:space="preserve">Local </w:t>
      </w:r>
      <w:r w:rsidRPr="009E3350">
        <w:t>tolerance</w:t>
      </w:r>
    </w:p>
    <w:p w:rsidR="006A26B0" w:rsidRPr="0019628F" w:rsidRDefault="006A26B0" w:rsidP="009E3350">
      <w:r w:rsidRPr="0019628F">
        <w:t xml:space="preserve">There was no evidence of any local irritation in a local tolerance study in rabbits, but the routes investigated were </w:t>
      </w:r>
      <w:r w:rsidR="00264A66">
        <w:t>subcutaneous (</w:t>
      </w:r>
      <w:r w:rsidRPr="0019628F">
        <w:t>SC</w:t>
      </w:r>
      <w:r w:rsidR="00264A66">
        <w:t>)</w:t>
      </w:r>
      <w:r w:rsidRPr="0019628F">
        <w:t xml:space="preserve"> and IM which are not relevant for the current application for which the proposed clinical route is IV. While there was no dedicated study investigating IV or </w:t>
      </w:r>
      <w:proofErr w:type="spellStart"/>
      <w:r w:rsidRPr="0019628F">
        <w:t>paravenous</w:t>
      </w:r>
      <w:proofErr w:type="spellEnd"/>
      <w:r w:rsidRPr="0019628F">
        <w:t xml:space="preserve"> irritation, there was generally no evidence of injection site irritation in the single dose or repeat-dose toxicity studies. There were some findings (intimal hyperplasia, acute haemorrhage and inflammation) at the injecti</w:t>
      </w:r>
      <w:r w:rsidR="00264A66">
        <w:t xml:space="preserve">on site in the 2 </w:t>
      </w:r>
      <w:r w:rsidRPr="0019628F">
        <w:t>week cynomolgus monkey study, possibly associated with the high frequency of dosing (daily).</w:t>
      </w:r>
    </w:p>
    <w:p w:rsidR="006A26B0" w:rsidRPr="0019628F" w:rsidRDefault="006A26B0" w:rsidP="009E3350">
      <w:pPr>
        <w:pStyle w:val="Heading4"/>
      </w:pPr>
      <w:r w:rsidRPr="009E3350">
        <w:t>Paediatric</w:t>
      </w:r>
      <w:r w:rsidRPr="0019628F">
        <w:t xml:space="preserve"> use</w:t>
      </w:r>
    </w:p>
    <w:p w:rsidR="006A26B0" w:rsidRPr="0019628F" w:rsidRDefault="006A26B0" w:rsidP="009E3350">
      <w:r w:rsidRPr="0019628F">
        <w:t>Vedolizumab is not proposed for paediatric use and no specific studies in juvenile animals were submitted.</w:t>
      </w:r>
    </w:p>
    <w:p w:rsidR="006A26B0" w:rsidRPr="0019628F" w:rsidRDefault="006A26B0" w:rsidP="009E3350">
      <w:pPr>
        <w:pStyle w:val="Heading4"/>
      </w:pPr>
      <w:r w:rsidRPr="009E3350">
        <w:t>Manufacturing</w:t>
      </w:r>
      <w:r w:rsidRPr="0019628F">
        <w:t xml:space="preserve"> process</w:t>
      </w:r>
    </w:p>
    <w:p w:rsidR="006A26B0" w:rsidRPr="0019628F" w:rsidRDefault="006A26B0" w:rsidP="009E3350">
      <w:r w:rsidRPr="0019628F">
        <w:t>Several nonclinical studies were also conducted to support pr</w:t>
      </w:r>
      <w:r w:rsidR="009E3350">
        <w:t>ocess changes in manufacturing.</w:t>
      </w:r>
    </w:p>
    <w:p w:rsidR="006A26B0" w:rsidRPr="0019628F" w:rsidRDefault="006A26B0" w:rsidP="00A5110F">
      <w:pPr>
        <w:pStyle w:val="Heading4"/>
      </w:pPr>
      <w:r w:rsidRPr="009E3350">
        <w:lastRenderedPageBreak/>
        <w:t>Other</w:t>
      </w:r>
      <w:r w:rsidRPr="0019628F">
        <w:t xml:space="preserve"> </w:t>
      </w:r>
      <w:r w:rsidRPr="00A5110F">
        <w:t>studies</w:t>
      </w:r>
    </w:p>
    <w:p w:rsidR="006A26B0" w:rsidRPr="0019628F" w:rsidRDefault="006A26B0" w:rsidP="00A5110F">
      <w:r w:rsidRPr="0019628F">
        <w:t xml:space="preserve">Other studies such as </w:t>
      </w:r>
      <w:proofErr w:type="spellStart"/>
      <w:r w:rsidRPr="0019628F">
        <w:t>phototoxicity</w:t>
      </w:r>
      <w:proofErr w:type="spellEnd"/>
      <w:r w:rsidRPr="0019628F">
        <w:t xml:space="preserve"> studies are not required for vedolizumab and were not conducted.</w:t>
      </w:r>
    </w:p>
    <w:p w:rsidR="004C67AA" w:rsidRDefault="004C67AA" w:rsidP="00A5110F">
      <w:pPr>
        <w:pStyle w:val="Heading3"/>
      </w:pPr>
      <w:bookmarkStart w:id="67" w:name="_Toc247691515"/>
      <w:bookmarkStart w:id="68" w:name="_Toc314842499"/>
      <w:bookmarkStart w:id="69" w:name="_Toc384807756"/>
      <w:bookmarkStart w:id="70" w:name="_Toc405974777"/>
      <w:r>
        <w:t xml:space="preserve">Nonclinical </w:t>
      </w:r>
      <w:r w:rsidRPr="00A5110F">
        <w:t>summary</w:t>
      </w:r>
      <w:r>
        <w:t xml:space="preserve"> and conclusions</w:t>
      </w:r>
      <w:bookmarkEnd w:id="67"/>
      <w:bookmarkEnd w:id="68"/>
      <w:bookmarkEnd w:id="69"/>
      <w:bookmarkEnd w:id="70"/>
    </w:p>
    <w:p w:rsidR="006F2FFB" w:rsidRPr="009D19AE" w:rsidRDefault="006F2FFB" w:rsidP="00A5110F">
      <w:pPr>
        <w:pStyle w:val="ListBullet"/>
      </w:pPr>
      <w:r w:rsidRPr="009D19AE">
        <w:t xml:space="preserve">The </w:t>
      </w:r>
      <w:r w:rsidRPr="00A5110F">
        <w:t>overall</w:t>
      </w:r>
      <w:r w:rsidRPr="009D19AE">
        <w:t xml:space="preserve"> quality of the nonclinical dossier was good and relevant studies were GLP compliant. </w:t>
      </w:r>
    </w:p>
    <w:p w:rsidR="006F2FFB" w:rsidRPr="009D19AE" w:rsidRDefault="006F2FFB" w:rsidP="00A5110F">
      <w:pPr>
        <w:pStyle w:val="ListBullet"/>
      </w:pPr>
      <w:r w:rsidRPr="009D19AE">
        <w:t xml:space="preserve">Vedolizumab binds to the </w:t>
      </w:r>
      <w:r w:rsidR="006A26B0" w:rsidRPr="001757CF">
        <w:t>α</w:t>
      </w:r>
      <w:r w:rsidR="006A26B0" w:rsidRPr="001757CF">
        <w:rPr>
          <w:vertAlign w:val="subscript"/>
        </w:rPr>
        <w:t>4</w:t>
      </w:r>
      <w:r w:rsidR="006A26B0" w:rsidRPr="001757CF">
        <w:t>β</w:t>
      </w:r>
      <w:r w:rsidR="006A26B0" w:rsidRPr="001757CF">
        <w:rPr>
          <w:vertAlign w:val="subscript"/>
        </w:rPr>
        <w:t>7</w:t>
      </w:r>
      <w:r w:rsidRPr="009D19AE">
        <w:t xml:space="preserve"> integrin on various leukocytes and prevents the binding of lymphocytes bearing this receptor to adhesion molecule, MAdCAM-1. Vedolizumab does not bind to α</w:t>
      </w:r>
      <w:r w:rsidRPr="00264A66">
        <w:rPr>
          <w:vertAlign w:val="subscript"/>
        </w:rPr>
        <w:t>4</w:t>
      </w:r>
      <w:r w:rsidRPr="009D19AE">
        <w:t>β</w:t>
      </w:r>
      <w:r w:rsidRPr="00264A66">
        <w:rPr>
          <w:vertAlign w:val="subscript"/>
        </w:rPr>
        <w:t>1</w:t>
      </w:r>
      <w:r w:rsidRPr="009D19AE">
        <w:t xml:space="preserve"> or α</w:t>
      </w:r>
      <w:r w:rsidRPr="00264A66">
        <w:rPr>
          <w:vertAlign w:val="subscript"/>
        </w:rPr>
        <w:t>E</w:t>
      </w:r>
      <w:r w:rsidRPr="009D19AE">
        <w:t>β</w:t>
      </w:r>
      <w:r w:rsidRPr="00264A66">
        <w:rPr>
          <w:vertAlign w:val="subscript"/>
        </w:rPr>
        <w:t>7</w:t>
      </w:r>
      <w:r w:rsidRPr="009D19AE">
        <w:t xml:space="preserve"> </w:t>
      </w:r>
      <w:proofErr w:type="spellStart"/>
      <w:r w:rsidRPr="009D19AE">
        <w:t>integrins</w:t>
      </w:r>
      <w:proofErr w:type="spellEnd"/>
      <w:r w:rsidRPr="009D19AE">
        <w:t xml:space="preserve">, does not inhibit the binding of </w:t>
      </w:r>
      <w:r w:rsidR="006A26B0" w:rsidRPr="001757CF">
        <w:t>α</w:t>
      </w:r>
      <w:r w:rsidR="006A26B0" w:rsidRPr="001757CF">
        <w:rPr>
          <w:vertAlign w:val="subscript"/>
        </w:rPr>
        <w:t>4</w:t>
      </w:r>
      <w:r w:rsidR="006A26B0" w:rsidRPr="001757CF">
        <w:t>β</w:t>
      </w:r>
      <w:r w:rsidR="006A26B0" w:rsidRPr="001757CF">
        <w:rPr>
          <w:vertAlign w:val="subscript"/>
        </w:rPr>
        <w:t>7</w:t>
      </w:r>
      <w:r w:rsidRPr="009D19AE">
        <w:t xml:space="preserve"> integrin to VCAM-1, and is gut selective since MAdCAM-1 is expressed selectively in the gut. Vedolizumab appears to ameliorate intestinal inflammatory conditions by preventing the gut-homing of memory T helper lymphocytes. It showed efficacy in an animal model (naturally-occurring </w:t>
      </w:r>
      <w:r w:rsidRPr="00A5110F">
        <w:t>chronic</w:t>
      </w:r>
      <w:r w:rsidRPr="009D19AE">
        <w:t xml:space="preserve"> colitis in cotton-top tamarin monkeys), although the exposure achieved in this study was not determined.</w:t>
      </w:r>
    </w:p>
    <w:p w:rsidR="006F2FFB" w:rsidRPr="009D19AE" w:rsidRDefault="006F2FFB" w:rsidP="00A5110F">
      <w:pPr>
        <w:pStyle w:val="ListBullet"/>
      </w:pPr>
      <w:r w:rsidRPr="009D19AE">
        <w:t xml:space="preserve">A study in an EAE model in rhesus monkeys provided no evidence that vedolizumab at an adequate dose inhibits </w:t>
      </w:r>
      <w:proofErr w:type="spellStart"/>
      <w:r w:rsidRPr="009D19AE">
        <w:t>immunosurveillance</w:t>
      </w:r>
      <w:proofErr w:type="spellEnd"/>
      <w:r w:rsidRPr="009D19AE">
        <w:t xml:space="preserve"> in the CNS. Vedolizumab is therefore not expected to be associated with PML. </w:t>
      </w:r>
      <w:r w:rsidRPr="00A5110F">
        <w:t>Further</w:t>
      </w:r>
      <w:r w:rsidRPr="009D19AE">
        <w:t>, CSF analyses in the 26</w:t>
      </w:r>
      <w:r w:rsidR="00264A66">
        <w:t xml:space="preserve"> </w:t>
      </w:r>
      <w:r w:rsidRPr="009D19AE">
        <w:t xml:space="preserve">week cynomolgus monkey study did not reveal any effect of vedolizumab on infiltration of leukocytes into the CSF. No secondary </w:t>
      </w:r>
      <w:r w:rsidR="00621BA3">
        <w:t xml:space="preserve">PD </w:t>
      </w:r>
      <w:r w:rsidRPr="009D19AE">
        <w:t xml:space="preserve">studies were submitted which is acceptable. </w:t>
      </w:r>
    </w:p>
    <w:p w:rsidR="006F2FFB" w:rsidRPr="009D19AE" w:rsidRDefault="006F2FFB" w:rsidP="00A5110F">
      <w:pPr>
        <w:pStyle w:val="ListBullet"/>
      </w:pPr>
      <w:r w:rsidRPr="009D19AE">
        <w:t xml:space="preserve">A single safety pharmacology study, an in vivo cardiovascular </w:t>
      </w:r>
      <w:r w:rsidRPr="00A5110F">
        <w:t>study</w:t>
      </w:r>
      <w:r w:rsidRPr="009D19AE">
        <w:t xml:space="preserve"> in </w:t>
      </w:r>
      <w:proofErr w:type="spellStart"/>
      <w:r w:rsidRPr="009D19AE">
        <w:t>cynomolgus</w:t>
      </w:r>
      <w:proofErr w:type="spellEnd"/>
      <w:r w:rsidRPr="009D19AE">
        <w:t xml:space="preserve"> monkeys, revealed no effects of vedolizumab at an adequate dose (up to 100 mg/kg IV infusion) on MAP, HR or ECG parameters. Results of qua</w:t>
      </w:r>
      <w:r w:rsidR="00264A66">
        <w:t xml:space="preserve">litative ECGs in several repeat </w:t>
      </w:r>
      <w:r w:rsidRPr="009D19AE">
        <w:t>dose toxicity studies were also negative. There were no findings in repeat-dose studies which suggested the need for furth</w:t>
      </w:r>
      <w:r w:rsidR="00A5110F">
        <w:t>er safety pharmacology studies.</w:t>
      </w:r>
    </w:p>
    <w:p w:rsidR="006F2FFB" w:rsidRPr="009D19AE" w:rsidRDefault="006F2FFB" w:rsidP="00A5110F">
      <w:pPr>
        <w:pStyle w:val="ListBullet"/>
      </w:pPr>
      <w:r w:rsidRPr="009D19AE">
        <w:t>Vedolizumab was cleared slowly, volume of distribution was consis</w:t>
      </w:r>
      <w:r w:rsidR="005C5029">
        <w:t xml:space="preserve">tent with blood volume and </w:t>
      </w:r>
      <w:r w:rsidR="005C5029" w:rsidRPr="00A5110F">
        <w:t>half</w:t>
      </w:r>
      <w:r w:rsidR="005C5029">
        <w:t>-</w:t>
      </w:r>
      <w:r w:rsidRPr="009D19AE">
        <w:t>life was very long (about 15 days in cynomolgus monkeys and 25 days in humans).</w:t>
      </w:r>
    </w:p>
    <w:p w:rsidR="006F2FFB" w:rsidRPr="009D19AE" w:rsidRDefault="00264A66" w:rsidP="00A5110F">
      <w:pPr>
        <w:pStyle w:val="ListBullet"/>
      </w:pPr>
      <w:r>
        <w:t xml:space="preserve">A single </w:t>
      </w:r>
      <w:r w:rsidR="006F2FFB" w:rsidRPr="009D19AE">
        <w:t xml:space="preserve">dose toxicity study in cynomolgus monkeys did not reveal any toxicity (mortality, clinical signs or body </w:t>
      </w:r>
      <w:r w:rsidR="006F2FFB" w:rsidRPr="00A5110F">
        <w:t>weight</w:t>
      </w:r>
      <w:r w:rsidR="006F2FFB" w:rsidRPr="009D19AE">
        <w:t xml:space="preserve">) at doses up to 100 mg/kg IV infusion. </w:t>
      </w:r>
    </w:p>
    <w:p w:rsidR="006F2FFB" w:rsidRPr="009D19AE" w:rsidRDefault="00264A66" w:rsidP="00A5110F">
      <w:pPr>
        <w:pStyle w:val="ListBullet"/>
      </w:pPr>
      <w:r>
        <w:t xml:space="preserve">Repeat </w:t>
      </w:r>
      <w:r w:rsidR="006F2FFB" w:rsidRPr="009D19AE">
        <w:t>dose IV toxicity studies were conducted in rabbits and cynomolgus monkeys, both pharmacologically responsive spe</w:t>
      </w:r>
      <w:r w:rsidR="00AD00C8">
        <w:t xml:space="preserve">cies. Pivotal studies were a 13 </w:t>
      </w:r>
      <w:r w:rsidR="006F2FFB" w:rsidRPr="009D19AE">
        <w:t xml:space="preserve">week study in rabbits and a 26 week study in cynomolgus monkeys with twice weekly dosing (0, 10 (monkeys only), </w:t>
      </w:r>
      <w:r w:rsidR="006F2FFB" w:rsidRPr="00A5110F">
        <w:t>30</w:t>
      </w:r>
      <w:r w:rsidR="006F2FFB" w:rsidRPr="009D19AE">
        <w:t xml:space="preserve"> and 100 mg/kg/dose by IV infusion in both species). There were no toxic effects that were clearly associated with vedolizumab treatment. Lymphoid depletion was observed in </w:t>
      </w:r>
      <w:proofErr w:type="spellStart"/>
      <w:r w:rsidR="006F2FFB" w:rsidRPr="009D19AE">
        <w:t>Peyer’s</w:t>
      </w:r>
      <w:proofErr w:type="spellEnd"/>
      <w:r w:rsidR="006F2FFB" w:rsidRPr="009D19AE">
        <w:t xml:space="preserve"> patches in all male dose groups in the cynomolgus monkey study and a decrease in lymphoid follicle size in the </w:t>
      </w:r>
      <w:proofErr w:type="spellStart"/>
      <w:r w:rsidR="006F2FFB" w:rsidRPr="009D19AE">
        <w:t>sacculus</w:t>
      </w:r>
      <w:proofErr w:type="spellEnd"/>
      <w:r w:rsidR="006F2FFB" w:rsidRPr="009D19AE">
        <w:t xml:space="preserve"> </w:t>
      </w:r>
      <w:proofErr w:type="spellStart"/>
      <w:r w:rsidR="006F2FFB" w:rsidRPr="009D19AE">
        <w:t>rotundus</w:t>
      </w:r>
      <w:proofErr w:type="spellEnd"/>
      <w:r w:rsidR="006F2FFB" w:rsidRPr="009D19AE">
        <w:t xml:space="preserve"> was observed in </w:t>
      </w:r>
      <w:r w:rsidR="009D34B9">
        <w:t xml:space="preserve">mid dose </w:t>
      </w:r>
      <w:r w:rsidR="006F2FFB" w:rsidRPr="009D19AE">
        <w:t xml:space="preserve">and </w:t>
      </w:r>
      <w:r w:rsidR="009D34B9">
        <w:t xml:space="preserve">high dose </w:t>
      </w:r>
      <w:r w:rsidR="006F2FFB" w:rsidRPr="009D19AE">
        <w:t xml:space="preserve">rabbits, findings considered to be related to the primary pharmacological activity. Lymphoid hyperplasia in the spleen was observed at the </w:t>
      </w:r>
      <w:r w:rsidR="009D34B9">
        <w:t xml:space="preserve">mid dose </w:t>
      </w:r>
      <w:r w:rsidR="006F2FFB" w:rsidRPr="009D19AE">
        <w:t xml:space="preserve">and </w:t>
      </w:r>
      <w:r w:rsidR="009D34B9">
        <w:t xml:space="preserve">high dose </w:t>
      </w:r>
      <w:r w:rsidR="006F2FFB" w:rsidRPr="009D19AE">
        <w:t>in rabbits, possibly associated with chronic antigenic stimulation due to anti-vedolizumab antibodies rather than a direc</w:t>
      </w:r>
      <w:r w:rsidR="009D34B9">
        <w:t xml:space="preserve">t effect of vedolizumab. Animal to </w:t>
      </w:r>
      <w:r w:rsidR="006F2FFB" w:rsidRPr="009D19AE">
        <w:t xml:space="preserve">human exposure ratios at the </w:t>
      </w:r>
      <w:r w:rsidR="009D34B9">
        <w:t xml:space="preserve">high </w:t>
      </w:r>
      <w:r w:rsidR="006F2FFB" w:rsidRPr="009D19AE">
        <w:t>were 25 in rabbits (day 84 data) and 8 in cynomolgus monkeys (day 1 data), and these may be underestimates.</w:t>
      </w:r>
    </w:p>
    <w:p w:rsidR="006F2FFB" w:rsidRPr="009D19AE" w:rsidRDefault="006F2FFB" w:rsidP="00A5110F">
      <w:pPr>
        <w:pStyle w:val="ListBullet"/>
      </w:pPr>
      <w:r w:rsidRPr="009D19AE">
        <w:t xml:space="preserve">Almost all rabbits and </w:t>
      </w:r>
      <w:proofErr w:type="spellStart"/>
      <w:r w:rsidRPr="00A5110F">
        <w:t>cynomolgus</w:t>
      </w:r>
      <w:proofErr w:type="spellEnd"/>
      <w:r w:rsidRPr="009D19AE">
        <w:t xml:space="preserve"> monkeys treated with vedolizumab developed anti-vedolizumab antibodies, generally after about 8-14 days. Titres varied among animals, and were generally higher at the lower doses. In some animals, with consistently high titres, serum vedolizumab concentrations were reduced.</w:t>
      </w:r>
    </w:p>
    <w:p w:rsidR="006F2FFB" w:rsidRPr="009D19AE" w:rsidRDefault="006F2FFB" w:rsidP="00A5110F">
      <w:pPr>
        <w:pStyle w:val="ListBullet"/>
      </w:pPr>
      <w:r w:rsidRPr="009D19AE">
        <w:lastRenderedPageBreak/>
        <w:t xml:space="preserve">Genotoxicity studies are not required for monoclonal antibodies and were not </w:t>
      </w:r>
      <w:proofErr w:type="gramStart"/>
      <w:r w:rsidRPr="009D19AE">
        <w:t>conducted</w:t>
      </w:r>
      <w:proofErr w:type="gramEnd"/>
      <w:r w:rsidRPr="009D19AE">
        <w:t xml:space="preserve">. No standard carcinogenicity studies were conducted. Vedolizumab was not pharmacologically active in mice or rats. Two in vitro studies with Act-1 (the murine antibody from which </w:t>
      </w:r>
      <w:proofErr w:type="spellStart"/>
      <w:r w:rsidRPr="009D19AE">
        <w:t>vedolizumab</w:t>
      </w:r>
      <w:proofErr w:type="spellEnd"/>
      <w:r w:rsidRPr="009D19AE">
        <w:t xml:space="preserve"> was derived) </w:t>
      </w:r>
      <w:r w:rsidRPr="00A5110F">
        <w:t>did</w:t>
      </w:r>
      <w:r w:rsidRPr="009D19AE">
        <w:t xml:space="preserve"> not provide any signal of carcinogenic potential of vedolizumab. Thus, Act-1 inhibited rather than stimulated the growth of a human B-cell lymphoma cell line and did not show any tissue cross-reactivity with tumour tissue from 10 human colon adenocarcinomas.</w:t>
      </w:r>
    </w:p>
    <w:p w:rsidR="006F2FFB" w:rsidRPr="009D19AE" w:rsidRDefault="006F2FFB" w:rsidP="00A5110F">
      <w:pPr>
        <w:pStyle w:val="ListBullet"/>
      </w:pPr>
      <w:r w:rsidRPr="009D19AE">
        <w:t xml:space="preserve">Placental transfer of vedolizumab was not investigated but </w:t>
      </w:r>
      <w:proofErr w:type="spellStart"/>
      <w:r w:rsidRPr="009D19AE">
        <w:t>IgG</w:t>
      </w:r>
      <w:proofErr w:type="spellEnd"/>
      <w:r w:rsidRPr="009D19AE">
        <w:t xml:space="preserve"> is known to cross the placenta. No fertility studies were conducted. Vedolizumab did not show a toxic effect on reproductive tissues in the repeat-dose toxicity studies and did not cross-react with reproductive tissues in tissue cross-reactivity studies. In </w:t>
      </w:r>
      <w:proofErr w:type="spellStart"/>
      <w:r w:rsidRPr="009D19AE">
        <w:t>embryofetal</w:t>
      </w:r>
      <w:proofErr w:type="spellEnd"/>
      <w:r w:rsidRPr="009D19AE">
        <w:t xml:space="preserve"> development studies in rabbits, vedolizumab showed no evidence of teratogenicity and did not affect </w:t>
      </w:r>
      <w:proofErr w:type="spellStart"/>
      <w:r w:rsidRPr="009D19AE">
        <w:t>embryofetal</w:t>
      </w:r>
      <w:proofErr w:type="spellEnd"/>
      <w:r w:rsidRPr="009D19AE">
        <w:t xml:space="preserve"> development at doses up to 100 mg</w:t>
      </w:r>
      <w:r w:rsidR="00A5110F">
        <w:t>/kg IV (infusion) given on GD7.</w:t>
      </w:r>
    </w:p>
    <w:p w:rsidR="006F2FFB" w:rsidRPr="009D19AE" w:rsidRDefault="006F2FFB" w:rsidP="00A5110F">
      <w:pPr>
        <w:pStyle w:val="ListBullet"/>
      </w:pPr>
      <w:r w:rsidRPr="009D19AE">
        <w:t xml:space="preserve">A pre-/postnatal development study was conducted in </w:t>
      </w:r>
      <w:proofErr w:type="spellStart"/>
      <w:r w:rsidRPr="00A5110F">
        <w:t>cynomolgus</w:t>
      </w:r>
      <w:proofErr w:type="spellEnd"/>
      <w:r w:rsidRPr="009D19AE">
        <w:t xml:space="preserve"> monkeys with IV (infusion) dosing fortnightly at 10 and 100 mg/kg/dose from GD20 to GD132. No adverse effects were observed in dams or infants (the latter were observed for 6 months after birth). On PND28, a low concentration of vedolizumab was detected in milk at the </w:t>
      </w:r>
      <w:r w:rsidR="001A768D">
        <w:t xml:space="preserve">high dose </w:t>
      </w:r>
      <w:r w:rsidRPr="009D19AE">
        <w:t>only.</w:t>
      </w:r>
    </w:p>
    <w:p w:rsidR="006F2FFB" w:rsidRPr="009D19AE" w:rsidRDefault="006F2FFB" w:rsidP="00A5110F">
      <w:pPr>
        <w:pStyle w:val="ListBullet"/>
      </w:pPr>
      <w:r w:rsidRPr="009D19AE">
        <w:t xml:space="preserve">Vedolizumab showed no evidence of </w:t>
      </w:r>
      <w:proofErr w:type="spellStart"/>
      <w:r w:rsidRPr="009D19AE">
        <w:t>immunotoxic</w:t>
      </w:r>
      <w:proofErr w:type="spellEnd"/>
      <w:r w:rsidRPr="009D19AE">
        <w:t xml:space="preserve"> potential in repeat dose toxicity studies in cynomolgus monkeys or in a dedicated comparative (</w:t>
      </w:r>
      <w:proofErr w:type="spellStart"/>
      <w:r w:rsidRPr="009D19AE">
        <w:t>vedolizumab</w:t>
      </w:r>
      <w:proofErr w:type="spellEnd"/>
      <w:r w:rsidRPr="009D19AE">
        <w:t xml:space="preserve"> v</w:t>
      </w:r>
      <w:r w:rsidR="009D34B9">
        <w:t>er</w:t>
      </w:r>
      <w:r w:rsidRPr="009D19AE">
        <w:t>s</w:t>
      </w:r>
      <w:r w:rsidR="009D34B9">
        <w:t>us</w:t>
      </w:r>
      <w:r w:rsidRPr="009D19AE">
        <w:t xml:space="preserve"> </w:t>
      </w:r>
      <w:proofErr w:type="spellStart"/>
      <w:r w:rsidRPr="009D19AE">
        <w:t>natalizumab</w:t>
      </w:r>
      <w:proofErr w:type="spellEnd"/>
      <w:r w:rsidRPr="009D19AE">
        <w:t xml:space="preserve">) </w:t>
      </w:r>
      <w:proofErr w:type="spellStart"/>
      <w:r w:rsidRPr="009D19AE">
        <w:t>immunotoxicity</w:t>
      </w:r>
      <w:proofErr w:type="spellEnd"/>
      <w:r w:rsidRPr="009D19AE">
        <w:t xml:space="preserve"> study. </w:t>
      </w:r>
      <w:r w:rsidRPr="00A5110F">
        <w:t>No</w:t>
      </w:r>
      <w:r w:rsidRPr="009D19AE">
        <w:t xml:space="preserve"> effect of </w:t>
      </w:r>
      <w:proofErr w:type="spellStart"/>
      <w:r w:rsidRPr="009D19AE">
        <w:t>vedolizumab</w:t>
      </w:r>
      <w:proofErr w:type="spellEnd"/>
      <w:r w:rsidRPr="009D19AE">
        <w:t xml:space="preserve"> was observed on </w:t>
      </w:r>
      <w:proofErr w:type="spellStart"/>
      <w:r w:rsidRPr="009D19AE">
        <w:t>immunophenotyping</w:t>
      </w:r>
      <w:proofErr w:type="spellEnd"/>
      <w:r w:rsidRPr="009D19AE">
        <w:t xml:space="preserve"> of lymphocyte subsets, NK cell activity or T-cell dependent antibody responses. Vedolizumab also showed no immunosuppressive activity in a model of cutaneous delayed type hypersensitivity in rhesus monkeys.</w:t>
      </w:r>
    </w:p>
    <w:p w:rsidR="006F2FFB" w:rsidRPr="009D19AE" w:rsidRDefault="006F2FFB" w:rsidP="00A5110F">
      <w:pPr>
        <w:pStyle w:val="ListBullet"/>
      </w:pPr>
      <w:r w:rsidRPr="009D19AE">
        <w:t xml:space="preserve">In tissue cross-reactivity studies, vedolizumab was tested for binding to </w:t>
      </w:r>
      <w:proofErr w:type="spellStart"/>
      <w:r w:rsidRPr="009D19AE">
        <w:t>cryosections</w:t>
      </w:r>
      <w:proofErr w:type="spellEnd"/>
      <w:r w:rsidRPr="009D19AE">
        <w:t xml:space="preserve"> of 37 human and monkey tissues. In </w:t>
      </w:r>
      <w:r w:rsidRPr="00A5110F">
        <w:t>both</w:t>
      </w:r>
      <w:r w:rsidRPr="009D19AE">
        <w:t xml:space="preserve"> species, staining was only observed for mononuclear cells (lymphocytes and monocytes/macrophages) in lymphoid tissues and within the lumen of blood vessels, or as low-grade inflammatory infiltrates in various non-lymphoid tissues.</w:t>
      </w:r>
    </w:p>
    <w:p w:rsidR="006F2FFB" w:rsidRPr="009D19AE" w:rsidRDefault="006F2FFB" w:rsidP="00A5110F">
      <w:pPr>
        <w:pStyle w:val="ListBullet"/>
      </w:pPr>
      <w:r w:rsidRPr="009D19AE">
        <w:t>Local tolerance was investigated using the SC and IM routes (not relevant for the current IV submission). Injection site irritation was generally not observed in the repeat-dose toxicity studies which all used the IV route.</w:t>
      </w:r>
    </w:p>
    <w:p w:rsidR="006F2FFB" w:rsidRPr="009D19AE" w:rsidRDefault="006F2FFB" w:rsidP="00A5110F">
      <w:pPr>
        <w:pStyle w:val="ListBullet"/>
      </w:pPr>
      <w:r w:rsidRPr="009D19AE">
        <w:t xml:space="preserve">The manufacturing process used to produce vedolizumab, and the formulation of the medicinal product, have been changed twice during development (giving Process A, B and C products). </w:t>
      </w:r>
      <w:r w:rsidR="009D34B9">
        <w:t>For t</w:t>
      </w:r>
      <w:r w:rsidRPr="009D19AE">
        <w:t xml:space="preserve">he change from </w:t>
      </w:r>
      <w:r w:rsidR="009D34B9" w:rsidRPr="00A5110F">
        <w:t>Process</w:t>
      </w:r>
      <w:r w:rsidR="009D34B9">
        <w:t xml:space="preserve"> </w:t>
      </w:r>
      <w:r w:rsidRPr="009D19AE">
        <w:t>A to B</w:t>
      </w:r>
      <w:r w:rsidR="009D34B9">
        <w:t>:</w:t>
      </w:r>
      <w:r w:rsidRPr="009D19AE">
        <w:t xml:space="preserve"> </w:t>
      </w:r>
      <w:r w:rsidR="009D34B9">
        <w:t>n</w:t>
      </w:r>
      <w:r w:rsidRPr="009D19AE">
        <w:t xml:space="preserve">o differences in binding affinity or cross-reactivity for human tissues were observed, but </w:t>
      </w:r>
      <w:r w:rsidR="00CC0B2C">
        <w:t>CL</w:t>
      </w:r>
      <w:r w:rsidR="009D34B9">
        <w:t xml:space="preserve"> appeared somewhat more rapid with one</w:t>
      </w:r>
      <w:r w:rsidRPr="009D19AE">
        <w:t xml:space="preserve"> than </w:t>
      </w:r>
      <w:r w:rsidR="009D34B9">
        <w:t>the other</w:t>
      </w:r>
      <w:r w:rsidRPr="009D19AE">
        <w:t>. No differences in toxicity between Process B and C vedolizumab (at 10 and 30 mg/kg IV infusion) were seen in a single do</w:t>
      </w:r>
      <w:r w:rsidR="00A5110F">
        <w:t xml:space="preserve">se study in </w:t>
      </w:r>
      <w:proofErr w:type="spellStart"/>
      <w:r w:rsidR="00A5110F">
        <w:t>cynomolgus</w:t>
      </w:r>
      <w:proofErr w:type="spellEnd"/>
      <w:r w:rsidR="00A5110F">
        <w:t xml:space="preserve"> monkeys.</w:t>
      </w:r>
    </w:p>
    <w:p w:rsidR="006F2FFB" w:rsidRPr="009D19AE" w:rsidRDefault="009D19AE" w:rsidP="00A5110F">
      <w:pPr>
        <w:pStyle w:val="Heading4"/>
      </w:pPr>
      <w:bookmarkStart w:id="71" w:name="_Toc294861479"/>
      <w:bookmarkStart w:id="72" w:name="_Toc295290862"/>
      <w:bookmarkStart w:id="73" w:name="_Toc380580422"/>
      <w:r>
        <w:t>C</w:t>
      </w:r>
      <w:r w:rsidRPr="009D19AE">
        <w:t>onclusions and recommendation</w:t>
      </w:r>
      <w:bookmarkEnd w:id="71"/>
      <w:bookmarkEnd w:id="72"/>
      <w:bookmarkEnd w:id="73"/>
    </w:p>
    <w:p w:rsidR="006F2FFB" w:rsidRPr="009D19AE" w:rsidRDefault="006F2FFB" w:rsidP="00A5110F">
      <w:pPr>
        <w:pStyle w:val="ListBullet"/>
      </w:pPr>
      <w:r w:rsidRPr="009D19AE">
        <w:t>The nonclinical data provided were satisfactory.</w:t>
      </w:r>
    </w:p>
    <w:p w:rsidR="006F2FFB" w:rsidRPr="009D19AE" w:rsidRDefault="006F2FFB" w:rsidP="00A5110F">
      <w:pPr>
        <w:pStyle w:val="ListBullet"/>
      </w:pPr>
      <w:r w:rsidRPr="009D19AE">
        <w:t xml:space="preserve">Primary pharmacology studies adequately demonstrated the mechanism of action of vedolizumab (inhibition of binding of </w:t>
      </w:r>
      <w:r w:rsidR="006A26B0" w:rsidRPr="001757CF">
        <w:t>α</w:t>
      </w:r>
      <w:r w:rsidR="006A26B0" w:rsidRPr="001757CF">
        <w:rPr>
          <w:vertAlign w:val="subscript"/>
        </w:rPr>
        <w:t>4</w:t>
      </w:r>
      <w:r w:rsidR="006A26B0" w:rsidRPr="001757CF">
        <w:t>β</w:t>
      </w:r>
      <w:r w:rsidR="006A26B0" w:rsidRPr="001757CF">
        <w:rPr>
          <w:vertAlign w:val="subscript"/>
        </w:rPr>
        <w:t>7</w:t>
      </w:r>
      <w:r w:rsidRPr="009D19AE">
        <w:t xml:space="preserve"> integrin to MAdCAM-1) and vedolizumab was shown to be efficacious in a cotton-top tamarin monkey model of naturally</w:t>
      </w:r>
      <w:r w:rsidR="009D34B9">
        <w:t xml:space="preserve"> </w:t>
      </w:r>
      <w:r w:rsidRPr="009D19AE">
        <w:t>occurring chronic colitis, although the exposure achieved in this study was not determined. Evidence was provided that vedolizumab is unlikely to inhibit immune surveillance in the CNS and therefore is unlikely to be associated with a risk of PML. Rabbits and monkeys, but not rats and mice, were shown to be pharmacologically responsive species.</w:t>
      </w:r>
    </w:p>
    <w:p w:rsidR="006F2FFB" w:rsidRPr="009D19AE" w:rsidRDefault="006F2FFB" w:rsidP="00A5110F">
      <w:pPr>
        <w:pStyle w:val="ListBullet"/>
      </w:pPr>
      <w:r w:rsidRPr="009D19AE">
        <w:lastRenderedPageBreak/>
        <w:t xml:space="preserve">A safety pharmacology study (cardiovascular study in </w:t>
      </w:r>
      <w:proofErr w:type="spellStart"/>
      <w:r w:rsidRPr="009D19AE">
        <w:t>cynomolgus</w:t>
      </w:r>
      <w:proofErr w:type="spellEnd"/>
      <w:r w:rsidRPr="009D19AE">
        <w:t xml:space="preserve"> monkeys) at </w:t>
      </w:r>
      <w:r w:rsidRPr="00A5110F">
        <w:t>appropriate</w:t>
      </w:r>
      <w:r w:rsidRPr="009D19AE">
        <w:t xml:space="preserve"> doses did not reveal any effects of vedolizumab on MAP, HR or ECG parameters.</w:t>
      </w:r>
    </w:p>
    <w:p w:rsidR="006F2FFB" w:rsidRPr="009D19AE" w:rsidRDefault="006F2FFB" w:rsidP="00A5110F">
      <w:pPr>
        <w:pStyle w:val="ListBullet"/>
      </w:pPr>
      <w:r w:rsidRPr="00A5110F">
        <w:t>Adequate</w:t>
      </w:r>
      <w:r w:rsidRPr="009D19AE">
        <w:t xml:space="preserve"> repeat-dose toxicity studies in rabbits did not ident</w:t>
      </w:r>
      <w:r w:rsidR="005F463C">
        <w:t xml:space="preserve">ify any target organs. Adequate or </w:t>
      </w:r>
      <w:r w:rsidRPr="009D19AE">
        <w:t>high exposure ratios were achieved (up to 25 in rabbits and 8 in cynomolgus monkeys).</w:t>
      </w:r>
    </w:p>
    <w:p w:rsidR="006F2FFB" w:rsidRPr="009D19AE" w:rsidRDefault="006F2FFB" w:rsidP="00A5110F">
      <w:pPr>
        <w:pStyle w:val="ListBullet"/>
      </w:pPr>
      <w:r w:rsidRPr="009D19AE">
        <w:t xml:space="preserve">Genotoxicity studies were not conducted and are not required. Carcinogenicity studies were not conducted but there was no evidence of carcinogenic potential from in vitro studies examining the effect of the </w:t>
      </w:r>
      <w:proofErr w:type="spellStart"/>
      <w:r w:rsidRPr="00A5110F">
        <w:t>vedolizumab</w:t>
      </w:r>
      <w:proofErr w:type="spellEnd"/>
      <w:r w:rsidRPr="009D19AE">
        <w:t xml:space="preserve"> predecessor antibody (Act-1) on the growth of a human B-cell lymphoma cell line and the cross-reactivity of vedolizumab with tumour tissue from human colon adenocarcinomas.</w:t>
      </w:r>
    </w:p>
    <w:p w:rsidR="006F2FFB" w:rsidRPr="009D19AE" w:rsidRDefault="006F2FFB" w:rsidP="00A5110F">
      <w:pPr>
        <w:pStyle w:val="ListBullet"/>
      </w:pPr>
      <w:r w:rsidRPr="009D19AE">
        <w:t xml:space="preserve">No fertility studies were conducted. </w:t>
      </w:r>
      <w:proofErr w:type="spellStart"/>
      <w:r w:rsidRPr="009D19AE">
        <w:t>Embryofetal</w:t>
      </w:r>
      <w:proofErr w:type="spellEnd"/>
      <w:r w:rsidRPr="009D19AE">
        <w:t xml:space="preserve"> development studies in rabbits (at exposure ratios up to 8) did not reveal any evidence of teratogenicity or </w:t>
      </w:r>
      <w:proofErr w:type="spellStart"/>
      <w:r w:rsidRPr="009D19AE">
        <w:t>embryofetal</w:t>
      </w:r>
      <w:proofErr w:type="spellEnd"/>
      <w:r w:rsidRPr="009D19AE">
        <w:t xml:space="preserve"> toxicity. There were no effects on infants when vedolizumab (at exposure ratios up to 24) was administered to cynomolgus monkeys throughou</w:t>
      </w:r>
      <w:r w:rsidR="00A5110F">
        <w:t>t most of the gestation period.</w:t>
      </w:r>
    </w:p>
    <w:p w:rsidR="006F2FFB" w:rsidRPr="009D19AE" w:rsidRDefault="006F2FFB" w:rsidP="00A5110F">
      <w:pPr>
        <w:pStyle w:val="ListBullet"/>
      </w:pPr>
      <w:r w:rsidRPr="009D19AE">
        <w:t xml:space="preserve">Vedolizumab showed no evidence of </w:t>
      </w:r>
      <w:proofErr w:type="spellStart"/>
      <w:r w:rsidRPr="009D19AE">
        <w:t>immunotoxic</w:t>
      </w:r>
      <w:proofErr w:type="spellEnd"/>
      <w:r w:rsidRPr="009D19AE">
        <w:t xml:space="preserve"> potential in repeat-dose toxicity studies or a dedicated </w:t>
      </w:r>
      <w:proofErr w:type="spellStart"/>
      <w:r w:rsidRPr="009D19AE">
        <w:t>immunotoxicity</w:t>
      </w:r>
      <w:proofErr w:type="spellEnd"/>
      <w:r w:rsidRPr="009D19AE">
        <w:t xml:space="preserve"> study.</w:t>
      </w:r>
    </w:p>
    <w:p w:rsidR="006F2FFB" w:rsidRPr="009D19AE" w:rsidRDefault="006F2FFB" w:rsidP="00A5110F">
      <w:pPr>
        <w:pStyle w:val="ListBullet"/>
      </w:pPr>
      <w:r w:rsidRPr="009D19AE">
        <w:t xml:space="preserve">In cross-reactivity studies with human and cynomolgus monkey tissues, staining was only observed for mononuclear cells (lymphocytes and monocytes/macrophages) in lymphoid tissues and within the lumen of </w:t>
      </w:r>
      <w:r w:rsidRPr="00A5110F">
        <w:t>blood</w:t>
      </w:r>
      <w:r w:rsidRPr="009D19AE">
        <w:t xml:space="preserve"> vessels, or as low-grade inflammatory infiltrates in various non-lymphoid tissues</w:t>
      </w:r>
      <w:r w:rsidR="00A5110F">
        <w:t>.</w:t>
      </w:r>
    </w:p>
    <w:p w:rsidR="006F2FFB" w:rsidRPr="009D19AE" w:rsidRDefault="006F2FFB" w:rsidP="00A5110F">
      <w:r w:rsidRPr="009D19AE">
        <w:t>There are no nonclinical objections to registration of vedolizumab for the proposed indications.</w:t>
      </w:r>
    </w:p>
    <w:p w:rsidR="006F2FFB" w:rsidRPr="009D19AE" w:rsidRDefault="00CC0B2C" w:rsidP="00A5110F">
      <w:r>
        <w:t>A</w:t>
      </w:r>
      <w:r w:rsidR="009D19AE">
        <w:t xml:space="preserve">mendments to nonclinical statements in the </w:t>
      </w:r>
      <w:r w:rsidR="006F2FFB" w:rsidRPr="009D19AE">
        <w:t>draft P</w:t>
      </w:r>
      <w:r w:rsidR="009D19AE">
        <w:t xml:space="preserve">I </w:t>
      </w:r>
      <w:r>
        <w:t xml:space="preserve">were recommended; details of these </w:t>
      </w:r>
      <w:r w:rsidR="009D19AE">
        <w:t>are beyond the scope of the AusPAR</w:t>
      </w:r>
      <w:r w:rsidR="006F2FFB" w:rsidRPr="009D19AE">
        <w:t>.</w:t>
      </w:r>
    </w:p>
    <w:p w:rsidR="004C67AA" w:rsidRPr="00254787" w:rsidRDefault="004C67AA" w:rsidP="00A5110F">
      <w:pPr>
        <w:pStyle w:val="Heading2"/>
      </w:pPr>
      <w:bookmarkStart w:id="74" w:name="_Toc196046462"/>
      <w:bookmarkStart w:id="75" w:name="_Toc247691516"/>
      <w:bookmarkStart w:id="76" w:name="_Toc314842500"/>
      <w:bookmarkStart w:id="77" w:name="_Toc384807757"/>
      <w:bookmarkStart w:id="78" w:name="_Toc163441353"/>
      <w:bookmarkStart w:id="79" w:name="_Toc163441348"/>
      <w:bookmarkStart w:id="80" w:name="_Toc405974778"/>
      <w:r>
        <w:t xml:space="preserve">IV. </w:t>
      </w:r>
      <w:r w:rsidRPr="00A5110F">
        <w:t>Clinical</w:t>
      </w:r>
      <w:bookmarkEnd w:id="74"/>
      <w:r>
        <w:t xml:space="preserve"> findings</w:t>
      </w:r>
      <w:bookmarkEnd w:id="75"/>
      <w:bookmarkEnd w:id="76"/>
      <w:bookmarkEnd w:id="77"/>
      <w:bookmarkEnd w:id="80"/>
    </w:p>
    <w:p w:rsidR="004C67AA" w:rsidRDefault="004C67AA" w:rsidP="00A5110F">
      <w:bookmarkStart w:id="81" w:name="_Toc196046463"/>
      <w:r>
        <w:t xml:space="preserve">A summary of the </w:t>
      </w:r>
      <w:r w:rsidRPr="00FD70B8">
        <w:t xml:space="preserve">clinical findings is presented in this section. </w:t>
      </w:r>
      <w:r>
        <w:t xml:space="preserve">Further details of these </w:t>
      </w:r>
      <w:r w:rsidRPr="00FD70B8">
        <w:t xml:space="preserve">clinical findings can be found in </w:t>
      </w:r>
      <w:r w:rsidR="000A33C3">
        <w:t xml:space="preserve">the extract from the clinical evaluation report (CER) at </w:t>
      </w:r>
      <w:r w:rsidRPr="00FD70B8">
        <w:t>Attachment 2.</w:t>
      </w:r>
    </w:p>
    <w:p w:rsidR="004C67AA" w:rsidRDefault="004C67AA" w:rsidP="00A5110F">
      <w:pPr>
        <w:pStyle w:val="Heading3"/>
      </w:pPr>
      <w:bookmarkStart w:id="82" w:name="_Toc247691517"/>
      <w:bookmarkStart w:id="83" w:name="_Toc314842501"/>
      <w:bookmarkStart w:id="84" w:name="_Toc384807758"/>
      <w:bookmarkStart w:id="85" w:name="_Toc405974779"/>
      <w:r w:rsidRPr="00A5110F">
        <w:t>Introduction</w:t>
      </w:r>
      <w:bookmarkEnd w:id="81"/>
      <w:bookmarkEnd w:id="82"/>
      <w:bookmarkEnd w:id="83"/>
      <w:bookmarkEnd w:id="84"/>
      <w:bookmarkEnd w:id="85"/>
    </w:p>
    <w:p w:rsidR="004C67AA" w:rsidRDefault="00CC0B2C" w:rsidP="00A5110F">
      <w:pPr>
        <w:pStyle w:val="Heading4"/>
      </w:pPr>
      <w:bookmarkStart w:id="86" w:name="_Toc196046464"/>
      <w:bookmarkStart w:id="87" w:name="_Toc247691518"/>
      <w:bookmarkStart w:id="88" w:name="_Toc314842502"/>
      <w:r w:rsidRPr="00A5110F">
        <w:t>Clinical</w:t>
      </w:r>
      <w:r>
        <w:t xml:space="preserve"> r</w:t>
      </w:r>
      <w:r w:rsidR="004C67AA" w:rsidRPr="00605AD4">
        <w:t>ationale</w:t>
      </w:r>
    </w:p>
    <w:p w:rsidR="00434CFE" w:rsidRPr="006E1C48" w:rsidRDefault="006E1C48" w:rsidP="00A5110F">
      <w:r>
        <w:t>The s</w:t>
      </w:r>
      <w:r w:rsidR="00434CFE" w:rsidRPr="006E1C48">
        <w:t xml:space="preserve">ponsor’s </w:t>
      </w:r>
      <w:r>
        <w:t>c</w:t>
      </w:r>
      <w:r w:rsidR="00434CFE" w:rsidRPr="006E1C48">
        <w:t xml:space="preserve">linical </w:t>
      </w:r>
      <w:r>
        <w:t>o</w:t>
      </w:r>
      <w:r w:rsidR="00434CFE" w:rsidRPr="006E1C48">
        <w:t>verview states:</w:t>
      </w:r>
      <w:r w:rsidR="009E5210">
        <w:t xml:space="preserve"> </w:t>
      </w:r>
      <w:r w:rsidR="00434CFE" w:rsidRPr="00A5110F">
        <w:rPr>
          <w:i/>
        </w:rPr>
        <w:t>There is a pressing need for alternative therapy effective in patients who do not respond, lose response, or are intolerant to currently available treatments for UC and CD.</w:t>
      </w:r>
      <w:r w:rsidR="007E0E09" w:rsidRPr="00A5110F">
        <w:rPr>
          <w:i/>
        </w:rPr>
        <w:t xml:space="preserve"> </w:t>
      </w:r>
      <w:r w:rsidR="00434CFE" w:rsidRPr="00A5110F">
        <w:rPr>
          <w:i/>
        </w:rPr>
        <w:t>In addition, given the toxicities associated with chronic immunosuppression of the immune system associated with corticosteroids, immunomodulators, and TNFα antagonists, there is a need for new targeted therapies, particularly one that reduces the gastrointestinal inflammatory process without increasing the risk for toxicities commonly seen with the currently available agents.</w:t>
      </w:r>
      <w:r w:rsidR="007E0E09" w:rsidRPr="00A5110F">
        <w:rPr>
          <w:i/>
        </w:rPr>
        <w:t xml:space="preserve"> </w:t>
      </w:r>
      <w:r w:rsidR="00434CFE" w:rsidRPr="00A5110F">
        <w:rPr>
          <w:i/>
        </w:rPr>
        <w:t xml:space="preserve">Vedolizumab is a gut-selective anti-inflammatory agent that was developed to help </w:t>
      </w:r>
      <w:r w:rsidR="009E5210" w:rsidRPr="00A5110F">
        <w:rPr>
          <w:i/>
        </w:rPr>
        <w:t>fulfil</w:t>
      </w:r>
      <w:r w:rsidR="00434CFE" w:rsidRPr="00A5110F">
        <w:rPr>
          <w:i/>
        </w:rPr>
        <w:t xml:space="preserve"> this important unmet medical need</w:t>
      </w:r>
      <w:r w:rsidR="00434CFE" w:rsidRPr="00CC0B2C">
        <w:t>.</w:t>
      </w:r>
    </w:p>
    <w:p w:rsidR="004C67AA" w:rsidRDefault="004C67AA" w:rsidP="00A5110F">
      <w:pPr>
        <w:pStyle w:val="Heading4"/>
      </w:pPr>
      <w:r w:rsidRPr="00A5110F">
        <w:lastRenderedPageBreak/>
        <w:t>Guidance</w:t>
      </w:r>
    </w:p>
    <w:p w:rsidR="00CC0B2C" w:rsidRPr="00CC0B2C" w:rsidRDefault="00CC0B2C" w:rsidP="00A5110F">
      <w:r>
        <w:t>Relevant guidelines include:</w:t>
      </w:r>
    </w:p>
    <w:p w:rsidR="00434CFE" w:rsidRPr="00AF7EFB" w:rsidRDefault="00434CFE" w:rsidP="00434CFE">
      <w:pPr>
        <w:pStyle w:val="ListBullet"/>
      </w:pPr>
      <w:r w:rsidRPr="00AF7EFB">
        <w:t xml:space="preserve">CHMP </w:t>
      </w:r>
      <w:r w:rsidRPr="006E1C48">
        <w:rPr>
          <w:i/>
        </w:rPr>
        <w:t>Guideline on the Development of New Medicinal Products for Ulcerative Colitis</w:t>
      </w:r>
      <w:r w:rsidRPr="00AF7EFB">
        <w:t xml:space="preserve"> (CHMP/EWP/18463/2006; effective August 2008)</w:t>
      </w:r>
    </w:p>
    <w:p w:rsidR="00434CFE" w:rsidRDefault="00434CFE" w:rsidP="00434CFE">
      <w:pPr>
        <w:pStyle w:val="ListBullet"/>
      </w:pPr>
      <w:r w:rsidRPr="00AF7EFB">
        <w:t xml:space="preserve">CHMP </w:t>
      </w:r>
      <w:r w:rsidRPr="006E1C48">
        <w:rPr>
          <w:i/>
        </w:rPr>
        <w:t>Guideline on the Development of New Medicinal Products for the Treatment of Crohn’s Disease</w:t>
      </w:r>
      <w:r w:rsidRPr="00AF7EFB">
        <w:t xml:space="preserve"> (CPMP/EWP/2284/99 Rev. 1; effective February 2009)</w:t>
      </w:r>
    </w:p>
    <w:p w:rsidR="00F2514B" w:rsidRPr="00CC2B24" w:rsidRDefault="00CC0B2C" w:rsidP="00A5110F">
      <w:r>
        <w:t>The sponsor provided j</w:t>
      </w:r>
      <w:r w:rsidR="00F2514B">
        <w:t xml:space="preserve">ustification </w:t>
      </w:r>
      <w:r w:rsidR="00F2514B" w:rsidRPr="00CC2B24">
        <w:t>with regard to deviations from</w:t>
      </w:r>
      <w:r w:rsidR="00F2514B">
        <w:t xml:space="preserve"> the above.</w:t>
      </w:r>
    </w:p>
    <w:p w:rsidR="004C67AA" w:rsidRDefault="004C67AA" w:rsidP="00A5110F">
      <w:pPr>
        <w:pStyle w:val="Heading4"/>
      </w:pPr>
      <w:r w:rsidRPr="00A5110F">
        <w:t>Contents</w:t>
      </w:r>
      <w:r w:rsidRPr="00605AD4">
        <w:t xml:space="preserve"> of the clinical dossier</w:t>
      </w:r>
    </w:p>
    <w:p w:rsidR="006E1C48" w:rsidRPr="00CC2B24" w:rsidRDefault="006E1C48" w:rsidP="00A5110F">
      <w:r w:rsidRPr="00CC2B24">
        <w:t>The submission contained the following clinical information:</w:t>
      </w:r>
    </w:p>
    <w:p w:rsidR="006E1C48" w:rsidRPr="00CC2B24" w:rsidRDefault="006E1C48" w:rsidP="00A5110F">
      <w:r w:rsidRPr="00CC2B24">
        <w:t>Module 5</w:t>
      </w:r>
      <w:r>
        <w:t>:</w:t>
      </w:r>
    </w:p>
    <w:p w:rsidR="006E1C48" w:rsidRPr="00AF7EFB" w:rsidRDefault="006E1C48" w:rsidP="00A5110F">
      <w:pPr>
        <w:pStyle w:val="ListBullet"/>
      </w:pPr>
      <w:r w:rsidRPr="00AF7EFB">
        <w:t xml:space="preserve">14 clinical pharmacology studies, including 14 that provided </w:t>
      </w:r>
      <w:r w:rsidR="00C21180">
        <w:t xml:space="preserve">PK </w:t>
      </w:r>
      <w:r w:rsidRPr="00AF7EFB">
        <w:t xml:space="preserve">data and 12 that provided </w:t>
      </w:r>
      <w:r w:rsidR="00621BA3">
        <w:t xml:space="preserve">PD </w:t>
      </w:r>
      <w:r w:rsidRPr="00AF7EFB">
        <w:t>data.</w:t>
      </w:r>
    </w:p>
    <w:p w:rsidR="006E1C48" w:rsidRPr="00AF7EFB" w:rsidRDefault="006E1C48" w:rsidP="006E1C48">
      <w:pPr>
        <w:pStyle w:val="ListBullet"/>
      </w:pPr>
      <w:r w:rsidRPr="00AF7EFB">
        <w:t xml:space="preserve">2 population </w:t>
      </w:r>
      <w:r w:rsidR="00C21180">
        <w:t xml:space="preserve">PK </w:t>
      </w:r>
      <w:r w:rsidRPr="00AF7EFB">
        <w:t>analyses.</w:t>
      </w:r>
    </w:p>
    <w:p w:rsidR="006E1C48" w:rsidRPr="00AF7EFB" w:rsidRDefault="006E1C48" w:rsidP="006E1C48">
      <w:pPr>
        <w:pStyle w:val="ListBullet"/>
      </w:pPr>
      <w:r w:rsidRPr="00AF7EFB">
        <w:t>3 pivotal efficacy/safety studies.</w:t>
      </w:r>
    </w:p>
    <w:p w:rsidR="006E1C48" w:rsidRPr="00AF7EFB" w:rsidRDefault="006E1C48" w:rsidP="006E1C48">
      <w:pPr>
        <w:pStyle w:val="ListBullet"/>
      </w:pPr>
      <w:r w:rsidRPr="00AF7EFB">
        <w:t>2 other efficacy/safety studies.</w:t>
      </w:r>
    </w:p>
    <w:p w:rsidR="006E1C48" w:rsidRPr="00AF7EFB" w:rsidRDefault="006E1C48" w:rsidP="00A5110F">
      <w:pPr>
        <w:pStyle w:val="ListBullet"/>
      </w:pPr>
      <w:r w:rsidRPr="00AF7EFB">
        <w:t xml:space="preserve">Integrated Summary of </w:t>
      </w:r>
      <w:r w:rsidRPr="00A5110F">
        <w:t>Efficacy</w:t>
      </w:r>
      <w:r w:rsidRPr="00AF7EFB">
        <w:t>, Integrated Summary of Safety</w:t>
      </w:r>
    </w:p>
    <w:p w:rsidR="006E1C48" w:rsidRPr="00AF7EFB" w:rsidRDefault="006E1C48" w:rsidP="00A5110F">
      <w:r w:rsidRPr="00AF7EFB">
        <w:t>Module 2</w:t>
      </w:r>
      <w:r>
        <w:t>:</w:t>
      </w:r>
    </w:p>
    <w:p w:rsidR="006E1C48" w:rsidRPr="00AF7EFB" w:rsidRDefault="006E1C48" w:rsidP="00A5110F">
      <w:pPr>
        <w:pStyle w:val="ListBullet"/>
      </w:pPr>
      <w:r w:rsidRPr="00AF7EFB">
        <w:t>Clinical Overview, Summary of Clinical Efficacy, Summary of Clinical Safety and literature references.</w:t>
      </w:r>
    </w:p>
    <w:p w:rsidR="004C67AA" w:rsidRDefault="004C67AA" w:rsidP="00A5110F">
      <w:pPr>
        <w:pStyle w:val="Heading4"/>
      </w:pPr>
      <w:r w:rsidRPr="00605AD4">
        <w:t xml:space="preserve">Paediatric </w:t>
      </w:r>
      <w:r w:rsidRPr="00A5110F">
        <w:t>data</w:t>
      </w:r>
    </w:p>
    <w:p w:rsidR="00434CFE" w:rsidRPr="00AE49B9" w:rsidRDefault="00434CFE" w:rsidP="00A5110F">
      <w:r w:rsidRPr="00AE49B9">
        <w:t>The submission did not include paediatric data.</w:t>
      </w:r>
    </w:p>
    <w:p w:rsidR="004C67AA" w:rsidRDefault="004C67AA" w:rsidP="00A5110F">
      <w:pPr>
        <w:pStyle w:val="Heading4"/>
      </w:pPr>
      <w:r w:rsidRPr="00605AD4">
        <w:t xml:space="preserve">Good </w:t>
      </w:r>
      <w:r w:rsidRPr="00A5110F">
        <w:t>clinical</w:t>
      </w:r>
      <w:r w:rsidRPr="00605AD4">
        <w:t xml:space="preserve"> practice</w:t>
      </w:r>
    </w:p>
    <w:p w:rsidR="00434CFE" w:rsidRPr="00434CFE" w:rsidRDefault="00434CFE" w:rsidP="00A5110F">
      <w:bookmarkStart w:id="89" w:name="_Toc241374282"/>
      <w:r w:rsidRPr="00CC2B24">
        <w:t>The studies submitted in the dossier are stated to have be</w:t>
      </w:r>
      <w:r>
        <w:t xml:space="preserve">en conducted according to </w:t>
      </w:r>
      <w:r w:rsidR="00EF227F">
        <w:t>good clinical practice (</w:t>
      </w:r>
      <w:r>
        <w:t>GCP</w:t>
      </w:r>
      <w:r w:rsidR="00EF227F">
        <w:t>)</w:t>
      </w:r>
      <w:r>
        <w:t>. It is the evaluator’s belief that the s</w:t>
      </w:r>
      <w:r w:rsidRPr="00CC2B24">
        <w:t>ponsor has adhered to GCP when conducting these studies.</w:t>
      </w:r>
      <w:bookmarkEnd w:id="89"/>
    </w:p>
    <w:p w:rsidR="004C67AA" w:rsidRPr="00254787" w:rsidRDefault="004C67AA" w:rsidP="00A5110F">
      <w:pPr>
        <w:pStyle w:val="Heading3"/>
      </w:pPr>
      <w:bookmarkStart w:id="90" w:name="_Toc384807759"/>
      <w:bookmarkStart w:id="91" w:name="_Toc405974780"/>
      <w:r w:rsidRPr="00A5110F">
        <w:t>Pharmacokinetics</w:t>
      </w:r>
      <w:bookmarkEnd w:id="78"/>
      <w:bookmarkEnd w:id="86"/>
      <w:bookmarkEnd w:id="87"/>
      <w:bookmarkEnd w:id="88"/>
      <w:bookmarkEnd w:id="90"/>
      <w:bookmarkEnd w:id="91"/>
    </w:p>
    <w:p w:rsidR="004C67AA" w:rsidRDefault="004C67AA" w:rsidP="00A5110F">
      <w:pPr>
        <w:pStyle w:val="Heading4"/>
      </w:pPr>
      <w:r>
        <w:t xml:space="preserve">Studies </w:t>
      </w:r>
      <w:r w:rsidRPr="00A5110F">
        <w:t>providing</w:t>
      </w:r>
      <w:r>
        <w:t xml:space="preserve"> pharmacokinetic data </w:t>
      </w:r>
    </w:p>
    <w:p w:rsidR="00434CFE" w:rsidRPr="00AE49B9" w:rsidRDefault="00CC0B2C" w:rsidP="00A5110F">
      <w:r>
        <w:t>Table 4</w:t>
      </w:r>
      <w:r w:rsidR="00434CFE">
        <w:t xml:space="preserve"> </w:t>
      </w:r>
      <w:r w:rsidR="00434CFE" w:rsidRPr="00AE49B9">
        <w:t xml:space="preserve">shows the studies relating to each </w:t>
      </w:r>
      <w:r w:rsidR="00C21180">
        <w:t>PK</w:t>
      </w:r>
      <w:r w:rsidR="00434CFE" w:rsidRPr="00AE49B9">
        <w:t xml:space="preserve"> topic.</w:t>
      </w:r>
    </w:p>
    <w:p w:rsidR="00434CFE" w:rsidRPr="00AE49B9" w:rsidRDefault="00434CFE" w:rsidP="00A5110F">
      <w:pPr>
        <w:pStyle w:val="TableTitle"/>
      </w:pPr>
      <w:bookmarkStart w:id="92" w:name="_Ref272426277"/>
      <w:bookmarkStart w:id="93" w:name="_Toc290888900"/>
      <w:proofErr w:type="gramStart"/>
      <w:r w:rsidRPr="00AE49B9">
        <w:t>Table</w:t>
      </w:r>
      <w:bookmarkEnd w:id="92"/>
      <w:r w:rsidR="00CC0B2C">
        <w:t xml:space="preserve"> 4</w:t>
      </w:r>
      <w:r>
        <w:t>:</w:t>
      </w:r>
      <w:r w:rsidRPr="00AE49B9">
        <w:t xml:space="preserve"> Submitted pharmacokinetic studies.</w:t>
      </w:r>
      <w:bookmarkEnd w:id="93"/>
      <w:proofErr w:type="gramEnd"/>
    </w:p>
    <w:tbl>
      <w:tblPr>
        <w:tblStyle w:val="TableTGAblue"/>
        <w:tblW w:w="8364" w:type="dxa"/>
        <w:tblLayout w:type="fixed"/>
        <w:tblLook w:val="04A0" w:firstRow="1" w:lastRow="0" w:firstColumn="1" w:lastColumn="0" w:noHBand="0" w:noVBand="1"/>
      </w:tblPr>
      <w:tblGrid>
        <w:gridCol w:w="1985"/>
        <w:gridCol w:w="3402"/>
        <w:gridCol w:w="2977"/>
      </w:tblGrid>
      <w:tr w:rsidR="00434CFE" w:rsidRPr="00CC2B24" w:rsidTr="00A5110F">
        <w:trPr>
          <w:cnfStyle w:val="100000000000" w:firstRow="1" w:lastRow="0" w:firstColumn="0" w:lastColumn="0" w:oddVBand="0" w:evenVBand="0" w:oddHBand="0" w:evenHBand="0" w:firstRowFirstColumn="0" w:firstRowLastColumn="0" w:lastRowFirstColumn="0" w:lastRowLastColumn="0"/>
        </w:trPr>
        <w:tc>
          <w:tcPr>
            <w:tcW w:w="1985" w:type="dxa"/>
          </w:tcPr>
          <w:p w:rsidR="00434CFE" w:rsidRPr="00CC2B24" w:rsidRDefault="00434CFE" w:rsidP="00A5110F">
            <w:r w:rsidRPr="00CC2B24">
              <w:t>PK topic</w:t>
            </w:r>
          </w:p>
        </w:tc>
        <w:tc>
          <w:tcPr>
            <w:tcW w:w="3402" w:type="dxa"/>
          </w:tcPr>
          <w:p w:rsidR="00434CFE" w:rsidRPr="00CC2B24" w:rsidRDefault="00434CFE" w:rsidP="00A5110F">
            <w:r w:rsidRPr="00CC2B24">
              <w:t>Subtopic</w:t>
            </w:r>
          </w:p>
        </w:tc>
        <w:tc>
          <w:tcPr>
            <w:tcW w:w="2977" w:type="dxa"/>
          </w:tcPr>
          <w:p w:rsidR="00434CFE" w:rsidRPr="00CC2B24" w:rsidRDefault="00434CFE" w:rsidP="00A5110F">
            <w:r w:rsidRPr="00CC2B24">
              <w:t>Study ID</w:t>
            </w:r>
          </w:p>
        </w:tc>
      </w:tr>
      <w:tr w:rsidR="00434CFE" w:rsidRPr="00CC2B24" w:rsidTr="00A5110F">
        <w:tc>
          <w:tcPr>
            <w:tcW w:w="1985" w:type="dxa"/>
            <w:vMerge w:val="restart"/>
          </w:tcPr>
          <w:p w:rsidR="00434CFE" w:rsidRPr="00CC2B24" w:rsidRDefault="00434CFE" w:rsidP="00A5110F">
            <w:r w:rsidRPr="00CC2B24">
              <w:t>PK in healthy adults</w:t>
            </w:r>
          </w:p>
        </w:tc>
        <w:tc>
          <w:tcPr>
            <w:tcW w:w="3402" w:type="dxa"/>
            <w:vMerge w:val="restart"/>
          </w:tcPr>
          <w:p w:rsidR="00434CFE" w:rsidRPr="00CC2B24" w:rsidRDefault="00434CFE" w:rsidP="00A5110F">
            <w:r w:rsidRPr="00CC2B24">
              <w:t>General PK</w:t>
            </w:r>
            <w:r w:rsidRPr="00CC2B24">
              <w:tab/>
              <w:t>- Single dose</w:t>
            </w:r>
          </w:p>
        </w:tc>
        <w:tc>
          <w:tcPr>
            <w:tcW w:w="2977" w:type="dxa"/>
          </w:tcPr>
          <w:p w:rsidR="00434CFE" w:rsidRPr="00CC2B24" w:rsidRDefault="00434CFE" w:rsidP="00A5110F">
            <w:r w:rsidRPr="00CC2B24">
              <w:t>Study C13001</w:t>
            </w:r>
          </w:p>
        </w:tc>
      </w:tr>
      <w:tr w:rsidR="00434CFE" w:rsidRPr="00CC2B24" w:rsidTr="00A5110F">
        <w:tc>
          <w:tcPr>
            <w:tcW w:w="1985" w:type="dxa"/>
            <w:vMerge/>
          </w:tcPr>
          <w:p w:rsidR="00434CFE" w:rsidRPr="00CC2B24" w:rsidRDefault="00434CFE" w:rsidP="00A5110F"/>
        </w:tc>
        <w:tc>
          <w:tcPr>
            <w:tcW w:w="3402" w:type="dxa"/>
            <w:vMerge/>
          </w:tcPr>
          <w:p w:rsidR="00434CFE" w:rsidRPr="00CC2B24" w:rsidRDefault="00434CFE" w:rsidP="00A5110F"/>
        </w:tc>
        <w:tc>
          <w:tcPr>
            <w:tcW w:w="2977" w:type="dxa"/>
          </w:tcPr>
          <w:p w:rsidR="00434CFE" w:rsidRPr="00CC2B24" w:rsidRDefault="00434CFE" w:rsidP="00A5110F">
            <w:r w:rsidRPr="00CC2B24">
              <w:t xml:space="preserve">Study </w:t>
            </w:r>
            <w:r w:rsidR="00407F16">
              <w:t>L</w:t>
            </w:r>
            <w:r w:rsidRPr="00CC2B24">
              <w:t>297-007</w:t>
            </w:r>
          </w:p>
        </w:tc>
      </w:tr>
      <w:tr w:rsidR="00434CFE" w:rsidRPr="00CC2B24" w:rsidTr="00A5110F">
        <w:tc>
          <w:tcPr>
            <w:tcW w:w="1985" w:type="dxa"/>
            <w:vMerge/>
          </w:tcPr>
          <w:p w:rsidR="00434CFE" w:rsidRPr="00CC2B24" w:rsidRDefault="00434CFE" w:rsidP="00A5110F"/>
        </w:tc>
        <w:tc>
          <w:tcPr>
            <w:tcW w:w="3402" w:type="dxa"/>
            <w:vMerge/>
          </w:tcPr>
          <w:p w:rsidR="00434CFE" w:rsidRPr="00CC2B24" w:rsidRDefault="00434CFE" w:rsidP="00A5110F"/>
        </w:tc>
        <w:tc>
          <w:tcPr>
            <w:tcW w:w="2977" w:type="dxa"/>
          </w:tcPr>
          <w:p w:rsidR="00434CFE" w:rsidRPr="00CC2B24" w:rsidRDefault="00434CFE" w:rsidP="00A5110F">
            <w:r w:rsidRPr="00CC2B24">
              <w:t>Study C13012</w:t>
            </w:r>
          </w:p>
        </w:tc>
      </w:tr>
      <w:tr w:rsidR="00434CFE" w:rsidRPr="00CC2B24" w:rsidTr="00A5110F">
        <w:tc>
          <w:tcPr>
            <w:tcW w:w="1985" w:type="dxa"/>
            <w:vMerge/>
          </w:tcPr>
          <w:p w:rsidR="00434CFE" w:rsidRPr="00CC2B24" w:rsidRDefault="00434CFE" w:rsidP="00A5110F"/>
        </w:tc>
        <w:tc>
          <w:tcPr>
            <w:tcW w:w="3402" w:type="dxa"/>
            <w:vMerge/>
          </w:tcPr>
          <w:p w:rsidR="00434CFE" w:rsidRPr="00CC2B24" w:rsidRDefault="00434CFE" w:rsidP="00A5110F"/>
        </w:tc>
        <w:tc>
          <w:tcPr>
            <w:tcW w:w="2977" w:type="dxa"/>
          </w:tcPr>
          <w:p w:rsidR="00434CFE" w:rsidRPr="00CC2B24" w:rsidRDefault="00434CFE" w:rsidP="00A5110F">
            <w:r w:rsidRPr="00CC2B24">
              <w:t>Study C13013</w:t>
            </w:r>
          </w:p>
        </w:tc>
      </w:tr>
      <w:tr w:rsidR="006F06BE" w:rsidRPr="00CC2B24" w:rsidTr="00A5110F">
        <w:trPr>
          <w:trHeight w:val="542"/>
        </w:trPr>
        <w:tc>
          <w:tcPr>
            <w:tcW w:w="1985" w:type="dxa"/>
            <w:vMerge/>
          </w:tcPr>
          <w:p w:rsidR="006F06BE" w:rsidRPr="00CC2B24" w:rsidRDefault="006F06BE" w:rsidP="00A5110F"/>
        </w:tc>
        <w:tc>
          <w:tcPr>
            <w:tcW w:w="3402" w:type="dxa"/>
          </w:tcPr>
          <w:p w:rsidR="006F06BE" w:rsidRPr="00CC2B24" w:rsidRDefault="006F06BE" w:rsidP="00A5110F">
            <w:r w:rsidRPr="00A90A23">
              <w:t>General PK</w:t>
            </w:r>
            <w:r w:rsidRPr="00A90A23">
              <w:tab/>
            </w:r>
            <w:r w:rsidRPr="00CC2B24">
              <w:t>Multiple dose</w:t>
            </w:r>
          </w:p>
        </w:tc>
        <w:tc>
          <w:tcPr>
            <w:tcW w:w="2977" w:type="dxa"/>
          </w:tcPr>
          <w:p w:rsidR="006F06BE" w:rsidRPr="00CC2B24" w:rsidRDefault="006F06BE" w:rsidP="00A5110F">
            <w:r w:rsidRPr="00CC2B24">
              <w:t>Study CPH-001</w:t>
            </w:r>
          </w:p>
        </w:tc>
      </w:tr>
      <w:tr w:rsidR="006F06BE" w:rsidRPr="00CC2B24" w:rsidTr="00A5110F">
        <w:trPr>
          <w:trHeight w:val="543"/>
        </w:trPr>
        <w:tc>
          <w:tcPr>
            <w:tcW w:w="1985" w:type="dxa"/>
            <w:vMerge/>
          </w:tcPr>
          <w:p w:rsidR="006F06BE" w:rsidRPr="00CC2B24" w:rsidRDefault="006F06BE" w:rsidP="00A5110F"/>
        </w:tc>
        <w:tc>
          <w:tcPr>
            <w:tcW w:w="3402" w:type="dxa"/>
          </w:tcPr>
          <w:p w:rsidR="006F06BE" w:rsidRPr="00CC2B24" w:rsidRDefault="006F06BE" w:rsidP="00A5110F">
            <w:r w:rsidRPr="00CC2B24">
              <w:t>Absolute bioavailability</w:t>
            </w:r>
          </w:p>
        </w:tc>
        <w:tc>
          <w:tcPr>
            <w:tcW w:w="2977" w:type="dxa"/>
          </w:tcPr>
          <w:p w:rsidR="006F06BE" w:rsidRPr="00CC2B24" w:rsidRDefault="006F06BE" w:rsidP="00A5110F">
            <w:r w:rsidRPr="00CC2B24">
              <w:t>Study C13010</w:t>
            </w:r>
          </w:p>
        </w:tc>
      </w:tr>
      <w:tr w:rsidR="00434CFE" w:rsidRPr="00CC2B24" w:rsidTr="00A5110F">
        <w:tc>
          <w:tcPr>
            <w:tcW w:w="1985" w:type="dxa"/>
            <w:vMerge/>
          </w:tcPr>
          <w:p w:rsidR="00434CFE" w:rsidRPr="00CC2B24" w:rsidRDefault="00434CFE" w:rsidP="00A5110F"/>
        </w:tc>
        <w:tc>
          <w:tcPr>
            <w:tcW w:w="3402" w:type="dxa"/>
          </w:tcPr>
          <w:p w:rsidR="00434CFE" w:rsidRPr="00CC2B24" w:rsidRDefault="00434CFE" w:rsidP="00A5110F">
            <w:r w:rsidRPr="00CC2B24">
              <w:t>Bioequivalence</w:t>
            </w:r>
            <w:r w:rsidRPr="00CC0B2C">
              <w:rPr>
                <w:vertAlign w:val="superscript"/>
              </w:rPr>
              <w:t>†</w:t>
            </w:r>
            <w:r w:rsidRPr="00CC2B24">
              <w:t xml:space="preserve"> - Single dose</w:t>
            </w:r>
          </w:p>
        </w:tc>
        <w:tc>
          <w:tcPr>
            <w:tcW w:w="2977" w:type="dxa"/>
          </w:tcPr>
          <w:p w:rsidR="00434CFE" w:rsidRPr="00CC2B24" w:rsidRDefault="00434CFE" w:rsidP="00A5110F">
            <w:r w:rsidRPr="00CC2B24">
              <w:t>Study C13009</w:t>
            </w:r>
          </w:p>
        </w:tc>
      </w:tr>
      <w:tr w:rsidR="00434CFE" w:rsidRPr="00CC2B24" w:rsidTr="00A5110F">
        <w:tc>
          <w:tcPr>
            <w:tcW w:w="1985" w:type="dxa"/>
            <w:vMerge w:val="restart"/>
          </w:tcPr>
          <w:p w:rsidR="00434CFE" w:rsidRPr="00CC2B24" w:rsidRDefault="00434CFE" w:rsidP="00A5110F">
            <w:r w:rsidRPr="00CC2B24">
              <w:t>PK in special populations</w:t>
            </w:r>
          </w:p>
        </w:tc>
        <w:tc>
          <w:tcPr>
            <w:tcW w:w="3402" w:type="dxa"/>
          </w:tcPr>
          <w:p w:rsidR="00434CFE" w:rsidRPr="00CC2B24" w:rsidRDefault="00CC0B2C" w:rsidP="00A5110F">
            <w:r>
              <w:t>Target population</w:t>
            </w:r>
            <w:r w:rsidR="00434CFE" w:rsidRPr="00CC0B2C">
              <w:rPr>
                <w:vertAlign w:val="superscript"/>
              </w:rPr>
              <w:t>§</w:t>
            </w:r>
            <w:r w:rsidR="00434CFE" w:rsidRPr="00CC2B24">
              <w:t>- Single dose</w:t>
            </w:r>
          </w:p>
        </w:tc>
        <w:tc>
          <w:tcPr>
            <w:tcW w:w="2977" w:type="dxa"/>
          </w:tcPr>
          <w:p w:rsidR="00434CFE" w:rsidRPr="00CC2B24" w:rsidRDefault="00434CFE" w:rsidP="00A5110F">
            <w:r w:rsidRPr="00CC2B24">
              <w:t xml:space="preserve">Study </w:t>
            </w:r>
            <w:r w:rsidR="00407F16">
              <w:t>L</w:t>
            </w:r>
            <w:r w:rsidRPr="00CC2B24">
              <w:t>297-006</w:t>
            </w:r>
          </w:p>
        </w:tc>
      </w:tr>
      <w:tr w:rsidR="00434CFE" w:rsidRPr="00CC2B24" w:rsidTr="00A5110F">
        <w:tc>
          <w:tcPr>
            <w:tcW w:w="1985" w:type="dxa"/>
            <w:vMerge/>
          </w:tcPr>
          <w:p w:rsidR="00434CFE" w:rsidRPr="00CC2B24" w:rsidRDefault="00434CFE" w:rsidP="00A5110F"/>
        </w:tc>
        <w:tc>
          <w:tcPr>
            <w:tcW w:w="3402" w:type="dxa"/>
          </w:tcPr>
          <w:p w:rsidR="00434CFE" w:rsidRPr="00CC2B24" w:rsidRDefault="00CC0B2C" w:rsidP="00A5110F">
            <w:r>
              <w:t>Target population</w:t>
            </w:r>
            <w:r w:rsidR="00434CFE" w:rsidRPr="00CC0B2C">
              <w:rPr>
                <w:vertAlign w:val="superscript"/>
              </w:rPr>
              <w:t>§</w:t>
            </w:r>
            <w:r w:rsidR="00434CFE">
              <w:t xml:space="preserve"> </w:t>
            </w:r>
            <w:r w:rsidR="00434CFE" w:rsidRPr="00CC2B24">
              <w:t>- Multi-dose</w:t>
            </w:r>
          </w:p>
        </w:tc>
        <w:tc>
          <w:tcPr>
            <w:tcW w:w="2977" w:type="dxa"/>
          </w:tcPr>
          <w:p w:rsidR="00407F16" w:rsidRDefault="00407F16" w:rsidP="00A5110F">
            <w:r>
              <w:t>Study C13002</w:t>
            </w:r>
          </w:p>
          <w:p w:rsidR="00407F16" w:rsidRDefault="00407F16" w:rsidP="00A5110F">
            <w:r>
              <w:t>Study L299-016</w:t>
            </w:r>
          </w:p>
          <w:p w:rsidR="00407F16" w:rsidRDefault="00407F16" w:rsidP="00A5110F">
            <w:r>
              <w:t>Study M200-022</w:t>
            </w:r>
          </w:p>
          <w:p w:rsidR="00407F16" w:rsidRDefault="00407F16" w:rsidP="00A5110F">
            <w:r>
              <w:t>Study M200-021</w:t>
            </w:r>
          </w:p>
          <w:p w:rsidR="00434CFE" w:rsidRPr="00CC2B24" w:rsidRDefault="00434CFE" w:rsidP="00A5110F">
            <w:r w:rsidRPr="00CC2B24">
              <w:t xml:space="preserve">Study </w:t>
            </w:r>
            <w:r w:rsidR="00407F16">
              <w:t>L</w:t>
            </w:r>
            <w:r w:rsidRPr="00CC2B24">
              <w:t>297-005</w:t>
            </w:r>
          </w:p>
        </w:tc>
      </w:tr>
      <w:tr w:rsidR="00434CFE" w:rsidRPr="00CC2B24" w:rsidTr="00A5110F">
        <w:trPr>
          <w:trHeight w:val="536"/>
        </w:trPr>
        <w:tc>
          <w:tcPr>
            <w:tcW w:w="1985" w:type="dxa"/>
            <w:vMerge/>
          </w:tcPr>
          <w:p w:rsidR="00434CFE" w:rsidRPr="00CC2B24" w:rsidRDefault="00434CFE" w:rsidP="00A5110F"/>
        </w:tc>
        <w:tc>
          <w:tcPr>
            <w:tcW w:w="3402" w:type="dxa"/>
          </w:tcPr>
          <w:p w:rsidR="00434CFE" w:rsidRPr="00CC2B24" w:rsidRDefault="00434CFE" w:rsidP="00A5110F">
            <w:r w:rsidRPr="00CC2B24">
              <w:t>Body size</w:t>
            </w:r>
            <w:r w:rsidR="00407F16">
              <w:t xml:space="preserve"> (in healthy adults)</w:t>
            </w:r>
          </w:p>
        </w:tc>
        <w:tc>
          <w:tcPr>
            <w:tcW w:w="2977" w:type="dxa"/>
          </w:tcPr>
          <w:p w:rsidR="00434CFE" w:rsidRPr="00CC2B24" w:rsidRDefault="00434CFE" w:rsidP="00A5110F">
            <w:r w:rsidRPr="00CC2B24">
              <w:t>Study C13005</w:t>
            </w:r>
          </w:p>
        </w:tc>
      </w:tr>
      <w:tr w:rsidR="000920F5" w:rsidRPr="00CC2B24" w:rsidTr="00A5110F">
        <w:tc>
          <w:tcPr>
            <w:tcW w:w="1985" w:type="dxa"/>
            <w:vMerge w:val="restart"/>
          </w:tcPr>
          <w:p w:rsidR="000920F5" w:rsidRPr="00CC2B24" w:rsidRDefault="000920F5" w:rsidP="00A5110F">
            <w:r w:rsidRPr="00CC2B24">
              <w:t>Population PK analyses</w:t>
            </w:r>
          </w:p>
        </w:tc>
        <w:tc>
          <w:tcPr>
            <w:tcW w:w="3402" w:type="dxa"/>
            <w:vMerge w:val="restart"/>
          </w:tcPr>
          <w:p w:rsidR="000920F5" w:rsidRPr="00CC2B24" w:rsidRDefault="000920F5" w:rsidP="00A5110F">
            <w:r w:rsidRPr="00CC2B24">
              <w:t>Target population</w:t>
            </w:r>
          </w:p>
        </w:tc>
        <w:tc>
          <w:tcPr>
            <w:tcW w:w="2977" w:type="dxa"/>
          </w:tcPr>
          <w:p w:rsidR="000920F5" w:rsidRPr="00CC2B24" w:rsidRDefault="000920F5" w:rsidP="00A5110F">
            <w:r w:rsidRPr="00CC2B24">
              <w:t xml:space="preserve">Projections </w:t>
            </w:r>
            <w:r>
              <w:t xml:space="preserve">Research </w:t>
            </w:r>
            <w:r w:rsidRPr="00CC2B24">
              <w:t>Population PKPD Report</w:t>
            </w:r>
          </w:p>
        </w:tc>
      </w:tr>
      <w:tr w:rsidR="000920F5" w:rsidRPr="00CC2B24" w:rsidTr="00A5110F">
        <w:tc>
          <w:tcPr>
            <w:tcW w:w="1985" w:type="dxa"/>
            <w:vMerge/>
          </w:tcPr>
          <w:p w:rsidR="000920F5" w:rsidRPr="00CC2B24" w:rsidRDefault="000920F5" w:rsidP="00A5110F"/>
        </w:tc>
        <w:tc>
          <w:tcPr>
            <w:tcW w:w="3402" w:type="dxa"/>
            <w:vMerge/>
          </w:tcPr>
          <w:p w:rsidR="000920F5" w:rsidRPr="00CC2B24" w:rsidRDefault="000920F5" w:rsidP="00A5110F"/>
        </w:tc>
        <w:tc>
          <w:tcPr>
            <w:tcW w:w="2977" w:type="dxa"/>
          </w:tcPr>
          <w:p w:rsidR="000920F5" w:rsidRPr="00CC2B24" w:rsidRDefault="000920F5" w:rsidP="00A5110F">
            <w:proofErr w:type="spellStart"/>
            <w:r w:rsidRPr="00CC2B24">
              <w:t>Metrum</w:t>
            </w:r>
            <w:proofErr w:type="spellEnd"/>
            <w:r w:rsidRPr="00CC2B24">
              <w:t xml:space="preserve"> </w:t>
            </w:r>
            <w:r>
              <w:t xml:space="preserve">Research Group </w:t>
            </w:r>
            <w:r w:rsidRPr="00CC2B24">
              <w:t>Population PKPD Report</w:t>
            </w:r>
          </w:p>
        </w:tc>
      </w:tr>
    </w:tbl>
    <w:p w:rsidR="00434CFE" w:rsidRPr="00A90A23" w:rsidRDefault="00434CFE" w:rsidP="00A5110F">
      <w:pPr>
        <w:pStyle w:val="TableDescription"/>
      </w:pPr>
      <w:r w:rsidRPr="00A90A23">
        <w:t>† Bioequivalence of different formulations.</w:t>
      </w:r>
    </w:p>
    <w:p w:rsidR="00434CFE" w:rsidRPr="00A90A23" w:rsidRDefault="00434CFE" w:rsidP="00A5110F">
      <w:pPr>
        <w:pStyle w:val="TableDescription"/>
      </w:pPr>
      <w:r w:rsidRPr="00A90A23">
        <w:t>§ Subjects who would be eligible to receive the drug if approved for the proposed indication.</w:t>
      </w:r>
    </w:p>
    <w:p w:rsidR="004C67AA" w:rsidRDefault="004C67AA" w:rsidP="00A5110F">
      <w:pPr>
        <w:pStyle w:val="Heading4"/>
      </w:pPr>
      <w:r>
        <w:t xml:space="preserve">Evaluator’s </w:t>
      </w:r>
      <w:r w:rsidR="00434CFE">
        <w:t xml:space="preserve">summary and </w:t>
      </w:r>
      <w:r>
        <w:t xml:space="preserve">conclusions on </w:t>
      </w:r>
      <w:r w:rsidRPr="00A5110F">
        <w:t>pharmacokinetics</w:t>
      </w:r>
    </w:p>
    <w:p w:rsidR="00434CFE" w:rsidRPr="0034131A" w:rsidRDefault="00434CFE" w:rsidP="00A5110F">
      <w:pPr>
        <w:pStyle w:val="ListBullet"/>
      </w:pPr>
      <w:r w:rsidRPr="0034131A">
        <w:t xml:space="preserve">The </w:t>
      </w:r>
      <w:r w:rsidR="00C21180">
        <w:t xml:space="preserve">PK </w:t>
      </w:r>
      <w:r w:rsidRPr="0034131A">
        <w:t xml:space="preserve">of </w:t>
      </w:r>
      <w:proofErr w:type="spellStart"/>
      <w:r w:rsidRPr="00A5110F">
        <w:t>vedolizumab</w:t>
      </w:r>
      <w:proofErr w:type="spellEnd"/>
      <w:r w:rsidRPr="0034131A">
        <w:t xml:space="preserve"> </w:t>
      </w:r>
      <w:proofErr w:type="gramStart"/>
      <w:r w:rsidRPr="0034131A">
        <w:t>have</w:t>
      </w:r>
      <w:proofErr w:type="gramEnd"/>
      <w:r w:rsidRPr="0034131A">
        <w:t xml:space="preserve"> been adequately characterised.</w:t>
      </w:r>
      <w:r w:rsidR="00CC0B2C">
        <w:t xml:space="preserve"> </w:t>
      </w:r>
    </w:p>
    <w:p w:rsidR="00434CFE" w:rsidRPr="0034131A" w:rsidRDefault="00434CFE" w:rsidP="00A5110F">
      <w:pPr>
        <w:pStyle w:val="ListBullet"/>
      </w:pPr>
      <w:r w:rsidRPr="0034131A">
        <w:t xml:space="preserve">Vedolizumab has a half-life of around 26 days, CL of around 0.16 L/day and </w:t>
      </w:r>
      <w:r w:rsidR="00407F16">
        <w:t xml:space="preserve">(from </w:t>
      </w:r>
      <w:r w:rsidR="00407F16" w:rsidRPr="00407F16">
        <w:t>Study C13009</w:t>
      </w:r>
      <w:r w:rsidR="00407F16">
        <w:t xml:space="preserve">) </w:t>
      </w:r>
      <w:r w:rsidRPr="0034131A">
        <w:t>volume</w:t>
      </w:r>
      <w:r>
        <w:t xml:space="preserve"> of distribution </w:t>
      </w:r>
      <w:r w:rsidRPr="00A5110F">
        <w:t>around</w:t>
      </w:r>
      <w:r>
        <w:t xml:space="preserve"> 4.5 L. </w:t>
      </w:r>
      <w:r w:rsidRPr="0034131A">
        <w:t>The PK conform</w:t>
      </w:r>
      <w:r>
        <w:t xml:space="preserve">ed to a two compartment model. </w:t>
      </w:r>
      <w:r w:rsidRPr="0034131A">
        <w:t xml:space="preserve">The typical value of volume of distribution from the </w:t>
      </w:r>
      <w:proofErr w:type="spellStart"/>
      <w:r w:rsidRPr="0034131A">
        <w:t>Metrum</w:t>
      </w:r>
      <w:proofErr w:type="spellEnd"/>
      <w:r w:rsidRPr="0034131A">
        <w:t xml:space="preserve"> </w:t>
      </w:r>
      <w:r w:rsidR="00CC0B2C">
        <w:t xml:space="preserve">Research Group </w:t>
      </w:r>
      <w:r w:rsidRPr="0034131A">
        <w:t>population PK study was 3.19 L for the central volume</w:t>
      </w:r>
      <w:r w:rsidR="00CC0B2C">
        <w:t xml:space="preserve"> and</w:t>
      </w:r>
      <w:r w:rsidRPr="0034131A">
        <w:t xml:space="preserve"> 1.66 L for the peripheral volume, giving a total vol</w:t>
      </w:r>
      <w:r>
        <w:t xml:space="preserve">ume of distribution of 4.85 L. </w:t>
      </w:r>
      <w:r w:rsidRPr="0034131A">
        <w:t>Inter-individua</w:t>
      </w:r>
      <w:r w:rsidR="00EF227F">
        <w:t>l variance for CL was around 25</w:t>
      </w:r>
      <w:r w:rsidRPr="0034131A">
        <w:t>%</w:t>
      </w:r>
      <w:r w:rsidR="00EF227F">
        <w:t xml:space="preserve"> </w:t>
      </w:r>
      <w:r w:rsidR="00CC0B2C">
        <w:t>(</w:t>
      </w:r>
      <w:r w:rsidR="00CC0B2C" w:rsidRPr="00CC0B2C">
        <w:t>coefficient of variability</w:t>
      </w:r>
      <w:r w:rsidR="00CC0B2C">
        <w:t xml:space="preserve">, </w:t>
      </w:r>
      <w:r w:rsidRPr="0034131A">
        <w:t>CV</w:t>
      </w:r>
      <w:r w:rsidR="00CC0B2C">
        <w:t>)</w:t>
      </w:r>
      <w:r w:rsidRPr="0034131A">
        <w:t xml:space="preserve"> and inter-</w:t>
      </w:r>
      <w:r w:rsidR="00EF227F">
        <w:t>occasion variance was around 22</w:t>
      </w:r>
      <w:r w:rsidRPr="0034131A">
        <w:t>%</w:t>
      </w:r>
      <w:r w:rsidR="00EF227F">
        <w:t xml:space="preserve"> </w:t>
      </w:r>
      <w:r w:rsidRPr="0034131A">
        <w:t>CV.</w:t>
      </w:r>
      <w:r w:rsidR="007E0E09">
        <w:t xml:space="preserve"> </w:t>
      </w:r>
      <w:r w:rsidRPr="0034131A">
        <w:t>Inter-individual variance for volum</w:t>
      </w:r>
      <w:r w:rsidR="00EF227F">
        <w:t>e of distribution was around 18</w:t>
      </w:r>
      <w:r w:rsidRPr="0034131A">
        <w:t>%</w:t>
      </w:r>
      <w:r w:rsidR="00EF227F">
        <w:t xml:space="preserve"> </w:t>
      </w:r>
      <w:r w:rsidRPr="0034131A">
        <w:t>CV.</w:t>
      </w:r>
      <w:r w:rsidR="007E0E09">
        <w:t xml:space="preserve"> </w:t>
      </w:r>
      <w:r w:rsidRPr="0034131A">
        <w:t>The PK of vedolizumab appeared to be dose proportional at the</w:t>
      </w:r>
      <w:r w:rsidR="00EF227F">
        <w:t xml:space="preserve"> dose range recommended by the s</w:t>
      </w:r>
      <w:r w:rsidRPr="0034131A">
        <w:t>ponsor.</w:t>
      </w:r>
    </w:p>
    <w:p w:rsidR="00434CFE" w:rsidRPr="0034131A" w:rsidRDefault="00434CFE" w:rsidP="00A5110F">
      <w:pPr>
        <w:pStyle w:val="ListBullet"/>
      </w:pPr>
      <w:r w:rsidRPr="0034131A">
        <w:t xml:space="preserve">The PK in subjects with UC and CD were similar to those in healthy volunteers for the final formulation intended for </w:t>
      </w:r>
      <w:r w:rsidRPr="00A5110F">
        <w:t>marketing</w:t>
      </w:r>
      <w:r w:rsidRPr="0034131A">
        <w:t>.</w:t>
      </w:r>
      <w:r w:rsidR="007E0E09">
        <w:t xml:space="preserve"> </w:t>
      </w:r>
      <w:r w:rsidRPr="0034131A">
        <w:t xml:space="preserve">The exposure to vedolizumab for the proposed induction and maintenance regimen (300 mg </w:t>
      </w:r>
      <w:r w:rsidR="00CC0B2C">
        <w:t xml:space="preserve">at </w:t>
      </w:r>
      <w:r w:rsidRPr="0034131A">
        <w:t>zero</w:t>
      </w:r>
      <w:r w:rsidR="00530CFF">
        <w:t xml:space="preserve"> (0)</w:t>
      </w:r>
      <w:r w:rsidRPr="0034131A">
        <w:t>, two and six weeks and then every eight weeks thereafter) was similar for subjects with CD and UC.</w:t>
      </w:r>
      <w:r w:rsidR="007E0E09">
        <w:t xml:space="preserve"> </w:t>
      </w:r>
      <w:r w:rsidRPr="0034131A">
        <w:t xml:space="preserve">This was also demonstrated for the </w:t>
      </w:r>
      <w:r w:rsidR="00407F16">
        <w:t xml:space="preserve">once every </w:t>
      </w:r>
      <w:r w:rsidRPr="0034131A">
        <w:t>4 week</w:t>
      </w:r>
      <w:r w:rsidR="007F5821">
        <w:t>s</w:t>
      </w:r>
      <w:r w:rsidRPr="0034131A">
        <w:t xml:space="preserve"> maintenance regimen.</w:t>
      </w:r>
    </w:p>
    <w:p w:rsidR="00434CFE" w:rsidRPr="0034131A" w:rsidRDefault="00434CFE" w:rsidP="00A5110F">
      <w:pPr>
        <w:pStyle w:val="ListBullet"/>
      </w:pPr>
      <w:r w:rsidRPr="0034131A">
        <w:t xml:space="preserve">Weight based dosing results in higher </w:t>
      </w:r>
      <w:r w:rsidRPr="00A5110F">
        <w:t>exposure</w:t>
      </w:r>
      <w:r w:rsidRPr="0034131A">
        <w:t xml:space="preserve"> in high body weight subjects.</w:t>
      </w:r>
      <w:r w:rsidR="007E0E09">
        <w:t xml:space="preserve"> </w:t>
      </w:r>
      <w:r w:rsidRPr="0034131A">
        <w:t>This gives some support to the use of a single dose level in adults, and does not support weight based dosing.</w:t>
      </w:r>
    </w:p>
    <w:p w:rsidR="00434CFE" w:rsidRPr="00621BA3" w:rsidRDefault="00434CFE" w:rsidP="00A5110F">
      <w:pPr>
        <w:pStyle w:val="ListBullet"/>
      </w:pPr>
      <w:r w:rsidRPr="00621BA3">
        <w:lastRenderedPageBreak/>
        <w:t xml:space="preserve">In the </w:t>
      </w:r>
      <w:proofErr w:type="spellStart"/>
      <w:r w:rsidRPr="00621BA3">
        <w:t>Metrum</w:t>
      </w:r>
      <w:proofErr w:type="spellEnd"/>
      <w:r w:rsidRPr="00621BA3">
        <w:t xml:space="preserve"> </w:t>
      </w:r>
      <w:r w:rsidR="00621BA3" w:rsidRPr="00621BA3">
        <w:t xml:space="preserve">Research Group </w:t>
      </w:r>
      <w:r w:rsidRPr="00621BA3">
        <w:t xml:space="preserve">population PK study, the covariate modelling indicated that prior treatment with TNFα inhibitors increased CL, as did the presence of </w:t>
      </w:r>
      <w:r w:rsidR="00621BA3" w:rsidRPr="00621BA3">
        <w:t xml:space="preserve">human anti-human </w:t>
      </w:r>
      <w:r w:rsidR="00621BA3" w:rsidRPr="00A5110F">
        <w:t>antibodies</w:t>
      </w:r>
      <w:r w:rsidR="00621BA3" w:rsidRPr="00621BA3">
        <w:t xml:space="preserve"> (</w:t>
      </w:r>
      <w:r w:rsidRPr="00621BA3">
        <w:t>HAHA</w:t>
      </w:r>
      <w:r w:rsidR="00621BA3" w:rsidRPr="00621BA3">
        <w:t>).</w:t>
      </w:r>
      <w:r w:rsidR="007E0E09" w:rsidRPr="00621BA3">
        <w:t xml:space="preserve"> </w:t>
      </w:r>
      <w:r w:rsidR="00621BA3" w:rsidRPr="00621BA3">
        <w:t>Azathioprine</w:t>
      </w:r>
      <w:r w:rsidRPr="00621BA3">
        <w:t xml:space="preserve">, </w:t>
      </w:r>
      <w:r w:rsidR="00621BA3" w:rsidRPr="00621BA3">
        <w:t>methotrexate</w:t>
      </w:r>
      <w:r w:rsidRPr="00621BA3">
        <w:t xml:space="preserve">, </w:t>
      </w:r>
      <w:r w:rsidR="00621BA3" w:rsidRPr="00621BA3">
        <w:t>6-mercaptopurine</w:t>
      </w:r>
      <w:r w:rsidRPr="00621BA3">
        <w:t xml:space="preserve"> and </w:t>
      </w:r>
      <w:proofErr w:type="spellStart"/>
      <w:r w:rsidRPr="00621BA3">
        <w:t>aminosalicylates</w:t>
      </w:r>
      <w:proofErr w:type="spellEnd"/>
      <w:r w:rsidRPr="00621BA3">
        <w:t xml:space="preserve"> did not have </w:t>
      </w:r>
      <w:r w:rsidR="00C11D50">
        <w:t xml:space="preserve">a </w:t>
      </w:r>
      <w:r w:rsidR="00DF40AB">
        <w:t xml:space="preserve">clinically </w:t>
      </w:r>
      <w:r w:rsidR="00C11D50">
        <w:t>significant effect</w:t>
      </w:r>
      <w:r w:rsidRPr="00621BA3">
        <w:t xml:space="preserve"> on CL</w:t>
      </w:r>
      <w:r w:rsidR="000A33C3">
        <w:t xml:space="preserve">. </w:t>
      </w:r>
      <w:r w:rsidRPr="00621BA3">
        <w:t>Clearance was decreased in subjects with low serum albumin at baseline.</w:t>
      </w:r>
      <w:r w:rsidR="007E0E09" w:rsidRPr="00621BA3">
        <w:t xml:space="preserve"> </w:t>
      </w:r>
      <w:r w:rsidRPr="00621BA3">
        <w:t>Age and gender did not have a significant effect upon clearance.</w:t>
      </w:r>
    </w:p>
    <w:p w:rsidR="00434CFE" w:rsidRPr="0034131A" w:rsidRDefault="00434CFE" w:rsidP="00A5110F">
      <w:pPr>
        <w:pStyle w:val="ListBullet"/>
      </w:pPr>
      <w:r w:rsidRPr="0034131A">
        <w:t xml:space="preserve">As vedolizumab is a humanised antibody, is not a cytokine modulator and is gut selective, CYP </w:t>
      </w:r>
      <w:r w:rsidRPr="00A5110F">
        <w:t>mediated</w:t>
      </w:r>
      <w:r w:rsidRPr="0034131A">
        <w:t xml:space="preserve"> drug interacti</w:t>
      </w:r>
      <w:r w:rsidR="00621BA3">
        <w:t>ons are, in the opinion of the e</w:t>
      </w:r>
      <w:r w:rsidRPr="0034131A">
        <w:t>valuator, unlikely.</w:t>
      </w:r>
      <w:r w:rsidR="007E0E09">
        <w:t xml:space="preserve"> </w:t>
      </w:r>
      <w:r w:rsidRPr="0034131A">
        <w:t>Effects on PK of hepatic or renal insufficiency are also unlikely.</w:t>
      </w:r>
      <w:r w:rsidR="007E0E09">
        <w:t xml:space="preserve"> </w:t>
      </w:r>
      <w:r w:rsidRPr="0034131A">
        <w:t xml:space="preserve">Hence, in the opinion of the </w:t>
      </w:r>
      <w:r w:rsidR="00621BA3">
        <w:t>e</w:t>
      </w:r>
      <w:r w:rsidRPr="0034131A">
        <w:t>valuator it is a reasonable approach not to have performed studies in subjects with impaired hepatic or renal function.</w:t>
      </w:r>
    </w:p>
    <w:p w:rsidR="00434CFE" w:rsidRPr="0034131A" w:rsidRDefault="00434CFE" w:rsidP="00A5110F">
      <w:pPr>
        <w:pStyle w:val="ListBullet"/>
      </w:pPr>
      <w:r w:rsidRPr="0034131A">
        <w:t xml:space="preserve">The </w:t>
      </w:r>
      <w:r w:rsidRPr="00A5110F">
        <w:t>numbers</w:t>
      </w:r>
      <w:r w:rsidRPr="0034131A">
        <w:t xml:space="preserve"> of elderly subjects in the PK studies requires clarification</w:t>
      </w:r>
      <w:r w:rsidR="00621BA3">
        <w:t xml:space="preserve"> (see </w:t>
      </w:r>
      <w:r w:rsidR="00621BA3" w:rsidRPr="00621BA3">
        <w:rPr>
          <w:i/>
        </w:rPr>
        <w:t>Clinical questions</w:t>
      </w:r>
      <w:r w:rsidR="00621BA3">
        <w:t xml:space="preserve"> below)</w:t>
      </w:r>
      <w:r w:rsidRPr="0034131A">
        <w:t>.</w:t>
      </w:r>
    </w:p>
    <w:p w:rsidR="004C67AA" w:rsidRDefault="004C67AA" w:rsidP="00A5110F">
      <w:pPr>
        <w:pStyle w:val="Heading3"/>
      </w:pPr>
      <w:bookmarkStart w:id="94" w:name="_Toc196046481"/>
      <w:bookmarkStart w:id="95" w:name="_Toc247691520"/>
      <w:bookmarkStart w:id="96" w:name="_Toc314842503"/>
      <w:bookmarkStart w:id="97" w:name="_Toc384807760"/>
      <w:bookmarkStart w:id="98" w:name="_Toc405974781"/>
      <w:r w:rsidRPr="00A5110F">
        <w:t>Pharmacodynamics</w:t>
      </w:r>
      <w:bookmarkEnd w:id="79"/>
      <w:bookmarkEnd w:id="94"/>
      <w:bookmarkEnd w:id="95"/>
      <w:bookmarkEnd w:id="96"/>
      <w:bookmarkEnd w:id="97"/>
      <w:bookmarkEnd w:id="98"/>
    </w:p>
    <w:p w:rsidR="004C67AA" w:rsidRDefault="004C67AA" w:rsidP="00A5110F">
      <w:pPr>
        <w:pStyle w:val="Heading4"/>
      </w:pPr>
      <w:r>
        <w:t xml:space="preserve">Studies </w:t>
      </w:r>
      <w:r w:rsidRPr="00A5110F">
        <w:t>providing</w:t>
      </w:r>
      <w:r>
        <w:t xml:space="preserve"> </w:t>
      </w:r>
      <w:proofErr w:type="spellStart"/>
      <w:r>
        <w:t>pharmacodynamic</w:t>
      </w:r>
      <w:proofErr w:type="spellEnd"/>
      <w:r>
        <w:t xml:space="preserve"> data</w:t>
      </w:r>
    </w:p>
    <w:p w:rsidR="00AB2F81" w:rsidRPr="00AE49B9" w:rsidRDefault="00AB2F81" w:rsidP="00A5110F">
      <w:r w:rsidRPr="00AE49B9">
        <w:t xml:space="preserve">Table </w:t>
      </w:r>
      <w:r w:rsidR="00621BA3">
        <w:t>5</w:t>
      </w:r>
      <w:r w:rsidRPr="00AE49B9">
        <w:t xml:space="preserve"> shows the studies relating to each </w:t>
      </w:r>
      <w:r w:rsidR="00621BA3">
        <w:t xml:space="preserve">PD </w:t>
      </w:r>
      <w:r w:rsidRPr="00AE49B9">
        <w:t>topic.</w:t>
      </w:r>
    </w:p>
    <w:p w:rsidR="00AB2F81" w:rsidRPr="00AE49B9" w:rsidRDefault="00AB2F81" w:rsidP="00A5110F">
      <w:pPr>
        <w:pStyle w:val="TableTitle"/>
      </w:pPr>
      <w:bookmarkStart w:id="99" w:name="_Ref269985397"/>
      <w:bookmarkStart w:id="100" w:name="_Toc290888902"/>
      <w:proofErr w:type="gramStart"/>
      <w:r w:rsidRPr="00AE49B9">
        <w:t xml:space="preserve">Table </w:t>
      </w:r>
      <w:bookmarkEnd w:id="99"/>
      <w:r w:rsidR="00621BA3">
        <w:t>5</w:t>
      </w:r>
      <w:r>
        <w:t>:</w:t>
      </w:r>
      <w:r w:rsidRPr="00AE49B9">
        <w:t xml:space="preserve"> Submitted pharmacodynamic studies.</w:t>
      </w:r>
      <w:bookmarkEnd w:id="100"/>
      <w:proofErr w:type="gramEnd"/>
    </w:p>
    <w:tbl>
      <w:tblPr>
        <w:tblStyle w:val="TableTGAblue"/>
        <w:tblW w:w="8364" w:type="dxa"/>
        <w:tblInd w:w="108" w:type="dxa"/>
        <w:tblLayout w:type="fixed"/>
        <w:tblLook w:val="04A0" w:firstRow="1" w:lastRow="0" w:firstColumn="1" w:lastColumn="0" w:noHBand="0" w:noVBand="1"/>
      </w:tblPr>
      <w:tblGrid>
        <w:gridCol w:w="2268"/>
        <w:gridCol w:w="2552"/>
        <w:gridCol w:w="3544"/>
      </w:tblGrid>
      <w:tr w:rsidR="00AB2F81" w:rsidRPr="00621BA3" w:rsidTr="00C21180">
        <w:trPr>
          <w:cnfStyle w:val="100000000000" w:firstRow="1" w:lastRow="0" w:firstColumn="0" w:lastColumn="0" w:oddVBand="0" w:evenVBand="0" w:oddHBand="0" w:evenHBand="0" w:firstRowFirstColumn="0" w:firstRowLastColumn="0" w:lastRowFirstColumn="0" w:lastRowLastColumn="0"/>
        </w:trPr>
        <w:tc>
          <w:tcPr>
            <w:tcW w:w="2268" w:type="dxa"/>
            <w:hideMark/>
          </w:tcPr>
          <w:p w:rsidR="00AB2F81" w:rsidRPr="00621BA3" w:rsidRDefault="00AB2F81" w:rsidP="00A5110F">
            <w:r w:rsidRPr="00621BA3">
              <w:t>PD Topic</w:t>
            </w:r>
          </w:p>
        </w:tc>
        <w:tc>
          <w:tcPr>
            <w:tcW w:w="2552" w:type="dxa"/>
            <w:hideMark/>
          </w:tcPr>
          <w:p w:rsidR="00AB2F81" w:rsidRPr="00621BA3" w:rsidRDefault="00AB2F81" w:rsidP="00A5110F">
            <w:r w:rsidRPr="00621BA3">
              <w:t>Subtopic</w:t>
            </w:r>
          </w:p>
        </w:tc>
        <w:tc>
          <w:tcPr>
            <w:tcW w:w="3544" w:type="dxa"/>
            <w:hideMark/>
          </w:tcPr>
          <w:p w:rsidR="00AB2F81" w:rsidRPr="00621BA3" w:rsidRDefault="00AB2F81" w:rsidP="00A5110F">
            <w:r w:rsidRPr="00621BA3">
              <w:t>Study ID</w:t>
            </w:r>
          </w:p>
        </w:tc>
      </w:tr>
      <w:tr w:rsidR="00AB2F81" w:rsidRPr="00621BA3" w:rsidTr="00C21180">
        <w:tc>
          <w:tcPr>
            <w:tcW w:w="2268" w:type="dxa"/>
            <w:vMerge w:val="restart"/>
            <w:hideMark/>
          </w:tcPr>
          <w:p w:rsidR="00AB2F81" w:rsidRPr="00621BA3" w:rsidRDefault="00AB2F81" w:rsidP="00A5110F">
            <w:r w:rsidRPr="00621BA3">
              <w:t>Primary Pharmacology</w:t>
            </w:r>
          </w:p>
        </w:tc>
        <w:tc>
          <w:tcPr>
            <w:tcW w:w="2552" w:type="dxa"/>
            <w:vMerge w:val="restart"/>
            <w:hideMark/>
          </w:tcPr>
          <w:p w:rsidR="00AB2F81" w:rsidRPr="00621BA3" w:rsidRDefault="00AB2F81" w:rsidP="00A5110F">
            <w:r w:rsidRPr="00621BA3">
              <w:t>Effect on A</w:t>
            </w:r>
            <w:r w:rsidR="00621BA3">
              <w:t>ct</w:t>
            </w:r>
            <w:r w:rsidRPr="00621BA3">
              <w:t xml:space="preserve">-1 and </w:t>
            </w:r>
            <w:proofErr w:type="spellStart"/>
            <w:r w:rsidRPr="00621BA3">
              <w:t>MAdCAM</w:t>
            </w:r>
            <w:proofErr w:type="spellEnd"/>
          </w:p>
        </w:tc>
        <w:tc>
          <w:tcPr>
            <w:tcW w:w="3544" w:type="dxa"/>
            <w:hideMark/>
          </w:tcPr>
          <w:p w:rsidR="00AB2F81" w:rsidRPr="00621BA3" w:rsidRDefault="00AB2F81" w:rsidP="00A5110F">
            <w:r w:rsidRPr="00621BA3">
              <w:t>Study C13009</w:t>
            </w:r>
          </w:p>
        </w:tc>
      </w:tr>
      <w:tr w:rsidR="00AB2F81" w:rsidRPr="00621BA3" w:rsidTr="00C21180">
        <w:tc>
          <w:tcPr>
            <w:tcW w:w="2268" w:type="dxa"/>
            <w:vMerge/>
            <w:hideMark/>
          </w:tcPr>
          <w:p w:rsidR="00AB2F81" w:rsidRPr="00621BA3" w:rsidRDefault="00AB2F81" w:rsidP="00A5110F"/>
        </w:tc>
        <w:tc>
          <w:tcPr>
            <w:tcW w:w="2552" w:type="dxa"/>
            <w:vMerge/>
            <w:hideMark/>
          </w:tcPr>
          <w:p w:rsidR="00AB2F81" w:rsidRPr="00621BA3" w:rsidRDefault="00AB2F81" w:rsidP="00A5110F"/>
        </w:tc>
        <w:tc>
          <w:tcPr>
            <w:tcW w:w="3544" w:type="dxa"/>
            <w:hideMark/>
          </w:tcPr>
          <w:p w:rsidR="00AB2F81" w:rsidRPr="00621BA3" w:rsidRDefault="00AB2F81" w:rsidP="00A5110F">
            <w:r w:rsidRPr="00621BA3">
              <w:t>Study C13001</w:t>
            </w:r>
          </w:p>
        </w:tc>
      </w:tr>
      <w:tr w:rsidR="00AB2F81" w:rsidRPr="00621BA3" w:rsidTr="00C21180">
        <w:tc>
          <w:tcPr>
            <w:tcW w:w="2268" w:type="dxa"/>
            <w:vMerge/>
            <w:hideMark/>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 xml:space="preserve">Study </w:t>
            </w:r>
            <w:r w:rsidR="00407F16">
              <w:t>L</w:t>
            </w:r>
            <w:r w:rsidRPr="00621BA3">
              <w:t>297-007</w:t>
            </w:r>
          </w:p>
        </w:tc>
      </w:tr>
      <w:tr w:rsidR="00AB2F81" w:rsidRPr="00621BA3" w:rsidTr="00C21180">
        <w:tc>
          <w:tcPr>
            <w:tcW w:w="2268" w:type="dxa"/>
            <w:vMerge/>
            <w:hideMark/>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 xml:space="preserve">Study </w:t>
            </w:r>
            <w:r w:rsidR="00407F16">
              <w:t>L</w:t>
            </w:r>
            <w:r w:rsidRPr="00621BA3">
              <w:t>297-005</w:t>
            </w:r>
          </w:p>
        </w:tc>
      </w:tr>
      <w:tr w:rsidR="00AB2F81" w:rsidRPr="00621BA3" w:rsidTr="00C21180">
        <w:tc>
          <w:tcPr>
            <w:tcW w:w="2268" w:type="dxa"/>
            <w:vMerge/>
            <w:hideMark/>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 xml:space="preserve">Study </w:t>
            </w:r>
            <w:r w:rsidR="00407F16">
              <w:t>L</w:t>
            </w:r>
            <w:r w:rsidRPr="00621BA3">
              <w:t>297-006</w:t>
            </w:r>
          </w:p>
        </w:tc>
      </w:tr>
      <w:tr w:rsidR="00AB2F81" w:rsidRPr="00621BA3" w:rsidTr="00C21180">
        <w:tc>
          <w:tcPr>
            <w:tcW w:w="2268" w:type="dxa"/>
            <w:vMerge/>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Study M200-021</w:t>
            </w:r>
          </w:p>
        </w:tc>
      </w:tr>
      <w:tr w:rsidR="00AB2F81" w:rsidRPr="00621BA3" w:rsidTr="00C21180">
        <w:tc>
          <w:tcPr>
            <w:tcW w:w="2268" w:type="dxa"/>
            <w:vMerge/>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Study C13002</w:t>
            </w:r>
          </w:p>
        </w:tc>
      </w:tr>
      <w:tr w:rsidR="00AB2F81" w:rsidRPr="00621BA3" w:rsidTr="00C21180">
        <w:tc>
          <w:tcPr>
            <w:tcW w:w="2268" w:type="dxa"/>
            <w:vMerge/>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Study CPH-001</w:t>
            </w:r>
          </w:p>
        </w:tc>
      </w:tr>
      <w:tr w:rsidR="00AB2F81" w:rsidRPr="00621BA3" w:rsidTr="00C21180">
        <w:tc>
          <w:tcPr>
            <w:tcW w:w="2268" w:type="dxa"/>
            <w:vMerge/>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Study L299-016</w:t>
            </w:r>
          </w:p>
        </w:tc>
      </w:tr>
      <w:tr w:rsidR="00AB2F81" w:rsidRPr="00621BA3" w:rsidTr="00C21180">
        <w:tc>
          <w:tcPr>
            <w:tcW w:w="2268" w:type="dxa"/>
            <w:vMerge/>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AB2F81" w:rsidP="00A5110F">
            <w:r w:rsidRPr="00621BA3">
              <w:t>Study M200-022</w:t>
            </w:r>
          </w:p>
        </w:tc>
      </w:tr>
      <w:tr w:rsidR="00AB2F81" w:rsidRPr="00621BA3" w:rsidTr="00C21180">
        <w:tc>
          <w:tcPr>
            <w:tcW w:w="2268" w:type="dxa"/>
            <w:vMerge w:val="restart"/>
            <w:hideMark/>
          </w:tcPr>
          <w:p w:rsidR="00AB2F81" w:rsidRPr="00621BA3" w:rsidRDefault="00AB2F81" w:rsidP="00A5110F">
            <w:r w:rsidRPr="00621BA3">
              <w:t>Secondary Pharmacology</w:t>
            </w:r>
          </w:p>
        </w:tc>
        <w:tc>
          <w:tcPr>
            <w:tcW w:w="2552" w:type="dxa"/>
            <w:hideMark/>
          </w:tcPr>
          <w:p w:rsidR="00AB2F81" w:rsidRPr="00621BA3" w:rsidRDefault="00AB2F81" w:rsidP="00A5110F">
            <w:r w:rsidRPr="00621BA3">
              <w:t>Effect on CSF CD4+/CD8+</w:t>
            </w:r>
          </w:p>
        </w:tc>
        <w:tc>
          <w:tcPr>
            <w:tcW w:w="3544" w:type="dxa"/>
            <w:hideMark/>
          </w:tcPr>
          <w:p w:rsidR="00AB2F81" w:rsidRPr="00621BA3" w:rsidRDefault="00AB2F81" w:rsidP="00A5110F">
            <w:r w:rsidRPr="00621BA3">
              <w:t>Study C13012</w:t>
            </w:r>
          </w:p>
        </w:tc>
      </w:tr>
      <w:tr w:rsidR="00AB2F81" w:rsidRPr="00621BA3" w:rsidTr="00C21180">
        <w:tc>
          <w:tcPr>
            <w:tcW w:w="2268" w:type="dxa"/>
            <w:vMerge/>
            <w:hideMark/>
          </w:tcPr>
          <w:p w:rsidR="00AB2F81" w:rsidRPr="00621BA3" w:rsidRDefault="00AB2F81" w:rsidP="00A5110F"/>
        </w:tc>
        <w:tc>
          <w:tcPr>
            <w:tcW w:w="2552" w:type="dxa"/>
            <w:hideMark/>
          </w:tcPr>
          <w:p w:rsidR="00AB2F81" w:rsidRPr="00621BA3" w:rsidRDefault="00AB2F81" w:rsidP="00A5110F">
            <w:r w:rsidRPr="00621BA3">
              <w:t>Effect on immunogenicity</w:t>
            </w:r>
          </w:p>
        </w:tc>
        <w:tc>
          <w:tcPr>
            <w:tcW w:w="3544" w:type="dxa"/>
            <w:hideMark/>
          </w:tcPr>
          <w:p w:rsidR="00AB2F81" w:rsidRPr="00621BA3" w:rsidRDefault="00AB2F81" w:rsidP="00A5110F">
            <w:r w:rsidRPr="00621BA3">
              <w:t>Study C13013</w:t>
            </w:r>
          </w:p>
        </w:tc>
      </w:tr>
      <w:tr w:rsidR="00AB2F81" w:rsidRPr="00621BA3" w:rsidTr="00C21180">
        <w:tc>
          <w:tcPr>
            <w:tcW w:w="2268" w:type="dxa"/>
            <w:vMerge w:val="restart"/>
            <w:hideMark/>
          </w:tcPr>
          <w:p w:rsidR="00AB2F81" w:rsidRPr="00621BA3" w:rsidRDefault="00AB2F81" w:rsidP="00A5110F">
            <w:r w:rsidRPr="00621BA3">
              <w:t xml:space="preserve">Population PD and PK-PD </w:t>
            </w:r>
            <w:r w:rsidRPr="00621BA3">
              <w:lastRenderedPageBreak/>
              <w:t>analyses</w:t>
            </w:r>
          </w:p>
        </w:tc>
        <w:tc>
          <w:tcPr>
            <w:tcW w:w="2552" w:type="dxa"/>
            <w:vMerge w:val="restart"/>
            <w:hideMark/>
          </w:tcPr>
          <w:p w:rsidR="00AB2F81" w:rsidRPr="00621BA3" w:rsidRDefault="00AB2F81" w:rsidP="00A5110F">
            <w:r w:rsidRPr="00621BA3">
              <w:lastRenderedPageBreak/>
              <w:t>Target population</w:t>
            </w:r>
          </w:p>
        </w:tc>
        <w:tc>
          <w:tcPr>
            <w:tcW w:w="3544" w:type="dxa"/>
            <w:hideMark/>
          </w:tcPr>
          <w:p w:rsidR="00AB2F81" w:rsidRPr="00621BA3" w:rsidRDefault="00FF2204" w:rsidP="00A5110F">
            <w:r w:rsidRPr="00FF2204">
              <w:t xml:space="preserve">Projections Research </w:t>
            </w:r>
            <w:r w:rsidR="00AB2F81" w:rsidRPr="00621BA3">
              <w:t>Population PK</w:t>
            </w:r>
            <w:r>
              <w:noBreakHyphen/>
            </w:r>
            <w:r w:rsidR="00AB2F81" w:rsidRPr="00621BA3">
              <w:t>PD Report</w:t>
            </w:r>
          </w:p>
        </w:tc>
      </w:tr>
      <w:tr w:rsidR="00AB2F81" w:rsidRPr="00621BA3" w:rsidTr="00C21180">
        <w:tc>
          <w:tcPr>
            <w:tcW w:w="2268" w:type="dxa"/>
            <w:vMerge/>
            <w:hideMark/>
          </w:tcPr>
          <w:p w:rsidR="00AB2F81" w:rsidRPr="00621BA3" w:rsidRDefault="00AB2F81" w:rsidP="00A5110F"/>
        </w:tc>
        <w:tc>
          <w:tcPr>
            <w:tcW w:w="2552" w:type="dxa"/>
            <w:vMerge/>
          </w:tcPr>
          <w:p w:rsidR="00AB2F81" w:rsidRPr="00621BA3" w:rsidRDefault="00AB2F81" w:rsidP="00A5110F"/>
        </w:tc>
        <w:tc>
          <w:tcPr>
            <w:tcW w:w="3544" w:type="dxa"/>
            <w:hideMark/>
          </w:tcPr>
          <w:p w:rsidR="00AB2F81" w:rsidRPr="00621BA3" w:rsidRDefault="00FF2204" w:rsidP="00A5110F">
            <w:proofErr w:type="spellStart"/>
            <w:r w:rsidRPr="00FF2204">
              <w:t>Metrum</w:t>
            </w:r>
            <w:proofErr w:type="spellEnd"/>
            <w:r w:rsidRPr="00FF2204">
              <w:t xml:space="preserve"> Research Group Population PK</w:t>
            </w:r>
            <w:r>
              <w:t>-</w:t>
            </w:r>
            <w:r w:rsidRPr="00FF2204">
              <w:t>PD Report</w:t>
            </w:r>
          </w:p>
        </w:tc>
      </w:tr>
    </w:tbl>
    <w:p w:rsidR="00AB2F81" w:rsidRPr="00AE49B9" w:rsidRDefault="00AB2F81" w:rsidP="00A5110F">
      <w:r w:rsidRPr="00AE49B9">
        <w:lastRenderedPageBreak/>
        <w:t xml:space="preserve">None of the </w:t>
      </w:r>
      <w:r w:rsidR="00621BA3">
        <w:t xml:space="preserve">PD </w:t>
      </w:r>
      <w:r w:rsidRPr="00AE49B9">
        <w:t>studies had deficiencies that excluded their results from consideration.</w:t>
      </w:r>
    </w:p>
    <w:p w:rsidR="004C67AA" w:rsidRDefault="004C67AA" w:rsidP="00A5110F">
      <w:pPr>
        <w:pStyle w:val="Heading4"/>
      </w:pPr>
      <w:r>
        <w:t xml:space="preserve">Evaluator’s </w:t>
      </w:r>
      <w:r w:rsidR="000A33C3">
        <w:t xml:space="preserve">summary and </w:t>
      </w:r>
      <w:r>
        <w:t>conclusions on pharmacodynamics</w:t>
      </w:r>
    </w:p>
    <w:p w:rsidR="00AB2F81" w:rsidRPr="00D25324" w:rsidRDefault="00AB2F81" w:rsidP="00A5110F">
      <w:pPr>
        <w:pStyle w:val="ListBullet"/>
      </w:pPr>
      <w:r w:rsidRPr="00D25324">
        <w:t xml:space="preserve">The </w:t>
      </w:r>
      <w:r w:rsidR="00621BA3">
        <w:t xml:space="preserve">PD </w:t>
      </w:r>
      <w:r w:rsidRPr="00A5110F">
        <w:t>characteristics</w:t>
      </w:r>
      <w:r w:rsidRPr="00D25324">
        <w:t xml:space="preserve"> of </w:t>
      </w:r>
      <w:proofErr w:type="spellStart"/>
      <w:r w:rsidRPr="00D25324">
        <w:t>vedolizumab</w:t>
      </w:r>
      <w:proofErr w:type="spellEnd"/>
      <w:r w:rsidRPr="00D25324">
        <w:t xml:space="preserve"> have been adequately characterised.</w:t>
      </w:r>
      <w:r w:rsidR="007E0E09">
        <w:t xml:space="preserve"> </w:t>
      </w:r>
    </w:p>
    <w:p w:rsidR="00AB2F81" w:rsidRPr="00D25324" w:rsidRDefault="00AB2F81" w:rsidP="000A33C3">
      <w:pPr>
        <w:pStyle w:val="ListBullet"/>
      </w:pPr>
      <w:r w:rsidRPr="00D25324">
        <w:t>Vedolizumab given using the proposed dose regimen inhibited the PD endpoints A</w:t>
      </w:r>
      <w:r w:rsidR="00621BA3">
        <w:t>ct</w:t>
      </w:r>
      <w:r w:rsidRPr="00D25324">
        <w:t xml:space="preserve">-1 and </w:t>
      </w:r>
      <w:proofErr w:type="spellStart"/>
      <w:r w:rsidRPr="00D25324">
        <w:t>MAdCAM</w:t>
      </w:r>
      <w:proofErr w:type="spellEnd"/>
      <w:r w:rsidRPr="00D25324">
        <w:t xml:space="preserve"> nearly maximally at </w:t>
      </w:r>
      <w:proofErr w:type="spellStart"/>
      <w:r w:rsidRPr="00D25324">
        <w:t>all time</w:t>
      </w:r>
      <w:proofErr w:type="spellEnd"/>
      <w:r w:rsidRPr="00D25324">
        <w:t xml:space="preserve"> points where </w:t>
      </w:r>
      <w:proofErr w:type="spellStart"/>
      <w:r w:rsidRPr="00D25324">
        <w:t>ved</w:t>
      </w:r>
      <w:r w:rsidR="00FF2204">
        <w:t>o</w:t>
      </w:r>
      <w:r w:rsidRPr="00D25324">
        <w:t>lizum</w:t>
      </w:r>
      <w:r w:rsidR="00FF2204">
        <w:t>a</w:t>
      </w:r>
      <w:r w:rsidRPr="00D25324">
        <w:t>b</w:t>
      </w:r>
      <w:proofErr w:type="spellEnd"/>
      <w:r w:rsidRPr="00D25324">
        <w:t xml:space="preserve"> was measurable and the time of maximal effect was generally the first sample time.</w:t>
      </w:r>
      <w:r w:rsidR="007E0E09">
        <w:t xml:space="preserve"> </w:t>
      </w:r>
      <w:r w:rsidRPr="00D25324">
        <w:t>At both the 300 mg and 600 mg dose levels, maximal inhibition of A</w:t>
      </w:r>
      <w:r w:rsidR="00621BA3">
        <w:t>ct</w:t>
      </w:r>
      <w:r w:rsidRPr="00D25324">
        <w:t>-1 and MAdCAM-1-Fc was achieved within 24 h</w:t>
      </w:r>
      <w:r w:rsidR="00FF2204">
        <w:t xml:space="preserve"> </w:t>
      </w:r>
      <w:r w:rsidRPr="00D25324">
        <w:t>(time of the first sample).</w:t>
      </w:r>
      <w:r w:rsidR="007E0E09">
        <w:t xml:space="preserve"> </w:t>
      </w:r>
      <w:r w:rsidRPr="00D25324">
        <w:t>Maximal or near maximal inhibition of A</w:t>
      </w:r>
      <w:r w:rsidR="00621BA3">
        <w:t>ct</w:t>
      </w:r>
      <w:r w:rsidRPr="00D25324">
        <w:t xml:space="preserve">-1 and </w:t>
      </w:r>
      <w:proofErr w:type="spellStart"/>
      <w:r w:rsidRPr="00D25324">
        <w:t>MAdCAM</w:t>
      </w:r>
      <w:proofErr w:type="spellEnd"/>
      <w:r w:rsidRPr="00D25324">
        <w:t xml:space="preserve"> persisted to Day 113 for the 2.0 and 6.0 mg/kg doses and to Day 169 for the 10.0 mg/kg dose.</w:t>
      </w:r>
      <w:r w:rsidR="007E0E09">
        <w:t xml:space="preserve"> </w:t>
      </w:r>
      <w:r w:rsidRPr="00D25324">
        <w:t>The duration of effect for the 300 mg dose level was up to 155 days.</w:t>
      </w:r>
    </w:p>
    <w:p w:rsidR="00AB2F81" w:rsidRPr="00D25324" w:rsidRDefault="00AB2F81" w:rsidP="00A5110F">
      <w:pPr>
        <w:pStyle w:val="ListBullet"/>
      </w:pPr>
      <w:r w:rsidRPr="00D25324">
        <w:t>In Study C13002, maximal or near maximal inhibition of A</w:t>
      </w:r>
      <w:r w:rsidR="00621BA3">
        <w:t>ct</w:t>
      </w:r>
      <w:r w:rsidR="00FF2204">
        <w:t>-1</w:t>
      </w:r>
      <w:r w:rsidRPr="00D25324">
        <w:t xml:space="preserve"> and </w:t>
      </w:r>
      <w:proofErr w:type="spellStart"/>
      <w:r w:rsidRPr="00D25324">
        <w:t>MAdCAM</w:t>
      </w:r>
      <w:proofErr w:type="spellEnd"/>
      <w:r w:rsidRPr="00D25324">
        <w:t xml:space="preserve"> was achieved for all the dose levels, from 2.0 mg/kg to 10.0 mg/kg.</w:t>
      </w:r>
      <w:r w:rsidR="007E0E09">
        <w:t xml:space="preserve"> </w:t>
      </w:r>
      <w:r w:rsidRPr="00D25324">
        <w:t xml:space="preserve">A plateau in effect appeared to occur </w:t>
      </w:r>
      <w:r w:rsidRPr="00A5110F">
        <w:t>at</w:t>
      </w:r>
      <w:r w:rsidRPr="00D25324">
        <w:t xml:space="preserve"> the 6.0 mg/kg dose level but there was little difference between all the dose levels.</w:t>
      </w:r>
      <w:r w:rsidR="007E0E09">
        <w:t xml:space="preserve"> </w:t>
      </w:r>
      <w:r w:rsidRPr="00D25324">
        <w:t>Duration of effect was similar for the 6.0 mg/kg and 10.0 mg/kg dose levels, but for both was greater than for the 2.0 mg/kg dose level.</w:t>
      </w:r>
      <w:r w:rsidR="007E0E09">
        <w:t xml:space="preserve"> </w:t>
      </w:r>
    </w:p>
    <w:p w:rsidR="00AB2F81" w:rsidRPr="00AB2F81" w:rsidRDefault="00AB2F81" w:rsidP="000A33C3">
      <w:pPr>
        <w:pStyle w:val="ListBullet"/>
      </w:pPr>
      <w:r w:rsidRPr="00D25324">
        <w:t>In subjects that developed HAHA the duration of effect appeared to be decreased.</w:t>
      </w:r>
    </w:p>
    <w:p w:rsidR="004C67AA" w:rsidRDefault="004C67AA" w:rsidP="00A5110F">
      <w:pPr>
        <w:pStyle w:val="Heading3"/>
      </w:pPr>
      <w:bookmarkStart w:id="101" w:name="_Toc384807761"/>
      <w:bookmarkStart w:id="102" w:name="_Toc405974782"/>
      <w:r>
        <w:t>Dosage selection for the pivotal studies</w:t>
      </w:r>
      <w:bookmarkEnd w:id="101"/>
      <w:bookmarkEnd w:id="102"/>
    </w:p>
    <w:p w:rsidR="00AB2F81" w:rsidRPr="00AB2F81" w:rsidRDefault="00FF2204" w:rsidP="00A5110F">
      <w:r>
        <w:t>The dosage selection for the p</w:t>
      </w:r>
      <w:r w:rsidR="00AB2F81" w:rsidRPr="00264DB6">
        <w:t xml:space="preserve">ivotal studies appears to have been based on the </w:t>
      </w:r>
      <w:r>
        <w:t xml:space="preserve">PD </w:t>
      </w:r>
      <w:r w:rsidR="00AB2F81" w:rsidRPr="00264DB6">
        <w:t>data.</w:t>
      </w:r>
      <w:r w:rsidR="007E0E09">
        <w:t xml:space="preserve"> </w:t>
      </w:r>
      <w:r w:rsidR="00AB2F81" w:rsidRPr="00264DB6">
        <w:t>These support the 300 mg dose level and the choice of the 4 weekly and 8 weekly regimens tested in the Phase III studies.</w:t>
      </w:r>
    </w:p>
    <w:p w:rsidR="004C67AA" w:rsidRPr="00254787" w:rsidRDefault="004C67AA" w:rsidP="00A5110F">
      <w:pPr>
        <w:pStyle w:val="Heading3"/>
      </w:pPr>
      <w:bookmarkStart w:id="103" w:name="_Toc163441372"/>
      <w:bookmarkStart w:id="104" w:name="_Toc196046485"/>
      <w:bookmarkStart w:id="105" w:name="_Toc247691521"/>
      <w:bookmarkStart w:id="106" w:name="_Toc314842504"/>
      <w:bookmarkStart w:id="107" w:name="_Toc384807762"/>
      <w:bookmarkStart w:id="108" w:name="_Toc405974783"/>
      <w:r w:rsidRPr="00A5110F">
        <w:t>Efficacy</w:t>
      </w:r>
      <w:bookmarkEnd w:id="103"/>
      <w:bookmarkEnd w:id="104"/>
      <w:bookmarkEnd w:id="105"/>
      <w:bookmarkEnd w:id="106"/>
      <w:bookmarkEnd w:id="107"/>
      <w:bookmarkEnd w:id="108"/>
    </w:p>
    <w:p w:rsidR="004C67AA" w:rsidRDefault="004C67AA" w:rsidP="00A5110F">
      <w:pPr>
        <w:pStyle w:val="Heading4"/>
      </w:pPr>
      <w:bookmarkStart w:id="109" w:name="_Toc184439992"/>
      <w:bookmarkStart w:id="110" w:name="_Toc184440279"/>
      <w:bookmarkStart w:id="111" w:name="_Toc184444657"/>
      <w:bookmarkStart w:id="112" w:name="_Toc196046487"/>
      <w:r>
        <w:t xml:space="preserve">Studies </w:t>
      </w:r>
      <w:r w:rsidRPr="00A5110F">
        <w:t>providing</w:t>
      </w:r>
      <w:r>
        <w:t xml:space="preserve"> efficacy data</w:t>
      </w:r>
      <w:r w:rsidR="00AB2F81">
        <w:t xml:space="preserve"> in Crohn’s disease</w:t>
      </w:r>
    </w:p>
    <w:p w:rsidR="00AB2F81" w:rsidRPr="00C526E0" w:rsidRDefault="00AB2F81" w:rsidP="00A5110F">
      <w:r w:rsidRPr="00C526E0">
        <w:t>Effi</w:t>
      </w:r>
      <w:r w:rsidR="00712CC5">
        <w:t>cacy was examined in two Phase III</w:t>
      </w:r>
      <w:r w:rsidRPr="00C526E0">
        <w:t xml:space="preserve"> studies:</w:t>
      </w:r>
      <w:r w:rsidR="00712CC5">
        <w:t xml:space="preserve"> Study C13007 and Study C13011.</w:t>
      </w:r>
      <w:r w:rsidRPr="00C526E0">
        <w:t xml:space="preserve"> Induction of remission was studied in both Study C13007 and Study C13011, and maintenance of remissio</w:t>
      </w:r>
      <w:r w:rsidR="00712CC5">
        <w:t xml:space="preserve">n was studied in Study C13007. </w:t>
      </w:r>
      <w:r w:rsidRPr="00C526E0">
        <w:t>While recruitmen</w:t>
      </w:r>
      <w:r w:rsidR="008A0800">
        <w:t>t of subjects who had prior TNF</w:t>
      </w:r>
      <w:r w:rsidRPr="00C526E0">
        <w:t>α antagonist treatment was permitted in Study 13007, in Study C13011 enrolment was restricted such that 75% of the study population had pri</w:t>
      </w:r>
      <w:r w:rsidR="008A0800">
        <w:t>or TNF</w:t>
      </w:r>
      <w:r w:rsidR="00712CC5">
        <w:t>α antagonist treatment</w:t>
      </w:r>
      <w:r w:rsidR="001E172F">
        <w:rPr>
          <w:rStyle w:val="FootnoteReference"/>
        </w:rPr>
        <w:footnoteReference w:id="20"/>
      </w:r>
      <w:r w:rsidR="00712CC5">
        <w:t xml:space="preserve">. </w:t>
      </w:r>
      <w:r w:rsidRPr="00C526E0">
        <w:t xml:space="preserve">In addition to these studies there was a Phase </w:t>
      </w:r>
      <w:r w:rsidR="00712CC5">
        <w:t>II</w:t>
      </w:r>
      <w:r w:rsidRPr="00C526E0">
        <w:t xml:space="preserve"> study (Study L299-016) and one long-term study with exploratory endpoints: Study C13008. </w:t>
      </w:r>
    </w:p>
    <w:p w:rsidR="00AB2F81" w:rsidRPr="007024D1" w:rsidRDefault="00AB2F81" w:rsidP="00A5110F">
      <w:r w:rsidRPr="007024D1">
        <w:t>The efficacy endpoints were generally the same acro</w:t>
      </w:r>
      <w:r w:rsidR="00712CC5">
        <w:t xml:space="preserve">ss the clinical study program. </w:t>
      </w:r>
      <w:r w:rsidRPr="007024D1">
        <w:t>These were:</w:t>
      </w:r>
    </w:p>
    <w:p w:rsidR="00AB2F81" w:rsidRPr="00C526E0" w:rsidRDefault="008A0800" w:rsidP="00AB2F81">
      <w:pPr>
        <w:pStyle w:val="ListBullet"/>
      </w:pPr>
      <w:r w:rsidRPr="008A0800">
        <w:rPr>
          <w:i/>
        </w:rPr>
        <w:t>Clinical r</w:t>
      </w:r>
      <w:r w:rsidR="00AB2F81" w:rsidRPr="008A0800">
        <w:rPr>
          <w:i/>
        </w:rPr>
        <w:t>emission</w:t>
      </w:r>
      <w:r w:rsidR="00AB2F81" w:rsidRPr="00C526E0">
        <w:t xml:space="preserve">: </w:t>
      </w:r>
      <w:r w:rsidRPr="008A0800">
        <w:t xml:space="preserve">Crohn’s Disease Activity Index </w:t>
      </w:r>
      <w:r>
        <w:t>(</w:t>
      </w:r>
      <w:r w:rsidR="00AB2F81" w:rsidRPr="00C526E0">
        <w:t>CDAI</w:t>
      </w:r>
      <w:r>
        <w:t>)</w:t>
      </w:r>
      <w:r w:rsidR="00AB2F81" w:rsidRPr="00C526E0">
        <w:t xml:space="preserve"> score ≤</w:t>
      </w:r>
      <w:r w:rsidR="001275E8">
        <w:t xml:space="preserve"> </w:t>
      </w:r>
      <w:r w:rsidR="00AB2F81" w:rsidRPr="00C526E0">
        <w:t>150 points</w:t>
      </w:r>
    </w:p>
    <w:p w:rsidR="00AB2F81" w:rsidRPr="00C526E0" w:rsidRDefault="00AB2F81" w:rsidP="00AB2F81">
      <w:pPr>
        <w:pStyle w:val="ListBullet"/>
      </w:pPr>
      <w:r w:rsidRPr="008A0800">
        <w:rPr>
          <w:i/>
        </w:rPr>
        <w:t xml:space="preserve">Clinical </w:t>
      </w:r>
      <w:r w:rsidR="008A0800" w:rsidRPr="008A0800">
        <w:rPr>
          <w:i/>
        </w:rPr>
        <w:t>r</w:t>
      </w:r>
      <w:r w:rsidRPr="008A0800">
        <w:rPr>
          <w:i/>
        </w:rPr>
        <w:t>esponse</w:t>
      </w:r>
      <w:r w:rsidRPr="00C526E0">
        <w:t>: a ≥</w:t>
      </w:r>
      <w:r w:rsidR="001275E8">
        <w:t xml:space="preserve"> 70 </w:t>
      </w:r>
      <w:r w:rsidRPr="00C526E0">
        <w:t>point decrease in CDAI score from baseline (Week 0)</w:t>
      </w:r>
    </w:p>
    <w:p w:rsidR="00AB2F81" w:rsidRPr="00C526E0" w:rsidRDefault="00AB2F81" w:rsidP="00AB2F81">
      <w:pPr>
        <w:pStyle w:val="ListBullet"/>
      </w:pPr>
      <w:r w:rsidRPr="008A0800">
        <w:rPr>
          <w:i/>
        </w:rPr>
        <w:lastRenderedPageBreak/>
        <w:t xml:space="preserve">Disease </w:t>
      </w:r>
      <w:r w:rsidR="008A0800" w:rsidRPr="008A0800">
        <w:rPr>
          <w:i/>
        </w:rPr>
        <w:t>w</w:t>
      </w:r>
      <w:r w:rsidRPr="008A0800">
        <w:rPr>
          <w:i/>
        </w:rPr>
        <w:t>orsening</w:t>
      </w:r>
      <w:r w:rsidRPr="00C526E0">
        <w:t>: a ≥</w:t>
      </w:r>
      <w:r w:rsidR="001275E8">
        <w:t xml:space="preserve"> </w:t>
      </w:r>
      <w:r w:rsidRPr="00C526E0">
        <w:t>100</w:t>
      </w:r>
      <w:r w:rsidR="001275E8">
        <w:t xml:space="preserve"> </w:t>
      </w:r>
      <w:r w:rsidRPr="00C526E0">
        <w:t>point increase in CDAI score from the Week 6 value on 2 consecutive visits and a CDAI score ≥</w:t>
      </w:r>
      <w:r w:rsidR="008A0800">
        <w:t xml:space="preserve"> </w:t>
      </w:r>
      <w:r w:rsidRPr="00C526E0">
        <w:t>220 points</w:t>
      </w:r>
    </w:p>
    <w:p w:rsidR="00AB2F81" w:rsidRPr="00C526E0" w:rsidRDefault="00AB2F81" w:rsidP="00AB2F81">
      <w:pPr>
        <w:pStyle w:val="ListBullet"/>
      </w:pPr>
      <w:r w:rsidRPr="008A0800">
        <w:rPr>
          <w:i/>
        </w:rPr>
        <w:t xml:space="preserve">Durable </w:t>
      </w:r>
      <w:r w:rsidR="008A0800" w:rsidRPr="008A0800">
        <w:rPr>
          <w:i/>
        </w:rPr>
        <w:t>c</w:t>
      </w:r>
      <w:r w:rsidRPr="008A0800">
        <w:rPr>
          <w:i/>
        </w:rPr>
        <w:t xml:space="preserve">linical </w:t>
      </w:r>
      <w:r w:rsidR="008A0800" w:rsidRPr="008A0800">
        <w:rPr>
          <w:i/>
        </w:rPr>
        <w:t>r</w:t>
      </w:r>
      <w:r w:rsidRPr="008A0800">
        <w:rPr>
          <w:i/>
        </w:rPr>
        <w:t>emission</w:t>
      </w:r>
      <w:r w:rsidRPr="00C526E0">
        <w:t>: clinical remission at ≥</w:t>
      </w:r>
      <w:r w:rsidR="001275E8">
        <w:t xml:space="preserve"> </w:t>
      </w:r>
      <w:r w:rsidRPr="00C526E0">
        <w:t>80% of study visits including final visit (Week 52)</w:t>
      </w:r>
    </w:p>
    <w:p w:rsidR="00AB2F81" w:rsidRPr="00C526E0" w:rsidRDefault="00AB2F81" w:rsidP="00AB2F81">
      <w:pPr>
        <w:pStyle w:val="ListBullet"/>
      </w:pPr>
      <w:r w:rsidRPr="008A0800">
        <w:rPr>
          <w:i/>
        </w:rPr>
        <w:t xml:space="preserve">Durable </w:t>
      </w:r>
      <w:r w:rsidR="008A0800" w:rsidRPr="008A0800">
        <w:rPr>
          <w:i/>
        </w:rPr>
        <w:t>c</w:t>
      </w:r>
      <w:r w:rsidRPr="008A0800">
        <w:rPr>
          <w:i/>
        </w:rPr>
        <w:t xml:space="preserve">linical </w:t>
      </w:r>
      <w:r w:rsidR="008A0800" w:rsidRPr="008A0800">
        <w:rPr>
          <w:i/>
        </w:rPr>
        <w:t>r</w:t>
      </w:r>
      <w:r w:rsidRPr="008A0800">
        <w:rPr>
          <w:i/>
        </w:rPr>
        <w:t>esponse</w:t>
      </w:r>
      <w:r w:rsidRPr="00C526E0">
        <w:t>: clinical response at ≥</w:t>
      </w:r>
      <w:r w:rsidR="008A0800">
        <w:t xml:space="preserve"> </w:t>
      </w:r>
      <w:r w:rsidRPr="00C526E0">
        <w:t>80% of study visits including final visit (Week 52)</w:t>
      </w:r>
    </w:p>
    <w:p w:rsidR="00AB2F81" w:rsidRPr="00C526E0" w:rsidRDefault="008A0800" w:rsidP="00AB2F81">
      <w:pPr>
        <w:pStyle w:val="ListBullet"/>
      </w:pPr>
      <w:r w:rsidRPr="008A0800">
        <w:rPr>
          <w:i/>
        </w:rPr>
        <w:t>Durable e</w:t>
      </w:r>
      <w:r w:rsidR="00AB2F81" w:rsidRPr="008A0800">
        <w:rPr>
          <w:i/>
        </w:rPr>
        <w:t xml:space="preserve">nhanced </w:t>
      </w:r>
      <w:r w:rsidRPr="008A0800">
        <w:rPr>
          <w:i/>
        </w:rPr>
        <w:t>c</w:t>
      </w:r>
      <w:r w:rsidR="00AB2F81" w:rsidRPr="008A0800">
        <w:rPr>
          <w:i/>
        </w:rPr>
        <w:t xml:space="preserve">linical </w:t>
      </w:r>
      <w:r w:rsidRPr="008A0800">
        <w:rPr>
          <w:i/>
        </w:rPr>
        <w:t>r</w:t>
      </w:r>
      <w:r w:rsidR="00AB2F81" w:rsidRPr="008A0800">
        <w:rPr>
          <w:i/>
        </w:rPr>
        <w:t>esponse</w:t>
      </w:r>
      <w:r w:rsidR="00AB2F81" w:rsidRPr="00C526E0">
        <w:t>: enhanced clinical response at ≥ 80% of study visits including final visit (Week 52)</w:t>
      </w:r>
    </w:p>
    <w:p w:rsidR="00AB2F81" w:rsidRPr="00C526E0" w:rsidRDefault="00AB2F81" w:rsidP="00AB2F81">
      <w:pPr>
        <w:pStyle w:val="ListBullet"/>
      </w:pPr>
      <w:r w:rsidRPr="008A0800">
        <w:rPr>
          <w:i/>
        </w:rPr>
        <w:t xml:space="preserve">Enhanced </w:t>
      </w:r>
      <w:r w:rsidR="008A0800" w:rsidRPr="008A0800">
        <w:rPr>
          <w:i/>
        </w:rPr>
        <w:t>c</w:t>
      </w:r>
      <w:r w:rsidRPr="008A0800">
        <w:rPr>
          <w:i/>
        </w:rPr>
        <w:t xml:space="preserve">linical </w:t>
      </w:r>
      <w:r w:rsidR="008A0800" w:rsidRPr="008A0800">
        <w:rPr>
          <w:i/>
        </w:rPr>
        <w:t>r</w:t>
      </w:r>
      <w:r w:rsidRPr="008A0800">
        <w:rPr>
          <w:i/>
        </w:rPr>
        <w:t>esponse</w:t>
      </w:r>
      <w:r w:rsidRPr="00C526E0">
        <w:t>: a ≥</w:t>
      </w:r>
      <w:r w:rsidR="001275E8">
        <w:t xml:space="preserve"> 100 </w:t>
      </w:r>
      <w:r w:rsidRPr="00C526E0">
        <w:t>point decrease in CDAI score from baseline (Week 0)</w:t>
      </w:r>
    </w:p>
    <w:p w:rsidR="00AB2F81" w:rsidRPr="00C526E0" w:rsidRDefault="008A0800" w:rsidP="00AB2F81">
      <w:pPr>
        <w:pStyle w:val="ListBullet"/>
      </w:pPr>
      <w:r w:rsidRPr="008A0800">
        <w:rPr>
          <w:i/>
        </w:rPr>
        <w:t>Sustained c</w:t>
      </w:r>
      <w:r w:rsidR="00AB2F81" w:rsidRPr="008A0800">
        <w:rPr>
          <w:i/>
        </w:rPr>
        <w:t xml:space="preserve">linical </w:t>
      </w:r>
      <w:r w:rsidRPr="008A0800">
        <w:rPr>
          <w:i/>
        </w:rPr>
        <w:t>r</w:t>
      </w:r>
      <w:r w:rsidR="00AB2F81" w:rsidRPr="008A0800">
        <w:rPr>
          <w:i/>
        </w:rPr>
        <w:t>emission</w:t>
      </w:r>
      <w:r w:rsidR="00AB2F81" w:rsidRPr="00C526E0">
        <w:t>: CDAI score ≤</w:t>
      </w:r>
      <w:r w:rsidR="001275E8">
        <w:t xml:space="preserve"> </w:t>
      </w:r>
      <w:r w:rsidR="00AB2F81" w:rsidRPr="00C526E0">
        <w:t>150 points at both Week 4 and Week 6</w:t>
      </w:r>
    </w:p>
    <w:p w:rsidR="00AB2F81" w:rsidRPr="00C526E0" w:rsidRDefault="007B5C66" w:rsidP="00A5110F">
      <w:pPr>
        <w:pStyle w:val="ListBullet"/>
      </w:pPr>
      <w:r>
        <w:t xml:space="preserve">In the long-term open </w:t>
      </w:r>
      <w:r w:rsidR="00AB2F81" w:rsidRPr="00C526E0">
        <w:t>label study (Study C13008) clinical response was defined as a ≥</w:t>
      </w:r>
      <w:r w:rsidR="001275E8">
        <w:t> </w:t>
      </w:r>
      <w:r w:rsidR="00AB2F81" w:rsidRPr="00C526E0">
        <w:t>3</w:t>
      </w:r>
      <w:r w:rsidR="001275E8">
        <w:t xml:space="preserve"> </w:t>
      </w:r>
      <w:r w:rsidR="00AB2F81" w:rsidRPr="00C526E0">
        <w:t xml:space="preserve">point decrease in </w:t>
      </w:r>
      <w:r w:rsidR="001275E8" w:rsidRPr="001275E8">
        <w:t xml:space="preserve">Harvey-Bradshaw Index </w:t>
      </w:r>
      <w:r w:rsidR="001275E8">
        <w:t>(</w:t>
      </w:r>
      <w:r w:rsidR="00AB2F81" w:rsidRPr="00C526E0">
        <w:t>HBI</w:t>
      </w:r>
      <w:r w:rsidR="001275E8">
        <w:t>)</w:t>
      </w:r>
      <w:r w:rsidR="00AB2F81" w:rsidRPr="00C526E0">
        <w:t xml:space="preserve"> score from baseline and clinical remission was defined as HBI score ≤</w:t>
      </w:r>
      <w:r w:rsidR="001275E8">
        <w:t xml:space="preserve"> </w:t>
      </w:r>
      <w:r w:rsidR="00AB2F81" w:rsidRPr="00C526E0">
        <w:t>4</w:t>
      </w:r>
    </w:p>
    <w:p w:rsidR="00AB2F81" w:rsidRDefault="00AB2F81" w:rsidP="00A5110F">
      <w:r w:rsidRPr="00C526E0">
        <w:t xml:space="preserve">The study selection and definitions for efficacy endpoints were consistent with the recommendations in the TGA adopted </w:t>
      </w:r>
      <w:r w:rsidR="001275E8" w:rsidRPr="001275E8">
        <w:t xml:space="preserve">CHMP </w:t>
      </w:r>
      <w:r w:rsidR="001275E8" w:rsidRPr="001275E8">
        <w:rPr>
          <w:i/>
        </w:rPr>
        <w:t>Guideline on the Development of New Medicinal Products for the Treatment of Crohn’s Disease</w:t>
      </w:r>
      <w:r w:rsidR="001275E8" w:rsidRPr="001275E8">
        <w:t xml:space="preserve"> (CPMP/EWP/2284/99 Rev. 1</w:t>
      </w:r>
      <w:r w:rsidR="001275E8">
        <w:t>)</w:t>
      </w:r>
      <w:r w:rsidR="00712CC5">
        <w:t xml:space="preserve">. </w:t>
      </w:r>
    </w:p>
    <w:p w:rsidR="00712CC5" w:rsidRDefault="00712CC5" w:rsidP="00A5110F">
      <w:r w:rsidRPr="004D6904">
        <w:t xml:space="preserve">A pooled analysis of efficacy was performed using data from </w:t>
      </w:r>
      <w:r>
        <w:t xml:space="preserve">Study C13007 and Study C13011. </w:t>
      </w:r>
    </w:p>
    <w:p w:rsidR="004C67AA" w:rsidRDefault="004C67AA" w:rsidP="00A5110F">
      <w:pPr>
        <w:pStyle w:val="Heading4"/>
      </w:pPr>
      <w:r>
        <w:t xml:space="preserve">Evaluator’s </w:t>
      </w:r>
      <w:r w:rsidR="001275E8">
        <w:t xml:space="preserve">summary and </w:t>
      </w:r>
      <w:r>
        <w:t>conclusions on efficacy</w:t>
      </w:r>
      <w:r w:rsidR="00AB2F81">
        <w:t xml:space="preserve"> </w:t>
      </w:r>
      <w:r w:rsidR="00AB2F81" w:rsidRPr="00AB2F81">
        <w:t>in Crohn’s disease</w:t>
      </w:r>
    </w:p>
    <w:p w:rsidR="00AB2F81" w:rsidRPr="00B26A64" w:rsidRDefault="00AB2F81" w:rsidP="00A5110F">
      <w:r w:rsidRPr="00B26A64">
        <w:t>Efficacy was demonstrated for induction of remission for subjects with moderate to severe CD for the 300 mg dose level of vedolizumab.</w:t>
      </w:r>
      <w:r w:rsidR="007E0E09">
        <w:t xml:space="preserve"> </w:t>
      </w:r>
      <w:r w:rsidRPr="00B26A64">
        <w:t>In Study C13007, at Week 6 there were significantly more subjects in the vedolizumab group achieving clinical remission but not enhanced clinical response.</w:t>
      </w:r>
      <w:r w:rsidR="007E0E09">
        <w:t xml:space="preserve"> </w:t>
      </w:r>
      <w:r w:rsidRPr="00B26A64">
        <w:t>Clinical remission was achieved by 32 (14.5%) subjects in the vedolizumab group and 10 (6.8%) in the placebo</w:t>
      </w:r>
      <w:r w:rsidR="006F7E19">
        <w:t xml:space="preserve"> group,</w:t>
      </w:r>
      <w:r w:rsidRPr="00B26A64">
        <w:t xml:space="preserve"> </w:t>
      </w:r>
      <w:r w:rsidR="001275E8">
        <w:t>relative risk (</w:t>
      </w:r>
      <w:r w:rsidRPr="00B26A64">
        <w:t>RR</w:t>
      </w:r>
      <w:r w:rsidR="001275E8">
        <w:t>)</w:t>
      </w:r>
      <w:r w:rsidRPr="00B26A64">
        <w:t xml:space="preserve"> (95% </w:t>
      </w:r>
      <w:r w:rsidR="001275E8">
        <w:t>confidence interval (</w:t>
      </w:r>
      <w:r w:rsidRPr="00B26A64">
        <w:t>CI</w:t>
      </w:r>
      <w:r w:rsidR="001275E8">
        <w:t>)</w:t>
      </w:r>
      <w:r w:rsidRPr="00B26A64">
        <w:t xml:space="preserve">) </w:t>
      </w:r>
      <w:r w:rsidR="001275E8">
        <w:t xml:space="preserve">was </w:t>
      </w:r>
      <w:r w:rsidRPr="00B26A64">
        <w:t>2.1 (1.1 to 4.2), p = 0.0206.</w:t>
      </w:r>
      <w:r w:rsidR="007E0E09">
        <w:t xml:space="preserve"> </w:t>
      </w:r>
      <w:r w:rsidRPr="00B26A64">
        <w:t>Enhanced clinical response was achieved by 69 (31.4%) subjects in the vedolizumab group and 38 (25.7%) in the placebo</w:t>
      </w:r>
      <w:r w:rsidR="001275E8">
        <w:t xml:space="preserve"> group</w:t>
      </w:r>
      <w:r w:rsidRPr="00B26A64">
        <w:t>, RR (95% CI) 1.2 (0.9 to 1.7), p = 0.2322.</w:t>
      </w:r>
      <w:r w:rsidR="007E0E09">
        <w:t xml:space="preserve"> </w:t>
      </w:r>
      <w:r w:rsidRPr="00B26A64">
        <w:t>The</w:t>
      </w:r>
      <w:r w:rsidR="00C11D50">
        <w:t xml:space="preserve"> clinical response was less effective</w:t>
      </w:r>
      <w:r w:rsidRPr="00B26A64">
        <w:t xml:space="preserve"> in subjects with greater disease severity (CDAI &gt;</w:t>
      </w:r>
      <w:r w:rsidR="006F7E19">
        <w:t xml:space="preserve"> </w:t>
      </w:r>
      <w:r w:rsidR="00A5110F">
        <w:t>330).</w:t>
      </w:r>
    </w:p>
    <w:p w:rsidR="00AB2F81" w:rsidRPr="00B26A64" w:rsidRDefault="00AB2F81" w:rsidP="00A5110F">
      <w:r w:rsidRPr="00B26A64">
        <w:t>Efficacy at Week 10 was better demonstrated than for Week 6.</w:t>
      </w:r>
      <w:r w:rsidR="007E0E09">
        <w:t xml:space="preserve"> </w:t>
      </w:r>
      <w:r w:rsidR="006F7E19">
        <w:t>This supports the s</w:t>
      </w:r>
      <w:r w:rsidRPr="00B26A64">
        <w:t xml:space="preserve">ponsor’s proposed regimen for induction of remission, </w:t>
      </w:r>
      <w:r w:rsidR="006F7E19">
        <w:t>that is,</w:t>
      </w:r>
      <w:r w:rsidRPr="00B26A64">
        <w:t xml:space="preserve"> 300 mg administered by </w:t>
      </w:r>
      <w:r w:rsidR="006F7E19">
        <w:t xml:space="preserve">IV </w:t>
      </w:r>
      <w:r w:rsidRPr="00B26A64">
        <w:t xml:space="preserve">infusion at </w:t>
      </w:r>
      <w:r w:rsidR="00530CFF">
        <w:t>0</w:t>
      </w:r>
      <w:r w:rsidRPr="00B26A64">
        <w:t xml:space="preserve">, </w:t>
      </w:r>
      <w:r w:rsidR="00530CFF">
        <w:t xml:space="preserve">2 </w:t>
      </w:r>
      <w:r w:rsidRPr="00B26A64">
        <w:t xml:space="preserve">and </w:t>
      </w:r>
      <w:r w:rsidR="00530CFF">
        <w:t xml:space="preserve">6 </w:t>
      </w:r>
      <w:r w:rsidRPr="00B26A64">
        <w:t xml:space="preserve">weeks and then every </w:t>
      </w:r>
      <w:r w:rsidR="00530CFF">
        <w:t xml:space="preserve">8 </w:t>
      </w:r>
      <w:r w:rsidRPr="00B26A64">
        <w:t>weeks thereafter.</w:t>
      </w:r>
      <w:r w:rsidR="007E0E09">
        <w:t xml:space="preserve"> </w:t>
      </w:r>
      <w:r w:rsidRPr="00B26A64">
        <w:t xml:space="preserve">In Study C13011, the proportion of subjects in clinical remission at Week 10 was greater for vedolizumab in the TNFα Antagonist Failure </w:t>
      </w:r>
      <w:r w:rsidR="006F7E19">
        <w:t>intent to treat (</w:t>
      </w:r>
      <w:r w:rsidRPr="00B26A64">
        <w:t>ITT</w:t>
      </w:r>
      <w:r w:rsidR="006F7E19">
        <w:t>)</w:t>
      </w:r>
      <w:r w:rsidRPr="00B26A64">
        <w:t xml:space="preserve"> </w:t>
      </w:r>
      <w:r w:rsidR="006F7E19">
        <w:t>s</w:t>
      </w:r>
      <w:r w:rsidRPr="00B26A64">
        <w:t>ubpopulation and in the Overall ITT Population.</w:t>
      </w:r>
      <w:r w:rsidR="007E0E09">
        <w:t xml:space="preserve"> </w:t>
      </w:r>
      <w:r w:rsidRPr="00B26A64">
        <w:t xml:space="preserve">For the TNFα Antagonist Failure ITT subpopulation, </w:t>
      </w:r>
      <w:r w:rsidR="006F7E19">
        <w:t>c</w:t>
      </w:r>
      <w:r w:rsidRPr="00B26A64">
        <w:t>linical remission at Week 10 was reported for 42 (26.6%) subjects in the vedolizumab group and 19 (12.1%) in the placebo</w:t>
      </w:r>
      <w:r w:rsidR="006F7E19">
        <w:t xml:space="preserve"> group</w:t>
      </w:r>
      <w:r w:rsidRPr="00B26A64">
        <w:t>, RR (95% CI) 2.2 (1.3 to 3.6), p = 0.0012; and for the Overall ITT population 60 (28.7%) subjects in the vedolizumab group and 27 (13.0%) in the placebo, RR (95% CI) 2.2 (1.4 to 3.3), p &lt;</w:t>
      </w:r>
      <w:r w:rsidR="00FF718F">
        <w:t xml:space="preserve"> </w:t>
      </w:r>
      <w:r w:rsidRPr="00B26A64">
        <w:t>0.0001.</w:t>
      </w:r>
    </w:p>
    <w:p w:rsidR="00AB2F81" w:rsidRPr="00B26A64" w:rsidRDefault="00AB2F81" w:rsidP="00A5110F">
      <w:r w:rsidRPr="00B26A64">
        <w:t>In Study C13007, at Week 6 clinical remission rates were lower for both placebo and vedolizumab in subjects with prior TNFα antagonist failure.</w:t>
      </w:r>
      <w:r w:rsidR="007E0E09">
        <w:t xml:space="preserve"> </w:t>
      </w:r>
      <w:r w:rsidRPr="00B26A64">
        <w:t>In those subjects with intolerance or lack of response to TNFα inhibitors there was a significant benefit for vedolizumab.</w:t>
      </w:r>
      <w:r w:rsidR="007E0E09">
        <w:t xml:space="preserve"> </w:t>
      </w:r>
      <w:r w:rsidRPr="00B26A64">
        <w:t>However, in subjects that had previously lost response to TNFα antagonist treatment, there did not appear to be efficacy for vedolizumab.</w:t>
      </w:r>
      <w:r w:rsidR="007E0E09">
        <w:t xml:space="preserve"> </w:t>
      </w:r>
      <w:r w:rsidRPr="00B26A64">
        <w:t>In Study C13011, in the population of subjects with previous TNFα antagonist treatment failure there was no significant difference in efficacy between vedolizumab and placebo.</w:t>
      </w:r>
      <w:r w:rsidR="007E0E09">
        <w:t xml:space="preserve"> </w:t>
      </w:r>
      <w:r w:rsidRPr="00B26A64">
        <w:t xml:space="preserve">Hence, in subjects that </w:t>
      </w:r>
      <w:r w:rsidRPr="00B26A64">
        <w:lastRenderedPageBreak/>
        <w:t>had initially responded to TNFα antagonists, and subsequently lost response, treatment with vedolizumab may not be justified.</w:t>
      </w:r>
    </w:p>
    <w:p w:rsidR="00AB2F81" w:rsidRPr="00B26A64" w:rsidRDefault="00AB2F81" w:rsidP="00A5110F">
      <w:r w:rsidRPr="00B26A64">
        <w:t>In both Study C13007 and Study C13011, clinical remission rates were higher for vedolizumab in subjects with concomitant corticosteroid treatment.</w:t>
      </w:r>
      <w:r w:rsidR="007E0E09">
        <w:t xml:space="preserve"> </w:t>
      </w:r>
      <w:r w:rsidRPr="00B26A64">
        <w:t>However, clinical remission rates were not affected by concomitant immunomodulator use.</w:t>
      </w:r>
    </w:p>
    <w:p w:rsidR="00AB2F81" w:rsidRPr="00B26A64" w:rsidRDefault="00AB2F81" w:rsidP="00A5110F">
      <w:r w:rsidRPr="00B26A64">
        <w:t>The pooled analysis of efficacy of data from Study C13007 and Study C13011 indicated a mean (95% CI) difference, vedolizumab-placebo in remission rate of 7.4 (2.6 to 12.2) %, p = 0.0027.</w:t>
      </w:r>
    </w:p>
    <w:p w:rsidR="00AB2F81" w:rsidRPr="00B26A64" w:rsidRDefault="00AB2F81" w:rsidP="00A5110F">
      <w:r w:rsidRPr="00B26A64">
        <w:t>Maintenance of remission was demonstrated for up to 52 weeks.</w:t>
      </w:r>
      <w:r w:rsidR="007E0E09">
        <w:t xml:space="preserve"> </w:t>
      </w:r>
      <w:r w:rsidRPr="00B26A64">
        <w:t xml:space="preserve">Clinical remission was achieved by 60 (39.0%) subjects in the vedolizumab group 8 weekly group (RR [95% CI] 1.8 [1.3 to 2.6], p = 0.0007), 56 (36.4%) in the 4 weekly </w:t>
      </w:r>
      <w:r w:rsidR="006F7E19">
        <w:t xml:space="preserve">group </w:t>
      </w:r>
      <w:r w:rsidRPr="00B26A64">
        <w:t>(RR [95% CI] 1.7 [1.2 to 2.4], p = 0.0042), and 33 (21.6%) in the placebo</w:t>
      </w:r>
      <w:r w:rsidR="006F7E19">
        <w:t xml:space="preserve"> group</w:t>
      </w:r>
      <w:r w:rsidRPr="00B26A64">
        <w:t>.</w:t>
      </w:r>
      <w:r w:rsidR="007E0E09">
        <w:t xml:space="preserve"> </w:t>
      </w:r>
    </w:p>
    <w:p w:rsidR="00AB2F81" w:rsidRPr="00B26A64" w:rsidRDefault="00AB2F81" w:rsidP="00A5110F">
      <w:r w:rsidRPr="00B26A64">
        <w:t>The secondary efficacy outcome measures were supportive of the primary efficacy outcome measures.</w:t>
      </w:r>
    </w:p>
    <w:p w:rsidR="00AB2F81" w:rsidRPr="00B26A64" w:rsidRDefault="00AB2F81" w:rsidP="00A5110F">
      <w:r w:rsidRPr="00B26A64">
        <w:t xml:space="preserve">There was little difference in efficacy between the 4 weekly administration </w:t>
      </w:r>
      <w:proofErr w:type="gramStart"/>
      <w:r w:rsidRPr="00B26A64">
        <w:t>regimen</w:t>
      </w:r>
      <w:proofErr w:type="gramEnd"/>
      <w:r w:rsidRPr="00B26A64">
        <w:t xml:space="preserve"> for maintenance and the 8 weekly regimen.</w:t>
      </w:r>
      <w:r w:rsidR="007E0E09">
        <w:t xml:space="preserve"> </w:t>
      </w:r>
      <w:r w:rsidRPr="00B26A64">
        <w:t>Hence the recommendation to increase dosing frequency from 8 weekly to 4 weekly in patients who do not respond requires further justification.</w:t>
      </w:r>
    </w:p>
    <w:p w:rsidR="00AB2F81" w:rsidRPr="00B26A64" w:rsidRDefault="00AB2F81" w:rsidP="00A5110F">
      <w:r w:rsidRPr="00B26A64">
        <w:t>The choice of a 14 week time period from initiation of treatment to determine response, and therefore initiation of maintenance treatment, does make sense given the proposed dosing regimen.</w:t>
      </w:r>
      <w:r w:rsidR="007E0E09">
        <w:t xml:space="preserve"> </w:t>
      </w:r>
      <w:r w:rsidRPr="00B26A64">
        <w:t>Were there a 10 week assessment, patients would be making an additional visit to their health provider that would not influence the likelihood of ongoing treatment.</w:t>
      </w:r>
    </w:p>
    <w:p w:rsidR="00AB2F81" w:rsidRPr="007024D1" w:rsidRDefault="00AB2F81" w:rsidP="00A5110F">
      <w:r w:rsidRPr="007024D1">
        <w:t>There were too few subjects that were positive for HAHA to make meaningful conclusions about the effect of HAHA on efficacy.</w:t>
      </w:r>
      <w:r w:rsidR="007E0E09">
        <w:t xml:space="preserve"> </w:t>
      </w:r>
    </w:p>
    <w:p w:rsidR="00AB2F81" w:rsidRDefault="00AB2F81" w:rsidP="00A5110F">
      <w:pPr>
        <w:pStyle w:val="Heading4"/>
      </w:pPr>
      <w:r w:rsidRPr="00AB2F81">
        <w:t xml:space="preserve">Studies </w:t>
      </w:r>
      <w:r w:rsidRPr="00A5110F">
        <w:t>providing</w:t>
      </w:r>
      <w:r w:rsidRPr="00AB2F81">
        <w:t xml:space="preserve"> efficacy data in </w:t>
      </w:r>
      <w:r>
        <w:t>ulcerative colitis</w:t>
      </w:r>
    </w:p>
    <w:p w:rsidR="00AB2F81" w:rsidRPr="00B26A64" w:rsidRDefault="00AB2F81" w:rsidP="00A5110F">
      <w:r w:rsidRPr="00B26A64">
        <w:t>Effi</w:t>
      </w:r>
      <w:r w:rsidR="00712CC5">
        <w:t>cacy was examined in one Phase III study: Study C13006.</w:t>
      </w:r>
      <w:r w:rsidRPr="00B26A64">
        <w:t xml:space="preserve"> Induction of remission and maintenance of remission</w:t>
      </w:r>
      <w:r w:rsidR="00712CC5">
        <w:t xml:space="preserve"> were studied in Study C13006. </w:t>
      </w:r>
      <w:r w:rsidRPr="00B26A64">
        <w:t>Study C13006 recruited subjects with inadequate response to, loss of response to, or intolerance of at least one of the following agents: immunomodulators, TNFα an</w:t>
      </w:r>
      <w:r w:rsidR="00712CC5">
        <w:t xml:space="preserve">tagonists and corticosteroids. </w:t>
      </w:r>
      <w:r w:rsidRPr="00B26A64">
        <w:t xml:space="preserve">In addition to these studies there were two Phase </w:t>
      </w:r>
      <w:r w:rsidR="00712CC5">
        <w:t>II</w:t>
      </w:r>
      <w:r w:rsidRPr="00B26A64">
        <w:t xml:space="preserve"> studies (Study C13002 and Study M200-022) and one long-term study with exploratory endpoints: Study C13008. </w:t>
      </w:r>
    </w:p>
    <w:p w:rsidR="00AB2F81" w:rsidRPr="00B26A64" w:rsidRDefault="00AB2F81" w:rsidP="00A5110F">
      <w:r w:rsidRPr="00B26A64">
        <w:t>The efficacy endpoints were generally the same acro</w:t>
      </w:r>
      <w:r w:rsidR="00712CC5">
        <w:t xml:space="preserve">ss the clinical study program. </w:t>
      </w:r>
      <w:r w:rsidRPr="00B26A64">
        <w:t>These were:</w:t>
      </w:r>
    </w:p>
    <w:p w:rsidR="00AB2F81" w:rsidRPr="00B26A64" w:rsidRDefault="00AB2F81" w:rsidP="00AB2F81">
      <w:pPr>
        <w:pStyle w:val="ListBullet"/>
      </w:pPr>
      <w:r w:rsidRPr="00847EDB">
        <w:rPr>
          <w:i/>
        </w:rPr>
        <w:t>Clinical Remission by Complete Mayo Score</w:t>
      </w:r>
      <w:r w:rsidRPr="00B26A64">
        <w:t>: a complete Mayo score</w:t>
      </w:r>
      <w:r w:rsidR="007C4B64">
        <w:rPr>
          <w:rStyle w:val="FootnoteReference"/>
        </w:rPr>
        <w:footnoteReference w:id="21"/>
      </w:r>
      <w:r w:rsidRPr="00B26A64">
        <w:t xml:space="preserve"> of ≤</w:t>
      </w:r>
      <w:r w:rsidR="00F22277">
        <w:t xml:space="preserve"> </w:t>
      </w:r>
      <w:r w:rsidRPr="00B26A64">
        <w:t xml:space="preserve">2 points and no individual </w:t>
      </w:r>
      <w:proofErr w:type="spellStart"/>
      <w:r w:rsidRPr="00B26A64">
        <w:t>subscore</w:t>
      </w:r>
      <w:proofErr w:type="spellEnd"/>
      <w:r w:rsidRPr="00B26A64">
        <w:t xml:space="preserve"> &gt;</w:t>
      </w:r>
      <w:r w:rsidR="00847EDB">
        <w:t xml:space="preserve"> </w:t>
      </w:r>
      <w:r w:rsidRPr="00B26A64">
        <w:t>1 point</w:t>
      </w:r>
    </w:p>
    <w:p w:rsidR="00AB2F81" w:rsidRPr="00B26A64" w:rsidRDefault="00AB2F81" w:rsidP="00AB2F81">
      <w:pPr>
        <w:pStyle w:val="ListBullet"/>
      </w:pPr>
      <w:r w:rsidRPr="00847EDB">
        <w:rPr>
          <w:i/>
        </w:rPr>
        <w:t>Clinical Remission by Partial Mayo Score</w:t>
      </w:r>
      <w:r w:rsidRPr="00B26A64">
        <w:t xml:space="preserve">: a partial Mayo score of </w:t>
      </w:r>
      <w:r>
        <w:t>≤</w:t>
      </w:r>
      <w:r w:rsidR="00F22277">
        <w:t xml:space="preserve"> </w:t>
      </w:r>
      <w:r w:rsidRPr="00B26A64">
        <w:t xml:space="preserve">2 points and no individual </w:t>
      </w:r>
      <w:proofErr w:type="spellStart"/>
      <w:r w:rsidRPr="00B26A64">
        <w:t>subscore</w:t>
      </w:r>
      <w:proofErr w:type="spellEnd"/>
      <w:r w:rsidRPr="00B26A64">
        <w:t xml:space="preserve"> &gt; 1 point</w:t>
      </w:r>
    </w:p>
    <w:p w:rsidR="00AB2F81" w:rsidRPr="00B26A64" w:rsidRDefault="00AB2F81" w:rsidP="00AB2F81">
      <w:pPr>
        <w:pStyle w:val="ListBullet"/>
      </w:pPr>
      <w:r w:rsidRPr="00847EDB">
        <w:rPr>
          <w:i/>
        </w:rPr>
        <w:t>Clinical Response by Complete Mayo Score</w:t>
      </w:r>
      <w:r w:rsidRPr="00B26A64">
        <w:t xml:space="preserve">: a reduction in complete Mayo score of </w:t>
      </w:r>
      <w:r>
        <w:t>≥</w:t>
      </w:r>
      <w:r w:rsidR="00F22277">
        <w:t xml:space="preserve"> </w:t>
      </w:r>
      <w:r w:rsidRPr="00B26A64">
        <w:t>3 points and ≥</w:t>
      </w:r>
      <w:r w:rsidR="00847EDB">
        <w:t xml:space="preserve"> </w:t>
      </w:r>
      <w:r w:rsidRPr="00B26A64">
        <w:t xml:space="preserve">30% from baseline with an accompanying decrease in rectal bleeding </w:t>
      </w:r>
      <w:proofErr w:type="spellStart"/>
      <w:r w:rsidRPr="00B26A64">
        <w:t>subscore</w:t>
      </w:r>
      <w:proofErr w:type="spellEnd"/>
      <w:r w:rsidRPr="00B26A64">
        <w:t xml:space="preserve"> of ≥</w:t>
      </w:r>
      <w:r w:rsidR="00F22277">
        <w:t xml:space="preserve"> </w:t>
      </w:r>
      <w:r w:rsidRPr="00B26A64">
        <w:t xml:space="preserve">1 point or absolute rectal bleeding </w:t>
      </w:r>
      <w:proofErr w:type="spellStart"/>
      <w:r w:rsidRPr="00B26A64">
        <w:t>subscore</w:t>
      </w:r>
      <w:proofErr w:type="spellEnd"/>
      <w:r w:rsidRPr="00B26A64">
        <w:t xml:space="preserve"> of ≤</w:t>
      </w:r>
      <w:r w:rsidR="00F22277">
        <w:t xml:space="preserve"> </w:t>
      </w:r>
      <w:r w:rsidRPr="00B26A64">
        <w:t>1 point</w:t>
      </w:r>
    </w:p>
    <w:p w:rsidR="00AB2F81" w:rsidRPr="00B26A64" w:rsidRDefault="00AB2F81" w:rsidP="00AB2F81">
      <w:pPr>
        <w:pStyle w:val="ListBullet"/>
      </w:pPr>
      <w:r w:rsidRPr="00847EDB">
        <w:rPr>
          <w:i/>
        </w:rPr>
        <w:t>Clinical Response by Partial Mayo Score</w:t>
      </w:r>
      <w:r w:rsidRPr="00B26A64">
        <w:t>: a reduction in partial Mayo score of ≥</w:t>
      </w:r>
      <w:r w:rsidR="00F22277">
        <w:t xml:space="preserve"> </w:t>
      </w:r>
      <w:r w:rsidRPr="00B26A64">
        <w:t>2 points and ≥</w:t>
      </w:r>
      <w:r w:rsidR="00F22277">
        <w:t xml:space="preserve"> </w:t>
      </w:r>
      <w:r w:rsidRPr="00B26A64">
        <w:t xml:space="preserve">25% from baseline with an accompanying decrease in rectal bleeding </w:t>
      </w:r>
      <w:proofErr w:type="spellStart"/>
      <w:r w:rsidRPr="00B26A64">
        <w:t>subscore</w:t>
      </w:r>
      <w:proofErr w:type="spellEnd"/>
      <w:r w:rsidRPr="00B26A64">
        <w:t xml:space="preserve"> of ≥</w:t>
      </w:r>
      <w:r w:rsidR="00F22277">
        <w:t xml:space="preserve"> </w:t>
      </w:r>
      <w:r w:rsidRPr="00B26A64">
        <w:t xml:space="preserve">1 point or absolute rectal bleeding </w:t>
      </w:r>
      <w:proofErr w:type="spellStart"/>
      <w:r w:rsidRPr="00B26A64">
        <w:t>subscore</w:t>
      </w:r>
      <w:proofErr w:type="spellEnd"/>
      <w:r w:rsidRPr="00B26A64">
        <w:t xml:space="preserve"> of ≤</w:t>
      </w:r>
      <w:r w:rsidR="00F22277">
        <w:t xml:space="preserve"> </w:t>
      </w:r>
      <w:r w:rsidRPr="00B26A64">
        <w:t>1 point</w:t>
      </w:r>
    </w:p>
    <w:p w:rsidR="00AB2F81" w:rsidRPr="00B26A64" w:rsidRDefault="00AB2F81" w:rsidP="00A5110F">
      <w:pPr>
        <w:pStyle w:val="ListBullet"/>
      </w:pPr>
      <w:r w:rsidRPr="00847EDB">
        <w:rPr>
          <w:i/>
        </w:rPr>
        <w:lastRenderedPageBreak/>
        <w:t>Corticosteroid-free Remission</w:t>
      </w:r>
      <w:r w:rsidRPr="00B26A64">
        <w:t xml:space="preserve">: Clinical remission in </w:t>
      </w:r>
      <w:r w:rsidRPr="00A5110F">
        <w:t>patients</w:t>
      </w:r>
      <w:r w:rsidRPr="00B26A64">
        <w:t xml:space="preserve"> using oral corticosteroids at baseline (Week 0) who have discontinued corticosteroids and are in clinical remission at Week 52</w:t>
      </w:r>
    </w:p>
    <w:p w:rsidR="00AB2F81" w:rsidRPr="00B26A64" w:rsidRDefault="00AB2F81" w:rsidP="00AB2F81">
      <w:pPr>
        <w:pStyle w:val="ListBullet"/>
      </w:pPr>
      <w:r w:rsidRPr="00847EDB">
        <w:rPr>
          <w:i/>
        </w:rPr>
        <w:t>Durable Clinical Remission</w:t>
      </w:r>
      <w:r w:rsidRPr="00B26A64">
        <w:t>: Clinical remission at Weeks 6 and 52</w:t>
      </w:r>
    </w:p>
    <w:p w:rsidR="00AB2F81" w:rsidRPr="00B26A64" w:rsidRDefault="00AB2F81" w:rsidP="00AB2F81">
      <w:pPr>
        <w:pStyle w:val="ListBullet"/>
      </w:pPr>
      <w:r w:rsidRPr="00847EDB">
        <w:rPr>
          <w:i/>
        </w:rPr>
        <w:t>Durable Clinical Response</w:t>
      </w:r>
      <w:r w:rsidRPr="00B26A64">
        <w:t>: Clinical response at Weeks 6 and 52</w:t>
      </w:r>
    </w:p>
    <w:p w:rsidR="00AB2F81" w:rsidRPr="00B26A64" w:rsidRDefault="00AB2F81" w:rsidP="00A5110F">
      <w:pPr>
        <w:pStyle w:val="ListBullet"/>
      </w:pPr>
      <w:r w:rsidRPr="00847EDB">
        <w:rPr>
          <w:i/>
        </w:rPr>
        <w:t>Durable Mucosal Healing</w:t>
      </w:r>
      <w:r w:rsidRPr="00B26A64">
        <w:t xml:space="preserve">: a Mayo endoscopic </w:t>
      </w:r>
      <w:proofErr w:type="spellStart"/>
      <w:r w:rsidRPr="00B26A64">
        <w:t>subscore</w:t>
      </w:r>
      <w:proofErr w:type="spellEnd"/>
      <w:r w:rsidRPr="00B26A64">
        <w:t xml:space="preserve"> ≤</w:t>
      </w:r>
      <w:r w:rsidR="00847EDB">
        <w:t xml:space="preserve"> </w:t>
      </w:r>
      <w:r w:rsidRPr="00B26A64">
        <w:t xml:space="preserve">1 at both Week 6 and </w:t>
      </w:r>
      <w:r w:rsidRPr="00A5110F">
        <w:t>Week</w:t>
      </w:r>
      <w:r w:rsidRPr="00B26A64">
        <w:t xml:space="preserve"> 52</w:t>
      </w:r>
    </w:p>
    <w:p w:rsidR="00AB2F81" w:rsidRPr="00B26A64" w:rsidRDefault="00AB2F81" w:rsidP="00A5110F">
      <w:pPr>
        <w:pStyle w:val="ListBullet"/>
      </w:pPr>
      <w:r w:rsidRPr="00847EDB">
        <w:rPr>
          <w:i/>
        </w:rPr>
        <w:t>Sustained Clinical Response</w:t>
      </w:r>
      <w:r w:rsidRPr="00B26A64">
        <w:t xml:space="preserve">: a clinical response at both Weeks 4 and 6 based on partial Mayo score (defined as reduction in partial Mayo score of ≥ 2 points and ≥ 25% from baseline with an accompanying decrease in rectal bleeding </w:t>
      </w:r>
      <w:proofErr w:type="spellStart"/>
      <w:r w:rsidRPr="00B26A64">
        <w:t>subscore</w:t>
      </w:r>
      <w:proofErr w:type="spellEnd"/>
      <w:r w:rsidRPr="00B26A64">
        <w:t xml:space="preserve"> of ≥1 point or absolute rectal bleeding </w:t>
      </w:r>
      <w:proofErr w:type="spellStart"/>
      <w:r w:rsidRPr="00B26A64">
        <w:t>subscore</w:t>
      </w:r>
      <w:proofErr w:type="spellEnd"/>
      <w:r w:rsidRPr="00B26A64">
        <w:t xml:space="preserve"> of ≤ 1 point).</w:t>
      </w:r>
    </w:p>
    <w:p w:rsidR="00AB2F81" w:rsidRPr="007024D1" w:rsidRDefault="00AB2F81" w:rsidP="00A5110F">
      <w:r w:rsidRPr="007024D1">
        <w:t xml:space="preserve">The study selection and definitions for efficacy endpoints were consistent with the recommendations in the TGA adopted </w:t>
      </w:r>
      <w:r w:rsidR="007C4B64" w:rsidRPr="007C4B64">
        <w:t xml:space="preserve">CHMP </w:t>
      </w:r>
      <w:r w:rsidR="007C4B64" w:rsidRPr="007C4B64">
        <w:rPr>
          <w:i/>
        </w:rPr>
        <w:t>Guideline on the Development of New Medicinal Products for Ulcerative Colitis</w:t>
      </w:r>
      <w:r w:rsidR="007C4B64" w:rsidRPr="007C4B64">
        <w:t xml:space="preserve"> (CHMP/EWP/18463/2006)</w:t>
      </w:r>
      <w:r w:rsidR="007C4B64">
        <w:t>.</w:t>
      </w:r>
    </w:p>
    <w:p w:rsidR="00712CC5" w:rsidRPr="000404B1" w:rsidRDefault="00712CC5" w:rsidP="00A5110F">
      <w:r w:rsidRPr="000404B1">
        <w:t>There were no pooled results of efficacy for UC.</w:t>
      </w:r>
    </w:p>
    <w:p w:rsidR="00AB2F81" w:rsidRPr="00AB2F81" w:rsidRDefault="00AB2F81" w:rsidP="00A5110F">
      <w:pPr>
        <w:pStyle w:val="Heading4"/>
      </w:pPr>
      <w:r w:rsidRPr="00AB2F81">
        <w:t xml:space="preserve">Evaluator’s conclusions on efficacy in ulcerative colitis </w:t>
      </w:r>
    </w:p>
    <w:p w:rsidR="00712CC5" w:rsidRPr="000404B1" w:rsidRDefault="00712CC5" w:rsidP="00A5110F">
      <w:r w:rsidRPr="000404B1">
        <w:t>Efficacy was demonstrated for induction of clinical response and maintenance of remission in subjects with moderate to severe UC.</w:t>
      </w:r>
      <w:r w:rsidR="007E0E09">
        <w:t xml:space="preserve"> </w:t>
      </w:r>
      <w:r w:rsidRPr="000404B1">
        <w:t>The treatment benefit was clinically significant.</w:t>
      </w:r>
      <w:r w:rsidR="007E0E09">
        <w:t xml:space="preserve"> </w:t>
      </w:r>
      <w:r w:rsidRPr="000404B1">
        <w:t>At Week 6 there were significantly more subjects in the vedolizumab group achieving clinical response.</w:t>
      </w:r>
      <w:r w:rsidR="007E0E09">
        <w:t xml:space="preserve"> </w:t>
      </w:r>
      <w:r w:rsidRPr="000404B1">
        <w:t>Clinical response was achieved by 106 (47.1%) subjects in the vedolizumab group and 38 (25.5%) in the placebo</w:t>
      </w:r>
      <w:r w:rsidR="00533600">
        <w:t xml:space="preserve"> group</w:t>
      </w:r>
      <w:r w:rsidRPr="000404B1">
        <w:t xml:space="preserve">, </w:t>
      </w:r>
      <w:r w:rsidR="00533600">
        <w:t>RR (95% CI) 1.8 (1.4 to 2.5), p </w:t>
      </w:r>
      <w:r w:rsidRPr="000404B1">
        <w:t>&lt;</w:t>
      </w:r>
      <w:r w:rsidR="00533600">
        <w:t> </w:t>
      </w:r>
      <w:r w:rsidRPr="000404B1">
        <w:t>0.0001.</w:t>
      </w:r>
      <w:r w:rsidR="007E0E09">
        <w:t xml:space="preserve"> </w:t>
      </w:r>
      <w:r w:rsidRPr="000404B1">
        <w:t>At Week 52 there were significantly more subjects in both of the vedolizumab groups achieving clinical remission.</w:t>
      </w:r>
      <w:r w:rsidR="007E0E09">
        <w:t xml:space="preserve"> </w:t>
      </w:r>
      <w:r w:rsidRPr="000404B1">
        <w:t>Clinical remission was achieved by 51 (41.8%) subjects in the vedolizumab group 8 weekly group (</w:t>
      </w:r>
      <w:r w:rsidR="00533600">
        <w:t>RR [95% CI] 2.7 [1.7 to 4.2], p </w:t>
      </w:r>
      <w:r w:rsidRPr="000404B1">
        <w:t>&lt;</w:t>
      </w:r>
      <w:r w:rsidR="00533600">
        <w:t> </w:t>
      </w:r>
      <w:r w:rsidRPr="000404B1">
        <w:t xml:space="preserve">0.0001), 56 (44.8%) in the 4 weekly (RR [95% CI] 2.8 [1.8 to 4.4], p </w:t>
      </w:r>
      <w:r w:rsidR="00FF718F">
        <w:t>&lt;</w:t>
      </w:r>
      <w:r w:rsidR="00533600">
        <w:t xml:space="preserve"> </w:t>
      </w:r>
      <w:r w:rsidRPr="000404B1">
        <w:t>0.0001), and 20 (15.9%) in the placebo.</w:t>
      </w:r>
    </w:p>
    <w:p w:rsidR="00712CC5" w:rsidRPr="007024D1" w:rsidRDefault="00712CC5" w:rsidP="00A5110F">
      <w:r w:rsidRPr="007024D1">
        <w:t>The secondary efficacy outcome measures were supportive of the primary analyses.</w:t>
      </w:r>
    </w:p>
    <w:p w:rsidR="00712CC5" w:rsidRPr="000404B1" w:rsidRDefault="00712CC5" w:rsidP="00712CC5">
      <w:r w:rsidRPr="000404B1">
        <w:t>Although the primary efficacy outcome measure for Study C13006 was clinical response, the study did show significant benefit for clinical remission (a secondary efficacy outcome measure).</w:t>
      </w:r>
      <w:r w:rsidR="007E0E09">
        <w:t xml:space="preserve"> </w:t>
      </w:r>
      <w:r w:rsidRPr="000404B1">
        <w:t xml:space="preserve">In the opinion of the </w:t>
      </w:r>
      <w:r w:rsidR="00533600">
        <w:t>e</w:t>
      </w:r>
      <w:r w:rsidRPr="000404B1">
        <w:t>valuator, this justifies the inclusion of clinical remission in the indication.</w:t>
      </w:r>
    </w:p>
    <w:p w:rsidR="00712CC5" w:rsidRPr="000404B1" w:rsidRDefault="00712CC5" w:rsidP="00A5110F">
      <w:r w:rsidRPr="000404B1">
        <w:t>A higher proportion of subjects were able to discontinue oral corticosteroids with vedolizumab.</w:t>
      </w:r>
      <w:r w:rsidR="007E0E09">
        <w:t xml:space="preserve"> </w:t>
      </w:r>
      <w:r w:rsidRPr="000404B1">
        <w:t>This was significantly greater than placeb</w:t>
      </w:r>
      <w:r w:rsidR="00533600">
        <w:t>o for both vedolizumab regimens</w:t>
      </w:r>
      <w:r w:rsidRPr="000404B1">
        <w:t xml:space="preserve"> but there was a greater, though not statistically significant, proportion of subjects able to discontinue oral corticosteroids in the 4 weekly regimen than the 8 weekly.</w:t>
      </w:r>
      <w:r w:rsidR="007E0E09">
        <w:t xml:space="preserve"> </w:t>
      </w:r>
      <w:r w:rsidRPr="000404B1">
        <w:t>The proportion of subjects using oral corticosteroids at baseline (Week 0) who discontinued corticosteroids and were in clinical remission at Week 52 was 33 (45.2%) subjects in the vedolizumab 4 weekly group (</w:t>
      </w:r>
      <w:r w:rsidR="001E172F" w:rsidRPr="000404B1">
        <w:t>p &lt;</w:t>
      </w:r>
      <w:r w:rsidR="001E172F">
        <w:t xml:space="preserve"> </w:t>
      </w:r>
      <w:r w:rsidR="001E172F" w:rsidRPr="000404B1">
        <w:t>0.0001</w:t>
      </w:r>
      <w:r w:rsidR="001E172F" w:rsidRPr="001E172F">
        <w:t xml:space="preserve"> </w:t>
      </w:r>
      <w:r w:rsidRPr="000404B1">
        <w:t>compared to placebo), 22 (31.4%) in the 8 weekly (</w:t>
      </w:r>
      <w:r w:rsidR="001E172F" w:rsidRPr="000404B1">
        <w:t>p = 0.0120</w:t>
      </w:r>
      <w:r w:rsidRPr="000404B1">
        <w:t>) and 10 (13.9%) in the placebo</w:t>
      </w:r>
      <w:r w:rsidR="00533600">
        <w:t xml:space="preserve"> group</w:t>
      </w:r>
      <w:r w:rsidRPr="000404B1">
        <w:t>.</w:t>
      </w:r>
      <w:r w:rsidR="007E0E09">
        <w:t xml:space="preserve"> </w:t>
      </w:r>
      <w:r w:rsidRPr="000404B1">
        <w:t>The mean (</w:t>
      </w:r>
      <w:r w:rsidR="00533600">
        <w:t xml:space="preserve">standard error, </w:t>
      </w:r>
      <w:r w:rsidRPr="000404B1">
        <w:t>SE) change in oral corticosteroid use was -9.5 (1.46) mg/day for vedolizumab 8 weekly, -11.6 (1.33) mg/day for 4 weekly and -4.6 (1.49) mg/day for placebo.</w:t>
      </w:r>
      <w:r w:rsidR="007E0E09">
        <w:t xml:space="preserve"> </w:t>
      </w:r>
      <w:r w:rsidRPr="000404B1">
        <w:t>The adjusted mean (95% CI) difference compared with placebo was</w:t>
      </w:r>
      <w:r w:rsidR="00533600">
        <w:t>,</w:t>
      </w:r>
      <w:r w:rsidRPr="000404B1">
        <w:t xml:space="preserve"> </w:t>
      </w:r>
      <w:r w:rsidR="00533600">
        <w:t>m</w:t>
      </w:r>
      <w:r w:rsidRPr="000404B1">
        <w:t>ean (SE) -4.7 (-7.9 to -1.4) mg/day for vedolizumab 8 weekly and -7.1 (-10.3 to -3.8) mg/day for 4 weekly.</w:t>
      </w:r>
      <w:r w:rsidR="007E0E09">
        <w:t xml:space="preserve"> </w:t>
      </w:r>
      <w:r w:rsidRPr="000404B1">
        <w:t xml:space="preserve">The proportion of patients at Week 52 who are in clinical remission and have been corticosteroid-free for 180 days was greatest for the vedolizumab 4 weekly </w:t>
      </w:r>
      <w:proofErr w:type="gramStart"/>
      <w:r w:rsidRPr="000404B1">
        <w:t>group</w:t>
      </w:r>
      <w:proofErr w:type="gramEnd"/>
      <w:r w:rsidRPr="000404B1">
        <w:t>: 42.5% for 4 weekly, 28.6% for 8 weekly and 11.1% for placebo.</w:t>
      </w:r>
    </w:p>
    <w:p w:rsidR="00712CC5" w:rsidRPr="000404B1" w:rsidRDefault="00712CC5" w:rsidP="00A5110F">
      <w:r w:rsidRPr="000404B1">
        <w:lastRenderedPageBreak/>
        <w:t>When comparing key endpoints in the subgroup of patients with previous exposure to TNFα antagonist therapy and in the subgroup of patients defined as having failed TNFα antagonist therapy, there was better response in the vedolizumab treated groups compared with placebo, but for all groups there was better response in those subjects that had not previously failed TNFα antagonist treatments.</w:t>
      </w:r>
      <w:r w:rsidR="007E0E09">
        <w:t xml:space="preserve"> </w:t>
      </w:r>
      <w:r w:rsidRPr="000404B1">
        <w:t>However, efficacy was still demonstrated in the subgroup of patients that had failed previous TNFα antagonist treatment, therefore vedolizumab treatment is justified in this subgroup.</w:t>
      </w:r>
    </w:p>
    <w:p w:rsidR="00712CC5" w:rsidRPr="000404B1" w:rsidRDefault="00712CC5" w:rsidP="00A5110F">
      <w:r w:rsidRPr="000404B1">
        <w:t>For key endpoints in the subgroups of patients on concomitant therapies, responses were better for subjects without concomitant immunomodulator use for all treatment groups, but treatment effect for vedolizumab was preserved.</w:t>
      </w:r>
      <w:r w:rsidR="007E0E09">
        <w:t xml:space="preserve"> </w:t>
      </w:r>
      <w:r w:rsidRPr="000404B1">
        <w:t>Concomitant corticosteroid use did not affect response.</w:t>
      </w:r>
    </w:p>
    <w:p w:rsidR="00712CC5" w:rsidRPr="000404B1" w:rsidRDefault="00712CC5" w:rsidP="00712CC5">
      <w:r w:rsidRPr="000404B1">
        <w:t>The results supported decreased resource utilisation and improved quality of life with both vedolizumab regimens.</w:t>
      </w:r>
    </w:p>
    <w:p w:rsidR="00712CC5" w:rsidRPr="000404B1" w:rsidRDefault="00712CC5" w:rsidP="00712CC5">
      <w:r w:rsidRPr="000404B1">
        <w:t xml:space="preserve">There was little difference in efficacy between the 4 weekly administration </w:t>
      </w:r>
      <w:proofErr w:type="gramStart"/>
      <w:r w:rsidRPr="000404B1">
        <w:t>regimen</w:t>
      </w:r>
      <w:proofErr w:type="gramEnd"/>
      <w:r w:rsidRPr="000404B1">
        <w:t xml:space="preserve"> for maintenance and the 8 weekly regimen.</w:t>
      </w:r>
      <w:r w:rsidR="007E0E09">
        <w:t xml:space="preserve"> </w:t>
      </w:r>
      <w:r w:rsidRPr="000404B1">
        <w:t>Hence the recommendation to increase dosing frequency from 8 weekly to 4 weekly in patients who do not respond requires further justification.</w:t>
      </w:r>
    </w:p>
    <w:p w:rsidR="00712CC5" w:rsidRPr="000404B1" w:rsidRDefault="00712CC5" w:rsidP="00A5110F">
      <w:r w:rsidRPr="000404B1">
        <w:t>The choice of a 14 week time period from initiation of treatment to determine response, and therefore initiation of maintenance treatment, does make sense given the proposed dosing regimen.</w:t>
      </w:r>
      <w:r w:rsidR="007E0E09">
        <w:t xml:space="preserve"> </w:t>
      </w:r>
      <w:r w:rsidRPr="000404B1">
        <w:t>Were there a 10 week assessment, patients would be making an additional visit to their health provider that would not influence the likelihood of ongoing treatment.</w:t>
      </w:r>
    </w:p>
    <w:p w:rsidR="00712CC5" w:rsidRPr="000404B1" w:rsidRDefault="00712CC5" w:rsidP="00A5110F">
      <w:r w:rsidRPr="000404B1">
        <w:t>There were too few subjects that were positive for HAHA to make meaningful conclusions about the effect of HAHA on efficacy.</w:t>
      </w:r>
    </w:p>
    <w:p w:rsidR="004C67AA" w:rsidRPr="002E238E" w:rsidRDefault="004C67AA" w:rsidP="00A5110F">
      <w:pPr>
        <w:pStyle w:val="Heading3"/>
      </w:pPr>
      <w:bookmarkStart w:id="113" w:name="_Toc163441378"/>
      <w:bookmarkStart w:id="114" w:name="_Toc196046495"/>
      <w:bookmarkStart w:id="115" w:name="_Toc247691522"/>
      <w:bookmarkStart w:id="116" w:name="_Toc314842505"/>
      <w:bookmarkStart w:id="117" w:name="_Toc384807763"/>
      <w:bookmarkStart w:id="118" w:name="_Toc405974784"/>
      <w:bookmarkEnd w:id="109"/>
      <w:bookmarkEnd w:id="110"/>
      <w:bookmarkEnd w:id="111"/>
      <w:bookmarkEnd w:id="112"/>
      <w:r w:rsidRPr="00A5110F">
        <w:t>Safety</w:t>
      </w:r>
      <w:bookmarkEnd w:id="113"/>
      <w:bookmarkEnd w:id="114"/>
      <w:bookmarkEnd w:id="115"/>
      <w:bookmarkEnd w:id="116"/>
      <w:bookmarkEnd w:id="117"/>
      <w:bookmarkEnd w:id="118"/>
    </w:p>
    <w:p w:rsidR="004C67AA" w:rsidRDefault="004C67AA" w:rsidP="00A5110F">
      <w:pPr>
        <w:pStyle w:val="Heading4"/>
      </w:pPr>
      <w:bookmarkStart w:id="119" w:name="_Toc247691524"/>
      <w:bookmarkStart w:id="120" w:name="_Toc314842508"/>
      <w:bookmarkStart w:id="121" w:name="_Toc196046504"/>
      <w:bookmarkStart w:id="122" w:name="_Toc163441390"/>
      <w:r w:rsidRPr="00605AD4">
        <w:t xml:space="preserve">Studies </w:t>
      </w:r>
      <w:r w:rsidRPr="00A5110F">
        <w:t>providing</w:t>
      </w:r>
      <w:r w:rsidRPr="00605AD4">
        <w:t xml:space="preserve"> </w:t>
      </w:r>
      <w:r w:rsidR="00712CC5">
        <w:t xml:space="preserve">evaluable </w:t>
      </w:r>
      <w:r w:rsidRPr="00605AD4">
        <w:t>safety data</w:t>
      </w:r>
    </w:p>
    <w:p w:rsidR="00263E39" w:rsidRPr="00883740" w:rsidRDefault="00263E39" w:rsidP="00A5110F">
      <w:bookmarkStart w:id="123" w:name="_Ref268776745"/>
      <w:r w:rsidRPr="00883740">
        <w:t>The following studies provided evaluable safety data:</w:t>
      </w:r>
    </w:p>
    <w:p w:rsidR="00263E39" w:rsidRPr="00883740" w:rsidRDefault="00263E39" w:rsidP="00A5110F">
      <w:pPr>
        <w:pStyle w:val="Heading5"/>
      </w:pPr>
      <w:r w:rsidRPr="00883740">
        <w:t xml:space="preserve">Pivotal </w:t>
      </w:r>
      <w:r w:rsidRPr="00A5110F">
        <w:t>efficacy</w:t>
      </w:r>
      <w:r w:rsidRPr="00883740">
        <w:t xml:space="preserve"> studies</w:t>
      </w:r>
      <w:bookmarkEnd w:id="123"/>
    </w:p>
    <w:p w:rsidR="00263E39" w:rsidRPr="007024D1" w:rsidRDefault="00263E39" w:rsidP="00A5110F">
      <w:r w:rsidRPr="007024D1">
        <w:t>In the pivotal efficacy studies, the following safety data were collected:</w:t>
      </w:r>
    </w:p>
    <w:p w:rsidR="00263E39" w:rsidRPr="007024D1" w:rsidRDefault="00263E39" w:rsidP="00263E39">
      <w:pPr>
        <w:pStyle w:val="ListBullet"/>
      </w:pPr>
      <w:r w:rsidRPr="007024D1">
        <w:t>General adverse events (AEs)</w:t>
      </w:r>
    </w:p>
    <w:p w:rsidR="00263E39" w:rsidRPr="007024D1" w:rsidRDefault="00263E39" w:rsidP="00263E39">
      <w:pPr>
        <w:pStyle w:val="ListBullet"/>
      </w:pPr>
      <w:r w:rsidRPr="007024D1">
        <w:t xml:space="preserve">AEs of particular interest, including infections, </w:t>
      </w:r>
      <w:r w:rsidR="00F537E7">
        <w:t>GI</w:t>
      </w:r>
      <w:r w:rsidRPr="007024D1">
        <w:t>, neurological and infusion related were assessed.</w:t>
      </w:r>
    </w:p>
    <w:p w:rsidR="00263E39" w:rsidRPr="007024D1" w:rsidRDefault="00263E39" w:rsidP="00A5110F">
      <w:pPr>
        <w:pStyle w:val="ListBullet"/>
      </w:pPr>
      <w:r w:rsidRPr="00A5110F">
        <w:t>Laboratory</w:t>
      </w:r>
      <w:r w:rsidRPr="007024D1">
        <w:t xml:space="preserve"> tests, including HAHA</w:t>
      </w:r>
    </w:p>
    <w:p w:rsidR="00263E39" w:rsidRPr="00883740" w:rsidRDefault="00263E39" w:rsidP="00A5110F">
      <w:pPr>
        <w:pStyle w:val="Heading5"/>
      </w:pPr>
      <w:r w:rsidRPr="00883740">
        <w:t xml:space="preserve">Pivotal </w:t>
      </w:r>
      <w:r w:rsidRPr="00A5110F">
        <w:t>studies</w:t>
      </w:r>
      <w:r w:rsidRPr="00883740">
        <w:t xml:space="preserve"> that assessed safety as a primary outcome</w:t>
      </w:r>
    </w:p>
    <w:p w:rsidR="00263E39" w:rsidRPr="007024D1" w:rsidRDefault="00263E39" w:rsidP="00A5110F">
      <w:r w:rsidRPr="007024D1">
        <w:t>There were no pivotal studies that assessed safety as a primary outcome.</w:t>
      </w:r>
    </w:p>
    <w:p w:rsidR="00263E39" w:rsidRPr="00883740" w:rsidRDefault="00263E39" w:rsidP="00A5110F">
      <w:pPr>
        <w:pStyle w:val="Heading5"/>
      </w:pPr>
      <w:r w:rsidRPr="00883740">
        <w:t>Other studies evaluable for safety only</w:t>
      </w:r>
    </w:p>
    <w:p w:rsidR="00263E39" w:rsidRPr="007024D1" w:rsidRDefault="00263E39" w:rsidP="00A5110F">
      <w:r w:rsidRPr="007024D1">
        <w:t>Study C13004</w:t>
      </w:r>
      <w:r>
        <w:t>:</w:t>
      </w:r>
      <w:r w:rsidRPr="007024D1">
        <w:t xml:space="preserve"> Phase II open</w:t>
      </w:r>
      <w:r w:rsidR="007B5C66">
        <w:t xml:space="preserve"> </w:t>
      </w:r>
      <w:r w:rsidRPr="007024D1">
        <w:t>label safety study of MLN0002</w:t>
      </w:r>
      <w:r w:rsidR="00410BA7" w:rsidRPr="00410BA7">
        <w:t xml:space="preserve"> </w:t>
      </w:r>
      <w:r w:rsidR="00410BA7">
        <w:t>(v</w:t>
      </w:r>
      <w:r w:rsidR="00410BA7" w:rsidRPr="00410BA7">
        <w:t>edolizumab</w:t>
      </w:r>
      <w:r w:rsidR="00410BA7">
        <w:t>)</w:t>
      </w:r>
      <w:r w:rsidRPr="007024D1">
        <w:t xml:space="preserve"> administered every 8 weeks.</w:t>
      </w:r>
      <w:r w:rsidR="007E0E09">
        <w:t xml:space="preserve"> </w:t>
      </w:r>
      <w:r w:rsidRPr="007024D1">
        <w:t>The study enrolled subjects continuing from Study C13002, and also treatment naïve subjects with UC or CD.</w:t>
      </w:r>
      <w:r w:rsidR="007E0E09">
        <w:t xml:space="preserve"> </w:t>
      </w:r>
      <w:r w:rsidRPr="007024D1">
        <w:t>The study was conducted at 14 centres in Canada and Russia from December 2007 to March 2010.</w:t>
      </w:r>
      <w:r w:rsidR="007E0E09">
        <w:t xml:space="preserve"> </w:t>
      </w:r>
      <w:r w:rsidRPr="007024D1">
        <w:t>The study enrolled 72 subjects: 53 with UC, 19 with CD.</w:t>
      </w:r>
      <w:r w:rsidR="007E0E09">
        <w:t xml:space="preserve"> </w:t>
      </w:r>
      <w:r w:rsidRPr="007024D1">
        <w:t>There were 38 subjects enrolled from Study C13002.</w:t>
      </w:r>
      <w:r w:rsidR="007E0E09">
        <w:t xml:space="preserve"> </w:t>
      </w:r>
      <w:r w:rsidRPr="007024D1">
        <w:t xml:space="preserve">There were 29 (40%) males, 43 (60%) females and the age range was 19 to 74 years. </w:t>
      </w:r>
    </w:p>
    <w:p w:rsidR="00263E39" w:rsidRPr="00883740" w:rsidRDefault="003E3320" w:rsidP="00A5110F">
      <w:pPr>
        <w:pStyle w:val="Heading5"/>
      </w:pPr>
      <w:r>
        <w:lastRenderedPageBreak/>
        <w:t>Clinical p</w:t>
      </w:r>
      <w:r w:rsidR="00263E39" w:rsidRPr="00883740">
        <w:t xml:space="preserve">harmacology </w:t>
      </w:r>
      <w:r>
        <w:t>s</w:t>
      </w:r>
      <w:r w:rsidR="00263E39" w:rsidRPr="00883740">
        <w:t>tudies</w:t>
      </w:r>
    </w:p>
    <w:p w:rsidR="00263E39" w:rsidRPr="007E0E09" w:rsidRDefault="00263E39" w:rsidP="00A5110F">
      <w:r w:rsidRPr="007E0E09">
        <w:t>The 14 clinical pharmacology studies collected data on AEs and tolerability.</w:t>
      </w:r>
    </w:p>
    <w:p w:rsidR="004C67AA" w:rsidRDefault="004C67AA" w:rsidP="00A5110F">
      <w:pPr>
        <w:pStyle w:val="Heading4"/>
      </w:pPr>
      <w:r w:rsidRPr="00605AD4">
        <w:t xml:space="preserve">Patient </w:t>
      </w:r>
      <w:r w:rsidRPr="00A5110F">
        <w:t>exposure</w:t>
      </w:r>
    </w:p>
    <w:p w:rsidR="00263E39" w:rsidRPr="007024D1" w:rsidRDefault="00263E39" w:rsidP="00A5110F">
      <w:r w:rsidRPr="007024D1">
        <w:t>In total, the dossier presented safety experience in 3326 subjects (including 1279 patients with UC, 1850 patients with CD, and 197 healthy subjects) who received at least one dose of vedolizumab, of whom 903 patients with either UC or CD received ≥ 24 infusions with 4 weeks of follow-up, and 415 received ≥ 36 infusions with 4 weeks of follow-up.</w:t>
      </w:r>
      <w:r w:rsidR="007E0E09">
        <w:t xml:space="preserve"> </w:t>
      </w:r>
      <w:r w:rsidR="00113D34">
        <w:t xml:space="preserve">Exposure </w:t>
      </w:r>
      <w:r w:rsidR="00907E48">
        <w:t xml:space="preserve">(patient numbers) </w:t>
      </w:r>
      <w:r w:rsidR="00113D34">
        <w:t>by study is summaris</w:t>
      </w:r>
      <w:r w:rsidRPr="007024D1">
        <w:t xml:space="preserve">ed in Table </w:t>
      </w:r>
      <w:r w:rsidR="00410BA7">
        <w:t>6</w:t>
      </w:r>
      <w:r w:rsidRPr="007024D1">
        <w:t>.</w:t>
      </w:r>
      <w:r w:rsidR="007E0E09">
        <w:t xml:space="preserve"> </w:t>
      </w:r>
    </w:p>
    <w:p w:rsidR="00263E39" w:rsidRDefault="00410BA7" w:rsidP="00A5110F">
      <w:pPr>
        <w:pStyle w:val="TableTitle"/>
      </w:pPr>
      <w:r>
        <w:t>Table 6</w:t>
      </w:r>
      <w:r w:rsidR="00263E39">
        <w:t xml:space="preserve">: </w:t>
      </w:r>
      <w:r w:rsidR="00263E39" w:rsidRPr="0030043E">
        <w:t xml:space="preserve">Summary of </w:t>
      </w:r>
      <w:r w:rsidR="003E3320">
        <w:t xml:space="preserve">patient exposure in </w:t>
      </w:r>
      <w:r>
        <w:t>safety s</w:t>
      </w:r>
      <w:r w:rsidR="00A5110F">
        <w:t>tudies</w:t>
      </w:r>
    </w:p>
    <w:p w:rsidR="00113D34" w:rsidRPr="0030043E" w:rsidRDefault="00113D34" w:rsidP="00A5110F">
      <w:r>
        <w:rPr>
          <w:noProof/>
          <w:lang w:eastAsia="en-AU"/>
        </w:rPr>
        <w:drawing>
          <wp:inline distT="0" distB="0" distL="0" distR="0" wp14:anchorId="16AA2C5F" wp14:editId="19750025">
            <wp:extent cx="5219700" cy="3611409"/>
            <wp:effectExtent l="0" t="0" r="0" b="8255"/>
            <wp:docPr id="3" name="Picture 3" descr="Table 6: Summary of patient exposure in safety studies " title="Table 6: Summary of patient exposure in safet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23624" cy="3614124"/>
                    </a:xfrm>
                    <a:prstGeom prst="rect">
                      <a:avLst/>
                    </a:prstGeom>
                  </pic:spPr>
                </pic:pic>
              </a:graphicData>
            </a:graphic>
          </wp:inline>
        </w:drawing>
      </w:r>
    </w:p>
    <w:p w:rsidR="00113D34" w:rsidRPr="00113D34" w:rsidRDefault="00113D34" w:rsidP="00A5110F">
      <w:pPr>
        <w:pStyle w:val="TableDescription"/>
      </w:pPr>
      <w:r w:rsidRPr="00113D34">
        <w:t>(a) Process A is a solution for infusion; Process B is a powder for solution for infusion; Process C is a lyophilized formulation used for infusion or for injection.</w:t>
      </w:r>
    </w:p>
    <w:p w:rsidR="00113D34" w:rsidRPr="00113D34" w:rsidRDefault="00113D34" w:rsidP="00A5110F">
      <w:pPr>
        <w:pStyle w:val="TableDescription"/>
      </w:pPr>
      <w:r w:rsidRPr="00113D34">
        <w:t>(b) Of 72 enrolled patients, 53 had ulcerative colitis and 19 had Crohn’s disease.</w:t>
      </w:r>
    </w:p>
    <w:p w:rsidR="00113D34" w:rsidRPr="00113D34" w:rsidRDefault="00113D34" w:rsidP="00A5110F">
      <w:pPr>
        <w:pStyle w:val="TableDescription"/>
      </w:pPr>
      <w:r w:rsidRPr="00113D34">
        <w:t xml:space="preserve">(c) Of 1822 enrolled patients, 704 had ulcerative colitis and 1118 had Crohn’s disease. One Patient, who had been </w:t>
      </w:r>
      <w:r w:rsidRPr="00A5110F">
        <w:t>previously</w:t>
      </w:r>
      <w:r w:rsidRPr="00113D34">
        <w:t xml:space="preserve"> exposed to </w:t>
      </w:r>
      <w:proofErr w:type="spellStart"/>
      <w:r w:rsidRPr="00113D34">
        <w:t>vedolizumab</w:t>
      </w:r>
      <w:proofErr w:type="spellEnd"/>
      <w:r w:rsidRPr="00113D34">
        <w:t xml:space="preserve"> in Study M200-022, was granted a waiver to participate in Study C13008. Data for this patient are not included.</w:t>
      </w:r>
    </w:p>
    <w:p w:rsidR="00263E39" w:rsidRPr="007024D1" w:rsidRDefault="00263E39" w:rsidP="00A5110F">
      <w:r w:rsidRPr="007024D1">
        <w:t xml:space="preserve">In the Phase </w:t>
      </w:r>
      <w:r w:rsidR="00113D34">
        <w:t>III</w:t>
      </w:r>
      <w:r w:rsidRPr="007024D1">
        <w:t xml:space="preserve"> studies of vedolizumab there were 746 subjects with UC, with 368 subjects treated for up to 12 months; and 1176 with C</w:t>
      </w:r>
      <w:r w:rsidR="001E172F">
        <w:t>D</w:t>
      </w:r>
      <w:r w:rsidRPr="007024D1">
        <w:t>, with 421 subjects treated for up to 12 months.</w:t>
      </w:r>
      <w:r w:rsidR="007E0E09">
        <w:t xml:space="preserve"> </w:t>
      </w:r>
      <w:r w:rsidRPr="007024D1">
        <w:t>There were 25 subjects aged &gt;</w:t>
      </w:r>
      <w:r w:rsidR="00113D34">
        <w:t xml:space="preserve"> </w:t>
      </w:r>
      <w:r w:rsidRPr="007024D1">
        <w:t>65 years with UC and 19 with CD.</w:t>
      </w:r>
    </w:p>
    <w:p w:rsidR="00263E39" w:rsidRDefault="00263E39" w:rsidP="00A5110F">
      <w:r w:rsidRPr="007024D1">
        <w:t>There were 2368 subjects in all the studies treated with the 300 mg dose level.</w:t>
      </w:r>
      <w:r w:rsidR="00F537E7">
        <w:t xml:space="preserve"> </w:t>
      </w:r>
      <w:r w:rsidR="00220662">
        <w:t>Details of e</w:t>
      </w:r>
      <w:r w:rsidRPr="007024D1">
        <w:t xml:space="preserve">xposure </w:t>
      </w:r>
      <w:r w:rsidR="00220662">
        <w:t xml:space="preserve">by </w:t>
      </w:r>
      <w:r w:rsidR="00907E48">
        <w:t xml:space="preserve">dose level </w:t>
      </w:r>
      <w:r w:rsidRPr="007024D1">
        <w:t xml:space="preserve">in studies conducted in subjects with CD or UC </w:t>
      </w:r>
      <w:r w:rsidR="00220662">
        <w:t xml:space="preserve">are </w:t>
      </w:r>
      <w:r w:rsidRPr="007024D1">
        <w:t xml:space="preserve">summarised </w:t>
      </w:r>
      <w:r w:rsidR="00220662">
        <w:t>in the CER (Attachment 2 of this AusPAR).</w:t>
      </w:r>
    </w:p>
    <w:p w:rsidR="004C67AA" w:rsidRDefault="004C67AA" w:rsidP="00A5110F">
      <w:pPr>
        <w:pStyle w:val="Heading4"/>
      </w:pPr>
      <w:r w:rsidRPr="00605AD4">
        <w:t xml:space="preserve">Safety issues with </w:t>
      </w:r>
      <w:r w:rsidRPr="00A5110F">
        <w:t>the</w:t>
      </w:r>
      <w:r w:rsidRPr="00605AD4">
        <w:t xml:space="preserve"> potential for major regulatory impact</w:t>
      </w:r>
    </w:p>
    <w:p w:rsidR="00263E39" w:rsidRPr="007024D1" w:rsidRDefault="00220662" w:rsidP="00A5110F">
      <w:pPr>
        <w:pStyle w:val="Heading5"/>
      </w:pPr>
      <w:bookmarkStart w:id="124" w:name="_Toc380688161"/>
      <w:r>
        <w:t>Infection r</w:t>
      </w:r>
      <w:r w:rsidR="00263E39" w:rsidRPr="007024D1">
        <w:t xml:space="preserve">elated </w:t>
      </w:r>
      <w:r>
        <w:t>a</w:t>
      </w:r>
      <w:r w:rsidR="00263E39" w:rsidRPr="007024D1">
        <w:t xml:space="preserve">dverse </w:t>
      </w:r>
      <w:r>
        <w:t>e</w:t>
      </w:r>
      <w:r w:rsidR="00263E39" w:rsidRPr="007024D1">
        <w:t>vents</w:t>
      </w:r>
      <w:bookmarkEnd w:id="124"/>
    </w:p>
    <w:p w:rsidR="00263E39" w:rsidRPr="00642636" w:rsidRDefault="00263E39" w:rsidP="00A5110F">
      <w:r w:rsidRPr="00642636">
        <w:t xml:space="preserve">In Study C13007 during the induction phase, infection related </w:t>
      </w:r>
      <w:r w:rsidR="00375E69">
        <w:t>treatment emergent AEs (</w:t>
      </w:r>
      <w:r w:rsidRPr="00642636">
        <w:t>TEAEs</w:t>
      </w:r>
      <w:r w:rsidR="00375E69">
        <w:t>)</w:t>
      </w:r>
      <w:r w:rsidRPr="00642636">
        <w:t xml:space="preserve"> occurred in 161 (17%) of the subjects treated with vedolizumab and 26 (18%) in the placebo group.</w:t>
      </w:r>
      <w:r w:rsidR="007E0E09">
        <w:t xml:space="preserve"> </w:t>
      </w:r>
      <w:r w:rsidRPr="00642636">
        <w:t xml:space="preserve">The pattern of infection related TEAEs was similar for the three </w:t>
      </w:r>
      <w:r w:rsidRPr="00642636">
        <w:lastRenderedPageBreak/>
        <w:t>treatment groups.</w:t>
      </w:r>
      <w:r w:rsidR="007E0E09">
        <w:t xml:space="preserve"> </w:t>
      </w:r>
      <w:r w:rsidRPr="00642636">
        <w:t>During the maintenance phase, infection related TEAEs were reported in 359 (44%) subjects in the vedolizumab group and 121 (40%) in the placebo.</w:t>
      </w:r>
      <w:r w:rsidR="007E0E09">
        <w:t xml:space="preserve"> </w:t>
      </w:r>
      <w:r w:rsidRPr="00642636">
        <w:t xml:space="preserve">There was one subject in the 8 weekly </w:t>
      </w:r>
      <w:proofErr w:type="gramStart"/>
      <w:r w:rsidRPr="00642636">
        <w:t>group</w:t>
      </w:r>
      <w:proofErr w:type="gramEnd"/>
      <w:r w:rsidRPr="00642636">
        <w:t xml:space="preserve"> and two in the 4 weekly with </w:t>
      </w:r>
      <w:r w:rsidRPr="00642636">
        <w:rPr>
          <w:i/>
        </w:rPr>
        <w:t xml:space="preserve">Clostridium </w:t>
      </w:r>
      <w:proofErr w:type="spellStart"/>
      <w:r w:rsidRPr="00642636">
        <w:rPr>
          <w:i/>
        </w:rPr>
        <w:t>difficile</w:t>
      </w:r>
      <w:proofErr w:type="spellEnd"/>
      <w:r w:rsidRPr="00642636">
        <w:t xml:space="preserve"> colitis.</w:t>
      </w:r>
    </w:p>
    <w:p w:rsidR="00263E39" w:rsidRPr="00642636" w:rsidRDefault="00263E39" w:rsidP="00263E39">
      <w:r w:rsidRPr="00642636">
        <w:t>In Study C13011 infection and infestation TEAEs were reported in 39 (19%) subjects in the vedolizumab group and 36 (17%) in the placebo.</w:t>
      </w:r>
      <w:r w:rsidR="007E0E09">
        <w:t xml:space="preserve"> </w:t>
      </w:r>
      <w:r w:rsidRPr="00642636">
        <w:t>There were seven (3%) subjects with urinary tract infection in the vedolizumab group and none in the placebo.</w:t>
      </w:r>
    </w:p>
    <w:p w:rsidR="00263E39" w:rsidRPr="00642636" w:rsidRDefault="00263E39" w:rsidP="00A5110F">
      <w:r w:rsidRPr="00642636">
        <w:t>In Study C13006 in the induction phase infection and infestation TEAEs were reported in 102 (14%) subjects in the vedolizumab group and 22 (15%) in the placebo.</w:t>
      </w:r>
      <w:r w:rsidR="007E0E09">
        <w:t xml:space="preserve"> </w:t>
      </w:r>
      <w:r w:rsidRPr="00642636">
        <w:t>The pattern of infection and infestation TEAEs was similar for the two treatment s.</w:t>
      </w:r>
      <w:r w:rsidR="007E0E09">
        <w:t xml:space="preserve"> </w:t>
      </w:r>
      <w:r w:rsidRPr="00642636">
        <w:t>In the maintenance phase infection and infestation TEAEs were reported in 263 (42%) subjects in the vedolizumab group and 98 (36%) in the placebo, with the increased rate in the vedolizumab group appearing to be related to an increased rate of URTI and influenza.</w:t>
      </w:r>
    </w:p>
    <w:p w:rsidR="00263E39" w:rsidRPr="00642636" w:rsidRDefault="00FF6973" w:rsidP="00A5110F">
      <w:pPr>
        <w:pStyle w:val="Heading5"/>
      </w:pPr>
      <w:bookmarkStart w:id="125" w:name="_Toc380688162"/>
      <w:r>
        <w:t>Gastrointestinal s</w:t>
      </w:r>
      <w:r w:rsidR="00263E39" w:rsidRPr="00642636">
        <w:t xml:space="preserve">ystem </w:t>
      </w:r>
      <w:r>
        <w:t>a</w:t>
      </w:r>
      <w:r w:rsidR="00263E39" w:rsidRPr="00642636">
        <w:t xml:space="preserve">dverse </w:t>
      </w:r>
      <w:r>
        <w:t>e</w:t>
      </w:r>
      <w:r w:rsidR="00263E39" w:rsidRPr="00642636">
        <w:t>vents</w:t>
      </w:r>
      <w:bookmarkEnd w:id="125"/>
    </w:p>
    <w:p w:rsidR="00263E39" w:rsidRPr="007024D1" w:rsidRDefault="00263E39" w:rsidP="00A5110F">
      <w:r w:rsidRPr="007024D1">
        <w:t xml:space="preserve">In Study C13007 during the induction phase, </w:t>
      </w:r>
      <w:r w:rsidR="0083386D">
        <w:t xml:space="preserve">GI </w:t>
      </w:r>
      <w:r w:rsidRPr="007024D1">
        <w:t>related TEAEs occurred in 232 (24%) of the subjects treated with vedolizumab and 34 (23%) in the placebo group.</w:t>
      </w:r>
      <w:r w:rsidR="007E0E09">
        <w:t xml:space="preserve"> </w:t>
      </w:r>
      <w:r w:rsidRPr="007024D1">
        <w:t xml:space="preserve">During the maintenance phase, </w:t>
      </w:r>
      <w:r w:rsidR="0083386D">
        <w:t xml:space="preserve">GI </w:t>
      </w:r>
      <w:r w:rsidRPr="007024D1">
        <w:t>related TEAEs occurred in 424 (52%) of the subjects treated with vedolizumab and 161 (53%) in the placebo group.</w:t>
      </w:r>
      <w:r w:rsidR="007E0E09">
        <w:t xml:space="preserve"> </w:t>
      </w:r>
    </w:p>
    <w:p w:rsidR="00263E39" w:rsidRPr="007024D1" w:rsidRDefault="00263E39" w:rsidP="00A5110F">
      <w:r w:rsidRPr="007024D1">
        <w:t xml:space="preserve">In Study C13011 </w:t>
      </w:r>
      <w:r w:rsidR="0083386D">
        <w:t xml:space="preserve">GI </w:t>
      </w:r>
      <w:r w:rsidRPr="007024D1">
        <w:t>TEAEs were reported in 37 (18%) subjects in the vedolizumab group and 49 (24%) in the placebo.</w:t>
      </w:r>
      <w:r w:rsidR="0010520B">
        <w:t xml:space="preserve"> </w:t>
      </w:r>
      <w:r w:rsidRPr="007024D1">
        <w:t xml:space="preserve">In Study C13006 in the induction phase </w:t>
      </w:r>
      <w:r w:rsidR="0083386D">
        <w:t xml:space="preserve">GI </w:t>
      </w:r>
      <w:r w:rsidRPr="007024D1">
        <w:t>TEAEs were reported in 74 (10%) subjects in the vedolizumab group and 28 (19%) in the placebo.</w:t>
      </w:r>
      <w:r w:rsidR="007E0E09">
        <w:t xml:space="preserve"> </w:t>
      </w:r>
      <w:r w:rsidRPr="007024D1">
        <w:t xml:space="preserve">In the maintenance phase </w:t>
      </w:r>
      <w:r w:rsidR="0083386D">
        <w:t xml:space="preserve">GI </w:t>
      </w:r>
      <w:r w:rsidRPr="007024D1">
        <w:t>TEAEs were reported in 231 (37%) subjects in the vedolizumab group and 105 (38%) in the placebo.</w:t>
      </w:r>
    </w:p>
    <w:p w:rsidR="00263E39" w:rsidRPr="007024D1" w:rsidRDefault="0083386D" w:rsidP="00A5110F">
      <w:pPr>
        <w:pStyle w:val="Heading5"/>
      </w:pPr>
      <w:bookmarkStart w:id="126" w:name="_Toc380688163"/>
      <w:r>
        <w:t>Nervous s</w:t>
      </w:r>
      <w:r w:rsidR="00263E39" w:rsidRPr="007024D1">
        <w:t xml:space="preserve">ystem </w:t>
      </w:r>
      <w:r>
        <w:t>a</w:t>
      </w:r>
      <w:r w:rsidR="00263E39" w:rsidRPr="007024D1">
        <w:t xml:space="preserve">dverse </w:t>
      </w:r>
      <w:r>
        <w:t>e</w:t>
      </w:r>
      <w:r w:rsidR="00263E39" w:rsidRPr="007024D1">
        <w:t>vents</w:t>
      </w:r>
      <w:bookmarkEnd w:id="126"/>
    </w:p>
    <w:p w:rsidR="00263E39" w:rsidRPr="007024D1" w:rsidRDefault="00263E39" w:rsidP="00A5110F">
      <w:r w:rsidRPr="007024D1">
        <w:t>In Study C13007 during the induction phase, nervous system disorders occurred in 113 (12%) of the subjects treated with vedolizumab and 14 (9%) in the placebo group.</w:t>
      </w:r>
      <w:r w:rsidR="007E0E09">
        <w:t xml:space="preserve"> </w:t>
      </w:r>
      <w:r w:rsidRPr="007024D1">
        <w:t>Cognitive disorders appeared to be more common in the vedolizumab group.</w:t>
      </w:r>
      <w:r w:rsidR="007E0E09">
        <w:t xml:space="preserve"> </w:t>
      </w:r>
      <w:r w:rsidRPr="007024D1">
        <w:t>There were no cases of PML and no positive results for JCV DNA.</w:t>
      </w:r>
      <w:r w:rsidR="007E0E09">
        <w:t xml:space="preserve"> </w:t>
      </w:r>
      <w:r w:rsidRPr="007024D1">
        <w:t>During the maintenance phase, nervous system disorders occurred in 180 (22%) of the subjects treated with vedolizumab and 75 (25%) in the placebo group.</w:t>
      </w:r>
      <w:r w:rsidR="007E0E09">
        <w:t xml:space="preserve"> </w:t>
      </w:r>
      <w:r w:rsidRPr="007024D1">
        <w:t>During the maintenance phase, 17 (2%) subjects in the vedolizumab group and five (3%) in the placebo had one or more positive PML check list items, but no cases of PML were identified.</w:t>
      </w:r>
      <w:r w:rsidR="007E0E09">
        <w:t xml:space="preserve"> </w:t>
      </w:r>
      <w:r w:rsidRPr="007024D1">
        <w:t>JCV DNA was identified in four (&lt;</w:t>
      </w:r>
      <w:r w:rsidR="00FF718F">
        <w:t xml:space="preserve"> </w:t>
      </w:r>
      <w:r w:rsidRPr="007024D1">
        <w:t>1%) subjects in the vedolizumab group and one (&lt;</w:t>
      </w:r>
      <w:r w:rsidR="00FF718F">
        <w:t xml:space="preserve"> </w:t>
      </w:r>
      <w:r w:rsidRPr="007024D1">
        <w:t>1%) in the placebo.</w:t>
      </w:r>
    </w:p>
    <w:p w:rsidR="00263E39" w:rsidRPr="007024D1" w:rsidRDefault="00263E39" w:rsidP="00A5110F">
      <w:r w:rsidRPr="007024D1">
        <w:t>In Study C13011 nervous system TEAEs were reported in 24 (11%) subjects in the vedolizumab group and 25 (12%) in the placebo.</w:t>
      </w:r>
      <w:r w:rsidR="007E0E09">
        <w:t xml:space="preserve"> </w:t>
      </w:r>
      <w:r w:rsidRPr="007024D1">
        <w:t>A positive PML checklist was reported for six (3%) subjects in the vedolizumab group and six (3%) in the placebo.</w:t>
      </w:r>
      <w:r w:rsidR="007E0E09">
        <w:t xml:space="preserve"> </w:t>
      </w:r>
      <w:r w:rsidRPr="007024D1">
        <w:t>No subjects were positive for JCV DNA.</w:t>
      </w:r>
    </w:p>
    <w:p w:rsidR="00263E39" w:rsidRPr="007024D1" w:rsidRDefault="00263E39" w:rsidP="00A5110F">
      <w:r w:rsidRPr="007024D1">
        <w:t>In Study C13006 in the induction phase nervous system TEAEs were reported in 80 (11%) subjects in the vedolizumab group and 11 (7%) in the placebo.</w:t>
      </w:r>
      <w:r w:rsidR="007E0E09">
        <w:t xml:space="preserve"> </w:t>
      </w:r>
      <w:r w:rsidRPr="007024D1">
        <w:t>At Week 6 two vedolizumab treated subjects were positive for JCV DNA.</w:t>
      </w:r>
      <w:r w:rsidR="007E0E09">
        <w:t xml:space="preserve"> </w:t>
      </w:r>
      <w:r w:rsidRPr="007024D1">
        <w:t>No cases of PML were reported.</w:t>
      </w:r>
      <w:r w:rsidR="007E0E09">
        <w:t xml:space="preserve"> </w:t>
      </w:r>
      <w:r w:rsidRPr="007024D1">
        <w:t>In the maintenance phase nervous system TEAEs were reported in 129 (21%) subjects in the vedolizumab group and 51 (19%) in the placebo.</w:t>
      </w:r>
      <w:r w:rsidR="007E0E09">
        <w:t xml:space="preserve"> </w:t>
      </w:r>
      <w:r w:rsidRPr="007024D1">
        <w:t>In the maintenance phase, a positive subjective PML checklist was reported for 37 (6%) subjects in the vedolizumab group and 18 (7%) in the placebo.</w:t>
      </w:r>
      <w:r w:rsidR="007E0E09">
        <w:t xml:space="preserve"> </w:t>
      </w:r>
      <w:r w:rsidRPr="007024D1">
        <w:t>No subjects were persistently positive for JCV DNA.</w:t>
      </w:r>
    </w:p>
    <w:p w:rsidR="00263E39" w:rsidRPr="007024D1" w:rsidRDefault="00263E39" w:rsidP="00263E39">
      <w:r w:rsidRPr="007024D1">
        <w:t>In Study C13004 on subject was positive for JCV DNA.</w:t>
      </w:r>
      <w:r w:rsidR="007E0E09">
        <w:t xml:space="preserve"> </w:t>
      </w:r>
      <w:r w:rsidRPr="007024D1">
        <w:t>No subject had a positive PML checklist.</w:t>
      </w:r>
      <w:r w:rsidR="00E36AE0">
        <w:t xml:space="preserve"> </w:t>
      </w:r>
      <w:r w:rsidRPr="007024D1">
        <w:t xml:space="preserve">In Study C13008 a positive PML checklist was reported for 160 (7%) subjects but no subjects were diagnosed with PML by the </w:t>
      </w:r>
      <w:r w:rsidR="00F537E7">
        <w:t xml:space="preserve">study’s </w:t>
      </w:r>
      <w:r w:rsidRPr="007024D1">
        <w:t>Independent Adjudication Committee.</w:t>
      </w:r>
    </w:p>
    <w:p w:rsidR="00263E39" w:rsidRPr="007024D1" w:rsidRDefault="00263E39" w:rsidP="00A5110F">
      <w:pPr>
        <w:pStyle w:val="Heading5"/>
      </w:pPr>
      <w:bookmarkStart w:id="127" w:name="_Toc380688164"/>
      <w:r w:rsidRPr="007024D1">
        <w:lastRenderedPageBreak/>
        <w:t xml:space="preserve">Infusion </w:t>
      </w:r>
      <w:r w:rsidR="00A5110F">
        <w:t>r</w:t>
      </w:r>
      <w:r w:rsidRPr="007024D1">
        <w:t>eactions</w:t>
      </w:r>
      <w:bookmarkEnd w:id="127"/>
    </w:p>
    <w:p w:rsidR="00263E39" w:rsidRPr="007024D1" w:rsidRDefault="00263E39" w:rsidP="00A5110F">
      <w:r w:rsidRPr="007024D1">
        <w:t>In Study C13007 during the induction phase, infusion related reactions occurred in 3% of the subjects treated with vedolizumab and seven (5%) in the placebo group.</w:t>
      </w:r>
      <w:r w:rsidR="007E0E09">
        <w:t xml:space="preserve"> </w:t>
      </w:r>
      <w:r w:rsidRPr="007024D1">
        <w:t>During the maintenance phase, infusion related reactions occurred in 33 (4%) of the subjects treated with vedolizumab and 14 (5%) in the placebo group.</w:t>
      </w:r>
      <w:r w:rsidR="007E0E09">
        <w:t xml:space="preserve"> </w:t>
      </w:r>
    </w:p>
    <w:p w:rsidR="00263E39" w:rsidRPr="007024D1" w:rsidRDefault="00263E39" w:rsidP="00A5110F">
      <w:r w:rsidRPr="007024D1">
        <w:t>In Study C13011 infusion related reactions were reported in four (2%) subjects in the vedolizumab group and two in the placebo.</w:t>
      </w:r>
      <w:r w:rsidR="007E0E09">
        <w:t xml:space="preserve"> </w:t>
      </w:r>
      <w:r w:rsidRPr="007024D1">
        <w:t>In the vedolizumab group there was one report of urticaria and one</w:t>
      </w:r>
      <w:r w:rsidR="00F537E7">
        <w:t xml:space="preserve"> of generalis</w:t>
      </w:r>
      <w:r w:rsidRPr="007024D1">
        <w:t>ed rash.</w:t>
      </w:r>
    </w:p>
    <w:p w:rsidR="00263E39" w:rsidRPr="007024D1" w:rsidRDefault="00263E39" w:rsidP="00A5110F">
      <w:r w:rsidRPr="007024D1">
        <w:t>In Study C13006 in the induction phase infusion related TEAEs were reported in 17 (2%) subjects in the vedolizumab group and one (&lt;</w:t>
      </w:r>
      <w:r w:rsidR="003E3320">
        <w:t xml:space="preserve"> </w:t>
      </w:r>
      <w:r w:rsidRPr="007024D1">
        <w:t>1%) in the placebo.</w:t>
      </w:r>
      <w:r w:rsidR="007E0E09">
        <w:t xml:space="preserve"> </w:t>
      </w:r>
      <w:r w:rsidRPr="007024D1">
        <w:t>In the maintenance phase infusion related TEAEs were reported in 28 (5%) subjects in the vedolizumab group and three (1%) in the placebo.</w:t>
      </w:r>
      <w:r w:rsidR="007E0E09">
        <w:t xml:space="preserve"> </w:t>
      </w:r>
      <w:r w:rsidRPr="007024D1">
        <w:t>In Study C13004 infusion related reactions were reported in two subjects.</w:t>
      </w:r>
      <w:r w:rsidR="00E36AE0">
        <w:t xml:space="preserve"> </w:t>
      </w:r>
      <w:r w:rsidRPr="007024D1">
        <w:t>In Study C13008 infusion related TEAEs were reported in 82 (4%) subjects.</w:t>
      </w:r>
    </w:p>
    <w:p w:rsidR="004C67AA" w:rsidRDefault="004C67AA" w:rsidP="00A5110F">
      <w:pPr>
        <w:pStyle w:val="Heading4"/>
      </w:pPr>
      <w:proofErr w:type="spellStart"/>
      <w:r w:rsidRPr="00A5110F">
        <w:t>Postmarketing</w:t>
      </w:r>
      <w:proofErr w:type="spellEnd"/>
      <w:r w:rsidRPr="00605AD4">
        <w:t xml:space="preserve"> data</w:t>
      </w:r>
    </w:p>
    <w:p w:rsidR="00263E39" w:rsidRDefault="00263E39" w:rsidP="00A5110F">
      <w:r w:rsidRPr="00263E39">
        <w:t>No post-marketing data were included in the submission.</w:t>
      </w:r>
      <w:r w:rsidR="007E0E09">
        <w:t xml:space="preserve"> </w:t>
      </w:r>
    </w:p>
    <w:p w:rsidR="00F537E7" w:rsidRDefault="00F537E7" w:rsidP="00A5110F">
      <w:pPr>
        <w:pStyle w:val="Heading4"/>
      </w:pPr>
      <w:r w:rsidRPr="00A5110F">
        <w:t>Integrated</w:t>
      </w:r>
      <w:r>
        <w:t xml:space="preserve"> </w:t>
      </w:r>
      <w:r w:rsidRPr="00F537E7">
        <w:t xml:space="preserve">summary of safety </w:t>
      </w:r>
    </w:p>
    <w:p w:rsidR="00F537E7" w:rsidRPr="00F537E7" w:rsidRDefault="00F537E7" w:rsidP="00A5110F">
      <w:r>
        <w:t xml:space="preserve">The Integrated Summary of Safety </w:t>
      </w:r>
      <w:r w:rsidRPr="00F537E7">
        <w:t>indicated similar rates for vedolizumab and placebo for the more common TEA</w:t>
      </w:r>
      <w:r w:rsidR="00E36AE0">
        <w:t>Es in a pooled analysis of Studies</w:t>
      </w:r>
      <w:r w:rsidRPr="00F537E7">
        <w:t xml:space="preserve"> C13006 and C13007 (Table </w:t>
      </w:r>
      <w:r>
        <w:t>7</w:t>
      </w:r>
      <w:r w:rsidRPr="00F537E7">
        <w:t>).</w:t>
      </w:r>
    </w:p>
    <w:p w:rsidR="00F537E7" w:rsidRPr="00F537E7" w:rsidRDefault="00F537E7" w:rsidP="00A5110F">
      <w:pPr>
        <w:pStyle w:val="TableTitle"/>
      </w:pPr>
      <w:r w:rsidRPr="00F537E7">
        <w:lastRenderedPageBreak/>
        <w:t xml:space="preserve">Table </w:t>
      </w:r>
      <w:r>
        <w:t>7</w:t>
      </w:r>
      <w:r w:rsidRPr="00F537E7">
        <w:t>: Frequency and Incidence Density of A</w:t>
      </w:r>
      <w:r w:rsidR="00E36AE0">
        <w:t>Es Occurring</w:t>
      </w:r>
      <w:r w:rsidRPr="00F537E7">
        <w:t xml:space="preserve"> in ≥ 3% of Patients in the Combined Vedolizumab Group by Preferred Term – UC and CD Combined Induction/Maintenance Safety Population (C13006 and C13007)</w:t>
      </w:r>
    </w:p>
    <w:p w:rsidR="00F537E7" w:rsidRPr="00E36AE0" w:rsidRDefault="00F537E7" w:rsidP="00A5110F">
      <w:r w:rsidRPr="00F537E7">
        <w:rPr>
          <w:noProof/>
          <w:lang w:eastAsia="en-AU"/>
        </w:rPr>
        <w:drawing>
          <wp:inline distT="0" distB="0" distL="0" distR="0" wp14:anchorId="389357CB" wp14:editId="079BE41C">
            <wp:extent cx="4663035" cy="5749636"/>
            <wp:effectExtent l="0" t="0" r="4445" b="3810"/>
            <wp:docPr id="12" name="Picture 12" descr="Table 7: Frequency and Incidence Density of AEs Occurring in ≥ 3% of Patients in the Combined Vedolizumab Group by Preferred Term – UC and CD Combined Induction/Maintenance Safety Population (C13006 and C13007)" title="Tab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le 11: Frequency and Incidence Density of Adverse Events That Occurred in ≥ 3% of Patients in the Combined Vedolizumab Group by Preferred Term – UC and CD Combined Induction/Maintenance Safety Population (C13006 and C13007) (Integrated Summary of Safe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2505" cy="5748982"/>
                    </a:xfrm>
                    <a:prstGeom prst="rect">
                      <a:avLst/>
                    </a:prstGeom>
                    <a:noFill/>
                    <a:ln>
                      <a:noFill/>
                    </a:ln>
                  </pic:spPr>
                </pic:pic>
              </a:graphicData>
            </a:graphic>
          </wp:inline>
        </w:drawing>
      </w:r>
    </w:p>
    <w:p w:rsidR="004C67AA" w:rsidRPr="00605AD4" w:rsidRDefault="004C67AA" w:rsidP="00A5110F">
      <w:pPr>
        <w:pStyle w:val="Heading4"/>
      </w:pPr>
      <w:r w:rsidRPr="00A5110F">
        <w:t>Evaluator’s</w:t>
      </w:r>
      <w:r w:rsidRPr="00605AD4">
        <w:t xml:space="preserve"> </w:t>
      </w:r>
      <w:r w:rsidR="00F537E7">
        <w:t xml:space="preserve">summary and </w:t>
      </w:r>
      <w:r w:rsidRPr="00605AD4">
        <w:t>conclusions on safety</w:t>
      </w:r>
    </w:p>
    <w:p w:rsidR="00263E39" w:rsidRPr="007024D1" w:rsidRDefault="00263E39" w:rsidP="00A5110F">
      <w:r w:rsidRPr="007024D1">
        <w:t>Overall the pattern and frequency of AEs was similar for vedolizumab and placebo.</w:t>
      </w:r>
      <w:r w:rsidR="007E0E09">
        <w:t xml:space="preserve"> </w:t>
      </w:r>
      <w:r w:rsidRPr="007024D1">
        <w:t>The rate of AEs did not increase with dose, and there did not appear to be any specific AEs that were more common with increasing vedolizumab dose.</w:t>
      </w:r>
      <w:r w:rsidR="007E0E09">
        <w:t xml:space="preserve"> </w:t>
      </w:r>
      <w:r w:rsidRPr="007024D1">
        <w:t>Treatment related TEAEs also occurred at a similar frequency and pattern with vedolizumab and placebo.</w:t>
      </w:r>
    </w:p>
    <w:p w:rsidR="00263E39" w:rsidRPr="00817C72" w:rsidRDefault="00263E39" w:rsidP="00A5110F">
      <w:r w:rsidRPr="00817C72">
        <w:t>Deaths were uncommon and did not appear to be treatment related.</w:t>
      </w:r>
      <w:r w:rsidR="007E0E09">
        <w:t xml:space="preserve"> </w:t>
      </w:r>
      <w:r w:rsidRPr="00817C72">
        <w:t>SAEs were reported at a similar rate with vedolizumab and placebo, except for Study C13007 which had an excess of infection related SAEs in the vedolizumab group.</w:t>
      </w:r>
    </w:p>
    <w:p w:rsidR="00263E39" w:rsidRPr="00817C72" w:rsidRDefault="00F537E7" w:rsidP="00A5110F">
      <w:r>
        <w:t xml:space="preserve">Discontinuation due to </w:t>
      </w:r>
      <w:r w:rsidR="00263E39" w:rsidRPr="00817C72">
        <w:t>AE</w:t>
      </w:r>
      <w:r>
        <w:t>s</w:t>
      </w:r>
      <w:r w:rsidR="00263E39" w:rsidRPr="00817C72">
        <w:t xml:space="preserve"> </w:t>
      </w:r>
      <w:r>
        <w:t xml:space="preserve">(DAEs) </w:t>
      </w:r>
      <w:r w:rsidR="00263E39" w:rsidRPr="00817C72">
        <w:t>occurred at a similar rate for vedolizumab and placebo.</w:t>
      </w:r>
      <w:r w:rsidR="007E0E09">
        <w:t xml:space="preserve"> </w:t>
      </w:r>
      <w:r w:rsidR="00263E39" w:rsidRPr="00817C72">
        <w:t>Infections as a reason for DAE were more common in th</w:t>
      </w:r>
      <w:r w:rsidR="00C11D50">
        <w:t>e vedolizumab group</w:t>
      </w:r>
      <w:r w:rsidR="00263E39" w:rsidRPr="00817C72">
        <w:t xml:space="preserve"> but AEs relating to the underlying condition were more common as reasons for DAE in the placebo group.</w:t>
      </w:r>
    </w:p>
    <w:p w:rsidR="00263E39" w:rsidRPr="00817C72" w:rsidRDefault="00263E39" w:rsidP="00A5110F">
      <w:r w:rsidRPr="00817C72">
        <w:lastRenderedPageBreak/>
        <w:t xml:space="preserve">There appeared to be a slightly higher proportion of subjects with elevation of </w:t>
      </w:r>
      <w:r w:rsidR="00F537E7">
        <w:t xml:space="preserve">the liver enzymes </w:t>
      </w:r>
      <w:r w:rsidR="00F537E7" w:rsidRPr="00F537E7">
        <w:t>alanine aminotransferase</w:t>
      </w:r>
      <w:r w:rsidR="00F537E7">
        <w:t xml:space="preserve"> (</w:t>
      </w:r>
      <w:r w:rsidRPr="00817C72">
        <w:t>ALT</w:t>
      </w:r>
      <w:r w:rsidR="00F537E7">
        <w:t>)</w:t>
      </w:r>
      <w:r w:rsidRPr="00817C72">
        <w:t xml:space="preserve"> and </w:t>
      </w:r>
      <w:r w:rsidR="00F537E7" w:rsidRPr="00F537E7">
        <w:t>aspartate aminotransferase</w:t>
      </w:r>
      <w:r w:rsidR="00F537E7">
        <w:t xml:space="preserve"> (</w:t>
      </w:r>
      <w:r w:rsidRPr="00817C72">
        <w:t>AST</w:t>
      </w:r>
      <w:r w:rsidR="00F537E7">
        <w:t>)</w:t>
      </w:r>
      <w:r w:rsidRPr="00817C72">
        <w:t xml:space="preserve"> in the vedolizumab groups compared to placebo.</w:t>
      </w:r>
      <w:r w:rsidR="007E0E09">
        <w:t xml:space="preserve"> </w:t>
      </w:r>
      <w:r w:rsidRPr="00817C72">
        <w:t>This may require further analysis.</w:t>
      </w:r>
      <w:r w:rsidR="007E0E09">
        <w:t xml:space="preserve"> </w:t>
      </w:r>
      <w:r w:rsidRPr="00817C72">
        <w:t>It may represent a higher rate of infectious hepatitis with vedolizumab.</w:t>
      </w:r>
    </w:p>
    <w:p w:rsidR="00263E39" w:rsidRPr="00817C72" w:rsidRDefault="00263E39" w:rsidP="00A5110F">
      <w:r w:rsidRPr="00817C72">
        <w:t>There appeared to be a slightly higher proportion of subjects with elevation of amylase and lipase in the vedolizumab groups compared to placebo.</w:t>
      </w:r>
      <w:r w:rsidR="007E0E09">
        <w:t xml:space="preserve"> </w:t>
      </w:r>
      <w:r w:rsidRPr="00817C72">
        <w:t>This may require further analysis.</w:t>
      </w:r>
      <w:r w:rsidR="007E0E09">
        <w:t xml:space="preserve"> </w:t>
      </w:r>
      <w:r w:rsidRPr="00817C72">
        <w:t>It may represent a higher rate of infectious pancreatitis with vedolizumab.</w:t>
      </w:r>
    </w:p>
    <w:p w:rsidR="00263E39" w:rsidRPr="00817C72" w:rsidRDefault="00F537E7" w:rsidP="00A5110F">
      <w:r>
        <w:t>H</w:t>
      </w:r>
      <w:r w:rsidRPr="00F537E7">
        <w:t>uman anti-human antibodies</w:t>
      </w:r>
      <w:r>
        <w:t xml:space="preserve"> </w:t>
      </w:r>
      <w:r w:rsidR="00263E39" w:rsidRPr="00817C72">
        <w:t>develop in approximately 4% of subjects treated with vedolizumab over a 52 week period.</w:t>
      </w:r>
      <w:r w:rsidR="007E0E09">
        <w:t xml:space="preserve"> </w:t>
      </w:r>
      <w:r w:rsidR="00263E39" w:rsidRPr="00817C72">
        <w:t>HAHA appeared to be related to loss of efficacy but not to AEs.</w:t>
      </w:r>
      <w:r w:rsidR="007E0E09">
        <w:t xml:space="preserve"> </w:t>
      </w:r>
      <w:r w:rsidR="00263E39" w:rsidRPr="00817C72">
        <w:t xml:space="preserve">HAHA were more common with the earlier versions of </w:t>
      </w:r>
      <w:r w:rsidR="00410BA7" w:rsidRPr="00410BA7">
        <w:t>vedolizumab</w:t>
      </w:r>
      <w:r w:rsidR="00263E39" w:rsidRPr="00817C72">
        <w:t xml:space="preserve"> but less common with the version </w:t>
      </w:r>
      <w:r w:rsidR="00410BA7">
        <w:t xml:space="preserve">of </w:t>
      </w:r>
      <w:r w:rsidR="00263E39" w:rsidRPr="00817C72">
        <w:t>vedolizumab proposed for marketing.</w:t>
      </w:r>
    </w:p>
    <w:p w:rsidR="00263E39" w:rsidRPr="007024D1" w:rsidRDefault="00263E39" w:rsidP="00A5110F">
      <w:r w:rsidRPr="007024D1">
        <w:t>There was a slightly higher rate of infections in the vedolizumab groups compared to placebo, but the difference was not clinically significant.</w:t>
      </w:r>
      <w:r w:rsidR="007E0E09">
        <w:t xml:space="preserve"> </w:t>
      </w:r>
      <w:r w:rsidRPr="007024D1">
        <w:t xml:space="preserve">There was no apparent difference between vedolizumab and placebo in the rate of </w:t>
      </w:r>
      <w:r w:rsidR="00F537E7">
        <w:t xml:space="preserve">GI </w:t>
      </w:r>
      <w:r w:rsidRPr="007024D1">
        <w:t>AEs.</w:t>
      </w:r>
      <w:r w:rsidR="007E0E09">
        <w:t xml:space="preserve"> </w:t>
      </w:r>
      <w:r w:rsidRPr="007024D1">
        <w:t xml:space="preserve">There were similar rates of nervous system disorders with </w:t>
      </w:r>
      <w:proofErr w:type="spellStart"/>
      <w:r w:rsidRPr="007024D1">
        <w:t>vedolizumab</w:t>
      </w:r>
      <w:proofErr w:type="spellEnd"/>
      <w:r w:rsidRPr="007024D1">
        <w:t xml:space="preserve"> and placebo.</w:t>
      </w:r>
    </w:p>
    <w:p w:rsidR="00263E39" w:rsidRPr="007024D1" w:rsidRDefault="00263E39" w:rsidP="00A5110F">
      <w:r w:rsidRPr="007024D1">
        <w:t>Although no cases of PML were identified during the development program there were insufficient subjects treated for a sufficient duration to determine the risk for PML with vedolizumab.</w:t>
      </w:r>
    </w:p>
    <w:p w:rsidR="00263E39" w:rsidRPr="00817C72" w:rsidRDefault="00263E39" w:rsidP="00A5110F">
      <w:r w:rsidRPr="00817C72">
        <w:t>Infusion related reactions occurred at a higher rate with vedolizumab in the longer term studies.</w:t>
      </w:r>
      <w:r w:rsidR="007E0E09">
        <w:t xml:space="preserve"> </w:t>
      </w:r>
      <w:r w:rsidRPr="00817C72">
        <w:t>These appear to occur in 5% of subjects over one year.</w:t>
      </w:r>
    </w:p>
    <w:p w:rsidR="004C67AA" w:rsidRPr="00605AD4" w:rsidRDefault="004C67AA" w:rsidP="00A5110F">
      <w:pPr>
        <w:pStyle w:val="Heading3"/>
        <w:rPr>
          <w:rFonts w:eastAsia="Cambria"/>
        </w:rPr>
      </w:pPr>
      <w:bookmarkStart w:id="128" w:name="_Toc384807764"/>
      <w:bookmarkStart w:id="129" w:name="_Toc405974785"/>
      <w:r w:rsidRPr="00605AD4">
        <w:rPr>
          <w:rFonts w:eastAsia="Cambria"/>
        </w:rPr>
        <w:t xml:space="preserve">First </w:t>
      </w:r>
      <w:r w:rsidR="00A5110F">
        <w:rPr>
          <w:rFonts w:eastAsia="Cambria"/>
        </w:rPr>
        <w:t>r</w:t>
      </w:r>
      <w:r w:rsidRPr="00605AD4">
        <w:rPr>
          <w:rFonts w:eastAsia="Cambria"/>
        </w:rPr>
        <w:t xml:space="preserve">ound </w:t>
      </w:r>
      <w:r w:rsidR="00A5110F">
        <w:rPr>
          <w:rFonts w:eastAsia="Cambria"/>
        </w:rPr>
        <w:t>b</w:t>
      </w:r>
      <w:r w:rsidRPr="00605AD4">
        <w:rPr>
          <w:rFonts w:eastAsia="Cambria"/>
        </w:rPr>
        <w:t>enefit-</w:t>
      </w:r>
      <w:r w:rsidR="00A5110F">
        <w:rPr>
          <w:rFonts w:eastAsia="Cambria"/>
        </w:rPr>
        <w:t>r</w:t>
      </w:r>
      <w:r w:rsidRPr="00605AD4">
        <w:rPr>
          <w:rFonts w:eastAsia="Cambria"/>
        </w:rPr>
        <w:t xml:space="preserve">isk </w:t>
      </w:r>
      <w:r w:rsidR="00A5110F" w:rsidRPr="00A5110F">
        <w:rPr>
          <w:rFonts w:eastAsia="Cambria"/>
        </w:rPr>
        <w:t>a</w:t>
      </w:r>
      <w:r w:rsidRPr="00A5110F">
        <w:rPr>
          <w:rFonts w:eastAsia="Cambria"/>
        </w:rPr>
        <w:t>ssessment</w:t>
      </w:r>
      <w:bookmarkEnd w:id="128"/>
      <w:bookmarkEnd w:id="129"/>
    </w:p>
    <w:p w:rsidR="004C67AA" w:rsidRDefault="004C67AA" w:rsidP="00A5110F">
      <w:pPr>
        <w:pStyle w:val="Heading4"/>
      </w:pPr>
      <w:r w:rsidRPr="00605AD4">
        <w:t xml:space="preserve">First round </w:t>
      </w:r>
      <w:r w:rsidRPr="00A5110F">
        <w:t>assessment</w:t>
      </w:r>
      <w:r w:rsidRPr="00605AD4">
        <w:t xml:space="preserve"> of benefits</w:t>
      </w:r>
    </w:p>
    <w:p w:rsidR="002F27B6" w:rsidRPr="007024D1" w:rsidRDefault="002F27B6" w:rsidP="00A5110F">
      <w:pPr>
        <w:pStyle w:val="Heading5"/>
      </w:pPr>
      <w:bookmarkStart w:id="130" w:name="_Toc380688171"/>
      <w:r w:rsidRPr="007024D1">
        <w:t xml:space="preserve">Benefits in </w:t>
      </w:r>
      <w:proofErr w:type="spellStart"/>
      <w:r w:rsidRPr="007024D1">
        <w:t>C</w:t>
      </w:r>
      <w:r w:rsidR="00393F82">
        <w:t>rohn’s</w:t>
      </w:r>
      <w:proofErr w:type="spellEnd"/>
      <w:r w:rsidR="00393F82">
        <w:t xml:space="preserve"> </w:t>
      </w:r>
      <w:bookmarkEnd w:id="130"/>
      <w:r w:rsidR="00A47C59" w:rsidRPr="00A5110F">
        <w:t>d</w:t>
      </w:r>
      <w:r w:rsidR="00393F82" w:rsidRPr="00A5110F">
        <w:t>isease</w:t>
      </w:r>
    </w:p>
    <w:p w:rsidR="002F27B6" w:rsidRPr="00817C72" w:rsidRDefault="002F27B6" w:rsidP="00A5110F">
      <w:r w:rsidRPr="00817C72">
        <w:t>Efficacy was demonstrated for induction of remission for subjects with moderate to severe CD for the 300 mg dose level of vedolizumab.</w:t>
      </w:r>
      <w:r w:rsidR="007E0E09">
        <w:t xml:space="preserve"> </w:t>
      </w:r>
      <w:r w:rsidRPr="00817C72">
        <w:t>In Study C13007, at Week 6 there were significantly more subjects in the vedolizumab group achieving clinical remission but not enhanced clinical response.</w:t>
      </w:r>
      <w:r w:rsidR="007E0E09">
        <w:t xml:space="preserve"> </w:t>
      </w:r>
      <w:r w:rsidRPr="00817C72">
        <w:t>Clinical remission was achieved by 32 (14.5%) subjects in the vedolizumab group and 10 (6.8%) in the placebo, RR (95% CI) 2.1 (1.1 to 4.2), p = 0.0206.</w:t>
      </w:r>
      <w:r w:rsidR="007E0E09">
        <w:t xml:space="preserve"> </w:t>
      </w:r>
      <w:r w:rsidRPr="00817C72">
        <w:t>Enhanced clinical response was achieved by 69 (31.4%) subjects in the vedolizumab group and 38 (25.7%) in the placebo, RR (95% CI) 1.2 (0.9 to 1.7), p = 0.2322.</w:t>
      </w:r>
      <w:r w:rsidR="007E0E09">
        <w:t xml:space="preserve"> </w:t>
      </w:r>
      <w:r w:rsidR="00C11D50" w:rsidRPr="00C11D50">
        <w:t xml:space="preserve">The clinical response was less effective </w:t>
      </w:r>
      <w:r w:rsidRPr="00817C72">
        <w:t>in subjects with greater disease severity (CDAI &gt;</w:t>
      </w:r>
      <w:r w:rsidR="00806C0B">
        <w:t xml:space="preserve"> </w:t>
      </w:r>
      <w:r w:rsidR="00A5110F">
        <w:t>330).</w:t>
      </w:r>
    </w:p>
    <w:p w:rsidR="002F27B6" w:rsidRPr="007024D1" w:rsidRDefault="002F27B6" w:rsidP="00A5110F">
      <w:r w:rsidRPr="007024D1">
        <w:t>Efficacy at Week 10 was better demonstrated than for Week 6.</w:t>
      </w:r>
      <w:r w:rsidR="007E0E09">
        <w:t xml:space="preserve"> </w:t>
      </w:r>
      <w:r w:rsidR="00806C0B">
        <w:t>This supports the s</w:t>
      </w:r>
      <w:r w:rsidRPr="007024D1">
        <w:t xml:space="preserve">ponsor’s proposed regimen for induction of remission, </w:t>
      </w:r>
      <w:r w:rsidR="00806C0B">
        <w:t xml:space="preserve">that is, </w:t>
      </w:r>
      <w:r w:rsidRPr="007024D1">
        <w:t xml:space="preserve">300 mg administered by </w:t>
      </w:r>
      <w:r w:rsidR="00806C0B">
        <w:t xml:space="preserve">IV </w:t>
      </w:r>
      <w:r w:rsidRPr="007024D1">
        <w:t xml:space="preserve">infusion at </w:t>
      </w:r>
      <w:r w:rsidR="00530CFF">
        <w:t>0</w:t>
      </w:r>
      <w:r w:rsidRPr="007024D1">
        <w:t xml:space="preserve">, </w:t>
      </w:r>
      <w:r w:rsidR="00530CFF">
        <w:t xml:space="preserve">2 </w:t>
      </w:r>
      <w:r w:rsidRPr="007024D1">
        <w:t xml:space="preserve">and </w:t>
      </w:r>
      <w:r w:rsidR="00530CFF">
        <w:t xml:space="preserve">6 </w:t>
      </w:r>
      <w:r w:rsidRPr="007024D1">
        <w:t xml:space="preserve">weeks and then every </w:t>
      </w:r>
      <w:r w:rsidR="00530CFF">
        <w:t xml:space="preserve">8 </w:t>
      </w:r>
      <w:r w:rsidRPr="007024D1">
        <w:t>weeks thereafter.</w:t>
      </w:r>
      <w:r w:rsidR="007E0E09">
        <w:t xml:space="preserve"> </w:t>
      </w:r>
      <w:r w:rsidRPr="007024D1">
        <w:t>In Study C13011, the proportion of subjects in clinical remission at Week 10 was greater for vedolizumab in the TNFα Antagonist Failure ITT Subpopulation and in the Overall ITT Population.</w:t>
      </w:r>
      <w:r w:rsidR="007E0E09">
        <w:t xml:space="preserve"> </w:t>
      </w:r>
      <w:r w:rsidRPr="007024D1">
        <w:t>For the TNFα Antagon</w:t>
      </w:r>
      <w:r w:rsidR="00806C0B">
        <w:t>ist Failure ITT subpopulation, c</w:t>
      </w:r>
      <w:r w:rsidRPr="007024D1">
        <w:t>linical remission at Week 10 was reported for 42 (26.6%) subjects in the vedolizumab group and 19 (12.1%) in the placebo, RR (95% CI) 2.2 (1.3 to 3.6), p = 0.0012; and for the Overall ITT population 60 (28.7%) subjects in the vedolizumab group and 27 (13.0%) in the placebo, RR (95% CI) 2.2 (1.4 to 3.3), p &lt;</w:t>
      </w:r>
      <w:r w:rsidR="00FF718F">
        <w:t> </w:t>
      </w:r>
      <w:r w:rsidRPr="007024D1">
        <w:t>0.0001.</w:t>
      </w:r>
    </w:p>
    <w:p w:rsidR="002F27B6" w:rsidRPr="007024D1" w:rsidRDefault="002F27B6" w:rsidP="00A5110F">
      <w:r w:rsidRPr="007024D1">
        <w:t>In Study C13007, at Week 6 clinical remission rates were lower for both placebo and vedolizumab in subjects with prior TNFα antagonist failure.</w:t>
      </w:r>
      <w:r w:rsidR="007E0E09">
        <w:t xml:space="preserve"> </w:t>
      </w:r>
      <w:r w:rsidRPr="007024D1">
        <w:t>In those subjects with intolerance or lack of response to TNFα inhibitors there was a significant benefit for vedolizumab.</w:t>
      </w:r>
      <w:r w:rsidR="007E0E09">
        <w:t xml:space="preserve"> </w:t>
      </w:r>
      <w:r w:rsidRPr="007024D1">
        <w:t>However, in subjects that had previously lost response to TNFα antagonist treatment, there did not appear to be efficacy for vedolizumab.</w:t>
      </w:r>
      <w:r w:rsidR="007E0E09">
        <w:t xml:space="preserve"> </w:t>
      </w:r>
      <w:r w:rsidRPr="007024D1">
        <w:t xml:space="preserve">In Study C13011, in the population of subjects with previous TNFα antagonist treatment failure there was no </w:t>
      </w:r>
      <w:r w:rsidRPr="007024D1">
        <w:lastRenderedPageBreak/>
        <w:t>significant difference in efficacy between vedolizumab and placebo.</w:t>
      </w:r>
      <w:r w:rsidR="007E0E09">
        <w:t xml:space="preserve"> </w:t>
      </w:r>
      <w:r w:rsidRPr="007024D1">
        <w:t>Hence, in subjects that had initially responded to TNFα antagonists, and subsequently lost response, treatment with vedolizumab may not be justified.</w:t>
      </w:r>
    </w:p>
    <w:p w:rsidR="002F27B6" w:rsidRPr="007024D1" w:rsidRDefault="002F27B6" w:rsidP="00A5110F">
      <w:r w:rsidRPr="007024D1">
        <w:t>In both Study C13007 and Study C13011, clinical remission rates were higher for vedolizumab in subjects with concomitant corticosteroid treatment.</w:t>
      </w:r>
      <w:r w:rsidR="007E0E09">
        <w:t xml:space="preserve"> </w:t>
      </w:r>
      <w:r w:rsidRPr="007024D1">
        <w:t>However, clinical remission rates were not affected by concomitant immunomodulator use.</w:t>
      </w:r>
    </w:p>
    <w:p w:rsidR="002F27B6" w:rsidRPr="007024D1" w:rsidRDefault="002F27B6" w:rsidP="00A5110F">
      <w:r w:rsidRPr="007024D1">
        <w:t>The pooled analysis of efficacy of data from Study L299-016, Study C13007 and Study C13011 indicated a mean (95% CI) difference, vedolizumab-placebo in remission rate of 7.4 (2.6 to 12.2) %, p = 0.0027.</w:t>
      </w:r>
    </w:p>
    <w:p w:rsidR="002F27B6" w:rsidRPr="007024D1" w:rsidRDefault="002F27B6" w:rsidP="00A5110F">
      <w:r w:rsidRPr="007024D1">
        <w:t>Maintenance of remission was demonstrated for up to 52 weeks.</w:t>
      </w:r>
      <w:r w:rsidR="007E0E09">
        <w:t xml:space="preserve"> </w:t>
      </w:r>
      <w:r w:rsidRPr="007024D1">
        <w:t>Clinical remission was achieved by 60 (39.0%) subjects in the vedolizumab group 8 weekly group (RR [95% CI] 1.8 [1.3 to 2.6], p = 0.0007), 56 (36.4%) in the 4 weekly (RR</w:t>
      </w:r>
      <w:r w:rsidR="00505FB0">
        <w:t xml:space="preserve"> [95% CI] 1.7 [1.2 to 2.4], p = </w:t>
      </w:r>
      <w:r w:rsidRPr="007024D1">
        <w:t>0.0042), and 33 (21.6%) in the placebo.</w:t>
      </w:r>
    </w:p>
    <w:p w:rsidR="002F27B6" w:rsidRPr="007024D1" w:rsidRDefault="002F27B6" w:rsidP="00A5110F">
      <w:r w:rsidRPr="007024D1">
        <w:t>The secondary efficacy outcome measures were supportive of the primary efficacy outcome measures.</w:t>
      </w:r>
    </w:p>
    <w:p w:rsidR="002F27B6" w:rsidRPr="007024D1" w:rsidRDefault="002F27B6" w:rsidP="00A5110F">
      <w:r w:rsidRPr="007024D1">
        <w:t xml:space="preserve">There was little difference in efficacy between the 4 weekly administration </w:t>
      </w:r>
      <w:proofErr w:type="gramStart"/>
      <w:r w:rsidRPr="007024D1">
        <w:t>regimen</w:t>
      </w:r>
      <w:proofErr w:type="gramEnd"/>
      <w:r w:rsidRPr="007024D1">
        <w:t xml:space="preserve"> for maintenance and the 8 weekly regimen.</w:t>
      </w:r>
      <w:r w:rsidR="007E0E09">
        <w:t xml:space="preserve"> </w:t>
      </w:r>
      <w:r w:rsidRPr="007024D1">
        <w:t>Hence the recommendation to increase dosing frequency from 8 weekly to 4 weekly in patients who do not respond requires further justification.</w:t>
      </w:r>
    </w:p>
    <w:p w:rsidR="002F27B6" w:rsidRPr="007024D1" w:rsidRDefault="002F27B6" w:rsidP="00A5110F">
      <w:r w:rsidRPr="007024D1">
        <w:t>The choice of a 14 week time period from initiation of treatment to determine response, and therefore initiation of maintenance treatment, does make sense given the proposed dosing regimen.</w:t>
      </w:r>
      <w:r w:rsidR="007E0E09">
        <w:t xml:space="preserve"> </w:t>
      </w:r>
      <w:r w:rsidRPr="007024D1">
        <w:t>Were there a 10 week assessment, patients would be making an additional visit to their health provider that would not influence the likelihood of ongoing treatment.</w:t>
      </w:r>
    </w:p>
    <w:p w:rsidR="002F27B6" w:rsidRPr="007024D1" w:rsidRDefault="002F27B6" w:rsidP="00A5110F">
      <w:r w:rsidRPr="007024D1">
        <w:t>There were too few subjects that were positive for HAHA to make meaningful conclusions about the effect of HAHA on efficacy.</w:t>
      </w:r>
    </w:p>
    <w:p w:rsidR="002F27B6" w:rsidRPr="007024D1" w:rsidRDefault="002F27B6" w:rsidP="00A5110F">
      <w:r w:rsidRPr="007024D1">
        <w:t>There were no comparator controlled studies conducted in subjects with CD.</w:t>
      </w:r>
      <w:r w:rsidR="007E0E09">
        <w:t xml:space="preserve"> </w:t>
      </w:r>
      <w:r w:rsidRPr="007024D1">
        <w:t xml:space="preserve">Hence the studies did not comply with </w:t>
      </w:r>
      <w:r w:rsidR="00A47C59" w:rsidRPr="00A47C59">
        <w:t xml:space="preserve">CHMP </w:t>
      </w:r>
      <w:r w:rsidR="00A47C59" w:rsidRPr="00A47C59">
        <w:rPr>
          <w:i/>
        </w:rPr>
        <w:t>Guideline on the Development of New Medicinal Products for the Treatment of Crohn’s Disease</w:t>
      </w:r>
      <w:r w:rsidR="00A47C59" w:rsidRPr="00A47C59">
        <w:t xml:space="preserve"> (CPMP/EWP/2284/99 Rev. 1</w:t>
      </w:r>
      <w:r w:rsidR="00A47C59">
        <w:t xml:space="preserve">) </w:t>
      </w:r>
      <w:r w:rsidRPr="007024D1">
        <w:t>for first line or single agent therapy, but did comply with guidance for second line and add-on therapy.</w:t>
      </w:r>
      <w:r w:rsidR="007E0E09">
        <w:t xml:space="preserve"> </w:t>
      </w:r>
      <w:r w:rsidRPr="007024D1">
        <w:t>The clinical endpoints and inclusion criteria did comply with CHMP guidance.</w:t>
      </w:r>
      <w:r w:rsidR="007E0E09">
        <w:t xml:space="preserve"> </w:t>
      </w:r>
      <w:r w:rsidRPr="007024D1">
        <w:t>Duration of assessment was sufficient for demonstration of maintenance of remission.</w:t>
      </w:r>
      <w:r w:rsidR="007E0E09">
        <w:t xml:space="preserve"> </w:t>
      </w:r>
      <w:r w:rsidRPr="007024D1">
        <w:t>The inclusion and exclusion criteria for the study populations in the pivotal studies were consistent with the indication sought.</w:t>
      </w:r>
    </w:p>
    <w:p w:rsidR="002F27B6" w:rsidRPr="007024D1" w:rsidRDefault="002F27B6" w:rsidP="00A5110F">
      <w:pPr>
        <w:pStyle w:val="Heading5"/>
      </w:pPr>
      <w:bookmarkStart w:id="131" w:name="_Toc380688172"/>
      <w:r w:rsidRPr="007024D1">
        <w:t xml:space="preserve">Benefits in </w:t>
      </w:r>
      <w:r w:rsidR="00A47C59" w:rsidRPr="00A5110F">
        <w:t>ulcerative</w:t>
      </w:r>
      <w:r w:rsidR="00A47C59">
        <w:t xml:space="preserve"> colitis </w:t>
      </w:r>
      <w:bookmarkEnd w:id="131"/>
    </w:p>
    <w:p w:rsidR="002F27B6" w:rsidRPr="00817C72" w:rsidRDefault="002F27B6" w:rsidP="00A5110F">
      <w:r w:rsidRPr="00817C72">
        <w:t>Efficacy was demonstrated for induction of clinical response and maintenance of remission in subjects with moderate to severe UC.</w:t>
      </w:r>
      <w:r w:rsidR="007E0E09">
        <w:t xml:space="preserve"> </w:t>
      </w:r>
      <w:r w:rsidRPr="00817C72">
        <w:t>The treatment benefit was clinically significant.</w:t>
      </w:r>
      <w:r w:rsidR="007E0E09">
        <w:t xml:space="preserve"> </w:t>
      </w:r>
      <w:r w:rsidRPr="00817C72">
        <w:t>At Week 6 there were significantly more subjects in the vedolizumab group achieving clinical response.</w:t>
      </w:r>
      <w:r w:rsidR="007E0E09">
        <w:t xml:space="preserve"> </w:t>
      </w:r>
      <w:r w:rsidRPr="00817C72">
        <w:t>Clinical response was achieved by 106 (47.1%) subjects in the vedolizumab group and 38 (25.5%) in the placebo</w:t>
      </w:r>
      <w:r w:rsidR="00A47C59">
        <w:t xml:space="preserve"> group</w:t>
      </w:r>
      <w:r w:rsidRPr="00817C72">
        <w:t xml:space="preserve">, </w:t>
      </w:r>
      <w:r w:rsidR="00A47C59">
        <w:t>RR (95% CI) 1.8 (1.4 to 2.5), p </w:t>
      </w:r>
      <w:r w:rsidRPr="00817C72">
        <w:t>&lt;</w:t>
      </w:r>
      <w:r w:rsidR="00A47C59">
        <w:t> </w:t>
      </w:r>
      <w:r w:rsidRPr="00817C72">
        <w:t>0.0001.</w:t>
      </w:r>
      <w:r w:rsidR="007E0E09">
        <w:t xml:space="preserve"> </w:t>
      </w:r>
      <w:r w:rsidRPr="00817C72">
        <w:t>At Week 52 there were significantly more subjects in both of the vedolizumab groups achieving clinical remission.</w:t>
      </w:r>
      <w:r w:rsidR="007E0E09">
        <w:t xml:space="preserve"> </w:t>
      </w:r>
      <w:r w:rsidRPr="00817C72">
        <w:t>Clinical remission was achieved by 51 (41.8%) subjects in the vedolizumab group 8 weekly group (</w:t>
      </w:r>
      <w:r w:rsidR="00A47C59">
        <w:t>RR [95% CI] 2.7 [1.7 to 4.2], p </w:t>
      </w:r>
      <w:r w:rsidRPr="00817C72">
        <w:t>&lt;</w:t>
      </w:r>
      <w:r w:rsidR="00A47C59">
        <w:t> </w:t>
      </w:r>
      <w:r w:rsidRPr="00817C72">
        <w:t>0.0001), 56 (44.8%) in the 4 weekly (RR [95% CI] 2.8 [1.8 to 4.4], p &lt;</w:t>
      </w:r>
      <w:r w:rsidR="00FF718F">
        <w:t xml:space="preserve"> </w:t>
      </w:r>
      <w:r w:rsidRPr="00817C72">
        <w:t>0.0001), and 20 (15.9%) in the placebo</w:t>
      </w:r>
      <w:r w:rsidR="00A47C59">
        <w:t xml:space="preserve"> group</w:t>
      </w:r>
      <w:r w:rsidRPr="00817C72">
        <w:t>.</w:t>
      </w:r>
    </w:p>
    <w:p w:rsidR="002F27B6" w:rsidRPr="00817C72" w:rsidRDefault="002F27B6" w:rsidP="00A5110F">
      <w:r w:rsidRPr="00817C72">
        <w:t>The secondary efficacy outcome measures were supportive of the primary analyses.</w:t>
      </w:r>
    </w:p>
    <w:p w:rsidR="002F27B6" w:rsidRPr="00817C72" w:rsidRDefault="002F27B6" w:rsidP="002F27B6">
      <w:r w:rsidRPr="00817C72">
        <w:t xml:space="preserve">Although the primary efficacy outcome measure for Study C13006 was clinical response, the study did show significant benefit for clinical remission (a secondary efficacy outcome </w:t>
      </w:r>
      <w:r w:rsidRPr="00817C72">
        <w:lastRenderedPageBreak/>
        <w:t>measure).</w:t>
      </w:r>
      <w:r w:rsidR="007E0E09">
        <w:t xml:space="preserve"> </w:t>
      </w:r>
      <w:r w:rsidR="00A47C59">
        <w:t>In the opinion of the e</w:t>
      </w:r>
      <w:r w:rsidRPr="00817C72">
        <w:t>valuator, this justifies the inclusion of clinical remission in the indication.</w:t>
      </w:r>
    </w:p>
    <w:p w:rsidR="002F27B6" w:rsidRPr="00817C72" w:rsidRDefault="002F27B6" w:rsidP="00A627E3">
      <w:r w:rsidRPr="00817C72">
        <w:t>A higher proportion of subjects were able to discontinue oral corticosteroids with vedolizumab.</w:t>
      </w:r>
      <w:r w:rsidR="007E0E09">
        <w:t xml:space="preserve"> </w:t>
      </w:r>
      <w:r w:rsidRPr="00817C72">
        <w:t>This was significantly greater than placeb</w:t>
      </w:r>
      <w:r w:rsidR="00A47C59">
        <w:t>o for both vedolizumab regimens</w:t>
      </w:r>
      <w:r w:rsidRPr="00817C72">
        <w:t xml:space="preserve"> but there was a greater, though not statistically significant, proportion of subjects able to discontinue oral corticosteroids in the 4 weekly regimen than the 8 weekly.</w:t>
      </w:r>
      <w:r w:rsidR="007E0E09">
        <w:t xml:space="preserve"> </w:t>
      </w:r>
      <w:r w:rsidRPr="00817C72">
        <w:t>The proportion of subjects using oral corticosteroids at baseline (Week 0) who discontinued corticosteroids and were in clinical remission at Week 52 was 33 (45.2%) subjects in the vedolizumab 4 weekly group (p = 0.0120 compared to placebo), 22 (31.4%) in the 8 weekly (p &lt;</w:t>
      </w:r>
      <w:r w:rsidR="00FF718F">
        <w:t xml:space="preserve"> </w:t>
      </w:r>
      <w:r w:rsidRPr="00817C72">
        <w:t>0.0001) and 10 (13.9%) in the placebo</w:t>
      </w:r>
      <w:r w:rsidR="00A47C59">
        <w:t xml:space="preserve"> group</w:t>
      </w:r>
      <w:r w:rsidRPr="00817C72">
        <w:t>.</w:t>
      </w:r>
      <w:r w:rsidR="007E0E09">
        <w:t xml:space="preserve"> </w:t>
      </w:r>
      <w:r w:rsidRPr="00817C72">
        <w:t>The mean (SE) change in oral corticosteroid use was -9.5 (1.46) mg/day for vedolizumab 8 weekly, -11.6 (1.33) mg/day for 4 weekly and -4.6 (1.49) mg/day for placebo.</w:t>
      </w:r>
      <w:r w:rsidR="007E0E09">
        <w:t xml:space="preserve"> </w:t>
      </w:r>
      <w:r w:rsidRPr="00817C72">
        <w:t>The adjusted mean (95% CI) differenc</w:t>
      </w:r>
      <w:r w:rsidR="00A47C59">
        <w:t>e compared with placebo was: m</w:t>
      </w:r>
      <w:r w:rsidRPr="00817C72">
        <w:t>ean (SE) -4.7 (-7.9 to -1.4) mg/day for vedolizumab 8 weekly and -7.1 (-10.3 to -3.8) mg/day for 4 weekly.</w:t>
      </w:r>
      <w:r w:rsidR="007E0E09">
        <w:t xml:space="preserve"> </w:t>
      </w:r>
      <w:r w:rsidRPr="00817C72">
        <w:t xml:space="preserve">The proportion of patients at Week 52 who are in clinical remission and have been corticosteroid-free for 180 days was greatest for the vedolizumab 4 weekly </w:t>
      </w:r>
      <w:proofErr w:type="gramStart"/>
      <w:r w:rsidRPr="00817C72">
        <w:t>group</w:t>
      </w:r>
      <w:proofErr w:type="gramEnd"/>
      <w:r w:rsidRPr="00817C72">
        <w:t>: 42.5% for 4 weekly, 28.6% for 8 weekly and 11.1% for placebo.</w:t>
      </w:r>
    </w:p>
    <w:p w:rsidR="002F27B6" w:rsidRPr="00817C72" w:rsidRDefault="002F27B6" w:rsidP="00A627E3">
      <w:r w:rsidRPr="00817C72">
        <w:t>When comparing key endpoints in the subgroup of patients with previous exposure to TNFα antagonist therapy and in the subgroup of patients defined as having failed TNFα antagonist therapy, there was better response in the vedolizumab treated groups compared with placebo, but for all groups there was better response in those subjects that had not previously failed TNFα antagonist treatments.</w:t>
      </w:r>
      <w:r w:rsidR="007E0E09">
        <w:t xml:space="preserve"> </w:t>
      </w:r>
      <w:r w:rsidRPr="00817C72">
        <w:t>However, efficacy was still demonstrated in the subgroup of patients that had failed previous TNFα antagonist treatment, therefore vedolizumab treatment is justified in this subgroup.</w:t>
      </w:r>
    </w:p>
    <w:p w:rsidR="002F27B6" w:rsidRPr="00817C72" w:rsidRDefault="002F27B6" w:rsidP="00A627E3">
      <w:r w:rsidRPr="00817C72">
        <w:t>For key endpoints in the subgroups of patients on concomitant therapies, responses were better for subjects without concomitant immunomodulator use for all treatment groups, but treatment effect for vedolizumab was preserved.</w:t>
      </w:r>
      <w:r w:rsidR="007E0E09">
        <w:t xml:space="preserve"> </w:t>
      </w:r>
      <w:r w:rsidRPr="00817C72">
        <w:t>Concomitant corticosteroid use did not affect response.</w:t>
      </w:r>
    </w:p>
    <w:p w:rsidR="002F27B6" w:rsidRPr="00817C72" w:rsidRDefault="002F27B6" w:rsidP="00A627E3">
      <w:r w:rsidRPr="00817C72">
        <w:t>The results supported decreased resource utilisation and improved quality of life with both vedolizumab regimens.</w:t>
      </w:r>
    </w:p>
    <w:p w:rsidR="002F27B6" w:rsidRPr="007024D1" w:rsidRDefault="002F27B6" w:rsidP="00A627E3">
      <w:r w:rsidRPr="007024D1">
        <w:t xml:space="preserve">There was little difference in efficacy between the 4 weekly administration </w:t>
      </w:r>
      <w:proofErr w:type="gramStart"/>
      <w:r w:rsidRPr="007024D1">
        <w:t>regimen</w:t>
      </w:r>
      <w:proofErr w:type="gramEnd"/>
      <w:r w:rsidRPr="007024D1">
        <w:t xml:space="preserve"> for maintenance and the 8 weekly regimen.</w:t>
      </w:r>
      <w:r w:rsidR="007E0E09">
        <w:t xml:space="preserve"> </w:t>
      </w:r>
      <w:r w:rsidRPr="007024D1">
        <w:t>Hence the recommendation to increase dosing frequency from 8 weekly to 4 weekly in patients who do not respond requires further justification.</w:t>
      </w:r>
    </w:p>
    <w:p w:rsidR="002F27B6" w:rsidRPr="007024D1" w:rsidRDefault="002F27B6" w:rsidP="00A627E3">
      <w:r w:rsidRPr="007024D1">
        <w:t>The choice of a 14 week time period from initiation of treatment to determine response, and therefore initiation of maintenance treatment, does make sense given the proposed dosing regimen.</w:t>
      </w:r>
      <w:r w:rsidR="007E0E09">
        <w:t xml:space="preserve"> </w:t>
      </w:r>
      <w:r w:rsidRPr="007024D1">
        <w:t>Were there a 10 week assessment, patients would be making an additional visit to their health provider that would not influence the likelihood of ongoing treatment.</w:t>
      </w:r>
    </w:p>
    <w:p w:rsidR="002F27B6" w:rsidRPr="007024D1" w:rsidRDefault="002F27B6" w:rsidP="00A627E3">
      <w:r w:rsidRPr="007024D1">
        <w:t>There were too few subjects that were positive for HAHA to make meaningful conclusions about the effect of HAHA on efficacy.</w:t>
      </w:r>
    </w:p>
    <w:p w:rsidR="002F27B6" w:rsidRPr="007024D1" w:rsidRDefault="002F27B6" w:rsidP="00A627E3">
      <w:r w:rsidRPr="007024D1">
        <w:t>There were no comparator controlled studies conducted in subjects with UC.</w:t>
      </w:r>
      <w:r w:rsidR="007E0E09">
        <w:t xml:space="preserve"> </w:t>
      </w:r>
      <w:r w:rsidRPr="007024D1">
        <w:t xml:space="preserve">Hence the studies did not comply with </w:t>
      </w:r>
      <w:r w:rsidR="00A47C59" w:rsidRPr="00A47C59">
        <w:t xml:space="preserve">CHMP </w:t>
      </w:r>
      <w:r w:rsidR="00A47C59" w:rsidRPr="00505FB0">
        <w:rPr>
          <w:i/>
        </w:rPr>
        <w:t>Guideline on the Development of New Medicinal Products for Ulcerative Colitis</w:t>
      </w:r>
      <w:r w:rsidR="00A47C59" w:rsidRPr="00A47C59">
        <w:t xml:space="preserve"> (CHMP/EWP/18463/2006</w:t>
      </w:r>
      <w:r w:rsidR="00A47C59">
        <w:t xml:space="preserve">) </w:t>
      </w:r>
      <w:r w:rsidRPr="007024D1">
        <w:t>for first line or single agent therapy, but did comply with guidance for second line and add-on therapy.</w:t>
      </w:r>
      <w:r w:rsidR="007E0E09">
        <w:t xml:space="preserve"> </w:t>
      </w:r>
      <w:r w:rsidRPr="007024D1">
        <w:t>The clinical endpoints and inclusion criteria did comply with CHMP guidance.</w:t>
      </w:r>
      <w:r w:rsidR="007E0E09">
        <w:t xml:space="preserve"> </w:t>
      </w:r>
      <w:r w:rsidRPr="007024D1">
        <w:t>Duration of assessment was sufficient for demonstration of maintenance of remission.</w:t>
      </w:r>
      <w:r w:rsidR="007E0E09">
        <w:t xml:space="preserve"> </w:t>
      </w:r>
      <w:r w:rsidRPr="007024D1">
        <w:t>The inclusion and exclusion criteria for the study populations in the pivotal study were consistent with the indication sought.</w:t>
      </w:r>
    </w:p>
    <w:p w:rsidR="004C67AA" w:rsidRDefault="004C67AA" w:rsidP="00A627E3">
      <w:pPr>
        <w:pStyle w:val="Heading4"/>
      </w:pPr>
      <w:r w:rsidRPr="00605AD4">
        <w:lastRenderedPageBreak/>
        <w:t xml:space="preserve">First round </w:t>
      </w:r>
      <w:r w:rsidRPr="00A627E3">
        <w:t>assessment</w:t>
      </w:r>
      <w:r w:rsidRPr="00605AD4">
        <w:t xml:space="preserve"> of risks</w:t>
      </w:r>
    </w:p>
    <w:p w:rsidR="002F27B6" w:rsidRPr="00817C72" w:rsidRDefault="002F27B6" w:rsidP="00A627E3">
      <w:r w:rsidRPr="00817C72">
        <w:t>Overall the pattern and frequency of AEs was similar for vedolizumab and placebo.</w:t>
      </w:r>
      <w:r w:rsidR="007E0E09">
        <w:t xml:space="preserve"> </w:t>
      </w:r>
      <w:r w:rsidRPr="00817C72">
        <w:t>The rate of AEs did not increase with dose and there did not appear to be any specific AEs that were more common with increasing vedolizumab dose.</w:t>
      </w:r>
      <w:r w:rsidR="007E0E09">
        <w:t xml:space="preserve"> </w:t>
      </w:r>
      <w:r w:rsidRPr="00817C72">
        <w:t>Treatment related TEAEs also occurred at a similar frequency and pattern with vedolizumab and placebo.</w:t>
      </w:r>
    </w:p>
    <w:p w:rsidR="002F27B6" w:rsidRPr="00817C72" w:rsidRDefault="002F27B6" w:rsidP="00A627E3">
      <w:r w:rsidRPr="00817C72">
        <w:t>Deaths were uncommon and did not appear to be treatment related.</w:t>
      </w:r>
      <w:r w:rsidR="007E0E09">
        <w:t xml:space="preserve"> </w:t>
      </w:r>
      <w:r w:rsidRPr="00817C72">
        <w:t>S</w:t>
      </w:r>
      <w:r w:rsidR="00A47C59">
        <w:t xml:space="preserve">erious </w:t>
      </w:r>
      <w:r w:rsidRPr="00817C72">
        <w:t>AEs were reported at a similar rate with vedolizumab and placebo, except for Study C13007 which had an excess of infection related SAEs in the vedolizumab group.</w:t>
      </w:r>
    </w:p>
    <w:p w:rsidR="002F27B6" w:rsidRPr="00505FB0" w:rsidRDefault="00A47C59" w:rsidP="00A627E3">
      <w:r w:rsidRPr="00505FB0">
        <w:t xml:space="preserve">Discontinuation due to </w:t>
      </w:r>
      <w:r w:rsidR="002F27B6" w:rsidRPr="00505FB0">
        <w:t>AE occurred at a similar rate for vedolizumab and placebo.</w:t>
      </w:r>
      <w:r w:rsidR="007E0E09" w:rsidRPr="00505FB0">
        <w:t xml:space="preserve"> </w:t>
      </w:r>
      <w:r w:rsidR="002F27B6" w:rsidRPr="00505FB0">
        <w:t>Infections as a reason for DAE were more common in the vedolizumab group but AEs relating to the underlying condition were more common as reasons for DAE in the placebo group.</w:t>
      </w:r>
    </w:p>
    <w:p w:rsidR="002F27B6" w:rsidRPr="007024D1" w:rsidRDefault="002F27B6" w:rsidP="00A627E3">
      <w:r w:rsidRPr="007024D1">
        <w:t>There appeared to be a slightly higher proportion of subjects with elevation of ALT and AST in the vedolizumab groups compared to placebo.</w:t>
      </w:r>
      <w:r w:rsidR="007E0E09">
        <w:t xml:space="preserve"> </w:t>
      </w:r>
      <w:r w:rsidRPr="007024D1">
        <w:t>This may require further analysis.</w:t>
      </w:r>
      <w:r w:rsidR="007E0E09">
        <w:t xml:space="preserve"> </w:t>
      </w:r>
      <w:r w:rsidRPr="007024D1">
        <w:t>It may represent a higher rate of infectious hepatitis with vedolizumab.</w:t>
      </w:r>
    </w:p>
    <w:p w:rsidR="002F27B6" w:rsidRPr="007024D1" w:rsidRDefault="002F27B6" w:rsidP="00A627E3">
      <w:r w:rsidRPr="007024D1">
        <w:t>There appeared to be a slightly higher proportion of subjects with elevation of amylase and lipase in the vedolizumab groups compared to placebo.</w:t>
      </w:r>
      <w:r w:rsidR="007E0E09">
        <w:t xml:space="preserve"> </w:t>
      </w:r>
      <w:r w:rsidRPr="007024D1">
        <w:t>This may require further analysis.</w:t>
      </w:r>
      <w:r w:rsidR="007E0E09">
        <w:t xml:space="preserve"> </w:t>
      </w:r>
      <w:r w:rsidRPr="007024D1">
        <w:t>It may represent a higher rate of infectious pancreatitis with vedolizumab.</w:t>
      </w:r>
    </w:p>
    <w:p w:rsidR="002F27B6" w:rsidRPr="007024D1" w:rsidRDefault="002F27B6" w:rsidP="00A627E3">
      <w:r w:rsidRPr="007024D1">
        <w:t>H</w:t>
      </w:r>
      <w:r w:rsidR="0009141A" w:rsidRPr="0009141A">
        <w:t>uman anti-human antibodies</w:t>
      </w:r>
      <w:r w:rsidRPr="007024D1">
        <w:t xml:space="preserve"> develop in approximately 4% of subjects treated with vedolizumab over a 52 week period.</w:t>
      </w:r>
      <w:r w:rsidR="007E0E09">
        <w:t xml:space="preserve"> </w:t>
      </w:r>
      <w:r w:rsidRPr="007024D1">
        <w:t>HAHA appeared to be related to loss of efficacy but not to AEs.</w:t>
      </w:r>
      <w:r w:rsidR="007E0E09">
        <w:t xml:space="preserve"> </w:t>
      </w:r>
      <w:r w:rsidRPr="007024D1">
        <w:t xml:space="preserve">HAHA were more common with the earlier versions of </w:t>
      </w:r>
      <w:r w:rsidR="00410BA7" w:rsidRPr="00410BA7">
        <w:t>vedolizumab</w:t>
      </w:r>
      <w:r w:rsidRPr="007024D1">
        <w:t xml:space="preserve"> but less common with the version </w:t>
      </w:r>
      <w:r w:rsidR="00410BA7">
        <w:t xml:space="preserve">of </w:t>
      </w:r>
      <w:r w:rsidRPr="007024D1">
        <w:t>vedolizumab proposed for marketing.</w:t>
      </w:r>
    </w:p>
    <w:p w:rsidR="002F27B6" w:rsidRPr="007024D1" w:rsidRDefault="002F27B6" w:rsidP="00A627E3">
      <w:r w:rsidRPr="007024D1">
        <w:t>There was a slightly higher rate of infections in the vedolizumab groups compared to placebo, but the difference was not clinically significant.</w:t>
      </w:r>
      <w:r w:rsidR="007E0E09">
        <w:t xml:space="preserve"> </w:t>
      </w:r>
      <w:r w:rsidRPr="007024D1">
        <w:t xml:space="preserve">There was no apparent difference between vedolizumab and placebo in the rate of </w:t>
      </w:r>
      <w:r w:rsidR="0009141A">
        <w:t xml:space="preserve">GI </w:t>
      </w:r>
      <w:r w:rsidRPr="007024D1">
        <w:t>AEs.</w:t>
      </w:r>
      <w:r w:rsidR="007E0E09">
        <w:t xml:space="preserve"> </w:t>
      </w:r>
      <w:r w:rsidRPr="007024D1">
        <w:t xml:space="preserve">There were similar rates of nervous system disorders with </w:t>
      </w:r>
      <w:proofErr w:type="spellStart"/>
      <w:r w:rsidRPr="007024D1">
        <w:t>vedolizumab</w:t>
      </w:r>
      <w:proofErr w:type="spellEnd"/>
      <w:r w:rsidRPr="007024D1">
        <w:t xml:space="preserve"> and placebo.</w:t>
      </w:r>
    </w:p>
    <w:p w:rsidR="002F27B6" w:rsidRPr="007024D1" w:rsidRDefault="002F27B6" w:rsidP="00A627E3">
      <w:r w:rsidRPr="007024D1">
        <w:t>Although no cases of PML were identified during the development program there were insufficient subjects treated for a sufficient duration to determine the risk for PML with vedolizumab.</w:t>
      </w:r>
    </w:p>
    <w:p w:rsidR="002F27B6" w:rsidRPr="007024D1" w:rsidRDefault="002F27B6" w:rsidP="00A627E3">
      <w:r w:rsidRPr="007024D1">
        <w:t>Infusion related reactions occurred at a higher rate with vedolizumab in the longer term studies.</w:t>
      </w:r>
      <w:r w:rsidR="007E0E09">
        <w:t xml:space="preserve"> </w:t>
      </w:r>
      <w:r w:rsidRPr="007024D1">
        <w:t>These appear to occur in 5% of subjects over one year.</w:t>
      </w:r>
    </w:p>
    <w:p w:rsidR="004C67AA" w:rsidRPr="00605AD4" w:rsidRDefault="004C67AA" w:rsidP="00A627E3">
      <w:pPr>
        <w:pStyle w:val="Heading4"/>
      </w:pPr>
      <w:r w:rsidRPr="00605AD4">
        <w:t xml:space="preserve">First round </w:t>
      </w:r>
      <w:r w:rsidRPr="00A627E3">
        <w:t>assessment</w:t>
      </w:r>
      <w:r w:rsidRPr="00605AD4">
        <w:t xml:space="preserve"> of benefit-risk balance</w:t>
      </w:r>
    </w:p>
    <w:p w:rsidR="002F27B6" w:rsidRPr="007E0E09" w:rsidRDefault="002F27B6" w:rsidP="00A627E3">
      <w:r w:rsidRPr="007E0E09">
        <w:t xml:space="preserve">The benefit-risk balance of </w:t>
      </w:r>
      <w:proofErr w:type="spellStart"/>
      <w:r w:rsidRPr="007E0E09">
        <w:t>vedolizumab</w:t>
      </w:r>
      <w:proofErr w:type="spellEnd"/>
      <w:r w:rsidRPr="007E0E09">
        <w:t xml:space="preserve"> (</w:t>
      </w:r>
      <w:proofErr w:type="spellStart"/>
      <w:r w:rsidR="0009141A" w:rsidRPr="0009141A">
        <w:t>Entyvio</w:t>
      </w:r>
      <w:proofErr w:type="spellEnd"/>
      <w:r w:rsidR="0009141A" w:rsidRPr="0009141A">
        <w:t>/</w:t>
      </w:r>
      <w:proofErr w:type="spellStart"/>
      <w:r w:rsidR="0009141A" w:rsidRPr="0009141A">
        <w:t>Kynteles</w:t>
      </w:r>
      <w:proofErr w:type="spellEnd"/>
      <w:r w:rsidRPr="007E0E09">
        <w:t>) 300 mg powder for injection, given the proposed usage, is favourable.</w:t>
      </w:r>
    </w:p>
    <w:p w:rsidR="004C67AA" w:rsidRPr="00605AD4" w:rsidRDefault="004C67AA" w:rsidP="00A627E3">
      <w:pPr>
        <w:pStyle w:val="Heading3"/>
        <w:rPr>
          <w:rFonts w:eastAsia="Cambria"/>
        </w:rPr>
      </w:pPr>
      <w:bookmarkStart w:id="132" w:name="_Toc384807765"/>
      <w:bookmarkStart w:id="133" w:name="_Toc405974786"/>
      <w:r w:rsidRPr="00605AD4">
        <w:rPr>
          <w:rFonts w:eastAsia="Cambria"/>
        </w:rPr>
        <w:t xml:space="preserve">First </w:t>
      </w:r>
      <w:r w:rsidR="00A627E3">
        <w:rPr>
          <w:rFonts w:eastAsia="Cambria"/>
        </w:rPr>
        <w:t>r</w:t>
      </w:r>
      <w:r w:rsidRPr="00605AD4">
        <w:rPr>
          <w:rFonts w:eastAsia="Cambria"/>
        </w:rPr>
        <w:t xml:space="preserve">ound </w:t>
      </w:r>
      <w:r w:rsidR="00A627E3">
        <w:rPr>
          <w:rFonts w:eastAsia="Cambria"/>
        </w:rPr>
        <w:t>r</w:t>
      </w:r>
      <w:r w:rsidRPr="00605AD4">
        <w:rPr>
          <w:rFonts w:eastAsia="Cambria"/>
        </w:rPr>
        <w:t xml:space="preserve">ecommendation </w:t>
      </w:r>
      <w:r w:rsidR="00A627E3">
        <w:rPr>
          <w:rFonts w:eastAsia="Cambria"/>
        </w:rPr>
        <w:t>r</w:t>
      </w:r>
      <w:r w:rsidRPr="00605AD4">
        <w:rPr>
          <w:rFonts w:eastAsia="Cambria"/>
        </w:rPr>
        <w:t xml:space="preserve">egarding </w:t>
      </w:r>
      <w:r w:rsidR="00A627E3" w:rsidRPr="00A627E3">
        <w:rPr>
          <w:rFonts w:eastAsia="Cambria"/>
        </w:rPr>
        <w:t>a</w:t>
      </w:r>
      <w:r w:rsidRPr="00A627E3">
        <w:rPr>
          <w:rFonts w:eastAsia="Cambria"/>
        </w:rPr>
        <w:t>uthorisation</w:t>
      </w:r>
      <w:bookmarkEnd w:id="132"/>
      <w:bookmarkEnd w:id="133"/>
    </w:p>
    <w:p w:rsidR="002F27B6" w:rsidRPr="007024D1" w:rsidRDefault="00CC0B2C" w:rsidP="00A627E3">
      <w:r>
        <w:t>The e</w:t>
      </w:r>
      <w:r w:rsidR="002F27B6" w:rsidRPr="007024D1">
        <w:t xml:space="preserve">valuator is unable to recommend the approval of </w:t>
      </w:r>
      <w:proofErr w:type="spellStart"/>
      <w:r w:rsidR="002F27B6" w:rsidRPr="007024D1">
        <w:t>vedolizumab</w:t>
      </w:r>
      <w:proofErr w:type="spellEnd"/>
      <w:r w:rsidR="002F27B6" w:rsidRPr="007024D1">
        <w:t xml:space="preserve"> (</w:t>
      </w:r>
      <w:proofErr w:type="spellStart"/>
      <w:r w:rsidR="0009141A" w:rsidRPr="0009141A">
        <w:t>Entyvio</w:t>
      </w:r>
      <w:proofErr w:type="spellEnd"/>
      <w:r w:rsidR="0009141A" w:rsidRPr="0009141A">
        <w:t>/</w:t>
      </w:r>
      <w:proofErr w:type="spellStart"/>
      <w:r w:rsidR="0009141A" w:rsidRPr="0009141A">
        <w:t>Kynteles</w:t>
      </w:r>
      <w:proofErr w:type="spellEnd"/>
      <w:r w:rsidR="002F27B6" w:rsidRPr="007024D1">
        <w:t>), 300 mg powder for injection, for the following indication:</w:t>
      </w:r>
    </w:p>
    <w:p w:rsidR="002F27B6" w:rsidRPr="00A627E3" w:rsidRDefault="002F27B6" w:rsidP="00A627E3">
      <w:pPr>
        <w:rPr>
          <w:i/>
        </w:rPr>
      </w:pPr>
      <w:r w:rsidRPr="00A627E3">
        <w:rPr>
          <w:i/>
        </w:rPr>
        <w:t>Treatment of adult patients with moderate to severe ulcerative colitis who have had an inadequate response with, lost response to, or are intolerant to either conventional therapy or a tumour necrosis factor-alpha (TNFα) antagonist.</w:t>
      </w:r>
    </w:p>
    <w:p w:rsidR="002F27B6" w:rsidRPr="00A627E3" w:rsidRDefault="002F27B6" w:rsidP="00A627E3">
      <w:pPr>
        <w:rPr>
          <w:i/>
        </w:rPr>
      </w:pPr>
      <w:r w:rsidRPr="00A627E3">
        <w:rPr>
          <w:i/>
        </w:rPr>
        <w:t>Treatment of adult patients with moderate to severe Crohn’s disease who have had an inadequate response with, lost response to, or are intolerant to either conventional therapy or a tumour necrosis factor-alpha (TNFα) antagonist.</w:t>
      </w:r>
    </w:p>
    <w:p w:rsidR="002F27B6" w:rsidRPr="007024D1" w:rsidRDefault="002F27B6" w:rsidP="00A627E3">
      <w:r w:rsidRPr="007024D1">
        <w:lastRenderedPageBreak/>
        <w:t>The reason for this is that vedolizumab did not appear to offer benefit for those patients with CD who had initially responded</w:t>
      </w:r>
      <w:r w:rsidR="0009141A">
        <w:t xml:space="preserve"> to TNFα antagonist treatment</w:t>
      </w:r>
      <w:r w:rsidRPr="007024D1">
        <w:t xml:space="preserve"> and subsequently lost response.</w:t>
      </w:r>
    </w:p>
    <w:p w:rsidR="002F27B6" w:rsidRPr="007024D1" w:rsidRDefault="0009141A" w:rsidP="00A627E3">
      <w:r>
        <w:t>However, the e</w:t>
      </w:r>
      <w:r w:rsidR="002F27B6" w:rsidRPr="007024D1">
        <w:t xml:space="preserve">valuator </w:t>
      </w:r>
      <w:r>
        <w:t>had</w:t>
      </w:r>
      <w:r w:rsidR="002F27B6" w:rsidRPr="007024D1">
        <w:t xml:space="preserve"> no objection to the approval of </w:t>
      </w:r>
      <w:proofErr w:type="spellStart"/>
      <w:r w:rsidR="002F27B6" w:rsidRPr="007024D1">
        <w:t>vedolizumab</w:t>
      </w:r>
      <w:proofErr w:type="spellEnd"/>
      <w:r w:rsidR="002F27B6" w:rsidRPr="007024D1">
        <w:t xml:space="preserve"> (</w:t>
      </w:r>
      <w:proofErr w:type="spellStart"/>
      <w:r w:rsidRPr="0009141A">
        <w:t>Entyvio</w:t>
      </w:r>
      <w:proofErr w:type="spellEnd"/>
      <w:r w:rsidRPr="0009141A">
        <w:t>/</w:t>
      </w:r>
      <w:proofErr w:type="spellStart"/>
      <w:r w:rsidRPr="0009141A">
        <w:t>Kynteles</w:t>
      </w:r>
      <w:proofErr w:type="spellEnd"/>
      <w:r w:rsidR="002F27B6" w:rsidRPr="007024D1">
        <w:t>), 300 mg powder for injection, for the following indication:</w:t>
      </w:r>
    </w:p>
    <w:p w:rsidR="002F27B6" w:rsidRPr="00A627E3" w:rsidRDefault="002F27B6" w:rsidP="00A627E3">
      <w:pPr>
        <w:ind w:left="720"/>
        <w:rPr>
          <w:i/>
        </w:rPr>
      </w:pPr>
      <w:r w:rsidRPr="00A627E3">
        <w:rPr>
          <w:i/>
        </w:rPr>
        <w:t>Treatment of adult patients with moderate to severe ulcerative colitis who have had an inadequate response with, lost response to, or are intolerant to either conventional therapy or a tumour necrosis factor-alpha (TNFα) antagonist.</w:t>
      </w:r>
    </w:p>
    <w:p w:rsidR="002F27B6" w:rsidRPr="00A627E3" w:rsidRDefault="002F27B6" w:rsidP="00A627E3">
      <w:pPr>
        <w:ind w:left="720"/>
        <w:rPr>
          <w:i/>
        </w:rPr>
      </w:pPr>
      <w:r w:rsidRPr="00A627E3">
        <w:rPr>
          <w:i/>
        </w:rPr>
        <w:t>Treatment of adult patients with moderate to severe Crohn’s disease who have had an inadequate response with, lost response to, or are intolerant to a conventional therapy or had an inadequate response with, or are intolerant to a tumour necrosis factor-alpha (TNFα) antagonist.</w:t>
      </w:r>
      <w:r w:rsidR="007E0E09" w:rsidRPr="00A627E3">
        <w:rPr>
          <w:i/>
        </w:rPr>
        <w:t xml:space="preserve"> </w:t>
      </w:r>
      <w:r w:rsidRPr="00A627E3">
        <w:rPr>
          <w:i/>
        </w:rPr>
        <w:t>In subjects with Crohn’s disease who had initially responded to TNFα antagonists, and subsequently lost response, treatment with vedolizumab may not be justified.</w:t>
      </w:r>
    </w:p>
    <w:p w:rsidR="004C67AA" w:rsidRPr="00605AD4" w:rsidRDefault="004C67AA" w:rsidP="00A627E3">
      <w:pPr>
        <w:pStyle w:val="Heading3"/>
        <w:rPr>
          <w:rFonts w:eastAsia="Cambria"/>
        </w:rPr>
      </w:pPr>
      <w:bookmarkStart w:id="134" w:name="_Toc384807766"/>
      <w:bookmarkStart w:id="135" w:name="_Toc405974787"/>
      <w:r w:rsidRPr="00605AD4">
        <w:rPr>
          <w:rFonts w:eastAsia="Cambria"/>
        </w:rPr>
        <w:t xml:space="preserve">Clinical </w:t>
      </w:r>
      <w:r w:rsidR="00A627E3" w:rsidRPr="00A627E3">
        <w:rPr>
          <w:rFonts w:eastAsia="Cambria"/>
        </w:rPr>
        <w:t>q</w:t>
      </w:r>
      <w:r w:rsidRPr="00A627E3">
        <w:rPr>
          <w:rFonts w:eastAsia="Cambria"/>
        </w:rPr>
        <w:t>uestions</w:t>
      </w:r>
      <w:bookmarkEnd w:id="134"/>
      <w:bookmarkEnd w:id="135"/>
    </w:p>
    <w:p w:rsidR="002F27B6" w:rsidRPr="008E6953" w:rsidRDefault="002F27B6" w:rsidP="00A627E3">
      <w:r>
        <w:t xml:space="preserve">Question 1: </w:t>
      </w:r>
      <w:r w:rsidRPr="008E6953">
        <w:t>The numbers of elderly subjects in the PK studies requires clarification.</w:t>
      </w:r>
    </w:p>
    <w:p w:rsidR="002F27B6" w:rsidRPr="00741FF5" w:rsidRDefault="002F27B6" w:rsidP="00A627E3">
      <w:r>
        <w:t>Question 2</w:t>
      </w:r>
      <w:r w:rsidRPr="002C2F73">
        <w:t xml:space="preserve">: </w:t>
      </w:r>
      <w:r w:rsidRPr="00741FF5">
        <w:t>There appeared to be a slightly higher proportion of subjects with elevation of ALT and AST in the vedolizumab groups compared to placebo.</w:t>
      </w:r>
      <w:r w:rsidR="007E0E09">
        <w:t xml:space="preserve"> </w:t>
      </w:r>
      <w:r w:rsidRPr="00741FF5">
        <w:t>This may represent a higher rate of infectious hepatitis with vedolizumab.</w:t>
      </w:r>
      <w:r w:rsidR="007E0E09">
        <w:t xml:space="preserve"> </w:t>
      </w:r>
      <w:r w:rsidRPr="00741FF5">
        <w:t xml:space="preserve">Can the Sponsor please provide further analysis of these subjects, including a listing of all subjects satisfying the criteria of </w:t>
      </w:r>
      <w:proofErr w:type="spellStart"/>
      <w:r w:rsidRPr="00741FF5">
        <w:t>Hy’s</w:t>
      </w:r>
      <w:proofErr w:type="spellEnd"/>
      <w:r w:rsidRPr="00741FF5">
        <w:t xml:space="preserve"> Law</w:t>
      </w:r>
      <w:r w:rsidR="003E3320">
        <w:rPr>
          <w:rStyle w:val="FootnoteReference"/>
        </w:rPr>
        <w:footnoteReference w:id="22"/>
      </w:r>
      <w:r w:rsidRPr="00741FF5">
        <w:t>?</w:t>
      </w:r>
    </w:p>
    <w:p w:rsidR="002F27B6" w:rsidRPr="00741FF5" w:rsidRDefault="002F27B6" w:rsidP="00A627E3">
      <w:r>
        <w:t>Question 3</w:t>
      </w:r>
      <w:r w:rsidRPr="002C2F73">
        <w:t xml:space="preserve">: </w:t>
      </w:r>
      <w:r w:rsidRPr="00741FF5">
        <w:t>There appeared to be a slightly higher proportion of subjects with elevation of amylase and lipase in the vedolizumab groups compared to placebo.</w:t>
      </w:r>
      <w:r w:rsidR="007E0E09">
        <w:t xml:space="preserve"> </w:t>
      </w:r>
      <w:r w:rsidRPr="00741FF5">
        <w:t>This may represent a higher rate of infectious pancreatitis with vedolizumab.</w:t>
      </w:r>
      <w:r w:rsidR="007E0E09">
        <w:t xml:space="preserve"> </w:t>
      </w:r>
      <w:r w:rsidR="00434792">
        <w:t>Can the s</w:t>
      </w:r>
      <w:r w:rsidRPr="00741FF5">
        <w:t>ponsor please provide further analysis of these subjects?</w:t>
      </w:r>
    </w:p>
    <w:p w:rsidR="004C67AA" w:rsidRPr="00605AD4" w:rsidRDefault="004C67AA" w:rsidP="00A627E3">
      <w:pPr>
        <w:pStyle w:val="Heading3"/>
        <w:rPr>
          <w:rFonts w:eastAsia="Cambria"/>
        </w:rPr>
      </w:pPr>
      <w:bookmarkStart w:id="136" w:name="_Toc384807767"/>
      <w:bookmarkStart w:id="137" w:name="_Toc405974788"/>
      <w:r w:rsidRPr="00605AD4">
        <w:rPr>
          <w:rFonts w:eastAsia="Cambria"/>
        </w:rPr>
        <w:t xml:space="preserve">Second </w:t>
      </w:r>
      <w:r w:rsidR="00A627E3">
        <w:rPr>
          <w:rFonts w:eastAsia="Cambria"/>
        </w:rPr>
        <w:t>r</w:t>
      </w:r>
      <w:r w:rsidRPr="00605AD4">
        <w:rPr>
          <w:rFonts w:eastAsia="Cambria"/>
        </w:rPr>
        <w:t xml:space="preserve">ound </w:t>
      </w:r>
      <w:r w:rsidR="00A627E3">
        <w:rPr>
          <w:rFonts w:eastAsia="Cambria"/>
        </w:rPr>
        <w:t>e</w:t>
      </w:r>
      <w:r w:rsidRPr="00605AD4">
        <w:rPr>
          <w:rFonts w:eastAsia="Cambria"/>
        </w:rPr>
        <w:t>valuation of</w:t>
      </w:r>
      <w:r w:rsidR="00300110">
        <w:rPr>
          <w:rFonts w:eastAsia="Cambria"/>
        </w:rPr>
        <w:t xml:space="preserve"> </w:t>
      </w:r>
      <w:r w:rsidR="00A627E3">
        <w:rPr>
          <w:rFonts w:eastAsia="Cambria"/>
        </w:rPr>
        <w:t>c</w:t>
      </w:r>
      <w:r w:rsidRPr="00605AD4">
        <w:rPr>
          <w:rFonts w:eastAsia="Cambria"/>
        </w:rPr>
        <w:t xml:space="preserve">linical </w:t>
      </w:r>
      <w:r w:rsidR="00A627E3">
        <w:rPr>
          <w:rFonts w:eastAsia="Cambria"/>
        </w:rPr>
        <w:t>d</w:t>
      </w:r>
      <w:r w:rsidRPr="00605AD4">
        <w:rPr>
          <w:rFonts w:eastAsia="Cambria"/>
        </w:rPr>
        <w:t xml:space="preserve">ata </w:t>
      </w:r>
      <w:r w:rsidR="00A627E3">
        <w:rPr>
          <w:rFonts w:eastAsia="Cambria"/>
        </w:rPr>
        <w:t>s</w:t>
      </w:r>
      <w:r w:rsidRPr="00605AD4">
        <w:rPr>
          <w:rFonts w:eastAsia="Cambria"/>
        </w:rPr>
        <w:t xml:space="preserve">ubmitted in </w:t>
      </w:r>
      <w:r w:rsidR="00A627E3">
        <w:rPr>
          <w:rFonts w:eastAsia="Cambria"/>
        </w:rPr>
        <w:t>r</w:t>
      </w:r>
      <w:r w:rsidRPr="00605AD4">
        <w:rPr>
          <w:rFonts w:eastAsia="Cambria"/>
        </w:rPr>
        <w:t xml:space="preserve">esponse to </w:t>
      </w:r>
      <w:r w:rsidR="00A627E3" w:rsidRPr="00A627E3">
        <w:rPr>
          <w:rFonts w:eastAsia="Cambria"/>
        </w:rPr>
        <w:t>q</w:t>
      </w:r>
      <w:r w:rsidRPr="00A627E3">
        <w:rPr>
          <w:rFonts w:eastAsia="Cambria"/>
        </w:rPr>
        <w:t>uestions</w:t>
      </w:r>
      <w:bookmarkEnd w:id="136"/>
      <w:bookmarkEnd w:id="137"/>
    </w:p>
    <w:p w:rsidR="002F27B6" w:rsidRPr="00300110" w:rsidRDefault="002F27B6" w:rsidP="00A627E3">
      <w:pPr>
        <w:pStyle w:val="ListBullet"/>
      </w:pPr>
      <w:r w:rsidRPr="00300110">
        <w:t xml:space="preserve">Question 1: The </w:t>
      </w:r>
      <w:r w:rsidRPr="00A627E3">
        <w:t>numbers</w:t>
      </w:r>
      <w:r w:rsidRPr="00300110">
        <w:t xml:space="preserve"> of elderly subjects in the PK studies requires clarification.</w:t>
      </w:r>
    </w:p>
    <w:p w:rsidR="005A1A26" w:rsidRDefault="008E17B9" w:rsidP="00A627E3">
      <w:r>
        <w:t>The s</w:t>
      </w:r>
      <w:r w:rsidR="002F27B6" w:rsidRPr="00741FF5">
        <w:t>ponsor has responded that there were 1885 subjects aged ≤</w:t>
      </w:r>
      <w:r>
        <w:t xml:space="preserve"> </w:t>
      </w:r>
      <w:r w:rsidR="002F27B6" w:rsidRPr="00741FF5">
        <w:t>65 years, 69 subjects aged 65 to 74 years, and 15 aged 75 to 84 years that were included in the PK and PD studies.</w:t>
      </w:r>
      <w:r w:rsidR="007E0E09">
        <w:t xml:space="preserve"> </w:t>
      </w:r>
      <w:r>
        <w:t>In the opinion of the e</w:t>
      </w:r>
      <w:r w:rsidR="002F27B6" w:rsidRPr="00741FF5">
        <w:t>valuator, as the covariate “Age” appears to have been coded as a continuous covariate in the population PK</w:t>
      </w:r>
      <w:r>
        <w:t>-</w:t>
      </w:r>
      <w:r w:rsidR="002F27B6" w:rsidRPr="00741FF5">
        <w:t>PD studies, the covariate models would not have been able to detect a change in clearance, or volumes of distribution, in subjects &gt;</w:t>
      </w:r>
      <w:r>
        <w:t xml:space="preserve"> </w:t>
      </w:r>
      <w:r w:rsidR="002F27B6" w:rsidRPr="00741FF5">
        <w:t>65 years.</w:t>
      </w:r>
      <w:r w:rsidR="007E0E09">
        <w:t xml:space="preserve"> </w:t>
      </w:r>
      <w:r w:rsidR="002F27B6" w:rsidRPr="00741FF5">
        <w:t>This is because the data from subjects &gt;</w:t>
      </w:r>
      <w:r>
        <w:t xml:space="preserve"> </w:t>
      </w:r>
      <w:r w:rsidR="002F27B6" w:rsidRPr="00741FF5">
        <w:t>65 years age is a small proportion of the total data.</w:t>
      </w:r>
      <w:r w:rsidR="007E0E09">
        <w:t xml:space="preserve"> </w:t>
      </w:r>
      <w:r w:rsidR="002F27B6" w:rsidRPr="00741FF5">
        <w:t>Had age &gt;</w:t>
      </w:r>
      <w:r>
        <w:t xml:space="preserve"> </w:t>
      </w:r>
      <w:r w:rsidR="002F27B6" w:rsidRPr="00741FF5">
        <w:t>65 years been coded as a categorical variable it might have been possible to perform an exploratory analysis of its effect on PK parameters.</w:t>
      </w:r>
      <w:r w:rsidR="007E0E09">
        <w:t xml:space="preserve"> </w:t>
      </w:r>
      <w:r w:rsidR="002F27B6" w:rsidRPr="00741FF5">
        <w:t xml:space="preserve">However, use in the elderly is currently listed as </w:t>
      </w:r>
      <w:r w:rsidR="005A1A26">
        <w:t>‘</w:t>
      </w:r>
      <w:r w:rsidR="002F27B6" w:rsidRPr="00741FF5">
        <w:t>Important Missing Information</w:t>
      </w:r>
      <w:r w:rsidR="005A1A26">
        <w:t>’</w:t>
      </w:r>
      <w:r w:rsidR="002F27B6" w:rsidRPr="00741FF5">
        <w:t xml:space="preserve"> in the </w:t>
      </w:r>
      <w:r w:rsidR="005A1A26">
        <w:t xml:space="preserve">risk management </w:t>
      </w:r>
      <w:proofErr w:type="gramStart"/>
      <w:r w:rsidR="005A1A26">
        <w:t>plan</w:t>
      </w:r>
      <w:proofErr w:type="gramEnd"/>
      <w:r w:rsidR="00434792">
        <w:t xml:space="preserve"> (RMP)</w:t>
      </w:r>
      <w:r w:rsidR="005A1A26">
        <w:t xml:space="preserve"> </w:t>
      </w:r>
      <w:r w:rsidR="002F27B6" w:rsidRPr="00741FF5">
        <w:t>and the absence of this information should not preclude approval of the current application.</w:t>
      </w:r>
    </w:p>
    <w:p w:rsidR="002F27B6" w:rsidRPr="00300110" w:rsidRDefault="002F27B6" w:rsidP="00A627E3">
      <w:pPr>
        <w:pStyle w:val="ListBullet"/>
      </w:pPr>
      <w:r w:rsidRPr="00300110">
        <w:t>Question 2:</w:t>
      </w:r>
      <w:r w:rsidR="007E0E09" w:rsidRPr="00300110">
        <w:t xml:space="preserve"> </w:t>
      </w:r>
      <w:r w:rsidRPr="00300110">
        <w:t xml:space="preserve">There appeared to be a slightly higher proportion of subjects with elevation of ALT and AST in the </w:t>
      </w:r>
      <w:proofErr w:type="spellStart"/>
      <w:r w:rsidRPr="00A627E3">
        <w:t>vedolizumab</w:t>
      </w:r>
      <w:proofErr w:type="spellEnd"/>
      <w:r w:rsidRPr="00300110">
        <w:t xml:space="preserve"> groups compared to placebo.</w:t>
      </w:r>
      <w:r w:rsidR="007E0E09" w:rsidRPr="00300110">
        <w:t xml:space="preserve"> </w:t>
      </w:r>
      <w:r w:rsidRPr="00300110">
        <w:t>This may represent a higher rate of infectious hepatitis with vedolizumab.</w:t>
      </w:r>
      <w:r w:rsidR="007E0E09" w:rsidRPr="00300110">
        <w:t xml:space="preserve"> </w:t>
      </w:r>
      <w:r w:rsidRPr="00300110">
        <w:t xml:space="preserve">Can the Sponsor please provide further analysis of these subjects, including a listing of all subjects satisfying the criteria of </w:t>
      </w:r>
      <w:proofErr w:type="spellStart"/>
      <w:r w:rsidRPr="00300110">
        <w:t>Hy’s</w:t>
      </w:r>
      <w:proofErr w:type="spellEnd"/>
      <w:r w:rsidRPr="00300110">
        <w:t xml:space="preserve"> Law?</w:t>
      </w:r>
    </w:p>
    <w:p w:rsidR="002F27B6" w:rsidRPr="002C2F73" w:rsidRDefault="008E17B9" w:rsidP="00A627E3">
      <w:r>
        <w:lastRenderedPageBreak/>
        <w:t>The s</w:t>
      </w:r>
      <w:r w:rsidR="002F27B6" w:rsidRPr="002C2F73">
        <w:t>ponsor h</w:t>
      </w:r>
      <w:r>
        <w:t>as based their response on the s</w:t>
      </w:r>
      <w:r w:rsidR="002F27B6" w:rsidRPr="002C2F73">
        <w:t xml:space="preserve">ubjects in Study C13006 and Study C13007 who only received </w:t>
      </w:r>
      <w:r w:rsidRPr="008E17B9">
        <w:t>vedolizumab</w:t>
      </w:r>
      <w:r w:rsidR="002F27B6" w:rsidRPr="002C2F73">
        <w:t xml:space="preserve"> in comparison with those who only received placebo.</w:t>
      </w:r>
      <w:r w:rsidR="007E0E09">
        <w:t xml:space="preserve"> </w:t>
      </w:r>
      <w:r w:rsidR="002F27B6" w:rsidRPr="002C2F73">
        <w:t xml:space="preserve">There were 22 (1.5%) subjects who only received </w:t>
      </w:r>
      <w:r w:rsidRPr="008E17B9">
        <w:t>vedolizumab</w:t>
      </w:r>
      <w:r w:rsidR="002F27B6" w:rsidRPr="002C2F73">
        <w:t xml:space="preserve"> and 3 (1.0%) who only received placebo who had ALT &gt;</w:t>
      </w:r>
      <w:r>
        <w:t xml:space="preserve"> </w:t>
      </w:r>
      <w:r w:rsidR="002F27B6" w:rsidRPr="002C2F73">
        <w:t>3</w:t>
      </w:r>
      <w:r w:rsidR="005A1A26">
        <w:t xml:space="preserve"> </w:t>
      </w:r>
      <w:r w:rsidR="002F27B6" w:rsidRPr="002C2F73">
        <w:t>x</w:t>
      </w:r>
      <w:r>
        <w:t xml:space="preserve"> upper limit of normal (</w:t>
      </w:r>
      <w:r w:rsidR="002F27B6" w:rsidRPr="002C2F73">
        <w:t>ULN</w:t>
      </w:r>
      <w:r>
        <w:t>)</w:t>
      </w:r>
      <w:r w:rsidR="002F27B6" w:rsidRPr="002C2F73">
        <w:t xml:space="preserve">; and 16 (1.1%) subjects who only received </w:t>
      </w:r>
      <w:r w:rsidRPr="008E17B9">
        <w:t>vedolizumab</w:t>
      </w:r>
      <w:r w:rsidR="002F27B6" w:rsidRPr="002C2F73">
        <w:t xml:space="preserve"> and none (0.0%) who only received placebo who had AST &gt;</w:t>
      </w:r>
      <w:r w:rsidR="005A1A26">
        <w:t xml:space="preserve"> </w:t>
      </w:r>
      <w:r w:rsidR="002F27B6" w:rsidRPr="002C2F73">
        <w:t>3</w:t>
      </w:r>
      <w:r w:rsidR="005A1A26">
        <w:t xml:space="preserve"> </w:t>
      </w:r>
      <w:r w:rsidR="002F27B6" w:rsidRPr="002C2F73">
        <w:t>x</w:t>
      </w:r>
      <w:r w:rsidR="005A1A26">
        <w:t xml:space="preserve"> </w:t>
      </w:r>
      <w:r w:rsidR="002F27B6" w:rsidRPr="002C2F73">
        <w:t>ULN.</w:t>
      </w:r>
      <w:r w:rsidR="007E0E09">
        <w:t xml:space="preserve"> </w:t>
      </w:r>
      <w:r w:rsidR="002F27B6" w:rsidRPr="002C2F73">
        <w:t xml:space="preserve">None of the subjects with elevated ALT or AST were reported with a liver infection </w:t>
      </w:r>
      <w:r>
        <w:t>AE</w:t>
      </w:r>
      <w:r w:rsidR="002F27B6" w:rsidRPr="002C2F73">
        <w:t>, a SAE due to liver infection or DAE due to liver infection.</w:t>
      </w:r>
      <w:r w:rsidR="007E0E09">
        <w:t xml:space="preserve"> </w:t>
      </w:r>
      <w:r w:rsidR="002F27B6" w:rsidRPr="002C2F73">
        <w:t>In Study C13008, there were 55 (2.5%) subjects with ALT &gt;3</w:t>
      </w:r>
      <w:r w:rsidR="005A1A26">
        <w:t> </w:t>
      </w:r>
      <w:r w:rsidR="002F27B6" w:rsidRPr="002C2F73">
        <w:t>x</w:t>
      </w:r>
      <w:r w:rsidR="005A1A26">
        <w:t xml:space="preserve"> </w:t>
      </w:r>
      <w:r w:rsidR="002F27B6" w:rsidRPr="002C2F73">
        <w:t>ULN and 45 (2.0%) with AST &gt;</w:t>
      </w:r>
      <w:r w:rsidR="005A1A26">
        <w:t xml:space="preserve"> </w:t>
      </w:r>
      <w:r w:rsidR="002F27B6" w:rsidRPr="002C2F73">
        <w:t>3</w:t>
      </w:r>
      <w:r w:rsidR="005A1A26">
        <w:t xml:space="preserve"> </w:t>
      </w:r>
      <w:r w:rsidR="002F27B6" w:rsidRPr="002C2F73">
        <w:t>x</w:t>
      </w:r>
      <w:r w:rsidR="005A1A26">
        <w:t xml:space="preserve"> </w:t>
      </w:r>
      <w:r w:rsidR="002F27B6" w:rsidRPr="002C2F73">
        <w:t>ULN.</w:t>
      </w:r>
      <w:r w:rsidR="007E0E09">
        <w:t xml:space="preserve"> </w:t>
      </w:r>
      <w:r w:rsidR="002F27B6" w:rsidRPr="002C2F73">
        <w:t>In the full safety populat</w:t>
      </w:r>
      <w:r w:rsidR="005A1A26">
        <w:t>ion there was one subject with h</w:t>
      </w:r>
      <w:r w:rsidR="002F27B6" w:rsidRPr="002C2F73">
        <w:t>e</w:t>
      </w:r>
      <w:r w:rsidR="005A1A26">
        <w:t>patitis A and one subject with h</w:t>
      </w:r>
      <w:r w:rsidR="002F27B6" w:rsidRPr="002C2F73">
        <w:t>epatitis E.</w:t>
      </w:r>
      <w:r w:rsidR="007E0E09">
        <w:t xml:space="preserve"> </w:t>
      </w:r>
      <w:r w:rsidR="002F27B6" w:rsidRPr="002C2F73">
        <w:t xml:space="preserve">There were two subjects who satisfied the criteria of </w:t>
      </w:r>
      <w:proofErr w:type="spellStart"/>
      <w:r w:rsidR="002F27B6" w:rsidRPr="002C2F73">
        <w:t>Hy’s</w:t>
      </w:r>
      <w:proofErr w:type="spellEnd"/>
      <w:r w:rsidR="002F27B6" w:rsidRPr="002C2F73">
        <w:t xml:space="preserve"> Law: </w:t>
      </w:r>
    </w:p>
    <w:p w:rsidR="002F27B6" w:rsidRPr="002C2F73" w:rsidRDefault="002F27B6" w:rsidP="00A627E3">
      <w:pPr>
        <w:pStyle w:val="ListBullet"/>
      </w:pPr>
      <w:r w:rsidRPr="002C2F73">
        <w:t xml:space="preserve">One female subject with ALT 952 U/L, total bilirubin 48 </w:t>
      </w:r>
      <w:proofErr w:type="spellStart"/>
      <w:r w:rsidRPr="002C2F73">
        <w:t>μmol</w:t>
      </w:r>
      <w:proofErr w:type="spellEnd"/>
      <w:r w:rsidRPr="002C2F73">
        <w:t xml:space="preserve">/L and </w:t>
      </w:r>
      <w:r w:rsidR="008E17B9">
        <w:t>alkaline phosphatase (</w:t>
      </w:r>
      <w:r w:rsidRPr="002C2F73">
        <w:t>ALP</w:t>
      </w:r>
      <w:r w:rsidR="008E17B9">
        <w:t>)</w:t>
      </w:r>
      <w:r w:rsidRPr="002C2F73">
        <w:t xml:space="preserve"> of 158 U/L who was </w:t>
      </w:r>
      <w:r w:rsidRPr="00A627E3">
        <w:t>diagnosed</w:t>
      </w:r>
      <w:r w:rsidRPr="002C2F73">
        <w:t xml:space="preserve"> with hepatitis of unclear origin.</w:t>
      </w:r>
      <w:r w:rsidR="007E0E09">
        <w:t xml:space="preserve"> </w:t>
      </w:r>
      <w:r w:rsidRPr="002C2F73">
        <w:t>Her condition improved even though the vedolizumab was continued.</w:t>
      </w:r>
    </w:p>
    <w:p w:rsidR="002F27B6" w:rsidRPr="002C2F73" w:rsidRDefault="002F27B6" w:rsidP="00A627E3">
      <w:pPr>
        <w:pStyle w:val="ListBullet"/>
      </w:pPr>
      <w:r w:rsidRPr="002C2F73">
        <w:t xml:space="preserve">One </w:t>
      </w:r>
      <w:r w:rsidR="005A1A26">
        <w:t xml:space="preserve">female </w:t>
      </w:r>
      <w:r w:rsidRPr="002C2F73">
        <w:t>subject with ALT up to 1593 IU/L, AST up to 932</w:t>
      </w:r>
      <w:r w:rsidR="008E17B9">
        <w:t xml:space="preserve"> IU/L and bilirubin up to 13.85 </w:t>
      </w:r>
      <w:r w:rsidRPr="002C2F73">
        <w:t>mg/</w:t>
      </w:r>
      <w:proofErr w:type="spellStart"/>
      <w:r w:rsidRPr="002C2F73">
        <w:t>dL</w:t>
      </w:r>
      <w:proofErr w:type="spellEnd"/>
      <w:r w:rsidRPr="002C2F73">
        <w:t>.</w:t>
      </w:r>
      <w:r w:rsidR="007E0E09">
        <w:t xml:space="preserve"> </w:t>
      </w:r>
      <w:r w:rsidRPr="002C2F73">
        <w:t xml:space="preserve">She was diagnosed with autoimmune hepatitis because </w:t>
      </w:r>
      <w:r w:rsidR="005A1A26" w:rsidRPr="002C2F73">
        <w:t>of elevated antinuclear antibodies</w:t>
      </w:r>
      <w:r w:rsidR="008E17B9">
        <w:t xml:space="preserve"> (</w:t>
      </w:r>
      <w:r w:rsidRPr="002C2F73">
        <w:t>ANA</w:t>
      </w:r>
      <w:r w:rsidR="008E17B9">
        <w:t>)</w:t>
      </w:r>
      <w:r w:rsidRPr="002C2F73">
        <w:t xml:space="preserve"> and later with </w:t>
      </w:r>
      <w:r w:rsidR="008E17B9">
        <w:t>systemic lupus erythematosus (</w:t>
      </w:r>
      <w:r w:rsidRPr="002C2F73">
        <w:t>SLE</w:t>
      </w:r>
      <w:r w:rsidR="008E17B9">
        <w:t>)</w:t>
      </w:r>
      <w:r w:rsidRPr="002C2F73">
        <w:t>.</w:t>
      </w:r>
      <w:r w:rsidR="007E0E09">
        <w:t xml:space="preserve"> </w:t>
      </w:r>
      <w:r w:rsidRPr="002C2F73">
        <w:t>She improved with topical steroids.</w:t>
      </w:r>
    </w:p>
    <w:p w:rsidR="002F27B6" w:rsidRPr="002C2F73" w:rsidRDefault="002F27B6" w:rsidP="00A627E3">
      <w:r w:rsidRPr="002C2F73">
        <w:t xml:space="preserve">Overall there were 22 subjects with hepatic parenchymal events while being treated with </w:t>
      </w:r>
      <w:r w:rsidR="008E17B9" w:rsidRPr="008E17B9">
        <w:t>vedolizumab</w:t>
      </w:r>
      <w:r w:rsidRPr="002C2F73">
        <w:t>, compared with none during placebo treatment.</w:t>
      </w:r>
      <w:r w:rsidR="007E0E09">
        <w:t xml:space="preserve"> </w:t>
      </w:r>
      <w:r w:rsidRPr="002C2F73">
        <w:t>Four of these subjects had hepatic parenchymal SAEs and three had hepatic parenchymal AEs that led to discontinuation.</w:t>
      </w:r>
      <w:r w:rsidR="007E0E09">
        <w:t xml:space="preserve"> </w:t>
      </w:r>
      <w:r w:rsidRPr="002C2F73">
        <w:t xml:space="preserve">There were 16 subjects that were reported with hepatocellular damage or hepatitis, giving an event rate of 0.334 per 100 patient-years, and the most common of these events were: hepatic </w:t>
      </w:r>
      <w:proofErr w:type="spellStart"/>
      <w:r w:rsidRPr="002C2F73">
        <w:t>steatosis</w:t>
      </w:r>
      <w:proofErr w:type="spellEnd"/>
      <w:r w:rsidRPr="002C2F73">
        <w:t xml:space="preserve"> (9 subjects), </w:t>
      </w:r>
      <w:proofErr w:type="spellStart"/>
      <w:r w:rsidRPr="002C2F73">
        <w:t>cytolytic</w:t>
      </w:r>
      <w:proofErr w:type="spellEnd"/>
      <w:r w:rsidRPr="002C2F73">
        <w:t xml:space="preserve"> hepatitis (3 subjects) and hepatitis (2 subjects).</w:t>
      </w:r>
    </w:p>
    <w:p w:rsidR="002F27B6" w:rsidRPr="007024D1" w:rsidRDefault="005A1A26" w:rsidP="00A627E3">
      <w:r>
        <w:t>In the opinion of the e</w:t>
      </w:r>
      <w:r w:rsidR="002F27B6" w:rsidRPr="007024D1">
        <w:t xml:space="preserve">valuator these data confirm that there is a higher rate of elevation of transaminases and of hepatic parenchymal damage in subjects treated with </w:t>
      </w:r>
      <w:r w:rsidR="008E17B9" w:rsidRPr="008E17B9">
        <w:t>vedolizumab</w:t>
      </w:r>
      <w:r w:rsidR="002F27B6" w:rsidRPr="007024D1">
        <w:t xml:space="preserve"> compared to placebo.</w:t>
      </w:r>
      <w:r w:rsidR="007E0E09">
        <w:t xml:space="preserve"> </w:t>
      </w:r>
      <w:r w:rsidR="002F27B6" w:rsidRPr="007024D1">
        <w:t>Most of these events are not serious and there is no clear indication of the aetiology.</w:t>
      </w:r>
      <w:r w:rsidR="007E0E09">
        <w:t xml:space="preserve"> </w:t>
      </w:r>
      <w:r>
        <w:t>The e</w:t>
      </w:r>
      <w:r w:rsidR="002F27B6" w:rsidRPr="007024D1">
        <w:t xml:space="preserve">valuator recommends including hepatic adverse events in the </w:t>
      </w:r>
      <w:r w:rsidR="00434792">
        <w:t xml:space="preserve">RMP </w:t>
      </w:r>
      <w:r w:rsidR="002F27B6" w:rsidRPr="007024D1">
        <w:t xml:space="preserve">Safety Specification as an </w:t>
      </w:r>
      <w:r w:rsidR="00434792">
        <w:t>‘</w:t>
      </w:r>
      <w:r w:rsidR="002F27B6" w:rsidRPr="007024D1">
        <w:t>Important Potential Risk</w:t>
      </w:r>
      <w:r w:rsidR="00434792">
        <w:t>’</w:t>
      </w:r>
      <w:r w:rsidR="002F27B6" w:rsidRPr="007024D1">
        <w:t>.</w:t>
      </w:r>
      <w:r w:rsidR="007E0E09">
        <w:t xml:space="preserve"> </w:t>
      </w:r>
      <w:r w:rsidR="002F27B6" w:rsidRPr="007024D1">
        <w:t xml:space="preserve">The </w:t>
      </w:r>
      <w:r w:rsidR="00434792">
        <w:t>e</w:t>
      </w:r>
      <w:r w:rsidR="002F27B6" w:rsidRPr="007024D1">
        <w:t>valuator also note</w:t>
      </w:r>
      <w:r w:rsidR="002F27B6">
        <w:t xml:space="preserve">s that the </w:t>
      </w:r>
      <w:r w:rsidR="00434792">
        <w:t>s</w:t>
      </w:r>
      <w:r w:rsidR="002F27B6">
        <w:t>ponsor has stated: “</w:t>
      </w:r>
      <w:r w:rsidR="002F27B6" w:rsidRPr="00434792">
        <w:rPr>
          <w:i/>
        </w:rPr>
        <w:t>Takeda plans to continue monitoring for evidence of liver dysfunction as part of the standard post-marketing safety surveillance</w:t>
      </w:r>
      <w:r w:rsidR="002F27B6">
        <w:t>.”</w:t>
      </w:r>
      <w:r w:rsidR="002F27B6" w:rsidRPr="007024D1">
        <w:t xml:space="preserve"> </w:t>
      </w:r>
    </w:p>
    <w:p w:rsidR="002F27B6" w:rsidRPr="00300110" w:rsidRDefault="002F27B6" w:rsidP="00A627E3">
      <w:pPr>
        <w:pStyle w:val="ListBullet"/>
      </w:pPr>
      <w:r w:rsidRPr="00300110">
        <w:t>Question 3: There appeared to be a slightly higher proportion of subjects with elevation of amylase and lipase in the vedolizumab groups compared to placebo.</w:t>
      </w:r>
      <w:r w:rsidR="007E0E09" w:rsidRPr="00300110">
        <w:t xml:space="preserve"> </w:t>
      </w:r>
      <w:r w:rsidRPr="00300110">
        <w:t>This may represent a higher rate of infectious pancreatitis with vedolizumab.</w:t>
      </w:r>
      <w:r w:rsidR="007E0E09" w:rsidRPr="00300110">
        <w:t xml:space="preserve"> </w:t>
      </w:r>
      <w:r w:rsidR="00434792" w:rsidRPr="00300110">
        <w:t>Can the s</w:t>
      </w:r>
      <w:r w:rsidRPr="00300110">
        <w:t>ponsor please provide further analysis of these subjects?</w:t>
      </w:r>
    </w:p>
    <w:p w:rsidR="002F27B6" w:rsidRPr="007024D1" w:rsidRDefault="00434792" w:rsidP="00A627E3">
      <w:r>
        <w:t>The s</w:t>
      </w:r>
      <w:r w:rsidR="002F27B6" w:rsidRPr="002C2F73">
        <w:t>ponsor has provided additional data with regard subjects with elevate amylase and lipase.</w:t>
      </w:r>
      <w:r w:rsidR="007E0E09">
        <w:t xml:space="preserve"> </w:t>
      </w:r>
      <w:r w:rsidR="002F27B6" w:rsidRPr="002C2F73">
        <w:t xml:space="preserve">In Study C13006 and Study C13007, in the population of subject only treated with </w:t>
      </w:r>
      <w:r w:rsidR="008E17B9" w:rsidRPr="008E17B9">
        <w:t>vedolizumab</w:t>
      </w:r>
      <w:r w:rsidR="002F27B6" w:rsidRPr="002C2F73">
        <w:t xml:space="preserve"> there were 20 (1.4%) subjects with amylase &gt;</w:t>
      </w:r>
      <w:r>
        <w:t xml:space="preserve"> </w:t>
      </w:r>
      <w:r w:rsidR="002F27B6" w:rsidRPr="002C2F73">
        <w:t>2</w:t>
      </w:r>
      <w:r>
        <w:t xml:space="preserve"> </w:t>
      </w:r>
      <w:r w:rsidR="002F27B6" w:rsidRPr="002C2F73">
        <w:t>x</w:t>
      </w:r>
      <w:r>
        <w:t xml:space="preserve"> </w:t>
      </w:r>
      <w:r w:rsidR="002F27B6" w:rsidRPr="002C2F73">
        <w:t>ULN and 28 (2.0%) with lipase &gt;</w:t>
      </w:r>
      <w:r>
        <w:t xml:space="preserve"> </w:t>
      </w:r>
      <w:r w:rsidR="002F27B6" w:rsidRPr="002C2F73">
        <w:t>2</w:t>
      </w:r>
      <w:r>
        <w:t xml:space="preserve"> </w:t>
      </w:r>
      <w:r w:rsidR="002F27B6" w:rsidRPr="002C2F73">
        <w:t>x</w:t>
      </w:r>
      <w:r>
        <w:t xml:space="preserve"> </w:t>
      </w:r>
      <w:r w:rsidR="002F27B6" w:rsidRPr="002C2F73">
        <w:t>ULN, compared to in the placebo treated only group 8 (2.7%) and 8 (2.7%) respectively.</w:t>
      </w:r>
      <w:r w:rsidR="007E0E09">
        <w:t xml:space="preserve"> </w:t>
      </w:r>
      <w:r w:rsidR="002F27B6" w:rsidRPr="002C2F73">
        <w:t>In Study C13008 there were 34 (1.5%) subjects with amylase &gt;</w:t>
      </w:r>
      <w:r>
        <w:t xml:space="preserve"> </w:t>
      </w:r>
      <w:r w:rsidR="002F27B6" w:rsidRPr="002C2F73">
        <w:t>2</w:t>
      </w:r>
      <w:r>
        <w:t xml:space="preserve"> </w:t>
      </w:r>
      <w:r w:rsidR="002F27B6" w:rsidRPr="002C2F73">
        <w:t>x</w:t>
      </w:r>
      <w:r>
        <w:t xml:space="preserve"> </w:t>
      </w:r>
      <w:r w:rsidR="002F27B6" w:rsidRPr="002C2F73">
        <w:t>ULN and 44 (2.0%) with lipase &gt;</w:t>
      </w:r>
      <w:r>
        <w:t xml:space="preserve"> </w:t>
      </w:r>
      <w:r w:rsidR="002F27B6" w:rsidRPr="002C2F73">
        <w:t>2</w:t>
      </w:r>
      <w:r>
        <w:t xml:space="preserve"> </w:t>
      </w:r>
      <w:r w:rsidR="002F27B6" w:rsidRPr="002C2F73">
        <w:t>x</w:t>
      </w:r>
      <w:r>
        <w:t xml:space="preserve"> </w:t>
      </w:r>
      <w:r w:rsidR="002F27B6" w:rsidRPr="002C2F73">
        <w:t>ULN.</w:t>
      </w:r>
      <w:r w:rsidR="007E0E09">
        <w:t xml:space="preserve"> </w:t>
      </w:r>
      <w:r w:rsidR="002F27B6" w:rsidRPr="002C2F73">
        <w:t>Acute</w:t>
      </w:r>
      <w:r w:rsidR="002F27B6" w:rsidRPr="007024D1">
        <w:t xml:space="preserve"> pancreatitis was reported for ten subjects treated with </w:t>
      </w:r>
      <w:r w:rsidR="008E17B9" w:rsidRPr="008E17B9">
        <w:t>vedolizumab</w:t>
      </w:r>
      <w:r w:rsidR="002F27B6" w:rsidRPr="007024D1">
        <w:t xml:space="preserve"> and one with placebo, giving incidence rate for acute pancreatitis of 0.21 per 100 patient years and 0.47 per 100 patient years respectively.</w:t>
      </w:r>
    </w:p>
    <w:p w:rsidR="002F27B6" w:rsidRPr="007024D1" w:rsidRDefault="00434792" w:rsidP="00A627E3">
      <w:r>
        <w:t>In the opinion of the e</w:t>
      </w:r>
      <w:r w:rsidR="002F27B6" w:rsidRPr="007024D1">
        <w:t xml:space="preserve">valuator these data are reassuring and do not indicate an increased risk for pancreatitis following treatment with </w:t>
      </w:r>
      <w:r w:rsidR="008E17B9" w:rsidRPr="008E17B9">
        <w:t>vedolizumab</w:t>
      </w:r>
      <w:r w:rsidR="002F27B6" w:rsidRPr="007024D1">
        <w:t xml:space="preserve"> in comparison with placebo.</w:t>
      </w:r>
      <w:r w:rsidR="007E0E09">
        <w:t xml:space="preserve"> </w:t>
      </w:r>
      <w:r>
        <w:t>The e</w:t>
      </w:r>
      <w:r w:rsidR="002F27B6" w:rsidRPr="007024D1">
        <w:t xml:space="preserve">valuator also notes that the </w:t>
      </w:r>
      <w:r>
        <w:t>s</w:t>
      </w:r>
      <w:r w:rsidR="002F27B6" w:rsidRPr="007024D1">
        <w:t xml:space="preserve">ponsor has stated: </w:t>
      </w:r>
      <w:r w:rsidR="002F27B6" w:rsidRPr="00434792">
        <w:rPr>
          <w:i/>
        </w:rPr>
        <w:t>“Takeda plans to continue monitoring pancreatitis as part of the standard post-marketing safety surveillance</w:t>
      </w:r>
      <w:r w:rsidR="002F27B6" w:rsidRPr="007024D1">
        <w:t>.”</w:t>
      </w:r>
    </w:p>
    <w:p w:rsidR="00434792" w:rsidRDefault="0083736D" w:rsidP="00A627E3">
      <w:pPr>
        <w:pStyle w:val="Heading4"/>
      </w:pPr>
      <w:r>
        <w:lastRenderedPageBreak/>
        <w:t xml:space="preserve">Sponsor’s response to </w:t>
      </w:r>
      <w:r w:rsidR="002F27B6" w:rsidRPr="00A627E3">
        <w:t>comment</w:t>
      </w:r>
      <w:r w:rsidR="00434792" w:rsidRPr="00A627E3">
        <w:t>s</w:t>
      </w:r>
      <w:r w:rsidR="00434792">
        <w:t xml:space="preserve"> </w:t>
      </w:r>
      <w:r>
        <w:t>in the clinical evaluation report</w:t>
      </w:r>
    </w:p>
    <w:p w:rsidR="003E3320" w:rsidRPr="003E3320" w:rsidRDefault="003E3320" w:rsidP="00A627E3">
      <w:r>
        <w:t>In addition to providing information against each of the questions raised by the clinical evaluator, the sponsor addressed several comments made by the evaluator in the CER.</w:t>
      </w:r>
      <w:r w:rsidR="001B0341">
        <w:t xml:space="preserve"> The clinical evaluator’s evaluation of these is below.</w:t>
      </w:r>
    </w:p>
    <w:p w:rsidR="002F27B6" w:rsidRPr="00300110" w:rsidRDefault="0083736D" w:rsidP="00A627E3">
      <w:pPr>
        <w:ind w:left="720"/>
      </w:pPr>
      <w:r w:rsidRPr="00300110">
        <w:rPr>
          <w:b/>
        </w:rPr>
        <w:t>Evaluator comment</w:t>
      </w:r>
      <w:r w:rsidRPr="00300110">
        <w:t xml:space="preserve">: </w:t>
      </w:r>
      <w:r w:rsidR="002F27B6" w:rsidRPr="00300110">
        <w:t>Vedolizumab did not appear to offer benefit for those patients with CD who had initially responded to TNFα antagonist treatment, and subsequently lost response.</w:t>
      </w:r>
    </w:p>
    <w:p w:rsidR="002F27B6" w:rsidRPr="007024D1" w:rsidRDefault="00434792" w:rsidP="00A627E3">
      <w:r>
        <w:t>The s</w:t>
      </w:r>
      <w:r w:rsidR="002F27B6" w:rsidRPr="007024D1">
        <w:t>ponsor responded with the following arguments:</w:t>
      </w:r>
    </w:p>
    <w:p w:rsidR="002F27B6" w:rsidRPr="007024D1" w:rsidRDefault="002F27B6" w:rsidP="00A627E3">
      <w:pPr>
        <w:pStyle w:val="ListBullet"/>
      </w:pPr>
      <w:r w:rsidRPr="007024D1">
        <w:t>It should be noted that Studies C13007 and C13011 were not powered to establish efficacy in an</w:t>
      </w:r>
      <w:r w:rsidR="0083736D">
        <w:t>y specific subgroup and randomis</w:t>
      </w:r>
      <w:r w:rsidRPr="007024D1">
        <w:t xml:space="preserve">ation was not stratified by type of prior TNFα </w:t>
      </w:r>
      <w:r w:rsidRPr="00A627E3">
        <w:t>antagonist</w:t>
      </w:r>
      <w:r w:rsidRPr="007024D1">
        <w:t xml:space="preserve"> failure.</w:t>
      </w:r>
      <w:r w:rsidR="007E0E09">
        <w:t xml:space="preserve"> </w:t>
      </w:r>
      <w:r w:rsidRPr="007024D1">
        <w:t>Therefore, small sample sizes for patients with each type of failure to TNFα antagonist treatment limits interpretation.</w:t>
      </w:r>
    </w:p>
    <w:p w:rsidR="002F27B6" w:rsidRPr="007024D1" w:rsidRDefault="00434792" w:rsidP="00A627E3">
      <w:pPr>
        <w:pStyle w:val="ListBullet"/>
      </w:pPr>
      <w:r>
        <w:t>In the i</w:t>
      </w:r>
      <w:r w:rsidR="002F27B6" w:rsidRPr="007024D1">
        <w:t xml:space="preserve">nduction </w:t>
      </w:r>
      <w:r>
        <w:t>p</w:t>
      </w:r>
      <w:r w:rsidR="002F27B6" w:rsidRPr="007024D1">
        <w:t xml:space="preserve">hase of Study C13007, numerically higher rates were observed in both primary endpoints including clinical remission at Week 6 and enhanced clinical response at Week 6 in patients who have had loss of response to TNFα and consistent treatment benefit was observed in all groups administered vedolizumab </w:t>
      </w:r>
      <w:r w:rsidR="005C5029">
        <w:t>versus</w:t>
      </w:r>
      <w:r w:rsidR="002F27B6" w:rsidRPr="007024D1">
        <w:t xml:space="preserve"> placebo in both Study C13007 and Study C13011.</w:t>
      </w:r>
    </w:p>
    <w:p w:rsidR="002F27B6" w:rsidRPr="007024D1" w:rsidRDefault="00434792" w:rsidP="00A627E3">
      <w:r>
        <w:t>The s</w:t>
      </w:r>
      <w:r w:rsidR="002F27B6" w:rsidRPr="007024D1">
        <w:t>ponsor provided tabulations of data from Study C13011.</w:t>
      </w:r>
      <w:r w:rsidR="007E0E09">
        <w:t xml:space="preserve"> </w:t>
      </w:r>
      <w:r w:rsidR="002F27B6" w:rsidRPr="007024D1">
        <w:t>In the subgroup of subjects who had lost response to TNFα inhibitors, there were the following results:</w:t>
      </w:r>
    </w:p>
    <w:p w:rsidR="002F27B6" w:rsidRPr="007024D1" w:rsidRDefault="002F27B6" w:rsidP="00A627E3">
      <w:pPr>
        <w:pStyle w:val="ListBullet"/>
      </w:pPr>
      <w:r w:rsidRPr="007024D1">
        <w:t xml:space="preserve">At Week 6 clinical remission was reported in 15 (15.0%) subjects in the </w:t>
      </w:r>
      <w:proofErr w:type="spellStart"/>
      <w:r w:rsidR="008E17B9" w:rsidRPr="008E17B9">
        <w:t>vedolizumab</w:t>
      </w:r>
      <w:proofErr w:type="spellEnd"/>
      <w:r w:rsidRPr="007024D1">
        <w:t xml:space="preserve"> </w:t>
      </w:r>
      <w:r w:rsidRPr="00A627E3">
        <w:t>population</w:t>
      </w:r>
      <w:r w:rsidRPr="007024D1">
        <w:t xml:space="preserve"> and 13 (12.6%) of the placebo</w:t>
      </w:r>
      <w:r w:rsidR="0083736D">
        <w:t>,</w:t>
      </w:r>
      <w:r w:rsidRPr="007024D1">
        <w:t xml:space="preserve"> difference (95% CI) </w:t>
      </w:r>
      <w:r w:rsidR="008E17B9" w:rsidRPr="008E17B9">
        <w:t>vedolizumab</w:t>
      </w:r>
      <w:r w:rsidRPr="007024D1">
        <w:t>-placebo in remission rates 2.4 (-7.0 to 11.9) %</w:t>
      </w:r>
      <w:r w:rsidR="0083736D">
        <w:t>;</w:t>
      </w:r>
    </w:p>
    <w:p w:rsidR="002F27B6" w:rsidRPr="007024D1" w:rsidRDefault="002F27B6" w:rsidP="00A627E3">
      <w:pPr>
        <w:pStyle w:val="ListBullet"/>
      </w:pPr>
      <w:r w:rsidRPr="007024D1">
        <w:t xml:space="preserve">At Week 6 enhanced clinical response was reported in 34 (34.0%) subjects in the </w:t>
      </w:r>
      <w:r w:rsidR="008E17B9" w:rsidRPr="008E17B9">
        <w:t>vedolizumab</w:t>
      </w:r>
      <w:r w:rsidRPr="007024D1">
        <w:t xml:space="preserve"> populatio</w:t>
      </w:r>
      <w:r w:rsidR="0083736D">
        <w:t>n and 22 (21.4%) of the placebo,</w:t>
      </w:r>
      <w:r w:rsidRPr="007024D1">
        <w:t xml:space="preserve"> difference (95% CI) </w:t>
      </w:r>
      <w:proofErr w:type="spellStart"/>
      <w:r w:rsidR="008E17B9" w:rsidRPr="008E17B9">
        <w:t>vedolizumab</w:t>
      </w:r>
      <w:proofErr w:type="spellEnd"/>
      <w:r w:rsidRPr="007024D1">
        <w:t xml:space="preserve">-placebo </w:t>
      </w:r>
      <w:r w:rsidRPr="00A627E3">
        <w:t>in</w:t>
      </w:r>
      <w:r w:rsidRPr="007024D1">
        <w:t xml:space="preserve"> remis</w:t>
      </w:r>
      <w:r w:rsidR="0083736D">
        <w:t>sion rates 12.6 (0.4 to 24.8) %;</w:t>
      </w:r>
    </w:p>
    <w:p w:rsidR="002F27B6" w:rsidRPr="007024D1" w:rsidRDefault="002F27B6" w:rsidP="00A627E3">
      <w:pPr>
        <w:pStyle w:val="ListBullet"/>
      </w:pPr>
      <w:r w:rsidRPr="007024D1">
        <w:t xml:space="preserve">At Week 10 clinical remission was reported in 25 (25.0%) subjects in the </w:t>
      </w:r>
      <w:r w:rsidR="008E17B9" w:rsidRPr="008E17B9">
        <w:t>vedolizumab</w:t>
      </w:r>
      <w:r w:rsidRPr="007024D1">
        <w:t xml:space="preserve"> populatio</w:t>
      </w:r>
      <w:r w:rsidR="0083736D">
        <w:t>n and 14 (13.6%) of the placebo,</w:t>
      </w:r>
      <w:r w:rsidRPr="007024D1">
        <w:t xml:space="preserve"> difference (95% CI) </w:t>
      </w:r>
      <w:r w:rsidR="008E17B9" w:rsidRPr="008E17B9">
        <w:t>vedolizumab</w:t>
      </w:r>
      <w:r w:rsidRPr="007024D1">
        <w:t>-placebo in remission rates 11.4 (0.6 to 22.2) %</w:t>
      </w:r>
      <w:r w:rsidR="0083736D">
        <w:t>;</w:t>
      </w:r>
    </w:p>
    <w:p w:rsidR="002F27B6" w:rsidRPr="007024D1" w:rsidRDefault="002F27B6" w:rsidP="00A627E3">
      <w:pPr>
        <w:pStyle w:val="ListBullet"/>
      </w:pPr>
      <w:r w:rsidRPr="007024D1">
        <w:t xml:space="preserve">At Week 10 sustained clinical remission was reported in 11 (11.0%) subjects in the </w:t>
      </w:r>
      <w:r w:rsidR="008E17B9" w:rsidRPr="008E17B9">
        <w:t>vedolizumab</w:t>
      </w:r>
      <w:r w:rsidRPr="007024D1">
        <w:t xml:space="preserve"> populati</w:t>
      </w:r>
      <w:r w:rsidR="0083736D">
        <w:t xml:space="preserve">on and 10 (9.7%) </w:t>
      </w:r>
      <w:r w:rsidR="0083736D" w:rsidRPr="00A627E3">
        <w:t>of</w:t>
      </w:r>
      <w:r w:rsidR="0083736D">
        <w:t xml:space="preserve"> the placebo,</w:t>
      </w:r>
      <w:r w:rsidRPr="007024D1">
        <w:t xml:space="preserve"> difference (95% CI) </w:t>
      </w:r>
      <w:r w:rsidR="008E17B9" w:rsidRPr="008E17B9">
        <w:t>vedolizumab</w:t>
      </w:r>
      <w:r w:rsidRPr="007024D1">
        <w:t>-placebo in remission rates 1.3 (-7.1 to 9.7) %.</w:t>
      </w:r>
    </w:p>
    <w:p w:rsidR="002F27B6" w:rsidRPr="007024D1" w:rsidRDefault="0083736D" w:rsidP="00A627E3">
      <w:r>
        <w:t>The e</w:t>
      </w:r>
      <w:r w:rsidR="002F27B6" w:rsidRPr="007024D1">
        <w:t>valuator notes that in Study C13011, the primary efficacy endpoint (clinical remission in the population of subjects with previous TNFα antagonist treatment failure) there was no significant difference in efficacy between vedolizumab and placebo.</w:t>
      </w:r>
      <w:r w:rsidR="007E0E09">
        <w:t xml:space="preserve"> </w:t>
      </w:r>
      <w:r w:rsidR="002F27B6" w:rsidRPr="007024D1">
        <w:t xml:space="preserve">There were 24 (15.2%) subjects in the vedolizumab group and 19 (12.1%) in the placebo </w:t>
      </w:r>
      <w:r>
        <w:t xml:space="preserve">group </w:t>
      </w:r>
      <w:r w:rsidR="002F27B6" w:rsidRPr="007024D1">
        <w:t>who achieved clinical remission: RR (95% CI) 1.2 (0.7 to 2.2), p = 0.4332.</w:t>
      </w:r>
      <w:r w:rsidR="007E0E09">
        <w:t xml:space="preserve"> </w:t>
      </w:r>
      <w:r w:rsidR="002F27B6" w:rsidRPr="007024D1">
        <w:t>Hence overall this stu</w:t>
      </w:r>
      <w:r>
        <w:t>dy did not demonstrate efficacy</w:t>
      </w:r>
      <w:r w:rsidR="002F27B6" w:rsidRPr="007024D1">
        <w:t xml:space="preserve"> and therefore could not be taken to demonstrate efficacy in a subpopulation.</w:t>
      </w:r>
    </w:p>
    <w:p w:rsidR="002F27B6" w:rsidRPr="007024D1" w:rsidRDefault="002F27B6" w:rsidP="00A627E3">
      <w:r w:rsidRPr="007024D1">
        <w:t xml:space="preserve">The </w:t>
      </w:r>
      <w:r w:rsidR="0083736D">
        <w:t>s</w:t>
      </w:r>
      <w:r w:rsidRPr="007024D1">
        <w:t>ponsor provided tabulations of data from Study C13007</w:t>
      </w:r>
      <w:r>
        <w:t>:</w:t>
      </w:r>
      <w:r w:rsidR="007E0E09">
        <w:t xml:space="preserve"> </w:t>
      </w:r>
    </w:p>
    <w:p w:rsidR="002F27B6" w:rsidRPr="007024D1" w:rsidRDefault="002F27B6" w:rsidP="00A627E3">
      <w:pPr>
        <w:pStyle w:val="ListBullet"/>
      </w:pPr>
      <w:r w:rsidRPr="007024D1">
        <w:t xml:space="preserve">In the induction phase, at Week 6 clinical remission was reported in 8 (13.3%) subjects in the </w:t>
      </w:r>
      <w:r w:rsidR="008E17B9" w:rsidRPr="008E17B9">
        <w:t>vedolizumab</w:t>
      </w:r>
      <w:r w:rsidRPr="007024D1">
        <w:t xml:space="preserve"> population and 0 (0.0%) of the placebo, difference (95% CI) </w:t>
      </w:r>
      <w:proofErr w:type="spellStart"/>
      <w:r w:rsidR="008E17B9" w:rsidRPr="00A627E3">
        <w:t>vedolizumab</w:t>
      </w:r>
      <w:proofErr w:type="spellEnd"/>
      <w:r w:rsidRPr="007024D1">
        <w:t>-placebo in remission rates 13.3 (-7.1 to 33.0) %</w:t>
      </w:r>
    </w:p>
    <w:p w:rsidR="002F27B6" w:rsidRPr="007024D1" w:rsidRDefault="002F27B6" w:rsidP="00A627E3">
      <w:pPr>
        <w:pStyle w:val="ListBullet"/>
      </w:pPr>
      <w:r w:rsidRPr="007024D1">
        <w:t xml:space="preserve">In the induction phase, at </w:t>
      </w:r>
      <w:r w:rsidRPr="00A627E3">
        <w:t>Week</w:t>
      </w:r>
      <w:r w:rsidRPr="007024D1">
        <w:t xml:space="preserve"> 6 enhanced clinical response was reported in 16 (26.7%) subjects in the </w:t>
      </w:r>
      <w:r w:rsidR="008E17B9" w:rsidRPr="008E17B9">
        <w:t>vedolizumab</w:t>
      </w:r>
      <w:r w:rsidRPr="007024D1">
        <w:t xml:space="preserve"> population and 7 (18.4%) in the placebo, difference (95% CI) </w:t>
      </w:r>
      <w:r w:rsidR="008E17B9" w:rsidRPr="008E17B9">
        <w:t>vedolizumab</w:t>
      </w:r>
      <w:r w:rsidRPr="007024D1">
        <w:t>-placebo in remission rates 8.2 (-8.4 to 24.9) %.</w:t>
      </w:r>
    </w:p>
    <w:p w:rsidR="002F27B6" w:rsidRPr="007024D1" w:rsidRDefault="0083736D" w:rsidP="00A627E3">
      <w:r>
        <w:t>The e</w:t>
      </w:r>
      <w:r w:rsidR="002F27B6" w:rsidRPr="007024D1">
        <w:t xml:space="preserve">valuator notes that the numbers of subjects and the results presented in the </w:t>
      </w:r>
      <w:r>
        <w:t xml:space="preserve">sponsor’s response </w:t>
      </w:r>
      <w:r w:rsidR="002F27B6" w:rsidRPr="007024D1">
        <w:t xml:space="preserve">are different to those reported in the Clinical Study Report for Study </w:t>
      </w:r>
      <w:r w:rsidR="002F27B6" w:rsidRPr="007024D1">
        <w:lastRenderedPageBreak/>
        <w:t>C13007.</w:t>
      </w:r>
      <w:r w:rsidR="007E0E09">
        <w:t xml:space="preserve"> </w:t>
      </w:r>
      <w:r w:rsidR="002F27B6" w:rsidRPr="007024D1">
        <w:t xml:space="preserve">This is confusing but appears to be because the </w:t>
      </w:r>
      <w:r>
        <w:t xml:space="preserve">sponsor’s </w:t>
      </w:r>
      <w:r w:rsidR="002F27B6" w:rsidRPr="007024D1">
        <w:t>response is based upon whether the subject had been reported as having loss of response at all, whereas the Clinical Study Report based the post-hoc analysis on “worst failure type”.</w:t>
      </w:r>
      <w:r w:rsidR="007E0E09">
        <w:t xml:space="preserve"> </w:t>
      </w:r>
      <w:r>
        <w:t>The e</w:t>
      </w:r>
      <w:r w:rsidR="002F27B6" w:rsidRPr="007024D1">
        <w:t>valuator places more emphasis on the analysis presented in the Clinical Study Report, in the belief that this analysis was originally cons</w:t>
      </w:r>
      <w:r>
        <w:t>idered more significant by the s</w:t>
      </w:r>
      <w:r w:rsidR="002F27B6" w:rsidRPr="007024D1">
        <w:t>ponsor when the protocol was written.</w:t>
      </w:r>
      <w:r w:rsidR="007E0E09">
        <w:t xml:space="preserve"> </w:t>
      </w:r>
      <w:r>
        <w:t>The e</w:t>
      </w:r>
      <w:r w:rsidR="002F27B6" w:rsidRPr="007024D1">
        <w:t>valuator interprets these results as indicating that if treatment failure was primar</w:t>
      </w:r>
      <w:r w:rsidR="00C11D50">
        <w:t>ily because of loss of response</w:t>
      </w:r>
      <w:r w:rsidR="002F27B6" w:rsidRPr="007024D1">
        <w:t xml:space="preserve"> then sustained benefit in subjects with CD is unlikely.</w:t>
      </w:r>
    </w:p>
    <w:p w:rsidR="002F27B6" w:rsidRPr="00300110" w:rsidRDefault="0083736D" w:rsidP="00A627E3">
      <w:pPr>
        <w:ind w:left="720"/>
      </w:pPr>
      <w:r w:rsidRPr="00300110">
        <w:rPr>
          <w:b/>
        </w:rPr>
        <w:t>Evaluator</w:t>
      </w:r>
      <w:r w:rsidR="002F27B6" w:rsidRPr="00300110">
        <w:rPr>
          <w:b/>
        </w:rPr>
        <w:t xml:space="preserve"> comment</w:t>
      </w:r>
      <w:r w:rsidR="002F27B6" w:rsidRPr="00300110">
        <w:t xml:space="preserve">: There was little difference in efficacy between the 4 weekly administration </w:t>
      </w:r>
      <w:proofErr w:type="gramStart"/>
      <w:r w:rsidR="002F27B6" w:rsidRPr="00300110">
        <w:t>regimen</w:t>
      </w:r>
      <w:proofErr w:type="gramEnd"/>
      <w:r w:rsidR="002F27B6" w:rsidRPr="00300110">
        <w:t xml:space="preserve"> for mainten</w:t>
      </w:r>
      <w:r w:rsidR="007E0E09" w:rsidRPr="00300110">
        <w:t xml:space="preserve">ance and the 8 weekly regimen. </w:t>
      </w:r>
      <w:r w:rsidR="002F27B6" w:rsidRPr="00300110">
        <w:t>Hence the recommendation to increase dosing frequency from 8 weekly to 4 weekly in patients who do not respond requires further justification.</w:t>
      </w:r>
    </w:p>
    <w:p w:rsidR="002F27B6" w:rsidRPr="007024D1" w:rsidRDefault="0083736D" w:rsidP="00A627E3">
      <w:r>
        <w:t>The s</w:t>
      </w:r>
      <w:r w:rsidR="002F27B6" w:rsidRPr="007024D1">
        <w:t>ponsor responded that the recommendation to increase the dosing frequency from 8 weekly to 4 weekly in patients who do not respond is based upon the analysis of subjects who terminated early from Study C13006 and Study C13007.</w:t>
      </w:r>
      <w:r w:rsidR="007E0E09">
        <w:t xml:space="preserve"> </w:t>
      </w:r>
      <w:r w:rsidR="002F27B6" w:rsidRPr="007024D1">
        <w:t xml:space="preserve">These subjects were entered into Study C13008 and were treated with the 4 weekly dosing </w:t>
      </w:r>
      <w:proofErr w:type="gramStart"/>
      <w:r w:rsidR="002F27B6" w:rsidRPr="007024D1">
        <w:t>regimen</w:t>
      </w:r>
      <w:proofErr w:type="gramEnd"/>
      <w:r w:rsidR="002F27B6" w:rsidRPr="007024D1">
        <w:t>.</w:t>
      </w:r>
      <w:r w:rsidR="007E0E09">
        <w:t xml:space="preserve"> </w:t>
      </w:r>
      <w:r w:rsidR="002F27B6" w:rsidRPr="007024D1">
        <w:t>However, the numbers of subjects treated at this doing frequency decreased with increasing time: 31 with UC at Week 0, 19 at Week 24 and 15 at Week 52; and 57 with CD at Week 0, 40 at Week 28 and 30 at Week 52.</w:t>
      </w:r>
      <w:r w:rsidR="007E0E09">
        <w:t xml:space="preserve"> </w:t>
      </w:r>
      <w:r w:rsidR="002F27B6" w:rsidRPr="007024D1">
        <w:t>Hence, the improvement in mean Mayo scores may have been due to a flawed study design for the following reasons:</w:t>
      </w:r>
    </w:p>
    <w:p w:rsidR="002F27B6" w:rsidRPr="007024D1" w:rsidRDefault="002F27B6" w:rsidP="00A627E3">
      <w:pPr>
        <w:pStyle w:val="ListBullet"/>
      </w:pPr>
      <w:r w:rsidRPr="007024D1">
        <w:t>The mean partial Mayo scores may have improved over time because the subjects with the worst scores dropped out completely from the study</w:t>
      </w:r>
      <w:r w:rsidR="003E3331">
        <w:t>;</w:t>
      </w:r>
    </w:p>
    <w:p w:rsidR="002F27B6" w:rsidRPr="007024D1" w:rsidRDefault="002F27B6" w:rsidP="00A627E3">
      <w:pPr>
        <w:pStyle w:val="ListBullet"/>
      </w:pPr>
      <w:r w:rsidRPr="007024D1">
        <w:t xml:space="preserve">The natural history of the </w:t>
      </w:r>
      <w:r w:rsidRPr="00A627E3">
        <w:t>condition</w:t>
      </w:r>
      <w:r w:rsidRPr="007024D1">
        <w:t>, with natural remissions and exacerbations, may have resulted in apparent improvement</w:t>
      </w:r>
      <w:r w:rsidR="003E3331">
        <w:t>;</w:t>
      </w:r>
    </w:p>
    <w:p w:rsidR="002F27B6" w:rsidRPr="007024D1" w:rsidRDefault="002F27B6" w:rsidP="002F27B6">
      <w:pPr>
        <w:pStyle w:val="ListBullet"/>
      </w:pPr>
      <w:r w:rsidRPr="007024D1">
        <w:t>Concomitant medications may have resulted in improvement</w:t>
      </w:r>
      <w:r w:rsidR="003E3331">
        <w:t>.</w:t>
      </w:r>
    </w:p>
    <w:p w:rsidR="002F27B6" w:rsidRPr="007024D1" w:rsidRDefault="002F27B6" w:rsidP="00A627E3">
      <w:r w:rsidRPr="007024D1">
        <w:t>Study C1</w:t>
      </w:r>
      <w:r w:rsidR="001E172F">
        <w:t>3</w:t>
      </w:r>
      <w:r w:rsidRPr="007024D1">
        <w:t>008 did not have a comparison group and was not suitable for determining the efficacy of an alternative dosing regimen.</w:t>
      </w:r>
    </w:p>
    <w:p w:rsidR="002F27B6" w:rsidRPr="007024D1" w:rsidRDefault="003E3331" w:rsidP="002F27B6">
      <w:r>
        <w:t>In the opinion of the e</w:t>
      </w:r>
      <w:r w:rsidR="002F27B6" w:rsidRPr="007024D1">
        <w:t>valuator Study C13008 was not designed to be able to demonstrate the efficacy of an alternative dosing strategy.</w:t>
      </w:r>
      <w:r w:rsidR="007E0E09">
        <w:t xml:space="preserve"> </w:t>
      </w:r>
      <w:r w:rsidR="002F27B6" w:rsidRPr="007024D1">
        <w:t xml:space="preserve">Increasing the dosing frequency to 4 weekly in subjects that do not respond to the 8 weekly </w:t>
      </w:r>
      <w:proofErr w:type="gramStart"/>
      <w:r w:rsidR="002F27B6" w:rsidRPr="007024D1">
        <w:t>regimen</w:t>
      </w:r>
      <w:proofErr w:type="gramEnd"/>
      <w:r w:rsidR="002F27B6" w:rsidRPr="007024D1">
        <w:t xml:space="preserve"> would increase exposure with no demonstrated benefit.</w:t>
      </w:r>
      <w:r w:rsidR="007E0E09">
        <w:t xml:space="preserve"> </w:t>
      </w:r>
      <w:r w:rsidR="002F27B6" w:rsidRPr="007024D1">
        <w:t>The risk benefit for this dosing recommendation is unfavourable.</w:t>
      </w:r>
    </w:p>
    <w:p w:rsidR="002F27B6" w:rsidRPr="00300110" w:rsidRDefault="002F27B6" w:rsidP="00A627E3">
      <w:pPr>
        <w:ind w:left="720"/>
      </w:pPr>
      <w:r w:rsidRPr="00300110">
        <w:rPr>
          <w:b/>
        </w:rPr>
        <w:t>Evaluator comment</w:t>
      </w:r>
      <w:r w:rsidRPr="00300110">
        <w:t xml:space="preserve">: Subgroup Analyses of Patients Who Were Taking Concomitant Medication and were not able to take </w:t>
      </w:r>
      <w:proofErr w:type="spellStart"/>
      <w:r w:rsidRPr="00300110">
        <w:t>TNFa</w:t>
      </w:r>
      <w:proofErr w:type="spellEnd"/>
      <w:r w:rsidRPr="00300110">
        <w:t xml:space="preserve"> antagonists</w:t>
      </w:r>
    </w:p>
    <w:p w:rsidR="002F27B6" w:rsidRPr="007024D1" w:rsidRDefault="003E3331" w:rsidP="00A627E3">
      <w:r>
        <w:t>The s</w:t>
      </w:r>
      <w:r w:rsidR="002F27B6" w:rsidRPr="007024D1">
        <w:t xml:space="preserve">ponsor provided additional tabulations and graphical presentations of subgroup analyses for subjects taking concomitant medications and </w:t>
      </w:r>
      <w:r>
        <w:t xml:space="preserve">who </w:t>
      </w:r>
      <w:r w:rsidR="002F27B6" w:rsidRPr="007024D1">
        <w:t>were not able to take TNFα antagonists.</w:t>
      </w:r>
      <w:r w:rsidR="007E0E09">
        <w:t xml:space="preserve"> </w:t>
      </w:r>
      <w:r w:rsidR="002F27B6" w:rsidRPr="007024D1">
        <w:t xml:space="preserve">These tabulations indicate that concomitant corticosteroid and/or immunomodulator treatment does not affect response to </w:t>
      </w:r>
      <w:r w:rsidR="008E17B9" w:rsidRPr="008E17B9">
        <w:t>vedolizumab</w:t>
      </w:r>
    </w:p>
    <w:p w:rsidR="002F27B6" w:rsidRPr="007024D1" w:rsidRDefault="002F27B6" w:rsidP="00A627E3">
      <w:r w:rsidRPr="007024D1">
        <w:t>How</w:t>
      </w:r>
      <w:r w:rsidR="003E3331">
        <w:t>ever, in these tabulations the s</w:t>
      </w:r>
      <w:r w:rsidRPr="007024D1">
        <w:t xml:space="preserve">ponsor also provided </w:t>
      </w:r>
      <w:r>
        <w:t>another t</w:t>
      </w:r>
      <w:r w:rsidRPr="007024D1">
        <w:t>able from the Study C13006 report.</w:t>
      </w:r>
      <w:r w:rsidR="007E0E09">
        <w:t xml:space="preserve"> </w:t>
      </w:r>
      <w:r w:rsidRPr="007024D1">
        <w:t xml:space="preserve">The table indicates that the subgroup of subjects who had lost response to a TNFα antagonist did not have a sustained response to </w:t>
      </w:r>
      <w:r w:rsidR="008E17B9" w:rsidRPr="008E17B9">
        <w:t>vedolizumab</w:t>
      </w:r>
      <w:r w:rsidRPr="007024D1">
        <w:t>.</w:t>
      </w:r>
      <w:r w:rsidR="007E0E09">
        <w:t xml:space="preserve"> </w:t>
      </w:r>
      <w:r w:rsidRPr="007024D1">
        <w:t xml:space="preserve">For the 8 weekly dosing regimen the difference in response rate (95% CI) at Week 52, </w:t>
      </w:r>
      <w:r w:rsidR="008E17B9" w:rsidRPr="008E17B9">
        <w:t>vedolizumab</w:t>
      </w:r>
      <w:r w:rsidRPr="007024D1">
        <w:t>-placebo, was 8.1 (-27.9 to 42.0) % for subjects with loss of response to TNFα antagonists, 37.5 (4.5 to 65.2) % for subjects with inadequate response to TNFα antagonists and 48.3 (7.2 to 78.8) % in subjects with intolerance to TNFα antagonists.</w:t>
      </w:r>
      <w:r w:rsidR="007E0E09">
        <w:t xml:space="preserve"> </w:t>
      </w:r>
      <w:r w:rsidRPr="007024D1">
        <w:t xml:space="preserve">Hence this provides further evidence of lack of long term efficacy of </w:t>
      </w:r>
      <w:r w:rsidR="008E17B9" w:rsidRPr="008E17B9">
        <w:t xml:space="preserve">vedolizumab </w:t>
      </w:r>
      <w:r w:rsidRPr="007024D1">
        <w:t>for subjects with loss of response to TNFα antagonists for both UC and CD.</w:t>
      </w:r>
    </w:p>
    <w:p w:rsidR="002F27B6" w:rsidRPr="003B0BD2" w:rsidRDefault="003E3331" w:rsidP="00A627E3">
      <w:pPr>
        <w:pStyle w:val="Heading4"/>
      </w:pPr>
      <w:r>
        <w:lastRenderedPageBreak/>
        <w:t xml:space="preserve">Evaluator’s </w:t>
      </w:r>
      <w:r w:rsidRPr="00A627E3">
        <w:t>additional</w:t>
      </w:r>
      <w:r>
        <w:t xml:space="preserve"> </w:t>
      </w:r>
      <w:r w:rsidR="002F27B6" w:rsidRPr="003B0BD2">
        <w:t>comments on the data submitted in the overall application</w:t>
      </w:r>
    </w:p>
    <w:p w:rsidR="002F27B6" w:rsidRPr="007024D1" w:rsidRDefault="001B0341" w:rsidP="00A627E3">
      <w:pPr>
        <w:pStyle w:val="Heading5"/>
      </w:pPr>
      <w:r>
        <w:t>Crohn’s d</w:t>
      </w:r>
      <w:r w:rsidR="002F27B6" w:rsidRPr="007024D1">
        <w:t>isease</w:t>
      </w:r>
    </w:p>
    <w:p w:rsidR="002F27B6" w:rsidRPr="007024D1" w:rsidRDefault="002F27B6" w:rsidP="00A627E3">
      <w:r w:rsidRPr="007024D1">
        <w:t>The measures of disease severity, the efficacy endpoints and the subgroup analyses undertaken in the CD study program were appropriate.</w:t>
      </w:r>
      <w:r w:rsidR="007E0E09">
        <w:t xml:space="preserve"> </w:t>
      </w:r>
      <w:r w:rsidRPr="007024D1">
        <w:t>The use of enhanced clinical response as an efficacy endpoint differs from that of more recently examined agents in the treatment of CD.</w:t>
      </w:r>
      <w:r w:rsidR="007E0E09">
        <w:t xml:space="preserve"> </w:t>
      </w:r>
      <w:r w:rsidRPr="007024D1">
        <w:t xml:space="preserve">There were deviations from the EU Guideline on the </w:t>
      </w:r>
      <w:r w:rsidRPr="009E5210">
        <w:rPr>
          <w:i/>
        </w:rPr>
        <w:t>Development of New Medicinal Products for the Treatment of Crohn's Disease</w:t>
      </w:r>
      <w:r w:rsidRPr="007024D1">
        <w:t xml:space="preserve"> that has been adopted in Australia.</w:t>
      </w:r>
      <w:r w:rsidR="007E0E09">
        <w:t xml:space="preserve"> </w:t>
      </w:r>
      <w:r w:rsidRPr="007024D1">
        <w:t>To address these deviations the sponsor carried</w:t>
      </w:r>
      <w:r w:rsidR="00A627E3">
        <w:t xml:space="preserve"> out supplementary analyses.</w:t>
      </w:r>
    </w:p>
    <w:p w:rsidR="002F27B6" w:rsidRPr="007024D1" w:rsidRDefault="002F27B6" w:rsidP="00A627E3">
      <w:r w:rsidRPr="007024D1">
        <w:t>Study C13007, the pivotal study for this indication, did not use the proposed induction regimen.</w:t>
      </w:r>
      <w:r w:rsidR="007E0E09">
        <w:t xml:space="preserve"> </w:t>
      </w:r>
      <w:r w:rsidRPr="007024D1">
        <w:t xml:space="preserve">The proposed </w:t>
      </w:r>
      <w:r w:rsidR="003E3331">
        <w:t>4 week</w:t>
      </w:r>
      <w:r w:rsidR="00914834">
        <w:t>ly</w:t>
      </w:r>
      <w:r w:rsidR="003E3331">
        <w:t xml:space="preserve"> </w:t>
      </w:r>
      <w:r w:rsidRPr="007024D1">
        <w:t xml:space="preserve">and </w:t>
      </w:r>
      <w:r w:rsidR="00914834">
        <w:t>eight weekly</w:t>
      </w:r>
      <w:r w:rsidR="003E3331">
        <w:t xml:space="preserve"> </w:t>
      </w:r>
      <w:r w:rsidR="008E17B9" w:rsidRPr="008E17B9">
        <w:t>vedolizumab</w:t>
      </w:r>
      <w:r w:rsidRPr="007024D1">
        <w:t xml:space="preserve"> maintenance regimens were compared with placebo but not with each other.</w:t>
      </w:r>
      <w:r w:rsidR="007E0E09">
        <w:t xml:space="preserve"> </w:t>
      </w:r>
      <w:r w:rsidRPr="007024D1">
        <w:t>This study also had design features which made determination of the extent of long term benefit for a patient commencing induction treatment complex.</w:t>
      </w:r>
      <w:r w:rsidR="007E0E09">
        <w:t xml:space="preserve"> </w:t>
      </w:r>
      <w:r w:rsidRPr="007024D1">
        <w:t>The induction phase of the study had a co-primary efficacy measure (clinical remission or enhanced clinical response).</w:t>
      </w:r>
      <w:r w:rsidR="007E0E09">
        <w:t xml:space="preserve"> </w:t>
      </w:r>
      <w:r w:rsidRPr="007024D1">
        <w:t>Neither of these efficacy measures was the basis for subsequent selection of patients into the maintenance phase of the study.</w:t>
      </w:r>
      <w:r w:rsidR="007E0E09">
        <w:t xml:space="preserve"> </w:t>
      </w:r>
      <w:r w:rsidRPr="007024D1">
        <w:t>The maintenance phase selected patients to continue therapy only if they had achieved a clinical response.</w:t>
      </w:r>
      <w:r w:rsidR="007E0E09">
        <w:t xml:space="preserve"> </w:t>
      </w:r>
      <w:r w:rsidRPr="007024D1">
        <w:t>Clinical response was not an efficacy endpoint in the induction phase and was not reported in the induction phase study results.</w:t>
      </w:r>
      <w:r w:rsidR="007E0E09">
        <w:t xml:space="preserve"> </w:t>
      </w:r>
      <w:r w:rsidRPr="007024D1">
        <w:t>Thus the proportion of patients randomised to commence induction and who would go on to receive long term benefit from maintenance treatment could not be calculated from the data presented i</w:t>
      </w:r>
      <w:r w:rsidR="00A627E3">
        <w:t>n the body of the study report.</w:t>
      </w:r>
    </w:p>
    <w:p w:rsidR="002F27B6" w:rsidRPr="007024D1" w:rsidRDefault="002F27B6" w:rsidP="00A627E3">
      <w:r w:rsidRPr="007024D1">
        <w:t>Supplemental analyses of maintenance results by induction study cohorts (Cohort 1 was randomised and Cohort 2 open) were performed.</w:t>
      </w:r>
      <w:r w:rsidR="007E0E09">
        <w:t xml:space="preserve"> </w:t>
      </w:r>
      <w:r w:rsidRPr="007024D1">
        <w:t>Among patients who had an initial clinical response at Week 6 approximately 17% more patients who</w:t>
      </w:r>
      <w:r>
        <w:t xml:space="preserve"> continued on either dose of </w:t>
      </w:r>
      <w:r w:rsidR="008E17B9" w:rsidRPr="008E17B9">
        <w:t>vedolizumab</w:t>
      </w:r>
      <w:r w:rsidR="00D40EEF">
        <w:t xml:space="preserve"> were in clinical remission</w:t>
      </w:r>
      <w:r w:rsidRPr="007024D1">
        <w:t xml:space="preserve"> at Week 52 than those who received placebo.</w:t>
      </w:r>
      <w:r w:rsidR="007E0E09">
        <w:t xml:space="preserve"> </w:t>
      </w:r>
      <w:r w:rsidRPr="007024D1">
        <w:t xml:space="preserve">A similar difference occurred for enhanced clinical response where the difference was around 15% (favouring </w:t>
      </w:r>
      <w:r w:rsidR="008E17B9" w:rsidRPr="008E17B9">
        <w:t>vedolizumab</w:t>
      </w:r>
      <w:r w:rsidRPr="007024D1">
        <w:t>).</w:t>
      </w:r>
      <w:r w:rsidR="007E0E09">
        <w:t xml:space="preserve"> </w:t>
      </w:r>
      <w:r w:rsidRPr="007024D1">
        <w:t xml:space="preserve">No statistical comparisons of efficacy between the </w:t>
      </w:r>
      <w:r w:rsidR="008E17B9" w:rsidRPr="008E17B9">
        <w:t>vedolizumab</w:t>
      </w:r>
      <w:r w:rsidRPr="007024D1">
        <w:t xml:space="preserve"> maintenance dose regimens were performed but no clinically signi</w:t>
      </w:r>
      <w:r w:rsidR="00A627E3">
        <w:t>ficant difference was apparent.</w:t>
      </w:r>
    </w:p>
    <w:p w:rsidR="002F27B6" w:rsidRPr="007024D1" w:rsidRDefault="002F27B6" w:rsidP="00A627E3">
      <w:r w:rsidRPr="007024D1">
        <w:t>Results from the induction study using the proposed regimen were reassuring.</w:t>
      </w:r>
      <w:r w:rsidR="007E0E09">
        <w:t xml:space="preserve"> </w:t>
      </w:r>
      <w:r w:rsidRPr="007024D1">
        <w:t>Patients who were TNFα antagonist naïve and those who had experienced failure both had statistically significant benefit from treatment at the W</w:t>
      </w:r>
      <w:r w:rsidR="003E3331">
        <w:t>ee</w:t>
      </w:r>
      <w:r w:rsidRPr="007024D1">
        <w:t>k 10 assessment.</w:t>
      </w:r>
      <w:r w:rsidR="007E0E09">
        <w:t xml:space="preserve"> </w:t>
      </w:r>
      <w:r w:rsidRPr="007024D1">
        <w:t>An additional 14.5% of patients who had previously failed TNFα antagonist treatment and 19.1% who overall achieved clinical remission over those receiving placebo in addition to their concomitant treatments for CD.</w:t>
      </w:r>
      <w:r w:rsidR="007E0E09">
        <w:t xml:space="preserve"> </w:t>
      </w:r>
      <w:r w:rsidRPr="007024D1">
        <w:t>This is a reasonable clinical gain in a group who have a condition that is difficult to treat, particularly those who have failed prior TNFα antagonist therapy.</w:t>
      </w:r>
      <w:r w:rsidR="007E0E09">
        <w:t xml:space="preserve"> </w:t>
      </w:r>
      <w:r w:rsidRPr="007024D1">
        <w:t>The proportion of patients likely to benefit from maintenance therapy is a subgroup of those who initially responded and, based on the maintenance study results, is likely to be around 1 in 6 patients overall and somewhat fewer patients with</w:t>
      </w:r>
      <w:r w:rsidR="00A627E3">
        <w:t xml:space="preserve"> prior TNFα antagonist failure.</w:t>
      </w:r>
    </w:p>
    <w:p w:rsidR="002F27B6" w:rsidRPr="007024D1" w:rsidRDefault="002F27B6" w:rsidP="00A627E3">
      <w:r w:rsidRPr="007024D1">
        <w:t xml:space="preserve">Taking the results of the two Phase </w:t>
      </w:r>
      <w:r w:rsidR="003E3331">
        <w:t>II</w:t>
      </w:r>
      <w:r w:rsidRPr="007024D1">
        <w:t xml:space="preserve"> studies together the data support the proposed induction regimen for patients with moderate to severe CD, including patients with prior TNFα antagonist failure.</w:t>
      </w:r>
      <w:r w:rsidR="007E0E09">
        <w:t xml:space="preserve"> </w:t>
      </w:r>
      <w:r w:rsidRPr="007024D1">
        <w:t>If maintenance treatment were to be given it is not clear when an assessment of clinical response to determine whether treatment should continue should occur at Week 6 or Week 10 given that maintenance data in non-responders at Week 6 were not obtained from a randomised, double-blind study.</w:t>
      </w:r>
      <w:r w:rsidR="007E0E09">
        <w:t xml:space="preserve"> </w:t>
      </w:r>
      <w:r w:rsidRPr="007024D1">
        <w:t xml:space="preserve">The sponsor has proposed clinical </w:t>
      </w:r>
      <w:r w:rsidR="00A627E3">
        <w:t>benefit be assessed at Week 14.</w:t>
      </w:r>
    </w:p>
    <w:p w:rsidR="002F27B6" w:rsidRPr="007024D1" w:rsidRDefault="002F27B6" w:rsidP="00A627E3">
      <w:pPr>
        <w:pStyle w:val="Heading5"/>
      </w:pPr>
      <w:r w:rsidRPr="007024D1">
        <w:t xml:space="preserve">Ulcerative </w:t>
      </w:r>
      <w:r w:rsidRPr="00A627E3">
        <w:t>colitis</w:t>
      </w:r>
    </w:p>
    <w:p w:rsidR="002F27B6" w:rsidRPr="007024D1" w:rsidRDefault="002F27B6" w:rsidP="00A627E3">
      <w:r w:rsidRPr="007024D1">
        <w:t>The primary efficacy parameter of interest in UC is the proportion of study patients maintaining remission throughout the study period.</w:t>
      </w:r>
      <w:r w:rsidR="007E0E09">
        <w:t xml:space="preserve"> </w:t>
      </w:r>
      <w:r w:rsidRPr="007024D1">
        <w:t xml:space="preserve">This was not one of the secondary </w:t>
      </w:r>
      <w:r w:rsidRPr="007024D1">
        <w:lastRenderedPageBreak/>
        <w:t>endpoints in the pivotal study plan but was assessed as a supplemental analysis.</w:t>
      </w:r>
      <w:r w:rsidR="007E0E09">
        <w:t xml:space="preserve"> </w:t>
      </w:r>
      <w:r w:rsidRPr="007024D1">
        <w:t xml:space="preserve">An additional 22% of patients given </w:t>
      </w:r>
      <w:r w:rsidR="008E17B9" w:rsidRPr="008E17B9">
        <w:t>vedolizumab</w:t>
      </w:r>
      <w:r w:rsidRPr="007024D1">
        <w:t xml:space="preserve"> achieved a clinical response at Week 6 compared to patients given placebo.</w:t>
      </w:r>
      <w:r w:rsidR="007E0E09">
        <w:t xml:space="preserve"> </w:t>
      </w:r>
      <w:r w:rsidRPr="007024D1">
        <w:t>Of patients who had achieved a clinical response with maintenance treatment clinical remission at Week 52 was achieved by an additional 26% to 29% of patients compared with those who were maintained on placebo.</w:t>
      </w:r>
      <w:r w:rsidR="007E0E09">
        <w:t xml:space="preserve"> </w:t>
      </w:r>
      <w:r w:rsidRPr="007024D1">
        <w:t>However only an additional 11.3% more patients above than those given placebo achieved a durable clinical remission to Week 52.</w:t>
      </w:r>
      <w:r w:rsidR="007E0E09">
        <w:t xml:space="preserve"> </w:t>
      </w:r>
      <w:r w:rsidRPr="007024D1">
        <w:t>While a statistically significant benefit has been demonstrated only a minority of patients had clinically significant b</w:t>
      </w:r>
      <w:r w:rsidR="00A627E3">
        <w:t>enefits from ongoing treatment.</w:t>
      </w:r>
    </w:p>
    <w:p w:rsidR="002F27B6" w:rsidRPr="007024D1" w:rsidRDefault="002F27B6" w:rsidP="00A627E3">
      <w:r w:rsidRPr="007024D1">
        <w:t>The proposed induction regimen has not been examined in patients with UC.</w:t>
      </w:r>
      <w:r w:rsidR="007E0E09">
        <w:t xml:space="preserve"> </w:t>
      </w:r>
      <w:r w:rsidRPr="007024D1">
        <w:t>The response in patients with UC was assessed primary at 6 weeks after commencing a two dose induction regimen.</w:t>
      </w:r>
      <w:r w:rsidR="007E0E09">
        <w:t xml:space="preserve"> </w:t>
      </w:r>
      <w:r w:rsidRPr="007024D1">
        <w:t>At Week 6 only patients with a clinical response were selected to continue into the controlled, randomised maintenan</w:t>
      </w:r>
      <w:r w:rsidR="00A627E3">
        <w:t>ce study.</w:t>
      </w:r>
    </w:p>
    <w:p w:rsidR="002F27B6" w:rsidRPr="007024D1" w:rsidRDefault="002F27B6" w:rsidP="00A627E3">
      <w:r w:rsidRPr="007024D1">
        <w:t>The sponsor has also proposed that treatment response be assessed at Week 14 after commencing treatment.</w:t>
      </w:r>
      <w:r w:rsidR="007E0E09">
        <w:t xml:space="preserve"> </w:t>
      </w:r>
      <w:r w:rsidRPr="007024D1">
        <w:t>It is not clear why this time point was selected as it was not a major efficacy assessment time point in the pivotal clinical study.</w:t>
      </w:r>
      <w:r w:rsidR="007E0E09">
        <w:t xml:space="preserve"> </w:t>
      </w:r>
      <w:r w:rsidRPr="007024D1">
        <w:t xml:space="preserve">Only patients with a clinical response at Week 6 </w:t>
      </w:r>
      <w:r w:rsidR="00A627E3">
        <w:t>continued randomised treatment.</w:t>
      </w:r>
    </w:p>
    <w:p w:rsidR="002F27B6" w:rsidRPr="007024D1" w:rsidRDefault="002F27B6" w:rsidP="00A627E3">
      <w:r w:rsidRPr="007024D1">
        <w:t xml:space="preserve">Another issue with the proposed maintenance regimens for both indications was that there was no consistent difference in outcome between the </w:t>
      </w:r>
      <w:r w:rsidR="00914834">
        <w:t xml:space="preserve">8 weekly </w:t>
      </w:r>
      <w:r w:rsidRPr="007024D1">
        <w:t xml:space="preserve">and </w:t>
      </w:r>
      <w:r w:rsidR="00914834">
        <w:t xml:space="preserve">4 weekly </w:t>
      </w:r>
      <w:r w:rsidRPr="007024D1">
        <w:t>dose regimens, though no formal statistical comparison was made.</w:t>
      </w:r>
      <w:r w:rsidR="007E0E09">
        <w:t xml:space="preserve"> </w:t>
      </w:r>
      <w:r w:rsidRPr="007024D1">
        <w:t xml:space="preserve">There were insufficient efficacy data to justify reducing the dose interval in patients who do not respond to initial treatment </w:t>
      </w:r>
      <w:r w:rsidR="00914834">
        <w:t xml:space="preserve">every 8 weeks </w:t>
      </w:r>
      <w:r w:rsidRPr="007024D1">
        <w:t>or who become unrespon</w:t>
      </w:r>
      <w:r w:rsidR="00A627E3">
        <w:t>sive after an initial response.</w:t>
      </w:r>
    </w:p>
    <w:p w:rsidR="002F27B6" w:rsidRPr="007024D1" w:rsidRDefault="002F27B6" w:rsidP="00A627E3">
      <w:r w:rsidRPr="007024D1">
        <w:t>The main safety issue that has not been resolved is whether PML will be associated with vedolizumab as it is with natalizumab.</w:t>
      </w:r>
      <w:r w:rsidR="007E0E09">
        <w:t xml:space="preserve"> </w:t>
      </w:r>
      <w:r w:rsidRPr="007024D1">
        <w:t xml:space="preserve">The risk with natalizumab did not become apparent until a considerable time after first approval when increasing numbers of patients </w:t>
      </w:r>
      <w:r w:rsidR="00EF007B">
        <w:t xml:space="preserve">with </w:t>
      </w:r>
      <w:r w:rsidR="00530CFF">
        <w:t xml:space="preserve">MS </w:t>
      </w:r>
      <w:r w:rsidRPr="007024D1">
        <w:t>had been exposed to natalizumab for more than 2 years.</w:t>
      </w:r>
      <w:r w:rsidR="007E0E09">
        <w:t xml:space="preserve"> </w:t>
      </w:r>
      <w:r w:rsidRPr="007024D1">
        <w:t xml:space="preserve">Long term safety data for </w:t>
      </w:r>
      <w:r w:rsidR="008E17B9" w:rsidRPr="008E17B9">
        <w:t>vedolizumab</w:t>
      </w:r>
      <w:r w:rsidRPr="007024D1">
        <w:t xml:space="preserve"> are quite limited.</w:t>
      </w:r>
      <w:r w:rsidR="007E0E09">
        <w:t xml:space="preserve"> </w:t>
      </w:r>
      <w:r w:rsidRPr="007024D1">
        <w:t>In addition, patients in the clinical trial program were intensively screened to reduce the probability of PML infection developing.</w:t>
      </w:r>
      <w:r w:rsidR="007E0E09">
        <w:t xml:space="preserve"> </w:t>
      </w:r>
      <w:r w:rsidRPr="007024D1">
        <w:t>No such plan is in place for patients post-approval and the proposed patient alert card does not specifically warn of the possibility of PML.</w:t>
      </w:r>
      <w:r w:rsidR="007E0E09">
        <w:t xml:space="preserve"> </w:t>
      </w:r>
      <w:r w:rsidRPr="007024D1">
        <w:t xml:space="preserve">Crohn’s disease and </w:t>
      </w:r>
      <w:r w:rsidR="009B56AE">
        <w:t>UC</w:t>
      </w:r>
      <w:r w:rsidRPr="007024D1">
        <w:t xml:space="preserve"> are managed by gastroenterologists who are likely to have less awareness of the signs and symptoms of PML than is the case for neurologists who manage natalizumab</w:t>
      </w:r>
      <w:r w:rsidR="00A627E3">
        <w:t xml:space="preserve"> treatment in patients with MS.</w:t>
      </w:r>
    </w:p>
    <w:p w:rsidR="004C67AA" w:rsidRPr="00605AD4" w:rsidRDefault="004C67AA" w:rsidP="00A627E3">
      <w:pPr>
        <w:pStyle w:val="Heading3"/>
        <w:rPr>
          <w:rFonts w:eastAsia="Cambria"/>
        </w:rPr>
      </w:pPr>
      <w:bookmarkStart w:id="138" w:name="_Toc384807768"/>
      <w:bookmarkStart w:id="139" w:name="_Toc405974789"/>
      <w:r w:rsidRPr="00605AD4">
        <w:rPr>
          <w:rFonts w:eastAsia="Cambria"/>
        </w:rPr>
        <w:t xml:space="preserve">Second </w:t>
      </w:r>
      <w:r w:rsidR="00A627E3">
        <w:rPr>
          <w:rFonts w:eastAsia="Cambria"/>
        </w:rPr>
        <w:t>r</w:t>
      </w:r>
      <w:r w:rsidRPr="00605AD4">
        <w:rPr>
          <w:rFonts w:eastAsia="Cambria"/>
        </w:rPr>
        <w:t xml:space="preserve">ound </w:t>
      </w:r>
      <w:r w:rsidR="00A627E3" w:rsidRPr="00A627E3">
        <w:rPr>
          <w:rFonts w:eastAsia="Cambria"/>
        </w:rPr>
        <w:t>b</w:t>
      </w:r>
      <w:r w:rsidRPr="00A627E3">
        <w:rPr>
          <w:rFonts w:eastAsia="Cambria"/>
        </w:rPr>
        <w:t>enefit</w:t>
      </w:r>
      <w:r w:rsidRPr="00605AD4">
        <w:rPr>
          <w:rFonts w:eastAsia="Cambria"/>
        </w:rPr>
        <w:t>-</w:t>
      </w:r>
      <w:r w:rsidR="00A627E3">
        <w:rPr>
          <w:rFonts w:eastAsia="Cambria"/>
        </w:rPr>
        <w:t>r</w:t>
      </w:r>
      <w:r w:rsidRPr="00605AD4">
        <w:rPr>
          <w:rFonts w:eastAsia="Cambria"/>
        </w:rPr>
        <w:t xml:space="preserve">isk </w:t>
      </w:r>
      <w:r w:rsidR="00A627E3" w:rsidRPr="00A627E3">
        <w:rPr>
          <w:rFonts w:eastAsia="Cambria"/>
        </w:rPr>
        <w:t>a</w:t>
      </w:r>
      <w:r w:rsidRPr="00A627E3">
        <w:rPr>
          <w:rFonts w:eastAsia="Cambria"/>
        </w:rPr>
        <w:t>ssessment</w:t>
      </w:r>
      <w:bookmarkEnd w:id="138"/>
      <w:bookmarkEnd w:id="139"/>
    </w:p>
    <w:p w:rsidR="00DE1B3B" w:rsidRPr="007024D1" w:rsidRDefault="00DE1B3B" w:rsidP="00A627E3">
      <w:pPr>
        <w:pStyle w:val="Heading4"/>
      </w:pPr>
      <w:bookmarkStart w:id="140" w:name="_Toc272414709"/>
      <w:bookmarkStart w:id="141" w:name="_Toc290846349"/>
      <w:bookmarkStart w:id="142" w:name="_Toc290888886"/>
      <w:bookmarkStart w:id="143" w:name="_Toc380688190"/>
      <w:bookmarkStart w:id="144" w:name="_Toc399406732"/>
      <w:r w:rsidRPr="007024D1">
        <w:t xml:space="preserve">Second round assessment of </w:t>
      </w:r>
      <w:r w:rsidRPr="00A627E3">
        <w:t>benefits</w:t>
      </w:r>
      <w:bookmarkEnd w:id="140"/>
      <w:bookmarkEnd w:id="141"/>
      <w:bookmarkEnd w:id="142"/>
      <w:bookmarkEnd w:id="143"/>
      <w:bookmarkEnd w:id="144"/>
    </w:p>
    <w:p w:rsidR="00DE1B3B" w:rsidRPr="007024D1" w:rsidRDefault="00DE1B3B" w:rsidP="00A627E3">
      <w:r w:rsidRPr="007024D1">
        <w:t>After consideration of the responses to clinical questions, the benefits of vedolizumab in the proposed usage are:</w:t>
      </w:r>
    </w:p>
    <w:p w:rsidR="00DE1B3B" w:rsidRPr="007024D1" w:rsidRDefault="00DE1B3B" w:rsidP="00A627E3">
      <w:pPr>
        <w:pStyle w:val="ListBullet"/>
      </w:pPr>
      <w:r w:rsidRPr="007024D1">
        <w:t xml:space="preserve">Efficacy has been demonstrated for vedolizumab in the treatment of adult patients with moderate to severe </w:t>
      </w:r>
      <w:r w:rsidR="009B56AE">
        <w:t>UC</w:t>
      </w:r>
      <w:r w:rsidRPr="007024D1">
        <w:t xml:space="preserve"> who have had an inadequate response with, lost response to, or are intolerant to a conventional therapy or had an inadequate response with, or are intolerant to a </w:t>
      </w:r>
      <w:r w:rsidR="00EF007B">
        <w:t>TNFα</w:t>
      </w:r>
      <w:r w:rsidRPr="007024D1">
        <w:t xml:space="preserve"> antagonist.</w:t>
      </w:r>
    </w:p>
    <w:p w:rsidR="00DE1B3B" w:rsidRPr="007024D1" w:rsidRDefault="00DE1B3B" w:rsidP="00A627E3">
      <w:pPr>
        <w:pStyle w:val="ListBullet"/>
      </w:pPr>
      <w:r w:rsidRPr="007024D1">
        <w:t xml:space="preserve">Efficacy has been demonstrated for vedolizumab in the treatment of adult patients with moderate to severe </w:t>
      </w:r>
      <w:r w:rsidR="009B56AE">
        <w:t xml:space="preserve">CD </w:t>
      </w:r>
      <w:r w:rsidRPr="007024D1">
        <w:t xml:space="preserve">who have had an inadequate response with, lost response to, or are </w:t>
      </w:r>
      <w:r w:rsidRPr="00A627E3">
        <w:t>intolerant</w:t>
      </w:r>
      <w:r w:rsidRPr="007024D1">
        <w:t xml:space="preserve"> to a conventional therapy or had an inadequate response with, or are intolerant to a TNFα antagonist. </w:t>
      </w:r>
    </w:p>
    <w:p w:rsidR="00DE1B3B" w:rsidRPr="007024D1" w:rsidRDefault="009B56AE" w:rsidP="00A627E3">
      <w:r>
        <w:t>However, the e</w:t>
      </w:r>
      <w:r w:rsidR="00DE1B3B" w:rsidRPr="007024D1">
        <w:t>valuator is unable to conclude sustained efficacy for subjects with UC</w:t>
      </w:r>
      <w:r>
        <w:t xml:space="preserve"> </w:t>
      </w:r>
      <w:r w:rsidR="00DE1B3B" w:rsidRPr="007024D1">
        <w:t xml:space="preserve">or </w:t>
      </w:r>
      <w:r>
        <w:t xml:space="preserve">CD </w:t>
      </w:r>
      <w:r w:rsidR="00DE1B3B" w:rsidRPr="007024D1">
        <w:t>who had initiall</w:t>
      </w:r>
      <w:r w:rsidR="00EF007B">
        <w:t>y responded to TNFα antagonists</w:t>
      </w:r>
      <w:r w:rsidR="00DE1B3B" w:rsidRPr="007024D1">
        <w:t xml:space="preserve"> and subsequently lost response.</w:t>
      </w:r>
    </w:p>
    <w:p w:rsidR="00DE1B3B" w:rsidRPr="007024D1" w:rsidRDefault="00DE1B3B" w:rsidP="00DE1B3B">
      <w:r w:rsidRPr="007024D1">
        <w:lastRenderedPageBreak/>
        <w:t xml:space="preserve">Increasing the frequency of dosing from </w:t>
      </w:r>
      <w:r w:rsidR="00EF007B">
        <w:t>every 8 weeks</w:t>
      </w:r>
      <w:r w:rsidRPr="007024D1">
        <w:t xml:space="preserve"> to </w:t>
      </w:r>
      <w:r w:rsidR="00EF007B">
        <w:t>every 4 weeks</w:t>
      </w:r>
      <w:r w:rsidRPr="007024D1">
        <w:t xml:space="preserve"> in subjects that lose response to vedolizumab has not been demonstrated to be beneficial in an </w:t>
      </w:r>
      <w:proofErr w:type="gramStart"/>
      <w:r w:rsidRPr="007024D1">
        <w:t>appropriately</w:t>
      </w:r>
      <w:proofErr w:type="gramEnd"/>
      <w:r w:rsidRPr="007024D1">
        <w:t xml:space="preserve"> designed study.</w:t>
      </w:r>
    </w:p>
    <w:p w:rsidR="00DE1B3B" w:rsidRPr="007024D1" w:rsidRDefault="00DE1B3B" w:rsidP="00A627E3">
      <w:pPr>
        <w:pStyle w:val="Heading4"/>
      </w:pPr>
      <w:bookmarkStart w:id="145" w:name="_Toc272414710"/>
      <w:bookmarkStart w:id="146" w:name="_Toc290846350"/>
      <w:bookmarkStart w:id="147" w:name="_Toc290888887"/>
      <w:bookmarkStart w:id="148" w:name="_Toc380688191"/>
      <w:bookmarkStart w:id="149" w:name="_Toc399406733"/>
      <w:r w:rsidRPr="007024D1">
        <w:t>Second round assessment of risks</w:t>
      </w:r>
      <w:bookmarkEnd w:id="145"/>
      <w:bookmarkEnd w:id="146"/>
      <w:bookmarkEnd w:id="147"/>
      <w:bookmarkEnd w:id="148"/>
      <w:bookmarkEnd w:id="149"/>
    </w:p>
    <w:p w:rsidR="00DE1B3B" w:rsidRPr="007024D1" w:rsidRDefault="00DE1B3B" w:rsidP="00A627E3">
      <w:r w:rsidRPr="007024D1">
        <w:t>After consideration of the respon</w:t>
      </w:r>
      <w:r w:rsidR="00EF007B">
        <w:t>ses to clinical questions, the e</w:t>
      </w:r>
      <w:r w:rsidRPr="007024D1">
        <w:t xml:space="preserve">valuator concludes that in addition to the risks identified in </w:t>
      </w:r>
      <w:r w:rsidR="00634F82">
        <w:t xml:space="preserve">the </w:t>
      </w:r>
      <w:r w:rsidR="00634F82" w:rsidRPr="00634F82">
        <w:rPr>
          <w:i/>
        </w:rPr>
        <w:t>First round assessment of risks</w:t>
      </w:r>
      <w:r w:rsidR="00634F82">
        <w:t>, above</w:t>
      </w:r>
      <w:r w:rsidRPr="007024D1">
        <w:t>:</w:t>
      </w:r>
    </w:p>
    <w:p w:rsidR="00DE1B3B" w:rsidRPr="007024D1" w:rsidRDefault="00DE1B3B" w:rsidP="00A627E3">
      <w:pPr>
        <w:pStyle w:val="ListBullet"/>
      </w:pPr>
      <w:r w:rsidRPr="007024D1">
        <w:t xml:space="preserve">There is a higher rate of elevation of transaminases and of hepatic parenchymal damage in subjects treated with </w:t>
      </w:r>
      <w:r w:rsidR="008E17B9" w:rsidRPr="008E17B9">
        <w:t>vedolizumab</w:t>
      </w:r>
      <w:r w:rsidRPr="007024D1">
        <w:t xml:space="preserve"> compared to placebo.</w:t>
      </w:r>
      <w:r w:rsidR="007E0E09">
        <w:t xml:space="preserve"> </w:t>
      </w:r>
      <w:r w:rsidRPr="007024D1">
        <w:t>Most of these events are not serious and there is no clear indication of the aetiology.</w:t>
      </w:r>
      <w:r w:rsidR="007E0E09">
        <w:t xml:space="preserve"> </w:t>
      </w:r>
    </w:p>
    <w:p w:rsidR="00DE1B3B" w:rsidRPr="007024D1" w:rsidRDefault="00634F82" w:rsidP="00A627E3">
      <w:pPr>
        <w:pStyle w:val="ListBullet"/>
      </w:pPr>
      <w:r>
        <w:t xml:space="preserve">The data </w:t>
      </w:r>
      <w:r w:rsidRPr="00A627E3">
        <w:t>submitted</w:t>
      </w:r>
      <w:r>
        <w:t xml:space="preserve"> by the s</w:t>
      </w:r>
      <w:r w:rsidR="00DE1B3B" w:rsidRPr="007024D1">
        <w:t>ponsor do not indicate an increased risk of pancreatitis.</w:t>
      </w:r>
    </w:p>
    <w:p w:rsidR="00DE1B3B" w:rsidRPr="007024D1" w:rsidRDefault="00DE1B3B" w:rsidP="00A627E3">
      <w:pPr>
        <w:pStyle w:val="Heading4"/>
      </w:pPr>
      <w:bookmarkStart w:id="150" w:name="_Toc399406734"/>
      <w:r w:rsidRPr="007024D1">
        <w:t xml:space="preserve">Second </w:t>
      </w:r>
      <w:r w:rsidRPr="00A627E3">
        <w:t>round</w:t>
      </w:r>
      <w:r w:rsidRPr="007024D1">
        <w:t xml:space="preserve"> benefit-risk assessment</w:t>
      </w:r>
      <w:bookmarkEnd w:id="150"/>
    </w:p>
    <w:p w:rsidR="00DE1B3B" w:rsidRPr="003C7CDE" w:rsidRDefault="00DE1B3B" w:rsidP="00A627E3">
      <w:r w:rsidRPr="003C7CDE">
        <w:t xml:space="preserve">The benefit-risk balance of vedolizumab is unfavourable given the proposed usage, but would become favourable if the changes recommended under </w:t>
      </w:r>
      <w:r w:rsidRPr="003C7CDE">
        <w:rPr>
          <w:i/>
        </w:rPr>
        <w:t>Second round recommendation regarding authorisation</w:t>
      </w:r>
      <w:r w:rsidRPr="003C7CDE">
        <w:t>, below, are adopted.</w:t>
      </w:r>
    </w:p>
    <w:p w:rsidR="00DE1B3B" w:rsidRPr="00DE1B3B" w:rsidRDefault="00DE1B3B" w:rsidP="00A627E3">
      <w:pPr>
        <w:pStyle w:val="Heading3"/>
      </w:pPr>
      <w:bookmarkStart w:id="151" w:name="_Toc405974790"/>
      <w:r>
        <w:t>Second</w:t>
      </w:r>
      <w:r w:rsidRPr="00DE1B3B">
        <w:t xml:space="preserve"> </w:t>
      </w:r>
      <w:r w:rsidR="00A627E3">
        <w:t>r</w:t>
      </w:r>
      <w:r w:rsidRPr="00DE1B3B">
        <w:t xml:space="preserve">ound </w:t>
      </w:r>
      <w:r w:rsidR="00A627E3">
        <w:t>r</w:t>
      </w:r>
      <w:r w:rsidRPr="00DE1B3B">
        <w:t xml:space="preserve">ecommendation </w:t>
      </w:r>
      <w:r w:rsidR="00A627E3">
        <w:t>r</w:t>
      </w:r>
      <w:r w:rsidRPr="00DE1B3B">
        <w:t xml:space="preserve">egarding </w:t>
      </w:r>
      <w:r w:rsidR="00A627E3" w:rsidRPr="00A627E3">
        <w:t>a</w:t>
      </w:r>
      <w:r w:rsidRPr="00A627E3">
        <w:t>uthorisation</w:t>
      </w:r>
      <w:bookmarkEnd w:id="151"/>
    </w:p>
    <w:p w:rsidR="00DE1B3B" w:rsidRPr="003C7CDE" w:rsidRDefault="00DE1B3B" w:rsidP="00A627E3">
      <w:r w:rsidRPr="003C7CDE">
        <w:t xml:space="preserve">The </w:t>
      </w:r>
      <w:r w:rsidR="00300110">
        <w:t>e</w:t>
      </w:r>
      <w:r w:rsidRPr="003C7CDE">
        <w:t xml:space="preserve">valuator is unable to recommend the approval of </w:t>
      </w:r>
      <w:proofErr w:type="spellStart"/>
      <w:r w:rsidRPr="003C7CDE">
        <w:t>vedolizumab</w:t>
      </w:r>
      <w:proofErr w:type="spellEnd"/>
      <w:r w:rsidRPr="003C7CDE">
        <w:t xml:space="preserve"> (</w:t>
      </w:r>
      <w:proofErr w:type="spellStart"/>
      <w:r w:rsidR="00634F82" w:rsidRPr="00634F82">
        <w:t>Entyvio</w:t>
      </w:r>
      <w:proofErr w:type="spellEnd"/>
      <w:r w:rsidR="00634F82" w:rsidRPr="00634F82">
        <w:t>/</w:t>
      </w:r>
      <w:proofErr w:type="spellStart"/>
      <w:r w:rsidR="00634F82" w:rsidRPr="00634F82">
        <w:t>Kynteles</w:t>
      </w:r>
      <w:proofErr w:type="spellEnd"/>
      <w:r w:rsidRPr="003C7CDE">
        <w:t>), 300 mg powder for injection, for the following indication:</w:t>
      </w:r>
    </w:p>
    <w:p w:rsidR="00DE1B3B" w:rsidRPr="00A627E3" w:rsidRDefault="00DE1B3B" w:rsidP="00A627E3">
      <w:pPr>
        <w:rPr>
          <w:i/>
        </w:rPr>
      </w:pPr>
      <w:r w:rsidRPr="00A627E3">
        <w:rPr>
          <w:i/>
        </w:rPr>
        <w:t>Treatment of adult patients with moderate to severe ulcerative colitis who have had an inadequate response with, lost response to, or are intolerant to either conventional therapy or a tumour necrosis factor-alpha (TNFα) antagonist.</w:t>
      </w:r>
    </w:p>
    <w:p w:rsidR="00DE1B3B" w:rsidRPr="00A627E3" w:rsidRDefault="00DE1B3B" w:rsidP="00A627E3">
      <w:pPr>
        <w:rPr>
          <w:i/>
        </w:rPr>
      </w:pPr>
      <w:r w:rsidRPr="00A627E3">
        <w:rPr>
          <w:i/>
        </w:rPr>
        <w:t>Treatment of adult patients with moderate to severe Crohn’s disease who have had an inadequate response with, lost response to, or are intolerant to either conventional therapy or a tumour necrosis factor-alpha (TNFα) antagonist.</w:t>
      </w:r>
    </w:p>
    <w:p w:rsidR="00DE1B3B" w:rsidRPr="003C7CDE" w:rsidRDefault="00DE1B3B" w:rsidP="00A627E3">
      <w:r w:rsidRPr="003C7CDE">
        <w:t>The reason for this is that vedolizumab did not appear to offer benefit for those patients with UC or CD who had initially responded to TNFα antagonist treatment, and subsequently lost response.</w:t>
      </w:r>
    </w:p>
    <w:p w:rsidR="00DE1B3B" w:rsidRPr="003C7CDE" w:rsidRDefault="00634F82" w:rsidP="00A627E3">
      <w:r>
        <w:t>However, the e</w:t>
      </w:r>
      <w:r w:rsidR="00DE1B3B" w:rsidRPr="003C7CDE">
        <w:t xml:space="preserve">valuator </w:t>
      </w:r>
      <w:r>
        <w:t xml:space="preserve">has </w:t>
      </w:r>
      <w:r w:rsidR="00DE1B3B" w:rsidRPr="003C7CDE">
        <w:t xml:space="preserve">no objection to the approval of </w:t>
      </w:r>
      <w:proofErr w:type="spellStart"/>
      <w:r w:rsidR="00DE1B3B" w:rsidRPr="003C7CDE">
        <w:t>vedolizumab</w:t>
      </w:r>
      <w:proofErr w:type="spellEnd"/>
      <w:r w:rsidR="00DE1B3B" w:rsidRPr="003C7CDE">
        <w:t xml:space="preserve"> (</w:t>
      </w:r>
      <w:proofErr w:type="spellStart"/>
      <w:r w:rsidRPr="00634F82">
        <w:t>Entyvio</w:t>
      </w:r>
      <w:proofErr w:type="spellEnd"/>
      <w:r w:rsidRPr="00634F82">
        <w:t>/</w:t>
      </w:r>
      <w:proofErr w:type="spellStart"/>
      <w:r w:rsidRPr="00634F82">
        <w:t>Kynteles</w:t>
      </w:r>
      <w:proofErr w:type="spellEnd"/>
      <w:r w:rsidR="00DE1B3B" w:rsidRPr="003C7CDE">
        <w:t>), 300 mg powder for injection, for the following indication:</w:t>
      </w:r>
    </w:p>
    <w:p w:rsidR="00DE1B3B" w:rsidRPr="00A627E3" w:rsidRDefault="00DE1B3B" w:rsidP="00A627E3">
      <w:pPr>
        <w:ind w:left="720"/>
        <w:rPr>
          <w:i/>
        </w:rPr>
      </w:pPr>
      <w:r w:rsidRPr="00A627E3">
        <w:rPr>
          <w:i/>
        </w:rPr>
        <w:t>Treatment of adult patients with moderate to severe ulcerative colitis who have had an inadequate response with, lost response to, or are intolerant to a conventional therapy or had an inadequate response with, or are intolerant to a tumour necrosis factor-alpha (TNFα) antagonist.</w:t>
      </w:r>
    </w:p>
    <w:p w:rsidR="00DE1B3B" w:rsidRPr="00A627E3" w:rsidRDefault="00DE1B3B" w:rsidP="00A627E3">
      <w:pPr>
        <w:ind w:left="720"/>
        <w:rPr>
          <w:i/>
        </w:rPr>
      </w:pPr>
      <w:r w:rsidRPr="00A627E3">
        <w:rPr>
          <w:i/>
        </w:rPr>
        <w:t>Treatment of adult patients with moderate to severe Crohn’s disease who have had an inadequate response with, lost response to, or are intolerant to a conventional therapy or had an inadequate response with, or are intolerant to a tumour necrosis factor-alpha (TNFα) antagonist.</w:t>
      </w:r>
      <w:r w:rsidR="007E0E09" w:rsidRPr="00A627E3">
        <w:rPr>
          <w:i/>
        </w:rPr>
        <w:t xml:space="preserve"> </w:t>
      </w:r>
    </w:p>
    <w:p w:rsidR="004C67AA" w:rsidRPr="00A627E3" w:rsidRDefault="009B56AE" w:rsidP="00A627E3">
      <w:pPr>
        <w:ind w:left="720"/>
        <w:rPr>
          <w:i/>
        </w:rPr>
      </w:pPr>
      <w:r w:rsidRPr="00A627E3">
        <w:rPr>
          <w:i/>
        </w:rPr>
        <w:t>In subjects with u</w:t>
      </w:r>
      <w:r w:rsidR="00DE1B3B" w:rsidRPr="00A627E3">
        <w:rPr>
          <w:i/>
        </w:rPr>
        <w:t xml:space="preserve">lcerative </w:t>
      </w:r>
      <w:r w:rsidRPr="00A627E3">
        <w:rPr>
          <w:i/>
        </w:rPr>
        <w:t>c</w:t>
      </w:r>
      <w:r w:rsidR="00DE1B3B" w:rsidRPr="00A627E3">
        <w:rPr>
          <w:i/>
        </w:rPr>
        <w:t>olitis or Crohn’s disease who had initially responded to TNFα antagonists, and subsequently lost response, treatment with vedolizumab may not be justified.</w:t>
      </w:r>
    </w:p>
    <w:p w:rsidR="004C67AA" w:rsidRPr="00E41208" w:rsidRDefault="004C67AA" w:rsidP="00A627E3">
      <w:pPr>
        <w:pStyle w:val="Heading2"/>
      </w:pPr>
      <w:bookmarkStart w:id="152" w:name="_Toc384807769"/>
      <w:bookmarkStart w:id="153" w:name="_Toc405974791"/>
      <w:r w:rsidRPr="00E41208">
        <w:lastRenderedPageBreak/>
        <w:t xml:space="preserve">V. </w:t>
      </w:r>
      <w:proofErr w:type="spellStart"/>
      <w:r w:rsidRPr="00A627E3">
        <w:t>Pharmacovigilance</w:t>
      </w:r>
      <w:proofErr w:type="spellEnd"/>
      <w:r w:rsidRPr="00E41208">
        <w:t xml:space="preserve"> </w:t>
      </w:r>
      <w:r>
        <w:t>f</w:t>
      </w:r>
      <w:r w:rsidRPr="00E41208">
        <w:t>indings</w:t>
      </w:r>
      <w:bookmarkEnd w:id="119"/>
      <w:bookmarkEnd w:id="120"/>
      <w:bookmarkEnd w:id="152"/>
      <w:bookmarkEnd w:id="153"/>
    </w:p>
    <w:p w:rsidR="004C67AA" w:rsidRDefault="004C67AA" w:rsidP="00A627E3">
      <w:pPr>
        <w:pStyle w:val="Heading3"/>
        <w:rPr>
          <w:lang w:eastAsia="en-AU"/>
        </w:rPr>
      </w:pPr>
      <w:bookmarkStart w:id="154" w:name="_Toc247691526"/>
      <w:bookmarkStart w:id="155" w:name="_Toc314842509"/>
      <w:bookmarkStart w:id="156" w:name="_Toc384807770"/>
      <w:bookmarkStart w:id="157" w:name="_Toc405974792"/>
      <w:r>
        <w:rPr>
          <w:lang w:eastAsia="en-AU"/>
        </w:rPr>
        <w:t xml:space="preserve">Risk </w:t>
      </w:r>
      <w:r w:rsidRPr="00A627E3">
        <w:t>management</w:t>
      </w:r>
      <w:r>
        <w:rPr>
          <w:lang w:eastAsia="en-AU"/>
        </w:rPr>
        <w:t xml:space="preserve"> plan</w:t>
      </w:r>
      <w:bookmarkEnd w:id="154"/>
      <w:bookmarkEnd w:id="155"/>
      <w:bookmarkEnd w:id="156"/>
      <w:bookmarkEnd w:id="157"/>
    </w:p>
    <w:p w:rsidR="004C67AA" w:rsidRPr="009239C0" w:rsidRDefault="004C67AA" w:rsidP="00A627E3">
      <w:r w:rsidRPr="009239C0">
        <w:t>The sponsor submitted a Risk Management Plan</w:t>
      </w:r>
      <w:r w:rsidR="009239C0" w:rsidRPr="009239C0">
        <w:t xml:space="preserve"> (Vedolizumab EU-RMP version 1.0, dated 5 February 2013 (data lock point 16 July 2012) + Australian-specific Annex </w:t>
      </w:r>
      <w:r w:rsidR="00CA31B8">
        <w:t xml:space="preserve">(ASA) </w:t>
      </w:r>
      <w:r w:rsidR="009239C0" w:rsidRPr="009239C0">
        <w:t>version 1.0 dated June 2013)</w:t>
      </w:r>
      <w:r w:rsidRPr="009239C0">
        <w:t xml:space="preserve"> which was reviewed by the TGA’s Office of Product Review (OPR).</w:t>
      </w:r>
    </w:p>
    <w:p w:rsidR="004C67AA" w:rsidRDefault="004C67AA" w:rsidP="00A627E3">
      <w:pPr>
        <w:pStyle w:val="Heading4"/>
        <w:rPr>
          <w:lang w:eastAsia="en-AU"/>
        </w:rPr>
      </w:pPr>
      <w:r w:rsidRPr="00A627E3">
        <w:t>Safety</w:t>
      </w:r>
      <w:r>
        <w:rPr>
          <w:lang w:eastAsia="en-AU"/>
        </w:rPr>
        <w:t xml:space="preserve"> specification</w:t>
      </w:r>
    </w:p>
    <w:p w:rsidR="004C67AA" w:rsidRDefault="004C67AA" w:rsidP="00A627E3">
      <w:pPr>
        <w:rPr>
          <w:lang w:eastAsia="en-AU"/>
        </w:rPr>
      </w:pPr>
      <w:r>
        <w:rPr>
          <w:lang w:eastAsia="en-AU"/>
        </w:rPr>
        <w:t>The sponsor provided a summary of ongoing safety concerns which are s</w:t>
      </w:r>
      <w:r w:rsidR="00CA31B8">
        <w:rPr>
          <w:lang w:eastAsia="en-AU"/>
        </w:rPr>
        <w:t>hown at Table 8</w:t>
      </w:r>
      <w:r>
        <w:rPr>
          <w:lang w:eastAsia="en-AU"/>
        </w:rPr>
        <w:t>.</w:t>
      </w:r>
    </w:p>
    <w:p w:rsidR="001005E6" w:rsidRPr="001005E6" w:rsidRDefault="001005E6" w:rsidP="00A627E3">
      <w:pPr>
        <w:pStyle w:val="TableTitle"/>
      </w:pPr>
      <w:r w:rsidRPr="001005E6">
        <w:t xml:space="preserve">Table </w:t>
      </w:r>
      <w:r w:rsidR="00CA31B8">
        <w:t>8</w:t>
      </w:r>
      <w:r w:rsidRPr="001005E6">
        <w:t>: Summary of ongoing safety concerns</w:t>
      </w:r>
    </w:p>
    <w:tbl>
      <w:tblPr>
        <w:tblStyle w:val="TableTGAblue"/>
        <w:tblW w:w="0" w:type="auto"/>
        <w:tblLook w:val="04A0" w:firstRow="1" w:lastRow="0" w:firstColumn="1" w:lastColumn="0" w:noHBand="0" w:noVBand="1"/>
      </w:tblPr>
      <w:tblGrid>
        <w:gridCol w:w="3119"/>
        <w:gridCol w:w="5493"/>
      </w:tblGrid>
      <w:tr w:rsidR="001005E6" w:rsidRPr="00CF036E" w:rsidTr="00A627E3">
        <w:trPr>
          <w:cnfStyle w:val="100000000000" w:firstRow="1" w:lastRow="0" w:firstColumn="0" w:lastColumn="0" w:oddVBand="0" w:evenVBand="0" w:oddHBand="0" w:evenHBand="0" w:firstRowFirstColumn="0" w:firstRowLastColumn="0" w:lastRowFirstColumn="0" w:lastRowLastColumn="0"/>
        </w:trPr>
        <w:tc>
          <w:tcPr>
            <w:tcW w:w="8612" w:type="dxa"/>
            <w:gridSpan w:val="2"/>
          </w:tcPr>
          <w:p w:rsidR="001005E6" w:rsidRPr="00CF036E" w:rsidRDefault="001005E6" w:rsidP="00A627E3">
            <w:pPr>
              <w:jc w:val="center"/>
            </w:pPr>
            <w:r w:rsidRPr="00CF036E">
              <w:t>Ongoing safety concerns</w:t>
            </w:r>
          </w:p>
        </w:tc>
      </w:tr>
      <w:tr w:rsidR="001005E6" w:rsidRPr="00CF036E" w:rsidTr="00A627E3">
        <w:tc>
          <w:tcPr>
            <w:tcW w:w="3119" w:type="dxa"/>
          </w:tcPr>
          <w:p w:rsidR="001005E6" w:rsidRPr="00A627E3" w:rsidRDefault="001005E6" w:rsidP="00A627E3">
            <w:pPr>
              <w:rPr>
                <w:b/>
              </w:rPr>
            </w:pPr>
            <w:r w:rsidRPr="00A627E3">
              <w:rPr>
                <w:b/>
              </w:rPr>
              <w:t>Important identified risks</w:t>
            </w:r>
          </w:p>
        </w:tc>
        <w:tc>
          <w:tcPr>
            <w:tcW w:w="5493" w:type="dxa"/>
          </w:tcPr>
          <w:p w:rsidR="001005E6" w:rsidRPr="00CF036E" w:rsidRDefault="001005E6" w:rsidP="00A627E3">
            <w:r w:rsidRPr="001005E6">
              <w:t>Infusion-related reactions (IRRs), including</w:t>
            </w:r>
            <w:r>
              <w:t xml:space="preserve"> </w:t>
            </w:r>
            <w:r w:rsidRPr="001005E6">
              <w:t>hypersensitivity reactions (HSRs)</w:t>
            </w:r>
          </w:p>
        </w:tc>
      </w:tr>
      <w:tr w:rsidR="001005E6" w:rsidRPr="00CF036E" w:rsidTr="00A627E3">
        <w:tc>
          <w:tcPr>
            <w:tcW w:w="3119" w:type="dxa"/>
          </w:tcPr>
          <w:p w:rsidR="001005E6" w:rsidRPr="00A627E3" w:rsidRDefault="001005E6" w:rsidP="00A627E3">
            <w:pPr>
              <w:rPr>
                <w:b/>
              </w:rPr>
            </w:pPr>
            <w:r w:rsidRPr="00A627E3">
              <w:rPr>
                <w:b/>
              </w:rPr>
              <w:t>Important potential risks</w:t>
            </w:r>
          </w:p>
        </w:tc>
        <w:tc>
          <w:tcPr>
            <w:tcW w:w="5493" w:type="dxa"/>
          </w:tcPr>
          <w:p w:rsidR="001005E6" w:rsidRPr="001005E6" w:rsidRDefault="001005E6" w:rsidP="00FE46D2">
            <w:pPr>
              <w:pStyle w:val="ListBullet"/>
            </w:pPr>
            <w:r w:rsidRPr="001005E6">
              <w:rPr>
                <w:rFonts w:hint="eastAsia"/>
              </w:rPr>
              <w:t>Infections</w:t>
            </w:r>
          </w:p>
          <w:p w:rsidR="001005E6" w:rsidRPr="001005E6" w:rsidRDefault="001005E6" w:rsidP="00FE46D2">
            <w:pPr>
              <w:pStyle w:val="ListBullet2"/>
            </w:pPr>
            <w:r w:rsidRPr="001005E6">
              <w:rPr>
                <w:rFonts w:hint="eastAsia"/>
              </w:rPr>
              <w:t>Gastrointestinal infections and systemic</w:t>
            </w:r>
            <w:r w:rsidRPr="001005E6">
              <w:t xml:space="preserve"> </w:t>
            </w:r>
            <w:r w:rsidRPr="001005E6">
              <w:rPr>
                <w:rFonts w:hint="eastAsia"/>
              </w:rPr>
              <w:t>infections (serious and non</w:t>
            </w:r>
            <w:r w:rsidR="00CA31B8">
              <w:t>-</w:t>
            </w:r>
            <w:r w:rsidRPr="001005E6">
              <w:rPr>
                <w:rFonts w:hint="eastAsia"/>
              </w:rPr>
              <w:t>serious) against</w:t>
            </w:r>
            <w:r w:rsidRPr="001005E6">
              <w:t xml:space="preserve"> </w:t>
            </w:r>
            <w:r w:rsidRPr="001005E6">
              <w:rPr>
                <w:rFonts w:hint="eastAsia"/>
              </w:rPr>
              <w:t>which the gut constitutes a defensive barrier</w:t>
            </w:r>
          </w:p>
          <w:p w:rsidR="001005E6" w:rsidRPr="001005E6" w:rsidRDefault="001005E6" w:rsidP="00FE46D2">
            <w:pPr>
              <w:pStyle w:val="ListBullet2"/>
            </w:pPr>
            <w:r w:rsidRPr="001005E6">
              <w:rPr>
                <w:rFonts w:hint="eastAsia"/>
              </w:rPr>
              <w:t>Other serious infections, including</w:t>
            </w:r>
            <w:r w:rsidRPr="001005E6">
              <w:t xml:space="preserve"> </w:t>
            </w:r>
            <w:r w:rsidRPr="001005E6">
              <w:rPr>
                <w:rFonts w:hint="eastAsia"/>
              </w:rPr>
              <w:t>opportunistic infections such as progressive</w:t>
            </w:r>
            <w:r w:rsidRPr="001005E6">
              <w:t xml:space="preserve"> </w:t>
            </w:r>
            <w:r w:rsidRPr="001005E6">
              <w:rPr>
                <w:rFonts w:hint="eastAsia"/>
              </w:rPr>
              <w:t xml:space="preserve">multifocal </w:t>
            </w:r>
            <w:proofErr w:type="spellStart"/>
            <w:r w:rsidRPr="001005E6">
              <w:rPr>
                <w:rFonts w:hint="eastAsia"/>
              </w:rPr>
              <w:t>leukoencephalopathy</w:t>
            </w:r>
            <w:proofErr w:type="spellEnd"/>
            <w:r w:rsidRPr="001005E6">
              <w:rPr>
                <w:rFonts w:hint="eastAsia"/>
              </w:rPr>
              <w:t xml:space="preserve"> (PML)</w:t>
            </w:r>
          </w:p>
          <w:p w:rsidR="001005E6" w:rsidRPr="00CF036E" w:rsidRDefault="001005E6" w:rsidP="00FE46D2">
            <w:pPr>
              <w:pStyle w:val="ListBullet"/>
            </w:pPr>
            <w:r w:rsidRPr="001005E6">
              <w:rPr>
                <w:rFonts w:hint="eastAsia"/>
              </w:rPr>
              <w:t>Malignancies</w:t>
            </w:r>
          </w:p>
        </w:tc>
      </w:tr>
      <w:tr w:rsidR="001005E6" w:rsidRPr="00CF036E" w:rsidTr="00A627E3">
        <w:tc>
          <w:tcPr>
            <w:tcW w:w="3119" w:type="dxa"/>
          </w:tcPr>
          <w:p w:rsidR="001005E6" w:rsidRPr="00A627E3" w:rsidRDefault="001005E6" w:rsidP="00A627E3">
            <w:pPr>
              <w:rPr>
                <w:b/>
              </w:rPr>
            </w:pPr>
            <w:r w:rsidRPr="00A627E3">
              <w:rPr>
                <w:b/>
              </w:rPr>
              <w:t>Important missing information</w:t>
            </w:r>
          </w:p>
        </w:tc>
        <w:tc>
          <w:tcPr>
            <w:tcW w:w="5493" w:type="dxa"/>
          </w:tcPr>
          <w:p w:rsidR="001005E6" w:rsidRPr="001005E6" w:rsidRDefault="001005E6" w:rsidP="00FE46D2">
            <w:pPr>
              <w:pStyle w:val="ListBullet"/>
            </w:pPr>
            <w:r w:rsidRPr="001005E6">
              <w:t>Use in Pregnancy and lactation</w:t>
            </w:r>
          </w:p>
          <w:p w:rsidR="001005E6" w:rsidRPr="001005E6" w:rsidRDefault="001005E6" w:rsidP="00FE46D2">
            <w:pPr>
              <w:pStyle w:val="ListBullet"/>
            </w:pPr>
            <w:r w:rsidRPr="001005E6">
              <w:t>Use in Paediatric patients</w:t>
            </w:r>
          </w:p>
          <w:p w:rsidR="001005E6" w:rsidRPr="001005E6" w:rsidRDefault="001005E6" w:rsidP="00FE46D2">
            <w:pPr>
              <w:pStyle w:val="ListBullet"/>
            </w:pPr>
            <w:r w:rsidRPr="001005E6">
              <w:t>Use in Elderly patients</w:t>
            </w:r>
          </w:p>
          <w:p w:rsidR="001005E6" w:rsidRPr="001005E6" w:rsidRDefault="001005E6" w:rsidP="00FE46D2">
            <w:pPr>
              <w:pStyle w:val="ListBullet"/>
            </w:pPr>
            <w:r w:rsidRPr="001005E6">
              <w:t>Use in Hepatic Impairment</w:t>
            </w:r>
          </w:p>
          <w:p w:rsidR="001005E6" w:rsidRPr="001005E6" w:rsidRDefault="001005E6" w:rsidP="00FE46D2">
            <w:pPr>
              <w:pStyle w:val="ListBullet"/>
            </w:pPr>
            <w:r w:rsidRPr="001005E6">
              <w:t>Use in Renal Impairment</w:t>
            </w:r>
          </w:p>
          <w:p w:rsidR="001005E6" w:rsidRPr="001005E6" w:rsidRDefault="001005E6" w:rsidP="00FE46D2">
            <w:pPr>
              <w:pStyle w:val="ListBullet"/>
            </w:pPr>
            <w:r w:rsidRPr="001005E6">
              <w:t>Use in Cardiac Impairment</w:t>
            </w:r>
          </w:p>
          <w:p w:rsidR="001005E6" w:rsidRPr="001005E6" w:rsidRDefault="001005E6" w:rsidP="00FE46D2">
            <w:pPr>
              <w:pStyle w:val="ListBullet"/>
            </w:pPr>
            <w:r w:rsidRPr="001005E6">
              <w:t>Long-term safety</w:t>
            </w:r>
          </w:p>
          <w:p w:rsidR="001005E6" w:rsidRPr="001005E6" w:rsidRDefault="001005E6" w:rsidP="00FE46D2">
            <w:pPr>
              <w:pStyle w:val="ListBullet"/>
            </w:pPr>
            <w:r w:rsidRPr="001005E6">
              <w:t>Patients with prior exposure to natalizumab or</w:t>
            </w:r>
          </w:p>
          <w:p w:rsidR="001005E6" w:rsidRPr="00CF036E" w:rsidRDefault="004F079E" w:rsidP="00FE46D2">
            <w:pPr>
              <w:pStyle w:val="ListBullet"/>
            </w:pPr>
            <w:r>
              <w:t>R</w:t>
            </w:r>
            <w:r w:rsidR="001005E6" w:rsidRPr="001005E6">
              <w:t>ituximab or use with concurrent biologic</w:t>
            </w:r>
            <w:r w:rsidR="001005E6">
              <w:t xml:space="preserve"> </w:t>
            </w:r>
            <w:r w:rsidR="001005E6" w:rsidRPr="001005E6">
              <w:t>immunosuppressants</w:t>
            </w:r>
          </w:p>
        </w:tc>
      </w:tr>
    </w:tbl>
    <w:p w:rsidR="004C67AA" w:rsidRDefault="004C67AA" w:rsidP="00FE46D2">
      <w:pPr>
        <w:pStyle w:val="Heading4"/>
        <w:rPr>
          <w:lang w:eastAsia="en-AU"/>
        </w:rPr>
      </w:pPr>
      <w:proofErr w:type="spellStart"/>
      <w:r w:rsidRPr="00FE46D2">
        <w:t>Pharmacovigilance</w:t>
      </w:r>
      <w:proofErr w:type="spellEnd"/>
      <w:r>
        <w:rPr>
          <w:lang w:eastAsia="en-AU"/>
        </w:rPr>
        <w:t xml:space="preserve"> plan</w:t>
      </w:r>
    </w:p>
    <w:p w:rsidR="004C67AA" w:rsidRDefault="001005E6" w:rsidP="00FE46D2">
      <w:pPr>
        <w:rPr>
          <w:lang w:eastAsia="en-AU"/>
        </w:rPr>
      </w:pPr>
      <w:r>
        <w:rPr>
          <w:lang w:eastAsia="en-AU"/>
        </w:rPr>
        <w:t xml:space="preserve">The </w:t>
      </w:r>
      <w:r w:rsidRPr="001005E6">
        <w:rPr>
          <w:lang w:eastAsia="en-AU"/>
        </w:rPr>
        <w:t>sponsor</w:t>
      </w:r>
      <w:r>
        <w:rPr>
          <w:lang w:eastAsia="en-AU"/>
        </w:rPr>
        <w:t>’s proposed pharmacovigilance acti</w:t>
      </w:r>
      <w:r w:rsidR="00CA31B8">
        <w:rPr>
          <w:lang w:eastAsia="en-AU"/>
        </w:rPr>
        <w:t>vities are summarised in Table 9</w:t>
      </w:r>
      <w:r>
        <w:rPr>
          <w:lang w:eastAsia="en-AU"/>
        </w:rPr>
        <w:t>.</w:t>
      </w:r>
    </w:p>
    <w:p w:rsidR="00FE46D2" w:rsidRDefault="00FE46D2" w:rsidP="00FE46D2">
      <w:pPr>
        <w:rPr>
          <w:lang w:eastAsia="en-AU"/>
        </w:rPr>
      </w:pPr>
      <w:r>
        <w:rPr>
          <w:lang w:eastAsia="en-AU"/>
        </w:rPr>
        <w:br w:type="page"/>
      </w:r>
    </w:p>
    <w:p w:rsidR="00CB4838" w:rsidRDefault="00CA31B8" w:rsidP="00FE46D2">
      <w:pPr>
        <w:pStyle w:val="TableTitle"/>
        <w:rPr>
          <w:lang w:eastAsia="en-AU"/>
        </w:rPr>
      </w:pPr>
      <w:r>
        <w:rPr>
          <w:lang w:eastAsia="en-AU"/>
        </w:rPr>
        <w:lastRenderedPageBreak/>
        <w:t>Table 9:</w:t>
      </w:r>
      <w:r w:rsidR="00CB4838">
        <w:rPr>
          <w:lang w:eastAsia="en-AU"/>
        </w:rPr>
        <w:t xml:space="preserve"> Proposed </w:t>
      </w:r>
      <w:proofErr w:type="spellStart"/>
      <w:r w:rsidR="00CB4838">
        <w:rPr>
          <w:lang w:eastAsia="en-AU"/>
        </w:rPr>
        <w:t>pharmacovigilance</w:t>
      </w:r>
      <w:proofErr w:type="spellEnd"/>
      <w:r w:rsidR="00CB4838">
        <w:rPr>
          <w:lang w:eastAsia="en-AU"/>
        </w:rPr>
        <w:t xml:space="preserve"> activities</w:t>
      </w:r>
    </w:p>
    <w:tbl>
      <w:tblPr>
        <w:tblStyle w:val="TableTGAblue"/>
        <w:tblW w:w="0" w:type="auto"/>
        <w:tblLook w:val="04A0" w:firstRow="1" w:lastRow="0" w:firstColumn="1" w:lastColumn="0" w:noHBand="0" w:noVBand="1"/>
      </w:tblPr>
      <w:tblGrid>
        <w:gridCol w:w="3227"/>
        <w:gridCol w:w="5493"/>
      </w:tblGrid>
      <w:tr w:rsidR="001005E6" w:rsidRPr="001005E6" w:rsidTr="00FE46D2">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1005E6" w:rsidRPr="001005E6" w:rsidRDefault="001005E6" w:rsidP="00FE46D2">
            <w:pPr>
              <w:jc w:val="center"/>
            </w:pPr>
            <w:r w:rsidRPr="001005E6">
              <w:t>Proposed pharmacovigilance activities</w:t>
            </w:r>
          </w:p>
        </w:tc>
      </w:tr>
      <w:tr w:rsidR="001005E6" w:rsidRPr="001005E6" w:rsidTr="00FE46D2">
        <w:tc>
          <w:tcPr>
            <w:tcW w:w="8720" w:type="dxa"/>
            <w:gridSpan w:val="2"/>
          </w:tcPr>
          <w:p w:rsidR="001005E6" w:rsidRPr="001005E6" w:rsidRDefault="001005E6" w:rsidP="00FE46D2">
            <w:pPr>
              <w:pStyle w:val="TableHeading2"/>
            </w:pPr>
            <w:r w:rsidRPr="001005E6">
              <w:t>Important identified risks</w:t>
            </w:r>
          </w:p>
        </w:tc>
      </w:tr>
      <w:tr w:rsidR="001005E6" w:rsidRPr="001005E6" w:rsidTr="00FE46D2">
        <w:tc>
          <w:tcPr>
            <w:tcW w:w="3227" w:type="dxa"/>
          </w:tcPr>
          <w:p w:rsidR="001005E6" w:rsidRPr="001005E6" w:rsidRDefault="001005E6" w:rsidP="00FE46D2">
            <w:r w:rsidRPr="001005E6">
              <w:t>Infusion-related reactions (IRRs), including hypersensitivity reactions (HSRs)</w:t>
            </w:r>
          </w:p>
        </w:tc>
        <w:tc>
          <w:tcPr>
            <w:tcW w:w="5493" w:type="dxa"/>
          </w:tcPr>
          <w:p w:rsidR="001005E6" w:rsidRPr="001005E6" w:rsidRDefault="001005E6" w:rsidP="00FE46D2">
            <w:pPr>
              <w:pStyle w:val="ListBullet"/>
            </w:pPr>
            <w:r w:rsidRPr="001005E6">
              <w:t xml:space="preserve">Routine Pharmacovigilance: signal detection, Periodic Safety Update Reports (PSURs), adverse event (AE) surveillance and reporting, literature surveillance </w:t>
            </w:r>
          </w:p>
          <w:p w:rsidR="001005E6" w:rsidRPr="001005E6" w:rsidRDefault="001005E6" w:rsidP="00FE46D2">
            <w:pPr>
              <w:pStyle w:val="ListBullet"/>
            </w:pPr>
            <w:r w:rsidRPr="001005E6">
              <w:t xml:space="preserve">Additional </w:t>
            </w:r>
            <w:proofErr w:type="spellStart"/>
            <w:r w:rsidRPr="001005E6">
              <w:t>Pharmacovigilance</w:t>
            </w:r>
            <w:proofErr w:type="spellEnd"/>
            <w:r w:rsidRPr="001005E6">
              <w:t xml:space="preserve">: MLN-0002_401: A </w:t>
            </w:r>
            <w:proofErr w:type="spellStart"/>
            <w:r w:rsidRPr="001005E6">
              <w:t>postmarketing</w:t>
            </w:r>
            <w:proofErr w:type="spellEnd"/>
            <w:r w:rsidRPr="001005E6">
              <w:t>, prospective, observational, cohort safety study of vedolizumab versus other biologic agents for inflammatory bowel disease C13008: Ongoing long-term safety extension study of patients from Studies C13004, C13006, C13007, and C13011</w:t>
            </w:r>
          </w:p>
        </w:tc>
      </w:tr>
      <w:tr w:rsidR="001005E6" w:rsidRPr="001005E6" w:rsidTr="00FE46D2">
        <w:tc>
          <w:tcPr>
            <w:tcW w:w="8720" w:type="dxa"/>
            <w:gridSpan w:val="2"/>
          </w:tcPr>
          <w:p w:rsidR="001005E6" w:rsidRPr="001005E6" w:rsidRDefault="001005E6" w:rsidP="00FE46D2">
            <w:pPr>
              <w:pStyle w:val="TableHeading2"/>
            </w:pPr>
            <w:r w:rsidRPr="001005E6">
              <w:t>Important potential risks</w:t>
            </w:r>
          </w:p>
        </w:tc>
      </w:tr>
      <w:tr w:rsidR="001005E6" w:rsidRPr="001005E6" w:rsidTr="00FE46D2">
        <w:tc>
          <w:tcPr>
            <w:tcW w:w="3227" w:type="dxa"/>
          </w:tcPr>
          <w:p w:rsidR="001005E6" w:rsidRPr="001005E6" w:rsidRDefault="00FE46D2" w:rsidP="00FE46D2">
            <w:r>
              <w:t>Infections:</w:t>
            </w:r>
          </w:p>
          <w:p w:rsidR="001005E6" w:rsidRPr="001005E6" w:rsidRDefault="001005E6" w:rsidP="00FE46D2">
            <w:r w:rsidRPr="001005E6">
              <w:t xml:space="preserve">Gastrointestinal infections and systemic infections against which the gut constitute a defensive barrier </w:t>
            </w:r>
          </w:p>
        </w:tc>
        <w:tc>
          <w:tcPr>
            <w:tcW w:w="5493" w:type="dxa"/>
          </w:tcPr>
          <w:p w:rsidR="001005E6" w:rsidRPr="001005E6" w:rsidRDefault="001005E6" w:rsidP="00FE46D2">
            <w:pPr>
              <w:pStyle w:val="ListBullet"/>
            </w:pPr>
            <w:r w:rsidRPr="001005E6">
              <w:t>Routine Pharmacovigilance: signal detection, PSURs, AE surveillance and reporting, literature surveillance</w:t>
            </w:r>
          </w:p>
          <w:p w:rsidR="001005E6" w:rsidRPr="001005E6" w:rsidRDefault="001005E6" w:rsidP="00FE46D2">
            <w:pPr>
              <w:pStyle w:val="ListBullet"/>
            </w:pPr>
            <w:r w:rsidRPr="001005E6">
              <w:t xml:space="preserve">Additional </w:t>
            </w:r>
            <w:proofErr w:type="spellStart"/>
            <w:r w:rsidRPr="001005E6">
              <w:t>Pharmacovigilance</w:t>
            </w:r>
            <w:proofErr w:type="spellEnd"/>
            <w:r w:rsidRPr="001005E6">
              <w:t xml:space="preserve">: MLN-0002_401: A </w:t>
            </w:r>
            <w:proofErr w:type="spellStart"/>
            <w:r w:rsidRPr="001005E6">
              <w:t>postmarketing</w:t>
            </w:r>
            <w:proofErr w:type="spellEnd"/>
            <w:r w:rsidRPr="001005E6">
              <w:t>, prospective, observational, cohort safety study of vedolizumab versus other biologic agents for inflammatory bowel disease. C13008: Ongoing long-term safety extension study of patients from Studies C13004, C13006, C13007, and C13011</w:t>
            </w:r>
          </w:p>
        </w:tc>
      </w:tr>
      <w:tr w:rsidR="001005E6" w:rsidRPr="001005E6" w:rsidTr="00FE46D2">
        <w:tc>
          <w:tcPr>
            <w:tcW w:w="3227" w:type="dxa"/>
          </w:tcPr>
          <w:p w:rsidR="001005E6" w:rsidRPr="001005E6" w:rsidRDefault="001005E6" w:rsidP="00FE46D2">
            <w:r w:rsidRPr="001005E6">
              <w:t xml:space="preserve">Other serious infections, including opportunistic infections such as progressive multifocal </w:t>
            </w:r>
            <w:proofErr w:type="spellStart"/>
            <w:r w:rsidRPr="001005E6">
              <w:t>leukoencephalopathy</w:t>
            </w:r>
            <w:proofErr w:type="spellEnd"/>
            <w:r w:rsidRPr="001005E6">
              <w:t xml:space="preserve"> (PML) </w:t>
            </w:r>
          </w:p>
        </w:tc>
        <w:tc>
          <w:tcPr>
            <w:tcW w:w="5493" w:type="dxa"/>
          </w:tcPr>
          <w:p w:rsidR="001005E6" w:rsidRPr="001005E6" w:rsidRDefault="001005E6" w:rsidP="00FE46D2">
            <w:pPr>
              <w:pStyle w:val="ListBullet"/>
            </w:pPr>
            <w:r w:rsidRPr="001005E6">
              <w:t>Routine Pharmacovigilance: signal detection, PSURs, AE surveillance and reporting, literature surveillance</w:t>
            </w:r>
          </w:p>
          <w:p w:rsidR="001005E6" w:rsidRPr="001005E6" w:rsidRDefault="001005E6" w:rsidP="00FE46D2">
            <w:pPr>
              <w:pStyle w:val="ListBullet"/>
            </w:pPr>
            <w:r w:rsidRPr="001005E6">
              <w:t>Event-specific follow-up form for cases of suspected neurologic symptoms/PML (annex 7)</w:t>
            </w:r>
          </w:p>
          <w:p w:rsidR="001005E6" w:rsidRPr="001005E6" w:rsidRDefault="001005E6" w:rsidP="00FE46D2">
            <w:pPr>
              <w:pStyle w:val="ListBullet"/>
            </w:pPr>
            <w:r w:rsidRPr="001005E6">
              <w:t xml:space="preserve">Additional </w:t>
            </w:r>
            <w:proofErr w:type="spellStart"/>
            <w:r w:rsidRPr="001005E6">
              <w:t>Pharmacovigilance</w:t>
            </w:r>
            <w:proofErr w:type="spellEnd"/>
            <w:r w:rsidRPr="001005E6">
              <w:t xml:space="preserve">: MLN-0002_401: A </w:t>
            </w:r>
            <w:proofErr w:type="spellStart"/>
            <w:r w:rsidRPr="001005E6">
              <w:t>postmarketing</w:t>
            </w:r>
            <w:proofErr w:type="spellEnd"/>
            <w:r w:rsidRPr="001005E6">
              <w:t>, prospective, observational, cohort safety study of vedolizumab versus other biologic agents for inflammatory bowel disease C13008: Ongoing long-term safety extension study of patients from Studies C13004, C13006, C13007, and C13011</w:t>
            </w:r>
          </w:p>
        </w:tc>
      </w:tr>
      <w:tr w:rsidR="001005E6" w:rsidRPr="001005E6" w:rsidTr="00FE46D2">
        <w:tc>
          <w:tcPr>
            <w:tcW w:w="3227" w:type="dxa"/>
          </w:tcPr>
          <w:p w:rsidR="001005E6" w:rsidRPr="001005E6" w:rsidRDefault="001005E6" w:rsidP="00FE46D2">
            <w:r w:rsidRPr="001005E6">
              <w:t>Malignancies</w:t>
            </w:r>
          </w:p>
        </w:tc>
        <w:tc>
          <w:tcPr>
            <w:tcW w:w="5493" w:type="dxa"/>
          </w:tcPr>
          <w:p w:rsidR="001005E6" w:rsidRPr="001005E6" w:rsidRDefault="001005E6" w:rsidP="00FE46D2">
            <w:pPr>
              <w:pStyle w:val="ListBullet"/>
            </w:pPr>
            <w:r w:rsidRPr="001005E6">
              <w:t>Routine Pharmacovigilance: signal detection, PSURs, AE surveillance and reporting, literature surveillance</w:t>
            </w:r>
          </w:p>
          <w:p w:rsidR="001005E6" w:rsidRPr="001005E6" w:rsidRDefault="001005E6" w:rsidP="00FE46D2">
            <w:pPr>
              <w:pStyle w:val="ListBullet"/>
            </w:pPr>
            <w:r w:rsidRPr="001005E6">
              <w:t xml:space="preserve">Additional </w:t>
            </w:r>
            <w:proofErr w:type="spellStart"/>
            <w:r w:rsidRPr="001005E6">
              <w:t>Pharmacovigilance</w:t>
            </w:r>
            <w:proofErr w:type="spellEnd"/>
            <w:r w:rsidRPr="001005E6">
              <w:t xml:space="preserve">: MLN-0002_401: A </w:t>
            </w:r>
            <w:proofErr w:type="spellStart"/>
            <w:r w:rsidRPr="001005E6">
              <w:t>postmarketing</w:t>
            </w:r>
            <w:proofErr w:type="spellEnd"/>
            <w:r w:rsidRPr="001005E6">
              <w:t xml:space="preserve">, prospective, observational, cohort safety study of vedolizumab versus other biologic agents for inflammatory bowel disease C13008: Ongoing long-term safety extension study of </w:t>
            </w:r>
            <w:r w:rsidRPr="001005E6">
              <w:lastRenderedPageBreak/>
              <w:t>patients from Studies C13004, C13006, C13007, and C13011</w:t>
            </w:r>
          </w:p>
        </w:tc>
      </w:tr>
      <w:tr w:rsidR="001005E6" w:rsidRPr="001005E6" w:rsidTr="00FE46D2">
        <w:tc>
          <w:tcPr>
            <w:tcW w:w="8720" w:type="dxa"/>
            <w:gridSpan w:val="2"/>
          </w:tcPr>
          <w:p w:rsidR="001005E6" w:rsidRPr="001005E6" w:rsidRDefault="001005E6" w:rsidP="00FE46D2">
            <w:pPr>
              <w:pStyle w:val="TableHeading2"/>
            </w:pPr>
            <w:r w:rsidRPr="001005E6">
              <w:lastRenderedPageBreak/>
              <w:t>Missing information</w:t>
            </w:r>
          </w:p>
        </w:tc>
      </w:tr>
      <w:tr w:rsidR="001005E6" w:rsidRPr="001005E6" w:rsidTr="00FE46D2">
        <w:tc>
          <w:tcPr>
            <w:tcW w:w="3227" w:type="dxa"/>
          </w:tcPr>
          <w:p w:rsidR="001005E6" w:rsidRPr="001005E6" w:rsidRDefault="001005E6" w:rsidP="00FE46D2">
            <w:pPr>
              <w:pStyle w:val="ListBullet"/>
            </w:pPr>
            <w:r w:rsidRPr="001005E6">
              <w:t>Pregnancy and lactation</w:t>
            </w:r>
          </w:p>
          <w:p w:rsidR="001005E6" w:rsidRPr="001005E6" w:rsidRDefault="001005E6" w:rsidP="00FE46D2">
            <w:pPr>
              <w:pStyle w:val="ListBullet"/>
            </w:pPr>
            <w:r w:rsidRPr="001005E6">
              <w:t>Paediatric</w:t>
            </w:r>
          </w:p>
          <w:p w:rsidR="001005E6" w:rsidRPr="001005E6" w:rsidRDefault="001005E6" w:rsidP="00FE46D2">
            <w:pPr>
              <w:pStyle w:val="ListBullet"/>
            </w:pPr>
            <w:r w:rsidRPr="001005E6">
              <w:t>Elderly</w:t>
            </w:r>
          </w:p>
          <w:p w:rsidR="001005E6" w:rsidRPr="001005E6" w:rsidRDefault="001005E6" w:rsidP="00FE46D2">
            <w:pPr>
              <w:pStyle w:val="ListBullet"/>
            </w:pPr>
            <w:r w:rsidRPr="001005E6">
              <w:t>Use in patients with hepatic impairment</w:t>
            </w:r>
          </w:p>
          <w:p w:rsidR="001005E6" w:rsidRPr="001005E6" w:rsidRDefault="001005E6" w:rsidP="00FE46D2">
            <w:pPr>
              <w:pStyle w:val="ListBullet"/>
            </w:pPr>
            <w:r w:rsidRPr="001005E6">
              <w:t>Use in patients with renal</w:t>
            </w:r>
          </w:p>
          <w:p w:rsidR="001005E6" w:rsidRPr="001005E6" w:rsidRDefault="001005E6" w:rsidP="00FE46D2">
            <w:pPr>
              <w:pStyle w:val="ListBullet"/>
            </w:pPr>
            <w:r w:rsidRPr="001005E6">
              <w:t>impairment</w:t>
            </w:r>
          </w:p>
          <w:p w:rsidR="001005E6" w:rsidRPr="001005E6" w:rsidRDefault="001005E6" w:rsidP="00FE46D2">
            <w:pPr>
              <w:pStyle w:val="ListBullet"/>
            </w:pPr>
            <w:r w:rsidRPr="001005E6">
              <w:t>Use in patients with cardiac impairment</w:t>
            </w:r>
          </w:p>
          <w:p w:rsidR="001005E6" w:rsidRPr="001005E6" w:rsidRDefault="001005E6" w:rsidP="00FE46D2">
            <w:pPr>
              <w:pStyle w:val="ListBullet"/>
            </w:pPr>
            <w:r w:rsidRPr="001005E6">
              <w:t>Prior exposure to natalizumab and rituximab and use with concurrent biologic immunosuppressants</w:t>
            </w:r>
          </w:p>
        </w:tc>
        <w:tc>
          <w:tcPr>
            <w:tcW w:w="5493" w:type="dxa"/>
          </w:tcPr>
          <w:p w:rsidR="001005E6" w:rsidRPr="001005E6" w:rsidRDefault="001005E6" w:rsidP="00FE46D2">
            <w:pPr>
              <w:pStyle w:val="ListBullet"/>
            </w:pPr>
            <w:r w:rsidRPr="001005E6">
              <w:t>Routine Pharmacovigilance: signal detection, PSURs, AE surveillance and reporting, literature surveillance</w:t>
            </w:r>
          </w:p>
          <w:p w:rsidR="001005E6" w:rsidRPr="00FE46D2" w:rsidRDefault="001005E6" w:rsidP="00FE46D2">
            <w:pPr>
              <w:pStyle w:val="ListBullet"/>
            </w:pPr>
            <w:r w:rsidRPr="001005E6">
              <w:t xml:space="preserve">Additional </w:t>
            </w:r>
            <w:proofErr w:type="spellStart"/>
            <w:r w:rsidRPr="001005E6">
              <w:t>Pharmacovigilance</w:t>
            </w:r>
            <w:proofErr w:type="spellEnd"/>
            <w:r w:rsidRPr="001005E6">
              <w:t xml:space="preserve">: MLN-0002_401: A </w:t>
            </w:r>
            <w:proofErr w:type="spellStart"/>
            <w:r w:rsidRPr="001005E6">
              <w:t>postmarketing</w:t>
            </w:r>
            <w:proofErr w:type="spellEnd"/>
            <w:r w:rsidRPr="001005E6">
              <w:t xml:space="preserve">, prospective, observational, cohort safety study of vedolizumab versus other biologic agents </w:t>
            </w:r>
            <w:r w:rsidR="00FE46D2">
              <w:t>for inflammatory bowel disease</w:t>
            </w:r>
          </w:p>
        </w:tc>
      </w:tr>
    </w:tbl>
    <w:p w:rsidR="004C67AA" w:rsidRDefault="004C67AA" w:rsidP="00FE46D2">
      <w:pPr>
        <w:pStyle w:val="Heading4"/>
        <w:rPr>
          <w:lang w:eastAsia="en-AU"/>
        </w:rPr>
      </w:pPr>
      <w:r>
        <w:rPr>
          <w:lang w:eastAsia="en-AU"/>
        </w:rPr>
        <w:t xml:space="preserve">Risk </w:t>
      </w:r>
      <w:r w:rsidRPr="00FE46D2">
        <w:t>minimisation</w:t>
      </w:r>
      <w:r>
        <w:rPr>
          <w:lang w:eastAsia="en-AU"/>
        </w:rPr>
        <w:t xml:space="preserve"> activities</w:t>
      </w:r>
    </w:p>
    <w:p w:rsidR="006B62E8" w:rsidRDefault="006B62E8" w:rsidP="00FE46D2">
      <w:pPr>
        <w:pStyle w:val="Heading5"/>
      </w:pPr>
      <w:bookmarkStart w:id="158" w:name="_Toc247691527"/>
      <w:r w:rsidRPr="006B62E8">
        <w:t xml:space="preserve">Sponsor’s </w:t>
      </w:r>
      <w:r w:rsidRPr="00FE46D2">
        <w:t>conclusion</w:t>
      </w:r>
      <w:r w:rsidRPr="006B62E8">
        <w:t xml:space="preserve"> regard</w:t>
      </w:r>
      <w:r w:rsidR="00CE7009">
        <w:t>ing</w:t>
      </w:r>
      <w:r w:rsidRPr="006B62E8">
        <w:t xml:space="preserve"> the need for risk minimisation activities</w:t>
      </w:r>
    </w:p>
    <w:p w:rsidR="006B62E8" w:rsidRPr="00727078" w:rsidRDefault="006B62E8" w:rsidP="00FE46D2">
      <w:r w:rsidRPr="00727078">
        <w:t xml:space="preserve">The sponsor commits to report cases of overdose through the future Periodic Safety Update Reports (PSURs). The sponsor recognises the potential off-label use of vedolizumab in other indications and in paediatric population. It </w:t>
      </w:r>
      <w:r w:rsidR="00CA31B8">
        <w:t xml:space="preserve">is </w:t>
      </w:r>
      <w:r w:rsidRPr="00727078">
        <w:t xml:space="preserve">planned </w:t>
      </w:r>
      <w:r w:rsidR="00CA31B8">
        <w:t>to manage these issues through i</w:t>
      </w:r>
      <w:r w:rsidRPr="00727078">
        <w:t>nformation provided by product labelling.</w:t>
      </w:r>
    </w:p>
    <w:p w:rsidR="006B62E8" w:rsidRPr="006B62E8" w:rsidRDefault="006B62E8" w:rsidP="00FE46D2">
      <w:pPr>
        <w:pStyle w:val="Heading5"/>
      </w:pPr>
      <w:r w:rsidRPr="006B62E8">
        <w:t xml:space="preserve">Planned </w:t>
      </w:r>
      <w:r w:rsidRPr="00FE46D2">
        <w:t>actions</w:t>
      </w:r>
    </w:p>
    <w:p w:rsidR="004C67AA" w:rsidRPr="00727078" w:rsidRDefault="006B62E8" w:rsidP="00FE46D2">
      <w:r w:rsidRPr="00727078">
        <w:t>The sponsor proposes routine risk minimisation activities for all the safety concerns addressed in the plan. A physician educational brochure is also proposed for the safety concern of other serious infections, including opportunistic infections such as progressive PML.</w:t>
      </w:r>
    </w:p>
    <w:p w:rsidR="006B62E8" w:rsidRPr="006B62E8" w:rsidRDefault="006B62E8" w:rsidP="00FE46D2">
      <w:pPr>
        <w:pStyle w:val="Heading4"/>
        <w:rPr>
          <w:lang w:eastAsia="en-AU"/>
        </w:rPr>
      </w:pPr>
      <w:r w:rsidRPr="00FE46D2">
        <w:t>Reconciliation</w:t>
      </w:r>
      <w:r w:rsidRPr="006B62E8">
        <w:rPr>
          <w:lang w:eastAsia="en-AU"/>
        </w:rPr>
        <w:t xml:space="preserve"> of issues outlined in the RMP report </w:t>
      </w:r>
    </w:p>
    <w:p w:rsidR="004C67AA" w:rsidRDefault="00CA31B8" w:rsidP="00FE46D2">
      <w:pPr>
        <w:rPr>
          <w:lang w:eastAsia="en-AU"/>
        </w:rPr>
      </w:pPr>
      <w:r>
        <w:rPr>
          <w:lang w:eastAsia="en-AU"/>
        </w:rPr>
        <w:t>Table 10</w:t>
      </w:r>
      <w:r w:rsidR="004C67AA">
        <w:rPr>
          <w:lang w:eastAsia="en-AU"/>
        </w:rPr>
        <w:t xml:space="preserve"> summarises the OPR’s first round evaluation of the RMP, the sponsor’s responses to issues raised by the OPR and the OPR’s evaluat</w:t>
      </w:r>
      <w:r w:rsidR="006B62E8">
        <w:rPr>
          <w:lang w:eastAsia="en-AU"/>
        </w:rPr>
        <w:t>ion of the sponsor’s responses.</w:t>
      </w:r>
    </w:p>
    <w:p w:rsidR="009D7276" w:rsidRDefault="00CA31B8" w:rsidP="00FE46D2">
      <w:pPr>
        <w:pStyle w:val="TableTitle"/>
        <w:rPr>
          <w:lang w:eastAsia="en-AU"/>
        </w:rPr>
      </w:pPr>
      <w:r>
        <w:rPr>
          <w:lang w:eastAsia="en-AU"/>
        </w:rPr>
        <w:t>Table 10:</w:t>
      </w:r>
      <w:r w:rsidR="009D7276">
        <w:rPr>
          <w:lang w:eastAsia="en-AU"/>
        </w:rPr>
        <w:t xml:space="preserve"> </w:t>
      </w:r>
      <w:r w:rsidR="009D7276" w:rsidRPr="009D7276">
        <w:rPr>
          <w:lang w:eastAsia="en-AU"/>
        </w:rPr>
        <w:t>Reconciliation of issues outlined in the RMP report</w:t>
      </w:r>
    </w:p>
    <w:tbl>
      <w:tblPr>
        <w:tblStyle w:val="TableTGAblue"/>
        <w:tblW w:w="4958" w:type="pct"/>
        <w:tblLayout w:type="fixed"/>
        <w:tblLook w:val="04A0" w:firstRow="1" w:lastRow="0" w:firstColumn="1" w:lastColumn="0" w:noHBand="0" w:noVBand="1"/>
      </w:tblPr>
      <w:tblGrid>
        <w:gridCol w:w="3330"/>
        <w:gridCol w:w="3333"/>
        <w:gridCol w:w="1984"/>
      </w:tblGrid>
      <w:tr w:rsidR="00C65297" w:rsidRPr="00C65297" w:rsidTr="00FE46D2">
        <w:trPr>
          <w:cnfStyle w:val="100000000000" w:firstRow="1" w:lastRow="0" w:firstColumn="0" w:lastColumn="0" w:oddVBand="0" w:evenVBand="0" w:oddHBand="0" w:evenHBand="0" w:firstRowFirstColumn="0" w:firstRowLastColumn="0" w:lastRowFirstColumn="0" w:lastRowLastColumn="0"/>
        </w:trPr>
        <w:tc>
          <w:tcPr>
            <w:tcW w:w="1926" w:type="pct"/>
            <w:noWrap/>
          </w:tcPr>
          <w:p w:rsidR="006B62E8" w:rsidRPr="00C65297" w:rsidRDefault="006B62E8" w:rsidP="00FE46D2">
            <w:pPr>
              <w:ind w:left="0" w:right="0"/>
            </w:pPr>
            <w:r w:rsidRPr="00C65297">
              <w:t>Recommendation in RMP evaluation report</w:t>
            </w:r>
          </w:p>
        </w:tc>
        <w:tc>
          <w:tcPr>
            <w:tcW w:w="1927" w:type="pct"/>
            <w:noWrap/>
          </w:tcPr>
          <w:p w:rsidR="006B62E8" w:rsidRPr="00C65297" w:rsidRDefault="006B62E8" w:rsidP="00FE46D2">
            <w:pPr>
              <w:ind w:left="72" w:right="0"/>
            </w:pPr>
            <w:r w:rsidRPr="00C65297">
              <w:t>Sponsor’s response</w:t>
            </w:r>
          </w:p>
        </w:tc>
        <w:tc>
          <w:tcPr>
            <w:tcW w:w="1147" w:type="pct"/>
            <w:noWrap/>
          </w:tcPr>
          <w:p w:rsidR="006B62E8" w:rsidRPr="00C65297" w:rsidRDefault="006B62E8" w:rsidP="00FE46D2">
            <w:pPr>
              <w:ind w:left="0" w:right="67"/>
            </w:pPr>
            <w:r w:rsidRPr="00C65297">
              <w:t>OPR evaluator’s comment</w:t>
            </w:r>
          </w:p>
        </w:tc>
      </w:tr>
      <w:tr w:rsidR="00C65297" w:rsidRPr="00C65297" w:rsidTr="00FE46D2">
        <w:tc>
          <w:tcPr>
            <w:tcW w:w="1926" w:type="pct"/>
            <w:noWrap/>
          </w:tcPr>
          <w:p w:rsidR="006B62E8" w:rsidRPr="00C65297" w:rsidRDefault="006B62E8" w:rsidP="00FE46D2">
            <w:pPr>
              <w:ind w:left="0" w:right="0"/>
            </w:pPr>
            <w:r w:rsidRPr="00C65297">
              <w:t xml:space="preserve">Safety considerations may be raised by the nonclinical and clinical evaluators through the consolidated </w:t>
            </w:r>
            <w:r w:rsidR="00CB4838">
              <w:t xml:space="preserve">TGA </w:t>
            </w:r>
            <w:r w:rsidRPr="00C65297">
              <w:t xml:space="preserve">request </w:t>
            </w:r>
            <w:r w:rsidR="00CB4838">
              <w:t xml:space="preserve">for </w:t>
            </w:r>
            <w:r w:rsidR="00CB4838">
              <w:lastRenderedPageBreak/>
              <w:t xml:space="preserve">information </w:t>
            </w:r>
            <w:r w:rsidRPr="00C65297">
              <w:t xml:space="preserve">and/or the </w:t>
            </w:r>
            <w:r w:rsidR="00CB4838">
              <w:t>n</w:t>
            </w:r>
            <w:r w:rsidRPr="00C65297">
              <w:t xml:space="preserve">onclinical and </w:t>
            </w:r>
            <w:r w:rsidR="00CB4838">
              <w:t>c</w:t>
            </w:r>
            <w:r w:rsidRPr="00C65297">
              <w:t xml:space="preserve">linical </w:t>
            </w:r>
            <w:r w:rsidR="00CB4838">
              <w:t>e</w:t>
            </w:r>
            <w:r w:rsidRPr="00C65297">
              <w:t xml:space="preserve">valuation </w:t>
            </w:r>
            <w:r w:rsidR="00CB4838">
              <w:t>r</w:t>
            </w:r>
            <w:r w:rsidRPr="00C65297">
              <w:t>eports</w:t>
            </w:r>
            <w:r w:rsidR="00CB4838">
              <w:t>.</w:t>
            </w:r>
            <w:r w:rsidRPr="00C65297">
              <w:t xml:space="preserve"> It is important to ensure that the information provided in response to these includes a consideration of the relevance for the </w:t>
            </w:r>
            <w:r w:rsidR="00CB4838">
              <w:t>RMP</w:t>
            </w:r>
            <w:r w:rsidRPr="00C65297">
              <w:t>, and any specific information needed to address this issue in the RMP.</w:t>
            </w:r>
          </w:p>
        </w:tc>
        <w:tc>
          <w:tcPr>
            <w:tcW w:w="1927" w:type="pct"/>
            <w:noWrap/>
          </w:tcPr>
          <w:p w:rsidR="006B62E8" w:rsidRPr="00C65297" w:rsidRDefault="006B62E8" w:rsidP="00FE46D2">
            <w:pPr>
              <w:ind w:left="72" w:right="0"/>
            </w:pPr>
            <w:r w:rsidRPr="00C65297">
              <w:lastRenderedPageBreak/>
              <w:t>Takeda acknowledge</w:t>
            </w:r>
            <w:r w:rsidR="001E172F">
              <w:t>d</w:t>
            </w:r>
            <w:r w:rsidRPr="00C65297">
              <w:t xml:space="preserve"> that further changes to the RMP may be requested and commit</w:t>
            </w:r>
            <w:r w:rsidR="001E172F">
              <w:t>ted</w:t>
            </w:r>
            <w:r w:rsidRPr="00C65297">
              <w:t xml:space="preserve"> to responding to any requests </w:t>
            </w:r>
            <w:r w:rsidRPr="00C65297">
              <w:lastRenderedPageBreak/>
              <w:t>received as they occur.</w:t>
            </w:r>
          </w:p>
        </w:tc>
        <w:tc>
          <w:tcPr>
            <w:tcW w:w="1147" w:type="pct"/>
            <w:noWrap/>
          </w:tcPr>
          <w:p w:rsidR="006B62E8" w:rsidRPr="00C65297" w:rsidRDefault="006B62E8" w:rsidP="00FE46D2">
            <w:pPr>
              <w:ind w:left="0" w:right="67"/>
            </w:pPr>
            <w:r w:rsidRPr="00C65297">
              <w:lastRenderedPageBreak/>
              <w:t xml:space="preserve">The sponsor’s response is satisfactory. </w:t>
            </w:r>
          </w:p>
        </w:tc>
      </w:tr>
      <w:tr w:rsidR="00C65297" w:rsidRPr="00C65297" w:rsidTr="00FE46D2">
        <w:tc>
          <w:tcPr>
            <w:tcW w:w="1926" w:type="pct"/>
            <w:noWrap/>
          </w:tcPr>
          <w:p w:rsidR="006B62E8" w:rsidRPr="00C65297" w:rsidRDefault="006B62E8" w:rsidP="00FE46D2">
            <w:pPr>
              <w:ind w:left="0" w:right="0"/>
            </w:pPr>
            <w:r w:rsidRPr="00C65297">
              <w:lastRenderedPageBreak/>
              <w:t>The sponsor should undertake to inform the TGA if its application is rejected by othe</w:t>
            </w:r>
            <w:r w:rsidR="00FE46D2">
              <w:t>r overseas regulatory agencies.</w:t>
            </w:r>
          </w:p>
        </w:tc>
        <w:tc>
          <w:tcPr>
            <w:tcW w:w="1927" w:type="pct"/>
            <w:noWrap/>
          </w:tcPr>
          <w:p w:rsidR="006B62E8" w:rsidRPr="00C65297" w:rsidRDefault="001E172F" w:rsidP="00FE46D2">
            <w:pPr>
              <w:ind w:left="72" w:right="0"/>
              <w:rPr>
                <w:highlight w:val="yellow"/>
              </w:rPr>
            </w:pPr>
            <w:r>
              <w:t xml:space="preserve">The sponsor provided </w:t>
            </w:r>
            <w:r w:rsidR="006B62E8" w:rsidRPr="00C65297">
              <w:t>assurance that the TGA will be informed of any changes to the overseas regulatory status for applications currently under review.</w:t>
            </w:r>
          </w:p>
        </w:tc>
        <w:tc>
          <w:tcPr>
            <w:tcW w:w="1147" w:type="pct"/>
            <w:noWrap/>
          </w:tcPr>
          <w:p w:rsidR="006B62E8" w:rsidRPr="00C65297" w:rsidRDefault="006B62E8" w:rsidP="00FE46D2">
            <w:pPr>
              <w:ind w:left="0" w:right="67"/>
            </w:pPr>
            <w:r w:rsidRPr="00C65297">
              <w:t>The spon</w:t>
            </w:r>
            <w:r w:rsidR="00FE46D2">
              <w:t>sor’s response is satisfactory.</w:t>
            </w:r>
          </w:p>
        </w:tc>
      </w:tr>
      <w:tr w:rsidR="00C65297" w:rsidRPr="00C65297" w:rsidTr="00FE46D2">
        <w:tc>
          <w:tcPr>
            <w:tcW w:w="1926" w:type="pct"/>
            <w:noWrap/>
          </w:tcPr>
          <w:p w:rsidR="006B62E8" w:rsidRPr="00C65297" w:rsidRDefault="006B62E8" w:rsidP="00FE46D2">
            <w:pPr>
              <w:ind w:left="0" w:right="0"/>
            </w:pPr>
            <w:r w:rsidRPr="00C65297">
              <w:t xml:space="preserve">The sponsor did not address the safety issue of ‘long-term safety’ in the pharmacovigilance </w:t>
            </w:r>
            <w:r w:rsidR="00FE46D2">
              <w:t>and the risk minimisation plan.</w:t>
            </w:r>
          </w:p>
        </w:tc>
        <w:tc>
          <w:tcPr>
            <w:tcW w:w="1927" w:type="pct"/>
            <w:noWrap/>
          </w:tcPr>
          <w:p w:rsidR="006B62E8" w:rsidRPr="00C65297" w:rsidRDefault="006B62E8" w:rsidP="00FE46D2">
            <w:pPr>
              <w:ind w:left="72" w:right="0"/>
            </w:pPr>
            <w:r w:rsidRPr="00C65297">
              <w:t>Long-term Safety is addressed in version 2 of the RMP submitted with th</w:t>
            </w:r>
            <w:r w:rsidR="001E172F">
              <w:t>e</w:t>
            </w:r>
            <w:r w:rsidRPr="00C65297">
              <w:t xml:space="preserve"> </w:t>
            </w:r>
            <w:r w:rsidR="001E172F">
              <w:t xml:space="preserve">sponsor’s </w:t>
            </w:r>
            <w:r w:rsidRPr="00C65297">
              <w:t>response</w:t>
            </w:r>
            <w:r w:rsidR="00CB4838">
              <w:t xml:space="preserve"> (see below)</w:t>
            </w:r>
            <w:r w:rsidRPr="00C65297">
              <w:t>. The RMP ASA, sectio</w:t>
            </w:r>
            <w:r w:rsidR="00CB4838">
              <w:t xml:space="preserve">n </w:t>
            </w:r>
            <w:r w:rsidRPr="00C65297">
              <w:t>has been updated to list ‘Long-term safet</w:t>
            </w:r>
            <w:r w:rsidR="00FE46D2">
              <w:t>y’ under ‘Missing Information’.</w:t>
            </w:r>
          </w:p>
        </w:tc>
        <w:tc>
          <w:tcPr>
            <w:tcW w:w="1147" w:type="pct"/>
            <w:noWrap/>
          </w:tcPr>
          <w:p w:rsidR="006B62E8" w:rsidRPr="00C65297" w:rsidRDefault="006B62E8" w:rsidP="00FE46D2">
            <w:pPr>
              <w:ind w:left="0" w:right="67"/>
            </w:pPr>
            <w:r w:rsidRPr="00C65297">
              <w:t>The spon</w:t>
            </w:r>
            <w:r w:rsidR="00FE46D2">
              <w:t>sor’s response is satisfactory.</w:t>
            </w:r>
          </w:p>
        </w:tc>
      </w:tr>
      <w:tr w:rsidR="00C65297" w:rsidRPr="00C65297" w:rsidTr="00FE46D2">
        <w:tc>
          <w:tcPr>
            <w:tcW w:w="1926" w:type="pct"/>
            <w:noWrap/>
          </w:tcPr>
          <w:p w:rsidR="006B62E8" w:rsidRPr="00C65297" w:rsidRDefault="006B62E8" w:rsidP="00FE46D2">
            <w:pPr>
              <w:ind w:left="0" w:right="0"/>
            </w:pPr>
            <w:r w:rsidRPr="00C65297">
              <w:t>The sponsor should clarify whether</w:t>
            </w:r>
            <w:r w:rsidR="00CB4838">
              <w:t>,</w:t>
            </w:r>
            <w:r w:rsidRPr="00C65297">
              <w:t xml:space="preserve"> pending the approval of the product by the TGA, Australia will be one of the participating countries in study MLN-0002_401. In addition, the sponsor should provide its alternative plan in case its applications to overseas regulatory agencies in the EU</w:t>
            </w:r>
            <w:r w:rsidR="001E172F">
              <w:t xml:space="preserve"> and</w:t>
            </w:r>
            <w:r w:rsidRPr="00C65297">
              <w:t xml:space="preserve"> the USA are rejected or deferred.</w:t>
            </w:r>
          </w:p>
        </w:tc>
        <w:tc>
          <w:tcPr>
            <w:tcW w:w="1927" w:type="pct"/>
            <w:noWrap/>
          </w:tcPr>
          <w:p w:rsidR="006B62E8" w:rsidRPr="00C65297" w:rsidRDefault="006B62E8" w:rsidP="00FE46D2">
            <w:pPr>
              <w:ind w:left="72" w:right="0"/>
            </w:pPr>
            <w:r w:rsidRPr="00C65297">
              <w:t>Study MLN-0002_401 is a prospective, observational, international, multi-centre, cohort study, to be conduct</w:t>
            </w:r>
            <w:r w:rsidR="00FE46D2">
              <w:t>ed in North America and Europe.</w:t>
            </w:r>
          </w:p>
          <w:p w:rsidR="006B62E8" w:rsidRPr="00C65297" w:rsidRDefault="001E172F" w:rsidP="00FE46D2">
            <w:pPr>
              <w:ind w:left="72" w:right="0"/>
            </w:pPr>
            <w:r>
              <w:t>T</w:t>
            </w:r>
            <w:r w:rsidR="006B62E8" w:rsidRPr="00C65297">
              <w:t>he sponsor commit</w:t>
            </w:r>
            <w:r>
              <w:t>ted</w:t>
            </w:r>
            <w:r w:rsidR="006B62E8" w:rsidRPr="00C65297">
              <w:t xml:space="preserve"> to reassessing the plan and working with the </w:t>
            </w:r>
            <w:r w:rsidR="00630958">
              <w:t xml:space="preserve">[OPR] </w:t>
            </w:r>
            <w:r w:rsidR="006B62E8" w:rsidRPr="00C65297">
              <w:t>in order to reach a mutually acceptable alternative</w:t>
            </w:r>
            <w:r>
              <w:t xml:space="preserve"> should applications to overseas regulatory agencies in the EU and USA are rejected or deferred</w:t>
            </w:r>
            <w:r w:rsidR="006B62E8" w:rsidRPr="00C65297">
              <w:t>.</w:t>
            </w:r>
          </w:p>
        </w:tc>
        <w:tc>
          <w:tcPr>
            <w:tcW w:w="1147" w:type="pct"/>
            <w:noWrap/>
          </w:tcPr>
          <w:p w:rsidR="006B62E8" w:rsidRPr="00C65297" w:rsidRDefault="006B62E8" w:rsidP="00FE46D2">
            <w:pPr>
              <w:ind w:left="0" w:right="67"/>
            </w:pPr>
            <w:r w:rsidRPr="00C65297">
              <w:t>It is satisfactory that if applications in the EU and the USA are rejected or deferred, the sponsor reassesses the plan and work with the TGA to reach a mutually acceptable alternative.</w:t>
            </w:r>
          </w:p>
        </w:tc>
      </w:tr>
      <w:tr w:rsidR="00C65297" w:rsidRPr="00C65297" w:rsidTr="00FE46D2">
        <w:tc>
          <w:tcPr>
            <w:tcW w:w="1926" w:type="pct"/>
            <w:noWrap/>
          </w:tcPr>
          <w:p w:rsidR="006B62E8" w:rsidRPr="00C65297" w:rsidRDefault="006B62E8" w:rsidP="00FE46D2">
            <w:pPr>
              <w:ind w:left="0" w:right="0"/>
            </w:pPr>
            <w:r w:rsidRPr="00C65297">
              <w:t xml:space="preserve">It is expected that updates and findings of the ongoing and planned studies will be communicated to the TGA and included in PSURs when available. It is recommended that results of these studies are communicated to the TGA at the same time as they are communicated to other </w:t>
            </w:r>
            <w:r w:rsidRPr="00C65297">
              <w:lastRenderedPageBreak/>
              <w:t>regulatory agencies.</w:t>
            </w:r>
          </w:p>
        </w:tc>
        <w:tc>
          <w:tcPr>
            <w:tcW w:w="1927" w:type="pct"/>
            <w:noWrap/>
          </w:tcPr>
          <w:p w:rsidR="006B62E8" w:rsidRPr="00C65297" w:rsidRDefault="006B62E8" w:rsidP="00FE46D2">
            <w:pPr>
              <w:ind w:left="72" w:right="0"/>
            </w:pPr>
            <w:r w:rsidRPr="00C65297">
              <w:lastRenderedPageBreak/>
              <w:t xml:space="preserve">An assurance </w:t>
            </w:r>
            <w:r w:rsidR="001E172F">
              <w:t xml:space="preserve">was </w:t>
            </w:r>
            <w:r w:rsidRPr="00C65297">
              <w:t>granted that updates and findings of the ongoing and planned studies will also be communicated to the TGA when they are communicated to other recognised regulatory agencies.</w:t>
            </w:r>
          </w:p>
        </w:tc>
        <w:tc>
          <w:tcPr>
            <w:tcW w:w="1147" w:type="pct"/>
            <w:noWrap/>
          </w:tcPr>
          <w:p w:rsidR="006B62E8" w:rsidRPr="00C65297" w:rsidRDefault="006B62E8" w:rsidP="00FE46D2">
            <w:pPr>
              <w:ind w:left="0" w:right="67"/>
            </w:pPr>
            <w:r w:rsidRPr="00C65297">
              <w:t xml:space="preserve">The sponsor’s response is satisfactory. </w:t>
            </w:r>
          </w:p>
        </w:tc>
      </w:tr>
      <w:tr w:rsidR="00C65297" w:rsidRPr="00C65297" w:rsidTr="00FE46D2">
        <w:tc>
          <w:tcPr>
            <w:tcW w:w="1926" w:type="pct"/>
            <w:noWrap/>
          </w:tcPr>
          <w:p w:rsidR="006B62E8" w:rsidRPr="00C65297" w:rsidRDefault="006B62E8" w:rsidP="00FE46D2">
            <w:pPr>
              <w:ind w:left="0" w:right="0"/>
            </w:pPr>
            <w:r w:rsidRPr="00C65297">
              <w:lastRenderedPageBreak/>
              <w:t>The table in section 3 of the ASA is titled ‘Summary of Planned Pharmacovigilance Actions’ whilst the content is risk minimisation activities. The sponsor should note the difference between the two terms and change the title of the table to ‘Summary of Planned Risk Minimisation Activities’.</w:t>
            </w:r>
          </w:p>
        </w:tc>
        <w:tc>
          <w:tcPr>
            <w:tcW w:w="1927" w:type="pct"/>
            <w:noWrap/>
          </w:tcPr>
          <w:p w:rsidR="006B62E8" w:rsidRPr="00C65297" w:rsidRDefault="001E172F" w:rsidP="00FE46D2">
            <w:pPr>
              <w:ind w:left="72" w:right="0"/>
            </w:pPr>
            <w:r>
              <w:t>The table in section 3 of the ASA has been revised.</w:t>
            </w:r>
          </w:p>
        </w:tc>
        <w:tc>
          <w:tcPr>
            <w:tcW w:w="1147" w:type="pct"/>
            <w:noWrap/>
          </w:tcPr>
          <w:p w:rsidR="006B62E8" w:rsidRPr="00C65297" w:rsidRDefault="006B62E8" w:rsidP="00FE46D2">
            <w:pPr>
              <w:ind w:left="0" w:right="67"/>
            </w:pPr>
            <w:r w:rsidRPr="00C65297">
              <w:t>The spon</w:t>
            </w:r>
            <w:r w:rsidR="00FE46D2">
              <w:t>sor’s response is satisfactory.</w:t>
            </w:r>
          </w:p>
        </w:tc>
      </w:tr>
      <w:tr w:rsidR="00C65297" w:rsidRPr="00C65297" w:rsidTr="00FE46D2">
        <w:tc>
          <w:tcPr>
            <w:tcW w:w="1926" w:type="pct"/>
            <w:noWrap/>
          </w:tcPr>
          <w:p w:rsidR="006B62E8" w:rsidRPr="00C65297" w:rsidRDefault="006B62E8" w:rsidP="00FE46D2">
            <w:pPr>
              <w:ind w:left="0" w:right="0"/>
            </w:pPr>
            <w:r w:rsidRPr="00C65297">
              <w:t>It is noted that a Patient Alert Card is proposed in the EU-RMP to address the safety concern of infections. This activity is deemed not applicable in the ASA and the issues will be managed by information in the PI and CMI. As both the specific objectives of the alert card and the safety concerns apply to the Australian context, the sponsor should include the Patient Alert Card in the Australian risk minimisation plan.</w:t>
            </w:r>
          </w:p>
        </w:tc>
        <w:tc>
          <w:tcPr>
            <w:tcW w:w="1927" w:type="pct"/>
            <w:noWrap/>
          </w:tcPr>
          <w:p w:rsidR="006B62E8" w:rsidRPr="00C65297" w:rsidRDefault="006B62E8" w:rsidP="00FE46D2">
            <w:pPr>
              <w:ind w:left="72" w:right="0"/>
            </w:pPr>
            <w:r w:rsidRPr="00C65297">
              <w:t>The sponsor agree</w:t>
            </w:r>
            <w:r w:rsidR="001E172F">
              <w:t>d</w:t>
            </w:r>
            <w:r w:rsidRPr="00C65297">
              <w:t xml:space="preserve"> to the inclusion of the Patient Alert Card in</w:t>
            </w:r>
            <w:r w:rsidR="00FE46D2">
              <w:t xml:space="preserve"> the Australian Specific Annex.</w:t>
            </w:r>
          </w:p>
        </w:tc>
        <w:tc>
          <w:tcPr>
            <w:tcW w:w="1147" w:type="pct"/>
            <w:noWrap/>
          </w:tcPr>
          <w:p w:rsidR="006B62E8" w:rsidRPr="00C65297" w:rsidRDefault="006B62E8" w:rsidP="00FE46D2">
            <w:pPr>
              <w:ind w:left="0" w:right="67"/>
            </w:pPr>
            <w:r w:rsidRPr="00C65297">
              <w:t xml:space="preserve">The sponsor’s response is satisfactory. </w:t>
            </w:r>
          </w:p>
        </w:tc>
      </w:tr>
      <w:tr w:rsidR="00C65297" w:rsidRPr="00C65297" w:rsidTr="00FE46D2">
        <w:tc>
          <w:tcPr>
            <w:tcW w:w="1926" w:type="pct"/>
            <w:noWrap/>
          </w:tcPr>
          <w:p w:rsidR="006B62E8" w:rsidRPr="00C65297" w:rsidRDefault="006B62E8" w:rsidP="00FE46D2">
            <w:pPr>
              <w:ind w:left="0" w:right="0"/>
            </w:pPr>
            <w:r w:rsidRPr="00C65297">
              <w:t>The sponsor should provide a table summarising the safety specification, pharmacovigilance plan and planned risk minimisation measures in Australian context in the ASA. Wording pertaining to important safety concerns in the proposed Australian PI and CMI as currently stated in the ‘Summary of Planned Pharmacovigilance Actions’ should be included in the table.</w:t>
            </w:r>
          </w:p>
        </w:tc>
        <w:tc>
          <w:tcPr>
            <w:tcW w:w="1927" w:type="pct"/>
            <w:noWrap/>
          </w:tcPr>
          <w:p w:rsidR="006B62E8" w:rsidRPr="00C65297" w:rsidRDefault="006B62E8" w:rsidP="00FE46D2">
            <w:pPr>
              <w:ind w:left="72" w:right="0"/>
            </w:pPr>
            <w:r w:rsidRPr="00C65297">
              <w:t>The sponsor agree</w:t>
            </w:r>
            <w:r w:rsidR="001E172F">
              <w:t>d</w:t>
            </w:r>
            <w:r w:rsidRPr="00C65297">
              <w:t xml:space="preserve"> with the evaluator’s r</w:t>
            </w:r>
            <w:r w:rsidR="00630958">
              <w:t>ecommendation and the table in s</w:t>
            </w:r>
            <w:r w:rsidRPr="00C65297">
              <w:t>ection 3 of</w:t>
            </w:r>
            <w:r w:rsidR="00B668FF">
              <w:t xml:space="preserve"> ASA was revised</w:t>
            </w:r>
            <w:r w:rsidR="00FE46D2">
              <w:t>.</w:t>
            </w:r>
          </w:p>
        </w:tc>
        <w:tc>
          <w:tcPr>
            <w:tcW w:w="1147" w:type="pct"/>
            <w:noWrap/>
          </w:tcPr>
          <w:p w:rsidR="006B62E8" w:rsidRPr="00C65297" w:rsidRDefault="006B62E8" w:rsidP="00FE46D2">
            <w:pPr>
              <w:ind w:left="0" w:right="67"/>
            </w:pPr>
            <w:r w:rsidRPr="00C65297">
              <w:t>The spon</w:t>
            </w:r>
            <w:r w:rsidR="00FE46D2">
              <w:t>sor’s response is satisfactory.</w:t>
            </w:r>
          </w:p>
        </w:tc>
      </w:tr>
    </w:tbl>
    <w:p w:rsidR="00630958" w:rsidRPr="00630958" w:rsidRDefault="00630958" w:rsidP="00FE46D2">
      <w:pPr>
        <w:pStyle w:val="Heading5"/>
        <w:rPr>
          <w:lang w:eastAsia="en-AU"/>
        </w:rPr>
      </w:pPr>
      <w:r w:rsidRPr="00630958">
        <w:rPr>
          <w:lang w:eastAsia="en-AU"/>
        </w:rPr>
        <w:t>Key changes to the updated RMP</w:t>
      </w:r>
    </w:p>
    <w:p w:rsidR="00630958" w:rsidRPr="00630958" w:rsidRDefault="00630958" w:rsidP="00FE46D2">
      <w:pPr>
        <w:rPr>
          <w:lang w:eastAsia="en-AU"/>
        </w:rPr>
      </w:pPr>
      <w:r w:rsidRPr="00630958">
        <w:rPr>
          <w:lang w:eastAsia="en-AU"/>
        </w:rPr>
        <w:t>In response to the TGA request for information, the sponsor provided an updated EU-RMP</w:t>
      </w:r>
      <w:r w:rsidR="00CE7009">
        <w:rPr>
          <w:lang w:eastAsia="en-AU"/>
        </w:rPr>
        <w:t>,</w:t>
      </w:r>
      <w:r w:rsidRPr="00630958">
        <w:rPr>
          <w:lang w:eastAsia="en-AU"/>
        </w:rPr>
        <w:t xml:space="preserve"> version 2.0, dated 27 September 2013 (data lock point 14 March 2013), with the ASA version 2.0, dated January 2014. Key changes from the versions evaluated at R</w:t>
      </w:r>
      <w:r w:rsidR="00CA31B8">
        <w:rPr>
          <w:lang w:eastAsia="en-AU"/>
        </w:rPr>
        <w:t>ound 1 are summarised in Table 11</w:t>
      </w:r>
      <w:r w:rsidRPr="00630958">
        <w:rPr>
          <w:lang w:eastAsia="en-AU"/>
        </w:rPr>
        <w:t xml:space="preserve">: </w:t>
      </w:r>
    </w:p>
    <w:p w:rsidR="00630958" w:rsidRPr="00630958" w:rsidRDefault="00CA31B8" w:rsidP="00FE46D2">
      <w:pPr>
        <w:pStyle w:val="TableTitle"/>
        <w:rPr>
          <w:lang w:eastAsia="en-AU"/>
        </w:rPr>
      </w:pPr>
      <w:r>
        <w:rPr>
          <w:lang w:eastAsia="en-AU"/>
        </w:rPr>
        <w:lastRenderedPageBreak/>
        <w:t>Table 11:</w:t>
      </w:r>
      <w:r w:rsidR="00630958" w:rsidRPr="00630958">
        <w:rPr>
          <w:lang w:eastAsia="en-AU"/>
        </w:rPr>
        <w:t xml:space="preserve"> </w:t>
      </w:r>
      <w:r w:rsidR="009D7276" w:rsidRPr="009D7276">
        <w:rPr>
          <w:lang w:eastAsia="en-AU"/>
        </w:rPr>
        <w:t xml:space="preserve">Key changes from </w:t>
      </w:r>
      <w:r w:rsidR="009D7276">
        <w:rPr>
          <w:lang w:eastAsia="en-AU"/>
        </w:rPr>
        <w:t>RMP version 1 to version 2</w:t>
      </w:r>
      <w:r w:rsidR="009D7276" w:rsidRPr="009D7276">
        <w:rPr>
          <w:lang w:eastAsia="en-AU"/>
        </w:rPr>
        <w:t xml:space="preserve"> </w:t>
      </w:r>
    </w:p>
    <w:tbl>
      <w:tblPr>
        <w:tblStyle w:val="TableTGAblue"/>
        <w:tblW w:w="8647" w:type="dxa"/>
        <w:tblLook w:val="04A0" w:firstRow="1" w:lastRow="0" w:firstColumn="1" w:lastColumn="0" w:noHBand="0" w:noVBand="1"/>
      </w:tblPr>
      <w:tblGrid>
        <w:gridCol w:w="2492"/>
        <w:gridCol w:w="6155"/>
      </w:tblGrid>
      <w:tr w:rsidR="00630958" w:rsidRPr="00630958" w:rsidTr="00FE46D2">
        <w:trPr>
          <w:cnfStyle w:val="100000000000" w:firstRow="1" w:lastRow="0" w:firstColumn="0" w:lastColumn="0" w:oddVBand="0" w:evenVBand="0" w:oddHBand="0" w:evenHBand="0" w:firstRowFirstColumn="0" w:firstRowLastColumn="0" w:lastRowFirstColumn="0" w:lastRowLastColumn="0"/>
          <w:trHeight w:val="536"/>
        </w:trPr>
        <w:tc>
          <w:tcPr>
            <w:tcW w:w="8647" w:type="dxa"/>
            <w:gridSpan w:val="2"/>
          </w:tcPr>
          <w:p w:rsidR="00630958" w:rsidRPr="00630958" w:rsidRDefault="00630958" w:rsidP="00FE46D2">
            <w:r w:rsidRPr="00630958">
              <w:t>RMP Updates</w:t>
            </w:r>
          </w:p>
        </w:tc>
      </w:tr>
      <w:tr w:rsidR="00630958" w:rsidRPr="00630958" w:rsidTr="00FE46D2">
        <w:trPr>
          <w:trHeight w:val="270"/>
        </w:trPr>
        <w:tc>
          <w:tcPr>
            <w:tcW w:w="2276" w:type="dxa"/>
            <w:hideMark/>
          </w:tcPr>
          <w:p w:rsidR="00630958" w:rsidRPr="00FE46D2" w:rsidRDefault="00630958" w:rsidP="00FE46D2">
            <w:pPr>
              <w:rPr>
                <w:b/>
              </w:rPr>
            </w:pPr>
            <w:r w:rsidRPr="00FE46D2">
              <w:rPr>
                <w:b/>
              </w:rPr>
              <w:t>Safety specification</w:t>
            </w:r>
          </w:p>
        </w:tc>
        <w:tc>
          <w:tcPr>
            <w:tcW w:w="6371" w:type="dxa"/>
          </w:tcPr>
          <w:p w:rsidR="00630958" w:rsidRPr="00630958" w:rsidRDefault="00630958" w:rsidP="00FE46D2">
            <w:r w:rsidRPr="00630958">
              <w:t xml:space="preserve">‘Upper respiratory tract infections’ have been added as important identified risk; </w:t>
            </w:r>
          </w:p>
          <w:p w:rsidR="00630958" w:rsidRPr="00630958" w:rsidRDefault="00630958" w:rsidP="00FE46D2">
            <w:r w:rsidRPr="00630958">
              <w:t xml:space="preserve">‘Off label use’ including mild </w:t>
            </w:r>
            <w:r w:rsidR="009B56AE">
              <w:t xml:space="preserve">UC </w:t>
            </w:r>
            <w:r w:rsidRPr="00630958">
              <w:t xml:space="preserve">and </w:t>
            </w:r>
            <w:r w:rsidR="009B56AE">
              <w:t>CD</w:t>
            </w:r>
            <w:r w:rsidRPr="00630958">
              <w:t xml:space="preserve">; use in children and adolescents; and use with concomitant anti-tumour necrosis factor drugs has been added as important potential risk; </w:t>
            </w:r>
          </w:p>
          <w:p w:rsidR="00630958" w:rsidRPr="00630958" w:rsidRDefault="00630958" w:rsidP="00FE46D2">
            <w:r w:rsidRPr="00630958">
              <w:t>‘Use with concurrent biologic immunosuppressant’ has been removed from missing information.</w:t>
            </w:r>
            <w:r w:rsidR="007E0E09">
              <w:t xml:space="preserve"> </w:t>
            </w:r>
          </w:p>
        </w:tc>
      </w:tr>
      <w:tr w:rsidR="00630958" w:rsidRPr="00630958" w:rsidTr="00FE46D2">
        <w:trPr>
          <w:trHeight w:val="524"/>
        </w:trPr>
        <w:tc>
          <w:tcPr>
            <w:tcW w:w="2276" w:type="dxa"/>
            <w:hideMark/>
          </w:tcPr>
          <w:p w:rsidR="00630958" w:rsidRPr="00FE46D2" w:rsidRDefault="00630958" w:rsidP="00FE46D2">
            <w:pPr>
              <w:rPr>
                <w:b/>
              </w:rPr>
            </w:pPr>
            <w:r w:rsidRPr="00FE46D2">
              <w:rPr>
                <w:b/>
              </w:rPr>
              <w:t>Pharmacovigilance activities</w:t>
            </w:r>
          </w:p>
        </w:tc>
        <w:tc>
          <w:tcPr>
            <w:tcW w:w="6371" w:type="dxa"/>
          </w:tcPr>
          <w:p w:rsidR="00630958" w:rsidRPr="00630958" w:rsidRDefault="00630958" w:rsidP="00FE46D2">
            <w:r w:rsidRPr="00630958">
              <w:t xml:space="preserve">Routine pharmacovigilance have been added for the safety risks including ‘upper respiratory tract infections’, ‘off label use’ and ‘long-term safety’; </w:t>
            </w:r>
          </w:p>
          <w:p w:rsidR="00630958" w:rsidRPr="00630958" w:rsidRDefault="00630958" w:rsidP="00FE46D2">
            <w:r w:rsidRPr="00630958">
              <w:t>Additional pharmacovigilance including study MLN-0002_401 and C13008 has been added for ‘upper respiratory tract infections’.</w:t>
            </w:r>
          </w:p>
        </w:tc>
      </w:tr>
      <w:tr w:rsidR="00630958" w:rsidRPr="00630958" w:rsidTr="00FE46D2">
        <w:trPr>
          <w:trHeight w:val="524"/>
        </w:trPr>
        <w:tc>
          <w:tcPr>
            <w:tcW w:w="2276" w:type="dxa"/>
            <w:hideMark/>
          </w:tcPr>
          <w:p w:rsidR="00630958" w:rsidRPr="00FE46D2" w:rsidRDefault="00630958" w:rsidP="00FE46D2">
            <w:pPr>
              <w:rPr>
                <w:b/>
              </w:rPr>
            </w:pPr>
            <w:r w:rsidRPr="00FE46D2">
              <w:rPr>
                <w:b/>
              </w:rPr>
              <w:t>Risk minimisation activities</w:t>
            </w:r>
          </w:p>
        </w:tc>
        <w:tc>
          <w:tcPr>
            <w:tcW w:w="6371" w:type="dxa"/>
          </w:tcPr>
          <w:p w:rsidR="00630958" w:rsidRPr="00630958" w:rsidRDefault="00630958" w:rsidP="00FE46D2">
            <w:r w:rsidRPr="00630958">
              <w:t xml:space="preserve">Routine risk minimisation has been added for the safety risks including ‘upper respiratory tract infections’, ‘off label use’ and ‘long-term safety’; </w:t>
            </w:r>
          </w:p>
          <w:p w:rsidR="00630958" w:rsidRPr="00630958" w:rsidRDefault="00630958" w:rsidP="00FE46D2">
            <w:r w:rsidRPr="00630958">
              <w:t xml:space="preserve">Additional risk minimisation in the form of a patient alert card has been added for infections. </w:t>
            </w:r>
          </w:p>
        </w:tc>
      </w:tr>
    </w:tbl>
    <w:p w:rsidR="006B62E8" w:rsidRDefault="00630958" w:rsidP="00FE46D2">
      <w:pPr>
        <w:rPr>
          <w:lang w:eastAsia="en-AU"/>
        </w:rPr>
      </w:pPr>
      <w:r w:rsidRPr="00630958">
        <w:rPr>
          <w:lang w:eastAsia="en-AU"/>
        </w:rPr>
        <w:t>The evaluator has no objection to the above changes</w:t>
      </w:r>
      <w:r>
        <w:rPr>
          <w:lang w:eastAsia="en-AU"/>
        </w:rPr>
        <w:t>.</w:t>
      </w:r>
    </w:p>
    <w:p w:rsidR="004C67AA" w:rsidRDefault="004C67AA" w:rsidP="00FE46D2">
      <w:pPr>
        <w:pStyle w:val="Heading4"/>
        <w:rPr>
          <w:lang w:eastAsia="en-AU"/>
        </w:rPr>
      </w:pPr>
      <w:r>
        <w:rPr>
          <w:lang w:eastAsia="en-AU"/>
        </w:rPr>
        <w:t xml:space="preserve">Summary </w:t>
      </w:r>
      <w:r w:rsidR="00E73FC1">
        <w:rPr>
          <w:lang w:eastAsia="en-AU"/>
        </w:rPr>
        <w:t xml:space="preserve">and </w:t>
      </w:r>
      <w:r w:rsidRPr="00FE46D2">
        <w:t>recommendations</w:t>
      </w:r>
    </w:p>
    <w:p w:rsidR="003576E3" w:rsidRPr="00E73FC1" w:rsidRDefault="00FE46D2" w:rsidP="00FE46D2">
      <w:pPr>
        <w:pStyle w:val="Heading5"/>
      </w:pPr>
      <w:r>
        <w:t>Issues in relation to the RMP</w:t>
      </w:r>
    </w:p>
    <w:p w:rsidR="009D7276" w:rsidRDefault="003576E3" w:rsidP="00FE46D2">
      <w:r w:rsidRPr="00E73FC1">
        <w:t xml:space="preserve">The sponsor has adequately addressed all of the issues identified in the round one RMP evaluation report. </w:t>
      </w:r>
    </w:p>
    <w:p w:rsidR="003576E3" w:rsidRPr="00E73FC1" w:rsidRDefault="003576E3" w:rsidP="00FE46D2">
      <w:pPr>
        <w:pStyle w:val="Heading5"/>
      </w:pPr>
      <w:r w:rsidRPr="00FE46D2">
        <w:t>Advice</w:t>
      </w:r>
      <w:r w:rsidRPr="00E73FC1">
        <w:t xml:space="preserve"> from the Advisory Committee on the Safety of Medicines (ACSOM)</w:t>
      </w:r>
    </w:p>
    <w:p w:rsidR="003576E3" w:rsidRPr="00E73FC1" w:rsidRDefault="009D7276" w:rsidP="00FE46D2">
      <w:r>
        <w:t xml:space="preserve">Advice on the pharmacovigilance aspects of this application were sought from </w:t>
      </w:r>
      <w:r w:rsidR="003576E3" w:rsidRPr="00E73FC1">
        <w:t>ACSOM</w:t>
      </w:r>
      <w:r w:rsidR="00CA31B8">
        <w:t xml:space="preserve"> and passed onto the Delegate</w:t>
      </w:r>
      <w:r w:rsidR="00D40EEF">
        <w:t xml:space="preserve"> (see </w:t>
      </w:r>
      <w:r w:rsidR="00D40EEF" w:rsidRPr="00D40EEF">
        <w:rPr>
          <w:i/>
        </w:rPr>
        <w:t>Overall conclusion and risk/benefit assessment</w:t>
      </w:r>
      <w:r w:rsidR="00D40EEF">
        <w:t>, below)</w:t>
      </w:r>
      <w:r w:rsidR="003576E3" w:rsidRPr="00E73FC1">
        <w:t xml:space="preserve">. </w:t>
      </w:r>
    </w:p>
    <w:p w:rsidR="003576E3" w:rsidRPr="00E73FC1" w:rsidRDefault="00CA31B8" w:rsidP="00FE46D2">
      <w:pPr>
        <w:pStyle w:val="Heading5"/>
      </w:pPr>
      <w:r w:rsidRPr="00FE46D2">
        <w:t>Comments</w:t>
      </w:r>
      <w:r>
        <w:t xml:space="preserve"> on the S</w:t>
      </w:r>
      <w:r w:rsidR="003576E3" w:rsidRPr="00E73FC1">
        <w:t xml:space="preserve">afety </w:t>
      </w:r>
      <w:r>
        <w:t>S</w:t>
      </w:r>
      <w:r w:rsidR="003576E3" w:rsidRPr="00E73FC1">
        <w:t>pecification of the RMP</w:t>
      </w:r>
    </w:p>
    <w:p w:rsidR="003576E3" w:rsidRPr="00E73FC1" w:rsidRDefault="003576E3" w:rsidP="00FE46D2">
      <w:r w:rsidRPr="00E73FC1">
        <w:t xml:space="preserve">The </w:t>
      </w:r>
      <w:r w:rsidR="00CA31B8">
        <w:t xml:space="preserve">clinical evaluator, TGA </w:t>
      </w:r>
      <w:r w:rsidRPr="00E73FC1">
        <w:t>Office of Medicines Authorisation (OMA)</w:t>
      </w:r>
      <w:r w:rsidR="00CA31B8">
        <w:t>,</w:t>
      </w:r>
      <w:r w:rsidRPr="00E73FC1">
        <w:t xml:space="preserve"> has provided the following comments in </w:t>
      </w:r>
      <w:r w:rsidR="00FE46D2">
        <w:t>the clinical evaluation report:</w:t>
      </w:r>
    </w:p>
    <w:p w:rsidR="003576E3" w:rsidRPr="00FE46D2" w:rsidRDefault="00CB4838" w:rsidP="00FE46D2">
      <w:pPr>
        <w:rPr>
          <w:i/>
        </w:rPr>
      </w:pPr>
      <w:r w:rsidRPr="00FE46D2">
        <w:rPr>
          <w:i/>
        </w:rPr>
        <w:t>The s</w:t>
      </w:r>
      <w:r w:rsidR="003576E3" w:rsidRPr="00FE46D2">
        <w:rPr>
          <w:i/>
        </w:rPr>
        <w:t>ponsor provided new clinical information after the first round but did not revise the Safety S</w:t>
      </w:r>
      <w:r w:rsidR="009D7276" w:rsidRPr="00FE46D2">
        <w:rPr>
          <w:i/>
        </w:rPr>
        <w:t xml:space="preserve">pecification in the draft RMP. </w:t>
      </w:r>
      <w:r w:rsidR="003576E3" w:rsidRPr="00FE46D2">
        <w:rPr>
          <w:i/>
        </w:rPr>
        <w:t>After consideration of the new clinical information, the comments on the Safety Specification made … are revised as follows:</w:t>
      </w:r>
    </w:p>
    <w:p w:rsidR="003576E3" w:rsidRPr="00FE46D2" w:rsidRDefault="003576E3" w:rsidP="00FE46D2">
      <w:pPr>
        <w:rPr>
          <w:i/>
        </w:rPr>
      </w:pPr>
      <w:r w:rsidRPr="00FE46D2">
        <w:rPr>
          <w:i/>
        </w:rPr>
        <w:t>Elevation of transaminases and hepatic parenchymal damage should be included as an Important Potential Risk.</w:t>
      </w:r>
    </w:p>
    <w:p w:rsidR="003576E3" w:rsidRPr="00FE46D2" w:rsidRDefault="003576E3" w:rsidP="00FE46D2">
      <w:pPr>
        <w:rPr>
          <w:i/>
        </w:rPr>
      </w:pPr>
      <w:r w:rsidRPr="00FE46D2">
        <w:rPr>
          <w:i/>
        </w:rPr>
        <w:t>The Sponsor needs to address the long-term risk of PML in the RMP through a long-term surveillance study.</w:t>
      </w:r>
    </w:p>
    <w:p w:rsidR="003576E3" w:rsidRPr="00E73FC1" w:rsidRDefault="003576E3" w:rsidP="00FE46D2">
      <w:r w:rsidRPr="00E73FC1">
        <w:t xml:space="preserve">The </w:t>
      </w:r>
      <w:r w:rsidR="00CB4838">
        <w:t xml:space="preserve">OPR </w:t>
      </w:r>
      <w:r w:rsidRPr="00E73FC1">
        <w:t>evaluator supports the comments made by the clinical evaluator and adopts the following recommendations regar</w:t>
      </w:r>
      <w:r w:rsidR="00FE46D2">
        <w:t>ding the RMP:</w:t>
      </w:r>
    </w:p>
    <w:p w:rsidR="003576E3" w:rsidRPr="00E73FC1" w:rsidRDefault="003576E3" w:rsidP="00FE46D2">
      <w:pPr>
        <w:pStyle w:val="ListBullet"/>
      </w:pPr>
      <w:r w:rsidRPr="00E73FC1">
        <w:lastRenderedPageBreak/>
        <w:t xml:space="preserve">Elevation of transaminases and hepatic parenchymal damage should be included as an ‘Important Potential </w:t>
      </w:r>
      <w:r w:rsidRPr="00FE46D2">
        <w:t>Risk’</w:t>
      </w:r>
      <w:r w:rsidRPr="00E73FC1">
        <w:t>.</w:t>
      </w:r>
    </w:p>
    <w:p w:rsidR="003576E3" w:rsidRPr="00E73FC1" w:rsidRDefault="00CB4838" w:rsidP="00FE46D2">
      <w:pPr>
        <w:pStyle w:val="ListBullet"/>
      </w:pPr>
      <w:r>
        <w:t>The s</w:t>
      </w:r>
      <w:r w:rsidR="003576E3" w:rsidRPr="00E73FC1">
        <w:t xml:space="preserve">ponsor needs to address the long-term risk of PML in the RMP through a long-term </w:t>
      </w:r>
      <w:r w:rsidR="003576E3" w:rsidRPr="00FE46D2">
        <w:t>surveillance</w:t>
      </w:r>
      <w:r w:rsidR="003576E3" w:rsidRPr="00E73FC1">
        <w:t xml:space="preserve"> study.’</w:t>
      </w:r>
    </w:p>
    <w:p w:rsidR="003576E3" w:rsidRPr="00E73FC1" w:rsidRDefault="003576E3" w:rsidP="00FE46D2">
      <w:pPr>
        <w:pStyle w:val="ListBullet"/>
      </w:pPr>
      <w:r w:rsidRPr="00E73FC1">
        <w:t xml:space="preserve">Relevant sections of the EU-RMP and the ASA, including the ongoing safety concerns, </w:t>
      </w:r>
      <w:proofErr w:type="spellStart"/>
      <w:r w:rsidRPr="00FE46D2">
        <w:t>pharmacovigilance</w:t>
      </w:r>
      <w:proofErr w:type="spellEnd"/>
      <w:r w:rsidRPr="00E73FC1">
        <w:t xml:space="preserve"> and risk minimisation plan, should be updated accordingly to include plans to mitigate the risks. </w:t>
      </w:r>
    </w:p>
    <w:p w:rsidR="003576E3" w:rsidRPr="00E73FC1" w:rsidRDefault="003576E3" w:rsidP="00FE46D2">
      <w:r w:rsidRPr="00E73FC1">
        <w:t xml:space="preserve">The </w:t>
      </w:r>
      <w:r w:rsidR="00CA31B8">
        <w:t xml:space="preserve">nonclinical evaluator, TGA </w:t>
      </w:r>
      <w:r w:rsidRPr="00E73FC1">
        <w:t xml:space="preserve">Office of Scientific Evaluation </w:t>
      </w:r>
      <w:r w:rsidR="009D7276">
        <w:t>(OSE)</w:t>
      </w:r>
      <w:r w:rsidR="00CA31B8">
        <w:t>,</w:t>
      </w:r>
      <w:r w:rsidR="009D7276">
        <w:t xml:space="preserve"> </w:t>
      </w:r>
      <w:r w:rsidRPr="00E73FC1">
        <w:t>has provided th</w:t>
      </w:r>
      <w:r w:rsidR="00CA31B8">
        <w:t>e following comments in the non</w:t>
      </w:r>
      <w:r w:rsidRPr="00E73FC1">
        <w:t>clinical evaluation report:</w:t>
      </w:r>
    </w:p>
    <w:p w:rsidR="003576E3" w:rsidRPr="00FE46D2" w:rsidRDefault="003576E3" w:rsidP="00FE46D2">
      <w:pPr>
        <w:rPr>
          <w:i/>
        </w:rPr>
      </w:pPr>
      <w:r w:rsidRPr="00FE46D2">
        <w:rPr>
          <w:i/>
        </w:rPr>
        <w:t xml:space="preserve">Results and conclusions drawn from the nonclinical program for vedolizumab detailed in the sponsor’s draft Risk Management Plan are in general concordance with those of the </w:t>
      </w:r>
      <w:r w:rsidR="00CA31B8" w:rsidRPr="00FE46D2">
        <w:rPr>
          <w:i/>
        </w:rPr>
        <w:t>n</w:t>
      </w:r>
      <w:r w:rsidRPr="00FE46D2">
        <w:rPr>
          <w:i/>
        </w:rPr>
        <w:t xml:space="preserve">onclinical </w:t>
      </w:r>
      <w:r w:rsidR="00CA31B8" w:rsidRPr="00FE46D2">
        <w:rPr>
          <w:i/>
        </w:rPr>
        <w:t>e</w:t>
      </w:r>
      <w:r w:rsidRPr="00FE46D2">
        <w:rPr>
          <w:i/>
        </w:rPr>
        <w:t>valuator.</w:t>
      </w:r>
    </w:p>
    <w:p w:rsidR="00CB4838" w:rsidRDefault="00FE46D2" w:rsidP="00FE46D2">
      <w:pPr>
        <w:pStyle w:val="Heading4"/>
      </w:pPr>
      <w:r w:rsidRPr="00FE46D2">
        <w:t>Recommendation</w:t>
      </w:r>
    </w:p>
    <w:p w:rsidR="00E73FC1" w:rsidRPr="00E73FC1" w:rsidRDefault="00CB4838" w:rsidP="00FE46D2">
      <w:r>
        <w:t xml:space="preserve">The OPR evaluators </w:t>
      </w:r>
      <w:r w:rsidR="00CA31B8">
        <w:t>recommend</w:t>
      </w:r>
      <w:r w:rsidR="003576E3" w:rsidRPr="00E73FC1">
        <w:t xml:space="preserve"> to the Delegate that the updated version </w:t>
      </w:r>
      <w:r>
        <w:t xml:space="preserve">of the RMP </w:t>
      </w:r>
      <w:r w:rsidR="003576E3" w:rsidRPr="00E73FC1">
        <w:t xml:space="preserve">is implemented </w:t>
      </w:r>
      <w:r>
        <w:t xml:space="preserve">as follows: </w:t>
      </w:r>
    </w:p>
    <w:p w:rsidR="003576E3" w:rsidRPr="00E73FC1" w:rsidRDefault="00E73FC1" w:rsidP="00FE46D2">
      <w:pPr>
        <w:pStyle w:val="ListBullet"/>
      </w:pPr>
      <w:r w:rsidRPr="00FE46D2">
        <w:t>Implement</w:t>
      </w:r>
      <w:r w:rsidRPr="00E73FC1">
        <w:t xml:space="preserve"> EU-RMP version 2.0, dated 27 September 2013 (data lock point 14 March 2013) with Australian-specific Annex version 2.0, dated January 2014 and any future updates as a condition of registration.</w:t>
      </w:r>
    </w:p>
    <w:p w:rsidR="004C67AA" w:rsidRPr="00792A32" w:rsidRDefault="004C67AA" w:rsidP="00FE46D2">
      <w:pPr>
        <w:pStyle w:val="Heading2"/>
      </w:pPr>
      <w:bookmarkStart w:id="159" w:name="_Toc314842510"/>
      <w:bookmarkStart w:id="160" w:name="_Toc384807771"/>
      <w:bookmarkStart w:id="161" w:name="_Toc405974793"/>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21"/>
      <w:bookmarkEnd w:id="158"/>
      <w:bookmarkEnd w:id="159"/>
      <w:bookmarkEnd w:id="160"/>
      <w:bookmarkEnd w:id="161"/>
    </w:p>
    <w:p w:rsidR="004C67AA" w:rsidRPr="006B62E8" w:rsidRDefault="004C67AA" w:rsidP="00FE46D2">
      <w:bookmarkStart w:id="162" w:name="_Toc247691528"/>
      <w:r w:rsidRPr="006B62E8">
        <w:t>The submission was summarised in the following Delegate’s overview and recommendations:</w:t>
      </w:r>
    </w:p>
    <w:p w:rsidR="00A60893" w:rsidRDefault="00A60893" w:rsidP="00FE46D2">
      <w:pPr>
        <w:pStyle w:val="Heading3"/>
      </w:pPr>
      <w:bookmarkStart w:id="163" w:name="_Toc405974794"/>
      <w:r w:rsidRPr="00FE46D2">
        <w:t>Background</w:t>
      </w:r>
      <w:bookmarkEnd w:id="163"/>
    </w:p>
    <w:p w:rsidR="00125CE6" w:rsidRDefault="00A60893" w:rsidP="00FE46D2">
      <w:r w:rsidRPr="00A60893">
        <w:t>Vedo</w:t>
      </w:r>
      <w:r w:rsidR="00EA0683">
        <w:t>lizumab is a recombinant humanis</w:t>
      </w:r>
      <w:r w:rsidRPr="00A60893">
        <w:t>ed IgG</w:t>
      </w:r>
      <w:r w:rsidRPr="00EA0683">
        <w:rPr>
          <w:vertAlign w:val="subscript"/>
        </w:rPr>
        <w:t>1</w:t>
      </w:r>
      <w:r w:rsidRPr="00A60893">
        <w:t xml:space="preserve"> monoclonal antibody to selectively target h</w:t>
      </w:r>
      <w:r>
        <w:t>uman lymphocyte integrin α</w:t>
      </w:r>
      <w:r w:rsidRPr="006929DF">
        <w:rPr>
          <w:vertAlign w:val="subscript"/>
        </w:rPr>
        <w:t>4</w:t>
      </w:r>
      <w:r>
        <w:t>β</w:t>
      </w:r>
      <w:r w:rsidRPr="006929DF">
        <w:rPr>
          <w:vertAlign w:val="subscript"/>
        </w:rPr>
        <w:t>7</w:t>
      </w:r>
      <w:r>
        <w:t xml:space="preserve">. </w:t>
      </w:r>
      <w:r w:rsidRPr="00A60893">
        <w:t>The α</w:t>
      </w:r>
      <w:r w:rsidRPr="006929DF">
        <w:rPr>
          <w:vertAlign w:val="subscript"/>
        </w:rPr>
        <w:t>4</w:t>
      </w:r>
      <w:r w:rsidRPr="00A60893">
        <w:t>β</w:t>
      </w:r>
      <w:r w:rsidRPr="006929DF">
        <w:rPr>
          <w:vertAlign w:val="subscript"/>
        </w:rPr>
        <w:t>7</w:t>
      </w:r>
      <w:r w:rsidRPr="00A60893">
        <w:t xml:space="preserve"> integrin mediates lymphocyte trafficking to GI mucosa and gut-associated lymphoid tissue through adhesive inte</w:t>
      </w:r>
      <w:r w:rsidR="00242888">
        <w:t xml:space="preserve">ractions with </w:t>
      </w:r>
      <w:r w:rsidR="006929DF">
        <w:t>MAdCAM</w:t>
      </w:r>
      <w:r w:rsidR="006929DF">
        <w:noBreakHyphen/>
      </w:r>
      <w:r>
        <w:t xml:space="preserve">1. </w:t>
      </w:r>
      <w:r w:rsidR="00CB4838">
        <w:t>V</w:t>
      </w:r>
      <w:r w:rsidR="00CB6FC8">
        <w:t xml:space="preserve">edolizumab </w:t>
      </w:r>
      <w:r w:rsidRPr="00A60893">
        <w:t>is intended to be gut-selective having anti</w:t>
      </w:r>
      <w:r w:rsidR="00125CE6">
        <w:noBreakHyphen/>
      </w:r>
      <w:r w:rsidRPr="00A60893">
        <w:t>inflammatory activity without generalised immunosuppression. This is a novel mechanism of action.</w:t>
      </w:r>
      <w:r w:rsidR="003703B4">
        <w:t xml:space="preserve"> </w:t>
      </w:r>
      <w:r w:rsidRPr="00A60893">
        <w:t xml:space="preserve">Infliximab and adalimumab are TNFα antagonist monoclonal antibody therapies </w:t>
      </w:r>
      <w:r w:rsidR="00353D40">
        <w:t xml:space="preserve">registered currently in Australia </w:t>
      </w:r>
      <w:r w:rsidRPr="00A60893">
        <w:t xml:space="preserve">with indications that include </w:t>
      </w:r>
      <w:r w:rsidR="009B56AE">
        <w:t>UC</w:t>
      </w:r>
      <w:r w:rsidRPr="00A60893">
        <w:t xml:space="preserve"> and </w:t>
      </w:r>
      <w:r w:rsidR="009B56AE">
        <w:t>CD</w:t>
      </w:r>
      <w:r w:rsidR="00FE46D2">
        <w:t>.</w:t>
      </w:r>
    </w:p>
    <w:p w:rsidR="00A60893" w:rsidRPr="00A60893" w:rsidRDefault="00A60893" w:rsidP="00FE46D2">
      <w:r w:rsidRPr="00A60893">
        <w:t>Ulcerative colitis is a chronic, relapsing, immune-mediated, inflammatory disease of the colon that always affects the rectum, extends proximally to a variable extent, and is c</w:t>
      </w:r>
      <w:r w:rsidR="0083736D">
        <w:t>haracteris</w:t>
      </w:r>
      <w:r w:rsidRPr="00A60893">
        <w:t xml:space="preserve">ed by a relapsing and remitting course. As noted in </w:t>
      </w:r>
      <w:r w:rsidRPr="00A60893">
        <w:rPr>
          <w:i/>
        </w:rPr>
        <w:t>Therapeutic Guidelines (Gastroenterology)</w:t>
      </w:r>
      <w:r w:rsidRPr="00A60893">
        <w:t>, the aims of treatment are to change the natural history of the disease and its long-term outcomes, rather than simply to achieve symptomatic control. Currently treatments for severe UC include:</w:t>
      </w:r>
      <w:r w:rsidR="003703B4">
        <w:t xml:space="preserve"> </w:t>
      </w:r>
      <w:r w:rsidRPr="00A60893">
        <w:t xml:space="preserve">cyclosporine, azathioprine, </w:t>
      </w:r>
      <w:r w:rsidR="006929DF">
        <w:t>6-</w:t>
      </w:r>
      <w:r w:rsidRPr="00A60893">
        <w:t>mercaptopurine, methotrexate and TNFα antagonists.</w:t>
      </w:r>
    </w:p>
    <w:p w:rsidR="00A60893" w:rsidRPr="00A60893" w:rsidRDefault="00A60893" w:rsidP="00FE46D2">
      <w:r w:rsidRPr="00A60893">
        <w:t>Crohn’s disease is a chronic, relapsing, immune-mediated, inflammatory bowel disease.</w:t>
      </w:r>
      <w:r w:rsidR="003703B4">
        <w:t xml:space="preserve"> </w:t>
      </w:r>
      <w:r w:rsidRPr="00A60893">
        <w:t xml:space="preserve">Current therapies include: 5-aminosalicylic acid, immunosuppressive agents such as azathioprine and </w:t>
      </w:r>
      <w:r w:rsidR="006929DF">
        <w:t>6-</w:t>
      </w:r>
      <w:r w:rsidRPr="00A60893">
        <w:t>mercaptopurine, corti</w:t>
      </w:r>
      <w:r w:rsidR="000B62D8">
        <w:t>costeroids, antibiotics and TNF</w:t>
      </w:r>
      <w:r w:rsidRPr="00A60893">
        <w:t>α antagonists.</w:t>
      </w:r>
    </w:p>
    <w:p w:rsidR="004C67AA" w:rsidRDefault="004C67AA" w:rsidP="00FE46D2">
      <w:pPr>
        <w:pStyle w:val="Heading3"/>
      </w:pPr>
      <w:bookmarkStart w:id="164" w:name="_Toc314842511"/>
      <w:bookmarkStart w:id="165" w:name="_Toc384807772"/>
      <w:bookmarkStart w:id="166" w:name="_Toc405974795"/>
      <w:r w:rsidRPr="00FE46D2">
        <w:t>Quality</w:t>
      </w:r>
      <w:bookmarkEnd w:id="162"/>
      <w:bookmarkEnd w:id="164"/>
      <w:bookmarkEnd w:id="165"/>
      <w:bookmarkEnd w:id="166"/>
    </w:p>
    <w:p w:rsidR="00EB6365" w:rsidRPr="00EB6365" w:rsidRDefault="00EB6365" w:rsidP="00FE46D2">
      <w:r w:rsidRPr="00EB6365">
        <w:t>There are no objections to approval from the bi</w:t>
      </w:r>
      <w:r w:rsidR="00A60893">
        <w:t xml:space="preserve">ological chemistry evaluators. </w:t>
      </w:r>
      <w:r w:rsidRPr="00EB6365">
        <w:t xml:space="preserve">Consent has been given to use the existing EU English label via S14 exemption, by </w:t>
      </w:r>
      <w:proofErr w:type="spellStart"/>
      <w:r w:rsidRPr="00EB6365">
        <w:t>overstickering</w:t>
      </w:r>
      <w:proofErr w:type="spellEnd"/>
      <w:r w:rsidRPr="00EB6365">
        <w:t xml:space="preserve"> to </w:t>
      </w:r>
      <w:r w:rsidRPr="00EB6365">
        <w:lastRenderedPageBreak/>
        <w:t>ensure compliance with the Australian specific requirements for a period</w:t>
      </w:r>
      <w:r w:rsidR="00FE46D2">
        <w:t xml:space="preserve"> of 12 months after approval.</w:t>
      </w:r>
    </w:p>
    <w:p w:rsidR="00EB6365" w:rsidRPr="00EB6365" w:rsidRDefault="00936517" w:rsidP="00FE46D2">
      <w:r>
        <w:t xml:space="preserve">Conditions of registration recommended by the quality evaluators were noted. </w:t>
      </w:r>
    </w:p>
    <w:p w:rsidR="004C67AA" w:rsidRDefault="004C67AA" w:rsidP="00FE46D2">
      <w:pPr>
        <w:pStyle w:val="Heading3"/>
      </w:pPr>
      <w:bookmarkStart w:id="167" w:name="_Toc314842512"/>
      <w:bookmarkStart w:id="168" w:name="_Toc384807773"/>
      <w:bookmarkStart w:id="169" w:name="_Toc405974796"/>
      <w:r w:rsidRPr="00FE46D2">
        <w:t>Nonclinical</w:t>
      </w:r>
      <w:bookmarkEnd w:id="167"/>
      <w:bookmarkEnd w:id="168"/>
      <w:bookmarkEnd w:id="169"/>
    </w:p>
    <w:p w:rsidR="00EB6365" w:rsidRPr="00EB6365" w:rsidRDefault="00EB6365" w:rsidP="00FE46D2">
      <w:r w:rsidRPr="00EB6365">
        <w:t>There are no objections to approval from the nonclinical evaluator.</w:t>
      </w:r>
    </w:p>
    <w:p w:rsidR="00EB6365" w:rsidRPr="00EB6365" w:rsidRDefault="00EB6365" w:rsidP="00FE46D2">
      <w:r w:rsidRPr="00EB6365">
        <w:t>The nonclinical evaluator noted that the primary mechanism of action of vedolizumab is inhibition of binding</w:t>
      </w:r>
      <w:r w:rsidR="00402A52">
        <w:t xml:space="preserve"> of α</w:t>
      </w:r>
      <w:r w:rsidR="00402A52" w:rsidRPr="00936517">
        <w:rPr>
          <w:vertAlign w:val="subscript"/>
        </w:rPr>
        <w:t>4</w:t>
      </w:r>
      <w:r w:rsidR="00402A52">
        <w:t>β</w:t>
      </w:r>
      <w:r w:rsidR="00402A52" w:rsidRPr="00936517">
        <w:rPr>
          <w:vertAlign w:val="subscript"/>
        </w:rPr>
        <w:t>7</w:t>
      </w:r>
      <w:r w:rsidR="00402A52">
        <w:t xml:space="preserve"> integrin to MAdCAM-1. </w:t>
      </w:r>
      <w:r w:rsidRPr="00EB6365">
        <w:t>Evidence was provided that vedolizumab is unlikely to inhibit immune surveillance in the CNS and therefore is unlikely to be associated with a risk of PML. Rabbits and monkeys, but not rats and mice, were shown to be pharmacologically responsive species.</w:t>
      </w:r>
    </w:p>
    <w:p w:rsidR="00EB6365" w:rsidRPr="00EB6365" w:rsidRDefault="00EB6365" w:rsidP="00FE46D2">
      <w:r w:rsidRPr="00EB6365">
        <w:t>A safety pharmacology study (cardiovascular study in cynomolgus monkeys) at appropriate doses did not reveal any effects of vedolizumab on MAP, HR or ECG parameters.</w:t>
      </w:r>
    </w:p>
    <w:p w:rsidR="00EB6365" w:rsidRPr="00EB6365" w:rsidRDefault="00EB6365" w:rsidP="00FE46D2">
      <w:r w:rsidRPr="00EB6365">
        <w:t>Adequate rep</w:t>
      </w:r>
      <w:r w:rsidR="00936517">
        <w:t xml:space="preserve">eat </w:t>
      </w:r>
      <w:r w:rsidRPr="00EB6365">
        <w:t>dose toxicity studies in rabbits did not ident</w:t>
      </w:r>
      <w:r w:rsidR="0099459B">
        <w:t xml:space="preserve">ify any target organs. Adequate to </w:t>
      </w:r>
      <w:r w:rsidRPr="00EB6365">
        <w:t>high exposure ratios were achieved (up to 25 in rabbits and 8 in cynomolgus monkeys).</w:t>
      </w:r>
    </w:p>
    <w:p w:rsidR="00EB6365" w:rsidRPr="00EB6365" w:rsidRDefault="00EB6365" w:rsidP="00FE46D2">
      <w:r w:rsidRPr="00EB6365">
        <w:t>Genotoxicity studies were not conducted and are not required. Carcinogenicity studies were not conducted but there was no evidence of carcinogenic potential from in vitro studies examining the effect of the vedolizumab predecessor antibody (Act-1) on the growth of a human B-cell lymphoma cell line and the cross-reactivity of vedolizumab with tumour tissue from human colon adenocarcinomas.</w:t>
      </w:r>
    </w:p>
    <w:p w:rsidR="00EB6365" w:rsidRPr="00EB6365" w:rsidRDefault="00EB6365" w:rsidP="00FE46D2">
      <w:r w:rsidRPr="00EB6365">
        <w:t xml:space="preserve">No fertility studies were conducted. </w:t>
      </w:r>
      <w:proofErr w:type="spellStart"/>
      <w:r w:rsidRPr="00EB6365">
        <w:t>Embryofetal</w:t>
      </w:r>
      <w:proofErr w:type="spellEnd"/>
      <w:r w:rsidRPr="00EB6365">
        <w:t xml:space="preserve"> development studies in rabbits (at exposure ratios up to 8) did not reveal any evidence of teratogenicity or </w:t>
      </w:r>
      <w:proofErr w:type="spellStart"/>
      <w:r w:rsidRPr="00EB6365">
        <w:t>embryofetal</w:t>
      </w:r>
      <w:proofErr w:type="spellEnd"/>
      <w:r w:rsidRPr="00EB6365">
        <w:t xml:space="preserve"> toxicity. There were no effects on infants when vedolizumab (at exposure ratios up to 24) was administered to cynomolgus monkeys throughout most of the gestation period. </w:t>
      </w:r>
    </w:p>
    <w:p w:rsidR="00EB6365" w:rsidRPr="00EB6365" w:rsidRDefault="00EB6365" w:rsidP="00EB6365">
      <w:r w:rsidRPr="00EB6365">
        <w:t xml:space="preserve">Vedolizumab showed no evidence of </w:t>
      </w:r>
      <w:proofErr w:type="spellStart"/>
      <w:r w:rsidRPr="00EB6365">
        <w:t>immunotoxic</w:t>
      </w:r>
      <w:proofErr w:type="spellEnd"/>
      <w:r w:rsidRPr="00EB6365">
        <w:t xml:space="preserve"> potential in repeat-dose toxicity studies or a dedicated </w:t>
      </w:r>
      <w:proofErr w:type="spellStart"/>
      <w:r w:rsidRPr="00EB6365">
        <w:t>immunotoxicity</w:t>
      </w:r>
      <w:proofErr w:type="spellEnd"/>
      <w:r w:rsidRPr="00EB6365">
        <w:t xml:space="preserve"> study.</w:t>
      </w:r>
    </w:p>
    <w:p w:rsidR="00EB6365" w:rsidRPr="00EB6365" w:rsidRDefault="00EB6365" w:rsidP="00FE46D2">
      <w:r w:rsidRPr="00EB6365">
        <w:t>In cross-reactivity studies with human and cynomolgus monkey tissues, staining was only observed for mononuclear cells (lymphocytes and monocytes/macrophages) in lymphoid tissues and within the lumen of blood vessels, or as low-grade inflammatory infiltrates in various non-lymphoid tissues.</w:t>
      </w:r>
    </w:p>
    <w:p w:rsidR="004C67AA" w:rsidRDefault="004C67AA" w:rsidP="00FE46D2">
      <w:pPr>
        <w:pStyle w:val="Heading3"/>
      </w:pPr>
      <w:bookmarkStart w:id="170" w:name="_Toc247691530"/>
      <w:bookmarkStart w:id="171" w:name="_Toc314842513"/>
      <w:bookmarkStart w:id="172" w:name="_Toc384807774"/>
      <w:bookmarkStart w:id="173" w:name="_Toc405974797"/>
      <w:r w:rsidRPr="00FE46D2">
        <w:t>Clinical</w:t>
      </w:r>
      <w:bookmarkEnd w:id="170"/>
      <w:bookmarkEnd w:id="171"/>
      <w:bookmarkEnd w:id="172"/>
      <w:bookmarkEnd w:id="173"/>
    </w:p>
    <w:p w:rsidR="00EB6365" w:rsidRPr="00CD5BB8" w:rsidRDefault="00EB6365" w:rsidP="00FE46D2">
      <w:pPr>
        <w:pStyle w:val="Heading4"/>
      </w:pPr>
      <w:bookmarkStart w:id="174" w:name="_Toc314842514"/>
      <w:r w:rsidRPr="00FE46D2">
        <w:t>Pharmacology</w:t>
      </w:r>
    </w:p>
    <w:p w:rsidR="00CB6FC8" w:rsidRDefault="00402A52" w:rsidP="00FE46D2">
      <w:pPr>
        <w:pStyle w:val="Heading5"/>
      </w:pPr>
      <w:r w:rsidRPr="00FE46D2">
        <w:t>Pharmacokinetics</w:t>
      </w:r>
      <w:r>
        <w:t xml:space="preserve"> </w:t>
      </w:r>
    </w:p>
    <w:p w:rsidR="00EB6365" w:rsidRPr="00CD5BB8" w:rsidRDefault="00EB6365" w:rsidP="00FE46D2">
      <w:r w:rsidRPr="00CD5BB8">
        <w:t xml:space="preserve">In initial studies vedolizumab was given on a body </w:t>
      </w:r>
      <w:r w:rsidR="00CB6FC8">
        <w:t xml:space="preserve">weight-adjusted (mg/kg) basis. </w:t>
      </w:r>
      <w:r w:rsidRPr="00CD5BB8">
        <w:t>Fixed</w:t>
      </w:r>
      <w:r w:rsidR="00CB6FC8">
        <w:t xml:space="preserve"> doses were given in the Phase III studies. </w:t>
      </w:r>
      <w:r w:rsidRPr="00CD5BB8">
        <w:t xml:space="preserve">Population PK modelling was performed on the Phase </w:t>
      </w:r>
      <w:r w:rsidR="00CB6FC8">
        <w:t xml:space="preserve">III </w:t>
      </w:r>
      <w:r w:rsidRPr="00CD5BB8">
        <w:t xml:space="preserve">data </w:t>
      </w:r>
      <w:r w:rsidR="00CB6FC8">
        <w:t xml:space="preserve">(see </w:t>
      </w:r>
      <w:r w:rsidRPr="00CD5BB8">
        <w:t>CER</w:t>
      </w:r>
      <w:r w:rsidR="00CB6FC8">
        <w:t xml:space="preserve"> </w:t>
      </w:r>
      <w:r w:rsidR="006929DF">
        <w:t xml:space="preserve">extract </w:t>
      </w:r>
      <w:r w:rsidR="00CB6FC8">
        <w:t>at Attachment 2)</w:t>
      </w:r>
      <w:r w:rsidRPr="00CD5BB8">
        <w:t>.</w:t>
      </w:r>
    </w:p>
    <w:p w:rsidR="00EB6365" w:rsidRPr="00CD5BB8" w:rsidRDefault="00EB6365" w:rsidP="00FE46D2">
      <w:r w:rsidRPr="00CD5BB8">
        <w:t>V</w:t>
      </w:r>
      <w:r w:rsidR="00CB6FC8" w:rsidRPr="00CB6FC8">
        <w:t xml:space="preserve">edolizumab </w:t>
      </w:r>
      <w:r w:rsidRPr="00CD5BB8">
        <w:t>has a half-life of around 26 days, CL of around 0.16 L/day and volu</w:t>
      </w:r>
      <w:r w:rsidR="00CB6FC8">
        <w:t xml:space="preserve">me of distribution around 5 L. </w:t>
      </w:r>
      <w:r w:rsidRPr="00CD5BB8">
        <w:t xml:space="preserve">At the 300 mg dose level, CV% for CL was 12.2%, for t½ </w:t>
      </w:r>
      <w:r w:rsidR="00CB6FC8">
        <w:t xml:space="preserve">it </w:t>
      </w:r>
      <w:r w:rsidRPr="00CD5BB8">
        <w:t xml:space="preserve">was 22.1% and for </w:t>
      </w:r>
      <w:r w:rsidR="000C2126">
        <w:t>volume of distribution at steady state (</w:t>
      </w:r>
      <w:proofErr w:type="spellStart"/>
      <w:r w:rsidRPr="00CD5BB8">
        <w:t>Vss</w:t>
      </w:r>
      <w:proofErr w:type="spellEnd"/>
      <w:r w:rsidR="000C2126">
        <w:t>)</w:t>
      </w:r>
      <w:r w:rsidRPr="00CD5BB8">
        <w:t xml:space="preserve"> </w:t>
      </w:r>
      <w:r w:rsidR="00CB6FC8">
        <w:t xml:space="preserve">it was 18.9%. </w:t>
      </w:r>
      <w:r w:rsidRPr="00CD5BB8">
        <w:t xml:space="preserve">The PK of </w:t>
      </w:r>
      <w:r w:rsidR="00CB6FC8" w:rsidRPr="00CB6FC8">
        <w:t xml:space="preserve">vedolizumab </w:t>
      </w:r>
      <w:r w:rsidRPr="00CD5BB8">
        <w:t>was dose proportional within</w:t>
      </w:r>
      <w:r w:rsidR="00CB6FC8">
        <w:t xml:space="preserve"> the range 2.0 to 10.0 mg/kg. </w:t>
      </w:r>
      <w:r w:rsidRPr="00CD5BB8">
        <w:t>The PK in patients with UC and CD were similar to those in healthy volunteers using the formulation intended for marketing.</w:t>
      </w:r>
    </w:p>
    <w:p w:rsidR="00EB6365" w:rsidRPr="003703B4" w:rsidRDefault="00EB6365" w:rsidP="00FE46D2">
      <w:r w:rsidRPr="00CD5BB8">
        <w:lastRenderedPageBreak/>
        <w:t xml:space="preserve">Covariate modelling </w:t>
      </w:r>
      <w:r w:rsidR="00CB6FC8">
        <w:t xml:space="preserve">was conducted and evaluated by TGA. </w:t>
      </w:r>
      <w:r w:rsidRPr="00CD5BB8">
        <w:t>Weight based dosing resulted in higher exposure in high body weight patients and has not</w:t>
      </w:r>
      <w:r w:rsidR="00CB6FC8">
        <w:t xml:space="preserve"> been proposed by the sponsor. </w:t>
      </w:r>
      <w:r w:rsidRPr="00CD5BB8">
        <w:t xml:space="preserve">Statistically significant but not clinically significant increases in </w:t>
      </w:r>
      <w:r w:rsidR="000C2126">
        <w:t xml:space="preserve">CL </w:t>
      </w:r>
      <w:r w:rsidR="00CB6FC8">
        <w:t>of vedolizumab were associated with TNF</w:t>
      </w:r>
      <w:r w:rsidRPr="00CD5BB8">
        <w:t>α in</w:t>
      </w:r>
      <w:r w:rsidR="00CB6FC8">
        <w:t xml:space="preserve">hibitors and presence of HAHA. </w:t>
      </w:r>
      <w:r w:rsidRPr="00CD5BB8">
        <w:t xml:space="preserve">Azathioprine, methotrexate, </w:t>
      </w:r>
      <w:proofErr w:type="spellStart"/>
      <w:r w:rsidRPr="00CD5BB8">
        <w:t>mercaptopurine</w:t>
      </w:r>
      <w:proofErr w:type="spellEnd"/>
      <w:r w:rsidRPr="00CD5BB8">
        <w:t xml:space="preserve"> and </w:t>
      </w:r>
      <w:proofErr w:type="spellStart"/>
      <w:r w:rsidRPr="00CD5BB8">
        <w:t>aminosalicylates</w:t>
      </w:r>
      <w:proofErr w:type="spellEnd"/>
      <w:r w:rsidRPr="00CD5BB8">
        <w:t xml:space="preserve"> did not have statistically significant </w:t>
      </w:r>
      <w:r w:rsidRPr="003703B4">
        <w:t xml:space="preserve">effects on the </w:t>
      </w:r>
      <w:r w:rsidR="00CB6FC8" w:rsidRPr="003703B4">
        <w:t xml:space="preserve">clearance of vedolizumab. </w:t>
      </w:r>
      <w:r w:rsidRPr="003703B4">
        <w:t xml:space="preserve">Age, gender, body weight and baseline serum albumin were also predicted to not significantly affect the PK of </w:t>
      </w:r>
      <w:proofErr w:type="spellStart"/>
      <w:r w:rsidR="00CB6FC8" w:rsidRPr="003703B4">
        <w:t>vedolizumab</w:t>
      </w:r>
      <w:proofErr w:type="spellEnd"/>
      <w:r w:rsidRPr="003703B4">
        <w:t>.</w:t>
      </w:r>
    </w:p>
    <w:p w:rsidR="00EB6365" w:rsidRPr="003703B4" w:rsidRDefault="00EB6365" w:rsidP="00FE46D2">
      <w:r w:rsidRPr="003703B4">
        <w:t xml:space="preserve">As </w:t>
      </w:r>
      <w:r w:rsidR="00CB6FC8" w:rsidRPr="003703B4">
        <w:t xml:space="preserve">vedolizumab </w:t>
      </w:r>
      <w:r w:rsidR="000C2126">
        <w:t xml:space="preserve">is not a cytokine modulator and is gut </w:t>
      </w:r>
      <w:r w:rsidRPr="003703B4">
        <w:t xml:space="preserve">selective, the potential for P450-mediated drug interactions with </w:t>
      </w:r>
      <w:r w:rsidR="00CB6FC8" w:rsidRPr="003703B4">
        <w:t xml:space="preserve">vedolizumab </w:t>
      </w:r>
      <w:r w:rsidRPr="003703B4">
        <w:t xml:space="preserve">acting as perpetrator was considered to be lower than that of drugs that systemically and </w:t>
      </w:r>
      <w:r w:rsidR="00CB6FC8" w:rsidRPr="003703B4">
        <w:t xml:space="preserve">directly affect the cytokines. </w:t>
      </w:r>
      <w:r w:rsidRPr="003703B4">
        <w:t>Interacti</w:t>
      </w:r>
      <w:r w:rsidR="00CB6FC8" w:rsidRPr="003703B4">
        <w:t xml:space="preserve">on studies were not performed. </w:t>
      </w:r>
      <w:r w:rsidRPr="003703B4">
        <w:t>There were no studies in patients with impaired hepatic or renal function.</w:t>
      </w:r>
    </w:p>
    <w:p w:rsidR="00EB6365" w:rsidRPr="00CD5BB8" w:rsidRDefault="00EB6365" w:rsidP="00FE46D2">
      <w:pPr>
        <w:pStyle w:val="Heading5"/>
      </w:pPr>
      <w:r w:rsidRPr="00FE46D2">
        <w:t>Pharmacodynamics</w:t>
      </w:r>
    </w:p>
    <w:p w:rsidR="00EB6365" w:rsidRPr="00CD5BB8" w:rsidRDefault="00EB6365" w:rsidP="00FE46D2">
      <w:r w:rsidRPr="00CD5BB8">
        <w:t xml:space="preserve">Two flow </w:t>
      </w:r>
      <w:proofErr w:type="spellStart"/>
      <w:r w:rsidRPr="00CD5BB8">
        <w:t>cytometric</w:t>
      </w:r>
      <w:proofErr w:type="spellEnd"/>
      <w:r w:rsidRPr="00CD5BB8">
        <w:t xml:space="preserve"> assays: (1) Act-1 Binding Interference Assay, and (2) MAdCAM-1-Fc binding interference assay</w:t>
      </w:r>
      <w:r w:rsidR="00CB6FC8">
        <w:t>,</w:t>
      </w:r>
      <w:r w:rsidRPr="00CD5BB8">
        <w:t xml:space="preserve"> </w:t>
      </w:r>
      <w:proofErr w:type="gramStart"/>
      <w:r w:rsidRPr="00CD5BB8">
        <w:t>were</w:t>
      </w:r>
      <w:proofErr w:type="gramEnd"/>
      <w:r w:rsidRPr="00CD5BB8">
        <w:t xml:space="preserve"> used to examine the e</w:t>
      </w:r>
      <w:r w:rsidR="00CB6FC8">
        <w:t>ffect of vedolizumab on α</w:t>
      </w:r>
      <w:r w:rsidR="00CB6FC8" w:rsidRPr="000C2126">
        <w:rPr>
          <w:vertAlign w:val="subscript"/>
        </w:rPr>
        <w:t>4</w:t>
      </w:r>
      <w:r w:rsidR="00CB6FC8">
        <w:t>β</w:t>
      </w:r>
      <w:r w:rsidR="00CB6FC8" w:rsidRPr="000C2126">
        <w:rPr>
          <w:vertAlign w:val="subscript"/>
        </w:rPr>
        <w:t>7</w:t>
      </w:r>
      <w:r w:rsidR="00CB6FC8">
        <w:t xml:space="preserve"> integrin. </w:t>
      </w:r>
      <w:r w:rsidRPr="00CD5BB8">
        <w:t xml:space="preserve">These assays were used to demonstrate the presence of </w:t>
      </w:r>
      <w:r w:rsidR="00CB6FC8">
        <w:t xml:space="preserve">vedolizumab </w:t>
      </w:r>
      <w:r w:rsidRPr="00CD5BB8">
        <w:t>o</w:t>
      </w:r>
      <w:r w:rsidR="00CB6FC8">
        <w:t xml:space="preserve">n the surface of cells bearing </w:t>
      </w:r>
      <w:r w:rsidRPr="00CD5BB8">
        <w:t>α</w:t>
      </w:r>
      <w:r w:rsidRPr="000C2126">
        <w:rPr>
          <w:vertAlign w:val="subscript"/>
        </w:rPr>
        <w:t>4</w:t>
      </w:r>
      <w:r w:rsidRPr="00CD5BB8">
        <w:t>β</w:t>
      </w:r>
      <w:r w:rsidRPr="000C2126">
        <w:rPr>
          <w:vertAlign w:val="subscript"/>
        </w:rPr>
        <w:t>7</w:t>
      </w:r>
      <w:r w:rsidRPr="00CD5BB8">
        <w:t xml:space="preserve"> integrin and to assess the time cours</w:t>
      </w:r>
      <w:r w:rsidR="00CB6FC8">
        <w:t>e of α</w:t>
      </w:r>
      <w:r w:rsidR="00CB6FC8" w:rsidRPr="000C2126">
        <w:rPr>
          <w:vertAlign w:val="subscript"/>
        </w:rPr>
        <w:t>4</w:t>
      </w:r>
      <w:r w:rsidR="00CB6FC8">
        <w:t>β</w:t>
      </w:r>
      <w:r w:rsidR="00CB6FC8" w:rsidRPr="000C2126">
        <w:rPr>
          <w:vertAlign w:val="subscript"/>
        </w:rPr>
        <w:t>7</w:t>
      </w:r>
      <w:r w:rsidR="00CB6FC8">
        <w:t xml:space="preserve"> receptor saturation. </w:t>
      </w:r>
      <w:r w:rsidR="00AE7DF8">
        <w:t>V</w:t>
      </w:r>
      <w:r w:rsidR="00CB6FC8">
        <w:t xml:space="preserve">edolizumab </w:t>
      </w:r>
      <w:r w:rsidRPr="00CD5BB8">
        <w:t xml:space="preserve">given </w:t>
      </w:r>
      <w:r w:rsidR="00CB6FC8">
        <w:t xml:space="preserve">as </w:t>
      </w:r>
      <w:r w:rsidRPr="00CD5BB8">
        <w:t>sing</w:t>
      </w:r>
      <w:r w:rsidR="00CB6FC8">
        <w:t xml:space="preserve">le doses from 0.2 to 10 mg /kg </w:t>
      </w:r>
      <w:r w:rsidRPr="00CD5BB8">
        <w:t>inhibited A</w:t>
      </w:r>
      <w:r w:rsidR="00621BA3">
        <w:t>ct</w:t>
      </w:r>
      <w:r w:rsidR="000C2126">
        <w:t xml:space="preserve">-1 and </w:t>
      </w:r>
      <w:proofErr w:type="spellStart"/>
      <w:r w:rsidR="000C2126">
        <w:t>MAd</w:t>
      </w:r>
      <w:r w:rsidRPr="00CD5BB8">
        <w:t>CAM</w:t>
      </w:r>
      <w:proofErr w:type="spellEnd"/>
      <w:r w:rsidRPr="00CD5BB8">
        <w:t xml:space="preserve"> nearly maximally at </w:t>
      </w:r>
      <w:proofErr w:type="spellStart"/>
      <w:r w:rsidRPr="006929DF">
        <w:t>all time</w:t>
      </w:r>
      <w:proofErr w:type="spellEnd"/>
      <w:r w:rsidRPr="006929DF">
        <w:t xml:space="preserve"> points</w:t>
      </w:r>
      <w:r w:rsidRPr="00CD5BB8">
        <w:t xml:space="preserve"> where </w:t>
      </w:r>
      <w:proofErr w:type="spellStart"/>
      <w:r w:rsidR="00CB6FC8">
        <w:t>vedolizumab</w:t>
      </w:r>
      <w:proofErr w:type="spellEnd"/>
      <w:r w:rsidR="00CB6FC8">
        <w:t xml:space="preserve"> </w:t>
      </w:r>
      <w:r w:rsidRPr="00CD5BB8">
        <w:t>was measurable and the time of the maximal effect was generally the first sample time.</w:t>
      </w:r>
    </w:p>
    <w:p w:rsidR="00EB6365" w:rsidRPr="00CD5BB8" w:rsidRDefault="00EB6365" w:rsidP="00FE46D2">
      <w:r w:rsidRPr="00CD5BB8">
        <w:t>In clinical trials the 300 mg and 600 mg doses achieved similar</w:t>
      </w:r>
      <w:r w:rsidR="00CB6FC8">
        <w:t xml:space="preserve"> initial maximal inhibition of </w:t>
      </w:r>
      <w:r w:rsidRPr="00CD5BB8">
        <w:t>A</w:t>
      </w:r>
      <w:r w:rsidR="00621BA3">
        <w:t>ct</w:t>
      </w:r>
      <w:r w:rsidRPr="00CD5BB8">
        <w:t>-1 and MAdCAM-1</w:t>
      </w:r>
      <w:r w:rsidR="00CB6FC8">
        <w:t>-Fc within 24 h</w:t>
      </w:r>
      <w:r w:rsidR="00FF2204">
        <w:t xml:space="preserve"> </w:t>
      </w:r>
      <w:r w:rsidR="00CB6FC8">
        <w:t xml:space="preserve">of dosing. </w:t>
      </w:r>
      <w:r w:rsidRPr="00CD5BB8">
        <w:t>Maximal or near maximal inhibition of A</w:t>
      </w:r>
      <w:r w:rsidR="00621BA3">
        <w:t>ct</w:t>
      </w:r>
      <w:r w:rsidRPr="00CD5BB8">
        <w:t xml:space="preserve">-1 and </w:t>
      </w:r>
      <w:proofErr w:type="spellStart"/>
      <w:r w:rsidRPr="00CD5BB8">
        <w:t>MAdCAM</w:t>
      </w:r>
      <w:proofErr w:type="spellEnd"/>
      <w:r w:rsidRPr="00CD5BB8">
        <w:t xml:space="preserve"> persisted to Day 113 for the 2.0 and 6.0 mg/kg doses and to Day 169 for the 10.0 mg/kg dose</w:t>
      </w:r>
      <w:r w:rsidR="00CB6FC8">
        <w:t xml:space="preserve">. </w:t>
      </w:r>
      <w:r w:rsidRPr="00CD5BB8">
        <w:t>The duration of effect was decreased by the presence of HAHA.</w:t>
      </w:r>
    </w:p>
    <w:p w:rsidR="00EB6365" w:rsidRPr="00CD5BB8" w:rsidRDefault="00CB6FC8" w:rsidP="00FE46D2">
      <w:r>
        <w:t>V</w:t>
      </w:r>
      <w:r w:rsidRPr="00CB6FC8">
        <w:t xml:space="preserve">edolizumab </w:t>
      </w:r>
      <w:r w:rsidR="00EB6365" w:rsidRPr="00CD5BB8">
        <w:t>had no apparent effect on CD4+: CD8+ ratio in the CSF or the total concentration of CD4+ and CD8+ expr</w:t>
      </w:r>
      <w:r>
        <w:t xml:space="preserve">essing lymphocytes in the CSF. </w:t>
      </w:r>
      <w:r w:rsidR="00EB6365" w:rsidRPr="00CD5BB8">
        <w:t>There was no change in lymphocyte expression in peripheral blood</w:t>
      </w:r>
      <w:r>
        <w:t>.</w:t>
      </w:r>
    </w:p>
    <w:p w:rsidR="00EB6365" w:rsidRPr="00CD5BB8" w:rsidRDefault="00EB6365" w:rsidP="00FE46D2">
      <w:pPr>
        <w:pStyle w:val="Heading4"/>
      </w:pPr>
      <w:r w:rsidRPr="00FE46D2">
        <w:t>Efficacy</w:t>
      </w:r>
    </w:p>
    <w:p w:rsidR="00EB6365" w:rsidRPr="00CD5BB8" w:rsidRDefault="00EB6365" w:rsidP="00FE46D2">
      <w:pPr>
        <w:pStyle w:val="Heading5"/>
      </w:pPr>
      <w:proofErr w:type="spellStart"/>
      <w:r w:rsidRPr="00FE46D2">
        <w:t>Crohn’s</w:t>
      </w:r>
      <w:proofErr w:type="spellEnd"/>
      <w:r w:rsidRPr="00CD5BB8">
        <w:t xml:space="preserve"> disease</w:t>
      </w:r>
    </w:p>
    <w:p w:rsidR="00EB6365" w:rsidRPr="00A9689C" w:rsidRDefault="00EB6365" w:rsidP="00FE46D2">
      <w:r w:rsidRPr="00A9689C">
        <w:t>Efficacy was examined in two randomised, placebo-</w:t>
      </w:r>
      <w:r w:rsidR="000B62D8" w:rsidRPr="00A9689C">
        <w:t xml:space="preserve">controlled, double-blind Phase III studies: C13007 and C13011. </w:t>
      </w:r>
      <w:r w:rsidRPr="00A9689C">
        <w:t xml:space="preserve">Just over half the patients </w:t>
      </w:r>
      <w:r w:rsidR="000B62D8" w:rsidRPr="00A9689C">
        <w:t>enrolled in C1007 had prior TNF</w:t>
      </w:r>
      <w:r w:rsidRPr="00A9689C">
        <w:t xml:space="preserve">α antagonist experience (ceased due to treatment failure or intolerance) and in C13011 enrolment was restricted such that </w:t>
      </w:r>
      <w:r w:rsidR="000B62D8" w:rsidRPr="00A9689C">
        <w:t>75% of the population were TNF</w:t>
      </w:r>
      <w:r w:rsidRPr="00A9689C">
        <w:t>α antagonist failure. In addition to t</w:t>
      </w:r>
      <w:r w:rsidR="000C2126">
        <w:t>hese studies there was a Phase II</w:t>
      </w:r>
      <w:r w:rsidRPr="00A9689C">
        <w:t xml:space="preserve"> study and two long-term studies with e</w:t>
      </w:r>
      <w:r w:rsidR="003703B4">
        <w:t xml:space="preserve">xploratory efficacy endpoints. </w:t>
      </w:r>
      <w:r w:rsidRPr="00A9689C">
        <w:t>Efficacy endpoints were generally the same across the clinical study program</w:t>
      </w:r>
      <w:r w:rsidR="000C2126">
        <w:t xml:space="preserve"> (see </w:t>
      </w:r>
      <w:r w:rsidR="000C2126" w:rsidRPr="000C2126">
        <w:rPr>
          <w:i/>
        </w:rPr>
        <w:t>Studies providing efficacy data in Crohn’s disease</w:t>
      </w:r>
      <w:r w:rsidR="000C2126">
        <w:t>, above for details)</w:t>
      </w:r>
      <w:r w:rsidRPr="00A9689C">
        <w:t>.</w:t>
      </w:r>
    </w:p>
    <w:p w:rsidR="00EB6365" w:rsidRPr="00CD5BB8" w:rsidRDefault="00EB6365" w:rsidP="00FE46D2">
      <w:r w:rsidRPr="00CD5BB8">
        <w:t>Study C1300</w:t>
      </w:r>
      <w:r w:rsidR="00A9689C">
        <w:t xml:space="preserve">7 was conducted in two phases. </w:t>
      </w:r>
      <w:r w:rsidRPr="00CD5BB8">
        <w:t>There were also two c</w:t>
      </w:r>
      <w:r w:rsidR="003703B4">
        <w:t xml:space="preserve">ohorts in the induction phase. </w:t>
      </w:r>
      <w:r w:rsidRPr="00CD5BB8">
        <w:t xml:space="preserve">Patients in Cohort 1 were initially randomised to </w:t>
      </w:r>
      <w:r w:rsidR="00CB6FC8">
        <w:t xml:space="preserve">vedolizumab </w:t>
      </w:r>
      <w:r w:rsidRPr="00CD5BB8">
        <w:t xml:space="preserve">300 mg </w:t>
      </w:r>
      <w:r w:rsidR="00A9689C">
        <w:t xml:space="preserve">IV infusion </w:t>
      </w:r>
      <w:r w:rsidRPr="00CD5BB8">
        <w:t>at Weeks 0 and 2 or pl</w:t>
      </w:r>
      <w:r w:rsidR="003703B4">
        <w:t xml:space="preserve">acebo for the induction phase. </w:t>
      </w:r>
      <w:r w:rsidRPr="00CD5BB8">
        <w:t>Additional patients received open</w:t>
      </w:r>
      <w:r w:rsidR="007B5C66">
        <w:t xml:space="preserve"> </w:t>
      </w:r>
      <w:r w:rsidRPr="00CD5BB8">
        <w:t xml:space="preserve">label induction with </w:t>
      </w:r>
      <w:r w:rsidR="00CB6FC8">
        <w:t xml:space="preserve">vedolizumab </w:t>
      </w:r>
      <w:r w:rsidR="003703B4">
        <w:t xml:space="preserve">(Cohort 2). </w:t>
      </w:r>
      <w:r w:rsidRPr="00CD5BB8">
        <w:t xml:space="preserve">Patients given </w:t>
      </w:r>
      <w:r w:rsidR="00CB6FC8">
        <w:t xml:space="preserve">vedolizumab </w:t>
      </w:r>
      <w:r w:rsidRPr="00CD5BB8">
        <w:t>in the induction phase who responded were combined with additional patients that had responded to open</w:t>
      </w:r>
      <w:r w:rsidR="007B5C66">
        <w:t xml:space="preserve"> </w:t>
      </w:r>
      <w:r w:rsidRPr="00CD5BB8">
        <w:t xml:space="preserve">label </w:t>
      </w:r>
      <w:r w:rsidR="00CB6FC8" w:rsidRPr="00CB6FC8">
        <w:t>vedolizumab</w:t>
      </w:r>
      <w:r w:rsidRPr="00CD5BB8">
        <w:t xml:space="preserve">, and the combined group of responder patients were re-randomised to: </w:t>
      </w:r>
      <w:r w:rsidR="00CB6FC8">
        <w:t xml:space="preserve">vedolizumab </w:t>
      </w:r>
      <w:r w:rsidRPr="00CD5BB8">
        <w:t xml:space="preserve">300 mg </w:t>
      </w:r>
      <w:r w:rsidR="00A9689C" w:rsidRPr="00A9689C">
        <w:t>IV infusion</w:t>
      </w:r>
      <w:r w:rsidRPr="00CD5BB8">
        <w:t xml:space="preserve"> </w:t>
      </w:r>
      <w:r w:rsidR="003703B4">
        <w:t>every 4 weeks</w:t>
      </w:r>
      <w:r w:rsidRPr="00CD5BB8">
        <w:t xml:space="preserve">; </w:t>
      </w:r>
      <w:r w:rsidR="00CB6FC8">
        <w:t xml:space="preserve">vedolizumab </w:t>
      </w:r>
      <w:r w:rsidRPr="00CD5BB8">
        <w:t xml:space="preserve">300 mg </w:t>
      </w:r>
      <w:r w:rsidR="00A9689C" w:rsidRPr="00A9689C">
        <w:t>IV infusion</w:t>
      </w:r>
      <w:r w:rsidRPr="00CD5BB8">
        <w:t xml:space="preserve"> </w:t>
      </w:r>
      <w:r w:rsidR="003703B4">
        <w:t>every 8 weeks</w:t>
      </w:r>
      <w:r w:rsidRPr="00CD5BB8">
        <w:t>; or placebo for the maintenance phase. The total duration of treatment was 52 weeks.</w:t>
      </w:r>
      <w:r w:rsidR="003703B4">
        <w:t xml:space="preserve"> </w:t>
      </w:r>
      <w:r w:rsidRPr="00CD5BB8">
        <w:t>Non-responders at Week 4 in the randomised part of the induction study were followed separately in a non-ITT analysis.</w:t>
      </w:r>
    </w:p>
    <w:p w:rsidR="00EB6365" w:rsidRPr="00CD5BB8" w:rsidRDefault="00EB6365" w:rsidP="00FE46D2">
      <w:r w:rsidRPr="00CD5BB8">
        <w:t>No</w:t>
      </w:r>
      <w:r w:rsidR="00CB6FC8">
        <w:t xml:space="preserve">table inclusion criteria were: </w:t>
      </w:r>
      <w:r w:rsidRPr="00CD5BB8">
        <w:t>a CDAI score of 220 to 450; inadequate response to, loss of response to, or intolerance of therapeutic doses of at least one of the following agents:</w:t>
      </w:r>
      <w:r w:rsidR="00FE46D2">
        <w:t xml:space="preserve"> </w:t>
      </w:r>
      <w:proofErr w:type="spellStart"/>
      <w:r w:rsidRPr="00CD5BB8">
        <w:lastRenderedPageBreak/>
        <w:t>immunomodulator</w:t>
      </w:r>
      <w:r w:rsidR="000B62D8">
        <w:t>s</w:t>
      </w:r>
      <w:proofErr w:type="spellEnd"/>
      <w:r w:rsidR="000B62D8">
        <w:t xml:space="preserve"> (</w:t>
      </w:r>
      <w:r w:rsidR="000C2126" w:rsidRPr="000C2126">
        <w:t>6-mercaptopurine</w:t>
      </w:r>
      <w:r w:rsidR="000B62D8">
        <w:t>; methotrexate; TNF</w:t>
      </w:r>
      <w:r w:rsidRPr="00CD5BB8">
        <w:t xml:space="preserve">α antagonists: infliximab, </w:t>
      </w:r>
      <w:proofErr w:type="spellStart"/>
      <w:r w:rsidRPr="00CD5BB8">
        <w:t>adalimumab</w:t>
      </w:r>
      <w:proofErr w:type="spellEnd"/>
      <w:r w:rsidRPr="00CD5BB8">
        <w:t xml:space="preserve">, </w:t>
      </w:r>
      <w:proofErr w:type="spellStart"/>
      <w:r w:rsidRPr="00CD5BB8">
        <w:t>certolizumab</w:t>
      </w:r>
      <w:proofErr w:type="spellEnd"/>
      <w:r w:rsidRPr="00CD5BB8">
        <w:t xml:space="preserve"> </w:t>
      </w:r>
      <w:proofErr w:type="spellStart"/>
      <w:r w:rsidRPr="00CD5BB8">
        <w:t>pegol</w:t>
      </w:r>
      <w:proofErr w:type="spellEnd"/>
      <w:r w:rsidRPr="00CD5BB8">
        <w:t>), or corticosteroids.</w:t>
      </w:r>
      <w:r w:rsidR="003703B4">
        <w:t xml:space="preserve"> </w:t>
      </w:r>
      <w:r w:rsidRPr="00CD5BB8">
        <w:t xml:space="preserve">Patients could continue to receive oral </w:t>
      </w:r>
      <w:r w:rsidR="000C2126" w:rsidRPr="000C2126">
        <w:t xml:space="preserve">5-aminosalicylate </w:t>
      </w:r>
      <w:r w:rsidRPr="00CD5BB8">
        <w:t xml:space="preserve">compounds, oral corticosteroid therapy, probiotics, </w:t>
      </w:r>
      <w:r w:rsidR="003703B4" w:rsidRPr="00CD5BB8">
        <w:t>anti</w:t>
      </w:r>
      <w:r w:rsidR="003703B4">
        <w:t>-</w:t>
      </w:r>
      <w:r w:rsidR="003703B4" w:rsidRPr="00CD5BB8">
        <w:t>diarrh</w:t>
      </w:r>
      <w:r w:rsidR="003703B4">
        <w:t>o</w:t>
      </w:r>
      <w:r w:rsidR="003703B4" w:rsidRPr="00CD5BB8">
        <w:t>eal</w:t>
      </w:r>
      <w:r w:rsidR="003703B4">
        <w:t xml:space="preserve"> agent</w:t>
      </w:r>
      <w:r w:rsidRPr="00CD5BB8">
        <w:t>s, azathioprine or 6-MP, methotrexate, and antibiotics used for the treatment of CD during the study.</w:t>
      </w:r>
      <w:r w:rsidR="003703B4">
        <w:t xml:space="preserve"> </w:t>
      </w:r>
      <w:r w:rsidRPr="00CD5BB8">
        <w:t>Notable exclusion criteria were: history of extensiv</w:t>
      </w:r>
      <w:r w:rsidR="003703B4">
        <w:t xml:space="preserve">e colonic resection; </w:t>
      </w:r>
      <w:proofErr w:type="spellStart"/>
      <w:r w:rsidR="003703B4">
        <w:t>iliostomy</w:t>
      </w:r>
      <w:proofErr w:type="spellEnd"/>
      <w:r w:rsidR="003703B4">
        <w:t>/</w:t>
      </w:r>
      <w:r w:rsidRPr="00CD5BB8">
        <w:t>colostomy or known stenosis of the intestine; receipt of non-biologic therapies (</w:t>
      </w:r>
      <w:r w:rsidR="003703B4">
        <w:t xml:space="preserve">for example </w:t>
      </w:r>
      <w:r w:rsidRPr="00CD5BB8">
        <w:t xml:space="preserve">cyclosporine, thalidomide), a non-biologic investigational therapy, adalimumab within 30 days of enrolment; receipt of infliximab or </w:t>
      </w:r>
      <w:proofErr w:type="spellStart"/>
      <w:r w:rsidRPr="00CD5BB8">
        <w:t>certolizumab</w:t>
      </w:r>
      <w:proofErr w:type="spellEnd"/>
      <w:r w:rsidRPr="00CD5BB8">
        <w:t xml:space="preserve"> </w:t>
      </w:r>
      <w:proofErr w:type="spellStart"/>
      <w:r w:rsidRPr="00CD5BB8">
        <w:t>pegol</w:t>
      </w:r>
      <w:proofErr w:type="spellEnd"/>
      <w:r w:rsidRPr="00CD5BB8">
        <w:t xml:space="preserve"> within 60 days prior to enrolment; topical rectal treatment with </w:t>
      </w:r>
      <w:r w:rsidR="00814679" w:rsidRPr="00814679">
        <w:t xml:space="preserve">5-aminosalicylate </w:t>
      </w:r>
      <w:r w:rsidRPr="00CD5BB8">
        <w:t>or corticosteroids within 2 weeks of enrolment.</w:t>
      </w:r>
    </w:p>
    <w:p w:rsidR="00EB6365" w:rsidRPr="00CD5BB8" w:rsidRDefault="00EB6365" w:rsidP="00FE46D2">
      <w:r w:rsidRPr="00CD5BB8">
        <w:t xml:space="preserve">The primary efficacy outcome measure for the </w:t>
      </w:r>
      <w:r w:rsidR="00814679">
        <w:t>i</w:t>
      </w:r>
      <w:r w:rsidRPr="00CD5BB8">
        <w:t xml:space="preserve">nduction </w:t>
      </w:r>
      <w:r w:rsidR="00814679">
        <w:t>p</w:t>
      </w:r>
      <w:r w:rsidRPr="00CD5BB8">
        <w:t xml:space="preserve">hase was the proportion of patients in clinical remission </w:t>
      </w:r>
      <w:r w:rsidR="00B668FF">
        <w:t xml:space="preserve">at Week 6 and the proportion that </w:t>
      </w:r>
      <w:r w:rsidRPr="00CD5BB8">
        <w:t xml:space="preserve">had achieved enhanced clinical response at Week 6. The primary efficacy outcome measure for the </w:t>
      </w:r>
      <w:r w:rsidR="00814679">
        <w:t>m</w:t>
      </w:r>
      <w:r w:rsidRPr="00CD5BB8">
        <w:t xml:space="preserve">aintenance </w:t>
      </w:r>
      <w:r w:rsidR="00814679">
        <w:t>p</w:t>
      </w:r>
      <w:r w:rsidRPr="00CD5BB8">
        <w:t>hase was the proportion of patients in clinical remission at Week 52.</w:t>
      </w:r>
    </w:p>
    <w:p w:rsidR="00EB6365" w:rsidRPr="00CD5BB8" w:rsidRDefault="00EB6365" w:rsidP="00FE46D2">
      <w:r w:rsidRPr="00CD5BB8">
        <w:t xml:space="preserve">A total of 220 patients were randomised to </w:t>
      </w:r>
      <w:r w:rsidR="00CB6FC8">
        <w:t xml:space="preserve">vedolizumab </w:t>
      </w:r>
      <w:r w:rsidRPr="00CD5BB8">
        <w:t xml:space="preserve">and 148 to placebo and a further 747 patients were included in the open label </w:t>
      </w:r>
      <w:r w:rsidR="00CB6FC8">
        <w:t xml:space="preserve">vedolizumab </w:t>
      </w:r>
      <w:r w:rsidRPr="00CD5BB8">
        <w:t>group.</w:t>
      </w:r>
      <w:r w:rsidR="003703B4">
        <w:t xml:space="preserve"> </w:t>
      </w:r>
      <w:r w:rsidRPr="00CD5BB8">
        <w:t xml:space="preserve">All patients in the randomised groups had received prior treatment for CD, with 287 (78%) having received immunomodulators, 192 (52%) </w:t>
      </w:r>
      <w:r w:rsidR="0010304F">
        <w:t xml:space="preserve">received </w:t>
      </w:r>
      <w:r w:rsidRPr="00CD5BB8">
        <w:t xml:space="preserve">TNFα antagonists and 54 (15%) </w:t>
      </w:r>
      <w:r w:rsidR="0010304F">
        <w:t xml:space="preserve">received </w:t>
      </w:r>
      <w:r w:rsidRPr="00CD5BB8">
        <w:t>only systemic corticosteroids.</w:t>
      </w:r>
      <w:r w:rsidR="003703B4">
        <w:t xml:space="preserve"> </w:t>
      </w:r>
      <w:r w:rsidRPr="00CD5BB8">
        <w:t xml:space="preserve">In the randomised groups, 177 (80%) patients in the </w:t>
      </w:r>
      <w:r w:rsidR="00CB6FC8">
        <w:t xml:space="preserve">vedolizumab </w:t>
      </w:r>
      <w:r w:rsidRPr="00CD5BB8">
        <w:t>group and 123 (83%) in the placebo had extra-intestinal manifestations of CD.</w:t>
      </w:r>
    </w:p>
    <w:p w:rsidR="00EB6365" w:rsidRPr="00CD5BB8" w:rsidRDefault="00EB6365" w:rsidP="00FE46D2">
      <w:r w:rsidRPr="00CD5BB8">
        <w:t xml:space="preserve">For randomised patients, clinical remission at Week 6 was achieved by 32 (14.5%) patients given </w:t>
      </w:r>
      <w:r w:rsidR="00CB6FC8">
        <w:t xml:space="preserve">vedolizumab </w:t>
      </w:r>
      <w:r w:rsidRPr="00CD5BB8">
        <w:t>and 10 (6.8%) given placebo, RR</w:t>
      </w:r>
      <w:r w:rsidR="00814679">
        <w:t xml:space="preserve"> (95% CI) 2.1 (1.1 to 4.2), p = </w:t>
      </w:r>
      <w:r w:rsidRPr="00CD5BB8">
        <w:t xml:space="preserve">0.0206 and </w:t>
      </w:r>
      <w:r w:rsidR="00814679">
        <w:t>number needed to treat (</w:t>
      </w:r>
      <w:r w:rsidRPr="00CD5BB8">
        <w:t>NNT</w:t>
      </w:r>
      <w:r w:rsidR="00814679">
        <w:t>)</w:t>
      </w:r>
      <w:r w:rsidRPr="00CD5BB8">
        <w:t xml:space="preserve"> to achieve an additional subject in clinical remission at Week 6 = 13. Enhanced clinical response was achieved by 69 (31.4%) patients given </w:t>
      </w:r>
      <w:r w:rsidR="00CB6FC8">
        <w:t xml:space="preserve">vedolizumab </w:t>
      </w:r>
      <w:r w:rsidRPr="00CD5BB8">
        <w:t xml:space="preserve">and 38 (25.7%) given placebo, </w:t>
      </w:r>
      <w:r w:rsidR="00814679">
        <w:t>RR (95% CI) 1.2 (0.9 to 1.7), p </w:t>
      </w:r>
      <w:r w:rsidRPr="00CD5BB8">
        <w:t>= 0.2322.</w:t>
      </w:r>
    </w:p>
    <w:p w:rsidR="00EB6365" w:rsidRPr="00CD5BB8" w:rsidRDefault="00EB6365" w:rsidP="00FE46D2">
      <w:r w:rsidRPr="00CD5BB8">
        <w:t xml:space="preserve">This difference was not clinically significant however the statistical plan allowed for failure to demonstrate superiority of one primary endpoint and the criteria for superiority of </w:t>
      </w:r>
      <w:r w:rsidR="00CB6FC8">
        <w:t xml:space="preserve">vedolizumab </w:t>
      </w:r>
      <w:r w:rsidRPr="00CD5BB8">
        <w:t>for clinical remission were satisfied.</w:t>
      </w:r>
    </w:p>
    <w:p w:rsidR="00EB6365" w:rsidRPr="00CD5BB8" w:rsidRDefault="00EB6365" w:rsidP="00FE46D2">
      <w:r w:rsidRPr="00CD5BB8">
        <w:t>A subgroup analysis was conducted by prior TNFα antagonist exposure.</w:t>
      </w:r>
      <w:r w:rsidR="003703B4">
        <w:t xml:space="preserve"> </w:t>
      </w:r>
      <w:r w:rsidRPr="00CD5BB8">
        <w:t>Patients with prior TNFα antagonist exposure had lower clinical remission and response rates compared to those without prior exposure.</w:t>
      </w:r>
      <w:r w:rsidR="003703B4">
        <w:t xml:space="preserve"> </w:t>
      </w:r>
      <w:r w:rsidRPr="00CD5BB8">
        <w:t xml:space="preserve">The clinical remission rate at Week 6 for patients with prior TNFα antagonist exposure was 4.3% for patients given placebo and 10.5% for patients given </w:t>
      </w:r>
      <w:r w:rsidR="00CB6FC8">
        <w:t>vedolizumab,</w:t>
      </w:r>
      <w:r w:rsidRPr="00CD5BB8">
        <w:t xml:space="preserve"> a non-statistically significant difference.</w:t>
      </w:r>
    </w:p>
    <w:p w:rsidR="00EB6365" w:rsidRPr="00CD5BB8" w:rsidRDefault="00EB6365" w:rsidP="00FE46D2">
      <w:r w:rsidRPr="00CD5BB8">
        <w:t xml:space="preserve">In the maintenance study, at Week 52 there were significantly more patients in both </w:t>
      </w:r>
      <w:r w:rsidR="00CB6FC8">
        <w:t xml:space="preserve">vedolizumab </w:t>
      </w:r>
      <w:r w:rsidRPr="00CD5BB8">
        <w:t>dose groups achieving clinical remission compared with placebo.</w:t>
      </w:r>
      <w:r w:rsidR="003703B4">
        <w:t xml:space="preserve"> </w:t>
      </w:r>
      <w:r w:rsidRPr="00CD5BB8">
        <w:t xml:space="preserve">Clinical remission was achieved by 60 (39.0%) patients given </w:t>
      </w:r>
      <w:r w:rsidR="00CB6FC8">
        <w:t xml:space="preserve">vedolizumab </w:t>
      </w:r>
      <w:r w:rsidR="003703B4">
        <w:t>every 8 weeks</w:t>
      </w:r>
      <w:r w:rsidRPr="00CD5BB8">
        <w:t xml:space="preserve"> (RR [95% CI] 1.8 [1.3 to 2.6], p = 0.0007), 56 (36.4%) given </w:t>
      </w:r>
      <w:r w:rsidR="00CB6FC8">
        <w:t xml:space="preserve">vedolizumab </w:t>
      </w:r>
      <w:r w:rsidR="003703B4">
        <w:t>every 4 weeks</w:t>
      </w:r>
      <w:r w:rsidRPr="00CD5BB8">
        <w:t xml:space="preserve"> (RR [95% CI] 1.7 [1.2 to 2.4], p = 0.0042), and 33 (21.6%) given placebo (ITT population).</w:t>
      </w:r>
    </w:p>
    <w:p w:rsidR="00EB6365" w:rsidRPr="00CD5BB8" w:rsidRDefault="00EB6365" w:rsidP="00FE46D2">
      <w:r w:rsidRPr="00CD5BB8">
        <w:t xml:space="preserve">An exploratory analysis of patients (ITT population) with prior TNFα antagonist exposure </w:t>
      </w:r>
      <w:r w:rsidR="003703B4">
        <w:t>wa</w:t>
      </w:r>
      <w:r w:rsidRPr="00CD5BB8">
        <w:t>s presented.</w:t>
      </w:r>
      <w:r w:rsidR="003703B4">
        <w:t xml:space="preserve"> </w:t>
      </w:r>
      <w:r w:rsidRPr="00CD5BB8">
        <w:t xml:space="preserve">There were only small differences in remission and enhanced response rates between the two </w:t>
      </w:r>
      <w:r w:rsidR="00CB6FC8">
        <w:t xml:space="preserve">vedolizumab </w:t>
      </w:r>
      <w:r w:rsidRPr="00CD5BB8">
        <w:t>dose groups and no statistical comparison between these groups was provided.</w:t>
      </w:r>
      <w:r w:rsidR="003703B4">
        <w:t xml:space="preserve"> </w:t>
      </w:r>
      <w:r w:rsidRPr="00CD5BB8">
        <w:t>TNFα antagonist naïve patients had higher remission and response rates than those with prior exposure.</w:t>
      </w:r>
      <w:r w:rsidR="003703B4">
        <w:t xml:space="preserve"> </w:t>
      </w:r>
      <w:r w:rsidRPr="00CD5BB8">
        <w:t>Both experienced and naïve subgroups had statistically significant higher clinical remission rates at Week 52 than patients randomised to placebo.</w:t>
      </w:r>
      <w:r w:rsidR="003703B4">
        <w:t xml:space="preserve"> </w:t>
      </w:r>
      <w:r w:rsidRPr="00CD5BB8">
        <w:t xml:space="preserve">The differences in enhanced clinical response were statistically significant for the naïve patients given </w:t>
      </w:r>
      <w:r w:rsidR="00CB6FC8">
        <w:t xml:space="preserve">vedolizumab </w:t>
      </w:r>
      <w:r w:rsidR="003703B4">
        <w:t>every 8 weeks</w:t>
      </w:r>
      <w:r w:rsidRPr="00CD5BB8">
        <w:t xml:space="preserve"> and the experienced patients given </w:t>
      </w:r>
      <w:proofErr w:type="spellStart"/>
      <w:r w:rsidR="00CB6FC8">
        <w:t>vedolizumab</w:t>
      </w:r>
      <w:proofErr w:type="spellEnd"/>
      <w:r w:rsidR="00CB6FC8">
        <w:t xml:space="preserve"> </w:t>
      </w:r>
      <w:r w:rsidR="003703B4">
        <w:t>every 4 weeks</w:t>
      </w:r>
      <w:r w:rsidRPr="00CD5BB8">
        <w:t>.</w:t>
      </w:r>
    </w:p>
    <w:p w:rsidR="00EB6365" w:rsidRDefault="00EB6365" w:rsidP="00FE46D2">
      <w:r w:rsidRPr="00CD5BB8">
        <w:lastRenderedPageBreak/>
        <w:t xml:space="preserve">Patients given </w:t>
      </w:r>
      <w:r w:rsidR="00CB6FC8">
        <w:t xml:space="preserve">vedolizumab </w:t>
      </w:r>
      <w:r w:rsidRPr="00CD5BB8">
        <w:t xml:space="preserve">in the induction phase (randomised and open cohorts) who failed to achieve reduction in CDAI score of </w:t>
      </w:r>
      <w:r w:rsidR="00F23382">
        <w:t>≥</w:t>
      </w:r>
      <w:r w:rsidR="00814679">
        <w:t xml:space="preserve"> </w:t>
      </w:r>
      <w:r w:rsidRPr="00CD5BB8">
        <w:t>70 points at Week 6 were followed separately from the randomised maintenance study.</w:t>
      </w:r>
      <w:r w:rsidR="003703B4">
        <w:t xml:space="preserve"> </w:t>
      </w:r>
      <w:r w:rsidRPr="00CD5BB8">
        <w:t xml:space="preserve">These patients received </w:t>
      </w:r>
      <w:r w:rsidR="00CB6FC8">
        <w:t xml:space="preserve">vedolizumab </w:t>
      </w:r>
      <w:r w:rsidRPr="00CD5BB8">
        <w:t xml:space="preserve">300 mg </w:t>
      </w:r>
      <w:r w:rsidR="00A9689C" w:rsidRPr="00A9689C">
        <w:t>IV infusion</w:t>
      </w:r>
      <w:r w:rsidRPr="00CD5BB8">
        <w:t xml:space="preserve"> </w:t>
      </w:r>
      <w:r w:rsidR="003703B4">
        <w:t>every 4 weeks</w:t>
      </w:r>
      <w:r w:rsidRPr="00CD5BB8">
        <w:t>.</w:t>
      </w:r>
      <w:r w:rsidR="003703B4">
        <w:t xml:space="preserve"> </w:t>
      </w:r>
      <w:r w:rsidRPr="00CD5BB8">
        <w:t>Post hoc analyses were performed to examine efficacy over time in these patients.</w:t>
      </w:r>
      <w:r w:rsidR="003703B4">
        <w:t xml:space="preserve"> </w:t>
      </w:r>
      <w:r w:rsidRPr="00CD5BB8">
        <w:t>The clinical</w:t>
      </w:r>
      <w:r w:rsidR="00814679">
        <w:t xml:space="preserve"> remission rate at Week 52 was 18.8%</w:t>
      </w:r>
      <w:r w:rsidRPr="00CD5BB8">
        <w:t xml:space="preserve"> </w:t>
      </w:r>
      <w:r w:rsidR="00814679">
        <w:t>(</w:t>
      </w:r>
      <w:r w:rsidRPr="00CD5BB8">
        <w:t xml:space="preserve">95% CI 14.9, 23.3) compared with 7.2% </w:t>
      </w:r>
      <w:r w:rsidR="00814679">
        <w:t>(</w:t>
      </w:r>
      <w:r w:rsidRPr="00CD5BB8">
        <w:t xml:space="preserve">95% CI: 2.4, 16.1) for patients given placebo. The enhanced clinical response rate in this population at Week 52 was 25.4% (95% CI 20.9, 30.2) for patients given </w:t>
      </w:r>
      <w:r w:rsidR="00CB6FC8">
        <w:t xml:space="preserve">vedolizumab </w:t>
      </w:r>
      <w:r w:rsidRPr="00CD5BB8">
        <w:t>and 7.2% (95% CI 2.4, 16.1) for patients given placebo.</w:t>
      </w:r>
      <w:r w:rsidR="003703B4">
        <w:t xml:space="preserve"> </w:t>
      </w:r>
      <w:r w:rsidRPr="00CD5BB8">
        <w:t>However analysis was based on few patients and no statistical comparison between placebo and active treatment groups was provided.</w:t>
      </w:r>
      <w:r w:rsidR="003703B4">
        <w:t xml:space="preserve"> </w:t>
      </w:r>
      <w:r w:rsidRPr="00CD5BB8">
        <w:t xml:space="preserve">Results for enhanced clinical response in this group summarised in </w:t>
      </w:r>
      <w:r w:rsidR="00F23382">
        <w:t xml:space="preserve">Table </w:t>
      </w:r>
      <w:r w:rsidR="00814679">
        <w:t>12</w:t>
      </w:r>
      <w:r w:rsidR="00F23382">
        <w:t xml:space="preserve"> and Table </w:t>
      </w:r>
      <w:r w:rsidR="00814679">
        <w:t>13</w:t>
      </w:r>
      <w:r w:rsidRPr="00CD5BB8">
        <w:t>.</w:t>
      </w:r>
    </w:p>
    <w:p w:rsidR="00F23382" w:rsidRDefault="00814679" w:rsidP="00FE46D2">
      <w:pPr>
        <w:pStyle w:val="TableTitle"/>
      </w:pPr>
      <w:proofErr w:type="gramStart"/>
      <w:r>
        <w:t>Table 12</w:t>
      </w:r>
      <w:r w:rsidR="0010304F">
        <w:t>:</w:t>
      </w:r>
      <w:r w:rsidR="00F23382">
        <w:t xml:space="preserve"> Enhanced clinical response for patients who did not achieve clinical response at Week 6.</w:t>
      </w:r>
      <w:proofErr w:type="gramEnd"/>
      <w:r w:rsidR="00F23382">
        <w:t xml:space="preserve"> Delayed response population (Study 007)</w:t>
      </w:r>
    </w:p>
    <w:p w:rsidR="00F23382" w:rsidRDefault="00F23382" w:rsidP="00FE46D2">
      <w:r>
        <w:rPr>
          <w:noProof/>
          <w:lang w:eastAsia="en-AU"/>
        </w:rPr>
        <w:drawing>
          <wp:inline distT="0" distB="0" distL="0" distR="0" wp14:anchorId="028AC617" wp14:editId="20DE1183">
            <wp:extent cx="5400040" cy="1161932"/>
            <wp:effectExtent l="0" t="0" r="0" b="635"/>
            <wp:docPr id="2" name="Picture 2" descr="Table 12: Enhanced clinical response for patients who did not achieve clinical response at Week 6. Delayed response population (Study 007)" title="Tabl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1161932"/>
                    </a:xfrm>
                    <a:prstGeom prst="rect">
                      <a:avLst/>
                    </a:prstGeom>
                  </pic:spPr>
                </pic:pic>
              </a:graphicData>
            </a:graphic>
          </wp:inline>
        </w:drawing>
      </w:r>
    </w:p>
    <w:p w:rsidR="00F23382" w:rsidRPr="00F23382" w:rsidRDefault="00814679" w:rsidP="00FE46D2">
      <w:pPr>
        <w:pStyle w:val="TableTitle"/>
      </w:pPr>
      <w:r>
        <w:t>Table 13</w:t>
      </w:r>
      <w:r w:rsidR="0010304F">
        <w:t>:</w:t>
      </w:r>
      <w:r w:rsidR="00F23382" w:rsidRPr="00F23382">
        <w:t xml:space="preserve"> Clinical Remission at Week 52 by Induction Phase Cohort –Maintenance Study (007) ITT Population</w:t>
      </w:r>
    </w:p>
    <w:p w:rsidR="00F23382" w:rsidRDefault="00F23382" w:rsidP="00FE46D2">
      <w:r>
        <w:rPr>
          <w:noProof/>
          <w:lang w:eastAsia="en-AU"/>
        </w:rPr>
        <w:drawing>
          <wp:inline distT="0" distB="0" distL="0" distR="0" wp14:anchorId="02528811" wp14:editId="333AA481">
            <wp:extent cx="5400040" cy="3256280"/>
            <wp:effectExtent l="0" t="0" r="0" b="1270"/>
            <wp:docPr id="6" name="Picture 1" descr="Table 13: Clinical Remission at Week 52 by Induction Phase Cohort –Maintenance Study (007) ITT Population" title="Tab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400040" cy="3256280"/>
                    </a:xfrm>
                    <a:prstGeom prst="rect">
                      <a:avLst/>
                    </a:prstGeom>
                    <a:noFill/>
                    <a:ln w="9525">
                      <a:noFill/>
                      <a:miter lim="800000"/>
                      <a:headEnd/>
                      <a:tailEnd/>
                    </a:ln>
                  </pic:spPr>
                </pic:pic>
              </a:graphicData>
            </a:graphic>
          </wp:inline>
        </w:drawing>
      </w:r>
    </w:p>
    <w:p w:rsidR="00EB6365" w:rsidRPr="00CD5BB8" w:rsidRDefault="00EB6365" w:rsidP="00FE46D2">
      <w:r w:rsidRPr="00CD5BB8">
        <w:t>Supplementary analyses of this study were</w:t>
      </w:r>
      <w:r w:rsidR="00814679">
        <w:t xml:space="preserve"> </w:t>
      </w:r>
      <w:r w:rsidR="004E1AC4">
        <w:t>conducted</w:t>
      </w:r>
      <w:r w:rsidRPr="00CD5BB8">
        <w:t>.</w:t>
      </w:r>
      <w:r w:rsidR="003703B4">
        <w:t xml:space="preserve"> </w:t>
      </w:r>
      <w:r w:rsidRPr="00CD5BB8">
        <w:t>In the overall analys</w:t>
      </w:r>
      <w:r w:rsidR="004E1AC4">
        <w:t>is of Cohorts 1 and 2 combined</w:t>
      </w:r>
      <w:r w:rsidRPr="00CD5BB8">
        <w:t xml:space="preserve"> statistically significantly greater proportions of patients in the </w:t>
      </w:r>
      <w:r w:rsidR="00CB6FC8">
        <w:t xml:space="preserve">vedolizumab </w:t>
      </w:r>
      <w:r w:rsidRPr="00CD5BB8">
        <w:t xml:space="preserve">treatment groups achieved clinical remission at Week 52 compared with placebo (p = 0.0007 for </w:t>
      </w:r>
      <w:r w:rsidR="004E1AC4">
        <w:t>8 weekly</w:t>
      </w:r>
      <w:r w:rsidRPr="00CD5BB8">
        <w:t xml:space="preserve"> dosing; p = 0.0042 for </w:t>
      </w:r>
      <w:r w:rsidR="00914834">
        <w:t>4 weekly</w:t>
      </w:r>
      <w:r w:rsidRPr="00CD5BB8">
        <w:t xml:space="preserve"> dosing). The difference from placebo was 17.4% (95% CI: 7.3, 27.5) in the </w:t>
      </w:r>
      <w:r w:rsidR="00CB6FC8">
        <w:t xml:space="preserve">vedolizumab </w:t>
      </w:r>
      <w:r w:rsidR="00914834">
        <w:t>8 weekly</w:t>
      </w:r>
      <w:r w:rsidRPr="00CD5BB8">
        <w:t xml:space="preserve"> </w:t>
      </w:r>
      <w:r w:rsidR="004E1AC4">
        <w:t xml:space="preserve">dosing </w:t>
      </w:r>
      <w:r w:rsidRPr="00CD5BB8">
        <w:t xml:space="preserve">group and 14.7% (95% CI: 4.6, 24.7) in the </w:t>
      </w:r>
      <w:r w:rsidR="00CB6FC8">
        <w:t xml:space="preserve">vedolizumab </w:t>
      </w:r>
      <w:r w:rsidR="00914834">
        <w:t>4 weekly</w:t>
      </w:r>
      <w:r w:rsidRPr="00CD5BB8">
        <w:t xml:space="preserve"> </w:t>
      </w:r>
      <w:r w:rsidR="004E1AC4">
        <w:t xml:space="preserve">dosing </w:t>
      </w:r>
      <w:r w:rsidRPr="00CD5BB8">
        <w:t>group.</w:t>
      </w:r>
      <w:r w:rsidR="003703B4">
        <w:t xml:space="preserve"> </w:t>
      </w:r>
      <w:r w:rsidRPr="00CD5BB8">
        <w:t>The proportion of patients in Cohort 1 and 2 combined analysis for enhanced clinical response in the maintenance population was 13.4% (95% CI: 2.8, 24.0)</w:t>
      </w:r>
      <w:r w:rsidR="009801FD">
        <w:t xml:space="preserve"> </w:t>
      </w:r>
      <w:r w:rsidRPr="00CD5BB8">
        <w:t xml:space="preserve">in the </w:t>
      </w:r>
      <w:r w:rsidR="00CB6FC8">
        <w:t xml:space="preserve">vedolizumab </w:t>
      </w:r>
      <w:r w:rsidR="00914834">
        <w:t>8 weekly</w:t>
      </w:r>
      <w:r w:rsidRPr="00CD5BB8">
        <w:t xml:space="preserve"> group and 15.3% (95% CI: 4.6, 26.0) in the </w:t>
      </w:r>
      <w:proofErr w:type="spellStart"/>
      <w:r w:rsidR="00CB6FC8">
        <w:t>vedolizumab</w:t>
      </w:r>
      <w:proofErr w:type="spellEnd"/>
      <w:r w:rsidR="00CB6FC8">
        <w:t xml:space="preserve"> </w:t>
      </w:r>
      <w:r w:rsidR="00914834">
        <w:t>4 weekly</w:t>
      </w:r>
      <w:r w:rsidR="00FE46D2">
        <w:t xml:space="preserve"> group.</w:t>
      </w:r>
    </w:p>
    <w:p w:rsidR="00EB6365" w:rsidRPr="00CD5BB8" w:rsidRDefault="000C1CB7" w:rsidP="00FE46D2">
      <w:r>
        <w:lastRenderedPageBreak/>
        <w:t xml:space="preserve">A </w:t>
      </w:r>
      <w:r w:rsidR="00EB6365" w:rsidRPr="00CD5BB8">
        <w:t xml:space="preserve">statistically significant difference in rates of durable clinical remission at Week 52 (defined as CDAI score </w:t>
      </w:r>
      <w:r w:rsidR="009801FD">
        <w:t>≤</w:t>
      </w:r>
      <w:r w:rsidR="00F150A3">
        <w:t xml:space="preserve"> </w:t>
      </w:r>
      <w:r w:rsidR="00EB6365" w:rsidRPr="00CD5BB8">
        <w:t xml:space="preserve">150 points at </w:t>
      </w:r>
      <w:r w:rsidR="00F23382">
        <w:t>≥</w:t>
      </w:r>
      <w:r w:rsidR="00FF718F">
        <w:t xml:space="preserve"> </w:t>
      </w:r>
      <w:r w:rsidR="00EB6365" w:rsidRPr="00CD5BB8">
        <w:t>80% of study visits including final visit [</w:t>
      </w:r>
      <w:r w:rsidR="003703B4">
        <w:t>Week</w:t>
      </w:r>
      <w:r w:rsidR="00EB6365" w:rsidRPr="00CD5BB8">
        <w:t xml:space="preserve"> 52]) was not demonstrated for the combined Cohorts 1 and 2 analysis ITT maintenance population.</w:t>
      </w:r>
    </w:p>
    <w:p w:rsidR="00EB6365" w:rsidRPr="00CD5BB8" w:rsidRDefault="009801FD" w:rsidP="00FE46D2">
      <w:r>
        <w:t>The second Phase III</w:t>
      </w:r>
      <w:r w:rsidR="00EB6365" w:rsidRPr="00CD5BB8">
        <w:t xml:space="preserve"> study, Study C13011 assessed efficacy of the proposed induction regimen of </w:t>
      </w:r>
      <w:r w:rsidR="00CB6FC8">
        <w:t xml:space="preserve">vedolizumab </w:t>
      </w:r>
      <w:r w:rsidR="00EB6365" w:rsidRPr="00CD5BB8">
        <w:t xml:space="preserve">300 mg </w:t>
      </w:r>
      <w:r w:rsidR="00A9689C" w:rsidRPr="00A9689C">
        <w:t>IV infusion</w:t>
      </w:r>
      <w:r w:rsidR="00EB6365" w:rsidRPr="00CD5BB8">
        <w:t xml:space="preserve"> at Weeks 0, 2 and 6.</w:t>
      </w:r>
      <w:r w:rsidR="003703B4">
        <w:t xml:space="preserve"> </w:t>
      </w:r>
      <w:r w:rsidR="00EB6365" w:rsidRPr="00CD5BB8">
        <w:t xml:space="preserve">This study used similar efficacy measures and inclusion and exclusion criteria as Study C13007 with the primary assessments at </w:t>
      </w:r>
      <w:r w:rsidR="003703B4">
        <w:t>Week</w:t>
      </w:r>
      <w:r w:rsidR="00EB6365" w:rsidRPr="00CD5BB8">
        <w:t xml:space="preserve"> 6 and further assessments at </w:t>
      </w:r>
      <w:r w:rsidR="003703B4">
        <w:t>Week</w:t>
      </w:r>
      <w:r w:rsidR="00EB6365" w:rsidRPr="00CD5BB8">
        <w:t xml:space="preserve"> 10.</w:t>
      </w:r>
    </w:p>
    <w:p w:rsidR="00EB6365" w:rsidRPr="00CD5BB8" w:rsidRDefault="00EB6365" w:rsidP="00FE46D2">
      <w:r w:rsidRPr="00CD5BB8">
        <w:t xml:space="preserve">The primary objective was to determine the effect of </w:t>
      </w:r>
      <w:r w:rsidR="00CB6FC8">
        <w:t xml:space="preserve">vedolizumab </w:t>
      </w:r>
      <w:r w:rsidRPr="00CD5BB8">
        <w:t xml:space="preserve">induction treatment on clinical remission at </w:t>
      </w:r>
      <w:r w:rsidR="003703B4">
        <w:t>Week</w:t>
      </w:r>
      <w:r w:rsidRPr="00CD5BB8">
        <w:t xml:space="preserve"> 6 in the subgroup of patients defined as having failed TNFα antagonist therapy.</w:t>
      </w:r>
      <w:r w:rsidR="003703B4">
        <w:t xml:space="preserve"> </w:t>
      </w:r>
      <w:r w:rsidRPr="00CD5BB8">
        <w:t>The primary efficacy endpoint was the proportion of patients in clinical remission at Week 6 in the TNFα antagonist failure ITT subpopulation.</w:t>
      </w:r>
    </w:p>
    <w:p w:rsidR="00EB6365" w:rsidRPr="00CD5BB8" w:rsidRDefault="00EB6365" w:rsidP="00FE46D2">
      <w:r w:rsidRPr="00CD5BB8">
        <w:t xml:space="preserve">A total of 416 patients </w:t>
      </w:r>
      <w:r w:rsidR="0083736D">
        <w:t>were randomis</w:t>
      </w:r>
      <w:r w:rsidRPr="00CD5BB8">
        <w:t>ed to treatment: 2</w:t>
      </w:r>
      <w:r w:rsidR="00B668FF">
        <w:t>0</w:t>
      </w:r>
      <w:r w:rsidRPr="00CD5BB8">
        <w:t xml:space="preserve">9 to </w:t>
      </w:r>
      <w:r w:rsidR="00CB6FC8">
        <w:t xml:space="preserve">vedolizumab </w:t>
      </w:r>
      <w:r w:rsidRPr="00CD5BB8">
        <w:t>and 207 to placebo.</w:t>
      </w:r>
      <w:r w:rsidR="003703B4">
        <w:t xml:space="preserve"> </w:t>
      </w:r>
      <w:r w:rsidRPr="00CD5BB8">
        <w:t xml:space="preserve">Of these 315 (76%) had previously failed TNFα antagonist treatment. This study failed to demonstrate a statistically significant increase in clinical remission rates compared with placebo at </w:t>
      </w:r>
      <w:r w:rsidR="003703B4">
        <w:t>Week</w:t>
      </w:r>
      <w:r w:rsidRPr="00CD5BB8">
        <w:t xml:space="preserve"> 6 in patients who had failed previous TNFα antagonist treatment.</w:t>
      </w:r>
      <w:r w:rsidR="003703B4">
        <w:t xml:space="preserve"> </w:t>
      </w:r>
      <w:r w:rsidRPr="00CD5BB8">
        <w:t xml:space="preserve">For that population, clinical remission rates at </w:t>
      </w:r>
      <w:r w:rsidR="003703B4">
        <w:t>Week</w:t>
      </w:r>
      <w:r w:rsidR="004E1AC4">
        <w:t xml:space="preserve"> </w:t>
      </w:r>
      <w:r w:rsidRPr="00CD5BB8">
        <w:t>6 were:</w:t>
      </w:r>
      <w:r w:rsidR="009801FD">
        <w:t xml:space="preserve"> </w:t>
      </w:r>
      <w:r w:rsidRPr="00CD5BB8">
        <w:t xml:space="preserve">15.2% in the </w:t>
      </w:r>
      <w:r w:rsidR="00CB6FC8">
        <w:t xml:space="preserve">vedolizumab </w:t>
      </w:r>
      <w:r w:rsidRPr="00CD5BB8">
        <w:t>group and 12.1% in the placebo group; RR</w:t>
      </w:r>
      <w:r w:rsidR="004E1AC4">
        <w:t xml:space="preserve"> (95% CI) 1.2 (0.7 to 2.2), p = </w:t>
      </w:r>
      <w:r w:rsidRPr="00CD5BB8">
        <w:t>0.4332.</w:t>
      </w:r>
      <w:r w:rsidR="003703B4">
        <w:t xml:space="preserve"> </w:t>
      </w:r>
      <w:r w:rsidRPr="00CD5BB8">
        <w:t xml:space="preserve">The </w:t>
      </w:r>
      <w:r w:rsidR="003703B4">
        <w:t>Week</w:t>
      </w:r>
      <w:r w:rsidRPr="00CD5BB8">
        <w:t xml:space="preserve"> 10 results for clinical remission were statistically significant for the TNFα Antagonist Failure ITT subpopulation 26.6%</w:t>
      </w:r>
      <w:r w:rsidR="003703B4">
        <w:t xml:space="preserve"> </w:t>
      </w:r>
      <w:r w:rsidRPr="00CD5BB8">
        <w:t xml:space="preserve">in the </w:t>
      </w:r>
      <w:r w:rsidR="00CB6FC8">
        <w:t xml:space="preserve">vedolizumab </w:t>
      </w:r>
      <w:r w:rsidRPr="00CD5BB8">
        <w:t xml:space="preserve">group </w:t>
      </w:r>
      <w:r w:rsidR="009801FD">
        <w:t>versus</w:t>
      </w:r>
      <w:r w:rsidRPr="00CD5BB8">
        <w:t xml:space="preserve"> 12.1% in the placebo group, RR (95% CI) 2.2 (1.3 to 3.6), p = 0.0012; and for the Overall ITT population 60 (28.7%).</w:t>
      </w:r>
    </w:p>
    <w:p w:rsidR="00EB6365" w:rsidRPr="00CD5BB8" w:rsidRDefault="00EB6365" w:rsidP="00FE46D2">
      <w:r w:rsidRPr="00CD5BB8">
        <w:t xml:space="preserve">A statistically significant difference was demonstrated for enhanced clinical response at </w:t>
      </w:r>
      <w:r w:rsidR="003703B4">
        <w:t>Week</w:t>
      </w:r>
      <w:r w:rsidRPr="00CD5BB8">
        <w:t xml:space="preserve"> 6 in the TNFα Antagonist Failure Subpopulation: 39.2% in the </w:t>
      </w:r>
      <w:r w:rsidR="00CB6FC8">
        <w:t xml:space="preserve">vedolizumab </w:t>
      </w:r>
      <w:r w:rsidRPr="00CD5BB8">
        <w:t xml:space="preserve">group </w:t>
      </w:r>
      <w:r w:rsidR="009801FD">
        <w:t>versus</w:t>
      </w:r>
      <w:r w:rsidRPr="00CD5BB8">
        <w:t xml:space="preserve"> 22.3% in the placebo group, RR (95% CI) 1.8 (1.2 to 2.5), p = 0.0011. For the TNFα Antagonist naïve sub-population at </w:t>
      </w:r>
      <w:r w:rsidR="003703B4">
        <w:t>Week</w:t>
      </w:r>
      <w:r w:rsidRPr="00CD5BB8">
        <w:t xml:space="preserve"> 10, 35.3% of patients given </w:t>
      </w:r>
      <w:r w:rsidR="00CB6FC8">
        <w:t xml:space="preserve">vedolizumab </w:t>
      </w:r>
      <w:r w:rsidR="009801FD">
        <w:t>versus</w:t>
      </w:r>
      <w:r w:rsidRPr="00CD5BB8">
        <w:t xml:space="preserve"> 16.0% given placebo had achieved clinical remission; the treatment difference from placebo was 19.1% (95% CI 2.4, 35.8). Further efficacy results for this sub-population are in </w:t>
      </w:r>
      <w:r w:rsidR="009801FD">
        <w:t xml:space="preserve">the </w:t>
      </w:r>
      <w:r w:rsidRPr="00CD5BB8">
        <w:t>CER</w:t>
      </w:r>
      <w:r w:rsidR="009801FD">
        <w:t xml:space="preserve"> (Attachment 2)</w:t>
      </w:r>
      <w:r w:rsidRPr="00CD5BB8">
        <w:t>.</w:t>
      </w:r>
    </w:p>
    <w:p w:rsidR="00EB6365" w:rsidRPr="00CD5BB8" w:rsidRDefault="00EB6365" w:rsidP="00FE46D2">
      <w:pPr>
        <w:pStyle w:val="Heading5"/>
      </w:pPr>
      <w:r w:rsidRPr="00FE46D2">
        <w:t>Ulcerative</w:t>
      </w:r>
      <w:r w:rsidRPr="00CD5BB8">
        <w:t xml:space="preserve"> colitis</w:t>
      </w:r>
    </w:p>
    <w:p w:rsidR="00EB6365" w:rsidRPr="00CD5BB8" w:rsidRDefault="00EB6365" w:rsidP="00FE46D2">
      <w:r w:rsidRPr="00CD5BB8">
        <w:t xml:space="preserve">The pivotal study for UC was Study C13006, a randomised, placebo-controlled, double-blind study to evaluate the efficacy and safety of </w:t>
      </w:r>
      <w:r w:rsidR="00CB6FC8">
        <w:t xml:space="preserve">vedolizumab </w:t>
      </w:r>
      <w:r w:rsidRPr="00CD5BB8">
        <w:t>as induction and maintenance treatments in patients with moderately to severely active UC who had an inadequate response to, loss of response to, or intolerance to one or more of the following therapies: immunomodulators, corticosteroids, or TNFα</w:t>
      </w:r>
      <w:r w:rsidRPr="00CD5BB8">
        <w:rPr>
          <w:rFonts w:hint="eastAsia"/>
        </w:rPr>
        <w:t xml:space="preserve"> </w:t>
      </w:r>
      <w:r w:rsidRPr="00CD5BB8">
        <w:t>antagonists.</w:t>
      </w:r>
    </w:p>
    <w:p w:rsidR="00EB6365" w:rsidRPr="00CD5BB8" w:rsidRDefault="00EB6365" w:rsidP="00FE46D2">
      <w:r w:rsidRPr="00CD5BB8">
        <w:t>Study C13006 had many of the design features of Study C13007.</w:t>
      </w:r>
      <w:r w:rsidR="003703B4">
        <w:t xml:space="preserve"> </w:t>
      </w:r>
      <w:r w:rsidRPr="00CD5BB8">
        <w:t>The induction phase included a randomised, placebo-controlled, double-blind group (for ITT analysis) and a group receiving open</w:t>
      </w:r>
      <w:r w:rsidR="007B5C66">
        <w:t xml:space="preserve"> </w:t>
      </w:r>
      <w:r w:rsidRPr="00CD5BB8">
        <w:t xml:space="preserve">label </w:t>
      </w:r>
      <w:r w:rsidR="00CB6FC8">
        <w:t>vedolizumab</w:t>
      </w:r>
      <w:r w:rsidRPr="00CD5BB8">
        <w:t>.</w:t>
      </w:r>
      <w:r w:rsidR="003703B4">
        <w:t xml:space="preserve"> </w:t>
      </w:r>
      <w:r w:rsidRPr="00CD5BB8">
        <w:t>Responders to either randomised treatment or open</w:t>
      </w:r>
      <w:r w:rsidR="007B5C66">
        <w:t xml:space="preserve"> </w:t>
      </w:r>
      <w:r w:rsidRPr="00CD5BB8">
        <w:t xml:space="preserve">label </w:t>
      </w:r>
      <w:r w:rsidR="00CB6FC8">
        <w:t xml:space="preserve">vedolizumab </w:t>
      </w:r>
      <w:r w:rsidRPr="00CD5BB8">
        <w:t xml:space="preserve">were re-randomised after the induction phase into the maintenance phase where they received </w:t>
      </w:r>
      <w:r w:rsidR="00CB6FC8">
        <w:t xml:space="preserve">vedolizumab </w:t>
      </w:r>
      <w:r w:rsidRPr="00CD5BB8">
        <w:t xml:space="preserve">300 mg </w:t>
      </w:r>
      <w:r w:rsidR="00A9689C" w:rsidRPr="00A9689C">
        <w:t>IV infusion</w:t>
      </w:r>
      <w:r w:rsidRPr="00CD5BB8">
        <w:t xml:space="preserve"> either </w:t>
      </w:r>
      <w:r w:rsidR="003703B4">
        <w:t>every 4 weeks</w:t>
      </w:r>
      <w:r w:rsidRPr="00CD5BB8">
        <w:t xml:space="preserve"> or </w:t>
      </w:r>
      <w:r w:rsidR="003703B4">
        <w:t>every 8 weeks</w:t>
      </w:r>
      <w:r w:rsidRPr="00CD5BB8">
        <w:t xml:space="preserve"> or placebo to Week 52.</w:t>
      </w:r>
    </w:p>
    <w:p w:rsidR="00EB6365" w:rsidRPr="00CD5BB8" w:rsidRDefault="00EB6365" w:rsidP="00FE46D2">
      <w:r w:rsidRPr="00CD5BB8">
        <w:t xml:space="preserve">Inclusion criteria of note were: moderately to severely active UC as determined by a Mayo score of 6 to 12 with an endoscopic </w:t>
      </w:r>
      <w:proofErr w:type="spellStart"/>
      <w:r w:rsidRPr="00CD5BB8">
        <w:t>subscore</w:t>
      </w:r>
      <w:proofErr w:type="spellEnd"/>
      <w:r w:rsidRPr="00CD5BB8">
        <w:t xml:space="preserve"> </w:t>
      </w:r>
      <w:r w:rsidR="009801FD">
        <w:t>≥</w:t>
      </w:r>
      <w:r w:rsidR="00486470">
        <w:t xml:space="preserve"> </w:t>
      </w:r>
      <w:r w:rsidRPr="00CD5BB8">
        <w:t xml:space="preserve">2 within 7 days prior to the first dose of study drug and an inadequate response to, loss of response to, or intolerance of at least one of the following agents: immunomodulators: </w:t>
      </w:r>
      <w:r w:rsidR="00486470" w:rsidRPr="00486470">
        <w:t xml:space="preserve">6-mercaptopurine </w:t>
      </w:r>
      <w:r w:rsidRPr="00CD5BB8">
        <w:t>(</w:t>
      </w:r>
      <w:r w:rsidR="00F23382">
        <w:t>≥</w:t>
      </w:r>
      <w:r w:rsidRPr="00CD5BB8">
        <w:t xml:space="preserve"> 0.75 mg/kg), methotrexate (</w:t>
      </w:r>
      <w:r w:rsidR="00F23382">
        <w:t>≥</w:t>
      </w:r>
      <w:r w:rsidRPr="00CD5BB8">
        <w:t xml:space="preserve"> 12.5 mg/week); TNFα antagonists: infliximab, </w:t>
      </w:r>
      <w:proofErr w:type="spellStart"/>
      <w:r w:rsidRPr="00CD5BB8">
        <w:t>adalimumab</w:t>
      </w:r>
      <w:proofErr w:type="spellEnd"/>
      <w:r w:rsidRPr="00CD5BB8">
        <w:t xml:space="preserve">, and </w:t>
      </w:r>
      <w:proofErr w:type="spellStart"/>
      <w:r w:rsidRPr="00CD5BB8">
        <w:t>certolizumab</w:t>
      </w:r>
      <w:proofErr w:type="spellEnd"/>
      <w:r w:rsidRPr="00CD5BB8">
        <w:t xml:space="preserve"> </w:t>
      </w:r>
      <w:proofErr w:type="spellStart"/>
      <w:r w:rsidRPr="00CD5BB8">
        <w:t>pegol</w:t>
      </w:r>
      <w:proofErr w:type="spellEnd"/>
      <w:r w:rsidRPr="00CD5BB8">
        <w:t>; and corticosteroids.</w:t>
      </w:r>
      <w:r w:rsidR="003703B4">
        <w:t xml:space="preserve"> </w:t>
      </w:r>
      <w:r w:rsidRPr="00CD5BB8">
        <w:t xml:space="preserve">Patients were permitted to receive concomitant therapeutic doses of oral </w:t>
      </w:r>
      <w:r w:rsidR="00486470" w:rsidRPr="00486470">
        <w:t xml:space="preserve">5-aminosalicylate </w:t>
      </w:r>
      <w:r w:rsidRPr="00CD5BB8">
        <w:t>compounds, oral corticosteroid therapy, probiotics, anti</w:t>
      </w:r>
      <w:r w:rsidR="00486470">
        <w:t>-</w:t>
      </w:r>
      <w:r w:rsidRPr="00CD5BB8">
        <w:t>diarrh</w:t>
      </w:r>
      <w:r w:rsidR="00486470">
        <w:t>o</w:t>
      </w:r>
      <w:r w:rsidRPr="00CD5BB8">
        <w:t>eal</w:t>
      </w:r>
      <w:r w:rsidR="00486470">
        <w:t xml:space="preserve"> agent</w:t>
      </w:r>
      <w:r w:rsidRPr="00CD5BB8">
        <w:t xml:space="preserve">s, and azathioprine or </w:t>
      </w:r>
      <w:r w:rsidR="00486470" w:rsidRPr="00486470">
        <w:t>6-mercaptopurine</w:t>
      </w:r>
      <w:r w:rsidRPr="00CD5BB8">
        <w:t>.</w:t>
      </w:r>
      <w:r w:rsidR="003703B4">
        <w:t xml:space="preserve"> </w:t>
      </w:r>
      <w:r w:rsidRPr="00CD5BB8">
        <w:t>Exclusion criteria of note were: receipt of non-biologic therapies (</w:t>
      </w:r>
      <w:r w:rsidR="009801FD">
        <w:t xml:space="preserve">for example, </w:t>
      </w:r>
      <w:r w:rsidRPr="00CD5BB8">
        <w:t xml:space="preserve">cyclosporine, </w:t>
      </w:r>
      <w:r w:rsidRPr="00CD5BB8">
        <w:lastRenderedPageBreak/>
        <w:t xml:space="preserve">thalidomide) within 30 days prior to enrolment, infliximab within 60 days prior to enrolment and any prior exposure to </w:t>
      </w:r>
      <w:proofErr w:type="spellStart"/>
      <w:r w:rsidRPr="00CD5BB8">
        <w:t>natalizumab</w:t>
      </w:r>
      <w:proofErr w:type="spellEnd"/>
      <w:r w:rsidRPr="00CD5BB8">
        <w:t xml:space="preserve">, </w:t>
      </w:r>
      <w:proofErr w:type="spellStart"/>
      <w:r w:rsidRPr="00CD5BB8">
        <w:t>efalizumab</w:t>
      </w:r>
      <w:proofErr w:type="spellEnd"/>
      <w:r w:rsidRPr="00CD5BB8">
        <w:t>, or rituximab.</w:t>
      </w:r>
    </w:p>
    <w:p w:rsidR="00EB6365" w:rsidRPr="00CD5BB8" w:rsidRDefault="00EB6365" w:rsidP="00FE46D2">
      <w:r w:rsidRPr="00CD5BB8">
        <w:t>The primary ef</w:t>
      </w:r>
      <w:r w:rsidR="00814679">
        <w:t>ficacy outcome measure for the i</w:t>
      </w:r>
      <w:r w:rsidRPr="00CD5BB8">
        <w:t xml:space="preserve">nduction </w:t>
      </w:r>
      <w:r w:rsidR="00814679">
        <w:t>p</w:t>
      </w:r>
      <w:r w:rsidRPr="00CD5BB8">
        <w:t>hase was the proportion of patients with clinical response at Week 6.</w:t>
      </w:r>
      <w:r w:rsidR="003703B4">
        <w:t xml:space="preserve"> </w:t>
      </w:r>
      <w:r w:rsidRPr="00CD5BB8">
        <w:t xml:space="preserve">Clinical response was defined as a reduction in complete Mayo score of </w:t>
      </w:r>
      <w:r w:rsidR="00F23382">
        <w:t>≥</w:t>
      </w:r>
      <w:r w:rsidR="00486470">
        <w:t xml:space="preserve"> </w:t>
      </w:r>
      <w:r w:rsidRPr="00CD5BB8">
        <w:t xml:space="preserve">3 points and </w:t>
      </w:r>
      <w:r w:rsidR="00F23382">
        <w:t>≥</w:t>
      </w:r>
      <w:r w:rsidR="00486470">
        <w:t xml:space="preserve"> </w:t>
      </w:r>
      <w:r w:rsidRPr="00CD5BB8">
        <w:t xml:space="preserve">30% from baseline with an accompanying decrease in rectal bleeding </w:t>
      </w:r>
      <w:proofErr w:type="spellStart"/>
      <w:r w:rsidRPr="00CD5BB8">
        <w:t>subscore</w:t>
      </w:r>
      <w:proofErr w:type="spellEnd"/>
      <w:r w:rsidRPr="00CD5BB8">
        <w:t xml:space="preserve"> of</w:t>
      </w:r>
      <w:r w:rsidRPr="00CD5BB8">
        <w:rPr>
          <w:rFonts w:hint="eastAsia"/>
        </w:rPr>
        <w:t xml:space="preserve"> </w:t>
      </w:r>
      <w:r w:rsidR="00F23382">
        <w:t>≥</w:t>
      </w:r>
      <w:r w:rsidR="007B5C66">
        <w:t xml:space="preserve"> </w:t>
      </w:r>
      <w:r w:rsidRPr="00CD5BB8">
        <w:t xml:space="preserve">1 point or absolute rectal bleeding </w:t>
      </w:r>
      <w:proofErr w:type="spellStart"/>
      <w:r w:rsidRPr="00CD5BB8">
        <w:t>subscore</w:t>
      </w:r>
      <w:proofErr w:type="spellEnd"/>
      <w:r w:rsidRPr="00CD5BB8">
        <w:t xml:space="preserve"> of </w:t>
      </w:r>
      <w:r w:rsidR="00F23382">
        <w:t>≤</w:t>
      </w:r>
      <w:r w:rsidR="007B5C66">
        <w:t> </w:t>
      </w:r>
      <w:r w:rsidRPr="00CD5BB8">
        <w:t>1 point.</w:t>
      </w:r>
      <w:r w:rsidR="003703B4">
        <w:t xml:space="preserve"> </w:t>
      </w:r>
      <w:r w:rsidRPr="00CD5BB8">
        <w:t>The primary ef</w:t>
      </w:r>
      <w:r w:rsidR="00814679">
        <w:t>ficacy outcome measure for the m</w:t>
      </w:r>
      <w:r w:rsidRPr="00CD5BB8">
        <w:t xml:space="preserve">aintenance </w:t>
      </w:r>
      <w:r w:rsidR="00814679">
        <w:t>p</w:t>
      </w:r>
      <w:r w:rsidRPr="00CD5BB8">
        <w:t>hase was the proportion of patients in clinical remission at Week 52.</w:t>
      </w:r>
      <w:r w:rsidR="003703B4">
        <w:t xml:space="preserve"> </w:t>
      </w:r>
      <w:r w:rsidRPr="00CD5BB8">
        <w:t xml:space="preserve">Clinical remission was defined as a complete Mayo score of </w:t>
      </w:r>
      <w:r w:rsidR="00F23382">
        <w:t>≤</w:t>
      </w:r>
      <w:r w:rsidRPr="00CD5BB8">
        <w:rPr>
          <w:rFonts w:hint="eastAsia"/>
        </w:rPr>
        <w:t xml:space="preserve"> </w:t>
      </w:r>
      <w:r w:rsidRPr="00CD5BB8">
        <w:t xml:space="preserve">2 points and no individual </w:t>
      </w:r>
      <w:proofErr w:type="spellStart"/>
      <w:r w:rsidRPr="00CD5BB8">
        <w:t>subscore</w:t>
      </w:r>
      <w:proofErr w:type="spellEnd"/>
      <w:r w:rsidRPr="00CD5BB8">
        <w:t xml:space="preserve"> &gt; 1 point.</w:t>
      </w:r>
    </w:p>
    <w:p w:rsidR="00EB6365" w:rsidRPr="00CD5BB8" w:rsidRDefault="00EB6365" w:rsidP="00FE46D2">
      <w:r w:rsidRPr="00CD5BB8">
        <w:t xml:space="preserve">In both the induction and maintenance phases, groups were stratified by corticosteroid use and prior TNFα antagonist or concomitant immunomodulator use. In the induction phase, 374 patients were randomised: 225 to </w:t>
      </w:r>
      <w:r w:rsidR="00CB6FC8">
        <w:t xml:space="preserve">vedolizumab </w:t>
      </w:r>
      <w:r w:rsidRPr="00CD5BB8">
        <w:t>and 149 to placebo.</w:t>
      </w:r>
      <w:r w:rsidR="003703B4">
        <w:t xml:space="preserve"> </w:t>
      </w:r>
      <w:r w:rsidRPr="00CD5BB8">
        <w:t xml:space="preserve">A further 521 patients were included in the open label </w:t>
      </w:r>
      <w:r w:rsidR="00CB6FC8">
        <w:t xml:space="preserve">vedolizumab </w:t>
      </w:r>
      <w:r w:rsidRPr="00CD5BB8">
        <w:t>group.</w:t>
      </w:r>
      <w:r w:rsidR="003703B4">
        <w:t xml:space="preserve"> </w:t>
      </w:r>
      <w:r w:rsidRPr="00CD5BB8">
        <w:t xml:space="preserve">In the randomised groups clinical response was achieved by 106 (47.1%) patients given </w:t>
      </w:r>
      <w:r w:rsidR="00CB6FC8">
        <w:t xml:space="preserve">vedolizumab </w:t>
      </w:r>
      <w:r w:rsidRPr="00CD5BB8">
        <w:t>and 38 (25.5%) given placebo, RR (95% CI) 1.8 (1.4 to 2.5), p &lt;</w:t>
      </w:r>
      <w:r w:rsidR="00FF718F">
        <w:t xml:space="preserve"> </w:t>
      </w:r>
      <w:r w:rsidRPr="00CD5BB8">
        <w:t>0.0001.</w:t>
      </w:r>
      <w:r w:rsidR="003703B4">
        <w:t xml:space="preserve"> </w:t>
      </w:r>
      <w:r w:rsidRPr="00CD5BB8">
        <w:t>The difference from placebo was 21.6%, NNT 4.6.</w:t>
      </w:r>
      <w:r w:rsidR="003703B4">
        <w:t xml:space="preserve"> </w:t>
      </w:r>
      <w:r w:rsidRPr="00CD5BB8">
        <w:t>There was no apparent difference in clinical response if the disease was extensive colitis.</w:t>
      </w:r>
    </w:p>
    <w:p w:rsidR="00EB6365" w:rsidRPr="00CD5BB8" w:rsidRDefault="00EB6365" w:rsidP="00FE46D2">
      <w:r w:rsidRPr="00CD5BB8">
        <w:t xml:space="preserve">In the maintenance phase 373 patients were randomised: 122 to </w:t>
      </w:r>
      <w:r w:rsidR="00CB6FC8">
        <w:t xml:space="preserve">vedolizumab </w:t>
      </w:r>
      <w:r w:rsidR="003703B4">
        <w:t>every 8 weeks</w:t>
      </w:r>
      <w:r w:rsidRPr="00CD5BB8">
        <w:t xml:space="preserve">; 125 to </w:t>
      </w:r>
      <w:r w:rsidR="00CB6FC8">
        <w:t xml:space="preserve">vedolizumab </w:t>
      </w:r>
      <w:r w:rsidR="003703B4">
        <w:t>every 4 weeks</w:t>
      </w:r>
      <w:r w:rsidRPr="00CD5BB8">
        <w:t>; and 126 to placebo.</w:t>
      </w:r>
      <w:r w:rsidR="003703B4">
        <w:t xml:space="preserve"> </w:t>
      </w:r>
      <w:r w:rsidRPr="00CD5BB8">
        <w:t xml:space="preserve">As in Study C13007 patients who did not have an initial clinical response continued treatment outside of the randomised maintenance </w:t>
      </w:r>
      <w:proofErr w:type="gramStart"/>
      <w:r w:rsidRPr="00CD5BB8">
        <w:t>phase</w:t>
      </w:r>
      <w:proofErr w:type="gramEnd"/>
      <w:r w:rsidRPr="00CD5BB8">
        <w:t xml:space="preserve"> of the study.</w:t>
      </w:r>
      <w:r w:rsidR="003703B4">
        <w:t xml:space="preserve"> </w:t>
      </w:r>
      <w:r w:rsidRPr="00CD5BB8">
        <w:t xml:space="preserve">An additional 373 non-responder patients were treated with </w:t>
      </w:r>
      <w:r w:rsidR="00CB6FC8">
        <w:t xml:space="preserve">vedolizumab </w:t>
      </w:r>
      <w:r w:rsidR="003703B4">
        <w:t>every 4 weeks</w:t>
      </w:r>
      <w:r w:rsidRPr="00CD5BB8">
        <w:t xml:space="preserve"> (n=373) or placebo (n= 135).</w:t>
      </w:r>
      <w:r w:rsidR="003703B4">
        <w:t xml:space="preserve"> </w:t>
      </w:r>
      <w:r w:rsidRPr="00CD5BB8">
        <w:t xml:space="preserve">For the ITT population clinical remission at Week 52 was achieved by 51 (41.8%) patients given </w:t>
      </w:r>
      <w:r w:rsidR="00CB6FC8">
        <w:t xml:space="preserve">vedolizumab </w:t>
      </w:r>
      <w:r w:rsidR="003703B4">
        <w:t>every 8 weeks</w:t>
      </w:r>
      <w:r w:rsidRPr="00CD5BB8">
        <w:t xml:space="preserve"> (RR [95% CI] 2.7 [1.7 to 4.2], p &lt;</w:t>
      </w:r>
      <w:r w:rsidR="00FF718F">
        <w:t xml:space="preserve"> </w:t>
      </w:r>
      <w:r w:rsidRPr="00CD5BB8">
        <w:t xml:space="preserve">0.0001) by 56 (44.8%) given </w:t>
      </w:r>
      <w:r w:rsidR="00CB6FC8">
        <w:t xml:space="preserve">vedolizumab </w:t>
      </w:r>
      <w:r w:rsidR="003703B4">
        <w:t>every 4 weeks</w:t>
      </w:r>
      <w:r w:rsidRPr="00CD5BB8">
        <w:t xml:space="preserve"> (RR [95% CI] 2.8 [1.8 to 4.4], p &lt;</w:t>
      </w:r>
      <w:r w:rsidR="00FF718F">
        <w:t xml:space="preserve"> </w:t>
      </w:r>
      <w:r w:rsidRPr="00CD5BB8">
        <w:t>0.0001), and by 20 (15.9%) given placebo.</w:t>
      </w:r>
      <w:r w:rsidR="003703B4">
        <w:t xml:space="preserve"> </w:t>
      </w:r>
      <w:r w:rsidRPr="00CD5BB8">
        <w:t xml:space="preserve">Durable clinical remission, defined as clinical remission at both Weeks 6 and 52 was achieved by 30 (24.0%) patients given </w:t>
      </w:r>
      <w:r w:rsidR="00CB6FC8">
        <w:t xml:space="preserve">vedolizumab </w:t>
      </w:r>
      <w:r w:rsidR="003703B4">
        <w:t xml:space="preserve">every </w:t>
      </w:r>
      <w:r w:rsidR="00AE122A">
        <w:t>4</w:t>
      </w:r>
      <w:r w:rsidR="003703B4">
        <w:t xml:space="preserve"> weeks</w:t>
      </w:r>
      <w:r w:rsidRPr="00CD5BB8">
        <w:t xml:space="preserve"> (p = 0.00</w:t>
      </w:r>
      <w:r w:rsidR="00AE122A">
        <w:t>0</w:t>
      </w:r>
      <w:r w:rsidRPr="00CD5BB8">
        <w:t xml:space="preserve">9 compared to placebo); 25 (20.0%) </w:t>
      </w:r>
      <w:r w:rsidR="00AE122A">
        <w:t xml:space="preserve">given </w:t>
      </w:r>
      <w:r w:rsidR="00CB6FC8">
        <w:t xml:space="preserve">vedolizumab </w:t>
      </w:r>
      <w:r w:rsidR="003703B4">
        <w:t xml:space="preserve">every </w:t>
      </w:r>
      <w:r w:rsidR="00AE122A">
        <w:t>8</w:t>
      </w:r>
      <w:r w:rsidR="003703B4">
        <w:t xml:space="preserve"> weeks</w:t>
      </w:r>
      <w:r w:rsidRPr="00CD5BB8">
        <w:t xml:space="preserve"> (p = 0.00</w:t>
      </w:r>
      <w:r w:rsidR="00AE122A">
        <w:t>7</w:t>
      </w:r>
      <w:r w:rsidRPr="00CD5BB8">
        <w:t>9) and 11 (8.7%) in the placebo</w:t>
      </w:r>
      <w:r w:rsidR="00AE122A">
        <w:t xml:space="preserve"> group</w:t>
      </w:r>
      <w:r w:rsidRPr="00CD5BB8">
        <w:t>.</w:t>
      </w:r>
    </w:p>
    <w:p w:rsidR="00EB6365" w:rsidRPr="00CD5BB8" w:rsidRDefault="00EB6365" w:rsidP="00FE46D2">
      <w:r w:rsidRPr="00CD5BB8">
        <w:t>Supplemental analyses were conducted for patients who achieved clinical response at Week 6 (Maintenance Study ITT population) and for patients who achieved clinical remission at Week 6.</w:t>
      </w:r>
      <w:r w:rsidR="003703B4">
        <w:t xml:space="preserve"> </w:t>
      </w:r>
      <w:r w:rsidRPr="00CD5BB8">
        <w:t>The purpose of these analyses was to examine the durability of response in more detail than was provided by the protocol defined durability (</w:t>
      </w:r>
      <w:r w:rsidR="009801FD">
        <w:t xml:space="preserve">that is, </w:t>
      </w:r>
      <w:r w:rsidRPr="00CD5BB8">
        <w:t>clinical remission at W</w:t>
      </w:r>
      <w:r w:rsidR="009801FD">
        <w:t xml:space="preserve">eek </w:t>
      </w:r>
      <w:r w:rsidRPr="00CD5BB8">
        <w:t>6 and W</w:t>
      </w:r>
      <w:r w:rsidR="009801FD">
        <w:t xml:space="preserve">eek </w:t>
      </w:r>
      <w:r w:rsidRPr="00CD5BB8">
        <w:t>52).</w:t>
      </w:r>
      <w:r w:rsidR="003703B4">
        <w:t xml:space="preserve"> </w:t>
      </w:r>
      <w:r w:rsidRPr="00CD5BB8">
        <w:t xml:space="preserve">The proportion of patients with clinical remission at </w:t>
      </w:r>
      <w:r w:rsidR="00F23382">
        <w:t>≥</w:t>
      </w:r>
      <w:r w:rsidRPr="00CD5BB8">
        <w:rPr>
          <w:rFonts w:hint="eastAsia"/>
        </w:rPr>
        <w:t xml:space="preserve"> </w:t>
      </w:r>
      <w:r w:rsidRPr="00CD5BB8">
        <w:t>80% of Maintenance Study visits; proportion of patients with clinical remission at the last 11 (of 13) Maintenance Study visits and the proportion of patients with clinical remission at 100% of Maintenance Study visits were examined.</w:t>
      </w:r>
      <w:r w:rsidR="003703B4">
        <w:t xml:space="preserve"> </w:t>
      </w:r>
      <w:r w:rsidRPr="00CD5BB8">
        <w:t>These supplemental analyses confirmed durable remission over the course of study treatment. Clinical remission at 100% of study visits during maintenance was present for 11.1%, 23.0%, and 18.4% of the</w:t>
      </w:r>
      <w:r w:rsidR="003703B4">
        <w:t xml:space="preserve"> </w:t>
      </w:r>
      <w:r w:rsidRPr="00CD5BB8">
        <w:t xml:space="preserve">placebo, </w:t>
      </w:r>
      <w:r w:rsidR="00CB6FC8">
        <w:t xml:space="preserve">vedolizumab </w:t>
      </w:r>
      <w:r w:rsidR="003703B4">
        <w:t>every 8 weeks</w:t>
      </w:r>
      <w:r w:rsidRPr="00CD5BB8">
        <w:t xml:space="preserve">, and </w:t>
      </w:r>
      <w:r w:rsidR="00CB6FC8">
        <w:t xml:space="preserve">vedolizumab </w:t>
      </w:r>
      <w:r w:rsidR="003703B4">
        <w:t>every 4 weeks</w:t>
      </w:r>
      <w:r w:rsidRPr="00CD5BB8">
        <w:t xml:space="preserve"> groups, respectively in the ITT population.</w:t>
      </w:r>
      <w:r w:rsidR="003703B4">
        <w:t xml:space="preserve"> </w:t>
      </w:r>
      <w:r w:rsidRPr="00CD5BB8">
        <w:t xml:space="preserve">Both </w:t>
      </w:r>
      <w:r w:rsidR="00CB6FC8">
        <w:t xml:space="preserve">vedolizumab </w:t>
      </w:r>
      <w:r w:rsidRPr="00CD5BB8">
        <w:t>regimens were statistically significantly superior to placebo for clinical remission at 100% of maintenance visits.</w:t>
      </w:r>
    </w:p>
    <w:p w:rsidR="00EB6365" w:rsidRPr="00CD5BB8" w:rsidRDefault="00EB6365" w:rsidP="00FE46D2">
      <w:r w:rsidRPr="00CD5BB8">
        <w:t xml:space="preserve">Clinical response and clinical remission were assessed at Week 6 only; there was no additional assessment to confirm maintenance of remission around 4 weeks later as recommended in the </w:t>
      </w:r>
      <w:r w:rsidR="00E634E7" w:rsidRPr="00E634E7">
        <w:t xml:space="preserve">CHMP </w:t>
      </w:r>
      <w:r w:rsidR="00E634E7" w:rsidRPr="00E634E7">
        <w:rPr>
          <w:i/>
        </w:rPr>
        <w:t>Guideline on the Development of New Medicinal Products for Ulcerative Colitis</w:t>
      </w:r>
      <w:r w:rsidR="00E634E7" w:rsidRPr="00E634E7">
        <w:t xml:space="preserve"> (CHMP/EWP/18463/2006</w:t>
      </w:r>
      <w:r w:rsidR="00E634E7">
        <w:t>)</w:t>
      </w:r>
      <w:r w:rsidRPr="00CD5BB8">
        <w:t>. To address this deviation from the Guideline, supplemental analyses were performed to evaluate sustained clinical remission (defined as clinical remission at both Week 6 and Week 10.</w:t>
      </w:r>
      <w:r w:rsidR="003703B4">
        <w:t xml:space="preserve"> </w:t>
      </w:r>
      <w:r w:rsidRPr="00CD5BB8">
        <w:t>Clinical remissi</w:t>
      </w:r>
      <w:r w:rsidR="00E634E7">
        <w:t xml:space="preserve">on was sustained in 53.2% (95% </w:t>
      </w:r>
      <w:r w:rsidRPr="00CD5BB8">
        <w:t xml:space="preserve">CI: 44.5, 61.9) of patients who received </w:t>
      </w:r>
      <w:r w:rsidR="00CB6FC8">
        <w:t xml:space="preserve">vedolizumab </w:t>
      </w:r>
      <w:r w:rsidRPr="00CD5BB8">
        <w:t>during induction and 30.0%</w:t>
      </w:r>
      <w:r w:rsidR="009801FD">
        <w:t xml:space="preserve"> </w:t>
      </w:r>
      <w:r w:rsidRPr="00CD5BB8">
        <w:t>(95% CI: 17.3, 42.7) who received placebo during induction. All the patients in this</w:t>
      </w:r>
      <w:r w:rsidR="009801FD">
        <w:t xml:space="preserve"> </w:t>
      </w:r>
      <w:r w:rsidRPr="00CD5BB8">
        <w:t xml:space="preserve">analysis had been evaluated as achieving clinical response at Week 6, and </w:t>
      </w:r>
      <w:r w:rsidRPr="00CD5BB8">
        <w:lastRenderedPageBreak/>
        <w:t>all received</w:t>
      </w:r>
      <w:r w:rsidR="009801FD">
        <w:t xml:space="preserve"> </w:t>
      </w:r>
      <w:r w:rsidRPr="00CD5BB8">
        <w:t>placebo starting at Week 6 in the maintenance phase (</w:t>
      </w:r>
      <w:r w:rsidR="009801FD">
        <w:t xml:space="preserve">that is, </w:t>
      </w:r>
      <w:r w:rsidRPr="00CD5BB8">
        <w:t>no patient received an additional</w:t>
      </w:r>
      <w:r w:rsidR="009801FD">
        <w:t xml:space="preserve"> </w:t>
      </w:r>
      <w:r w:rsidRPr="00CD5BB8">
        <w:t>dose of vedolizumab after Week-2 induction dosing).</w:t>
      </w:r>
    </w:p>
    <w:p w:rsidR="00EB6365" w:rsidRPr="00CD5BB8" w:rsidRDefault="00EB6365" w:rsidP="00FE46D2">
      <w:pPr>
        <w:pStyle w:val="Heading4"/>
      </w:pPr>
      <w:r w:rsidRPr="00FE46D2">
        <w:t>Safety</w:t>
      </w:r>
    </w:p>
    <w:p w:rsidR="00EB6365" w:rsidRPr="00CD5BB8" w:rsidRDefault="00EB6365" w:rsidP="00FE46D2">
      <w:r w:rsidRPr="00CD5BB8">
        <w:t>A total of 3326 subjects received at least one dose of vedolizumab in the clinical development program.</w:t>
      </w:r>
      <w:r w:rsidR="003703B4">
        <w:t xml:space="preserve"> </w:t>
      </w:r>
      <w:r w:rsidRPr="00CD5BB8">
        <w:t xml:space="preserve">621 patients with either UC or CD received </w:t>
      </w:r>
      <w:r w:rsidR="00F23382" w:rsidRPr="00F23382">
        <w:t>≥</w:t>
      </w:r>
      <w:r w:rsidRPr="00CD5BB8">
        <w:t xml:space="preserve"> 24 infusions, and 125 received </w:t>
      </w:r>
      <w:r w:rsidR="009801FD">
        <w:t>≥</w:t>
      </w:r>
      <w:r w:rsidRPr="00CD5BB8">
        <w:t xml:space="preserve"> 36 infusions.</w:t>
      </w:r>
      <w:r w:rsidR="003703B4">
        <w:t xml:space="preserve"> </w:t>
      </w:r>
      <w:r w:rsidRPr="00CD5BB8">
        <w:t xml:space="preserve">This extent of exposure is consistent with the recommendations in the </w:t>
      </w:r>
      <w:r w:rsidR="00E634E7">
        <w:t xml:space="preserve">ICH </w:t>
      </w:r>
      <w:r w:rsidR="00CF125A">
        <w:t xml:space="preserve">guideline </w:t>
      </w:r>
      <w:r w:rsidR="00E634E7">
        <w:t xml:space="preserve">on </w:t>
      </w:r>
      <w:r w:rsidR="00CF125A">
        <w:t>t</w:t>
      </w:r>
      <w:r w:rsidR="00E634E7" w:rsidRPr="00E634E7">
        <w:t>he extent of population exposure to assess clinical safety</w:t>
      </w:r>
      <w:r w:rsidR="00E634E7">
        <w:t xml:space="preserve"> </w:t>
      </w:r>
      <w:r w:rsidR="00E634E7" w:rsidRPr="00E634E7">
        <w:t>for drugs intended for long-term treatment of</w:t>
      </w:r>
      <w:r w:rsidR="00E634E7">
        <w:t xml:space="preserve"> </w:t>
      </w:r>
      <w:r w:rsidR="00E634E7" w:rsidRPr="00E634E7">
        <w:t>non-life-threatening conditions</w:t>
      </w:r>
      <w:r w:rsidR="00CF125A">
        <w:rPr>
          <w:rStyle w:val="FootnoteReference"/>
        </w:rPr>
        <w:footnoteReference w:id="23"/>
      </w:r>
      <w:r w:rsidRPr="00CD5BB8">
        <w:t>.</w:t>
      </w:r>
      <w:r w:rsidR="003703B4">
        <w:t xml:space="preserve"> </w:t>
      </w:r>
      <w:r w:rsidRPr="00CD5BB8">
        <w:t xml:space="preserve">It is not sufficient to identify rare </w:t>
      </w:r>
      <w:r w:rsidR="0010304F">
        <w:t xml:space="preserve">AEs </w:t>
      </w:r>
      <w:r w:rsidRPr="00CD5BB8">
        <w:t>such as PML.</w:t>
      </w:r>
    </w:p>
    <w:p w:rsidR="00EB6365" w:rsidRPr="00CD5BB8" w:rsidRDefault="00C50E52" w:rsidP="00FE46D2">
      <w:r>
        <w:t xml:space="preserve">The placebo </w:t>
      </w:r>
      <w:r w:rsidR="00EB6365" w:rsidRPr="00CD5BB8">
        <w:t xml:space="preserve">control groups were smaller and patients randomised to placebo generally had shorter treatment durations than those randomised to </w:t>
      </w:r>
      <w:r w:rsidR="009801FD" w:rsidRPr="009801FD">
        <w:t>vedolizumab</w:t>
      </w:r>
      <w:r w:rsidR="00EB6365" w:rsidRPr="00CD5BB8">
        <w:t>.</w:t>
      </w:r>
      <w:r w:rsidR="003703B4">
        <w:t xml:space="preserve"> </w:t>
      </w:r>
      <w:r w:rsidR="00EB6365" w:rsidRPr="00CD5BB8">
        <w:t xml:space="preserve">Consequently it would be anticipated that AE occurrences would be higher in the </w:t>
      </w:r>
      <w:r w:rsidR="009801FD" w:rsidRPr="009801FD">
        <w:t xml:space="preserve">vedolizumab </w:t>
      </w:r>
      <w:r w:rsidR="00EB6365" w:rsidRPr="00CD5BB8">
        <w:t>treatment groups.</w:t>
      </w:r>
      <w:r w:rsidR="003703B4">
        <w:t xml:space="preserve"> </w:t>
      </w:r>
      <w:r w:rsidR="00EB6365" w:rsidRPr="00CD5BB8">
        <w:t>This was the case.</w:t>
      </w:r>
      <w:r w:rsidR="003703B4">
        <w:t xml:space="preserve"> </w:t>
      </w:r>
      <w:r w:rsidR="00EB6365" w:rsidRPr="00CD5BB8">
        <w:t>The most frequently reported adverse events were those consistent with underlying disease e.g. abdominal pain, nausea, and diarrhoea and these occurred with similar frequencies across the placebo and active treatment groups.</w:t>
      </w:r>
    </w:p>
    <w:p w:rsidR="00EB6365" w:rsidRPr="00CD5BB8" w:rsidRDefault="00EB6365" w:rsidP="00FE46D2">
      <w:r w:rsidRPr="00CD5BB8">
        <w:t xml:space="preserve">No increase in the proportion of serious AEs or in study discontinuation due to AEs was apparent with decreased dose interval from </w:t>
      </w:r>
      <w:r w:rsidR="003703B4">
        <w:t>every 8 weeks</w:t>
      </w:r>
      <w:r w:rsidRPr="00CD5BB8">
        <w:t xml:space="preserve"> to </w:t>
      </w:r>
      <w:r w:rsidR="003703B4">
        <w:t>every 4 weeks</w:t>
      </w:r>
      <w:r w:rsidRPr="00CD5BB8">
        <w:t>.</w:t>
      </w:r>
      <w:r w:rsidR="003703B4">
        <w:t xml:space="preserve"> </w:t>
      </w:r>
      <w:r w:rsidRPr="00CD5BB8">
        <w:t>There were 12 deaths in the study program however only 2 of these were considered related to study treatment (CD with sepsis and septic shock).</w:t>
      </w:r>
      <w:r w:rsidR="003703B4">
        <w:t xml:space="preserve"> </w:t>
      </w:r>
      <w:r w:rsidRPr="00CD5BB8">
        <w:t xml:space="preserve">In both the UC and CD patient groups, infections occurred more frequently in the patients given </w:t>
      </w:r>
      <w:r w:rsidR="00CB6FC8">
        <w:t xml:space="preserve">vedolizumab </w:t>
      </w:r>
      <w:r w:rsidRPr="00CD5BB8">
        <w:t>compared with the placebo group (non-ITT).</w:t>
      </w:r>
    </w:p>
    <w:p w:rsidR="00EB6365" w:rsidRPr="00CD5BB8" w:rsidRDefault="00EB6365" w:rsidP="00FE46D2">
      <w:r w:rsidRPr="00CD5BB8">
        <w:t xml:space="preserve">Infection was more frequently reported in the </w:t>
      </w:r>
      <w:r w:rsidR="00CB6FC8">
        <w:t xml:space="preserve">vedolizumab </w:t>
      </w:r>
      <w:r w:rsidRPr="00CD5BB8">
        <w:t xml:space="preserve">treatment groups than the placebo groups with nasopharyngitis, fatigue, cough, sinusitis, bronchitis, influenza, oropharyngeal pain, and pruritus, all having higher incidence rates in the combined </w:t>
      </w:r>
      <w:r w:rsidR="00CB6FC8">
        <w:t xml:space="preserve">vedolizumab </w:t>
      </w:r>
      <w:r w:rsidRPr="00CD5BB8">
        <w:t>groups versus placebo groups for both UC and CD patients.</w:t>
      </w:r>
      <w:r w:rsidR="003703B4">
        <w:t xml:space="preserve"> </w:t>
      </w:r>
      <w:r w:rsidR="00C50E52">
        <w:t>A</w:t>
      </w:r>
      <w:r w:rsidRPr="00CD5BB8">
        <w:t xml:space="preserve"> combined analysis </w:t>
      </w:r>
      <w:r w:rsidR="00C50E52">
        <w:t xml:space="preserve">was provided </w:t>
      </w:r>
      <w:r w:rsidRPr="00CD5BB8">
        <w:t>of the more frequent AEs with a calculation of incidence density to account for the reduced duration of exposure in the placebo treated groups.</w:t>
      </w:r>
      <w:r w:rsidR="003703B4">
        <w:t xml:space="preserve"> </w:t>
      </w:r>
      <w:r w:rsidRPr="00CD5BB8">
        <w:t xml:space="preserve">Fungal infections and herpes infections were not more frequently associated with </w:t>
      </w:r>
      <w:r w:rsidR="00CB6FC8">
        <w:t xml:space="preserve">vedolizumab </w:t>
      </w:r>
      <w:r w:rsidRPr="00CD5BB8">
        <w:t>than with placebo treatment.</w:t>
      </w:r>
    </w:p>
    <w:p w:rsidR="00EB6365" w:rsidRPr="00CD5BB8" w:rsidRDefault="00EB6365" w:rsidP="00FE46D2">
      <w:r w:rsidRPr="00CD5BB8">
        <w:t>Across the clinical studies, there were 10 reports of serious sepsis cases (4 with UC, 6 with CD and 2 with placebo).</w:t>
      </w:r>
      <w:r w:rsidR="003703B4">
        <w:t xml:space="preserve"> </w:t>
      </w:r>
      <w:r w:rsidRPr="00CD5BB8">
        <w:t>There were 2 serious systemic bacterial Infections:</w:t>
      </w:r>
      <w:r w:rsidR="003703B4">
        <w:t xml:space="preserve"> </w:t>
      </w:r>
      <w:r w:rsidRPr="00CD5BB8">
        <w:t xml:space="preserve">listeria meningitis in the first 3 months of vedolizumab treatment in a CD patient taking concomitant immunomodulators and corticosteroids; and salmonella sepsis in a CD patient who had received up to 18 months of vedolizumab. Tuberculosis </w:t>
      </w:r>
      <w:r w:rsidR="00CF125A">
        <w:t xml:space="preserve">(TB) </w:t>
      </w:r>
      <w:r w:rsidRPr="00CD5BB8">
        <w:t>was reported in 4 patients receiving up to 18 months of vedolizumab in the extension safety study C13008.</w:t>
      </w:r>
      <w:r w:rsidR="003703B4">
        <w:t xml:space="preserve"> </w:t>
      </w:r>
      <w:r w:rsidRPr="00CD5BB8">
        <w:t>All were from TB endemic countries and none were confirmed by culture.</w:t>
      </w:r>
    </w:p>
    <w:p w:rsidR="00C50E52" w:rsidRDefault="00C50E52" w:rsidP="00FE46D2">
      <w:r>
        <w:t>V</w:t>
      </w:r>
      <w:r w:rsidR="00CB6FC8">
        <w:t xml:space="preserve">edolizumab </w:t>
      </w:r>
      <w:r w:rsidR="00EB6365" w:rsidRPr="00CD5BB8">
        <w:t>is an integrin antagonist.</w:t>
      </w:r>
      <w:r w:rsidR="003703B4">
        <w:t xml:space="preserve"> </w:t>
      </w:r>
      <w:r w:rsidR="00EB6365" w:rsidRPr="00CD5BB8">
        <w:t xml:space="preserve">When an increased incidence of PML was associated with natalizumab (another integrin antagonist) the FDA had placed a clinical hold on the US Investigational New Drug application for </w:t>
      </w:r>
      <w:r w:rsidR="009801FD" w:rsidRPr="009801FD">
        <w:t>vedolizumab</w:t>
      </w:r>
      <w:r w:rsidR="00EB6365" w:rsidRPr="00CD5BB8">
        <w:t>.</w:t>
      </w:r>
      <w:r w:rsidR="003703B4">
        <w:t xml:space="preserve"> </w:t>
      </w:r>
      <w:r w:rsidR="00EB6365" w:rsidRPr="00CD5BB8">
        <w:t>This was lifted in July 2007 with the implementation of an active screening and monitoring program for PML that required each subject/patient to be screened (using checklists), prior to each dose of study drug, for early signs and symptoms associated with PML. This program was implemented during the remainder of the development process.</w:t>
      </w:r>
      <w:r w:rsidR="003703B4">
        <w:t xml:space="preserve"> </w:t>
      </w:r>
      <w:r w:rsidR="00EB6365" w:rsidRPr="00CD5BB8">
        <w:t>Before entering the study, a questionnaire inquiring about the presence of specific neurologic signs and symptoms (Subjective Checklist) was to be administered to each patient. One or more positive responses at baseline w</w:t>
      </w:r>
      <w:r w:rsidR="00CF125A">
        <w:t xml:space="preserve">ould </w:t>
      </w:r>
      <w:r w:rsidR="00EB6365" w:rsidRPr="00CD5BB8">
        <w:t xml:space="preserve">exclude a patient from the study. While on study, the Subjective Checklist was to be administered at each visit before study drug administration </w:t>
      </w:r>
      <w:r w:rsidR="00EB6365" w:rsidRPr="00CD5BB8">
        <w:lastRenderedPageBreak/>
        <w:t>and at the Final Safety visit. In addition, patients, all of whom were educated on the risks and symptoms of PML, were asked to contact the study doctor immediately if they noticed any new neurol</w:t>
      </w:r>
      <w:r w:rsidR="00FE46D2">
        <w:t>ogical symptoms between visits.</w:t>
      </w:r>
    </w:p>
    <w:p w:rsidR="00EB6365" w:rsidRPr="00C50E52" w:rsidRDefault="00EB6365" w:rsidP="00FE46D2">
      <w:r w:rsidRPr="00C50E52">
        <w:t>Patients with PML may present with cognitive or behavioural symptoms which have</w:t>
      </w:r>
      <w:r w:rsidR="000C1CB7" w:rsidRPr="00C50E52">
        <w:t xml:space="preserve"> </w:t>
      </w:r>
      <w:r w:rsidRPr="00C50E52">
        <w:t>been most commonly observed either alone or in association with motor, language, or</w:t>
      </w:r>
      <w:r w:rsidR="000C1CB7" w:rsidRPr="00C50E52">
        <w:t xml:space="preserve"> </w:t>
      </w:r>
      <w:r w:rsidRPr="00C50E52">
        <w:t xml:space="preserve">visual symptoms. No cases of PML, pneumocystis </w:t>
      </w:r>
      <w:proofErr w:type="spellStart"/>
      <w:r w:rsidRPr="00C50E52">
        <w:t>carinii</w:t>
      </w:r>
      <w:proofErr w:type="spellEnd"/>
      <w:r w:rsidRPr="00C50E52">
        <w:t xml:space="preserve"> pneumonia (PCP), disseminated fungal infections, or mycobacterium </w:t>
      </w:r>
      <w:proofErr w:type="spellStart"/>
      <w:r w:rsidRPr="00C50E52">
        <w:t>avium</w:t>
      </w:r>
      <w:proofErr w:type="spellEnd"/>
      <w:r w:rsidRPr="00C50E52">
        <w:t xml:space="preserve"> complex infections </w:t>
      </w:r>
      <w:r w:rsidR="00CF125A">
        <w:t xml:space="preserve">were </w:t>
      </w:r>
      <w:r w:rsidRPr="00C50E52">
        <w:t>reported during the development program.</w:t>
      </w:r>
    </w:p>
    <w:p w:rsidR="00EB6365" w:rsidRPr="00CD5BB8" w:rsidRDefault="00C50E52" w:rsidP="00FE46D2">
      <w:r>
        <w:t>Eleven non-squamous</w:t>
      </w:r>
      <w:r w:rsidR="00EB6365" w:rsidRPr="00CD5BB8">
        <w:t>/non-basal cell dermatological mal</w:t>
      </w:r>
      <w:r w:rsidR="00CF125A">
        <w:t>ignancies were reported in the P</w:t>
      </w:r>
      <w:r w:rsidR="00EB6365" w:rsidRPr="00CD5BB8">
        <w:t xml:space="preserve">hase </w:t>
      </w:r>
      <w:r w:rsidR="00CF125A">
        <w:t>III</w:t>
      </w:r>
      <w:r w:rsidR="00EB6365" w:rsidRPr="00CD5BB8">
        <w:t xml:space="preserve"> studies: colorectal cancer (n</w:t>
      </w:r>
      <w:r w:rsidR="00CF125A">
        <w:t xml:space="preserve"> </w:t>
      </w:r>
      <w:r w:rsidR="00EB6365" w:rsidRPr="00CD5BB8">
        <w:t>=</w:t>
      </w:r>
      <w:r w:rsidR="00CF125A">
        <w:t xml:space="preserve"> </w:t>
      </w:r>
      <w:r w:rsidR="00EB6365" w:rsidRPr="00CD5BB8">
        <w:t>4), melanoma (n</w:t>
      </w:r>
      <w:r w:rsidR="00CF125A">
        <w:t xml:space="preserve"> </w:t>
      </w:r>
      <w:r w:rsidR="00EB6365" w:rsidRPr="00CD5BB8">
        <w:t>=</w:t>
      </w:r>
      <w:r w:rsidR="00CF125A">
        <w:t xml:space="preserve"> </w:t>
      </w:r>
      <w:r w:rsidR="00EB6365" w:rsidRPr="00CD5BB8">
        <w:t>2), breast cancer (n</w:t>
      </w:r>
      <w:r w:rsidR="00CF125A">
        <w:t xml:space="preserve"> </w:t>
      </w:r>
      <w:r w:rsidR="00EB6365" w:rsidRPr="00CD5BB8">
        <w:t>=</w:t>
      </w:r>
      <w:r w:rsidR="00CF125A">
        <w:t xml:space="preserve"> </w:t>
      </w:r>
      <w:r w:rsidR="00EB6365" w:rsidRPr="00CD5BB8">
        <w:t>2) and 1 each of transitional cell carcinoma, carcinoid tumour of the appendix and B-cell lymphoma.</w:t>
      </w:r>
      <w:r w:rsidR="003703B4">
        <w:t xml:space="preserve"> </w:t>
      </w:r>
      <w:r w:rsidR="00EB6365" w:rsidRPr="00CD5BB8">
        <w:t xml:space="preserve">Comparison of the incidence rates for these malignancies with rates in patients with moderate to severe IBD in the </w:t>
      </w:r>
      <w:proofErr w:type="spellStart"/>
      <w:r w:rsidR="00CF125A" w:rsidRPr="00CF125A">
        <w:t>HealthCore</w:t>
      </w:r>
      <w:proofErr w:type="spellEnd"/>
      <w:r w:rsidR="00CF125A" w:rsidRPr="00CF125A">
        <w:t xml:space="preserve"> Integrated Research Database </w:t>
      </w:r>
      <w:r w:rsidR="00CF125A">
        <w:t>(</w:t>
      </w:r>
      <w:r w:rsidR="00EB6365" w:rsidRPr="00CD5BB8">
        <w:t>HIRD</w:t>
      </w:r>
      <w:r w:rsidR="004F079E">
        <w:t>)</w:t>
      </w:r>
      <w:r w:rsidR="00EB6365" w:rsidRPr="00CD5BB8">
        <w:t xml:space="preserve"> database did not suggest a signal for increased risk of malignancy with </w:t>
      </w:r>
      <w:proofErr w:type="spellStart"/>
      <w:r w:rsidR="00CB6FC8">
        <w:t>vedolizumab</w:t>
      </w:r>
      <w:proofErr w:type="spellEnd"/>
      <w:r w:rsidR="00EB6365" w:rsidRPr="00CD5BB8">
        <w:t>.</w:t>
      </w:r>
    </w:p>
    <w:p w:rsidR="00EB6365" w:rsidRPr="00CD5BB8" w:rsidRDefault="00EB6365" w:rsidP="00FE46D2">
      <w:r w:rsidRPr="00CD5BB8">
        <w:t xml:space="preserve">Infusion reactions are associated with </w:t>
      </w:r>
      <w:r w:rsidR="00CB6FC8">
        <w:t xml:space="preserve">vedolizumab </w:t>
      </w:r>
      <w:r w:rsidRPr="00CD5BB8">
        <w:t>and were reported with an incidence of 4% of patients in the randomised, controlled populatio</w:t>
      </w:r>
      <w:r w:rsidR="00C50E52">
        <w:t xml:space="preserve">n in Studies C13006 and C1007. </w:t>
      </w:r>
      <w:r w:rsidRPr="00CD5BB8">
        <w:t>The</w:t>
      </w:r>
      <w:r w:rsidR="000C1CB7">
        <w:t xml:space="preserve"> </w:t>
      </w:r>
      <w:r w:rsidRPr="00CD5BB8">
        <w:t xml:space="preserve">most frequently observed AEs that were consistent with an infusion reaction in the </w:t>
      </w:r>
      <w:r w:rsidR="00CB6FC8">
        <w:t>vedolizumab</w:t>
      </w:r>
      <w:r w:rsidR="00CF125A">
        <w:t xml:space="preserve"> </w:t>
      </w:r>
      <w:r w:rsidRPr="00CD5BB8">
        <w:t>treated patients were: nausea, headache, pruritus, dizziness, fatigue, infusion related reaction, pyrexia, urticaria, and vomiting. Only one of these events was considered serious</w:t>
      </w:r>
      <w:r w:rsidR="00CF125A">
        <w:t>:</w:t>
      </w:r>
      <w:r w:rsidRPr="00CD5BB8">
        <w:t xml:space="preserve"> a patient in Study C13007 who developed dyspnoea, bronchospasm, urticaria, flushing, rash, and increased heart rate and blood pressure 13 min</w:t>
      </w:r>
      <w:r w:rsidR="00FF2204">
        <w:t xml:space="preserve"> </w:t>
      </w:r>
      <w:r w:rsidRPr="00CD5BB8">
        <w:t xml:space="preserve">after the start of the second </w:t>
      </w:r>
      <w:r w:rsidR="00CB6FC8">
        <w:t xml:space="preserve">vedolizumab </w:t>
      </w:r>
      <w:r w:rsidRPr="00CD5BB8">
        <w:t>infusion.</w:t>
      </w:r>
    </w:p>
    <w:p w:rsidR="00EB6365" w:rsidRPr="00CD5BB8" w:rsidRDefault="00C50E52" w:rsidP="00FE46D2">
      <w:r>
        <w:t>In P</w:t>
      </w:r>
      <w:r w:rsidR="00EB6365" w:rsidRPr="00CD5BB8">
        <w:t xml:space="preserve">hase </w:t>
      </w:r>
      <w:r>
        <w:t>III</w:t>
      </w:r>
      <w:r w:rsidR="00EB6365" w:rsidRPr="00CD5BB8">
        <w:t xml:space="preserve"> controlled studies, 4%</w:t>
      </w:r>
      <w:r w:rsidR="00EB6365" w:rsidRPr="00CD5BB8">
        <w:rPr>
          <w:rFonts w:hint="eastAsia"/>
        </w:rPr>
        <w:t xml:space="preserve"> </w:t>
      </w:r>
      <w:r w:rsidR="00EB6365" w:rsidRPr="00CD5BB8">
        <w:t xml:space="preserve">(56/1434) of patients given continuous </w:t>
      </w:r>
      <w:r w:rsidR="00CB6FC8">
        <w:t xml:space="preserve">vedolizumab </w:t>
      </w:r>
      <w:r w:rsidR="00EB6365" w:rsidRPr="00CD5BB8">
        <w:t>were HAHA positive at any time during treatment.</w:t>
      </w:r>
      <w:r w:rsidR="003703B4">
        <w:t xml:space="preserve"> </w:t>
      </w:r>
      <w:r w:rsidR="00EB6365" w:rsidRPr="00CD5BB8">
        <w:t>Of these 9 (1%) were persistently positive.</w:t>
      </w:r>
    </w:p>
    <w:p w:rsidR="004C67AA" w:rsidRDefault="004C67AA" w:rsidP="00FE46D2">
      <w:pPr>
        <w:pStyle w:val="Heading4"/>
      </w:pPr>
      <w:r w:rsidRPr="007B6132">
        <w:t xml:space="preserve">Clinical </w:t>
      </w:r>
      <w:r w:rsidRPr="00FE46D2">
        <w:t>evaluator’s</w:t>
      </w:r>
      <w:r w:rsidRPr="007B6132">
        <w:t xml:space="preserve"> recommendation</w:t>
      </w:r>
    </w:p>
    <w:p w:rsidR="00FF3087" w:rsidRPr="00FF3087" w:rsidRDefault="0010304F" w:rsidP="00FE46D2">
      <w:r>
        <w:t>The e</w:t>
      </w:r>
      <w:r w:rsidR="00FF3087">
        <w:t>valuator wa</w:t>
      </w:r>
      <w:r w:rsidR="00FF3087" w:rsidRPr="00FF3087">
        <w:t>s unable to recommend the approval of vedolizumab 300 mg powder for injection, for the following indication:</w:t>
      </w:r>
    </w:p>
    <w:p w:rsidR="00FF3087" w:rsidRPr="00FE46D2" w:rsidRDefault="00FF3087" w:rsidP="00FE46D2">
      <w:pPr>
        <w:rPr>
          <w:i/>
        </w:rPr>
      </w:pPr>
      <w:r w:rsidRPr="00FE46D2">
        <w:rPr>
          <w:i/>
        </w:rPr>
        <w:t>Treatment of adult patients with moderate to severe ulcerative colitis who have had an inadequate response with, lost response to, or are intolerant to either conventional therapy or a tumour necrosis factor-alpha (TNFα) antagonist.</w:t>
      </w:r>
    </w:p>
    <w:p w:rsidR="00FF3087" w:rsidRPr="00FE46D2" w:rsidRDefault="00FF3087" w:rsidP="00FE46D2">
      <w:pPr>
        <w:rPr>
          <w:i/>
        </w:rPr>
      </w:pPr>
      <w:r w:rsidRPr="00FE46D2">
        <w:rPr>
          <w:i/>
        </w:rPr>
        <w:t>Treatment of adult patients with moderate to severe Crohn’s disease who have had an inadequate response with, lost response to, or are intolerant to either conventional therapy or a tumour necrosis factor-alpha (TNFα) antagonist.</w:t>
      </w:r>
    </w:p>
    <w:p w:rsidR="00FF3087" w:rsidRPr="00FF3087" w:rsidRDefault="00FF3087" w:rsidP="00FE46D2">
      <w:r w:rsidRPr="00FF3087">
        <w:t xml:space="preserve">The reason </w:t>
      </w:r>
      <w:r>
        <w:t xml:space="preserve">was </w:t>
      </w:r>
      <w:r w:rsidRPr="00FF3087">
        <w:t>that vedolizumab did not appear to offer benefit for those patients with UC or CD who had initially responded to TNFα antagonist treatment, and subsequently lost response.</w:t>
      </w:r>
    </w:p>
    <w:p w:rsidR="00FF3087" w:rsidRPr="00FF3087" w:rsidRDefault="00B41D53" w:rsidP="00FE46D2">
      <w:r>
        <w:t>However, the e</w:t>
      </w:r>
      <w:r w:rsidR="00FF3087" w:rsidRPr="00FF3087">
        <w:t xml:space="preserve">valuator </w:t>
      </w:r>
      <w:r w:rsidR="00FF3087">
        <w:t>had</w:t>
      </w:r>
      <w:r w:rsidR="00FF3087" w:rsidRPr="00FF3087">
        <w:t xml:space="preserve"> no objection to the approval of vedolizumab 300 mg powder for injection, for the following indication:</w:t>
      </w:r>
    </w:p>
    <w:p w:rsidR="00FF3087" w:rsidRPr="00FE46D2" w:rsidRDefault="00FF3087" w:rsidP="00FE46D2">
      <w:pPr>
        <w:ind w:left="720"/>
        <w:rPr>
          <w:i/>
        </w:rPr>
      </w:pPr>
      <w:r w:rsidRPr="00FE46D2">
        <w:rPr>
          <w:i/>
        </w:rPr>
        <w:t>Treatment of adult patients with moderate to severe ulcerative colitis who have had an inadequate response with, lost response to, or are intolerant to a conventional therapy or had an inadequate response with, or are intolerant to a tumour necrosis factor-alpha (TNFα) antagonist.</w:t>
      </w:r>
    </w:p>
    <w:p w:rsidR="00FF3087" w:rsidRPr="00FE46D2" w:rsidRDefault="00FF3087" w:rsidP="00FE46D2">
      <w:pPr>
        <w:ind w:left="720"/>
        <w:rPr>
          <w:i/>
        </w:rPr>
      </w:pPr>
      <w:r w:rsidRPr="00FE46D2">
        <w:rPr>
          <w:i/>
        </w:rPr>
        <w:t>Treatment of adult patients with moderate to severe Crohn’s disease who have had an inadequate response with, lost response to, or are intolerant to a conventional therapy or had an inadequate response with, or are intolerant to a tumour necrosis factor-alpha (TNFα) antagonist.</w:t>
      </w:r>
    </w:p>
    <w:p w:rsidR="00FF3087" w:rsidRPr="00FE46D2" w:rsidRDefault="00FF3087" w:rsidP="00FE46D2">
      <w:pPr>
        <w:ind w:left="720"/>
        <w:rPr>
          <w:i/>
        </w:rPr>
      </w:pPr>
      <w:r w:rsidRPr="00FE46D2">
        <w:rPr>
          <w:i/>
        </w:rPr>
        <w:lastRenderedPageBreak/>
        <w:t xml:space="preserve">In subjects with </w:t>
      </w:r>
      <w:r w:rsidR="009B56AE" w:rsidRPr="00FE46D2">
        <w:rPr>
          <w:i/>
        </w:rPr>
        <w:t>u</w:t>
      </w:r>
      <w:r w:rsidRPr="00FE46D2">
        <w:rPr>
          <w:i/>
        </w:rPr>
        <w:t xml:space="preserve">lcerative </w:t>
      </w:r>
      <w:r w:rsidR="009B56AE" w:rsidRPr="00FE46D2">
        <w:rPr>
          <w:i/>
        </w:rPr>
        <w:t>c</w:t>
      </w:r>
      <w:r w:rsidRPr="00FE46D2">
        <w:rPr>
          <w:i/>
        </w:rPr>
        <w:t>olitis or Crohn’s disease who had initially responded to TNFα antagonists, and subsequently lost response, treatment with vedolizumab may not be justified.</w:t>
      </w:r>
    </w:p>
    <w:p w:rsidR="004C67AA" w:rsidRDefault="004C67AA" w:rsidP="00FE46D2">
      <w:pPr>
        <w:pStyle w:val="Heading3"/>
        <w:rPr>
          <w:lang w:eastAsia="en-AU"/>
        </w:rPr>
      </w:pPr>
      <w:bookmarkStart w:id="175" w:name="_Toc384807775"/>
      <w:bookmarkStart w:id="176" w:name="_Toc405974798"/>
      <w:r>
        <w:rPr>
          <w:lang w:eastAsia="en-AU"/>
        </w:rPr>
        <w:t xml:space="preserve">Risk </w:t>
      </w:r>
      <w:r w:rsidRPr="00FE46D2">
        <w:t>management</w:t>
      </w:r>
      <w:r>
        <w:rPr>
          <w:lang w:eastAsia="en-AU"/>
        </w:rPr>
        <w:t xml:space="preserve"> plan</w:t>
      </w:r>
      <w:bookmarkEnd w:id="174"/>
      <w:bookmarkEnd w:id="175"/>
      <w:bookmarkEnd w:id="176"/>
    </w:p>
    <w:p w:rsidR="00CD5BB8" w:rsidRPr="00CD5BB8" w:rsidRDefault="00CD5BB8" w:rsidP="00FE46D2">
      <w:r w:rsidRPr="00CD5BB8">
        <w:t>The RMP evaluator is satisfied with the RMP and has recommended that EU-RMP version 2.0, dated 27 September 2013 (data lock point 14 March 2013) with Australian-specific Annex version 2.0, dated January 2014 and any future updates be implemented as a condition of registration.</w:t>
      </w:r>
    </w:p>
    <w:p w:rsidR="00CD5BB8" w:rsidRPr="00CD5BB8" w:rsidRDefault="00CD5BB8" w:rsidP="00FE46D2">
      <w:r w:rsidRPr="00CD5BB8">
        <w:t>The proposed risk minimisation plan in Australia includes routine risk minimisation activities, a physician educational brochure, and a patient alert card. The patient alert card is proposed to contain the following information:</w:t>
      </w:r>
    </w:p>
    <w:p w:rsidR="00CD5BB8" w:rsidRPr="00FE46D2" w:rsidRDefault="00CD5BB8" w:rsidP="00FE46D2">
      <w:pPr>
        <w:pStyle w:val="ListBullet"/>
        <w:rPr>
          <w:i/>
        </w:rPr>
      </w:pPr>
      <w:r w:rsidRPr="00FE46D2">
        <w:rPr>
          <w:i/>
        </w:rPr>
        <w:t>Infections</w:t>
      </w:r>
    </w:p>
    <w:p w:rsidR="00CD5BB8" w:rsidRPr="00FE46D2" w:rsidRDefault="00CD5BB8" w:rsidP="00FE46D2">
      <w:pPr>
        <w:rPr>
          <w:i/>
        </w:rPr>
      </w:pPr>
      <w:proofErr w:type="spellStart"/>
      <w:r w:rsidRPr="00FE46D2">
        <w:rPr>
          <w:i/>
        </w:rPr>
        <w:t>E</w:t>
      </w:r>
      <w:r w:rsidR="00FF3087" w:rsidRPr="00FE46D2">
        <w:rPr>
          <w:i/>
        </w:rPr>
        <w:t>ntyvio</w:t>
      </w:r>
      <w:proofErr w:type="spellEnd"/>
      <w:r w:rsidRPr="00FE46D2">
        <w:rPr>
          <w:i/>
        </w:rPr>
        <w:t xml:space="preserve"> increases the risk of getting infections.</w:t>
      </w:r>
    </w:p>
    <w:p w:rsidR="00CD5BB8" w:rsidRPr="00FE46D2" w:rsidRDefault="00CD5BB8" w:rsidP="00FE46D2">
      <w:pPr>
        <w:rPr>
          <w:i/>
        </w:rPr>
      </w:pPr>
      <w:r w:rsidRPr="00FE46D2">
        <w:rPr>
          <w:i/>
        </w:rPr>
        <w:t>Infections may progress more rapidly and be more severe. This may include serious brain and nervous system infections.</w:t>
      </w:r>
    </w:p>
    <w:p w:rsidR="00CD5BB8" w:rsidRPr="00FE46D2" w:rsidRDefault="00CD5BB8" w:rsidP="00FE46D2">
      <w:pPr>
        <w:rPr>
          <w:i/>
        </w:rPr>
      </w:pPr>
      <w:r w:rsidRPr="00FE46D2">
        <w:rPr>
          <w:i/>
        </w:rPr>
        <w:t xml:space="preserve">You should not be treated with </w:t>
      </w:r>
      <w:proofErr w:type="spellStart"/>
      <w:r w:rsidR="00FF3087" w:rsidRPr="00FE46D2">
        <w:rPr>
          <w:i/>
        </w:rPr>
        <w:t>Entyvio</w:t>
      </w:r>
      <w:proofErr w:type="spellEnd"/>
      <w:r w:rsidRPr="00FE46D2">
        <w:rPr>
          <w:i/>
        </w:rPr>
        <w:t xml:space="preserve"> if you have a severe infection.</w:t>
      </w:r>
    </w:p>
    <w:p w:rsidR="00CD5BB8" w:rsidRPr="00FE46D2" w:rsidRDefault="00CD5BB8" w:rsidP="00FE46D2">
      <w:pPr>
        <w:rPr>
          <w:i/>
        </w:rPr>
      </w:pPr>
      <w:r w:rsidRPr="00FE46D2">
        <w:rPr>
          <w:i/>
        </w:rPr>
        <w:t>If you develop symptoms suggestive of</w:t>
      </w:r>
      <w:r w:rsidR="00FF3087" w:rsidRPr="00FE46D2">
        <w:rPr>
          <w:i/>
        </w:rPr>
        <w:t xml:space="preserve"> </w:t>
      </w:r>
      <w:r w:rsidRPr="00FE46D2">
        <w:rPr>
          <w:i/>
        </w:rPr>
        <w:t>infections for example fever, persistent cough, weight loss, listlessness, or</w:t>
      </w:r>
      <w:r w:rsidR="00FF3087" w:rsidRPr="00FE46D2">
        <w:rPr>
          <w:i/>
        </w:rPr>
        <w:t xml:space="preserve"> </w:t>
      </w:r>
      <w:r w:rsidRPr="00FE46D2">
        <w:rPr>
          <w:i/>
        </w:rPr>
        <w:t>nervous system problems for example confusion, difficulties with vision or movement then you should seek medical attention immediately</w:t>
      </w:r>
      <w:r w:rsidR="00FF3087" w:rsidRPr="00FE46D2">
        <w:rPr>
          <w:i/>
        </w:rPr>
        <w:t>.</w:t>
      </w:r>
    </w:p>
    <w:p w:rsidR="00CD5BB8" w:rsidRPr="00CD5BB8" w:rsidRDefault="00CD5BB8" w:rsidP="00FE46D2">
      <w:r w:rsidRPr="00CD5BB8">
        <w:t>This submission was presented to the ACSOM on 7 March 2014.</w:t>
      </w:r>
      <w:r w:rsidR="003703B4">
        <w:t xml:space="preserve"> </w:t>
      </w:r>
      <w:r w:rsidRPr="00CD5BB8">
        <w:t>At that time ACSOM was aware that, based on previous experience and the very limited safety data being provided for vedolizumab, the TGA Delegate was considering restricting the indication of vedolizumab to ‘</w:t>
      </w:r>
      <w:r w:rsidRPr="00B41D53">
        <w:rPr>
          <w:i/>
        </w:rPr>
        <w:t>induction of remission</w:t>
      </w:r>
      <w:r w:rsidRPr="00CD5BB8">
        <w:t>’ and excluding maintenance treatment.</w:t>
      </w:r>
    </w:p>
    <w:p w:rsidR="00CD5BB8" w:rsidRPr="00CD5BB8" w:rsidRDefault="00CD5BB8" w:rsidP="00FE46D2">
      <w:r w:rsidRPr="00CD5BB8">
        <w:t>ACSOM noted the proposal</w:t>
      </w:r>
      <w:r w:rsidR="00FF3087">
        <w:t xml:space="preserve"> to restrict the indication to ‘</w:t>
      </w:r>
      <w:r w:rsidR="00FF3087" w:rsidRPr="00B41D53">
        <w:rPr>
          <w:i/>
        </w:rPr>
        <w:t>induction of remission</w:t>
      </w:r>
      <w:r w:rsidR="00FF3087">
        <w:t>’</w:t>
      </w:r>
      <w:r w:rsidRPr="00CD5BB8">
        <w:t xml:space="preserve"> and to exclude maintenance treatment and commented that the indication needs to be considered in the context of chronic, relapsing conditions. ACSOM considered that it was not appropriate to restrict the indication to induction of remission. The indication should focus on those who respond to vedolizumab therapy as this is the patient group in which the risk benefit profile is most favourable.</w:t>
      </w:r>
    </w:p>
    <w:p w:rsidR="004C67AA" w:rsidRPr="00CD5BB8" w:rsidRDefault="00FF3087" w:rsidP="00FE46D2">
      <w:r>
        <w:t xml:space="preserve">The Delegate </w:t>
      </w:r>
      <w:r w:rsidR="00CD5BB8" w:rsidRPr="00CD5BB8">
        <w:t>note</w:t>
      </w:r>
      <w:r>
        <w:t>d</w:t>
      </w:r>
      <w:r w:rsidR="00CD5BB8" w:rsidRPr="00CD5BB8">
        <w:t xml:space="preserve"> that ACSOM did not have access to the clinical evaluation report a</w:t>
      </w:r>
      <w:r w:rsidR="00D40EEF">
        <w:t xml:space="preserve">t the time it considered the application. </w:t>
      </w:r>
      <w:r w:rsidR="00A42D1A" w:rsidRPr="00A42D1A">
        <w:t>At this stage the Delegate did not intend to accept the ACSOM recommendation</w:t>
      </w:r>
      <w:r w:rsidR="00A42D1A">
        <w:t xml:space="preserve"> regarding the indication</w:t>
      </w:r>
      <w:r w:rsidR="00A42D1A" w:rsidRPr="00A42D1A">
        <w:t>.</w:t>
      </w:r>
    </w:p>
    <w:p w:rsidR="004C67AA" w:rsidRDefault="004C67AA" w:rsidP="00FE46D2">
      <w:pPr>
        <w:pStyle w:val="Heading3"/>
      </w:pPr>
      <w:bookmarkStart w:id="177" w:name="_Toc247691531"/>
      <w:bookmarkStart w:id="178" w:name="_Toc314842515"/>
      <w:bookmarkStart w:id="179" w:name="_Toc384807776"/>
      <w:bookmarkStart w:id="180" w:name="_Toc196046505"/>
      <w:bookmarkStart w:id="181" w:name="_Toc196046949"/>
      <w:bookmarkStart w:id="182" w:name="_Toc405974799"/>
      <w:r>
        <w:t>Risk-</w:t>
      </w:r>
      <w:r w:rsidRPr="00FE46D2">
        <w:t>benefit</w:t>
      </w:r>
      <w:r>
        <w:t xml:space="preserve"> analysis</w:t>
      </w:r>
      <w:bookmarkEnd w:id="177"/>
      <w:bookmarkEnd w:id="178"/>
      <w:bookmarkEnd w:id="179"/>
      <w:bookmarkEnd w:id="182"/>
    </w:p>
    <w:p w:rsidR="004C67AA" w:rsidRPr="000C1CB7" w:rsidRDefault="004C67AA" w:rsidP="00FE46D2">
      <w:pPr>
        <w:pStyle w:val="Heading4"/>
      </w:pPr>
      <w:r w:rsidRPr="000C1CB7">
        <w:t xml:space="preserve">Delegate’s </w:t>
      </w:r>
      <w:r w:rsidRPr="00FE46D2">
        <w:t>considerations</w:t>
      </w:r>
      <w:r w:rsidRPr="000C1CB7">
        <w:t xml:space="preserve"> </w:t>
      </w:r>
    </w:p>
    <w:p w:rsidR="000C1CB7" w:rsidRPr="000C1CB7" w:rsidRDefault="000C1CB7" w:rsidP="00FE46D2">
      <w:pPr>
        <w:pStyle w:val="Heading5"/>
      </w:pPr>
      <w:proofErr w:type="spellStart"/>
      <w:r w:rsidRPr="000C1CB7">
        <w:t>Crohn’s</w:t>
      </w:r>
      <w:proofErr w:type="spellEnd"/>
      <w:r w:rsidRPr="000C1CB7">
        <w:t xml:space="preserve"> </w:t>
      </w:r>
      <w:r w:rsidRPr="00FE46D2">
        <w:t>disease</w:t>
      </w:r>
    </w:p>
    <w:p w:rsidR="000C1CB7" w:rsidRPr="000C1CB7" w:rsidRDefault="000C1CB7" w:rsidP="00FE46D2">
      <w:r w:rsidRPr="000C1CB7">
        <w:t>The measures of disease severity, the efficacy endpoints and the subgroup analyses undertaken in the CD study program were appropriate.</w:t>
      </w:r>
      <w:r w:rsidR="003703B4">
        <w:t xml:space="preserve"> </w:t>
      </w:r>
      <w:r w:rsidRPr="000C1CB7">
        <w:t>The use of enhanced clinical response as an efficacy endpoint differs from that of more recently examined agents in the treatment of CD.</w:t>
      </w:r>
      <w:r w:rsidR="003703B4">
        <w:t xml:space="preserve"> </w:t>
      </w:r>
      <w:r w:rsidRPr="000C1CB7">
        <w:t xml:space="preserve">There were deviations from the EU </w:t>
      </w:r>
      <w:r w:rsidRPr="00B20563">
        <w:rPr>
          <w:i/>
        </w:rPr>
        <w:t>Guideline on the Development of New Medicinal Products for the Treatment of Crohn's Disease</w:t>
      </w:r>
      <w:r w:rsidRPr="000C1CB7">
        <w:t xml:space="preserve"> that has been adopted in Australia.</w:t>
      </w:r>
      <w:r w:rsidR="003703B4">
        <w:t xml:space="preserve"> </w:t>
      </w:r>
      <w:r w:rsidRPr="000C1CB7">
        <w:t>To address these deviations the sponsor carried out supplementary analyses.</w:t>
      </w:r>
      <w:r w:rsidR="003703B4">
        <w:t xml:space="preserve"> </w:t>
      </w:r>
    </w:p>
    <w:p w:rsidR="000C1CB7" w:rsidRPr="000C1CB7" w:rsidRDefault="000C1CB7" w:rsidP="00FE46D2">
      <w:r w:rsidRPr="000C1CB7">
        <w:t>Study C13007, the pivotal study for this indication, did not use the proposed induction regimen.</w:t>
      </w:r>
      <w:r w:rsidR="003703B4">
        <w:t xml:space="preserve"> </w:t>
      </w:r>
      <w:r w:rsidRPr="000C1CB7">
        <w:t xml:space="preserve">The proposed </w:t>
      </w:r>
      <w:r w:rsidR="003703B4">
        <w:t>4 week</w:t>
      </w:r>
      <w:r w:rsidR="00D40EEF">
        <w:t>ly</w:t>
      </w:r>
      <w:r w:rsidRPr="000C1CB7">
        <w:t xml:space="preserve"> and </w:t>
      </w:r>
      <w:r w:rsidR="003703B4">
        <w:t>8 week</w:t>
      </w:r>
      <w:r w:rsidR="00D40EEF">
        <w:t>ly</w:t>
      </w:r>
      <w:r w:rsidRPr="000C1CB7">
        <w:t xml:space="preserve"> </w:t>
      </w:r>
      <w:r w:rsidR="00CB6FC8">
        <w:t xml:space="preserve">vedolizumab </w:t>
      </w:r>
      <w:r w:rsidRPr="000C1CB7">
        <w:t xml:space="preserve">maintenance regimens were </w:t>
      </w:r>
      <w:r w:rsidRPr="000C1CB7">
        <w:lastRenderedPageBreak/>
        <w:t>compared with placebo but not with each other.</w:t>
      </w:r>
      <w:r w:rsidR="003703B4">
        <w:t xml:space="preserve"> </w:t>
      </w:r>
      <w:r w:rsidRPr="000C1CB7">
        <w:t>This study also had design features which made determination of the extent of long term benefit for a patient commencing induction treatment complex.</w:t>
      </w:r>
      <w:r w:rsidR="003703B4">
        <w:t xml:space="preserve"> </w:t>
      </w:r>
      <w:r w:rsidRPr="000C1CB7">
        <w:t>The induction phase of the study had a co-primary efficacy measure (clinical remission or enhanced clinical response).</w:t>
      </w:r>
      <w:r w:rsidR="003703B4">
        <w:t xml:space="preserve"> </w:t>
      </w:r>
      <w:r w:rsidRPr="000C1CB7">
        <w:t>Neither of these efficacy measures was the basis for subsequent selection of patients into the maintenance phase of the study.</w:t>
      </w:r>
      <w:r w:rsidR="003703B4">
        <w:t xml:space="preserve"> </w:t>
      </w:r>
      <w:r w:rsidRPr="000C1CB7">
        <w:t>The maintenance phase selected patients to continue therapy only if they had achieved a clinical response.</w:t>
      </w:r>
      <w:r w:rsidR="003703B4">
        <w:t xml:space="preserve"> </w:t>
      </w:r>
      <w:r w:rsidRPr="000C1CB7">
        <w:t>Clinical response was not an efficacy endpoint in the induction phase and was not reported in the induction phase study results. Thus the proportion of patients randomised to commence induction and who would go on to receive long term benefit from maintenance treatment could not be calculated.</w:t>
      </w:r>
    </w:p>
    <w:p w:rsidR="000C1CB7" w:rsidRPr="000C1CB7" w:rsidRDefault="000C1CB7" w:rsidP="00FE46D2">
      <w:r w:rsidRPr="000C1CB7">
        <w:t>Supplemental analyses of maintenance results by induction study cohorts (Cohort 1 was randomised and Cohort 2 open) were performed.</w:t>
      </w:r>
      <w:r w:rsidR="003703B4">
        <w:t xml:space="preserve"> </w:t>
      </w:r>
      <w:r w:rsidRPr="000C1CB7">
        <w:t xml:space="preserve">Among patients who had an initial clinical response at Week 6 approximately 17% more patients who continued on either dose of </w:t>
      </w:r>
      <w:r w:rsidR="009801FD" w:rsidRPr="009801FD">
        <w:t>vedolizumab</w:t>
      </w:r>
      <w:r w:rsidRPr="000C1CB7">
        <w:t xml:space="preserve"> were in clinical remission at Week 52 than those who received placebo.</w:t>
      </w:r>
      <w:r w:rsidR="003703B4">
        <w:t xml:space="preserve"> </w:t>
      </w:r>
      <w:r w:rsidRPr="000C1CB7">
        <w:t xml:space="preserve">A similar difference occurred for enhanced clinical response where the difference was around 15% (favouring </w:t>
      </w:r>
      <w:r w:rsidR="00CB6FC8">
        <w:t>vedolizumab</w:t>
      </w:r>
      <w:r w:rsidRPr="000C1CB7">
        <w:t>).</w:t>
      </w:r>
      <w:r w:rsidR="003703B4">
        <w:t xml:space="preserve"> </w:t>
      </w:r>
      <w:r w:rsidRPr="000C1CB7">
        <w:t xml:space="preserve">No statistical comparisons of efficacy between the </w:t>
      </w:r>
      <w:r w:rsidR="009801FD" w:rsidRPr="009801FD">
        <w:t>vedolizumab</w:t>
      </w:r>
      <w:r w:rsidRPr="000C1CB7">
        <w:t xml:space="preserve"> maintenance dose regimens were performed but no clinically significant difference was apparent.</w:t>
      </w:r>
    </w:p>
    <w:p w:rsidR="000C1CB7" w:rsidRPr="000C1CB7" w:rsidRDefault="000C1CB7" w:rsidP="00FE46D2">
      <w:r w:rsidRPr="000C1CB7">
        <w:t>Results from the induction study using the proposed regimen were reassuring.</w:t>
      </w:r>
      <w:r w:rsidR="003703B4">
        <w:t xml:space="preserve"> </w:t>
      </w:r>
      <w:r w:rsidRPr="000C1CB7">
        <w:t xml:space="preserve">Patients who were TNFα antagonist naïve and those who had experienced failure both had statistically significant benefit from treatment at the </w:t>
      </w:r>
      <w:r w:rsidR="003703B4">
        <w:t>Week</w:t>
      </w:r>
      <w:r w:rsidRPr="000C1CB7">
        <w:t xml:space="preserve"> 10 assessment.</w:t>
      </w:r>
      <w:r w:rsidR="003703B4">
        <w:t xml:space="preserve"> </w:t>
      </w:r>
      <w:r w:rsidRPr="000C1CB7">
        <w:t>An additional 14.5% of patients who had previously failed TNFα antagonist treatment and 19.1% who overall achieved clinical remission over those receiving placebo in addition to their concomitant treatments for CD.</w:t>
      </w:r>
      <w:r w:rsidR="003703B4">
        <w:t xml:space="preserve"> </w:t>
      </w:r>
      <w:r w:rsidRPr="000C1CB7">
        <w:t>This is a reasonable clinical gain in a group who have a condition that is difficult to treat, particularly those who have failed prior TNFα antagonist therapy.</w:t>
      </w:r>
    </w:p>
    <w:p w:rsidR="000C1CB7" w:rsidRPr="000C1CB7" w:rsidRDefault="000C1CB7" w:rsidP="00FE46D2">
      <w:r w:rsidRPr="000C1CB7">
        <w:t>The proportion of patients likely to benefit from maintenance therapy is a subgroup of those who initially responded and, based on the maintenance study results, is likely to be around 1 in 6 patients overall and somewhat fewer patients with prior TNFα antagonist failure.</w:t>
      </w:r>
    </w:p>
    <w:p w:rsidR="000C1CB7" w:rsidRPr="000C1CB7" w:rsidRDefault="000C1CB7" w:rsidP="00FE46D2">
      <w:r w:rsidRPr="000C1CB7">
        <w:t>Takin</w:t>
      </w:r>
      <w:r w:rsidR="00B20563">
        <w:t>g the results of the two Phase II</w:t>
      </w:r>
      <w:r w:rsidRPr="000C1CB7">
        <w:t xml:space="preserve"> studies together the data support the proposed induction regimen for patients with moderate to severe CD, including patients with prior TNFα antagonist failure.</w:t>
      </w:r>
      <w:r w:rsidR="003703B4">
        <w:t xml:space="preserve"> </w:t>
      </w:r>
      <w:r w:rsidRPr="000C1CB7">
        <w:t>If maintenance treatment were to be given it is not clear when an assessment of clinical response to determine whether treatment should continue should occur at Week 6 or Week 10 given that maintenance data in non-responders at Week 6 were not obtained from a randomised, double-blind study.</w:t>
      </w:r>
      <w:r w:rsidR="003703B4">
        <w:t xml:space="preserve"> </w:t>
      </w:r>
      <w:r w:rsidRPr="000C1CB7">
        <w:t>The sponsor has proposed clinical benefit be assessed at Week 14.</w:t>
      </w:r>
      <w:r w:rsidR="003703B4">
        <w:t xml:space="preserve"> </w:t>
      </w:r>
      <w:r w:rsidRPr="000C1CB7">
        <w:t>In any case the clinical benefit from maintenance treatment is quite modest.</w:t>
      </w:r>
    </w:p>
    <w:p w:rsidR="000C1CB7" w:rsidRPr="000C1CB7" w:rsidRDefault="000C1CB7" w:rsidP="00FE46D2">
      <w:r w:rsidRPr="000C1CB7">
        <w:t xml:space="preserve">Given the limited efficacy of maintenance treatment, the limited data on safety of long term use and the theoretical concern that vedolizumab could be associated with an increased incidence of PML, particularly if used long term, </w:t>
      </w:r>
      <w:r w:rsidR="00D40EEF">
        <w:t xml:space="preserve">the Delegate </w:t>
      </w:r>
      <w:r w:rsidRPr="000C1CB7">
        <w:t>consider</w:t>
      </w:r>
      <w:r w:rsidR="00D40EEF">
        <w:t>ed</w:t>
      </w:r>
      <w:r w:rsidRPr="000C1CB7">
        <w:t xml:space="preserve"> the indication should be for induction therapy only.</w:t>
      </w:r>
      <w:r w:rsidR="003703B4">
        <w:t xml:space="preserve"> </w:t>
      </w:r>
      <w:r w:rsidRPr="000C1CB7">
        <w:t>Maintenance therapy could be re-considered once more data on the safety of long term use are available.</w:t>
      </w:r>
    </w:p>
    <w:p w:rsidR="000C1CB7" w:rsidRPr="000C1CB7" w:rsidRDefault="000C1CB7" w:rsidP="00FE46D2">
      <w:pPr>
        <w:pStyle w:val="Heading5"/>
      </w:pPr>
      <w:r w:rsidRPr="000C1CB7">
        <w:t>Ulcerative colitis</w:t>
      </w:r>
    </w:p>
    <w:p w:rsidR="000C1CB7" w:rsidRPr="000C1CB7" w:rsidRDefault="000C1CB7" w:rsidP="00FE46D2">
      <w:r w:rsidRPr="000C1CB7">
        <w:t>The primary efficacy parameter of interest in UC is the proportion of study patients maintaining remission throughout the study period.</w:t>
      </w:r>
      <w:r w:rsidR="003703B4">
        <w:t xml:space="preserve"> </w:t>
      </w:r>
      <w:r w:rsidRPr="000C1CB7">
        <w:t>This was not one of the secondary endpoints in the pivotal study plan but was assessed as a supplemental analysis.</w:t>
      </w:r>
      <w:r w:rsidR="003703B4">
        <w:t xml:space="preserve"> </w:t>
      </w:r>
      <w:r w:rsidRPr="000C1CB7">
        <w:t xml:space="preserve">An additional 22% of patients given </w:t>
      </w:r>
      <w:r w:rsidR="00CB6FC8">
        <w:t xml:space="preserve">vedolizumab </w:t>
      </w:r>
      <w:r w:rsidRPr="000C1CB7">
        <w:t>achieved a clinical response at Week 6 compared to patients given placebo.</w:t>
      </w:r>
      <w:r w:rsidR="003703B4">
        <w:t xml:space="preserve"> </w:t>
      </w:r>
      <w:r w:rsidRPr="000C1CB7">
        <w:t>Of patients who had achieved a clinical response with maintenance treatment clinical remission at Week 52 was achieved by an additional 26% to 29% of patients compared with those who were maintained on placebo.</w:t>
      </w:r>
      <w:r w:rsidR="003703B4">
        <w:t xml:space="preserve"> </w:t>
      </w:r>
      <w:r w:rsidRPr="000C1CB7">
        <w:t xml:space="preserve">However only </w:t>
      </w:r>
      <w:r w:rsidRPr="000C1CB7">
        <w:lastRenderedPageBreak/>
        <w:t>an additional 11.3% more patients above than those given placebo achieved a durable clinical remission to Week 52.</w:t>
      </w:r>
      <w:r w:rsidR="003703B4">
        <w:t xml:space="preserve"> </w:t>
      </w:r>
      <w:r w:rsidRPr="000C1CB7">
        <w:t>While a statistically significant benefit has been demonstrated only a minority of patients had clinically significant benefits from ongoing treatment.</w:t>
      </w:r>
      <w:r w:rsidR="003703B4">
        <w:t xml:space="preserve"> </w:t>
      </w:r>
      <w:r w:rsidRPr="000C1CB7">
        <w:t>As with vedolizumab in patients with CD, its use in patients with UC will require periodic review and patients who do not show ongoing clinically significant benefits from treatment should not continue.</w:t>
      </w:r>
    </w:p>
    <w:p w:rsidR="000C1CB7" w:rsidRPr="000C1CB7" w:rsidRDefault="000C1CB7" w:rsidP="00FE46D2">
      <w:r w:rsidRPr="000C1CB7">
        <w:t>The proposed induction regimen has not been examined in patients with UC.</w:t>
      </w:r>
      <w:r w:rsidR="003703B4">
        <w:t xml:space="preserve"> </w:t>
      </w:r>
      <w:r w:rsidRPr="000C1CB7">
        <w:t>The response in patients with UC was assessed primary at 6 weeks after commencing a 2 dose induction regimen.</w:t>
      </w:r>
      <w:r w:rsidR="003703B4">
        <w:t xml:space="preserve"> </w:t>
      </w:r>
      <w:r w:rsidRPr="000C1CB7">
        <w:t>At Week 6 only patients with a clinical response were selected to continue into the controlled, randomised maintenance study.</w:t>
      </w:r>
      <w:r w:rsidR="003703B4">
        <w:t xml:space="preserve"> </w:t>
      </w:r>
      <w:r w:rsidRPr="000C1CB7">
        <w:t>Because the only available data are for a 2 dose regimen with assessment at Week 6</w:t>
      </w:r>
      <w:r w:rsidR="003703B4">
        <w:t xml:space="preserve"> </w:t>
      </w:r>
      <w:r w:rsidR="00D40EEF">
        <w:t xml:space="preserve">the Delegate </w:t>
      </w:r>
      <w:r w:rsidRPr="000C1CB7">
        <w:t>propose</w:t>
      </w:r>
      <w:r w:rsidR="00D40EEF">
        <w:t>d</w:t>
      </w:r>
      <w:r w:rsidRPr="000C1CB7">
        <w:t xml:space="preserve"> that this b</w:t>
      </w:r>
      <w:r w:rsidR="00FE46D2">
        <w:t>e the induction regimen for UC.</w:t>
      </w:r>
    </w:p>
    <w:p w:rsidR="000C1CB7" w:rsidRPr="000C1CB7" w:rsidRDefault="000C1CB7" w:rsidP="00FE46D2">
      <w:r w:rsidRPr="000C1CB7">
        <w:t>The sponsor has also proposed that treatment response be assessed at Week 14 after commencing treatment.</w:t>
      </w:r>
      <w:r w:rsidR="003703B4">
        <w:t xml:space="preserve"> </w:t>
      </w:r>
      <w:r w:rsidRPr="000C1CB7">
        <w:t>It is not clear why this time</w:t>
      </w:r>
      <w:r w:rsidR="00D40EEF">
        <w:t xml:space="preserve"> </w:t>
      </w:r>
      <w:r w:rsidRPr="000C1CB7">
        <w:t>point was selected as it was not a major efficacy assessment time</w:t>
      </w:r>
      <w:r w:rsidR="00D40EEF">
        <w:t xml:space="preserve"> </w:t>
      </w:r>
      <w:r w:rsidRPr="000C1CB7">
        <w:t>point in the pivotal clinical study.</w:t>
      </w:r>
      <w:r w:rsidR="003703B4">
        <w:t xml:space="preserve"> </w:t>
      </w:r>
      <w:r w:rsidRPr="000C1CB7">
        <w:t>Only patients with a clinical response at Week 6 continued randomised treatment.</w:t>
      </w:r>
      <w:r w:rsidR="003703B4">
        <w:t xml:space="preserve"> </w:t>
      </w:r>
      <w:r w:rsidRPr="000C1CB7">
        <w:t>Given the limited efficacy of maintenance treatment, the limited data on safety of long term use and the theoretical concern that vedolizumab could be associated with PML, p</w:t>
      </w:r>
      <w:r w:rsidR="00B20563">
        <w:t>articularly if used long term, the Delegate</w:t>
      </w:r>
      <w:r w:rsidRPr="000C1CB7">
        <w:t xml:space="preserve"> consider</w:t>
      </w:r>
      <w:r w:rsidR="00530CFF">
        <w:t>ed</w:t>
      </w:r>
      <w:r w:rsidRPr="000C1CB7">
        <w:t xml:space="preserve"> at this stage the indications should be for induction therapy only.</w:t>
      </w:r>
      <w:r w:rsidR="003703B4">
        <w:t xml:space="preserve"> </w:t>
      </w:r>
      <w:r w:rsidRPr="000C1CB7">
        <w:t>Maintenance therapy could be re-considered once more data on the safety of long term use are available.</w:t>
      </w:r>
    </w:p>
    <w:p w:rsidR="000C1CB7" w:rsidRPr="000C1CB7" w:rsidRDefault="000C1CB7" w:rsidP="00FE46D2">
      <w:r w:rsidRPr="000C1CB7">
        <w:t xml:space="preserve">Another issue with the proposed maintenance regimens for both indications was that there was no consistent difference in outcome between the </w:t>
      </w:r>
      <w:r w:rsidR="00914834">
        <w:t>8 weekly</w:t>
      </w:r>
      <w:r w:rsidRPr="000C1CB7">
        <w:t xml:space="preserve"> and </w:t>
      </w:r>
      <w:r w:rsidR="00914834">
        <w:t>4 weekly</w:t>
      </w:r>
      <w:r w:rsidRPr="000C1CB7">
        <w:t xml:space="preserve"> dose regimens, though no formal statistical comparison was made.</w:t>
      </w:r>
      <w:r w:rsidR="003703B4">
        <w:t xml:space="preserve"> </w:t>
      </w:r>
      <w:r w:rsidRPr="000C1CB7">
        <w:t xml:space="preserve">There were insufficient efficacy data to justify reducing the dose interval in patients who do not respond to initial treatment </w:t>
      </w:r>
      <w:r w:rsidR="00914834">
        <w:t xml:space="preserve">every 8 weeks </w:t>
      </w:r>
      <w:r w:rsidRPr="000C1CB7">
        <w:t>or who become unresponsive after an initial response.</w:t>
      </w:r>
      <w:r w:rsidR="003703B4">
        <w:t xml:space="preserve"> </w:t>
      </w:r>
      <w:r w:rsidRPr="000C1CB7">
        <w:t xml:space="preserve">Given that </w:t>
      </w:r>
      <w:r w:rsidR="00B20563">
        <w:t>the Delegate did</w:t>
      </w:r>
      <w:r w:rsidRPr="000C1CB7">
        <w:t xml:space="preserve"> not propose at this stage to approve maintenance treatment for either indication this point </w:t>
      </w:r>
      <w:r w:rsidR="00530CFF">
        <w:t xml:space="preserve">was </w:t>
      </w:r>
      <w:r w:rsidRPr="000C1CB7">
        <w:t>not further discussed.</w:t>
      </w:r>
    </w:p>
    <w:p w:rsidR="000C1CB7" w:rsidRPr="000C1CB7" w:rsidRDefault="000C1CB7" w:rsidP="00FE46D2">
      <w:r w:rsidRPr="000C1CB7">
        <w:t>The main safety issue that ha</w:t>
      </w:r>
      <w:r w:rsidR="00530CFF">
        <w:t>d</w:t>
      </w:r>
      <w:r w:rsidRPr="000C1CB7">
        <w:t xml:space="preserve"> not been resolved </w:t>
      </w:r>
      <w:r w:rsidR="00530CFF">
        <w:t>at the time of the Delegate’s overview wa</w:t>
      </w:r>
      <w:r w:rsidRPr="000C1CB7">
        <w:t>s whether PML will be associated with vedolizumab as it is with natalizumab.</w:t>
      </w:r>
      <w:r w:rsidR="003703B4">
        <w:t xml:space="preserve"> </w:t>
      </w:r>
      <w:r w:rsidRPr="000C1CB7">
        <w:t xml:space="preserve">The risk with natalizumab did not become apparent until a considerable time after first approval when increasing numbers of patients </w:t>
      </w:r>
      <w:r w:rsidR="00530CFF">
        <w:t xml:space="preserve">with MS </w:t>
      </w:r>
      <w:r w:rsidRPr="000C1CB7">
        <w:t>had been exposed to natalizumab for more than 2 years.</w:t>
      </w:r>
      <w:r w:rsidR="003703B4">
        <w:t xml:space="preserve"> </w:t>
      </w:r>
      <w:r w:rsidRPr="000C1CB7">
        <w:t xml:space="preserve">Long term safety data for </w:t>
      </w:r>
      <w:r w:rsidR="009801FD" w:rsidRPr="009801FD">
        <w:t>vedolizumab</w:t>
      </w:r>
      <w:r w:rsidR="009801FD">
        <w:t xml:space="preserve"> </w:t>
      </w:r>
      <w:r w:rsidRPr="000C1CB7">
        <w:t>are quite limited.</w:t>
      </w:r>
      <w:r w:rsidR="003703B4">
        <w:t xml:space="preserve"> </w:t>
      </w:r>
      <w:r w:rsidRPr="000C1CB7">
        <w:t>In addition, patients in the clinical trial program were intensively screened to reduce the probability of PML infection developing.</w:t>
      </w:r>
      <w:r w:rsidR="003703B4">
        <w:t xml:space="preserve"> </w:t>
      </w:r>
      <w:r w:rsidRPr="000C1CB7">
        <w:t>No such plan is in place for patients post-approval and the proposed patient alert card does not specifically warn of the possibility of PML.</w:t>
      </w:r>
    </w:p>
    <w:p w:rsidR="000C1CB7" w:rsidRPr="000C1CB7" w:rsidRDefault="000C1CB7" w:rsidP="00FE46D2">
      <w:r w:rsidRPr="000C1CB7">
        <w:t xml:space="preserve">Crohn’s disease and </w:t>
      </w:r>
      <w:r w:rsidR="009B56AE">
        <w:t>UC</w:t>
      </w:r>
      <w:r w:rsidRPr="000C1CB7">
        <w:t xml:space="preserve"> are managed by gastroenterologists who are likely to have less awareness of the signs and symptoms of PML than is the case for neurologists who manage natalizumab treatment in patients with MS.</w:t>
      </w:r>
    </w:p>
    <w:p w:rsidR="004C67AA" w:rsidRDefault="004C67AA" w:rsidP="00FE46D2">
      <w:pPr>
        <w:pStyle w:val="Heading4"/>
      </w:pPr>
      <w:r w:rsidRPr="00FE46D2">
        <w:t>Proposed</w:t>
      </w:r>
      <w:r w:rsidRPr="00D23139">
        <w:t xml:space="preserve"> action</w:t>
      </w:r>
    </w:p>
    <w:p w:rsidR="000C1CB7" w:rsidRDefault="00B20563" w:rsidP="00FE46D2">
      <w:r w:rsidRPr="00B20563">
        <w:t xml:space="preserve">The Delegate was </w:t>
      </w:r>
      <w:r w:rsidR="000C1CB7" w:rsidRPr="00B20563">
        <w:t>not in a position to say, at this time, that the application for vedolizumab should be approved for registration.</w:t>
      </w:r>
      <w:r>
        <w:t xml:space="preserve"> </w:t>
      </w:r>
      <w:r w:rsidR="000C1CB7" w:rsidRPr="00B20563">
        <w:t>If the indications are amended to induction therapy for CD and UC this position would be reconsidered.</w:t>
      </w:r>
      <w:r w:rsidR="003703B4" w:rsidRPr="00B20563">
        <w:t xml:space="preserve"> </w:t>
      </w:r>
      <w:r w:rsidR="000C1CB7" w:rsidRPr="00B20563">
        <w:t>Satisfactory completi</w:t>
      </w:r>
      <w:r w:rsidR="00530CFF">
        <w:t>on of negotiations for the RMP wa</w:t>
      </w:r>
      <w:r w:rsidR="000C1CB7" w:rsidRPr="00B20563">
        <w:t>s also required.</w:t>
      </w:r>
    </w:p>
    <w:p w:rsidR="009B678C" w:rsidRDefault="009B678C" w:rsidP="00FE46D2">
      <w:pPr>
        <w:pStyle w:val="Heading5"/>
      </w:pPr>
      <w:r>
        <w:t>Product Information</w:t>
      </w:r>
    </w:p>
    <w:p w:rsidR="009B678C" w:rsidRPr="009B678C" w:rsidRDefault="009B678C" w:rsidP="00FE46D2">
      <w:r>
        <w:t xml:space="preserve">Under </w:t>
      </w:r>
      <w:r w:rsidRPr="009B678C">
        <w:rPr>
          <w:i/>
        </w:rPr>
        <w:t>Dosage and Administration</w:t>
      </w:r>
      <w:r>
        <w:t>, the Delegate recommended removal</w:t>
      </w:r>
      <w:r w:rsidRPr="009B678C">
        <w:t xml:space="preserve"> </w:t>
      </w:r>
      <w:r>
        <w:t xml:space="preserve">of </w:t>
      </w:r>
      <w:r w:rsidRPr="009B678C">
        <w:t>reference to the maintenance dose regimens as they are inconsistent with the indication</w:t>
      </w:r>
      <w:r>
        <w:t xml:space="preserve"> proposed for approval</w:t>
      </w:r>
      <w:r w:rsidRPr="009B678C">
        <w:t xml:space="preserve">.  </w:t>
      </w:r>
    </w:p>
    <w:p w:rsidR="009B678C" w:rsidRDefault="009B678C" w:rsidP="00FE46D2">
      <w:r w:rsidRPr="009B678C">
        <w:lastRenderedPageBreak/>
        <w:t>Under the CD subheading the induction dose regimen should be 0,</w:t>
      </w:r>
      <w:r>
        <w:t xml:space="preserve"> </w:t>
      </w:r>
      <w:r w:rsidRPr="009B678C">
        <w:t xml:space="preserve">2 and 6 weeks and readers should be referred to the </w:t>
      </w:r>
      <w:r w:rsidRPr="009B678C">
        <w:rPr>
          <w:i/>
        </w:rPr>
        <w:t>Clinical Trials</w:t>
      </w:r>
      <w:r>
        <w:t xml:space="preserve"> section. </w:t>
      </w:r>
      <w:r w:rsidRPr="009B678C">
        <w:t xml:space="preserve">The statement that </w:t>
      </w:r>
      <w:r w:rsidRPr="009B678C">
        <w:rPr>
          <w:i/>
        </w:rPr>
        <w:t>“Continued therapy should be carefully reconsidered in patients who show no evidence of therapeutic benefit by Week 14”</w:t>
      </w:r>
      <w:r w:rsidRPr="009B678C">
        <w:t xml:space="preserve"> should be deleted because it implied therapy will continue beyond the induction period.  Under the Ulcerative Colitis subheading the induction dose </w:t>
      </w:r>
      <w:r>
        <w:t>regime should be 0 and 2 weeks</w:t>
      </w:r>
      <w:r w:rsidRPr="009B678C">
        <w:t xml:space="preserve"> (see </w:t>
      </w:r>
      <w:r w:rsidRPr="009B678C">
        <w:rPr>
          <w:i/>
        </w:rPr>
        <w:t>Clinical Trials</w:t>
      </w:r>
      <w:r w:rsidR="00FE46D2">
        <w:t>).</w:t>
      </w:r>
    </w:p>
    <w:p w:rsidR="009B678C" w:rsidRPr="009B678C" w:rsidRDefault="009B678C" w:rsidP="00FE46D2">
      <w:r>
        <w:t xml:space="preserve">Other revisions to the draft PI recommended by the Delegate are beyond the scope of the AusPAR. </w:t>
      </w:r>
    </w:p>
    <w:p w:rsidR="004C67AA" w:rsidRDefault="004C67AA" w:rsidP="00FE46D2">
      <w:pPr>
        <w:pStyle w:val="Heading4"/>
      </w:pPr>
      <w:r w:rsidRPr="00D23139">
        <w:t>Request for ACPM advice</w:t>
      </w:r>
    </w:p>
    <w:p w:rsidR="000C1CB7" w:rsidRPr="000C1CB7" w:rsidRDefault="00B20563" w:rsidP="00FE46D2">
      <w:r>
        <w:t xml:space="preserve">The Delegate proposed to seek general advice on this application from the </w:t>
      </w:r>
      <w:r w:rsidR="00104E92">
        <w:t>Advisory Committee on Prescription Medicines (</w:t>
      </w:r>
      <w:r>
        <w:t>ACPM</w:t>
      </w:r>
      <w:r w:rsidR="00104E92">
        <w:t>)</w:t>
      </w:r>
      <w:r>
        <w:t xml:space="preserve"> and to request the </w:t>
      </w:r>
      <w:r w:rsidR="000C1CB7" w:rsidRPr="000C1CB7">
        <w:t>committee provide advice on the following specific issues:</w:t>
      </w:r>
    </w:p>
    <w:p w:rsidR="000C1CB7" w:rsidRPr="000C1CB7" w:rsidRDefault="000C1CB7" w:rsidP="00FE46D2">
      <w:pPr>
        <w:pStyle w:val="Numberbullet0"/>
      </w:pPr>
      <w:r w:rsidRPr="000C1CB7">
        <w:t xml:space="preserve">Does the </w:t>
      </w:r>
      <w:r w:rsidRPr="00FE46D2">
        <w:t>committee</w:t>
      </w:r>
      <w:r w:rsidRPr="000C1CB7">
        <w:t xml:space="preserve"> consider the proposed inducti</w:t>
      </w:r>
      <w:r w:rsidR="00530CFF">
        <w:t>on regimen for CD and UC of 300 </w:t>
      </w:r>
      <w:r w:rsidRPr="000C1CB7">
        <w:t xml:space="preserve">mg </w:t>
      </w:r>
      <w:r w:rsidR="00A9689C" w:rsidRPr="00A9689C">
        <w:t>IV infusion</w:t>
      </w:r>
      <w:r w:rsidRPr="000C1CB7">
        <w:t xml:space="preserve"> at 0, 2 and 6 weeks to be adequately justified by the data presented?</w:t>
      </w:r>
    </w:p>
    <w:p w:rsidR="000C1CB7" w:rsidRPr="000C1CB7" w:rsidRDefault="000C1CB7" w:rsidP="00A51FB3">
      <w:pPr>
        <w:pStyle w:val="Numberbullet0"/>
      </w:pPr>
      <w:r w:rsidRPr="000C1CB7">
        <w:t>Does the committee consider that there are sufficient data to permit maintenance treatment for either CD or UC?</w:t>
      </w:r>
    </w:p>
    <w:p w:rsidR="000C1CB7" w:rsidRPr="000C1CB7" w:rsidRDefault="000C1CB7" w:rsidP="00A51FB3">
      <w:pPr>
        <w:pStyle w:val="Numberbullet0"/>
      </w:pPr>
      <w:r w:rsidRPr="000C1CB7">
        <w:t>Should the committee recommend maintenance treatment be approved, does the committee consider that a decision on continuing treatment should be made at Week 6 or at Week 14 as proposed by the sponsor?</w:t>
      </w:r>
    </w:p>
    <w:p w:rsidR="000C1CB7" w:rsidRPr="000C1CB7" w:rsidRDefault="000C1CB7" w:rsidP="00A51FB3">
      <w:pPr>
        <w:pStyle w:val="Numberbullet0"/>
      </w:pPr>
      <w:r w:rsidRPr="000C1CB7">
        <w:t xml:space="preserve">Does the committee consider that patients with prior TNFα antagonist experience should be eligible to receive </w:t>
      </w:r>
      <w:r w:rsidR="00EC1014" w:rsidRPr="00EC1014">
        <w:t>vedolizumab</w:t>
      </w:r>
      <w:r w:rsidRPr="000C1CB7">
        <w:t>?</w:t>
      </w:r>
      <w:r w:rsidR="003703B4">
        <w:t xml:space="preserve"> </w:t>
      </w:r>
    </w:p>
    <w:p w:rsidR="004C67AA" w:rsidRDefault="004C67AA" w:rsidP="00FE46D2">
      <w:pPr>
        <w:pStyle w:val="Heading4"/>
      </w:pPr>
      <w:r w:rsidRPr="00D23139">
        <w:t xml:space="preserve">Response </w:t>
      </w:r>
      <w:r w:rsidRPr="00FE46D2">
        <w:t>from</w:t>
      </w:r>
      <w:r w:rsidR="00FE46D2">
        <w:t xml:space="preserve"> Sponsor</w:t>
      </w:r>
    </w:p>
    <w:p w:rsidR="002731AF" w:rsidRDefault="002731AF" w:rsidP="00FE46D2">
      <w:r>
        <w:t>The sponsor addressed the following it</w:t>
      </w:r>
      <w:r w:rsidRPr="00FE46D2">
        <w:t>e</w:t>
      </w:r>
      <w:r>
        <w:t>ms raised during the TGA evaluation:</w:t>
      </w:r>
    </w:p>
    <w:p w:rsidR="00304492" w:rsidRDefault="001401EE" w:rsidP="001401EE">
      <w:pPr>
        <w:pStyle w:val="ListBullet"/>
      </w:pPr>
      <w:r>
        <w:t>The c</w:t>
      </w:r>
      <w:r w:rsidR="006C5BDD" w:rsidRPr="006C5BDD">
        <w:t xml:space="preserve">linical </w:t>
      </w:r>
      <w:r>
        <w:t>e</w:t>
      </w:r>
      <w:r w:rsidR="006C5BDD" w:rsidRPr="006C5BDD">
        <w:t xml:space="preserve">valuation </w:t>
      </w:r>
      <w:r>
        <w:t>r</w:t>
      </w:r>
      <w:r w:rsidR="006C5BDD" w:rsidRPr="006C5BDD">
        <w:t>eport recommended approval, albeit for a revised indication; it did not recommend rejection of maintenance treatment for either UC or CD.</w:t>
      </w:r>
    </w:p>
    <w:p w:rsidR="00304492" w:rsidRDefault="006C5BDD" w:rsidP="001401EE">
      <w:pPr>
        <w:pStyle w:val="ListBullet"/>
      </w:pPr>
      <w:r w:rsidRPr="006C5BDD">
        <w:t xml:space="preserve">The efficacy of </w:t>
      </w:r>
      <w:r w:rsidR="00CB6FC8">
        <w:t xml:space="preserve">vedolizumab </w:t>
      </w:r>
      <w:r w:rsidRPr="006C5BDD">
        <w:t xml:space="preserve">has been robustly demonstrated for both induction and maintenance treatment and the product has demonstrated a positive benefit-risk profile. A detailed discussion of the supporting scientific evidence on maintenance treatment </w:t>
      </w:r>
      <w:r w:rsidR="002731AF">
        <w:t>was</w:t>
      </w:r>
      <w:r w:rsidRPr="006C5BDD">
        <w:t xml:space="preserve"> provided.</w:t>
      </w:r>
    </w:p>
    <w:p w:rsidR="00304492" w:rsidRDefault="006C5BDD" w:rsidP="001401EE">
      <w:pPr>
        <w:pStyle w:val="ListBullet"/>
      </w:pPr>
      <w:r w:rsidRPr="006C5BDD">
        <w:t xml:space="preserve">Episodic treatment with biologics can make patients immunogenic and potentially resistant to future treatment. In addition, for patients who fail conventional and TNFα antagonist therapy, it is unclear what the pharmacological options would be after induction with </w:t>
      </w:r>
      <w:proofErr w:type="spellStart"/>
      <w:r w:rsidR="00CB6FC8">
        <w:t>vedolizumab</w:t>
      </w:r>
      <w:proofErr w:type="spellEnd"/>
      <w:r w:rsidR="00FE46D2">
        <w:t>.</w:t>
      </w:r>
    </w:p>
    <w:p w:rsidR="00304492" w:rsidRDefault="00304492" w:rsidP="00FE46D2">
      <w:pPr>
        <w:pStyle w:val="ListBullet"/>
      </w:pPr>
      <w:r>
        <w:t>T</w:t>
      </w:r>
      <w:r w:rsidR="006C5BDD" w:rsidRPr="006C5BDD">
        <w:t xml:space="preserve">here is substantial long-term </w:t>
      </w:r>
      <w:r w:rsidR="00CB6FC8">
        <w:t xml:space="preserve">vedolizumab </w:t>
      </w:r>
      <w:r w:rsidR="006C5BDD" w:rsidRPr="006C5BDD">
        <w:t xml:space="preserve">exposure data in UC and CD in the clinical development program. </w:t>
      </w:r>
      <w:proofErr w:type="spellStart"/>
      <w:r w:rsidR="001401EE">
        <w:t>V</w:t>
      </w:r>
      <w:r w:rsidR="00CB6FC8">
        <w:t>edolizumab</w:t>
      </w:r>
      <w:r w:rsidR="006C5BDD" w:rsidRPr="006C5BDD">
        <w:t>’s</w:t>
      </w:r>
      <w:proofErr w:type="spellEnd"/>
      <w:r w:rsidR="006C5BDD" w:rsidRPr="006C5BDD">
        <w:t xml:space="preserve"> safety profile has been shown to be consistent with its gut-selective mechanism of action, as well as with AEs typic</w:t>
      </w:r>
      <w:r w:rsidR="00FE46D2">
        <w:t>ally seen in patients with IBD.</w:t>
      </w:r>
    </w:p>
    <w:p w:rsidR="00304492" w:rsidRDefault="006C5BDD" w:rsidP="00FE46D2">
      <w:pPr>
        <w:pStyle w:val="ListBullet"/>
      </w:pPr>
      <w:r w:rsidRPr="006C5BDD">
        <w:t xml:space="preserve">The risk of progressive PML has been thoroughly assessed in the development program, both from a nonclinical and clinical perspective. To date no cases of PML have been reported. If the risk of PML with </w:t>
      </w:r>
      <w:r w:rsidR="00CB6FC8">
        <w:t xml:space="preserve">vedolizumab </w:t>
      </w:r>
      <w:r w:rsidRPr="006C5BDD">
        <w:t xml:space="preserve">were similar to that of natalizumab, based on data through 14 March 2013, 6 to 7 cases of PML would be expected to have occurred in the </w:t>
      </w:r>
      <w:r w:rsidR="00CB6FC8">
        <w:t xml:space="preserve">vedolizumab </w:t>
      </w:r>
      <w:r w:rsidRPr="006C5BDD">
        <w:t xml:space="preserve">clinical program. Further, if </w:t>
      </w:r>
      <w:r w:rsidR="00CB6FC8">
        <w:t xml:space="preserve">vedolizumab </w:t>
      </w:r>
      <w:r w:rsidRPr="006C5BDD">
        <w:t xml:space="preserve">shared the same risk estimates for PML as natalizumab, the probability of observing zero cases of PML with </w:t>
      </w:r>
      <w:r w:rsidR="00CB6FC8">
        <w:t xml:space="preserve">vedolizumab </w:t>
      </w:r>
      <w:r w:rsidRPr="006C5BDD">
        <w:t xml:space="preserve">would be less than 0.5%. </w:t>
      </w:r>
    </w:p>
    <w:p w:rsidR="001401EE" w:rsidRDefault="006C5BDD" w:rsidP="00FE46D2">
      <w:pPr>
        <w:pStyle w:val="ListBullet"/>
      </w:pPr>
      <w:r w:rsidRPr="006C5BDD">
        <w:lastRenderedPageBreak/>
        <w:t>The Delegate expressed concern that patients had been intensely screened for PML. Although the Risk Assessment and Minimization for PML (RAMP) was applied as a screening tool for symptoms, it did not screen for the actual virus that causes PML, JCV and no patients were excluded based upon the JCV deoxyribonucleic acid scre</w:t>
      </w:r>
      <w:r w:rsidR="0010304F">
        <w:t>ening for the P</w:t>
      </w:r>
      <w:r w:rsidR="001401EE">
        <w:t xml:space="preserve">hase </w:t>
      </w:r>
      <w:r w:rsidR="0010304F">
        <w:t>III</w:t>
      </w:r>
      <w:r w:rsidR="00FE46D2">
        <w:t xml:space="preserve"> trials.</w:t>
      </w:r>
    </w:p>
    <w:p w:rsidR="00304492" w:rsidRDefault="006C5BDD" w:rsidP="00FE46D2">
      <w:pPr>
        <w:pStyle w:val="ListBullet"/>
      </w:pPr>
      <w:r w:rsidRPr="006C5BDD">
        <w:t xml:space="preserve">Information contained in the PI, </w:t>
      </w:r>
      <w:r w:rsidR="001401EE" w:rsidRPr="00FE46D2">
        <w:t>C</w:t>
      </w:r>
      <w:r w:rsidRPr="00FE46D2">
        <w:t>onsumer</w:t>
      </w:r>
      <w:r w:rsidRPr="006C5BDD">
        <w:t xml:space="preserve"> </w:t>
      </w:r>
      <w:r w:rsidR="001401EE">
        <w:t>M</w:t>
      </w:r>
      <w:r w:rsidRPr="006C5BDD">
        <w:t xml:space="preserve">edicine </w:t>
      </w:r>
      <w:r w:rsidR="001401EE">
        <w:t>I</w:t>
      </w:r>
      <w:r w:rsidRPr="006C5BDD">
        <w:t xml:space="preserve">nformation (CMI) and the proposed RMP, adequately addresses the </w:t>
      </w:r>
      <w:r w:rsidR="00CB6FC8">
        <w:t xml:space="preserve">vedolizumab </w:t>
      </w:r>
      <w:r w:rsidR="00FE46D2">
        <w:t>safety aspects.</w:t>
      </w:r>
    </w:p>
    <w:p w:rsidR="00304492" w:rsidRDefault="006C2066" w:rsidP="001401EE">
      <w:pPr>
        <w:pStyle w:val="ListBullet"/>
      </w:pPr>
      <w:r>
        <w:t>ACSOM</w:t>
      </w:r>
      <w:r w:rsidR="006C5BDD" w:rsidRPr="006C5BDD">
        <w:t xml:space="preserve"> recommend</w:t>
      </w:r>
      <w:r>
        <w:t xml:space="preserve">ed </w:t>
      </w:r>
      <w:r w:rsidR="006C5BDD" w:rsidRPr="006C5BDD">
        <w:t xml:space="preserve">that it is not appropriate to restrict </w:t>
      </w:r>
      <w:proofErr w:type="spellStart"/>
      <w:r w:rsidR="00CB6FC8">
        <w:t>vedolizumab</w:t>
      </w:r>
      <w:r w:rsidR="006C5BDD" w:rsidRPr="006C5BDD">
        <w:t>’s</w:t>
      </w:r>
      <w:proofErr w:type="spellEnd"/>
      <w:r w:rsidR="006C5BDD" w:rsidRPr="006C5BDD">
        <w:t xml:space="preserve"> indicatio</w:t>
      </w:r>
      <w:r w:rsidR="00FE46D2">
        <w:t>ns to ‘induction of remission’.</w:t>
      </w:r>
    </w:p>
    <w:p w:rsidR="00304492" w:rsidRDefault="006C5BDD" w:rsidP="00FE46D2">
      <w:pPr>
        <w:pStyle w:val="ListBullet"/>
      </w:pPr>
      <w:r w:rsidRPr="006C5BDD">
        <w:t xml:space="preserve">Importantly, given the toxicities associated with chronic immunosuppression of the immune system associated with corticosteroids, immunomodulators and TNFα antagonists, there is a need for new targeted therapies, particularly one that reduces the GI inflammatory process, without increasing the risk for toxicities commonly seen with currently available agents. </w:t>
      </w:r>
      <w:r w:rsidR="001401EE">
        <w:t>V</w:t>
      </w:r>
      <w:r w:rsidR="00CB6FC8">
        <w:t xml:space="preserve">edolizumab </w:t>
      </w:r>
      <w:r w:rsidRPr="006C5BDD">
        <w:t xml:space="preserve">provides a therapeutic option with a gut-selective </w:t>
      </w:r>
      <w:r w:rsidRPr="001401EE">
        <w:t>mechanism of action</w:t>
      </w:r>
      <w:r w:rsidRPr="006C5BDD">
        <w:t>, for patients in whom there is an exceptionally high unmet clinical need, in particular patients with UC and CD who have failed TNFα antagonists and for whom no other pharmacologica</w:t>
      </w:r>
      <w:r w:rsidR="00FE46D2">
        <w:t>l treatment alternatives exist.</w:t>
      </w:r>
    </w:p>
    <w:p w:rsidR="002731AF" w:rsidRDefault="002731AF" w:rsidP="00FE46D2">
      <w:r>
        <w:t>The remainder of the sponsor’s response has not been included in this AusPAR.</w:t>
      </w:r>
    </w:p>
    <w:p w:rsidR="004C67AA" w:rsidRDefault="004C67AA" w:rsidP="00D1744F">
      <w:pPr>
        <w:pStyle w:val="Heading4"/>
      </w:pPr>
      <w:r>
        <w:t xml:space="preserve">Advisory </w:t>
      </w:r>
      <w:r w:rsidR="00D1744F">
        <w:t>c</w:t>
      </w:r>
      <w:r>
        <w:t xml:space="preserve">ommittee </w:t>
      </w:r>
      <w:r w:rsidR="00D1744F" w:rsidRPr="00D1744F">
        <w:t>c</w:t>
      </w:r>
      <w:r w:rsidRPr="00D1744F">
        <w:t>onsiderations</w:t>
      </w:r>
    </w:p>
    <w:p w:rsidR="004C67AA" w:rsidRPr="0039491E" w:rsidRDefault="004C67AA" w:rsidP="00D1744F">
      <w:r w:rsidRPr="0039491E">
        <w:t>The ACPM, having considered the evaluations and the Delegate’s overview, as well as the sponsor’s response to these documents, advised the following:</w:t>
      </w:r>
    </w:p>
    <w:p w:rsidR="0039491E" w:rsidRPr="0039491E" w:rsidRDefault="0039491E" w:rsidP="00D1744F">
      <w:r w:rsidRPr="0039491E">
        <w:t xml:space="preserve">The ACPM, taking into account the submitted evidence of efficacy, safety and quality, considered </w:t>
      </w:r>
      <w:proofErr w:type="spellStart"/>
      <w:r w:rsidRPr="0039491E">
        <w:t>K</w:t>
      </w:r>
      <w:r>
        <w:t>ynteles</w:t>
      </w:r>
      <w:proofErr w:type="spellEnd"/>
      <w:r w:rsidRPr="0039491E">
        <w:t>/</w:t>
      </w:r>
      <w:proofErr w:type="spellStart"/>
      <w:r w:rsidRPr="0039491E">
        <w:t>E</w:t>
      </w:r>
      <w:r>
        <w:t>ntyvio</w:t>
      </w:r>
      <w:proofErr w:type="spellEnd"/>
      <w:r>
        <w:t xml:space="preserve"> </w:t>
      </w:r>
      <w:r w:rsidRPr="0039491E">
        <w:t>powder for injection containing 300 mg of vedolizumab to have an overall positive benefit–risk profi</w:t>
      </w:r>
      <w:r w:rsidR="00D1744F">
        <w:t>le for the proposed indication;</w:t>
      </w:r>
    </w:p>
    <w:p w:rsidR="0039491E" w:rsidRPr="00D1744F" w:rsidRDefault="0039491E" w:rsidP="00D1744F">
      <w:pPr>
        <w:ind w:left="720"/>
        <w:rPr>
          <w:i/>
        </w:rPr>
      </w:pPr>
      <w:r w:rsidRPr="00D1744F">
        <w:rPr>
          <w:i/>
        </w:rPr>
        <w:t>Treatment of adult patients with moderate to severe ulcerative colitis who have had an inadequate response with, lost response to, or are intolerant to either conventional therapy or a tumour necrosis factor-alpha (TNFα) antagonist.</w:t>
      </w:r>
    </w:p>
    <w:p w:rsidR="0039491E" w:rsidRPr="00D1744F" w:rsidRDefault="0039491E" w:rsidP="00D1744F">
      <w:pPr>
        <w:ind w:left="720"/>
        <w:rPr>
          <w:i/>
        </w:rPr>
      </w:pPr>
      <w:r w:rsidRPr="00D1744F">
        <w:rPr>
          <w:i/>
        </w:rPr>
        <w:t>Treatment of adult patients with moderate to severe Crohn’s disease who have had an inadequate response with, lost response to, or are intolerant to either conventional therapy or a tumour necrosis factor-alpha (TNFα) antagonist.</w:t>
      </w:r>
    </w:p>
    <w:p w:rsidR="0039491E" w:rsidRPr="0039491E" w:rsidRDefault="0039491E" w:rsidP="00D1744F">
      <w:pPr>
        <w:pStyle w:val="Heading5"/>
      </w:pPr>
      <w:r w:rsidRPr="0039491E">
        <w:t>Proposed conditions of registration:</w:t>
      </w:r>
    </w:p>
    <w:p w:rsidR="0039491E" w:rsidRPr="0039491E" w:rsidRDefault="0039491E" w:rsidP="00D1744F">
      <w:r w:rsidRPr="0039491E">
        <w:t xml:space="preserve">The ACPM advised that the RMP should be finalised to the satisfaction of the TGA prior to registration of vedolizumab. </w:t>
      </w:r>
    </w:p>
    <w:p w:rsidR="0039491E" w:rsidRPr="0039491E" w:rsidRDefault="0039491E" w:rsidP="00D1744F">
      <w:pPr>
        <w:pStyle w:val="Heading5"/>
      </w:pPr>
      <w:r w:rsidRPr="0039491E">
        <w:t>Proposed P</w:t>
      </w:r>
      <w:r>
        <w:t xml:space="preserve">I and </w:t>
      </w:r>
      <w:r w:rsidR="00D1744F">
        <w:t xml:space="preserve">CMI </w:t>
      </w:r>
      <w:r w:rsidR="00D1744F" w:rsidRPr="00D1744F">
        <w:t>amendments</w:t>
      </w:r>
      <w:r w:rsidR="00D1744F">
        <w:t>:</w:t>
      </w:r>
    </w:p>
    <w:p w:rsidR="0039491E" w:rsidRPr="0039491E" w:rsidRDefault="0039491E" w:rsidP="00D1744F">
      <w:r>
        <w:t>The ACPM agreed with the D</w:t>
      </w:r>
      <w:r w:rsidRPr="0039491E">
        <w:t xml:space="preserve">elegate on the proposed amendments to the PI and CMI and specifically advised on the inclusion of the following: </w:t>
      </w:r>
    </w:p>
    <w:p w:rsidR="0039491E" w:rsidRPr="0039491E" w:rsidRDefault="0039491E" w:rsidP="00D1744F">
      <w:pPr>
        <w:pStyle w:val="ListBullet"/>
      </w:pPr>
      <w:proofErr w:type="gramStart"/>
      <w:r w:rsidRPr="0039491E">
        <w:t>there</w:t>
      </w:r>
      <w:proofErr w:type="gramEnd"/>
      <w:r w:rsidRPr="0039491E">
        <w:t xml:space="preserve"> </w:t>
      </w:r>
      <w:r w:rsidRPr="00D1744F">
        <w:t>should</w:t>
      </w:r>
      <w:r w:rsidRPr="0039491E">
        <w:t xml:space="preserve"> be a clear statement in the </w:t>
      </w:r>
      <w:r w:rsidRPr="0039491E">
        <w:rPr>
          <w:i/>
        </w:rPr>
        <w:t>Precautions</w:t>
      </w:r>
      <w:r w:rsidRPr="0039491E">
        <w:t xml:space="preserve"> section on the potential risk of PML. </w:t>
      </w:r>
    </w:p>
    <w:p w:rsidR="0039491E" w:rsidRPr="0039491E" w:rsidRDefault="0039491E" w:rsidP="00D1744F">
      <w:pPr>
        <w:pStyle w:val="ListBullet"/>
      </w:pPr>
      <w:proofErr w:type="gramStart"/>
      <w:r w:rsidRPr="00D1744F">
        <w:t>reference</w:t>
      </w:r>
      <w:proofErr w:type="gramEnd"/>
      <w:r w:rsidRPr="0039491E">
        <w:t xml:space="preserve"> in the Patient Alert card to PML should be a stronger statement.</w:t>
      </w:r>
    </w:p>
    <w:p w:rsidR="0039491E" w:rsidRPr="0039491E" w:rsidRDefault="0039491E" w:rsidP="00D1744F">
      <w:pPr>
        <w:pStyle w:val="Heading5"/>
      </w:pPr>
      <w:r>
        <w:t xml:space="preserve">Specific </w:t>
      </w:r>
      <w:r w:rsidRPr="00D1744F">
        <w:t>advic</w:t>
      </w:r>
      <w:r w:rsidR="00D1744F" w:rsidRPr="00D1744F">
        <w:t>e</w:t>
      </w:r>
      <w:r w:rsidR="00D1744F">
        <w:t>:</w:t>
      </w:r>
    </w:p>
    <w:p w:rsidR="0039491E" w:rsidRPr="0039491E" w:rsidRDefault="0039491E" w:rsidP="00D1744F">
      <w:r w:rsidRPr="0039491E">
        <w:t>The ACPM advised th</w:t>
      </w:r>
      <w:r>
        <w:t>e following in response to the D</w:t>
      </w:r>
      <w:r w:rsidRPr="0039491E">
        <w:t>elegate’s specific questions on this submission:</w:t>
      </w:r>
    </w:p>
    <w:p w:rsidR="0039491E" w:rsidRPr="0039491E" w:rsidRDefault="0039491E" w:rsidP="00D1744F">
      <w:pPr>
        <w:pStyle w:val="Numberbullet0"/>
        <w:numPr>
          <w:ilvl w:val="0"/>
          <w:numId w:val="6"/>
        </w:numPr>
      </w:pPr>
      <w:r w:rsidRPr="0039491E">
        <w:t>Does the committee consider the proposed inducti</w:t>
      </w:r>
      <w:r>
        <w:t>on regimen for CD and UC of 300 </w:t>
      </w:r>
      <w:r w:rsidRPr="0039491E">
        <w:t xml:space="preserve">mg </w:t>
      </w:r>
      <w:r>
        <w:t xml:space="preserve">IV infusion </w:t>
      </w:r>
      <w:r w:rsidRPr="0039491E">
        <w:t>at 0, 2 and 6 weeks to be adequately justified by the data presented?</w:t>
      </w:r>
    </w:p>
    <w:p w:rsidR="0039491E" w:rsidRPr="0039491E" w:rsidRDefault="0039491E" w:rsidP="00D1744F">
      <w:r w:rsidRPr="0039491E">
        <w:lastRenderedPageBreak/>
        <w:t>The ACPM advised that in CD: There was evidence for efficacy for the induction regimen but it was not particularly impressive in that the number needed to treat (NNT) was 13 and the assessment only at 6 weeks</w:t>
      </w:r>
      <w:r w:rsidR="003703B4">
        <w:t xml:space="preserve"> </w:t>
      </w:r>
      <w:r w:rsidRPr="0039491E">
        <w:t>does not comply with the EMA guideline.</w:t>
      </w:r>
    </w:p>
    <w:p w:rsidR="0039491E" w:rsidRPr="0039491E" w:rsidRDefault="0039491E" w:rsidP="00D1744F">
      <w:r w:rsidRPr="0039491E">
        <w:t>The ACPM advised in UC: An adequate response was demonstrated in the trial at both 6 and 10 weeks and the NNT was better at 4-5.</w:t>
      </w:r>
    </w:p>
    <w:p w:rsidR="0039491E" w:rsidRPr="0039491E" w:rsidRDefault="0039491E" w:rsidP="00D1744F">
      <w:pPr>
        <w:pStyle w:val="Numberbullet0"/>
      </w:pPr>
      <w:r w:rsidRPr="0039491E">
        <w:t xml:space="preserve">Does the committee consider that there are sufficient data to permit maintenance </w:t>
      </w:r>
      <w:r w:rsidRPr="00D1744F">
        <w:t>treatment</w:t>
      </w:r>
      <w:r w:rsidRPr="0039491E">
        <w:t xml:space="preserve"> for either CD or UC?</w:t>
      </w:r>
    </w:p>
    <w:p w:rsidR="0039491E" w:rsidRPr="0039491E" w:rsidRDefault="0039491E" w:rsidP="00D1744F">
      <w:r w:rsidRPr="0039491E">
        <w:t>The ACPM advised that in CD: Remission and steroid free remission was adequately demonstrated at 52 weeks, supporting maintenance treatment in patients who achieved clinical respon</w:t>
      </w:r>
      <w:r>
        <w:t xml:space="preserve">se with the induction regimen, </w:t>
      </w:r>
      <w:r w:rsidRPr="0039491E">
        <w:t>but (</w:t>
      </w:r>
      <w:proofErr w:type="spellStart"/>
      <w:r w:rsidRPr="0039491E">
        <w:t>i</w:t>
      </w:r>
      <w:proofErr w:type="spellEnd"/>
      <w:r w:rsidRPr="0039491E">
        <w:t>) durab</w:t>
      </w:r>
      <w:r w:rsidR="006A26B0">
        <w:t>le remission was not shown (ii) </w:t>
      </w:r>
      <w:r w:rsidRPr="0039491E">
        <w:t>steroid-free remission was not shown in subgroup analyses by anti-TNFα experience (except for every 8 weeks treatment group with prior anti-TNFα failure).</w:t>
      </w:r>
    </w:p>
    <w:p w:rsidR="0039491E" w:rsidRPr="0039491E" w:rsidRDefault="0039491E" w:rsidP="00D1744F">
      <w:r w:rsidRPr="0039491E">
        <w:t>The ACPM advised in UC: The evidence from the trials show that remission at 52 weeks, supporting maintenance treatment in patients who achieved clinical response with the induction regimen with a NNT of 3.4-4; durable remission with a NNT of 6-9 and corticosteroid-free remission with a NNT of 3-6 were all adequately demonstrated. However, the ACPM noted that UC can be reliably treated with surgery, without the adverse events inherent in long-term drug treatment.</w:t>
      </w:r>
    </w:p>
    <w:p w:rsidR="0039491E" w:rsidRPr="0039491E" w:rsidRDefault="0039491E" w:rsidP="0039491E">
      <w:pPr>
        <w:pStyle w:val="Numberbullet0"/>
      </w:pPr>
      <w:r w:rsidRPr="0039491E">
        <w:t xml:space="preserve">Should the committee recommend maintenance treatment be approved, does the committee consider that a decision on continuing treatment should be made at Week 6 or at Week </w:t>
      </w:r>
      <w:r w:rsidR="00D1744F">
        <w:t>14 as proposed by the sponsor?</w:t>
      </w:r>
    </w:p>
    <w:p w:rsidR="0039491E" w:rsidRPr="0039491E" w:rsidRDefault="0039491E" w:rsidP="00D1744F">
      <w:r w:rsidRPr="0039491E">
        <w:t xml:space="preserve">The ACPM advised that, although the evidence for predicting continued efficacy was better at 6 weeks for both </w:t>
      </w:r>
      <w:r w:rsidR="009B56AE">
        <w:t xml:space="preserve">CD </w:t>
      </w:r>
      <w:r w:rsidRPr="0039491E">
        <w:t xml:space="preserve">and </w:t>
      </w:r>
      <w:r w:rsidR="009B56AE">
        <w:t>UC</w:t>
      </w:r>
      <w:r w:rsidRPr="0039491E">
        <w:t xml:space="preserve">, the 14 week cut-off was not unreasonable, as there was a small cohort of patients who did show efficacy in the intervening period. In addition assessment of clinical response at Week 6 would not allow for completion of the proposed induction regimen of 300 mg </w:t>
      </w:r>
      <w:r>
        <w:t xml:space="preserve">IV infusion </w:t>
      </w:r>
      <w:r w:rsidRPr="0039491E">
        <w:t>at 0, 2 and 6 weeks.</w:t>
      </w:r>
    </w:p>
    <w:p w:rsidR="0039491E" w:rsidRPr="001A768D" w:rsidRDefault="0039491E" w:rsidP="00DA2280">
      <w:pPr>
        <w:pStyle w:val="Numberbullet0"/>
      </w:pPr>
      <w:r w:rsidRPr="001A768D">
        <w:t xml:space="preserve">Does the committee consider that patients with prior TNFα antagonist experience should be eligible to receive </w:t>
      </w:r>
      <w:r w:rsidR="00EC1014" w:rsidRPr="00EC1014">
        <w:t>vedolizumab</w:t>
      </w:r>
      <w:r w:rsidRPr="001A768D">
        <w:t>?</w:t>
      </w:r>
      <w:r w:rsidR="003703B4">
        <w:t xml:space="preserve"> </w:t>
      </w:r>
    </w:p>
    <w:p w:rsidR="0039491E" w:rsidRPr="0039491E" w:rsidRDefault="0039491E" w:rsidP="00D1744F">
      <w:r w:rsidRPr="0039491E">
        <w:t>The ACPM advised that in CD: There were tw</w:t>
      </w:r>
      <w:r w:rsidR="006A26B0">
        <w:t>o P</w:t>
      </w:r>
      <w:r w:rsidRPr="0039491E">
        <w:t>hase III studies in induction and remission, C13007 and C13011. In C13007, just over half the p</w:t>
      </w:r>
      <w:r>
        <w:t>atients enrolled had prior TNF</w:t>
      </w:r>
      <w:r w:rsidRPr="0039491E">
        <w:t>α antagonist experience and in C13011 75% of the population enrolled had prior tr</w:t>
      </w:r>
      <w:r w:rsidR="00D1744F">
        <w:t>eatment with a TNFα antagonist.</w:t>
      </w:r>
    </w:p>
    <w:p w:rsidR="0039491E" w:rsidRPr="0039491E" w:rsidRDefault="0039491E" w:rsidP="00D1744F">
      <w:r w:rsidRPr="0039491E">
        <w:t>At Week 6 patients with prior TNFα antagonist exposure had a lower clinical remission rate and response rates compared to those without prior exposure, which were non-statistically significant d</w:t>
      </w:r>
      <w:r w:rsidR="00D1744F">
        <w:t>ifferences compared to placebo.</w:t>
      </w:r>
    </w:p>
    <w:p w:rsidR="0039491E" w:rsidRPr="0039491E" w:rsidRDefault="0039491E" w:rsidP="00D1744F">
      <w:r w:rsidRPr="0039491E">
        <w:t xml:space="preserve">Both experienced and naïve subgroups (in Study C13007) had statistically significant higher clinical remission rates at Week 52 than </w:t>
      </w:r>
      <w:r w:rsidR="00D1744F">
        <w:t>patients randomised to placebo.</w:t>
      </w:r>
    </w:p>
    <w:p w:rsidR="0039491E" w:rsidRPr="0039491E" w:rsidRDefault="0039491E" w:rsidP="00D1744F">
      <w:r w:rsidRPr="0039491E">
        <w:t xml:space="preserve">Study C13011 failed to demonstrate a statistically significant increase in clinical remission rates compared with placebo at Week 6 in patients who were TNFα antagonist experienced. However, the Week 10 results for clinical remission were statistically significant for the TNFα antagonist failure ITT subpopulation. In total, these results support the use of vedolizumab in patients with prior TNFα antagonist experience. There is sufficient evidence to support the use of vedolizumab as maintenance treatment for both </w:t>
      </w:r>
      <w:r w:rsidR="009B56AE">
        <w:t xml:space="preserve">CD </w:t>
      </w:r>
      <w:r w:rsidRPr="0039491E">
        <w:t xml:space="preserve">and </w:t>
      </w:r>
      <w:r w:rsidR="009B56AE">
        <w:t>UC</w:t>
      </w:r>
      <w:r w:rsidRPr="0039491E">
        <w:t xml:space="preserve">, provided clinical response is demonstrated around 6 to 8 weeks after completion of the induction regimen has been administered. The definition of clinical response used to determine whether treatment should continue into a maintenance phase should be the same as was applied </w:t>
      </w:r>
      <w:r w:rsidR="00D1744F">
        <w:t>in the pivotal clinical trials.</w:t>
      </w:r>
    </w:p>
    <w:p w:rsidR="0039491E" w:rsidRPr="0039491E" w:rsidRDefault="0039491E" w:rsidP="00D1744F">
      <w:r w:rsidRPr="0039491E">
        <w:t xml:space="preserve">The ACPM advised that in UC: In the pivotal study in both induction and remission in UC, when comparing patients defined as having failed TNFα antagonist therapy, there was </w:t>
      </w:r>
      <w:r w:rsidRPr="0039491E">
        <w:lastRenderedPageBreak/>
        <w:t xml:space="preserve">better response in the vedolizumab treated groups compared with placebo but less in this group than those </w:t>
      </w:r>
      <w:r w:rsidR="00D1744F">
        <w:t>who were TNFα antagonist-naïve.</w:t>
      </w:r>
    </w:p>
    <w:p w:rsidR="0039491E" w:rsidRPr="0039491E" w:rsidRDefault="0039491E" w:rsidP="00D1744F">
      <w:r w:rsidRPr="0039491E">
        <w:t>Thus while the efficacy rates were low</w:t>
      </w:r>
      <w:r>
        <w:t>er for patients with prior TNF</w:t>
      </w:r>
      <w:r w:rsidRPr="0039491E">
        <w:t>α antagonist experience, there was some efficacy.</w:t>
      </w:r>
    </w:p>
    <w:p w:rsidR="0039491E" w:rsidRPr="0039491E" w:rsidRDefault="0039491E" w:rsidP="00D1744F">
      <w:r w:rsidRPr="0039491E">
        <w:t>The ACPM advised that the implementation by the sponsor of the recommendations outlined above to the satisfaction of the TGA, in addition to the evidence of efficacy and safety provided would support the safe and</w:t>
      </w:r>
      <w:r w:rsidR="00D1744F">
        <w:t xml:space="preserve"> effective use of this product.</w:t>
      </w:r>
    </w:p>
    <w:p w:rsidR="004C67AA" w:rsidRPr="002E238E" w:rsidRDefault="004C67AA" w:rsidP="00D1744F">
      <w:pPr>
        <w:pStyle w:val="Heading3"/>
      </w:pPr>
      <w:bookmarkStart w:id="183" w:name="_Toc247691532"/>
      <w:bookmarkStart w:id="184" w:name="_Toc314842516"/>
      <w:bookmarkStart w:id="185" w:name="_Toc384807777"/>
      <w:bookmarkStart w:id="186" w:name="_Toc405974800"/>
      <w:bookmarkEnd w:id="122"/>
      <w:bookmarkEnd w:id="180"/>
      <w:bookmarkEnd w:id="181"/>
      <w:r w:rsidRPr="00D1744F">
        <w:t>Outcome</w:t>
      </w:r>
      <w:bookmarkEnd w:id="183"/>
      <w:bookmarkEnd w:id="184"/>
      <w:bookmarkEnd w:id="185"/>
      <w:bookmarkEnd w:id="186"/>
    </w:p>
    <w:p w:rsidR="004C67AA" w:rsidRPr="00D23139" w:rsidRDefault="004C67AA" w:rsidP="00D1744F">
      <w:bookmarkStart w:id="187" w:name="_Toc247691533"/>
      <w:bookmarkStart w:id="188" w:name="_Toc314842517"/>
      <w:r w:rsidRPr="00D23139">
        <w:t xml:space="preserve">Based on a review of quality, safety and efficacy, TGA approved the registration of </w:t>
      </w:r>
      <w:proofErr w:type="spellStart"/>
      <w:r w:rsidR="00F73E80" w:rsidRPr="00F73E80">
        <w:t>Entyvio</w:t>
      </w:r>
      <w:proofErr w:type="spellEnd"/>
      <w:r w:rsidR="006A26B0">
        <w:t>/</w:t>
      </w:r>
      <w:proofErr w:type="spellStart"/>
      <w:r w:rsidR="00F73E80" w:rsidRPr="00F73E80">
        <w:t>Kynteles</w:t>
      </w:r>
      <w:proofErr w:type="spellEnd"/>
      <w:r w:rsidR="00F73E80">
        <w:t>, containing</w:t>
      </w:r>
      <w:r w:rsidR="00F73E80" w:rsidRPr="00F73E80">
        <w:t xml:space="preserve"> </w:t>
      </w:r>
      <w:proofErr w:type="spellStart"/>
      <w:r w:rsidR="00F73E80" w:rsidRPr="00F73E80">
        <w:t>vedolizumab</w:t>
      </w:r>
      <w:proofErr w:type="spellEnd"/>
      <w:r w:rsidR="00F73E80" w:rsidRPr="00F73E80">
        <w:t xml:space="preserve"> (</w:t>
      </w:r>
      <w:proofErr w:type="spellStart"/>
      <w:r w:rsidR="00F73E80" w:rsidRPr="00F73E80">
        <w:t>rch</w:t>
      </w:r>
      <w:proofErr w:type="spellEnd"/>
      <w:r w:rsidR="00F73E80" w:rsidRPr="00F73E80">
        <w:t>) 300 mg powder for injection vial</w:t>
      </w:r>
      <w:r w:rsidRPr="00D23139">
        <w:t>, indicated for:</w:t>
      </w:r>
    </w:p>
    <w:p w:rsidR="00F73E80" w:rsidRPr="00D1744F" w:rsidRDefault="00F73E80" w:rsidP="00D1744F">
      <w:pPr>
        <w:pStyle w:val="ListBullet"/>
        <w:rPr>
          <w:i/>
        </w:rPr>
      </w:pPr>
      <w:r w:rsidRPr="00D1744F">
        <w:rPr>
          <w:i/>
        </w:rPr>
        <w:t xml:space="preserve">Treatment of adult patients with moderate to severe ulcerative colitis who have had an inadequate response with, lost response to, or are intolerant to either conventional therapy or a tumour necrosis </w:t>
      </w:r>
      <w:r w:rsidR="00D1744F" w:rsidRPr="00D1744F">
        <w:rPr>
          <w:i/>
        </w:rPr>
        <w:t>factor-alpha (TNFα) antagonist.</w:t>
      </w:r>
    </w:p>
    <w:p w:rsidR="00F73E80" w:rsidRPr="00D1744F" w:rsidRDefault="00F73E80" w:rsidP="00D1744F">
      <w:pPr>
        <w:pStyle w:val="ListBullet"/>
        <w:rPr>
          <w:i/>
        </w:rPr>
      </w:pPr>
      <w:r w:rsidRPr="00D1744F">
        <w:rPr>
          <w:i/>
        </w:rPr>
        <w:t xml:space="preserve">Treatment of adult patients with moderate to severe </w:t>
      </w:r>
      <w:proofErr w:type="spellStart"/>
      <w:r w:rsidRPr="00D1744F">
        <w:rPr>
          <w:i/>
        </w:rPr>
        <w:t>Crohn’s</w:t>
      </w:r>
      <w:proofErr w:type="spellEnd"/>
      <w:r w:rsidRPr="00D1744F">
        <w:rPr>
          <w:i/>
        </w:rPr>
        <w:t xml:space="preserve"> disease who have had an inadequate response with, lost response to, or are intolerant to either conventional therapy or a tumour necrosis factor-alpha (TNFα) antagonist.</w:t>
      </w:r>
    </w:p>
    <w:p w:rsidR="004C67AA" w:rsidRDefault="004C67AA" w:rsidP="00D1744F">
      <w:pPr>
        <w:pStyle w:val="Heading4"/>
      </w:pPr>
      <w:r w:rsidRPr="00D23139">
        <w:t xml:space="preserve">Specific conditions of registration applying to </w:t>
      </w:r>
      <w:r w:rsidRPr="00D1744F">
        <w:t>these</w:t>
      </w:r>
      <w:r w:rsidRPr="00D23139">
        <w:t xml:space="preserve"> goods</w:t>
      </w:r>
    </w:p>
    <w:p w:rsidR="00F73E80" w:rsidRDefault="00F73E80" w:rsidP="00D1744F">
      <w:pPr>
        <w:pStyle w:val="ListBullet"/>
      </w:pPr>
      <w:r>
        <w:t>The vedol</w:t>
      </w:r>
      <w:r w:rsidRPr="00F73E80">
        <w:t>izumab EU-RMP version 2.0, dated 27 September 2013 (data lock point 14 March 2013) with Australian Sp</w:t>
      </w:r>
      <w:r>
        <w:t>ecific Annex version 20, dated J</w:t>
      </w:r>
      <w:r w:rsidRPr="00F73E80">
        <w:t>anuary 2014 and any future</w:t>
      </w:r>
      <w:r>
        <w:t xml:space="preserve"> Risk Management Plan updates in</w:t>
      </w:r>
      <w:r w:rsidRPr="00F73E80">
        <w:t>cluded with submission PM-2013-01</w:t>
      </w:r>
      <w:r>
        <w:t>1</w:t>
      </w:r>
      <w:r w:rsidRPr="00F73E80">
        <w:t>02-</w:t>
      </w:r>
      <w:r>
        <w:t>1</w:t>
      </w:r>
      <w:r w:rsidRPr="00F73E80">
        <w:t>-</w:t>
      </w:r>
      <w:r>
        <w:t>1</w:t>
      </w:r>
      <w:r w:rsidRPr="00F73E80">
        <w:t>, and any subsequent re</w:t>
      </w:r>
      <w:r>
        <w:t>v</w:t>
      </w:r>
      <w:r w:rsidRPr="00F73E80">
        <w:t xml:space="preserve">isions, as agreed with the TGA will be </w:t>
      </w:r>
      <w:r w:rsidRPr="00D1744F">
        <w:t>implemented</w:t>
      </w:r>
      <w:r w:rsidRPr="00F73E80">
        <w:t xml:space="preserve"> in Australia.</w:t>
      </w:r>
    </w:p>
    <w:p w:rsidR="00F73E80" w:rsidRPr="00F73E80" w:rsidRDefault="00F73E80" w:rsidP="00D1744F">
      <w:pPr>
        <w:pStyle w:val="ListBullet"/>
      </w:pPr>
      <w:r w:rsidRPr="00F73E80">
        <w:t xml:space="preserve">The physician education brochure and patient alert card must be supplied </w:t>
      </w:r>
      <w:r>
        <w:t xml:space="preserve">following the launch of </w:t>
      </w:r>
      <w:proofErr w:type="spellStart"/>
      <w:r w:rsidRPr="00D1744F">
        <w:t>vedolizumab</w:t>
      </w:r>
      <w:proofErr w:type="spellEnd"/>
      <w:r w:rsidRPr="00F73E80">
        <w:t xml:space="preserve"> in Australia.</w:t>
      </w:r>
    </w:p>
    <w:p w:rsidR="004C67AA" w:rsidRDefault="004C67AA" w:rsidP="00D1744F">
      <w:pPr>
        <w:pStyle w:val="Heading2"/>
      </w:pPr>
      <w:bookmarkStart w:id="189" w:name="_Toc384807778"/>
      <w:bookmarkStart w:id="190" w:name="_Toc405974801"/>
      <w:proofErr w:type="gramStart"/>
      <w:r>
        <w:t>Attachment 1.</w:t>
      </w:r>
      <w:proofErr w:type="gramEnd"/>
      <w:r>
        <w:tab/>
        <w:t xml:space="preserve">Product </w:t>
      </w:r>
      <w:r w:rsidRPr="00D1744F">
        <w:t>Information</w:t>
      </w:r>
      <w:bookmarkEnd w:id="187"/>
      <w:bookmarkEnd w:id="188"/>
      <w:bookmarkEnd w:id="189"/>
      <w:bookmarkEnd w:id="190"/>
    </w:p>
    <w:p w:rsidR="004C67AA" w:rsidRPr="009239C0" w:rsidRDefault="004C67AA" w:rsidP="00D1744F">
      <w:r w:rsidRPr="002B3624">
        <w:t xml:space="preserve">The Product Information approved for </w:t>
      </w:r>
      <w:proofErr w:type="spellStart"/>
      <w:r w:rsidR="009239C0" w:rsidRPr="009239C0">
        <w:t>Entyvio</w:t>
      </w:r>
      <w:proofErr w:type="spellEnd"/>
      <w:r w:rsidR="009239C0">
        <w:t xml:space="preserve"> </w:t>
      </w:r>
      <w:r w:rsidRPr="002B3624">
        <w:t xml:space="preserve">at the time this AusPAR was published is at Attachment 1. </w:t>
      </w:r>
      <w:r w:rsidR="009239C0" w:rsidRPr="009239C0">
        <w:t xml:space="preserve">The PI for </w:t>
      </w:r>
      <w:proofErr w:type="spellStart"/>
      <w:r w:rsidR="009239C0" w:rsidRPr="009239C0">
        <w:t>Kynteles</w:t>
      </w:r>
      <w:proofErr w:type="spellEnd"/>
      <w:r w:rsidR="009239C0" w:rsidRPr="009239C0">
        <w:t xml:space="preserve"> is identical except for the product name.</w:t>
      </w:r>
      <w:r w:rsidR="009239C0">
        <w:t xml:space="preserve"> </w:t>
      </w:r>
      <w:r w:rsidRPr="002B3624">
        <w:t>For the most recent Product Information please refer to the TGA website at &lt;</w:t>
      </w:r>
      <w:hyperlink r:id="rId19" w:history="1">
        <w:r w:rsidRPr="000734D8">
          <w:rPr>
            <w:rStyle w:val="Hyperlink"/>
          </w:rPr>
          <w:t>http://www.tga.gov.au/hp/information-medicines-pi.htm</w:t>
        </w:r>
      </w:hyperlink>
      <w:r w:rsidR="00D1744F">
        <w:t>&gt;.</w:t>
      </w:r>
    </w:p>
    <w:p w:rsidR="001C32CD" w:rsidRDefault="00FF718F" w:rsidP="00D1744F">
      <w:pPr>
        <w:pStyle w:val="Heading2"/>
      </w:pPr>
      <w:bookmarkStart w:id="191" w:name="_Toc384807779"/>
      <w:bookmarkStart w:id="192" w:name="_Toc405974802"/>
      <w:proofErr w:type="gramStart"/>
      <w:r>
        <w:t>Attachment 2.</w:t>
      </w:r>
      <w:proofErr w:type="gramEnd"/>
      <w:r w:rsidR="00A94DDA">
        <w:tab/>
      </w:r>
      <w:r w:rsidR="004C67AA">
        <w:t>Extract from the Clinical Evaluation Report</w:t>
      </w:r>
      <w:bookmarkEnd w:id="191"/>
      <w:bookmarkEnd w:id="192"/>
    </w:p>
    <w:p w:rsidR="00291957" w:rsidRDefault="00291957" w:rsidP="00D1744F">
      <w:pPr>
        <w:rPr>
          <w:lang w:eastAsia="ja-JP"/>
        </w:rPr>
      </w:pPr>
    </w:p>
    <w:p w:rsidR="00C80137" w:rsidRPr="001D043B" w:rsidRDefault="00C80137" w:rsidP="00D1744F">
      <w:pPr>
        <w:sectPr w:rsidR="00C80137" w:rsidRPr="001D043B" w:rsidSect="00B452CE">
          <w:headerReference w:type="even" r:id="rId20"/>
          <w:headerReference w:type="default" r:id="rId21"/>
          <w:footerReference w:type="default" r:id="rId22"/>
          <w:headerReference w:type="first" r:id="rId23"/>
          <w:footerReference w:type="first" r:id="rId24"/>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525E14">
        <w:trPr>
          <w:trHeight w:hRule="exact" w:val="704"/>
        </w:trPr>
        <w:tc>
          <w:tcPr>
            <w:tcW w:w="9175" w:type="dxa"/>
          </w:tcPr>
          <w:p w:rsidR="001C32CD" w:rsidRPr="00487162" w:rsidRDefault="001C32CD" w:rsidP="00525E14">
            <w:pPr>
              <w:pStyle w:val="TGASignoff"/>
            </w:pPr>
            <w:r w:rsidRPr="00487162">
              <w:lastRenderedPageBreak/>
              <w:t>Therapeutic Goods Administration</w:t>
            </w:r>
          </w:p>
        </w:tc>
      </w:tr>
      <w:tr w:rsidR="001C32CD" w:rsidRPr="004C239D" w:rsidTr="00525E14">
        <w:trPr>
          <w:trHeight w:val="1221"/>
        </w:trPr>
        <w:tc>
          <w:tcPr>
            <w:tcW w:w="9175" w:type="dxa"/>
            <w:tcMar>
              <w:top w:w="28" w:type="dxa"/>
            </w:tcMar>
          </w:tcPr>
          <w:p w:rsidR="001C32CD" w:rsidRPr="00487162" w:rsidRDefault="001C32CD" w:rsidP="00525E14">
            <w:pPr>
              <w:pStyle w:val="Address"/>
            </w:pPr>
            <w:r w:rsidRPr="00487162">
              <w:t>PO Box 100 Woden ACT 2606 Australia</w:t>
            </w:r>
          </w:p>
          <w:p w:rsidR="001C32CD" w:rsidRPr="00487162" w:rsidRDefault="001C32CD" w:rsidP="00525E14">
            <w:pPr>
              <w:pStyle w:val="Address"/>
            </w:pPr>
            <w:r w:rsidRPr="00487162">
              <w:t xml:space="preserve">Email: </w:t>
            </w:r>
            <w:hyperlink r:id="rId25" w:history="1">
              <w:r w:rsidRPr="004C239D">
                <w:rPr>
                  <w:rStyle w:val="Hyperlink"/>
                </w:rPr>
                <w:t>info@tga.gov.au</w:t>
              </w:r>
            </w:hyperlink>
            <w:r w:rsidR="003703B4">
              <w:t xml:space="preserve"> </w:t>
            </w:r>
            <w:r w:rsidRPr="00487162">
              <w:t>Phone: 1800 020 653</w:t>
            </w:r>
            <w:r w:rsidR="003703B4">
              <w:t xml:space="preserve"> </w:t>
            </w:r>
            <w:r w:rsidRPr="00487162">
              <w:t>Fax: 02 6232 8605</w:t>
            </w:r>
          </w:p>
          <w:p w:rsidR="001C32CD" w:rsidRPr="004C239D" w:rsidRDefault="00A5110F" w:rsidP="00525E14">
            <w:pPr>
              <w:pStyle w:val="Address"/>
              <w:spacing w:line="260" w:lineRule="atLeast"/>
              <w:rPr>
                <w:b/>
                <w:color w:val="0000FF"/>
                <w:u w:val="single"/>
              </w:rPr>
            </w:pPr>
            <w:hyperlink r:id="rId26"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27"/>
      <w:headerReference w:type="default" r:id="rId28"/>
      <w:footerReference w:type="default" r:id="rId29"/>
      <w:headerReference w:type="first" r:id="rId30"/>
      <w:footerReference w:type="first" r:id="rId31"/>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D2" w:rsidRDefault="00FE46D2" w:rsidP="00C40A36">
      <w:pPr>
        <w:spacing w:after="0"/>
      </w:pPr>
      <w:r>
        <w:separator/>
      </w:r>
    </w:p>
  </w:endnote>
  <w:endnote w:type="continuationSeparator" w:id="0">
    <w:p w:rsidR="00FE46D2" w:rsidRDefault="00FE46D2"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FE46D2" w:rsidRPr="00487162" w:rsidTr="0053625B">
      <w:trPr>
        <w:trHeight w:val="269"/>
      </w:trPr>
      <w:tc>
        <w:tcPr>
          <w:tcW w:w="7938" w:type="dxa"/>
          <w:tcMar>
            <w:top w:w="142" w:type="dxa"/>
            <w:bottom w:w="0" w:type="dxa"/>
          </w:tcMar>
        </w:tcPr>
        <w:p w:rsidR="00FE46D2" w:rsidRPr="00487162" w:rsidRDefault="00FE46D2" w:rsidP="00C11D50">
          <w:pPr>
            <w:pStyle w:val="Footer"/>
          </w:pPr>
          <w:proofErr w:type="spellStart"/>
          <w:r w:rsidRPr="00487162">
            <w:t>AusPAR</w:t>
          </w:r>
          <w:proofErr w:type="spellEnd"/>
          <w:r w:rsidRPr="00487162">
            <w:t xml:space="preserve"> </w:t>
          </w:r>
          <w:proofErr w:type="spellStart"/>
          <w:r>
            <w:t>Entyvio</w:t>
          </w:r>
          <w:proofErr w:type="spellEnd"/>
          <w:r w:rsidRPr="00C5264C">
            <w:t>/</w:t>
          </w:r>
          <w:proofErr w:type="spellStart"/>
          <w:r w:rsidRPr="00C5264C">
            <w:t>Kynteles</w:t>
          </w:r>
          <w:proofErr w:type="spellEnd"/>
          <w:r w:rsidRPr="00C5264C">
            <w:t xml:space="preserve"> </w:t>
          </w:r>
          <w:proofErr w:type="spellStart"/>
          <w:r w:rsidRPr="00C5264C">
            <w:t>Vedolizumab</w:t>
          </w:r>
          <w:proofErr w:type="spellEnd"/>
          <w:r>
            <w:t xml:space="preserve"> (</w:t>
          </w:r>
          <w:proofErr w:type="spellStart"/>
          <w:r>
            <w:t>rch</w:t>
          </w:r>
          <w:proofErr w:type="spellEnd"/>
          <w:r>
            <w:t xml:space="preserve">) </w:t>
          </w:r>
          <w:r w:rsidRPr="00C5264C">
            <w:t xml:space="preserve">Takeda Pharmaceuticals </w:t>
          </w:r>
          <w:r>
            <w:t xml:space="preserve">Australia Pty Ltd </w:t>
          </w:r>
          <w:r w:rsidRPr="00C5264C">
            <w:t>PM-2013-01102-1-</w:t>
          </w:r>
          <w:r>
            <w:t xml:space="preserve">1 </w:t>
          </w:r>
          <w:r>
            <w:br/>
          </w:r>
          <w:r w:rsidRPr="00487162">
            <w:t>Date of Finalisation</w:t>
          </w:r>
          <w:r>
            <w:t>: 17 November 2014</w:t>
          </w:r>
        </w:p>
      </w:tc>
      <w:tc>
        <w:tcPr>
          <w:tcW w:w="923" w:type="dxa"/>
          <w:tcMar>
            <w:top w:w="142" w:type="dxa"/>
            <w:bottom w:w="0" w:type="dxa"/>
          </w:tcMar>
        </w:tcPr>
        <w:p w:rsidR="00FE46D2" w:rsidRPr="00487162" w:rsidRDefault="00FE46D2" w:rsidP="00D855D4">
          <w:pPr>
            <w:pStyle w:val="Footer"/>
            <w:jc w:val="right"/>
          </w:pPr>
          <w:r w:rsidRPr="00487162">
            <w:t xml:space="preserve">Page </w:t>
          </w:r>
          <w:r>
            <w:t>2</w:t>
          </w:r>
          <w:r w:rsidRPr="00487162">
            <w:t xml:space="preserve"> of </w:t>
          </w:r>
          <w:fldSimple w:instr=" NUMPAGES  \* Arabic ">
            <w:r w:rsidR="00D1744F">
              <w:rPr>
                <w:noProof/>
              </w:rPr>
              <w:t>72</w:t>
            </w:r>
          </w:fldSimple>
        </w:p>
      </w:tc>
    </w:tr>
  </w:tbl>
  <w:p w:rsidR="00FE46D2" w:rsidRDefault="00FE46D2"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170" w:type="dxa"/>
        <w:right w:w="0" w:type="dxa"/>
      </w:tblCellMar>
      <w:tblLook w:val="04A0" w:firstRow="1" w:lastRow="0" w:firstColumn="1" w:lastColumn="0" w:noHBand="0" w:noVBand="1"/>
    </w:tblPr>
    <w:tblGrid>
      <w:gridCol w:w="7797"/>
      <w:gridCol w:w="1064"/>
    </w:tblGrid>
    <w:tr w:rsidR="00FE46D2" w:rsidRPr="00487162" w:rsidTr="001A768D">
      <w:trPr>
        <w:trHeight w:val="269"/>
      </w:trPr>
      <w:tc>
        <w:tcPr>
          <w:tcW w:w="7797" w:type="dxa"/>
          <w:tcMar>
            <w:top w:w="142" w:type="dxa"/>
            <w:bottom w:w="0" w:type="dxa"/>
          </w:tcMar>
        </w:tcPr>
        <w:p w:rsidR="00FE46D2" w:rsidRPr="00487162" w:rsidRDefault="00FE46D2" w:rsidP="00C11D50">
          <w:pPr>
            <w:pStyle w:val="Footer"/>
          </w:pPr>
          <w:proofErr w:type="spellStart"/>
          <w:r w:rsidRPr="00C5264C">
            <w:t>AusPAR</w:t>
          </w:r>
          <w:proofErr w:type="spellEnd"/>
          <w:r w:rsidRPr="00C5264C">
            <w:t xml:space="preserve"> </w:t>
          </w:r>
          <w:proofErr w:type="spellStart"/>
          <w:r w:rsidRPr="00C5264C">
            <w:t>Entyvio</w:t>
          </w:r>
          <w:proofErr w:type="spellEnd"/>
          <w:r w:rsidRPr="00C5264C">
            <w:t>/</w:t>
          </w:r>
          <w:proofErr w:type="spellStart"/>
          <w:r w:rsidRPr="00C5264C">
            <w:t>Kynteles</w:t>
          </w:r>
          <w:proofErr w:type="spellEnd"/>
          <w:r w:rsidRPr="00C5264C">
            <w:t xml:space="preserve"> </w:t>
          </w:r>
          <w:proofErr w:type="spellStart"/>
          <w:r w:rsidRPr="00C5264C">
            <w:t>Vedolizumab</w:t>
          </w:r>
          <w:proofErr w:type="spellEnd"/>
          <w:r w:rsidRPr="00C5264C">
            <w:t xml:space="preserve"> (</w:t>
          </w:r>
          <w:proofErr w:type="spellStart"/>
          <w:r w:rsidRPr="00C5264C">
            <w:t>rch</w:t>
          </w:r>
          <w:proofErr w:type="spellEnd"/>
          <w:r w:rsidRPr="00C5264C">
            <w:t xml:space="preserve">) Takeda Pharmaceuticals Australia Pty Ltd </w:t>
          </w:r>
          <w:r>
            <w:br/>
          </w:r>
          <w:r w:rsidRPr="00C5264C">
            <w:t>PM-2013-01102-1-1</w:t>
          </w:r>
          <w:r>
            <w:t xml:space="preserve"> </w:t>
          </w:r>
          <w:r w:rsidRPr="00487162">
            <w:t>Date of Finalisation</w:t>
          </w:r>
          <w:r>
            <w:t>: 17 November 2014</w:t>
          </w:r>
        </w:p>
      </w:tc>
      <w:tc>
        <w:tcPr>
          <w:tcW w:w="1064" w:type="dxa"/>
          <w:tcMar>
            <w:top w:w="142" w:type="dxa"/>
            <w:bottom w:w="0" w:type="dxa"/>
          </w:tcMar>
        </w:tcPr>
        <w:p w:rsidR="00FE46D2" w:rsidRPr="00487162" w:rsidRDefault="00FE46D2" w:rsidP="00E45619">
          <w:pPr>
            <w:pStyle w:val="Footer"/>
            <w:jc w:val="right"/>
          </w:pPr>
          <w:r w:rsidRPr="00487162">
            <w:t xml:space="preserve">Page </w:t>
          </w:r>
          <w:r>
            <w:fldChar w:fldCharType="begin"/>
          </w:r>
          <w:r>
            <w:instrText>PAGE</w:instrText>
          </w:r>
          <w:r>
            <w:fldChar w:fldCharType="separate"/>
          </w:r>
          <w:r w:rsidR="00D1744F">
            <w:rPr>
              <w:noProof/>
            </w:rPr>
            <w:t>71</w:t>
          </w:r>
          <w:r>
            <w:rPr>
              <w:noProof/>
            </w:rPr>
            <w:fldChar w:fldCharType="end"/>
          </w:r>
          <w:r w:rsidRPr="00487162">
            <w:t xml:space="preserve"> of </w:t>
          </w:r>
          <w:fldSimple w:instr=" NUMPAGES  \* Arabic ">
            <w:r w:rsidR="00D1744F">
              <w:rPr>
                <w:noProof/>
              </w:rPr>
              <w:t>72</w:t>
            </w:r>
          </w:fldSimple>
        </w:p>
      </w:tc>
    </w:tr>
  </w:tbl>
  <w:p w:rsidR="00FE46D2" w:rsidRDefault="00FE46D2"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FE46D2" w:rsidRPr="00487162" w:rsidTr="00E45619">
      <w:trPr>
        <w:trHeight w:val="269"/>
      </w:trPr>
      <w:tc>
        <w:tcPr>
          <w:tcW w:w="4519" w:type="dxa"/>
          <w:tcBorders>
            <w:top w:val="single" w:sz="4" w:space="0" w:color="auto"/>
          </w:tcBorders>
          <w:tcMar>
            <w:top w:w="142" w:type="dxa"/>
            <w:bottom w:w="0" w:type="dxa"/>
          </w:tcMar>
        </w:tcPr>
        <w:p w:rsidR="00FE46D2" w:rsidRPr="00487162" w:rsidRDefault="00FE46D2" w:rsidP="00FE1DEE">
          <w:pPr>
            <w:pStyle w:val="Footer"/>
          </w:pPr>
          <w:r w:rsidRPr="00487162">
            <w:t>Document title, Part #, Section # - Section title</w:t>
          </w:r>
        </w:p>
        <w:p w:rsidR="00FE46D2" w:rsidRPr="00487162" w:rsidRDefault="00FE46D2" w:rsidP="00FE1DEE">
          <w:pPr>
            <w:pStyle w:val="Footer"/>
          </w:pPr>
          <w:r w:rsidRPr="00487162">
            <w:t>V1.0 October 2010</w:t>
          </w:r>
        </w:p>
      </w:tc>
      <w:tc>
        <w:tcPr>
          <w:tcW w:w="4342" w:type="dxa"/>
          <w:tcBorders>
            <w:top w:val="single" w:sz="4" w:space="0" w:color="auto"/>
          </w:tcBorders>
          <w:tcMar>
            <w:top w:w="142" w:type="dxa"/>
            <w:bottom w:w="0" w:type="dxa"/>
          </w:tcMar>
        </w:tcPr>
        <w:p w:rsidR="00FE46D2" w:rsidRPr="00487162" w:rsidRDefault="00FE46D2"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11</w:t>
            </w:r>
          </w:fldSimple>
        </w:p>
      </w:tc>
    </w:tr>
  </w:tbl>
  <w:p w:rsidR="00FE46D2" w:rsidRDefault="00FE46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Pr="001C32CD" w:rsidRDefault="00FE46D2" w:rsidP="001C32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FE46D2" w:rsidTr="0010601F">
      <w:trPr>
        <w:trHeight w:val="108"/>
      </w:trPr>
      <w:tc>
        <w:tcPr>
          <w:tcW w:w="8875" w:type="dxa"/>
          <w:gridSpan w:val="2"/>
          <w:tcBorders>
            <w:bottom w:val="single" w:sz="4" w:space="0" w:color="auto"/>
          </w:tcBorders>
          <w:tcMar>
            <w:right w:w="284" w:type="dxa"/>
          </w:tcMar>
        </w:tcPr>
        <w:p w:rsidR="00FE46D2" w:rsidRDefault="00FE46D2" w:rsidP="006E08B3">
          <w:pPr>
            <w:pStyle w:val="Heading3"/>
          </w:pPr>
          <w:r>
            <w:t>Copyright</w:t>
          </w:r>
        </w:p>
        <w:p w:rsidR="00FE46D2" w:rsidRDefault="00FE46D2" w:rsidP="006E08B3">
          <w:r>
            <w:rPr>
              <w:rFonts w:cs="Arial"/>
            </w:rPr>
            <w:t>©</w:t>
          </w:r>
          <w:r>
            <w:t xml:space="preserve"> Commonwealth of Australia [add year]</w:t>
          </w:r>
        </w:p>
        <w:p w:rsidR="00FE46D2" w:rsidRDefault="00FE46D2" w:rsidP="006E08B3"/>
        <w:p w:rsidR="00FE46D2" w:rsidRDefault="00FE46D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FE46D2" w:rsidRDefault="00FE46D2" w:rsidP="006E08B3"/>
        <w:p w:rsidR="00FE46D2" w:rsidRDefault="00FE46D2" w:rsidP="006E08B3">
          <w:pPr>
            <w:pStyle w:val="Heading3"/>
          </w:pPr>
          <w:r>
            <w:t>Confidentiality</w:t>
          </w:r>
        </w:p>
        <w:p w:rsidR="00FE46D2" w:rsidRDefault="00FE46D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FE46D2" w:rsidRDefault="00FE46D2" w:rsidP="006E08B3"/>
        <w:p w:rsidR="00FE46D2" w:rsidRDefault="00FE46D2" w:rsidP="006E08B3">
          <w:r>
            <w:t>For submission made by individuals, all personal details, other than your name, will be removed from your submission before it is published on the TGA’s Internet site.</w:t>
          </w:r>
        </w:p>
        <w:p w:rsidR="00FE46D2" w:rsidRDefault="00FE46D2" w:rsidP="006E08B3"/>
        <w:p w:rsidR="00FE46D2" w:rsidRDefault="00FE46D2"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E46D2" w:rsidTr="0010601F">
      <w:trPr>
        <w:trHeight w:val="417"/>
      </w:trPr>
      <w:tc>
        <w:tcPr>
          <w:tcW w:w="4519" w:type="dxa"/>
          <w:tcBorders>
            <w:top w:val="single" w:sz="4" w:space="0" w:color="auto"/>
          </w:tcBorders>
          <w:tcMar>
            <w:top w:w="142" w:type="dxa"/>
            <w:bottom w:w="0" w:type="dxa"/>
          </w:tcMar>
        </w:tcPr>
        <w:p w:rsidR="00FE46D2" w:rsidRDefault="00FE46D2" w:rsidP="006E08B3">
          <w:r>
            <w:t>Document title, Part #, Section # - Section title</w:t>
          </w:r>
        </w:p>
        <w:p w:rsidR="00FE46D2" w:rsidRDefault="00FE46D2" w:rsidP="006E08B3">
          <w:r>
            <w:t>V1.0 October 2010</w:t>
          </w:r>
        </w:p>
      </w:tc>
      <w:tc>
        <w:tcPr>
          <w:tcW w:w="4356" w:type="dxa"/>
          <w:tcBorders>
            <w:top w:val="single" w:sz="4" w:space="0" w:color="auto"/>
          </w:tcBorders>
          <w:tcMar>
            <w:top w:w="142" w:type="dxa"/>
            <w:bottom w:w="0" w:type="dxa"/>
          </w:tcMar>
        </w:tcPr>
        <w:p w:rsidR="00FE46D2" w:rsidRDefault="00FE46D2"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11</w:t>
            </w:r>
          </w:fldSimple>
          <w:r>
            <w:t xml:space="preserve"> </w:t>
          </w:r>
        </w:p>
      </w:tc>
    </w:tr>
  </w:tbl>
  <w:p w:rsidR="00FE46D2" w:rsidRDefault="00FE4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D2" w:rsidRDefault="00FE46D2" w:rsidP="00C40A36">
      <w:pPr>
        <w:spacing w:after="0"/>
      </w:pPr>
      <w:r>
        <w:separator/>
      </w:r>
    </w:p>
  </w:footnote>
  <w:footnote w:type="continuationSeparator" w:id="0">
    <w:p w:rsidR="00FE46D2" w:rsidRDefault="00FE46D2" w:rsidP="00C40A36">
      <w:pPr>
        <w:spacing w:after="0"/>
      </w:pPr>
      <w:r>
        <w:continuationSeparator/>
      </w:r>
    </w:p>
  </w:footnote>
  <w:footnote w:id="1">
    <w:p w:rsidR="00FE46D2" w:rsidRDefault="00FE46D2">
      <w:pPr>
        <w:pStyle w:val="FootnoteText"/>
      </w:pPr>
      <w:r>
        <w:rPr>
          <w:rStyle w:val="FootnoteReference"/>
        </w:rPr>
        <w:footnoteRef/>
      </w:r>
      <w:r>
        <w:t xml:space="preserve"> </w:t>
      </w:r>
      <w:proofErr w:type="spellStart"/>
      <w:proofErr w:type="gramStart"/>
      <w:r>
        <w:t>rch</w:t>
      </w:r>
      <w:proofErr w:type="spellEnd"/>
      <w:proofErr w:type="gramEnd"/>
      <w:r>
        <w:t xml:space="preserve"> = recombinant Chinese hamster and indicates p</w:t>
      </w:r>
      <w:r w:rsidRPr="00987330">
        <w:t>rodu</w:t>
      </w:r>
      <w:r>
        <w:t>ction</w:t>
      </w:r>
      <w:r w:rsidRPr="00987330">
        <w:t xml:space="preserve"> from genetically engineered </w:t>
      </w:r>
      <w:r>
        <w:t>C</w:t>
      </w:r>
      <w:r w:rsidRPr="00987330">
        <w:t>hinese hamster ovary cells.</w:t>
      </w:r>
    </w:p>
  </w:footnote>
  <w:footnote w:id="2">
    <w:p w:rsidR="00FE46D2" w:rsidRDefault="00FE46D2" w:rsidP="00C6045E">
      <w:pPr>
        <w:pStyle w:val="FootnoteText"/>
      </w:pPr>
      <w:r>
        <w:rPr>
          <w:rStyle w:val="FootnoteReference"/>
        </w:rPr>
        <w:footnoteRef/>
      </w:r>
      <w:r>
        <w:t xml:space="preserve"> Details of recommended conditions of </w:t>
      </w:r>
      <w:r w:rsidRPr="00C6045E">
        <w:t>registration</w:t>
      </w:r>
      <w:r>
        <w:t xml:space="preserve"> are beyond the scope of the AusPAR.</w:t>
      </w:r>
    </w:p>
  </w:footnote>
  <w:footnote w:id="3">
    <w:p w:rsidR="00FE46D2" w:rsidRPr="004C52F2" w:rsidRDefault="00FE46D2" w:rsidP="00C6045E">
      <w:pPr>
        <w:pStyle w:val="FootnoteText"/>
      </w:pPr>
      <w:r w:rsidRPr="004C52F2">
        <w:rPr>
          <w:vertAlign w:val="superscript"/>
        </w:rPr>
        <w:footnoteRef/>
      </w:r>
      <w:r w:rsidRPr="004C52F2">
        <w:t xml:space="preserve"> </w:t>
      </w:r>
      <w:proofErr w:type="spellStart"/>
      <w:proofErr w:type="gramStart"/>
      <w:r w:rsidRPr="004C52F2">
        <w:t>Koboziev</w:t>
      </w:r>
      <w:proofErr w:type="spellEnd"/>
      <w:r w:rsidRPr="004C52F2">
        <w:t xml:space="preserve">, I., </w:t>
      </w:r>
      <w:proofErr w:type="spellStart"/>
      <w:r w:rsidRPr="004C52F2">
        <w:t>Karlsson</w:t>
      </w:r>
      <w:proofErr w:type="spellEnd"/>
      <w:r w:rsidRPr="004C52F2">
        <w:t xml:space="preserve"> F and Grisham MB</w:t>
      </w:r>
      <w:r>
        <w:t>.</w:t>
      </w:r>
      <w:proofErr w:type="gramEnd"/>
      <w:r w:rsidRPr="004C52F2">
        <w:t xml:space="preserve"> </w:t>
      </w:r>
      <w:proofErr w:type="gramStart"/>
      <w:r w:rsidRPr="004C52F2">
        <w:t>Gut-associated lymphoid tissue, T cell trafficking, and chronic intestinal inflammation.</w:t>
      </w:r>
      <w:proofErr w:type="gramEnd"/>
      <w:r w:rsidRPr="004C52F2">
        <w:t xml:space="preserve"> </w:t>
      </w:r>
      <w:r w:rsidRPr="004C52F2">
        <w:rPr>
          <w:i/>
        </w:rPr>
        <w:t>Ann. NY Acad. Sci</w:t>
      </w:r>
      <w:r w:rsidRPr="004C52F2">
        <w:t xml:space="preserve">. </w:t>
      </w:r>
      <w:r>
        <w:t>2010;</w:t>
      </w:r>
      <w:r w:rsidRPr="004C52F2">
        <w:t>1207: E86–</w:t>
      </w:r>
      <w:r w:rsidRPr="00C6045E">
        <w:t>E93</w:t>
      </w:r>
    </w:p>
  </w:footnote>
  <w:footnote w:id="4">
    <w:p w:rsidR="00FE46D2" w:rsidRPr="004C52F2" w:rsidRDefault="00FE46D2" w:rsidP="00C6045E">
      <w:pPr>
        <w:pStyle w:val="FootnoteText"/>
      </w:pPr>
      <w:r w:rsidRPr="004C52F2">
        <w:rPr>
          <w:vertAlign w:val="superscript"/>
        </w:rPr>
        <w:footnoteRef/>
      </w:r>
      <w:r w:rsidRPr="004C52F2">
        <w:t xml:space="preserve"> </w:t>
      </w:r>
      <w:proofErr w:type="gramStart"/>
      <w:r w:rsidRPr="004C52F2">
        <w:t xml:space="preserve">Sheridan, B.S. and </w:t>
      </w:r>
      <w:proofErr w:type="spellStart"/>
      <w:r w:rsidRPr="004C52F2">
        <w:t>Lefranҫois</w:t>
      </w:r>
      <w:proofErr w:type="spellEnd"/>
      <w:r w:rsidRPr="004C52F2">
        <w:t>, L. Regional and mucosal memory T cells.</w:t>
      </w:r>
      <w:proofErr w:type="gramEnd"/>
      <w:r w:rsidRPr="004C52F2">
        <w:t xml:space="preserve"> </w:t>
      </w:r>
      <w:r w:rsidRPr="00C21180">
        <w:rPr>
          <w:i/>
        </w:rPr>
        <w:t xml:space="preserve">Nature </w:t>
      </w:r>
      <w:proofErr w:type="spellStart"/>
      <w:r w:rsidRPr="00C21180">
        <w:rPr>
          <w:i/>
        </w:rPr>
        <w:t>Immunol</w:t>
      </w:r>
      <w:proofErr w:type="spellEnd"/>
      <w:r w:rsidRPr="004C52F2">
        <w:t xml:space="preserve"> </w:t>
      </w:r>
      <w:r>
        <w:t xml:space="preserve">2011; </w:t>
      </w:r>
      <w:r w:rsidRPr="004C52F2">
        <w:t>12:485-491.</w:t>
      </w:r>
    </w:p>
  </w:footnote>
  <w:footnote w:id="5">
    <w:p w:rsidR="00FE46D2" w:rsidRPr="004C52F2" w:rsidRDefault="00FE46D2" w:rsidP="00C6045E">
      <w:pPr>
        <w:pStyle w:val="FootnoteText"/>
      </w:pPr>
      <w:r w:rsidRPr="004C52F2">
        <w:rPr>
          <w:vertAlign w:val="superscript"/>
        </w:rPr>
        <w:footnoteRef/>
      </w:r>
      <w:r w:rsidRPr="004C52F2">
        <w:t xml:space="preserve"> </w:t>
      </w:r>
      <w:proofErr w:type="gramStart"/>
      <w:r w:rsidRPr="004C52F2">
        <w:t>von</w:t>
      </w:r>
      <w:proofErr w:type="gramEnd"/>
      <w:r w:rsidRPr="004C52F2">
        <w:t xml:space="preserve"> </w:t>
      </w:r>
      <w:proofErr w:type="spellStart"/>
      <w:r w:rsidRPr="004C52F2">
        <w:t>Andrian</w:t>
      </w:r>
      <w:proofErr w:type="spellEnd"/>
      <w:r w:rsidRPr="004C52F2">
        <w:t xml:space="preserve">, U.H. and </w:t>
      </w:r>
      <w:proofErr w:type="spellStart"/>
      <w:r w:rsidRPr="004C52F2">
        <w:t>Engelhardt</w:t>
      </w:r>
      <w:proofErr w:type="spellEnd"/>
      <w:r w:rsidRPr="004C52F2">
        <w:t xml:space="preserve">, B. A4 </w:t>
      </w:r>
      <w:proofErr w:type="spellStart"/>
      <w:r w:rsidRPr="004C52F2">
        <w:t>integrins</w:t>
      </w:r>
      <w:proofErr w:type="spellEnd"/>
      <w:r w:rsidRPr="004C52F2">
        <w:t xml:space="preserve"> as therapeutic targets in autoimmune disease. </w:t>
      </w:r>
      <w:r w:rsidRPr="00C21180">
        <w:rPr>
          <w:i/>
        </w:rPr>
        <w:t>NEJM</w:t>
      </w:r>
      <w:r>
        <w:t xml:space="preserve"> 2003</w:t>
      </w:r>
      <w:proofErr w:type="gramStart"/>
      <w:r>
        <w:t>;</w:t>
      </w:r>
      <w:r w:rsidRPr="004C52F2">
        <w:t>348</w:t>
      </w:r>
      <w:proofErr w:type="gramEnd"/>
      <w:r w:rsidRPr="004C52F2">
        <w:t>: 68-72.</w:t>
      </w:r>
    </w:p>
  </w:footnote>
  <w:footnote w:id="6">
    <w:p w:rsidR="00FE46D2" w:rsidRPr="004C52F2" w:rsidRDefault="00FE46D2" w:rsidP="00C6045E">
      <w:pPr>
        <w:pStyle w:val="FootnoteText"/>
      </w:pPr>
      <w:r w:rsidRPr="006A358F">
        <w:rPr>
          <w:vertAlign w:val="superscript"/>
        </w:rPr>
        <w:footnoteRef/>
      </w:r>
      <w:r w:rsidRPr="004C52F2">
        <w:t xml:space="preserve"> </w:t>
      </w:r>
      <w:proofErr w:type="spellStart"/>
      <w:proofErr w:type="gramStart"/>
      <w:r w:rsidRPr="004C52F2">
        <w:t>Erle</w:t>
      </w:r>
      <w:proofErr w:type="spellEnd"/>
      <w:r w:rsidRPr="004C52F2">
        <w:t xml:space="preserve">, D.J., </w:t>
      </w:r>
      <w:proofErr w:type="spellStart"/>
      <w:r w:rsidRPr="004C52F2">
        <w:t>Briskin</w:t>
      </w:r>
      <w:proofErr w:type="spellEnd"/>
      <w:r w:rsidRPr="004C52F2">
        <w:t xml:space="preserve">, M.J., Butcher, E.C., Garcia-Pardo, A., </w:t>
      </w:r>
      <w:proofErr w:type="spellStart"/>
      <w:r w:rsidRPr="004C52F2">
        <w:t>Lazarovits</w:t>
      </w:r>
      <w:proofErr w:type="spellEnd"/>
      <w:r w:rsidRPr="004C52F2">
        <w:t xml:space="preserve">, A.I. and </w:t>
      </w:r>
      <w:proofErr w:type="spellStart"/>
      <w:r w:rsidRPr="004C52F2">
        <w:t>Tidswell</w:t>
      </w:r>
      <w:proofErr w:type="spellEnd"/>
      <w:r w:rsidRPr="004C52F2">
        <w:t>, M. Expression and function of the MAdCAM-1 receptor, integr</w:t>
      </w:r>
      <w:r>
        <w:t>in α4β7, on human leukocytes.</w:t>
      </w:r>
      <w:proofErr w:type="gramEnd"/>
      <w:r>
        <w:t xml:space="preserve"> </w:t>
      </w:r>
      <w:proofErr w:type="gramStart"/>
      <w:r w:rsidRPr="006C0650">
        <w:rPr>
          <w:i/>
        </w:rPr>
        <w:t xml:space="preserve">J </w:t>
      </w:r>
      <w:proofErr w:type="spellStart"/>
      <w:r w:rsidRPr="006C0650">
        <w:rPr>
          <w:i/>
        </w:rPr>
        <w:t>Immunol</w:t>
      </w:r>
      <w:proofErr w:type="spellEnd"/>
      <w:r w:rsidRPr="004C52F2">
        <w:t xml:space="preserve"> </w:t>
      </w:r>
      <w:r w:rsidRPr="00C6045E">
        <w:t>1994</w:t>
      </w:r>
      <w:r>
        <w:t>;</w:t>
      </w:r>
      <w:r w:rsidRPr="004C52F2">
        <w:t xml:space="preserve"> 153: 517-528.</w:t>
      </w:r>
      <w:proofErr w:type="gramEnd"/>
    </w:p>
  </w:footnote>
  <w:footnote w:id="7">
    <w:p w:rsidR="00FE46D2" w:rsidRPr="004C52F2" w:rsidRDefault="00FE46D2" w:rsidP="00C6045E">
      <w:pPr>
        <w:pStyle w:val="FootnoteText"/>
      </w:pPr>
      <w:r w:rsidRPr="006A358F">
        <w:rPr>
          <w:vertAlign w:val="superscript"/>
        </w:rPr>
        <w:footnoteRef/>
      </w:r>
      <w:r w:rsidRPr="004C52F2">
        <w:t xml:space="preserve"> Berlin, C., Berg, L., </w:t>
      </w:r>
      <w:proofErr w:type="spellStart"/>
      <w:r w:rsidRPr="004C52F2">
        <w:t>Briskin</w:t>
      </w:r>
      <w:proofErr w:type="spellEnd"/>
      <w:r w:rsidRPr="004C52F2">
        <w:t xml:space="preserve">, M.J., </w:t>
      </w:r>
      <w:r>
        <w:t xml:space="preserve">et al. </w:t>
      </w:r>
      <w:r w:rsidRPr="004C52F2">
        <w:t xml:space="preserve">α4β7 integrin mediates lymphocyte binding to mucosal vascular </w:t>
      </w:r>
      <w:proofErr w:type="spellStart"/>
      <w:r w:rsidRPr="004C52F2">
        <w:t>addressin</w:t>
      </w:r>
      <w:proofErr w:type="spellEnd"/>
      <w:r w:rsidRPr="004C52F2">
        <w:t xml:space="preserve"> MAdCAM-1. </w:t>
      </w:r>
      <w:r w:rsidRPr="006C0650">
        <w:rPr>
          <w:i/>
        </w:rPr>
        <w:t>Cell</w:t>
      </w:r>
      <w:r w:rsidRPr="004C52F2">
        <w:t xml:space="preserve"> </w:t>
      </w:r>
      <w:r>
        <w:t>1993</w:t>
      </w:r>
      <w:proofErr w:type="gramStart"/>
      <w:r>
        <w:t>;</w:t>
      </w:r>
      <w:r w:rsidRPr="004C52F2">
        <w:t>74</w:t>
      </w:r>
      <w:proofErr w:type="gramEnd"/>
      <w:r w:rsidRPr="004C52F2">
        <w:t>: 185-195.</w:t>
      </w:r>
    </w:p>
  </w:footnote>
  <w:footnote w:id="8">
    <w:p w:rsidR="00FE46D2" w:rsidRPr="002E1456" w:rsidRDefault="00FE46D2" w:rsidP="009E3350">
      <w:pPr>
        <w:pStyle w:val="FootnoteText"/>
      </w:pPr>
      <w:r w:rsidRPr="00CA7BD9">
        <w:rPr>
          <w:vertAlign w:val="superscript"/>
        </w:rPr>
        <w:footnoteRef/>
      </w:r>
      <w:r w:rsidRPr="00CA7BD9">
        <w:rPr>
          <w:vertAlign w:val="superscript"/>
        </w:rPr>
        <w:t xml:space="preserve"> </w:t>
      </w:r>
      <w:proofErr w:type="spellStart"/>
      <w:proofErr w:type="gramStart"/>
      <w:r w:rsidRPr="002E1456">
        <w:t>Izcue</w:t>
      </w:r>
      <w:proofErr w:type="spellEnd"/>
      <w:r w:rsidRPr="002E1456">
        <w:t xml:space="preserve">, A., </w:t>
      </w:r>
      <w:proofErr w:type="spellStart"/>
      <w:r w:rsidRPr="002E1456">
        <w:t>Coombes</w:t>
      </w:r>
      <w:proofErr w:type="spellEnd"/>
      <w:r w:rsidRPr="002E1456">
        <w:t xml:space="preserve">, J.L. and </w:t>
      </w:r>
      <w:proofErr w:type="spellStart"/>
      <w:r w:rsidRPr="002E1456">
        <w:t>Powrie</w:t>
      </w:r>
      <w:proofErr w:type="spellEnd"/>
      <w:r w:rsidRPr="002E1456">
        <w:t>, F. Regulatory lymphocytes and intestinal inflammation.</w:t>
      </w:r>
      <w:proofErr w:type="gramEnd"/>
      <w:r w:rsidRPr="002E1456">
        <w:t xml:space="preserve"> </w:t>
      </w:r>
      <w:r>
        <w:rPr>
          <w:i/>
        </w:rPr>
        <w:t>Ann</w:t>
      </w:r>
      <w:r w:rsidRPr="006C0650">
        <w:rPr>
          <w:i/>
        </w:rPr>
        <w:t xml:space="preserve"> Rev </w:t>
      </w:r>
      <w:proofErr w:type="spellStart"/>
      <w:r w:rsidRPr="006C0650">
        <w:rPr>
          <w:i/>
        </w:rPr>
        <w:t>Immunol</w:t>
      </w:r>
      <w:proofErr w:type="spellEnd"/>
      <w:r w:rsidRPr="002E1456">
        <w:t xml:space="preserve"> </w:t>
      </w:r>
      <w:r>
        <w:t>2009</w:t>
      </w:r>
      <w:proofErr w:type="gramStart"/>
      <w:r>
        <w:t>;</w:t>
      </w:r>
      <w:r w:rsidRPr="002E1456">
        <w:t>27</w:t>
      </w:r>
      <w:proofErr w:type="gramEnd"/>
      <w:r w:rsidRPr="002E1456">
        <w:t>: 313-338.</w:t>
      </w:r>
    </w:p>
  </w:footnote>
  <w:footnote w:id="9">
    <w:p w:rsidR="00FE46D2" w:rsidRPr="004C52F2" w:rsidRDefault="00FE46D2" w:rsidP="009E3350">
      <w:pPr>
        <w:pStyle w:val="FootnoteText"/>
      </w:pPr>
      <w:r w:rsidRPr="002E1456">
        <w:rPr>
          <w:vertAlign w:val="superscript"/>
        </w:rPr>
        <w:footnoteRef/>
      </w:r>
      <w:r w:rsidRPr="002E1456">
        <w:rPr>
          <w:vertAlign w:val="superscript"/>
        </w:rPr>
        <w:t xml:space="preserve"> </w:t>
      </w:r>
      <w:proofErr w:type="spellStart"/>
      <w:proofErr w:type="gramStart"/>
      <w:r w:rsidRPr="004C52F2">
        <w:t>Hesterberg</w:t>
      </w:r>
      <w:proofErr w:type="spellEnd"/>
      <w:r w:rsidRPr="004C52F2">
        <w:t xml:space="preserve">, P.E., </w:t>
      </w:r>
      <w:r>
        <w:t xml:space="preserve">Winsor-Hines, D., </w:t>
      </w:r>
      <w:proofErr w:type="spellStart"/>
      <w:r>
        <w:t>Briskin</w:t>
      </w:r>
      <w:proofErr w:type="spellEnd"/>
      <w:r>
        <w:t>, M.J. et al.</w:t>
      </w:r>
      <w:r w:rsidRPr="004C52F2">
        <w:t xml:space="preserve"> Rapid resolution of chronic colitis in the cotton-top tamarin with an antibody to a gut-homing integrin α4β7.</w:t>
      </w:r>
      <w:proofErr w:type="gramEnd"/>
      <w:r w:rsidRPr="004C52F2">
        <w:t xml:space="preserve"> </w:t>
      </w:r>
      <w:proofErr w:type="spellStart"/>
      <w:r w:rsidRPr="006C0650">
        <w:rPr>
          <w:i/>
        </w:rPr>
        <w:t>Gastroenterol</w:t>
      </w:r>
      <w:proofErr w:type="spellEnd"/>
      <w:r>
        <w:t xml:space="preserve"> 1996</w:t>
      </w:r>
      <w:proofErr w:type="gramStart"/>
      <w:r>
        <w:t>;</w:t>
      </w:r>
      <w:r w:rsidRPr="004C52F2">
        <w:t>111:1373</w:t>
      </w:r>
      <w:proofErr w:type="gramEnd"/>
      <w:r w:rsidRPr="004C52F2">
        <w:t>-1380.</w:t>
      </w:r>
    </w:p>
  </w:footnote>
  <w:footnote w:id="10">
    <w:p w:rsidR="00FE46D2" w:rsidRPr="004C52F2" w:rsidRDefault="00FE46D2" w:rsidP="009E3350">
      <w:pPr>
        <w:pStyle w:val="FootnoteText"/>
      </w:pPr>
      <w:r w:rsidRPr="002E1456">
        <w:rPr>
          <w:vertAlign w:val="superscript"/>
        </w:rPr>
        <w:footnoteRef/>
      </w:r>
      <w:r w:rsidRPr="004C52F2">
        <w:t xml:space="preserve"> Monaco, M.C. and Major, E.O. </w:t>
      </w:r>
      <w:proofErr w:type="gramStart"/>
      <w:r w:rsidRPr="004C52F2">
        <w:t>The link between VLA-4 and JC virus reactivation.</w:t>
      </w:r>
      <w:proofErr w:type="gramEnd"/>
      <w:r w:rsidRPr="004C52F2">
        <w:t xml:space="preserve"> </w:t>
      </w:r>
      <w:r w:rsidRPr="006C0650">
        <w:rPr>
          <w:i/>
        </w:rPr>
        <w:t xml:space="preserve">Expert Rev </w:t>
      </w:r>
      <w:proofErr w:type="spellStart"/>
      <w:r w:rsidRPr="006C0650">
        <w:rPr>
          <w:i/>
        </w:rPr>
        <w:t>Clin</w:t>
      </w:r>
      <w:proofErr w:type="spellEnd"/>
      <w:r w:rsidRPr="006C0650">
        <w:rPr>
          <w:i/>
        </w:rPr>
        <w:t xml:space="preserve"> </w:t>
      </w:r>
      <w:proofErr w:type="spellStart"/>
      <w:r w:rsidRPr="006C0650">
        <w:rPr>
          <w:i/>
        </w:rPr>
        <w:t>Immunol</w:t>
      </w:r>
      <w:proofErr w:type="spellEnd"/>
      <w:r>
        <w:t xml:space="preserve"> 2012; 8:</w:t>
      </w:r>
      <w:r w:rsidRPr="004C52F2">
        <w:t>63-72.</w:t>
      </w:r>
    </w:p>
  </w:footnote>
  <w:footnote w:id="11">
    <w:p w:rsidR="00FE46D2" w:rsidRPr="004C52F2" w:rsidRDefault="00FE46D2" w:rsidP="009E3350">
      <w:pPr>
        <w:pStyle w:val="FootnoteText"/>
      </w:pPr>
      <w:r w:rsidRPr="00CA7BD9">
        <w:rPr>
          <w:vertAlign w:val="superscript"/>
        </w:rPr>
        <w:footnoteRef/>
      </w:r>
      <w:r w:rsidRPr="004C52F2">
        <w:t xml:space="preserve"> Steiner, I. and Berger, J.R. Update on progressive multifocal </w:t>
      </w:r>
      <w:proofErr w:type="spellStart"/>
      <w:r w:rsidRPr="004C52F2">
        <w:t>leukoencephalop</w:t>
      </w:r>
      <w:r>
        <w:t>athy</w:t>
      </w:r>
      <w:proofErr w:type="spellEnd"/>
      <w:r>
        <w:t xml:space="preserve"> pathogenesis. </w:t>
      </w:r>
      <w:proofErr w:type="spellStart"/>
      <w:r w:rsidRPr="006C0650">
        <w:rPr>
          <w:i/>
        </w:rPr>
        <w:t>Curr</w:t>
      </w:r>
      <w:proofErr w:type="spellEnd"/>
      <w:r w:rsidRPr="006C0650">
        <w:rPr>
          <w:i/>
        </w:rPr>
        <w:t xml:space="preserve"> </w:t>
      </w:r>
      <w:proofErr w:type="spellStart"/>
      <w:r w:rsidRPr="006C0650">
        <w:rPr>
          <w:i/>
        </w:rPr>
        <w:t>Neurol</w:t>
      </w:r>
      <w:proofErr w:type="spellEnd"/>
      <w:r w:rsidRPr="006C0650">
        <w:rPr>
          <w:i/>
        </w:rPr>
        <w:t xml:space="preserve"> </w:t>
      </w:r>
      <w:proofErr w:type="spellStart"/>
      <w:r w:rsidRPr="006C0650">
        <w:rPr>
          <w:i/>
        </w:rPr>
        <w:t>Neurosci</w:t>
      </w:r>
      <w:proofErr w:type="spellEnd"/>
      <w:r w:rsidRPr="006C0650">
        <w:rPr>
          <w:i/>
        </w:rPr>
        <w:t xml:space="preserve"> Rep</w:t>
      </w:r>
      <w:r w:rsidRPr="004C52F2">
        <w:t xml:space="preserve"> </w:t>
      </w:r>
      <w:r>
        <w:t>2012</w:t>
      </w:r>
      <w:proofErr w:type="gramStart"/>
      <w:r>
        <w:t>;</w:t>
      </w:r>
      <w:r w:rsidRPr="004C52F2">
        <w:t>12</w:t>
      </w:r>
      <w:proofErr w:type="gramEnd"/>
      <w:r w:rsidRPr="004C52F2">
        <w:t>: 680-686.</w:t>
      </w:r>
    </w:p>
  </w:footnote>
  <w:footnote w:id="12">
    <w:p w:rsidR="00FE46D2" w:rsidRPr="006C0650" w:rsidRDefault="00FE46D2" w:rsidP="009E3350">
      <w:pPr>
        <w:pStyle w:val="FootnoteText"/>
      </w:pPr>
      <w:r w:rsidRPr="006C0650">
        <w:rPr>
          <w:vertAlign w:val="superscript"/>
        </w:rPr>
        <w:footnoteRef/>
      </w:r>
      <w:r w:rsidRPr="006C0650">
        <w:t xml:space="preserve"> </w:t>
      </w:r>
      <w:proofErr w:type="spellStart"/>
      <w:r w:rsidRPr="006C0650">
        <w:t>Triguero</w:t>
      </w:r>
      <w:proofErr w:type="spellEnd"/>
      <w:r w:rsidRPr="006C0650">
        <w:t xml:space="preserve">, D., </w:t>
      </w:r>
      <w:proofErr w:type="spellStart"/>
      <w:r w:rsidRPr="006C0650">
        <w:t>Buciak</w:t>
      </w:r>
      <w:proofErr w:type="spellEnd"/>
      <w:r w:rsidRPr="006C0650">
        <w:t xml:space="preserve">, J.B., Yang, J. and </w:t>
      </w:r>
      <w:proofErr w:type="spellStart"/>
      <w:r w:rsidRPr="006C0650">
        <w:t>Pardridge</w:t>
      </w:r>
      <w:proofErr w:type="spellEnd"/>
      <w:r w:rsidRPr="006C0650">
        <w:t xml:space="preserve">, W.M. Blood-brain barrier transport of </w:t>
      </w:r>
      <w:proofErr w:type="spellStart"/>
      <w:r w:rsidRPr="006C0650">
        <w:t>cationized</w:t>
      </w:r>
      <w:proofErr w:type="spellEnd"/>
      <w:r w:rsidRPr="006C0650">
        <w:t xml:space="preserve"> immunoglobulin G. Enhanced delivery compared to native protein. </w:t>
      </w:r>
      <w:r w:rsidRPr="006C0650">
        <w:rPr>
          <w:i/>
        </w:rPr>
        <w:t>PNAS</w:t>
      </w:r>
      <w:r w:rsidRPr="006C0650">
        <w:t xml:space="preserve"> </w:t>
      </w:r>
      <w:r>
        <w:t>1989</w:t>
      </w:r>
      <w:proofErr w:type="gramStart"/>
      <w:r>
        <w:t>;</w:t>
      </w:r>
      <w:r w:rsidRPr="006C0650">
        <w:t>86</w:t>
      </w:r>
      <w:r>
        <w:t>:</w:t>
      </w:r>
      <w:r w:rsidRPr="006C0650">
        <w:t>4761</w:t>
      </w:r>
      <w:proofErr w:type="gramEnd"/>
      <w:r w:rsidRPr="006C0650">
        <w:t>-4765.</w:t>
      </w:r>
    </w:p>
  </w:footnote>
  <w:footnote w:id="13">
    <w:p w:rsidR="00FE46D2" w:rsidRPr="002E1456" w:rsidRDefault="00FE46D2" w:rsidP="009E3350">
      <w:pPr>
        <w:pStyle w:val="FootnoteText"/>
      </w:pPr>
      <w:r w:rsidRPr="002E55C1">
        <w:rPr>
          <w:vertAlign w:val="superscript"/>
        </w:rPr>
        <w:footnoteRef/>
      </w:r>
      <w:r w:rsidRPr="002E1456">
        <w:t xml:space="preserve"> </w:t>
      </w:r>
      <w:proofErr w:type="spellStart"/>
      <w:r w:rsidRPr="002E1456">
        <w:t>Rott</w:t>
      </w:r>
      <w:proofErr w:type="spellEnd"/>
      <w:r w:rsidRPr="002E1456">
        <w:t xml:space="preserve">, L.S., </w:t>
      </w:r>
      <w:proofErr w:type="spellStart"/>
      <w:r w:rsidRPr="002E1456">
        <w:t>Briskin</w:t>
      </w:r>
      <w:proofErr w:type="spellEnd"/>
      <w:r w:rsidRPr="002E1456">
        <w:t>, M.J. and Butcher, E.C. Expression of α</w:t>
      </w:r>
      <w:r w:rsidRPr="006C0650">
        <w:rPr>
          <w:vertAlign w:val="subscript"/>
        </w:rPr>
        <w:t>4</w:t>
      </w:r>
      <w:r w:rsidRPr="002E1456">
        <w:t>β</w:t>
      </w:r>
      <w:r w:rsidRPr="006C0650">
        <w:rPr>
          <w:vertAlign w:val="subscript"/>
        </w:rPr>
        <w:t>7</w:t>
      </w:r>
      <w:r w:rsidRPr="002E1456">
        <w:t xml:space="preserve"> and E-</w:t>
      </w:r>
      <w:proofErr w:type="spellStart"/>
      <w:r w:rsidRPr="002E1456">
        <w:t>selectin</w:t>
      </w:r>
      <w:proofErr w:type="spellEnd"/>
      <w:r w:rsidRPr="002E1456">
        <w:t xml:space="preserve"> ligand by circulating memory B cells: implications for targeted trafficking to mucosal and sys</w:t>
      </w:r>
      <w:r>
        <w:t xml:space="preserve">temic sites. </w:t>
      </w:r>
      <w:r w:rsidRPr="006C0650">
        <w:rPr>
          <w:i/>
        </w:rPr>
        <w:t xml:space="preserve">J Leukocyte </w:t>
      </w:r>
      <w:proofErr w:type="spellStart"/>
      <w:r w:rsidRPr="006C0650">
        <w:rPr>
          <w:i/>
        </w:rPr>
        <w:t>Biol</w:t>
      </w:r>
      <w:proofErr w:type="spellEnd"/>
      <w:r>
        <w:t xml:space="preserve"> 2000</w:t>
      </w:r>
      <w:proofErr w:type="gramStart"/>
      <w:r>
        <w:t>;</w:t>
      </w:r>
      <w:r w:rsidRPr="002E1456">
        <w:t>68:807</w:t>
      </w:r>
      <w:proofErr w:type="gramEnd"/>
      <w:r w:rsidRPr="002E1456">
        <w:t>-814.</w:t>
      </w:r>
    </w:p>
  </w:footnote>
  <w:footnote w:id="14">
    <w:p w:rsidR="00FE46D2" w:rsidRPr="007917E2" w:rsidRDefault="00FE46D2" w:rsidP="009E3350">
      <w:pPr>
        <w:pStyle w:val="FootnoteText"/>
      </w:pPr>
      <w:r w:rsidRPr="007917E2">
        <w:rPr>
          <w:vertAlign w:val="superscript"/>
        </w:rPr>
        <w:footnoteRef/>
      </w:r>
      <w:r w:rsidRPr="007917E2">
        <w:t xml:space="preserve"> Wagner, N., </w:t>
      </w:r>
      <w:proofErr w:type="spellStart"/>
      <w:r w:rsidRPr="007917E2">
        <w:t>Lohler</w:t>
      </w:r>
      <w:proofErr w:type="spellEnd"/>
      <w:r w:rsidRPr="007917E2">
        <w:t xml:space="preserve">, J., Kunkel, E.J., </w:t>
      </w:r>
      <w:r>
        <w:t xml:space="preserve">et al. </w:t>
      </w:r>
      <w:r w:rsidRPr="007917E2">
        <w:t xml:space="preserve">Critical role for β7 </w:t>
      </w:r>
      <w:proofErr w:type="spellStart"/>
      <w:r w:rsidRPr="007917E2">
        <w:t>integrins</w:t>
      </w:r>
      <w:proofErr w:type="spellEnd"/>
      <w:r w:rsidRPr="007917E2">
        <w:t xml:space="preserve"> in formation of the gut-associated lymphoid tissue. </w:t>
      </w:r>
      <w:r w:rsidRPr="006C0650">
        <w:rPr>
          <w:i/>
        </w:rPr>
        <w:t>Nature</w:t>
      </w:r>
      <w:r w:rsidRPr="007917E2">
        <w:t xml:space="preserve"> </w:t>
      </w:r>
      <w:r>
        <w:t>1996</w:t>
      </w:r>
      <w:proofErr w:type="gramStart"/>
      <w:r>
        <w:t>;382:</w:t>
      </w:r>
      <w:r w:rsidRPr="007917E2">
        <w:t>366</w:t>
      </w:r>
      <w:proofErr w:type="gramEnd"/>
      <w:r w:rsidRPr="007917E2">
        <w:t>-370.</w:t>
      </w:r>
    </w:p>
  </w:footnote>
  <w:footnote w:id="15">
    <w:p w:rsidR="00FE46D2" w:rsidRPr="007917E2" w:rsidRDefault="00FE46D2" w:rsidP="009E3350">
      <w:pPr>
        <w:pStyle w:val="FootnoteText"/>
      </w:pPr>
      <w:r w:rsidRPr="007917E2">
        <w:rPr>
          <w:vertAlign w:val="superscript"/>
        </w:rPr>
        <w:footnoteRef/>
      </w:r>
      <w:r w:rsidRPr="007917E2">
        <w:t xml:space="preserve"> </w:t>
      </w:r>
      <w:proofErr w:type="gramStart"/>
      <w:r w:rsidRPr="007917E2">
        <w:t>EMA/CHMP/ICH/731268/1998.</w:t>
      </w:r>
      <w:proofErr w:type="gramEnd"/>
      <w:r w:rsidRPr="007917E2">
        <w:t xml:space="preserve"> ICH guideline S6 (R1) - preclinical safety evaluation of biotechnology-derived pharmaceuticals</w:t>
      </w:r>
    </w:p>
  </w:footnote>
  <w:footnote w:id="16">
    <w:p w:rsidR="00FE46D2" w:rsidRPr="002E1456" w:rsidRDefault="00FE46D2" w:rsidP="009E3350">
      <w:pPr>
        <w:pStyle w:val="FootnoteText"/>
      </w:pPr>
      <w:r w:rsidRPr="006C0650">
        <w:rPr>
          <w:vertAlign w:val="superscript"/>
        </w:rPr>
        <w:footnoteRef/>
      </w:r>
      <w:r w:rsidRPr="002E1456">
        <w:t xml:space="preserve"> </w:t>
      </w:r>
      <w:proofErr w:type="spellStart"/>
      <w:r w:rsidRPr="002E1456">
        <w:t>Croy</w:t>
      </w:r>
      <w:proofErr w:type="spellEnd"/>
      <w:r w:rsidRPr="002E1456">
        <w:t xml:space="preserve">, B.A., </w:t>
      </w:r>
      <w:proofErr w:type="spellStart"/>
      <w:r w:rsidRPr="002E1456">
        <w:t>Ashkar</w:t>
      </w:r>
      <w:proofErr w:type="spellEnd"/>
      <w:r w:rsidRPr="002E1456">
        <w:t>, A.A., Foster, R.A.,</w:t>
      </w:r>
      <w:r>
        <w:t xml:space="preserve"> et al. </w:t>
      </w:r>
      <w:r w:rsidRPr="002E1456">
        <w:t>Histological studies of gene-ablated mice support important functional roles for natural killer cells in</w:t>
      </w:r>
      <w:r>
        <w:t xml:space="preserve"> the uterus during pregnancy. </w:t>
      </w:r>
      <w:r w:rsidRPr="006C0650">
        <w:rPr>
          <w:i/>
        </w:rPr>
        <w:t xml:space="preserve">J </w:t>
      </w:r>
      <w:proofErr w:type="spellStart"/>
      <w:r w:rsidRPr="006C0650">
        <w:rPr>
          <w:i/>
        </w:rPr>
        <w:t>Reprod</w:t>
      </w:r>
      <w:proofErr w:type="spellEnd"/>
      <w:r w:rsidRPr="006C0650">
        <w:rPr>
          <w:i/>
        </w:rPr>
        <w:t xml:space="preserve"> </w:t>
      </w:r>
      <w:proofErr w:type="spellStart"/>
      <w:r w:rsidRPr="006C0650">
        <w:rPr>
          <w:i/>
        </w:rPr>
        <w:t>Immunol</w:t>
      </w:r>
      <w:proofErr w:type="spellEnd"/>
      <w:r>
        <w:t xml:space="preserve"> 1997</w:t>
      </w:r>
      <w:proofErr w:type="gramStart"/>
      <w:r>
        <w:t>;</w:t>
      </w:r>
      <w:r w:rsidRPr="002E1456">
        <w:t>35</w:t>
      </w:r>
      <w:proofErr w:type="gramEnd"/>
      <w:r w:rsidRPr="002E1456">
        <w:t>(2):111-133.</w:t>
      </w:r>
    </w:p>
  </w:footnote>
  <w:footnote w:id="17">
    <w:p w:rsidR="00FE46D2" w:rsidRPr="002E1456" w:rsidRDefault="00FE46D2" w:rsidP="009E3350">
      <w:pPr>
        <w:pStyle w:val="FootnoteText"/>
      </w:pPr>
      <w:r w:rsidRPr="006C0650">
        <w:rPr>
          <w:vertAlign w:val="superscript"/>
        </w:rPr>
        <w:footnoteRef/>
      </w:r>
      <w:r w:rsidRPr="002E1456">
        <w:t xml:space="preserve"> Park, E.J., Mora, J.R., Carman, C.V., </w:t>
      </w:r>
      <w:r>
        <w:t xml:space="preserve">et al. </w:t>
      </w:r>
      <w:r w:rsidRPr="002E1456">
        <w:t>Aberrant activation of integrin alpha</w:t>
      </w:r>
      <w:r w:rsidRPr="006C0650">
        <w:rPr>
          <w:vertAlign w:val="subscript"/>
        </w:rPr>
        <w:t>4</w:t>
      </w:r>
      <w:r w:rsidRPr="002E1456">
        <w:t>beta</w:t>
      </w:r>
      <w:r w:rsidRPr="006C0650">
        <w:rPr>
          <w:vertAlign w:val="subscript"/>
        </w:rPr>
        <w:t>7</w:t>
      </w:r>
      <w:r w:rsidRPr="002E1456">
        <w:t xml:space="preserve"> suppresses lymphocyt</w:t>
      </w:r>
      <w:r>
        <w:t xml:space="preserve">e migration to the gut. </w:t>
      </w:r>
      <w:r w:rsidRPr="006C0650">
        <w:rPr>
          <w:i/>
        </w:rPr>
        <w:t xml:space="preserve">J </w:t>
      </w:r>
      <w:proofErr w:type="spellStart"/>
      <w:r w:rsidRPr="006C0650">
        <w:rPr>
          <w:i/>
        </w:rPr>
        <w:t>Clin</w:t>
      </w:r>
      <w:proofErr w:type="spellEnd"/>
      <w:r w:rsidRPr="006C0650">
        <w:rPr>
          <w:i/>
        </w:rPr>
        <w:t xml:space="preserve"> Invest</w:t>
      </w:r>
      <w:r w:rsidRPr="002E1456">
        <w:t xml:space="preserve"> </w:t>
      </w:r>
      <w:r>
        <w:t>2007</w:t>
      </w:r>
      <w:proofErr w:type="gramStart"/>
      <w:r>
        <w:t>;117</w:t>
      </w:r>
      <w:proofErr w:type="gramEnd"/>
      <w:r>
        <w:t>(9):</w:t>
      </w:r>
      <w:r w:rsidRPr="002E1456">
        <w:t>2526-2538.</w:t>
      </w:r>
    </w:p>
  </w:footnote>
  <w:footnote w:id="18">
    <w:p w:rsidR="00FE46D2" w:rsidRPr="002E1456" w:rsidRDefault="00FE46D2" w:rsidP="009E3350">
      <w:pPr>
        <w:pStyle w:val="FootnoteText"/>
      </w:pPr>
      <w:r w:rsidRPr="009E5210">
        <w:rPr>
          <w:vertAlign w:val="superscript"/>
        </w:rPr>
        <w:footnoteRef/>
      </w:r>
      <w:r w:rsidRPr="002E1456">
        <w:t xml:space="preserve"> Yang, J.T., Rayburn, H. and Hynes, R.O. Cell adhesion events mediated by α</w:t>
      </w:r>
      <w:r w:rsidRPr="009E5210">
        <w:rPr>
          <w:vertAlign w:val="subscript"/>
        </w:rPr>
        <w:t>4</w:t>
      </w:r>
      <w:r w:rsidRPr="002E1456">
        <w:t xml:space="preserve"> </w:t>
      </w:r>
      <w:proofErr w:type="spellStart"/>
      <w:r w:rsidRPr="002E1456">
        <w:t>integrins</w:t>
      </w:r>
      <w:proofErr w:type="spellEnd"/>
      <w:r w:rsidRPr="002E1456">
        <w:t xml:space="preserve"> are essential in placental and cardiac development. </w:t>
      </w:r>
      <w:r w:rsidRPr="009E5210">
        <w:rPr>
          <w:i/>
        </w:rPr>
        <w:t>Development</w:t>
      </w:r>
      <w:r w:rsidRPr="002E1456">
        <w:t xml:space="preserve"> </w:t>
      </w:r>
      <w:r>
        <w:t>1995</w:t>
      </w:r>
      <w:proofErr w:type="gramStart"/>
      <w:r>
        <w:t>;121:</w:t>
      </w:r>
      <w:r w:rsidRPr="002E1456">
        <w:t>549</w:t>
      </w:r>
      <w:proofErr w:type="gramEnd"/>
      <w:r w:rsidRPr="002E1456">
        <w:t>-560.</w:t>
      </w:r>
    </w:p>
  </w:footnote>
  <w:footnote w:id="19">
    <w:p w:rsidR="00FE46D2" w:rsidRPr="00E70640" w:rsidRDefault="00FE46D2" w:rsidP="009E3350">
      <w:pPr>
        <w:pStyle w:val="FootnoteText"/>
        <w:rPr>
          <w:lang w:val="en"/>
        </w:rPr>
      </w:pPr>
      <w:r>
        <w:rPr>
          <w:rStyle w:val="FootnoteReference"/>
        </w:rPr>
        <w:footnoteRef/>
      </w:r>
      <w:r>
        <w:t xml:space="preserve"> Category B2 for use of medicines in pregnancy is </w:t>
      </w:r>
      <w:r w:rsidRPr="009E3350">
        <w:t>defined</w:t>
      </w:r>
      <w:r>
        <w:t xml:space="preserve">: </w:t>
      </w:r>
      <w:r w:rsidRPr="009E3350">
        <w:rPr>
          <w:i/>
          <w:lang w:val="en"/>
        </w:rPr>
        <w:t>Drugs which have been taken by only a limited number of pregnant women and women of childbearing age, without an increase in the frequency of malformation or other direct or indirect harmful effects on the human fetus having been observed</w:t>
      </w:r>
      <w:r w:rsidRPr="00E70640">
        <w:rPr>
          <w:lang w:val="en"/>
        </w:rPr>
        <w:t>.</w:t>
      </w:r>
    </w:p>
    <w:p w:rsidR="00FE46D2" w:rsidRDefault="00FE46D2">
      <w:pPr>
        <w:pStyle w:val="FootnoteText"/>
      </w:pPr>
      <w:r w:rsidRPr="00E70640">
        <w:rPr>
          <w:i/>
          <w:lang w:val="en"/>
        </w:rPr>
        <w:t>Studies in animals are inadequate or may be lacking, but available data show no evidence of an increased occurrence of fetal damage.</w:t>
      </w:r>
    </w:p>
  </w:footnote>
  <w:footnote w:id="20">
    <w:p w:rsidR="00FE46D2" w:rsidRDefault="00FE46D2">
      <w:pPr>
        <w:pStyle w:val="FootnoteText"/>
      </w:pPr>
      <w:r>
        <w:rPr>
          <w:rStyle w:val="FootnoteReference"/>
        </w:rPr>
        <w:footnoteRef/>
      </w:r>
      <w:r>
        <w:t xml:space="preserve"> </w:t>
      </w:r>
      <w:r w:rsidRPr="001E172F">
        <w:t xml:space="preserve">Clarification: The objective of </w:t>
      </w:r>
      <w:r>
        <w:t xml:space="preserve">Study </w:t>
      </w:r>
      <w:r w:rsidRPr="001E172F">
        <w:t>C13011 was to determine the effect of vedolizumab induction treatment on clinical remission at Week 6 in the subgroup of patients defined as having failed TNFα antagonist therapy (TNFα antagonist failure subpopulation)</w:t>
      </w:r>
    </w:p>
  </w:footnote>
  <w:footnote w:id="21">
    <w:p w:rsidR="00FE46D2" w:rsidRDefault="00FE46D2">
      <w:pPr>
        <w:pStyle w:val="FootnoteText"/>
      </w:pPr>
      <w:r>
        <w:rPr>
          <w:rStyle w:val="FootnoteReference"/>
        </w:rPr>
        <w:footnoteRef/>
      </w:r>
      <w:r>
        <w:t xml:space="preserve"> </w:t>
      </w:r>
      <w:r w:rsidRPr="007C4B64">
        <w:t xml:space="preserve">The method </w:t>
      </w:r>
      <w:r>
        <w:t xml:space="preserve">for calculating </w:t>
      </w:r>
      <w:r w:rsidRPr="007C4B64">
        <w:t xml:space="preserve">the Mayo score is displayed in Table </w:t>
      </w:r>
      <w:r>
        <w:t>3</w:t>
      </w:r>
      <w:r w:rsidRPr="007C4B64">
        <w:t xml:space="preserve"> of the CER (see AusPAR Attachment 2).</w:t>
      </w:r>
    </w:p>
  </w:footnote>
  <w:footnote w:id="22">
    <w:p w:rsidR="00FE46D2" w:rsidRDefault="00FE46D2">
      <w:pPr>
        <w:pStyle w:val="FootnoteText"/>
      </w:pPr>
      <w:r>
        <w:rPr>
          <w:rStyle w:val="FootnoteReference"/>
        </w:rPr>
        <w:footnoteRef/>
      </w:r>
      <w:r>
        <w:t xml:space="preserve"> Model used to predict risk of serious liver toxicity</w:t>
      </w:r>
    </w:p>
  </w:footnote>
  <w:footnote w:id="23">
    <w:p w:rsidR="00FE46D2" w:rsidRDefault="00FE46D2" w:rsidP="00CF125A">
      <w:pPr>
        <w:pStyle w:val="FootnoteText"/>
      </w:pPr>
      <w:r>
        <w:rPr>
          <w:rStyle w:val="FootnoteReference"/>
        </w:rPr>
        <w:footnoteRef/>
      </w:r>
      <w:r>
        <w:t xml:space="preserve"> </w:t>
      </w:r>
      <w:proofErr w:type="gramStart"/>
      <w:r w:rsidRPr="00CF125A">
        <w:t>CPMP/ICH/375/95</w:t>
      </w:r>
      <w:r>
        <w:t>.</w:t>
      </w:r>
      <w:proofErr w:type="gramEnd"/>
      <w:r w:rsidRPr="00CF125A">
        <w:t xml:space="preserve"> </w:t>
      </w:r>
      <w:r>
        <w:t xml:space="preserve">ICH Topic E 1 </w:t>
      </w:r>
      <w:r w:rsidRPr="00CF125A">
        <w:rPr>
          <w:i/>
        </w:rPr>
        <w:t>Population Exposure: The Extent of Population Exposure to Assess Clinical Safety</w:t>
      </w:r>
      <w:r>
        <w:t xml:space="preserve"> (</w:t>
      </w:r>
      <w:r w:rsidRPr="00CF125A">
        <w:t>June 1995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FE46D2" w:rsidRDefault="00FE46D2" w:rsidP="00593AD1">
    <w:pPr>
      <w:pStyle w:val="HeaderNoLine"/>
    </w:pPr>
    <w:r>
      <w:rPr>
        <w:noProof/>
        <w:lang w:eastAsia="en-AU"/>
      </w:rPr>
      <w:drawing>
        <wp:inline distT="0" distB="0" distL="0" distR="0">
          <wp:extent cx="5400040" cy="7634605"/>
          <wp:effectExtent l="0" t="0" r="0" b="4445"/>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76346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D2" w:rsidRDefault="00FE46D2" w:rsidP="006E08B3">
    <w:r>
      <w:t>Therapeutic Goods Administration</w:t>
    </w:r>
  </w:p>
  <w:p w:rsidR="00FE46D2" w:rsidRDefault="00FE46D2"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8A8FBC"/>
    <w:lvl w:ilvl="0">
      <w:start w:val="1"/>
      <w:numFmt w:val="bullet"/>
      <w:lvlText w:val=""/>
      <w:lvlJc w:val="left"/>
      <w:pPr>
        <w:tabs>
          <w:tab w:val="num" w:pos="360"/>
        </w:tabs>
        <w:ind w:left="360" w:hanging="360"/>
      </w:pPr>
      <w:rPr>
        <w:rFonts w:ascii="Symbol" w:hAnsi="Symbol" w:hint="default"/>
      </w:rPr>
    </w:lvl>
  </w:abstractNum>
  <w:abstractNum w:abstractNumId="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1C0B174D"/>
    <w:multiLevelType w:val="hybridMultilevel"/>
    <w:tmpl w:val="57527F4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BCF57AC"/>
    <w:multiLevelType w:val="hybridMultilevel"/>
    <w:tmpl w:val="01FEA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863BD5"/>
    <w:multiLevelType w:val="hybridMultilevel"/>
    <w:tmpl w:val="329A96A8"/>
    <w:lvl w:ilvl="0" w:tplc="0C090013">
      <w:start w:val="1"/>
      <w:numFmt w:val="upperRoman"/>
      <w:lvlText w:val="%1."/>
      <w:lvlJc w:val="right"/>
      <w:pPr>
        <w:tabs>
          <w:tab w:val="num" w:pos="360"/>
        </w:tabs>
        <w:ind w:left="36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485748"/>
    <w:multiLevelType w:val="hybridMultilevel"/>
    <w:tmpl w:val="58F2C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7644473"/>
    <w:multiLevelType w:val="hybridMultilevel"/>
    <w:tmpl w:val="1DB64D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72B549A1"/>
    <w:multiLevelType w:val="hybridMultilevel"/>
    <w:tmpl w:val="7F543BB8"/>
    <w:lvl w:ilvl="0" w:tplc="A56A63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0"/>
  </w:num>
  <w:num w:numId="10">
    <w:abstractNumId w:val="9"/>
  </w:num>
  <w:num w:numId="11">
    <w:abstractNumId w:val="5"/>
  </w:num>
  <w:num w:numId="12">
    <w:abstractNumId w:val="0"/>
  </w:num>
  <w:num w:numId="13">
    <w:abstractNumId w:val="2"/>
  </w:num>
  <w:num w:numId="14">
    <w:abstractNumId w:val="2"/>
  </w:num>
  <w:num w:numId="15">
    <w:abstractNumId w:val="2"/>
  </w:num>
  <w:num w:numId="16">
    <w:abstractNumId w:val="2"/>
  </w:num>
  <w:num w:numId="17">
    <w:abstractNumId w:val="6"/>
  </w:num>
  <w:num w:numId="18">
    <w:abstractNumId w:val="8"/>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42"/>
    <w:rsid w:val="00002031"/>
    <w:rsid w:val="00004734"/>
    <w:rsid w:val="00006B22"/>
    <w:rsid w:val="0001276A"/>
    <w:rsid w:val="00021B8C"/>
    <w:rsid w:val="000246AE"/>
    <w:rsid w:val="00025C67"/>
    <w:rsid w:val="00032095"/>
    <w:rsid w:val="000341A6"/>
    <w:rsid w:val="00051091"/>
    <w:rsid w:val="00054AC6"/>
    <w:rsid w:val="0005559E"/>
    <w:rsid w:val="00061DE5"/>
    <w:rsid w:val="00077775"/>
    <w:rsid w:val="00090471"/>
    <w:rsid w:val="0009141A"/>
    <w:rsid w:val="000920F5"/>
    <w:rsid w:val="00096AA7"/>
    <w:rsid w:val="000A33C3"/>
    <w:rsid w:val="000A3AED"/>
    <w:rsid w:val="000B212B"/>
    <w:rsid w:val="000B3532"/>
    <w:rsid w:val="000B3A75"/>
    <w:rsid w:val="000B62D8"/>
    <w:rsid w:val="000C1A2E"/>
    <w:rsid w:val="000C1CB7"/>
    <w:rsid w:val="000C2126"/>
    <w:rsid w:val="000C690F"/>
    <w:rsid w:val="000D1295"/>
    <w:rsid w:val="000D3339"/>
    <w:rsid w:val="000D391B"/>
    <w:rsid w:val="000D3D6D"/>
    <w:rsid w:val="000D4FC7"/>
    <w:rsid w:val="000F4869"/>
    <w:rsid w:val="000F5B42"/>
    <w:rsid w:val="000F6E6F"/>
    <w:rsid w:val="001005E6"/>
    <w:rsid w:val="0010304F"/>
    <w:rsid w:val="00104E92"/>
    <w:rsid w:val="0010520B"/>
    <w:rsid w:val="0010601F"/>
    <w:rsid w:val="00106E07"/>
    <w:rsid w:val="0010788A"/>
    <w:rsid w:val="00107A31"/>
    <w:rsid w:val="00110EA5"/>
    <w:rsid w:val="00112F56"/>
    <w:rsid w:val="00113D34"/>
    <w:rsid w:val="00125318"/>
    <w:rsid w:val="00125CE6"/>
    <w:rsid w:val="001275E8"/>
    <w:rsid w:val="001305A2"/>
    <w:rsid w:val="00133238"/>
    <w:rsid w:val="001401EE"/>
    <w:rsid w:val="0014197B"/>
    <w:rsid w:val="001447CD"/>
    <w:rsid w:val="001516B1"/>
    <w:rsid w:val="00154EBB"/>
    <w:rsid w:val="00156316"/>
    <w:rsid w:val="00162D14"/>
    <w:rsid w:val="00165389"/>
    <w:rsid w:val="00173B7C"/>
    <w:rsid w:val="001757CF"/>
    <w:rsid w:val="0017693F"/>
    <w:rsid w:val="00176FD4"/>
    <w:rsid w:val="0018110E"/>
    <w:rsid w:val="00181684"/>
    <w:rsid w:val="001843C6"/>
    <w:rsid w:val="001850E0"/>
    <w:rsid w:val="0019010D"/>
    <w:rsid w:val="0019628F"/>
    <w:rsid w:val="001A149A"/>
    <w:rsid w:val="001A2158"/>
    <w:rsid w:val="001A525F"/>
    <w:rsid w:val="001A768D"/>
    <w:rsid w:val="001B0341"/>
    <w:rsid w:val="001B09F9"/>
    <w:rsid w:val="001B5BEF"/>
    <w:rsid w:val="001B5C90"/>
    <w:rsid w:val="001B6448"/>
    <w:rsid w:val="001C32CD"/>
    <w:rsid w:val="001C7C64"/>
    <w:rsid w:val="001E07CF"/>
    <w:rsid w:val="001E172F"/>
    <w:rsid w:val="001E59F1"/>
    <w:rsid w:val="001F49EB"/>
    <w:rsid w:val="001F6CBA"/>
    <w:rsid w:val="00201D4E"/>
    <w:rsid w:val="002076C9"/>
    <w:rsid w:val="0022009D"/>
    <w:rsid w:val="00220662"/>
    <w:rsid w:val="00220B8A"/>
    <w:rsid w:val="002257F3"/>
    <w:rsid w:val="00233456"/>
    <w:rsid w:val="002339A5"/>
    <w:rsid w:val="00242888"/>
    <w:rsid w:val="00257086"/>
    <w:rsid w:val="00257848"/>
    <w:rsid w:val="00263E39"/>
    <w:rsid w:val="00264A66"/>
    <w:rsid w:val="0027084A"/>
    <w:rsid w:val="002731AF"/>
    <w:rsid w:val="00286434"/>
    <w:rsid w:val="00286C59"/>
    <w:rsid w:val="00290BD2"/>
    <w:rsid w:val="00291957"/>
    <w:rsid w:val="002942D1"/>
    <w:rsid w:val="0029501A"/>
    <w:rsid w:val="002A2DCD"/>
    <w:rsid w:val="002B1638"/>
    <w:rsid w:val="002E1384"/>
    <w:rsid w:val="002E1456"/>
    <w:rsid w:val="002E4C9A"/>
    <w:rsid w:val="002E55C1"/>
    <w:rsid w:val="002F11F8"/>
    <w:rsid w:val="002F27B6"/>
    <w:rsid w:val="002F3F56"/>
    <w:rsid w:val="002F44B5"/>
    <w:rsid w:val="00300110"/>
    <w:rsid w:val="00304492"/>
    <w:rsid w:val="00311AC0"/>
    <w:rsid w:val="003211EF"/>
    <w:rsid w:val="0032583B"/>
    <w:rsid w:val="00326357"/>
    <w:rsid w:val="00327883"/>
    <w:rsid w:val="00335504"/>
    <w:rsid w:val="0033738A"/>
    <w:rsid w:val="00342AEA"/>
    <w:rsid w:val="00347824"/>
    <w:rsid w:val="00350567"/>
    <w:rsid w:val="003521E8"/>
    <w:rsid w:val="00353D40"/>
    <w:rsid w:val="003576E3"/>
    <w:rsid w:val="003625A4"/>
    <w:rsid w:val="003703B4"/>
    <w:rsid w:val="003728F3"/>
    <w:rsid w:val="0037496E"/>
    <w:rsid w:val="00375E69"/>
    <w:rsid w:val="00386150"/>
    <w:rsid w:val="003874CE"/>
    <w:rsid w:val="00390900"/>
    <w:rsid w:val="00393F82"/>
    <w:rsid w:val="0039491E"/>
    <w:rsid w:val="003A7F6C"/>
    <w:rsid w:val="003B355A"/>
    <w:rsid w:val="003B4D60"/>
    <w:rsid w:val="003B7E39"/>
    <w:rsid w:val="003C58DC"/>
    <w:rsid w:val="003D1E62"/>
    <w:rsid w:val="003E2486"/>
    <w:rsid w:val="003E3208"/>
    <w:rsid w:val="003E3320"/>
    <w:rsid w:val="003E3331"/>
    <w:rsid w:val="003F0465"/>
    <w:rsid w:val="003F0B04"/>
    <w:rsid w:val="0040134E"/>
    <w:rsid w:val="00402A52"/>
    <w:rsid w:val="00404E6C"/>
    <w:rsid w:val="004059BE"/>
    <w:rsid w:val="00407F16"/>
    <w:rsid w:val="00410BA7"/>
    <w:rsid w:val="00413EF6"/>
    <w:rsid w:val="00434792"/>
    <w:rsid w:val="00434CFE"/>
    <w:rsid w:val="00435C49"/>
    <w:rsid w:val="00440A2D"/>
    <w:rsid w:val="00446293"/>
    <w:rsid w:val="004564A7"/>
    <w:rsid w:val="004617BF"/>
    <w:rsid w:val="00463658"/>
    <w:rsid w:val="004722CC"/>
    <w:rsid w:val="00482E4E"/>
    <w:rsid w:val="00486470"/>
    <w:rsid w:val="004936E4"/>
    <w:rsid w:val="00494E60"/>
    <w:rsid w:val="00497487"/>
    <w:rsid w:val="004B7B76"/>
    <w:rsid w:val="004C239D"/>
    <w:rsid w:val="004C2995"/>
    <w:rsid w:val="004C2DCA"/>
    <w:rsid w:val="004C52F2"/>
    <w:rsid w:val="004C67AA"/>
    <w:rsid w:val="004E1AC4"/>
    <w:rsid w:val="004E654A"/>
    <w:rsid w:val="004F079E"/>
    <w:rsid w:val="004F0F38"/>
    <w:rsid w:val="00501921"/>
    <w:rsid w:val="005038E9"/>
    <w:rsid w:val="00505FB0"/>
    <w:rsid w:val="005221E5"/>
    <w:rsid w:val="00525E14"/>
    <w:rsid w:val="00530354"/>
    <w:rsid w:val="00530CFF"/>
    <w:rsid w:val="00533600"/>
    <w:rsid w:val="0053625B"/>
    <w:rsid w:val="005434C6"/>
    <w:rsid w:val="00543B39"/>
    <w:rsid w:val="00550096"/>
    <w:rsid w:val="005579FC"/>
    <w:rsid w:val="00557FF9"/>
    <w:rsid w:val="00576378"/>
    <w:rsid w:val="00577130"/>
    <w:rsid w:val="00577945"/>
    <w:rsid w:val="00577E38"/>
    <w:rsid w:val="00585322"/>
    <w:rsid w:val="005857C6"/>
    <w:rsid w:val="00592F6E"/>
    <w:rsid w:val="00593AD1"/>
    <w:rsid w:val="005A1A26"/>
    <w:rsid w:val="005A68B6"/>
    <w:rsid w:val="005C5029"/>
    <w:rsid w:val="005C5570"/>
    <w:rsid w:val="005C563A"/>
    <w:rsid w:val="005C79A4"/>
    <w:rsid w:val="005D5442"/>
    <w:rsid w:val="005E1FAB"/>
    <w:rsid w:val="005E23C8"/>
    <w:rsid w:val="005F463C"/>
    <w:rsid w:val="00603F32"/>
    <w:rsid w:val="00607DD1"/>
    <w:rsid w:val="00621BA3"/>
    <w:rsid w:val="00624408"/>
    <w:rsid w:val="00625A6E"/>
    <w:rsid w:val="00630958"/>
    <w:rsid w:val="00632398"/>
    <w:rsid w:val="00634F82"/>
    <w:rsid w:val="00640FC3"/>
    <w:rsid w:val="00642020"/>
    <w:rsid w:val="00652D91"/>
    <w:rsid w:val="0065337B"/>
    <w:rsid w:val="0065419D"/>
    <w:rsid w:val="006604D8"/>
    <w:rsid w:val="00664A5B"/>
    <w:rsid w:val="0066663B"/>
    <w:rsid w:val="006763D2"/>
    <w:rsid w:val="00680C08"/>
    <w:rsid w:val="00685B42"/>
    <w:rsid w:val="00686F85"/>
    <w:rsid w:val="006929DF"/>
    <w:rsid w:val="006931B1"/>
    <w:rsid w:val="006A15C0"/>
    <w:rsid w:val="006A26B0"/>
    <w:rsid w:val="006A358F"/>
    <w:rsid w:val="006B62E8"/>
    <w:rsid w:val="006C0650"/>
    <w:rsid w:val="006C2066"/>
    <w:rsid w:val="006C3E2A"/>
    <w:rsid w:val="006C5BDD"/>
    <w:rsid w:val="006C642F"/>
    <w:rsid w:val="006D03E5"/>
    <w:rsid w:val="006D5D3E"/>
    <w:rsid w:val="006E08B3"/>
    <w:rsid w:val="006E1C48"/>
    <w:rsid w:val="006F06BE"/>
    <w:rsid w:val="006F17AC"/>
    <w:rsid w:val="006F1E35"/>
    <w:rsid w:val="006F2FFB"/>
    <w:rsid w:val="006F572E"/>
    <w:rsid w:val="006F7BE1"/>
    <w:rsid w:val="006F7E19"/>
    <w:rsid w:val="007046D6"/>
    <w:rsid w:val="00705DB0"/>
    <w:rsid w:val="00706ADF"/>
    <w:rsid w:val="00712CC5"/>
    <w:rsid w:val="00722B57"/>
    <w:rsid w:val="00727078"/>
    <w:rsid w:val="0073218D"/>
    <w:rsid w:val="0074253D"/>
    <w:rsid w:val="0074429B"/>
    <w:rsid w:val="00760904"/>
    <w:rsid w:val="007615BC"/>
    <w:rsid w:val="00762F05"/>
    <w:rsid w:val="007652FF"/>
    <w:rsid w:val="00770EF1"/>
    <w:rsid w:val="00773EF7"/>
    <w:rsid w:val="00774E1D"/>
    <w:rsid w:val="0077675A"/>
    <w:rsid w:val="00780355"/>
    <w:rsid w:val="00785721"/>
    <w:rsid w:val="007917E2"/>
    <w:rsid w:val="00793A59"/>
    <w:rsid w:val="007B5C66"/>
    <w:rsid w:val="007B6E9F"/>
    <w:rsid w:val="007C1216"/>
    <w:rsid w:val="007C1AF7"/>
    <w:rsid w:val="007C4B64"/>
    <w:rsid w:val="007C696B"/>
    <w:rsid w:val="007E0E09"/>
    <w:rsid w:val="007F5821"/>
    <w:rsid w:val="00805D27"/>
    <w:rsid w:val="00806C0B"/>
    <w:rsid w:val="00814679"/>
    <w:rsid w:val="00821776"/>
    <w:rsid w:val="0082373C"/>
    <w:rsid w:val="008321F5"/>
    <w:rsid w:val="00832369"/>
    <w:rsid w:val="0083386D"/>
    <w:rsid w:val="00834660"/>
    <w:rsid w:val="00836BC2"/>
    <w:rsid w:val="0083736D"/>
    <w:rsid w:val="00847EDB"/>
    <w:rsid w:val="0085641B"/>
    <w:rsid w:val="00857136"/>
    <w:rsid w:val="00885B11"/>
    <w:rsid w:val="00886D15"/>
    <w:rsid w:val="00887DD8"/>
    <w:rsid w:val="00896018"/>
    <w:rsid w:val="008960DD"/>
    <w:rsid w:val="0089635C"/>
    <w:rsid w:val="008A0800"/>
    <w:rsid w:val="008A2B9D"/>
    <w:rsid w:val="008A5E0B"/>
    <w:rsid w:val="008A6D59"/>
    <w:rsid w:val="008B25D3"/>
    <w:rsid w:val="008B42CB"/>
    <w:rsid w:val="008B4B03"/>
    <w:rsid w:val="008B596F"/>
    <w:rsid w:val="008C159F"/>
    <w:rsid w:val="008C1623"/>
    <w:rsid w:val="008C1850"/>
    <w:rsid w:val="008C1E68"/>
    <w:rsid w:val="008C51A9"/>
    <w:rsid w:val="008E17B9"/>
    <w:rsid w:val="008E7846"/>
    <w:rsid w:val="008F1CCC"/>
    <w:rsid w:val="008F2967"/>
    <w:rsid w:val="008F6943"/>
    <w:rsid w:val="00902A21"/>
    <w:rsid w:val="00907E48"/>
    <w:rsid w:val="00914834"/>
    <w:rsid w:val="00920330"/>
    <w:rsid w:val="00920C88"/>
    <w:rsid w:val="009219D7"/>
    <w:rsid w:val="00922D53"/>
    <w:rsid w:val="009239C0"/>
    <w:rsid w:val="00923B70"/>
    <w:rsid w:val="00924482"/>
    <w:rsid w:val="00930237"/>
    <w:rsid w:val="00936517"/>
    <w:rsid w:val="00946EA5"/>
    <w:rsid w:val="00955CCC"/>
    <w:rsid w:val="00963C08"/>
    <w:rsid w:val="00970A8A"/>
    <w:rsid w:val="009801FD"/>
    <w:rsid w:val="00983E39"/>
    <w:rsid w:val="0098585A"/>
    <w:rsid w:val="00987330"/>
    <w:rsid w:val="00990922"/>
    <w:rsid w:val="0099459B"/>
    <w:rsid w:val="009952E6"/>
    <w:rsid w:val="009A4CED"/>
    <w:rsid w:val="009A690D"/>
    <w:rsid w:val="009B1D12"/>
    <w:rsid w:val="009B416B"/>
    <w:rsid w:val="009B41B2"/>
    <w:rsid w:val="009B56AE"/>
    <w:rsid w:val="009B678C"/>
    <w:rsid w:val="009C4BD5"/>
    <w:rsid w:val="009D0257"/>
    <w:rsid w:val="009D19AE"/>
    <w:rsid w:val="009D34B9"/>
    <w:rsid w:val="009D6B24"/>
    <w:rsid w:val="009D7276"/>
    <w:rsid w:val="009D7B77"/>
    <w:rsid w:val="009E0BB0"/>
    <w:rsid w:val="009E3350"/>
    <w:rsid w:val="009E3FBB"/>
    <w:rsid w:val="009E5210"/>
    <w:rsid w:val="009F3133"/>
    <w:rsid w:val="00A102E4"/>
    <w:rsid w:val="00A10EA6"/>
    <w:rsid w:val="00A12C42"/>
    <w:rsid w:val="00A14DF7"/>
    <w:rsid w:val="00A3246D"/>
    <w:rsid w:val="00A36FA7"/>
    <w:rsid w:val="00A42D1A"/>
    <w:rsid w:val="00A475B7"/>
    <w:rsid w:val="00A47AF7"/>
    <w:rsid w:val="00A47C3E"/>
    <w:rsid w:val="00A47C59"/>
    <w:rsid w:val="00A50226"/>
    <w:rsid w:val="00A5110F"/>
    <w:rsid w:val="00A51FB3"/>
    <w:rsid w:val="00A60893"/>
    <w:rsid w:val="00A60BAD"/>
    <w:rsid w:val="00A627E3"/>
    <w:rsid w:val="00A84E36"/>
    <w:rsid w:val="00A85A99"/>
    <w:rsid w:val="00A94DDA"/>
    <w:rsid w:val="00A964D1"/>
    <w:rsid w:val="00A9689C"/>
    <w:rsid w:val="00AA0ED0"/>
    <w:rsid w:val="00AB2F81"/>
    <w:rsid w:val="00AC2B40"/>
    <w:rsid w:val="00AC2BB2"/>
    <w:rsid w:val="00AC2C3C"/>
    <w:rsid w:val="00AC512D"/>
    <w:rsid w:val="00AD0083"/>
    <w:rsid w:val="00AD00C8"/>
    <w:rsid w:val="00AE122A"/>
    <w:rsid w:val="00AE5046"/>
    <w:rsid w:val="00AE65EB"/>
    <w:rsid w:val="00AE67A7"/>
    <w:rsid w:val="00AE7DF8"/>
    <w:rsid w:val="00AF1D94"/>
    <w:rsid w:val="00AF60C5"/>
    <w:rsid w:val="00B009C6"/>
    <w:rsid w:val="00B01451"/>
    <w:rsid w:val="00B01548"/>
    <w:rsid w:val="00B20563"/>
    <w:rsid w:val="00B21D29"/>
    <w:rsid w:val="00B25034"/>
    <w:rsid w:val="00B25747"/>
    <w:rsid w:val="00B33588"/>
    <w:rsid w:val="00B33863"/>
    <w:rsid w:val="00B37D17"/>
    <w:rsid w:val="00B4175E"/>
    <w:rsid w:val="00B41D53"/>
    <w:rsid w:val="00B452CE"/>
    <w:rsid w:val="00B54C25"/>
    <w:rsid w:val="00B668FF"/>
    <w:rsid w:val="00B67DBC"/>
    <w:rsid w:val="00B76B91"/>
    <w:rsid w:val="00B77EB1"/>
    <w:rsid w:val="00B811C6"/>
    <w:rsid w:val="00B855B0"/>
    <w:rsid w:val="00B92E08"/>
    <w:rsid w:val="00BA7203"/>
    <w:rsid w:val="00BC622A"/>
    <w:rsid w:val="00BD29E6"/>
    <w:rsid w:val="00BE0A78"/>
    <w:rsid w:val="00BE79F0"/>
    <w:rsid w:val="00BF046D"/>
    <w:rsid w:val="00BF1190"/>
    <w:rsid w:val="00BF5D04"/>
    <w:rsid w:val="00C1164D"/>
    <w:rsid w:val="00C11D50"/>
    <w:rsid w:val="00C16861"/>
    <w:rsid w:val="00C21180"/>
    <w:rsid w:val="00C30FFE"/>
    <w:rsid w:val="00C404A6"/>
    <w:rsid w:val="00C40A36"/>
    <w:rsid w:val="00C44419"/>
    <w:rsid w:val="00C45E7B"/>
    <w:rsid w:val="00C471B1"/>
    <w:rsid w:val="00C50E52"/>
    <w:rsid w:val="00C5264C"/>
    <w:rsid w:val="00C6045E"/>
    <w:rsid w:val="00C6316B"/>
    <w:rsid w:val="00C634A9"/>
    <w:rsid w:val="00C64586"/>
    <w:rsid w:val="00C65297"/>
    <w:rsid w:val="00C66868"/>
    <w:rsid w:val="00C70D53"/>
    <w:rsid w:val="00C73D0B"/>
    <w:rsid w:val="00C772FF"/>
    <w:rsid w:val="00C80137"/>
    <w:rsid w:val="00C801AF"/>
    <w:rsid w:val="00C80256"/>
    <w:rsid w:val="00C8334A"/>
    <w:rsid w:val="00CA24A1"/>
    <w:rsid w:val="00CA31B8"/>
    <w:rsid w:val="00CA7BD9"/>
    <w:rsid w:val="00CB4838"/>
    <w:rsid w:val="00CB6BC0"/>
    <w:rsid w:val="00CB6FC8"/>
    <w:rsid w:val="00CC0B2C"/>
    <w:rsid w:val="00CC1B7C"/>
    <w:rsid w:val="00CC42CD"/>
    <w:rsid w:val="00CC727F"/>
    <w:rsid w:val="00CD2097"/>
    <w:rsid w:val="00CD5BB8"/>
    <w:rsid w:val="00CD6899"/>
    <w:rsid w:val="00CE046F"/>
    <w:rsid w:val="00CE29E6"/>
    <w:rsid w:val="00CE7009"/>
    <w:rsid w:val="00CF125A"/>
    <w:rsid w:val="00CF15C3"/>
    <w:rsid w:val="00CF2B6F"/>
    <w:rsid w:val="00CF58B6"/>
    <w:rsid w:val="00D017ED"/>
    <w:rsid w:val="00D040D3"/>
    <w:rsid w:val="00D04C65"/>
    <w:rsid w:val="00D1618F"/>
    <w:rsid w:val="00D1744F"/>
    <w:rsid w:val="00D224FE"/>
    <w:rsid w:val="00D40EEF"/>
    <w:rsid w:val="00D572CC"/>
    <w:rsid w:val="00D6493E"/>
    <w:rsid w:val="00D7195D"/>
    <w:rsid w:val="00D7301E"/>
    <w:rsid w:val="00D83AE1"/>
    <w:rsid w:val="00D855D4"/>
    <w:rsid w:val="00D90E2F"/>
    <w:rsid w:val="00D93466"/>
    <w:rsid w:val="00DA03E0"/>
    <w:rsid w:val="00DA1124"/>
    <w:rsid w:val="00DA2280"/>
    <w:rsid w:val="00DB6124"/>
    <w:rsid w:val="00DB75B7"/>
    <w:rsid w:val="00DC6E02"/>
    <w:rsid w:val="00DE02AE"/>
    <w:rsid w:val="00DE1B3B"/>
    <w:rsid w:val="00DF1D7F"/>
    <w:rsid w:val="00DF40AB"/>
    <w:rsid w:val="00DF4BE4"/>
    <w:rsid w:val="00E02FB4"/>
    <w:rsid w:val="00E20571"/>
    <w:rsid w:val="00E235F7"/>
    <w:rsid w:val="00E23659"/>
    <w:rsid w:val="00E239D4"/>
    <w:rsid w:val="00E26130"/>
    <w:rsid w:val="00E36AE0"/>
    <w:rsid w:val="00E40B22"/>
    <w:rsid w:val="00E44545"/>
    <w:rsid w:val="00E45619"/>
    <w:rsid w:val="00E4588F"/>
    <w:rsid w:val="00E46DA3"/>
    <w:rsid w:val="00E51BB1"/>
    <w:rsid w:val="00E624A5"/>
    <w:rsid w:val="00E634E7"/>
    <w:rsid w:val="00E70640"/>
    <w:rsid w:val="00E7344E"/>
    <w:rsid w:val="00E73FC1"/>
    <w:rsid w:val="00EA0683"/>
    <w:rsid w:val="00EB0798"/>
    <w:rsid w:val="00EB1626"/>
    <w:rsid w:val="00EB40AD"/>
    <w:rsid w:val="00EB586E"/>
    <w:rsid w:val="00EB5FC8"/>
    <w:rsid w:val="00EB6365"/>
    <w:rsid w:val="00EC0075"/>
    <w:rsid w:val="00EC1014"/>
    <w:rsid w:val="00EC7A85"/>
    <w:rsid w:val="00ED3CAD"/>
    <w:rsid w:val="00ED5A41"/>
    <w:rsid w:val="00EE1DE8"/>
    <w:rsid w:val="00EF007B"/>
    <w:rsid w:val="00EF227F"/>
    <w:rsid w:val="00EF4642"/>
    <w:rsid w:val="00F033EC"/>
    <w:rsid w:val="00F04F68"/>
    <w:rsid w:val="00F12670"/>
    <w:rsid w:val="00F14B27"/>
    <w:rsid w:val="00F150A3"/>
    <w:rsid w:val="00F22277"/>
    <w:rsid w:val="00F23382"/>
    <w:rsid w:val="00F2514B"/>
    <w:rsid w:val="00F3148D"/>
    <w:rsid w:val="00F325C5"/>
    <w:rsid w:val="00F32FE0"/>
    <w:rsid w:val="00F35298"/>
    <w:rsid w:val="00F47333"/>
    <w:rsid w:val="00F47E37"/>
    <w:rsid w:val="00F537E7"/>
    <w:rsid w:val="00F53C07"/>
    <w:rsid w:val="00F54B65"/>
    <w:rsid w:val="00F640B6"/>
    <w:rsid w:val="00F73BD8"/>
    <w:rsid w:val="00F73E80"/>
    <w:rsid w:val="00F80E40"/>
    <w:rsid w:val="00F82592"/>
    <w:rsid w:val="00F848D9"/>
    <w:rsid w:val="00F86E68"/>
    <w:rsid w:val="00FA5B82"/>
    <w:rsid w:val="00FA639E"/>
    <w:rsid w:val="00FC25E4"/>
    <w:rsid w:val="00FC2700"/>
    <w:rsid w:val="00FC4EF7"/>
    <w:rsid w:val="00FE1DEE"/>
    <w:rsid w:val="00FE46D2"/>
    <w:rsid w:val="00FF2126"/>
    <w:rsid w:val="00FF2204"/>
    <w:rsid w:val="00FF3087"/>
    <w:rsid w:val="00FF5755"/>
    <w:rsid w:val="00FF6973"/>
    <w:rsid w:val="00FF69BE"/>
    <w:rsid w:val="00FF718F"/>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744F"/>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character" w:styleId="CommentReference">
    <w:name w:val="annotation reference"/>
    <w:basedOn w:val="DefaultParagraphFont"/>
    <w:uiPriority w:val="99"/>
    <w:semiHidden/>
    <w:unhideWhenUsed/>
    <w:rsid w:val="005E23C8"/>
    <w:rPr>
      <w:sz w:val="16"/>
      <w:szCs w:val="16"/>
    </w:rPr>
  </w:style>
  <w:style w:type="paragraph" w:styleId="CommentText">
    <w:name w:val="annotation text"/>
    <w:basedOn w:val="Normal"/>
    <w:link w:val="CommentTextChar"/>
    <w:uiPriority w:val="99"/>
    <w:semiHidden/>
    <w:unhideWhenUsed/>
    <w:rsid w:val="005E23C8"/>
    <w:pPr>
      <w:spacing w:line="240" w:lineRule="auto"/>
    </w:pPr>
    <w:rPr>
      <w:sz w:val="20"/>
      <w:szCs w:val="20"/>
    </w:rPr>
  </w:style>
  <w:style w:type="character" w:customStyle="1" w:styleId="CommentTextChar">
    <w:name w:val="Comment Text Char"/>
    <w:basedOn w:val="DefaultParagraphFont"/>
    <w:link w:val="CommentText"/>
    <w:uiPriority w:val="99"/>
    <w:semiHidden/>
    <w:rsid w:val="005E23C8"/>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E23C8"/>
    <w:rPr>
      <w:b/>
      <w:bCs/>
    </w:rPr>
  </w:style>
  <w:style w:type="character" w:customStyle="1" w:styleId="CommentSubjectChar">
    <w:name w:val="Comment Subject Char"/>
    <w:basedOn w:val="CommentTextChar"/>
    <w:link w:val="CommentSubject"/>
    <w:uiPriority w:val="99"/>
    <w:semiHidden/>
    <w:rsid w:val="005E23C8"/>
    <w:rPr>
      <w:rFonts w:ascii="Cambria" w:eastAsia="Cambria" w:hAnsi="Cambria" w:cs="Times New Roman"/>
      <w:b/>
      <w:bCs/>
      <w:sz w:val="20"/>
      <w:szCs w:val="20"/>
    </w:rPr>
  </w:style>
  <w:style w:type="paragraph" w:customStyle="1" w:styleId="Instructionaltext">
    <w:name w:val="Instructional text"/>
    <w:basedOn w:val="Normal"/>
    <w:link w:val="InstructionaltextChar"/>
    <w:uiPriority w:val="1"/>
    <w:qFormat/>
    <w:rsid w:val="004C67AA"/>
    <w:rPr>
      <w:i/>
      <w:color w:val="22ABFF" w:themeColor="accent1" w:themeTint="80"/>
      <w:szCs w:val="24"/>
    </w:rPr>
  </w:style>
  <w:style w:type="character" w:customStyle="1" w:styleId="InstructionaltextChar">
    <w:name w:val="Instructional text Char"/>
    <w:basedOn w:val="DefaultParagraphFont"/>
    <w:link w:val="Instructionaltext"/>
    <w:uiPriority w:val="1"/>
    <w:rsid w:val="004C67AA"/>
    <w:rPr>
      <w:rFonts w:ascii="Cambria" w:eastAsia="Cambria" w:hAnsi="Cambria" w:cs="Times New Roman"/>
      <w:i/>
      <w:color w:val="22ABFF" w:themeColor="accent1" w:themeTint="80"/>
      <w:szCs w:val="24"/>
    </w:rPr>
  </w:style>
  <w:style w:type="paragraph" w:customStyle="1" w:styleId="Standard">
    <w:name w:val="Standard"/>
    <w:basedOn w:val="Normal"/>
    <w:link w:val="StandardChar"/>
    <w:rsid w:val="006A26B0"/>
    <w:pPr>
      <w:spacing w:before="0" w:after="220" w:line="252" w:lineRule="auto"/>
    </w:pPr>
    <w:rPr>
      <w:rFonts w:eastAsia="Times New Roman"/>
      <w:snapToGrid w:val="0"/>
      <w:kern w:val="16"/>
      <w:szCs w:val="24"/>
    </w:rPr>
  </w:style>
  <w:style w:type="paragraph" w:customStyle="1" w:styleId="WhiteSpace">
    <w:name w:val="White Space"/>
    <w:basedOn w:val="Standard"/>
    <w:link w:val="WhiteSpaceChar"/>
    <w:rsid w:val="006A26B0"/>
    <w:pPr>
      <w:spacing w:after="0"/>
    </w:pPr>
    <w:rPr>
      <w:sz w:val="16"/>
      <w:szCs w:val="16"/>
    </w:rPr>
  </w:style>
  <w:style w:type="character" w:customStyle="1" w:styleId="StandardChar">
    <w:name w:val="Standard Char"/>
    <w:basedOn w:val="DefaultParagraphFont"/>
    <w:link w:val="Standard"/>
    <w:rsid w:val="006A26B0"/>
    <w:rPr>
      <w:rFonts w:ascii="Cambria" w:eastAsia="Times New Roman" w:hAnsi="Cambria" w:cs="Times New Roman"/>
      <w:snapToGrid w:val="0"/>
      <w:kern w:val="16"/>
      <w:szCs w:val="24"/>
    </w:rPr>
  </w:style>
  <w:style w:type="paragraph" w:customStyle="1" w:styleId="AssessmentSubsection">
    <w:name w:val="Assessment Subsection"/>
    <w:basedOn w:val="Standard"/>
    <w:next w:val="Standard"/>
    <w:rsid w:val="006A26B0"/>
    <w:pPr>
      <w:keepNext/>
      <w:spacing w:after="110"/>
      <w:outlineLvl w:val="2"/>
    </w:pPr>
    <w:rPr>
      <w:b/>
      <w:i/>
    </w:rPr>
  </w:style>
  <w:style w:type="character" w:customStyle="1" w:styleId="WhiteSpaceChar">
    <w:name w:val="White Space Char"/>
    <w:basedOn w:val="DefaultParagraphFont"/>
    <w:link w:val="WhiteSpace"/>
    <w:rsid w:val="006A26B0"/>
    <w:rPr>
      <w:rFonts w:ascii="Cambria" w:eastAsia="Times New Roman" w:hAnsi="Cambria" w:cs="Times New Roman"/>
      <w:snapToGrid w:val="0"/>
      <w:kern w:val="16"/>
      <w:sz w:val="16"/>
      <w:szCs w:val="16"/>
    </w:rPr>
  </w:style>
  <w:style w:type="character" w:customStyle="1" w:styleId="ref">
    <w:name w:val="ref"/>
    <w:basedOn w:val="DefaultParagraphFont"/>
    <w:rsid w:val="006A26B0"/>
  </w:style>
  <w:style w:type="character" w:customStyle="1" w:styleId="apple-converted-space">
    <w:name w:val="apple-converted-space"/>
    <w:basedOn w:val="DefaultParagraphFont"/>
    <w:rsid w:val="006A26B0"/>
  </w:style>
  <w:style w:type="paragraph" w:customStyle="1" w:styleId="TableCaption">
    <w:name w:val="Table Caption"/>
    <w:basedOn w:val="Standard"/>
    <w:next w:val="Standard"/>
    <w:link w:val="TableCaptionChar"/>
    <w:rsid w:val="006A26B0"/>
    <w:pPr>
      <w:spacing w:before="60" w:after="440" w:line="215" w:lineRule="exact"/>
      <w:ind w:left="170"/>
    </w:pPr>
    <w:rPr>
      <w:rFonts w:eastAsia="Cambria"/>
      <w:snapToGrid/>
      <w:kern w:val="0"/>
      <w:sz w:val="19"/>
      <w:szCs w:val="22"/>
    </w:rPr>
  </w:style>
  <w:style w:type="character" w:customStyle="1" w:styleId="TableTitleChar">
    <w:name w:val="Table Title Char"/>
    <w:basedOn w:val="StandardChar"/>
    <w:link w:val="TableTitle"/>
    <w:rsid w:val="006A26B0"/>
    <w:rPr>
      <w:rFonts w:ascii="Cambria" w:eastAsia="Cambria" w:hAnsi="Cambria" w:cs="Times New Roman"/>
      <w:b/>
      <w:snapToGrid/>
      <w:kern w:val="16"/>
      <w:sz w:val="20"/>
      <w:szCs w:val="24"/>
    </w:rPr>
  </w:style>
  <w:style w:type="character" w:customStyle="1" w:styleId="TabletextChar">
    <w:name w:val="Table text Char"/>
    <w:basedOn w:val="DefaultParagraphFont"/>
    <w:link w:val="Tabletext"/>
    <w:rsid w:val="006A26B0"/>
    <w:rPr>
      <w:rFonts w:ascii="Cambria" w:eastAsia="Cambria" w:hAnsi="Cambria" w:cs="Times New Roman"/>
      <w:sz w:val="19"/>
    </w:rPr>
  </w:style>
  <w:style w:type="character" w:customStyle="1" w:styleId="TableCaptionChar">
    <w:name w:val="Table Caption Char"/>
    <w:basedOn w:val="TabletextChar"/>
    <w:link w:val="TableCaption"/>
    <w:rsid w:val="006A26B0"/>
    <w:rPr>
      <w:rFonts w:ascii="Cambria" w:eastAsia="Cambria" w:hAnsi="Cambria" w:cs="Times New Roman"/>
      <w:sz w:val="19"/>
    </w:rPr>
  </w:style>
  <w:style w:type="paragraph" w:customStyle="1" w:styleId="AssessmentSection">
    <w:name w:val="Assessment Section"/>
    <w:basedOn w:val="AssessmentSubsection"/>
    <w:next w:val="Standard"/>
    <w:rsid w:val="006A26B0"/>
    <w:pPr>
      <w:outlineLvl w:val="1"/>
    </w:pPr>
    <w:rPr>
      <w:i w:val="0"/>
    </w:rPr>
  </w:style>
  <w:style w:type="paragraph" w:customStyle="1" w:styleId="AssessmentSubsection2">
    <w:name w:val="Assessment Subsection 2"/>
    <w:basedOn w:val="AssessmentSubsection"/>
    <w:next w:val="Standard"/>
    <w:rsid w:val="006A26B0"/>
    <w:pPr>
      <w:outlineLvl w:val="3"/>
    </w:pPr>
    <w:rPr>
      <w:b w:val="0"/>
    </w:rPr>
  </w:style>
  <w:style w:type="paragraph" w:customStyle="1" w:styleId="SectionHeading">
    <w:name w:val="Section Heading"/>
    <w:basedOn w:val="Standard"/>
    <w:next w:val="Standard"/>
    <w:link w:val="SectionHeadingCharChar"/>
    <w:rsid w:val="006F2FFB"/>
    <w:pPr>
      <w:keepNext/>
      <w:outlineLvl w:val="0"/>
    </w:pPr>
    <w:rPr>
      <w:b/>
      <w:caps/>
    </w:rPr>
  </w:style>
  <w:style w:type="character" w:customStyle="1" w:styleId="SectionHeadingCharChar">
    <w:name w:val="Section Heading Char Char"/>
    <w:basedOn w:val="DefaultParagraphFont"/>
    <w:link w:val="SectionHeading"/>
    <w:rsid w:val="006F2FFB"/>
    <w:rPr>
      <w:rFonts w:ascii="Cambria" w:eastAsia="Times New Roman" w:hAnsi="Cambria" w:cs="Times New Roman"/>
      <w:b/>
      <w:caps/>
      <w:snapToGrid w:val="0"/>
      <w:kern w:val="16"/>
      <w:szCs w:val="24"/>
    </w:rPr>
  </w:style>
  <w:style w:type="paragraph" w:customStyle="1" w:styleId="Bulletpoint">
    <w:name w:val="Bullet point"/>
    <w:basedOn w:val="Standard"/>
    <w:rsid w:val="006F2FFB"/>
    <w:pPr>
      <w:numPr>
        <w:numId w:val="5"/>
      </w:numPr>
      <w:tabs>
        <w:tab w:val="clear" w:pos="369"/>
        <w:tab w:val="left" w:pos="397"/>
        <w:tab w:val="num" w:pos="511"/>
      </w:tabs>
      <w:spacing w:after="180"/>
      <w:ind w:left="397" w:firstLine="0"/>
    </w:pPr>
  </w:style>
  <w:style w:type="character" w:customStyle="1" w:styleId="slug-pub-date">
    <w:name w:val="slug-pub-date"/>
    <w:basedOn w:val="DefaultParagraphFont"/>
    <w:rsid w:val="004C52F2"/>
  </w:style>
  <w:style w:type="paragraph" w:styleId="NormalWeb">
    <w:name w:val="Normal (Web)"/>
    <w:basedOn w:val="Normal"/>
    <w:uiPriority w:val="99"/>
    <w:semiHidden/>
    <w:unhideWhenUsed/>
    <w:rsid w:val="00E70640"/>
    <w:rPr>
      <w:rFonts w:ascii="Times New Roman" w:hAnsi="Times New Roman"/>
      <w:sz w:val="24"/>
      <w:szCs w:val="24"/>
    </w:rPr>
  </w:style>
  <w:style w:type="paragraph" w:styleId="ListParagraph">
    <w:name w:val="List Paragraph"/>
    <w:basedOn w:val="Normal"/>
    <w:uiPriority w:val="34"/>
    <w:qFormat/>
    <w:rsid w:val="00CD5BB8"/>
    <w:pPr>
      <w:adjustRightInd w:val="0"/>
      <w:snapToGrid w:val="0"/>
      <w:spacing w:before="180" w:after="180"/>
      <w:ind w:left="720"/>
      <w:contextualSpacing/>
    </w:pPr>
    <w:rPr>
      <w:rFonts w:eastAsia="MS Mincho"/>
      <w:szCs w:val="20"/>
      <w:lang w:eastAsia="ja-JP"/>
    </w:rPr>
  </w:style>
  <w:style w:type="table" w:customStyle="1" w:styleId="TableTGAblue1">
    <w:name w:val="Table TGA blue1"/>
    <w:basedOn w:val="TableNormal"/>
    <w:uiPriority w:val="99"/>
    <w:qFormat/>
    <w:rsid w:val="006B62E8"/>
    <w:pPr>
      <w:spacing w:after="0" w:line="240" w:lineRule="auto"/>
    </w:pPr>
    <w:rPr>
      <w:rFonts w:ascii="Cambria" w:hAnsi="Cambria" w:cs="Times New Roman"/>
      <w:color w:val="000000"/>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customStyle="1" w:styleId="st1">
    <w:name w:val="st1"/>
    <w:basedOn w:val="DefaultParagraphFont"/>
    <w:rsid w:val="00357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744F"/>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character" w:styleId="CommentReference">
    <w:name w:val="annotation reference"/>
    <w:basedOn w:val="DefaultParagraphFont"/>
    <w:uiPriority w:val="99"/>
    <w:semiHidden/>
    <w:unhideWhenUsed/>
    <w:rsid w:val="005E23C8"/>
    <w:rPr>
      <w:sz w:val="16"/>
      <w:szCs w:val="16"/>
    </w:rPr>
  </w:style>
  <w:style w:type="paragraph" w:styleId="CommentText">
    <w:name w:val="annotation text"/>
    <w:basedOn w:val="Normal"/>
    <w:link w:val="CommentTextChar"/>
    <w:uiPriority w:val="99"/>
    <w:semiHidden/>
    <w:unhideWhenUsed/>
    <w:rsid w:val="005E23C8"/>
    <w:pPr>
      <w:spacing w:line="240" w:lineRule="auto"/>
    </w:pPr>
    <w:rPr>
      <w:sz w:val="20"/>
      <w:szCs w:val="20"/>
    </w:rPr>
  </w:style>
  <w:style w:type="character" w:customStyle="1" w:styleId="CommentTextChar">
    <w:name w:val="Comment Text Char"/>
    <w:basedOn w:val="DefaultParagraphFont"/>
    <w:link w:val="CommentText"/>
    <w:uiPriority w:val="99"/>
    <w:semiHidden/>
    <w:rsid w:val="005E23C8"/>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E23C8"/>
    <w:rPr>
      <w:b/>
      <w:bCs/>
    </w:rPr>
  </w:style>
  <w:style w:type="character" w:customStyle="1" w:styleId="CommentSubjectChar">
    <w:name w:val="Comment Subject Char"/>
    <w:basedOn w:val="CommentTextChar"/>
    <w:link w:val="CommentSubject"/>
    <w:uiPriority w:val="99"/>
    <w:semiHidden/>
    <w:rsid w:val="005E23C8"/>
    <w:rPr>
      <w:rFonts w:ascii="Cambria" w:eastAsia="Cambria" w:hAnsi="Cambria" w:cs="Times New Roman"/>
      <w:b/>
      <w:bCs/>
      <w:sz w:val="20"/>
      <w:szCs w:val="20"/>
    </w:rPr>
  </w:style>
  <w:style w:type="paragraph" w:customStyle="1" w:styleId="Instructionaltext">
    <w:name w:val="Instructional text"/>
    <w:basedOn w:val="Normal"/>
    <w:link w:val="InstructionaltextChar"/>
    <w:uiPriority w:val="1"/>
    <w:qFormat/>
    <w:rsid w:val="004C67AA"/>
    <w:rPr>
      <w:i/>
      <w:color w:val="22ABFF" w:themeColor="accent1" w:themeTint="80"/>
      <w:szCs w:val="24"/>
    </w:rPr>
  </w:style>
  <w:style w:type="character" w:customStyle="1" w:styleId="InstructionaltextChar">
    <w:name w:val="Instructional text Char"/>
    <w:basedOn w:val="DefaultParagraphFont"/>
    <w:link w:val="Instructionaltext"/>
    <w:uiPriority w:val="1"/>
    <w:rsid w:val="004C67AA"/>
    <w:rPr>
      <w:rFonts w:ascii="Cambria" w:eastAsia="Cambria" w:hAnsi="Cambria" w:cs="Times New Roman"/>
      <w:i/>
      <w:color w:val="22ABFF" w:themeColor="accent1" w:themeTint="80"/>
      <w:szCs w:val="24"/>
    </w:rPr>
  </w:style>
  <w:style w:type="paragraph" w:customStyle="1" w:styleId="Standard">
    <w:name w:val="Standard"/>
    <w:basedOn w:val="Normal"/>
    <w:link w:val="StandardChar"/>
    <w:rsid w:val="006A26B0"/>
    <w:pPr>
      <w:spacing w:before="0" w:after="220" w:line="252" w:lineRule="auto"/>
    </w:pPr>
    <w:rPr>
      <w:rFonts w:eastAsia="Times New Roman"/>
      <w:snapToGrid w:val="0"/>
      <w:kern w:val="16"/>
      <w:szCs w:val="24"/>
    </w:rPr>
  </w:style>
  <w:style w:type="paragraph" w:customStyle="1" w:styleId="WhiteSpace">
    <w:name w:val="White Space"/>
    <w:basedOn w:val="Standard"/>
    <w:link w:val="WhiteSpaceChar"/>
    <w:rsid w:val="006A26B0"/>
    <w:pPr>
      <w:spacing w:after="0"/>
    </w:pPr>
    <w:rPr>
      <w:sz w:val="16"/>
      <w:szCs w:val="16"/>
    </w:rPr>
  </w:style>
  <w:style w:type="character" w:customStyle="1" w:styleId="StandardChar">
    <w:name w:val="Standard Char"/>
    <w:basedOn w:val="DefaultParagraphFont"/>
    <w:link w:val="Standard"/>
    <w:rsid w:val="006A26B0"/>
    <w:rPr>
      <w:rFonts w:ascii="Cambria" w:eastAsia="Times New Roman" w:hAnsi="Cambria" w:cs="Times New Roman"/>
      <w:snapToGrid w:val="0"/>
      <w:kern w:val="16"/>
      <w:szCs w:val="24"/>
    </w:rPr>
  </w:style>
  <w:style w:type="paragraph" w:customStyle="1" w:styleId="AssessmentSubsection">
    <w:name w:val="Assessment Subsection"/>
    <w:basedOn w:val="Standard"/>
    <w:next w:val="Standard"/>
    <w:rsid w:val="006A26B0"/>
    <w:pPr>
      <w:keepNext/>
      <w:spacing w:after="110"/>
      <w:outlineLvl w:val="2"/>
    </w:pPr>
    <w:rPr>
      <w:b/>
      <w:i/>
    </w:rPr>
  </w:style>
  <w:style w:type="character" w:customStyle="1" w:styleId="WhiteSpaceChar">
    <w:name w:val="White Space Char"/>
    <w:basedOn w:val="DefaultParagraphFont"/>
    <w:link w:val="WhiteSpace"/>
    <w:rsid w:val="006A26B0"/>
    <w:rPr>
      <w:rFonts w:ascii="Cambria" w:eastAsia="Times New Roman" w:hAnsi="Cambria" w:cs="Times New Roman"/>
      <w:snapToGrid w:val="0"/>
      <w:kern w:val="16"/>
      <w:sz w:val="16"/>
      <w:szCs w:val="16"/>
    </w:rPr>
  </w:style>
  <w:style w:type="character" w:customStyle="1" w:styleId="ref">
    <w:name w:val="ref"/>
    <w:basedOn w:val="DefaultParagraphFont"/>
    <w:rsid w:val="006A26B0"/>
  </w:style>
  <w:style w:type="character" w:customStyle="1" w:styleId="apple-converted-space">
    <w:name w:val="apple-converted-space"/>
    <w:basedOn w:val="DefaultParagraphFont"/>
    <w:rsid w:val="006A26B0"/>
  </w:style>
  <w:style w:type="paragraph" w:customStyle="1" w:styleId="TableCaption">
    <w:name w:val="Table Caption"/>
    <w:basedOn w:val="Standard"/>
    <w:next w:val="Standard"/>
    <w:link w:val="TableCaptionChar"/>
    <w:rsid w:val="006A26B0"/>
    <w:pPr>
      <w:spacing w:before="60" w:after="440" w:line="215" w:lineRule="exact"/>
      <w:ind w:left="170"/>
    </w:pPr>
    <w:rPr>
      <w:rFonts w:eastAsia="Cambria"/>
      <w:snapToGrid/>
      <w:kern w:val="0"/>
      <w:sz w:val="19"/>
      <w:szCs w:val="22"/>
    </w:rPr>
  </w:style>
  <w:style w:type="character" w:customStyle="1" w:styleId="TableTitleChar">
    <w:name w:val="Table Title Char"/>
    <w:basedOn w:val="StandardChar"/>
    <w:link w:val="TableTitle"/>
    <w:rsid w:val="006A26B0"/>
    <w:rPr>
      <w:rFonts w:ascii="Cambria" w:eastAsia="Cambria" w:hAnsi="Cambria" w:cs="Times New Roman"/>
      <w:b/>
      <w:snapToGrid/>
      <w:kern w:val="16"/>
      <w:sz w:val="20"/>
      <w:szCs w:val="24"/>
    </w:rPr>
  </w:style>
  <w:style w:type="character" w:customStyle="1" w:styleId="TabletextChar">
    <w:name w:val="Table text Char"/>
    <w:basedOn w:val="DefaultParagraphFont"/>
    <w:link w:val="Tabletext"/>
    <w:rsid w:val="006A26B0"/>
    <w:rPr>
      <w:rFonts w:ascii="Cambria" w:eastAsia="Cambria" w:hAnsi="Cambria" w:cs="Times New Roman"/>
      <w:sz w:val="19"/>
    </w:rPr>
  </w:style>
  <w:style w:type="character" w:customStyle="1" w:styleId="TableCaptionChar">
    <w:name w:val="Table Caption Char"/>
    <w:basedOn w:val="TabletextChar"/>
    <w:link w:val="TableCaption"/>
    <w:rsid w:val="006A26B0"/>
    <w:rPr>
      <w:rFonts w:ascii="Cambria" w:eastAsia="Cambria" w:hAnsi="Cambria" w:cs="Times New Roman"/>
      <w:sz w:val="19"/>
    </w:rPr>
  </w:style>
  <w:style w:type="paragraph" w:customStyle="1" w:styleId="AssessmentSection">
    <w:name w:val="Assessment Section"/>
    <w:basedOn w:val="AssessmentSubsection"/>
    <w:next w:val="Standard"/>
    <w:rsid w:val="006A26B0"/>
    <w:pPr>
      <w:outlineLvl w:val="1"/>
    </w:pPr>
    <w:rPr>
      <w:i w:val="0"/>
    </w:rPr>
  </w:style>
  <w:style w:type="paragraph" w:customStyle="1" w:styleId="AssessmentSubsection2">
    <w:name w:val="Assessment Subsection 2"/>
    <w:basedOn w:val="AssessmentSubsection"/>
    <w:next w:val="Standard"/>
    <w:rsid w:val="006A26B0"/>
    <w:pPr>
      <w:outlineLvl w:val="3"/>
    </w:pPr>
    <w:rPr>
      <w:b w:val="0"/>
    </w:rPr>
  </w:style>
  <w:style w:type="paragraph" w:customStyle="1" w:styleId="SectionHeading">
    <w:name w:val="Section Heading"/>
    <w:basedOn w:val="Standard"/>
    <w:next w:val="Standard"/>
    <w:link w:val="SectionHeadingCharChar"/>
    <w:rsid w:val="006F2FFB"/>
    <w:pPr>
      <w:keepNext/>
      <w:outlineLvl w:val="0"/>
    </w:pPr>
    <w:rPr>
      <w:b/>
      <w:caps/>
    </w:rPr>
  </w:style>
  <w:style w:type="character" w:customStyle="1" w:styleId="SectionHeadingCharChar">
    <w:name w:val="Section Heading Char Char"/>
    <w:basedOn w:val="DefaultParagraphFont"/>
    <w:link w:val="SectionHeading"/>
    <w:rsid w:val="006F2FFB"/>
    <w:rPr>
      <w:rFonts w:ascii="Cambria" w:eastAsia="Times New Roman" w:hAnsi="Cambria" w:cs="Times New Roman"/>
      <w:b/>
      <w:caps/>
      <w:snapToGrid w:val="0"/>
      <w:kern w:val="16"/>
      <w:szCs w:val="24"/>
    </w:rPr>
  </w:style>
  <w:style w:type="paragraph" w:customStyle="1" w:styleId="Bulletpoint">
    <w:name w:val="Bullet point"/>
    <w:basedOn w:val="Standard"/>
    <w:rsid w:val="006F2FFB"/>
    <w:pPr>
      <w:numPr>
        <w:numId w:val="5"/>
      </w:numPr>
      <w:tabs>
        <w:tab w:val="clear" w:pos="369"/>
        <w:tab w:val="left" w:pos="397"/>
        <w:tab w:val="num" w:pos="511"/>
      </w:tabs>
      <w:spacing w:after="180"/>
      <w:ind w:left="397" w:firstLine="0"/>
    </w:pPr>
  </w:style>
  <w:style w:type="character" w:customStyle="1" w:styleId="slug-pub-date">
    <w:name w:val="slug-pub-date"/>
    <w:basedOn w:val="DefaultParagraphFont"/>
    <w:rsid w:val="004C52F2"/>
  </w:style>
  <w:style w:type="paragraph" w:styleId="NormalWeb">
    <w:name w:val="Normal (Web)"/>
    <w:basedOn w:val="Normal"/>
    <w:uiPriority w:val="99"/>
    <w:semiHidden/>
    <w:unhideWhenUsed/>
    <w:rsid w:val="00E70640"/>
    <w:rPr>
      <w:rFonts w:ascii="Times New Roman" w:hAnsi="Times New Roman"/>
      <w:sz w:val="24"/>
      <w:szCs w:val="24"/>
    </w:rPr>
  </w:style>
  <w:style w:type="paragraph" w:styleId="ListParagraph">
    <w:name w:val="List Paragraph"/>
    <w:basedOn w:val="Normal"/>
    <w:uiPriority w:val="34"/>
    <w:qFormat/>
    <w:rsid w:val="00CD5BB8"/>
    <w:pPr>
      <w:adjustRightInd w:val="0"/>
      <w:snapToGrid w:val="0"/>
      <w:spacing w:before="180" w:after="180"/>
      <w:ind w:left="720"/>
      <w:contextualSpacing/>
    </w:pPr>
    <w:rPr>
      <w:rFonts w:eastAsia="MS Mincho"/>
      <w:szCs w:val="20"/>
      <w:lang w:eastAsia="ja-JP"/>
    </w:rPr>
  </w:style>
  <w:style w:type="table" w:customStyle="1" w:styleId="TableTGAblue1">
    <w:name w:val="Table TGA blue1"/>
    <w:basedOn w:val="TableNormal"/>
    <w:uiPriority w:val="99"/>
    <w:qFormat/>
    <w:rsid w:val="006B62E8"/>
    <w:pPr>
      <w:spacing w:after="0" w:line="240" w:lineRule="auto"/>
    </w:pPr>
    <w:rPr>
      <w:rFonts w:ascii="Cambria" w:hAnsi="Cambria" w:cs="Times New Roman"/>
      <w:color w:val="000000"/>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customStyle="1" w:styleId="st1">
    <w:name w:val="st1"/>
    <w:basedOn w:val="DefaultParagraphFont"/>
    <w:rsid w:val="0035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530">
      <w:bodyDiv w:val="1"/>
      <w:marLeft w:val="0"/>
      <w:marRight w:val="0"/>
      <w:marTop w:val="0"/>
      <w:marBottom w:val="0"/>
      <w:divBdr>
        <w:top w:val="none" w:sz="0" w:space="0" w:color="auto"/>
        <w:left w:val="none" w:sz="0" w:space="0" w:color="auto"/>
        <w:bottom w:val="none" w:sz="0" w:space="0" w:color="auto"/>
        <w:right w:val="none" w:sz="0" w:space="0" w:color="auto"/>
      </w:divBdr>
    </w:div>
    <w:div w:id="306668068">
      <w:bodyDiv w:val="1"/>
      <w:marLeft w:val="0"/>
      <w:marRight w:val="0"/>
      <w:marTop w:val="0"/>
      <w:marBottom w:val="0"/>
      <w:divBdr>
        <w:top w:val="none" w:sz="0" w:space="0" w:color="auto"/>
        <w:left w:val="none" w:sz="0" w:space="0" w:color="auto"/>
        <w:bottom w:val="none" w:sz="0" w:space="0" w:color="auto"/>
        <w:right w:val="none" w:sz="0" w:space="0" w:color="auto"/>
      </w:divBdr>
    </w:div>
    <w:div w:id="393549598">
      <w:bodyDiv w:val="1"/>
      <w:marLeft w:val="0"/>
      <w:marRight w:val="0"/>
      <w:marTop w:val="0"/>
      <w:marBottom w:val="0"/>
      <w:divBdr>
        <w:top w:val="none" w:sz="0" w:space="0" w:color="auto"/>
        <w:left w:val="none" w:sz="0" w:space="0" w:color="auto"/>
        <w:bottom w:val="none" w:sz="0" w:space="0" w:color="auto"/>
        <w:right w:val="none" w:sz="0" w:space="0" w:color="auto"/>
      </w:divBdr>
    </w:div>
    <w:div w:id="409499922">
      <w:bodyDiv w:val="1"/>
      <w:marLeft w:val="0"/>
      <w:marRight w:val="0"/>
      <w:marTop w:val="0"/>
      <w:marBottom w:val="0"/>
      <w:divBdr>
        <w:top w:val="none" w:sz="0" w:space="0" w:color="auto"/>
        <w:left w:val="none" w:sz="0" w:space="0" w:color="auto"/>
        <w:bottom w:val="none" w:sz="0" w:space="0" w:color="auto"/>
        <w:right w:val="none" w:sz="0" w:space="0" w:color="auto"/>
      </w:divBdr>
      <w:divsChild>
        <w:div w:id="677075895">
          <w:marLeft w:val="0"/>
          <w:marRight w:val="0"/>
          <w:marTop w:val="0"/>
          <w:marBottom w:val="0"/>
          <w:divBdr>
            <w:top w:val="none" w:sz="0" w:space="0" w:color="auto"/>
            <w:left w:val="none" w:sz="0" w:space="0" w:color="auto"/>
            <w:bottom w:val="none" w:sz="0" w:space="0" w:color="auto"/>
            <w:right w:val="none" w:sz="0" w:space="0" w:color="auto"/>
          </w:divBdr>
          <w:divsChild>
            <w:div w:id="579758755">
              <w:marLeft w:val="0"/>
              <w:marRight w:val="0"/>
              <w:marTop w:val="0"/>
              <w:marBottom w:val="0"/>
              <w:divBdr>
                <w:top w:val="none" w:sz="0" w:space="0" w:color="auto"/>
                <w:left w:val="none" w:sz="0" w:space="0" w:color="auto"/>
                <w:bottom w:val="none" w:sz="0" w:space="0" w:color="auto"/>
                <w:right w:val="none" w:sz="0" w:space="0" w:color="auto"/>
              </w:divBdr>
              <w:divsChild>
                <w:div w:id="198976562">
                  <w:marLeft w:val="0"/>
                  <w:marRight w:val="0"/>
                  <w:marTop w:val="0"/>
                  <w:marBottom w:val="0"/>
                  <w:divBdr>
                    <w:top w:val="none" w:sz="0" w:space="0" w:color="auto"/>
                    <w:left w:val="none" w:sz="0" w:space="0" w:color="auto"/>
                    <w:bottom w:val="none" w:sz="0" w:space="0" w:color="auto"/>
                    <w:right w:val="none" w:sz="0" w:space="0" w:color="auto"/>
                  </w:divBdr>
                  <w:divsChild>
                    <w:div w:id="2076313417">
                      <w:marLeft w:val="0"/>
                      <w:marRight w:val="0"/>
                      <w:marTop w:val="0"/>
                      <w:marBottom w:val="0"/>
                      <w:divBdr>
                        <w:top w:val="none" w:sz="0" w:space="0" w:color="auto"/>
                        <w:left w:val="none" w:sz="0" w:space="0" w:color="auto"/>
                        <w:bottom w:val="none" w:sz="0" w:space="0" w:color="auto"/>
                        <w:right w:val="none" w:sz="0" w:space="0" w:color="auto"/>
                      </w:divBdr>
                      <w:divsChild>
                        <w:div w:id="18025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87455">
      <w:bodyDiv w:val="1"/>
      <w:marLeft w:val="0"/>
      <w:marRight w:val="0"/>
      <w:marTop w:val="0"/>
      <w:marBottom w:val="0"/>
      <w:divBdr>
        <w:top w:val="none" w:sz="0" w:space="0" w:color="auto"/>
        <w:left w:val="none" w:sz="0" w:space="0" w:color="auto"/>
        <w:bottom w:val="none" w:sz="0" w:space="0" w:color="auto"/>
        <w:right w:val="none" w:sz="0" w:space="0" w:color="auto"/>
      </w:divBdr>
    </w:div>
    <w:div w:id="488863390">
      <w:bodyDiv w:val="1"/>
      <w:marLeft w:val="0"/>
      <w:marRight w:val="0"/>
      <w:marTop w:val="0"/>
      <w:marBottom w:val="0"/>
      <w:divBdr>
        <w:top w:val="none" w:sz="0" w:space="0" w:color="auto"/>
        <w:left w:val="none" w:sz="0" w:space="0" w:color="auto"/>
        <w:bottom w:val="none" w:sz="0" w:space="0" w:color="auto"/>
        <w:right w:val="none" w:sz="0" w:space="0" w:color="auto"/>
      </w:divBdr>
    </w:div>
    <w:div w:id="511262324">
      <w:bodyDiv w:val="1"/>
      <w:marLeft w:val="0"/>
      <w:marRight w:val="0"/>
      <w:marTop w:val="0"/>
      <w:marBottom w:val="0"/>
      <w:divBdr>
        <w:top w:val="none" w:sz="0" w:space="0" w:color="auto"/>
        <w:left w:val="none" w:sz="0" w:space="0" w:color="auto"/>
        <w:bottom w:val="none" w:sz="0" w:space="0" w:color="auto"/>
        <w:right w:val="none" w:sz="0" w:space="0" w:color="auto"/>
      </w:divBdr>
    </w:div>
    <w:div w:id="685641012">
      <w:bodyDiv w:val="1"/>
      <w:marLeft w:val="0"/>
      <w:marRight w:val="0"/>
      <w:marTop w:val="0"/>
      <w:marBottom w:val="0"/>
      <w:divBdr>
        <w:top w:val="none" w:sz="0" w:space="0" w:color="auto"/>
        <w:left w:val="none" w:sz="0" w:space="0" w:color="auto"/>
        <w:bottom w:val="none" w:sz="0" w:space="0" w:color="auto"/>
        <w:right w:val="none" w:sz="0" w:space="0" w:color="auto"/>
      </w:divBdr>
    </w:div>
    <w:div w:id="693767714">
      <w:bodyDiv w:val="1"/>
      <w:marLeft w:val="0"/>
      <w:marRight w:val="0"/>
      <w:marTop w:val="0"/>
      <w:marBottom w:val="0"/>
      <w:divBdr>
        <w:top w:val="none" w:sz="0" w:space="0" w:color="auto"/>
        <w:left w:val="none" w:sz="0" w:space="0" w:color="auto"/>
        <w:bottom w:val="none" w:sz="0" w:space="0" w:color="auto"/>
        <w:right w:val="none" w:sz="0" w:space="0" w:color="auto"/>
      </w:divBdr>
    </w:div>
    <w:div w:id="1141574903">
      <w:bodyDiv w:val="1"/>
      <w:marLeft w:val="0"/>
      <w:marRight w:val="0"/>
      <w:marTop w:val="0"/>
      <w:marBottom w:val="0"/>
      <w:divBdr>
        <w:top w:val="none" w:sz="0" w:space="0" w:color="auto"/>
        <w:left w:val="none" w:sz="0" w:space="0" w:color="auto"/>
        <w:bottom w:val="none" w:sz="0" w:space="0" w:color="auto"/>
        <w:right w:val="none" w:sz="0" w:space="0" w:color="auto"/>
      </w:divBdr>
      <w:divsChild>
        <w:div w:id="361977120">
          <w:marLeft w:val="0"/>
          <w:marRight w:val="0"/>
          <w:marTop w:val="0"/>
          <w:marBottom w:val="0"/>
          <w:divBdr>
            <w:top w:val="none" w:sz="0" w:space="0" w:color="auto"/>
            <w:left w:val="none" w:sz="0" w:space="0" w:color="auto"/>
            <w:bottom w:val="none" w:sz="0" w:space="0" w:color="auto"/>
            <w:right w:val="none" w:sz="0" w:space="0" w:color="auto"/>
          </w:divBdr>
          <w:divsChild>
            <w:div w:id="1754232601">
              <w:marLeft w:val="0"/>
              <w:marRight w:val="0"/>
              <w:marTop w:val="0"/>
              <w:marBottom w:val="0"/>
              <w:divBdr>
                <w:top w:val="none" w:sz="0" w:space="0" w:color="auto"/>
                <w:left w:val="none" w:sz="0" w:space="0" w:color="auto"/>
                <w:bottom w:val="none" w:sz="0" w:space="0" w:color="auto"/>
                <w:right w:val="none" w:sz="0" w:space="0" w:color="auto"/>
              </w:divBdr>
              <w:divsChild>
                <w:div w:id="138883899">
                  <w:marLeft w:val="0"/>
                  <w:marRight w:val="0"/>
                  <w:marTop w:val="0"/>
                  <w:marBottom w:val="0"/>
                  <w:divBdr>
                    <w:top w:val="none" w:sz="0" w:space="0" w:color="auto"/>
                    <w:left w:val="none" w:sz="0" w:space="0" w:color="auto"/>
                    <w:bottom w:val="none" w:sz="0" w:space="0" w:color="auto"/>
                    <w:right w:val="none" w:sz="0" w:space="0" w:color="auto"/>
                  </w:divBdr>
                  <w:divsChild>
                    <w:div w:id="1404720374">
                      <w:marLeft w:val="0"/>
                      <w:marRight w:val="0"/>
                      <w:marTop w:val="0"/>
                      <w:marBottom w:val="0"/>
                      <w:divBdr>
                        <w:top w:val="none" w:sz="0" w:space="0" w:color="auto"/>
                        <w:left w:val="none" w:sz="0" w:space="0" w:color="auto"/>
                        <w:bottom w:val="none" w:sz="0" w:space="0" w:color="auto"/>
                        <w:right w:val="none" w:sz="0" w:space="0" w:color="auto"/>
                      </w:divBdr>
                      <w:divsChild>
                        <w:div w:id="20530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9103">
      <w:bodyDiv w:val="1"/>
      <w:marLeft w:val="0"/>
      <w:marRight w:val="0"/>
      <w:marTop w:val="0"/>
      <w:marBottom w:val="0"/>
      <w:divBdr>
        <w:top w:val="none" w:sz="0" w:space="0" w:color="auto"/>
        <w:left w:val="none" w:sz="0" w:space="0" w:color="auto"/>
        <w:bottom w:val="none" w:sz="0" w:space="0" w:color="auto"/>
        <w:right w:val="none" w:sz="0" w:space="0" w:color="auto"/>
      </w:divBdr>
    </w:div>
    <w:div w:id="1358313284">
      <w:bodyDiv w:val="1"/>
      <w:marLeft w:val="0"/>
      <w:marRight w:val="0"/>
      <w:marTop w:val="0"/>
      <w:marBottom w:val="0"/>
      <w:divBdr>
        <w:top w:val="none" w:sz="0" w:space="0" w:color="auto"/>
        <w:left w:val="none" w:sz="0" w:space="0" w:color="auto"/>
        <w:bottom w:val="none" w:sz="0" w:space="0" w:color="auto"/>
        <w:right w:val="none" w:sz="0" w:space="0" w:color="auto"/>
      </w:divBdr>
    </w:div>
    <w:div w:id="1446388485">
      <w:bodyDiv w:val="1"/>
      <w:marLeft w:val="0"/>
      <w:marRight w:val="0"/>
      <w:marTop w:val="0"/>
      <w:marBottom w:val="0"/>
      <w:divBdr>
        <w:top w:val="none" w:sz="0" w:space="0" w:color="auto"/>
        <w:left w:val="none" w:sz="0" w:space="0" w:color="auto"/>
        <w:bottom w:val="none" w:sz="0" w:space="0" w:color="auto"/>
        <w:right w:val="none" w:sz="0" w:space="0" w:color="auto"/>
      </w:divBdr>
    </w:div>
    <w:div w:id="1710757321">
      <w:bodyDiv w:val="1"/>
      <w:marLeft w:val="0"/>
      <w:marRight w:val="0"/>
      <w:marTop w:val="0"/>
      <w:marBottom w:val="0"/>
      <w:divBdr>
        <w:top w:val="none" w:sz="0" w:space="0" w:color="auto"/>
        <w:left w:val="none" w:sz="0" w:space="0" w:color="auto"/>
        <w:bottom w:val="none" w:sz="0" w:space="0" w:color="auto"/>
        <w:right w:val="none" w:sz="0" w:space="0" w:color="auto"/>
      </w:divBdr>
    </w:div>
    <w:div w:id="1720863165">
      <w:bodyDiv w:val="1"/>
      <w:marLeft w:val="0"/>
      <w:marRight w:val="0"/>
      <w:marTop w:val="0"/>
      <w:marBottom w:val="0"/>
      <w:divBdr>
        <w:top w:val="none" w:sz="0" w:space="0" w:color="auto"/>
        <w:left w:val="none" w:sz="0" w:space="0" w:color="auto"/>
        <w:bottom w:val="none" w:sz="0" w:space="0" w:color="auto"/>
        <w:right w:val="none" w:sz="0" w:space="0" w:color="auto"/>
      </w:divBdr>
    </w:div>
    <w:div w:id="1770657913">
      <w:bodyDiv w:val="1"/>
      <w:marLeft w:val="0"/>
      <w:marRight w:val="0"/>
      <w:marTop w:val="0"/>
      <w:marBottom w:val="0"/>
      <w:divBdr>
        <w:top w:val="none" w:sz="0" w:space="0" w:color="auto"/>
        <w:left w:val="none" w:sz="0" w:space="0" w:color="auto"/>
        <w:bottom w:val="none" w:sz="0" w:space="0" w:color="auto"/>
        <w:right w:val="none" w:sz="0" w:space="0" w:color="auto"/>
      </w:divBdr>
    </w:div>
    <w:div w:id="20384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hyperlink" Target="http://www.tga.gov.a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info@tg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mailto:tga.copyright@tga.gov.au" TargetMode="External"/><Relationship Id="rId19" Type="http://schemas.openxmlformats.org/officeDocument/2006/relationships/hyperlink" Target="http://www.tga.gov.au/hp/information-medicines-pi.htm"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www.tga.gov.au/hp/information-medicines-pi.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kja\AppData\Local\Hewlett-Packard\HP%20TRIM\TEMP\HPTRIM.1864\R12%20926607%20(Revision%2020)%20%20AusPAR%20-%20Aclasta(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7A41-1DC1-4BB2-9FB5-55DC96F0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(Revision 20)  AusPAR - Aclasta(2).dotx</Template>
  <TotalTime>98</TotalTime>
  <Pages>72</Pages>
  <Words>29801</Words>
  <Characters>169871</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Australian public assessment report for Vedolizumab (rch)</vt:lpstr>
    </vt:vector>
  </TitlesOfParts>
  <Company>Department of Health Therapeutic Goods Administration</Company>
  <LinksUpToDate>false</LinksUpToDate>
  <CharactersWithSpaces>199274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Vedolizumab (rch)</dc:title>
  <dc:subject>prescription medicine regulation</dc:subject>
  <dc:creator>Therapeutic Goods Administration</dc:creator>
  <cp:keywords>auspar, prescription, medicine, assessment, regulation, australia, vedolizumab, entyvio, kynteles, takeda, pharmaceuticals</cp:keywords>
  <cp:lastModifiedBy>Searson, Lisa</cp:lastModifiedBy>
  <cp:revision>4</cp:revision>
  <cp:lastPrinted>2014-04-08T03:07:00Z</cp:lastPrinted>
  <dcterms:created xsi:type="dcterms:W3CDTF">2014-12-09T04:51:00Z</dcterms:created>
  <dcterms:modified xsi:type="dcterms:W3CDTF">2014-12-10T00:39:00Z</dcterms:modified>
</cp:coreProperties>
</file>